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7CFB2" w14:textId="1E9A5DB3" w:rsidR="00F41315" w:rsidRDefault="00F41315" w:rsidP="004332EC">
      <w:pPr>
        <w:rPr>
          <w:rFonts w:ascii="Calibri" w:hAnsi="Calibri" w:cs="Calibri"/>
          <w:b/>
          <w:color w:val="13576B"/>
          <w:sz w:val="32"/>
          <w:szCs w:val="32"/>
        </w:rPr>
      </w:pPr>
      <w:bookmarkStart w:id="0" w:name="_Hlk221885432"/>
      <w:bookmarkStart w:id="1" w:name="_Hlk116472656"/>
      <w:bookmarkEnd w:id="0"/>
      <w:r w:rsidRPr="00616069">
        <w:rPr>
          <w:rFonts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D226F0A" wp14:editId="2F7C3CCD">
                <wp:simplePos x="0" y="0"/>
                <wp:positionH relativeFrom="margin">
                  <wp:posOffset>2230111</wp:posOffset>
                </wp:positionH>
                <wp:positionV relativeFrom="paragraph">
                  <wp:posOffset>-951780</wp:posOffset>
                </wp:positionV>
                <wp:extent cx="2422477" cy="450376"/>
                <wp:effectExtent l="0" t="0" r="0" b="0"/>
                <wp:wrapNone/>
                <wp:docPr id="26476176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2477" cy="45037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97BB3" w14:textId="6FE020D1" w:rsidR="00F41315" w:rsidRPr="00616069" w:rsidRDefault="00F41315" w:rsidP="00DC604C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226F0A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75.6pt;margin-top:-74.95pt;width:190.75pt;height:35.4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" filled="f" stroked="f">
                <v:textbox>
                  <w:txbxContent>
                    <w:p w14:paraId="32B97BB3" w14:textId="6FE020D1" w:rsidR="00F41315" w:rsidRPr="00616069" w:rsidRDefault="00F41315" w:rsidP="00DC604C">
                      <w:pPr>
                        <w:spacing w:line="276" w:lineRule="auto"/>
                        <w:rPr>
                          <w:rFonts w:ascii="Calibri" w:hAnsi="Calibri" w:cs="Calibri"/>
                          <w:b/>
                          <w:color w:val="FF0000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16069">
        <w:rPr>
          <w:rFonts w:ascii="Calibri" w:hAnsi="Calibri" w:cs="Calibri"/>
          <w:b/>
          <w:color w:val="13576B"/>
          <w:sz w:val="32"/>
          <w:szCs w:val="32"/>
        </w:rPr>
        <w:t xml:space="preserve">ČBA </w:t>
      </w:r>
      <w:proofErr w:type="spellStart"/>
      <w:r w:rsidRPr="00616069">
        <w:rPr>
          <w:rFonts w:ascii="Calibri" w:hAnsi="Calibri" w:cs="Calibri"/>
          <w:b/>
          <w:color w:val="13576B"/>
          <w:sz w:val="32"/>
          <w:szCs w:val="32"/>
        </w:rPr>
        <w:t>Hypomonito</w:t>
      </w:r>
      <w:r>
        <w:rPr>
          <w:rFonts w:ascii="Calibri" w:hAnsi="Calibri" w:cs="Calibri"/>
          <w:b/>
          <w:color w:val="13576B"/>
          <w:sz w:val="32"/>
          <w:szCs w:val="32"/>
        </w:rPr>
        <w:t>r</w:t>
      </w:r>
      <w:proofErr w:type="spellEnd"/>
      <w:r w:rsidRPr="00616069">
        <w:rPr>
          <w:rFonts w:ascii="Calibri" w:hAnsi="Calibri" w:cs="Calibri"/>
          <w:b/>
          <w:color w:val="13576B"/>
          <w:sz w:val="32"/>
          <w:szCs w:val="32"/>
        </w:rPr>
        <w:t>:</w:t>
      </w:r>
      <w:r>
        <w:rPr>
          <w:rFonts w:ascii="Calibri" w:hAnsi="Calibri" w:cs="Calibri"/>
          <w:b/>
          <w:color w:val="13576B"/>
          <w:sz w:val="32"/>
          <w:szCs w:val="32"/>
        </w:rPr>
        <w:t xml:space="preserve"> Zářijov</w:t>
      </w:r>
      <w:r w:rsidR="00ED1168">
        <w:rPr>
          <w:rFonts w:ascii="Calibri" w:hAnsi="Calibri" w:cs="Calibri"/>
          <w:b/>
          <w:color w:val="13576B"/>
          <w:sz w:val="32"/>
          <w:szCs w:val="32"/>
        </w:rPr>
        <w:t xml:space="preserve">á stabilizace u </w:t>
      </w:r>
      <w:r w:rsidR="00365187">
        <w:rPr>
          <w:rFonts w:ascii="Calibri" w:hAnsi="Calibri" w:cs="Calibri"/>
          <w:b/>
          <w:bCs/>
          <w:color w:val="13576B"/>
          <w:sz w:val="32"/>
          <w:szCs w:val="32"/>
        </w:rPr>
        <w:t>silnější</w:t>
      </w:r>
      <w:r w:rsidR="00ED1168">
        <w:rPr>
          <w:rFonts w:ascii="Calibri" w:hAnsi="Calibri" w:cs="Calibri"/>
          <w:b/>
          <w:bCs/>
          <w:color w:val="13576B"/>
          <w:sz w:val="32"/>
          <w:szCs w:val="32"/>
        </w:rPr>
        <w:t>ho</w:t>
      </w:r>
      <w:r w:rsidR="00365187">
        <w:rPr>
          <w:rFonts w:ascii="Calibri" w:hAnsi="Calibri" w:cs="Calibri"/>
          <w:b/>
          <w:bCs/>
          <w:color w:val="13576B"/>
          <w:sz w:val="32"/>
          <w:szCs w:val="32"/>
        </w:rPr>
        <w:t xml:space="preserve"> normálu</w:t>
      </w:r>
      <w:r>
        <w:rPr>
          <w:rFonts w:ascii="Calibri" w:hAnsi="Calibri" w:cs="Calibri"/>
          <w:b/>
          <w:color w:val="13576B"/>
          <w:sz w:val="32"/>
          <w:szCs w:val="32"/>
        </w:rPr>
        <w:t xml:space="preserve"> při sazbě 5,1 %</w:t>
      </w:r>
    </w:p>
    <w:p w14:paraId="42DC3DB0" w14:textId="772CA61A" w:rsidR="00F41315" w:rsidRPr="00E656BA" w:rsidRDefault="00F41315" w:rsidP="005849B1">
      <w:pPr>
        <w:rPr>
          <w:rFonts w:ascii="Calibri" w:hAnsi="Calibri" w:cs="Calibri"/>
          <w:b/>
          <w:bCs/>
          <w:color w:val="EE0000"/>
          <w:sz w:val="22"/>
          <w:szCs w:val="22"/>
        </w:rPr>
      </w:pPr>
      <w:r w:rsidRPr="006B4CAC">
        <w:rPr>
          <w:rFonts w:ascii="Calibri" w:hAnsi="Calibri" w:cs="Calibri"/>
          <w:b/>
          <w:bCs/>
          <w:color w:val="13576B"/>
          <w:sz w:val="22"/>
          <w:szCs w:val="22"/>
        </w:rPr>
        <w:t xml:space="preserve">Praha, </w:t>
      </w:r>
      <w:r>
        <w:rPr>
          <w:rFonts w:ascii="Calibri" w:hAnsi="Calibri" w:cs="Calibri"/>
          <w:b/>
          <w:bCs/>
          <w:color w:val="13576B"/>
          <w:sz w:val="22"/>
          <w:szCs w:val="22"/>
        </w:rPr>
        <w:t>14</w:t>
      </w:r>
      <w:r w:rsidRPr="006B4CAC">
        <w:rPr>
          <w:rFonts w:ascii="Calibri" w:hAnsi="Calibri" w:cs="Calibri"/>
          <w:b/>
          <w:bCs/>
          <w:color w:val="13576B"/>
          <w:sz w:val="22"/>
          <w:szCs w:val="22"/>
        </w:rPr>
        <w:t>.</w:t>
      </w:r>
      <w:r>
        <w:rPr>
          <w:rFonts w:ascii="Calibri" w:hAnsi="Calibri" w:cs="Calibri"/>
          <w:b/>
          <w:bCs/>
          <w:color w:val="13576B"/>
          <w:sz w:val="22"/>
          <w:szCs w:val="22"/>
        </w:rPr>
        <w:t xml:space="preserve"> října</w:t>
      </w:r>
      <w:r w:rsidRPr="006B4CAC">
        <w:rPr>
          <w:rFonts w:ascii="Calibri" w:hAnsi="Calibri" w:cs="Calibri"/>
          <w:b/>
          <w:bCs/>
          <w:color w:val="13576B"/>
          <w:sz w:val="22"/>
          <w:szCs w:val="22"/>
        </w:rPr>
        <w:t xml:space="preserve"> </w:t>
      </w:r>
      <w:proofErr w:type="gramStart"/>
      <w:r w:rsidRPr="006B4CAC">
        <w:rPr>
          <w:rFonts w:ascii="Calibri" w:hAnsi="Calibri" w:cs="Calibri"/>
          <w:b/>
          <w:bCs/>
          <w:color w:val="13576B"/>
          <w:sz w:val="22"/>
          <w:szCs w:val="22"/>
        </w:rPr>
        <w:t>202</w:t>
      </w:r>
      <w:r>
        <w:rPr>
          <w:rFonts w:ascii="Calibri" w:hAnsi="Calibri" w:cs="Calibri"/>
          <w:b/>
          <w:bCs/>
          <w:color w:val="13576B"/>
          <w:sz w:val="22"/>
          <w:szCs w:val="22"/>
        </w:rPr>
        <w:t>6</w:t>
      </w:r>
      <w:r w:rsidRPr="006B4CAC">
        <w:rPr>
          <w:rFonts w:ascii="Calibri" w:hAnsi="Calibri" w:cs="Calibri"/>
          <w:b/>
          <w:bCs/>
          <w:color w:val="13576B"/>
          <w:sz w:val="22"/>
          <w:szCs w:val="22"/>
        </w:rPr>
        <w:t xml:space="preserve"> –</w:t>
      </w:r>
      <w:r>
        <w:rPr>
          <w:rFonts w:ascii="Calibri" w:hAnsi="Calibri" w:cs="Calibri"/>
          <w:b/>
          <w:bCs/>
          <w:color w:val="13576B"/>
          <w:sz w:val="22"/>
          <w:szCs w:val="22"/>
        </w:rPr>
        <w:t xml:space="preserve"> </w:t>
      </w:r>
      <w:r w:rsidRPr="005849B1">
        <w:rPr>
          <w:rFonts w:ascii="Calibri" w:hAnsi="Calibri" w:cs="Calibri"/>
          <w:b/>
          <w:bCs/>
          <w:color w:val="13576B"/>
          <w:sz w:val="22"/>
          <w:szCs w:val="22"/>
        </w:rPr>
        <w:t>V</w:t>
      </w:r>
      <w:proofErr w:type="gramEnd"/>
      <w:r w:rsidRPr="005849B1">
        <w:rPr>
          <w:rFonts w:ascii="Calibri" w:hAnsi="Calibri" w:cs="Calibri"/>
          <w:b/>
          <w:bCs/>
          <w:color w:val="13576B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13576B"/>
          <w:sz w:val="22"/>
          <w:szCs w:val="22"/>
        </w:rPr>
        <w:t>září</w:t>
      </w:r>
      <w:r w:rsidRPr="005849B1">
        <w:rPr>
          <w:rFonts w:ascii="Calibri" w:hAnsi="Calibri" w:cs="Calibri"/>
          <w:b/>
          <w:bCs/>
          <w:color w:val="13576B"/>
          <w:sz w:val="22"/>
          <w:szCs w:val="22"/>
        </w:rPr>
        <w:t xml:space="preserve"> </w:t>
      </w:r>
      <w:r w:rsidRPr="003D107E">
        <w:rPr>
          <w:rFonts w:ascii="Calibri" w:hAnsi="Calibri" w:cs="Calibri"/>
          <w:b/>
          <w:color w:val="13576B"/>
          <w:sz w:val="22"/>
          <w:szCs w:val="22"/>
        </w:rPr>
        <w:t xml:space="preserve">poskytly banky a stavební spořitelny skutečně nové hypotéky bez refinancování za </w:t>
      </w:r>
      <w:r w:rsidR="003D107E">
        <w:rPr>
          <w:rFonts w:ascii="Calibri" w:hAnsi="Calibri" w:cs="Calibri"/>
          <w:b/>
          <w:bCs/>
          <w:color w:val="13576B"/>
          <w:sz w:val="22"/>
          <w:szCs w:val="22"/>
        </w:rPr>
        <w:t xml:space="preserve">28 miliard Kč. Oproti srpnu jejich objem vzrostl o 5 %, přestože v září </w:t>
      </w:r>
      <w:r w:rsidR="000D7F45">
        <w:rPr>
          <w:rFonts w:ascii="Calibri" w:hAnsi="Calibri" w:cs="Calibri"/>
          <w:b/>
          <w:bCs/>
          <w:color w:val="13576B"/>
          <w:sz w:val="22"/>
          <w:szCs w:val="22"/>
        </w:rPr>
        <w:t xml:space="preserve">v posledních letech </w:t>
      </w:r>
      <w:r w:rsidR="003D107E">
        <w:rPr>
          <w:rFonts w:ascii="Calibri" w:hAnsi="Calibri" w:cs="Calibri"/>
          <w:b/>
          <w:bCs/>
          <w:color w:val="13576B"/>
          <w:sz w:val="22"/>
          <w:szCs w:val="22"/>
        </w:rPr>
        <w:t>obvykle meziměsíčně kles</w:t>
      </w:r>
      <w:r w:rsidR="000D7F45">
        <w:rPr>
          <w:rFonts w:ascii="Calibri" w:hAnsi="Calibri" w:cs="Calibri"/>
          <w:b/>
          <w:bCs/>
          <w:color w:val="13576B"/>
          <w:sz w:val="22"/>
          <w:szCs w:val="22"/>
        </w:rPr>
        <w:t>al</w:t>
      </w:r>
      <w:r w:rsidR="003D107E">
        <w:rPr>
          <w:rFonts w:ascii="Calibri" w:hAnsi="Calibri" w:cs="Calibri"/>
          <w:b/>
          <w:bCs/>
          <w:color w:val="13576B"/>
          <w:sz w:val="22"/>
          <w:szCs w:val="22"/>
        </w:rPr>
        <w:t xml:space="preserve">. Sezónně očištěný objem se </w:t>
      </w:r>
      <w:r w:rsidR="000D7F45">
        <w:rPr>
          <w:rFonts w:ascii="Calibri" w:hAnsi="Calibri" w:cs="Calibri"/>
          <w:b/>
          <w:bCs/>
          <w:color w:val="13576B"/>
          <w:sz w:val="22"/>
          <w:szCs w:val="22"/>
        </w:rPr>
        <w:t xml:space="preserve">tak </w:t>
      </w:r>
      <w:r w:rsidR="003D107E">
        <w:rPr>
          <w:rFonts w:ascii="Calibri" w:hAnsi="Calibri" w:cs="Calibri"/>
          <w:b/>
          <w:bCs/>
          <w:color w:val="13576B"/>
          <w:sz w:val="22"/>
          <w:szCs w:val="22"/>
        </w:rPr>
        <w:t xml:space="preserve">zvýšil o 11 % na </w:t>
      </w:r>
      <w:r w:rsidR="000D7F45">
        <w:rPr>
          <w:rFonts w:ascii="Calibri" w:hAnsi="Calibri" w:cs="Calibri"/>
          <w:b/>
          <w:bCs/>
          <w:color w:val="13576B"/>
          <w:sz w:val="22"/>
          <w:szCs w:val="22"/>
        </w:rPr>
        <w:t xml:space="preserve">téměř 30 miliard </w:t>
      </w:r>
      <w:r w:rsidRPr="003D107E">
        <w:rPr>
          <w:rFonts w:ascii="Calibri" w:hAnsi="Calibri" w:cs="Calibri"/>
          <w:b/>
          <w:color w:val="13576B"/>
          <w:sz w:val="22"/>
          <w:szCs w:val="22"/>
        </w:rPr>
        <w:t>Kč</w:t>
      </w:r>
      <w:r w:rsidR="003D107E">
        <w:rPr>
          <w:rFonts w:ascii="Calibri" w:hAnsi="Calibri" w:cs="Calibri"/>
          <w:b/>
          <w:bCs/>
          <w:color w:val="13576B"/>
          <w:sz w:val="22"/>
          <w:szCs w:val="22"/>
        </w:rPr>
        <w:t xml:space="preserve"> a </w:t>
      </w:r>
      <w:r w:rsidR="000D7F45">
        <w:rPr>
          <w:rFonts w:ascii="Calibri" w:hAnsi="Calibri" w:cs="Calibri"/>
          <w:b/>
          <w:bCs/>
          <w:color w:val="13576B"/>
          <w:sz w:val="22"/>
          <w:szCs w:val="22"/>
        </w:rPr>
        <w:t>dostal</w:t>
      </w:r>
      <w:r w:rsidR="003D107E">
        <w:rPr>
          <w:rFonts w:ascii="Calibri" w:hAnsi="Calibri" w:cs="Calibri"/>
          <w:b/>
          <w:bCs/>
          <w:color w:val="13576B"/>
          <w:sz w:val="22"/>
          <w:szCs w:val="22"/>
        </w:rPr>
        <w:t xml:space="preserve"> se nad průměr předchozích tří měsíců. Od začátku roku dosáhl objem nových hypoték 301,4 miliardy Kč, tedy přibližně o 66 miliard více než před rokem. </w:t>
      </w:r>
      <w:r w:rsidRPr="003D107E">
        <w:rPr>
          <w:rFonts w:ascii="Calibri" w:hAnsi="Calibri" w:cs="Calibri"/>
          <w:b/>
          <w:color w:val="13576B"/>
          <w:sz w:val="22"/>
          <w:szCs w:val="22"/>
        </w:rPr>
        <w:t xml:space="preserve">Průměrná realizovaná sazba u nových hypoték vzrostla </w:t>
      </w:r>
      <w:r w:rsidR="00D10497">
        <w:rPr>
          <w:rFonts w:ascii="Calibri" w:hAnsi="Calibri" w:cs="Calibri"/>
          <w:b/>
          <w:color w:val="13576B"/>
          <w:sz w:val="22"/>
          <w:szCs w:val="22"/>
        </w:rPr>
        <w:t xml:space="preserve">pouze mírně </w:t>
      </w:r>
      <w:r w:rsidRPr="003D107E">
        <w:rPr>
          <w:rFonts w:ascii="Calibri" w:hAnsi="Calibri" w:cs="Calibri"/>
          <w:b/>
          <w:color w:val="13576B"/>
          <w:sz w:val="22"/>
          <w:szCs w:val="22"/>
        </w:rPr>
        <w:t>na 5</w:t>
      </w:r>
      <w:r w:rsidR="003D107E">
        <w:rPr>
          <w:rFonts w:ascii="Calibri" w:hAnsi="Calibri" w:cs="Calibri"/>
          <w:b/>
          <w:bCs/>
          <w:color w:val="13576B"/>
          <w:sz w:val="22"/>
          <w:szCs w:val="22"/>
        </w:rPr>
        <w:t>,1 % ze srpnových 5,0 %</w:t>
      </w:r>
      <w:r w:rsidR="00D10497">
        <w:rPr>
          <w:rFonts w:ascii="Calibri" w:hAnsi="Calibri" w:cs="Calibri"/>
          <w:b/>
          <w:bCs/>
          <w:color w:val="13576B"/>
          <w:sz w:val="22"/>
          <w:szCs w:val="22"/>
        </w:rPr>
        <w:t xml:space="preserve"> díky dalšímu zúžení rozdílu vůči tržním úrokovým sazbám</w:t>
      </w:r>
      <w:r w:rsidR="003D107E">
        <w:rPr>
          <w:rFonts w:ascii="Calibri" w:hAnsi="Calibri" w:cs="Calibri"/>
          <w:b/>
          <w:bCs/>
          <w:color w:val="13576B"/>
          <w:sz w:val="22"/>
          <w:szCs w:val="22"/>
        </w:rPr>
        <w:t>.</w:t>
      </w:r>
      <w:r w:rsidRPr="003D107E">
        <w:rPr>
          <w:rFonts w:ascii="Calibri" w:hAnsi="Calibri" w:cs="Calibri"/>
          <w:b/>
          <w:color w:val="13576B"/>
          <w:sz w:val="22"/>
          <w:szCs w:val="22"/>
        </w:rPr>
        <w:t xml:space="preserve"> Uvedené informace plynou z údajů ČBA Hypomonitoru, který zachycuje data všech tuzemských bank a stavebních spořitelen poskytujících hypoteční úvěry.</w:t>
      </w:r>
    </w:p>
    <w:p w14:paraId="5D53BBBF" w14:textId="22B591FC" w:rsidR="00F41315" w:rsidRPr="00E656BA" w:rsidRDefault="00FC1A5E" w:rsidP="00FC27DC">
      <w:pPr>
        <w:tabs>
          <w:tab w:val="left" w:pos="8080"/>
        </w:tabs>
        <w:overflowPunct/>
        <w:autoSpaceDE/>
        <w:autoSpaceDN/>
        <w:adjustRightInd/>
        <w:spacing w:before="120" w:after="120"/>
        <w:textAlignment w:val="auto"/>
        <w:rPr>
          <w:rFonts w:ascii="Calibri" w:hAnsi="Calibri" w:cs="Calibri"/>
          <w:b/>
          <w:bCs/>
          <w:color w:val="EE0000"/>
          <w:sz w:val="22"/>
          <w:szCs w:val="22"/>
        </w:rPr>
      </w:pPr>
      <w:r>
        <w:rPr>
          <w:rFonts w:ascii="Calibri" w:hAnsi="Calibri" w:cs="Calibri"/>
          <w:b/>
          <w:bCs/>
          <w:color w:val="13576B"/>
          <w:sz w:val="22"/>
          <w:szCs w:val="22"/>
        </w:rPr>
        <w:t xml:space="preserve">Zářijová data ukazují </w:t>
      </w:r>
      <w:r w:rsidR="000D7F45">
        <w:rPr>
          <w:rFonts w:ascii="Calibri" w:hAnsi="Calibri" w:cs="Calibri"/>
          <w:b/>
          <w:bCs/>
          <w:color w:val="13576B"/>
          <w:sz w:val="22"/>
          <w:szCs w:val="22"/>
        </w:rPr>
        <w:t>stabilizac</w:t>
      </w:r>
      <w:r w:rsidR="00D10497">
        <w:rPr>
          <w:rFonts w:ascii="Calibri" w:hAnsi="Calibri" w:cs="Calibri"/>
          <w:b/>
          <w:bCs/>
          <w:color w:val="13576B"/>
          <w:sz w:val="22"/>
          <w:szCs w:val="22"/>
        </w:rPr>
        <w:t>i</w:t>
      </w:r>
      <w:r w:rsidR="000D7F45">
        <w:rPr>
          <w:rFonts w:ascii="Calibri" w:hAnsi="Calibri" w:cs="Calibri"/>
          <w:b/>
          <w:bCs/>
          <w:color w:val="13576B"/>
          <w:sz w:val="22"/>
          <w:szCs w:val="22"/>
        </w:rPr>
        <w:t xml:space="preserve"> u </w:t>
      </w:r>
      <w:r>
        <w:rPr>
          <w:rFonts w:ascii="Calibri" w:hAnsi="Calibri" w:cs="Calibri"/>
          <w:b/>
          <w:bCs/>
          <w:color w:val="13576B"/>
          <w:sz w:val="22"/>
          <w:szCs w:val="22"/>
        </w:rPr>
        <w:t>silnější</w:t>
      </w:r>
      <w:r w:rsidR="00EE7159">
        <w:rPr>
          <w:rFonts w:ascii="Calibri" w:hAnsi="Calibri" w:cs="Calibri"/>
          <w:b/>
          <w:bCs/>
          <w:color w:val="13576B"/>
          <w:sz w:val="22"/>
          <w:szCs w:val="22"/>
        </w:rPr>
        <w:t>ho</w:t>
      </w:r>
      <w:r>
        <w:rPr>
          <w:rFonts w:ascii="Calibri" w:hAnsi="Calibri" w:cs="Calibri"/>
          <w:b/>
          <w:bCs/>
          <w:color w:val="13576B"/>
          <w:sz w:val="22"/>
          <w:szCs w:val="22"/>
        </w:rPr>
        <w:t xml:space="preserve"> normálu</w:t>
      </w:r>
      <w:r w:rsidR="000D7F45">
        <w:rPr>
          <w:rFonts w:ascii="Calibri" w:hAnsi="Calibri" w:cs="Calibri"/>
          <w:b/>
          <w:bCs/>
          <w:color w:val="13576B"/>
          <w:sz w:val="22"/>
          <w:szCs w:val="22"/>
        </w:rPr>
        <w:t xml:space="preserve"> po srpnovém zchlazení hypotečního trhu</w:t>
      </w:r>
      <w:r w:rsidR="005E37F3">
        <w:rPr>
          <w:rFonts w:ascii="Calibri" w:hAnsi="Calibri" w:cs="Calibri"/>
          <w:b/>
          <w:bCs/>
          <w:color w:val="13576B"/>
          <w:sz w:val="22"/>
          <w:szCs w:val="22"/>
        </w:rPr>
        <w:t xml:space="preserve"> po jarním předzásobení</w:t>
      </w:r>
      <w:r>
        <w:rPr>
          <w:rFonts w:ascii="Calibri" w:hAnsi="Calibri" w:cs="Calibri"/>
          <w:b/>
          <w:bCs/>
          <w:color w:val="13576B"/>
          <w:sz w:val="22"/>
          <w:szCs w:val="22"/>
        </w:rPr>
        <w:t>.</w:t>
      </w:r>
      <w:r w:rsidR="005E37F3">
        <w:rPr>
          <w:rFonts w:ascii="Calibri" w:hAnsi="Calibri" w:cs="Calibri"/>
          <w:b/>
          <w:bCs/>
          <w:color w:val="13576B"/>
          <w:sz w:val="22"/>
          <w:szCs w:val="22"/>
        </w:rPr>
        <w:t xml:space="preserve"> </w:t>
      </w:r>
      <w:r w:rsidR="005E37F3" w:rsidRPr="00D85F85">
        <w:rPr>
          <w:rFonts w:ascii="Calibri" w:hAnsi="Calibri" w:cs="Calibri"/>
          <w:b/>
          <w:bCs/>
          <w:color w:val="13576B"/>
          <w:sz w:val="22"/>
          <w:szCs w:val="22"/>
        </w:rPr>
        <w:t xml:space="preserve">Část klientů si hypotéku sjednávala dříve ve snaze </w:t>
      </w:r>
      <w:r w:rsidR="005E37F3" w:rsidRPr="004332EC">
        <w:rPr>
          <w:rFonts w:ascii="Calibri" w:hAnsi="Calibri" w:cs="Calibri"/>
          <w:b/>
          <w:bCs/>
          <w:color w:val="13576B"/>
          <w:sz w:val="22"/>
          <w:szCs w:val="22"/>
        </w:rPr>
        <w:t xml:space="preserve">vyhnout se dopadům vyšších tržních sazeb i dubnovému zpřísnění pravidel ČNB pro tzv. investiční hypotéky. </w:t>
      </w:r>
      <w:r w:rsidR="005E37F3">
        <w:rPr>
          <w:rFonts w:ascii="Calibri" w:hAnsi="Calibri" w:cs="Calibri"/>
          <w:b/>
          <w:bCs/>
          <w:color w:val="13576B"/>
          <w:sz w:val="22"/>
          <w:szCs w:val="22"/>
        </w:rPr>
        <w:t>Zářijový p</w:t>
      </w:r>
      <w:r w:rsidR="000D7F45">
        <w:rPr>
          <w:rFonts w:ascii="Calibri" w:hAnsi="Calibri" w:cs="Calibri"/>
          <w:b/>
          <w:bCs/>
          <w:color w:val="13576B"/>
          <w:sz w:val="22"/>
          <w:szCs w:val="22"/>
        </w:rPr>
        <w:t xml:space="preserve">růměrný počet nových hypoték </w:t>
      </w:r>
      <w:r w:rsidR="001871A7">
        <w:rPr>
          <w:rFonts w:ascii="Calibri" w:hAnsi="Calibri" w:cs="Calibri"/>
          <w:b/>
          <w:bCs/>
          <w:color w:val="13576B"/>
          <w:sz w:val="22"/>
          <w:szCs w:val="22"/>
        </w:rPr>
        <w:t xml:space="preserve">se </w:t>
      </w:r>
      <w:r w:rsidR="000D7F45">
        <w:rPr>
          <w:rFonts w:ascii="Calibri" w:hAnsi="Calibri" w:cs="Calibri"/>
          <w:b/>
          <w:bCs/>
          <w:color w:val="13576B"/>
          <w:sz w:val="22"/>
          <w:szCs w:val="22"/>
        </w:rPr>
        <w:t xml:space="preserve">po </w:t>
      </w:r>
      <w:r w:rsidR="001871A7">
        <w:rPr>
          <w:rFonts w:ascii="Calibri" w:hAnsi="Calibri" w:cs="Calibri"/>
          <w:b/>
          <w:bCs/>
          <w:color w:val="13576B"/>
          <w:sz w:val="22"/>
          <w:szCs w:val="22"/>
        </w:rPr>
        <w:t>sezónním</w:t>
      </w:r>
      <w:r w:rsidR="000D7F45">
        <w:rPr>
          <w:rFonts w:ascii="Calibri" w:hAnsi="Calibri" w:cs="Calibri"/>
          <w:b/>
          <w:bCs/>
          <w:color w:val="13576B"/>
          <w:sz w:val="22"/>
          <w:szCs w:val="22"/>
        </w:rPr>
        <w:t xml:space="preserve"> očištění </w:t>
      </w:r>
      <w:r w:rsidR="001871A7">
        <w:rPr>
          <w:rFonts w:ascii="Calibri" w:hAnsi="Calibri" w:cs="Calibri"/>
          <w:b/>
          <w:bCs/>
          <w:color w:val="13576B"/>
          <w:sz w:val="22"/>
          <w:szCs w:val="22"/>
        </w:rPr>
        <w:t>přiblížil dlouhodobému</w:t>
      </w:r>
      <w:r w:rsidR="00D10497">
        <w:rPr>
          <w:rFonts w:ascii="Calibri" w:hAnsi="Calibri" w:cs="Calibri"/>
          <w:b/>
          <w:bCs/>
          <w:color w:val="13576B"/>
          <w:sz w:val="22"/>
          <w:szCs w:val="22"/>
        </w:rPr>
        <w:t xml:space="preserve"> průměru</w:t>
      </w:r>
      <w:r w:rsidR="000D7F45">
        <w:rPr>
          <w:rFonts w:ascii="Calibri" w:hAnsi="Calibri" w:cs="Calibri"/>
          <w:b/>
          <w:bCs/>
          <w:color w:val="13576B"/>
          <w:sz w:val="22"/>
          <w:szCs w:val="22"/>
        </w:rPr>
        <w:t xml:space="preserve"> </w:t>
      </w:r>
      <w:r w:rsidR="001871A7">
        <w:rPr>
          <w:rFonts w:ascii="Calibri" w:hAnsi="Calibri" w:cs="Calibri"/>
          <w:b/>
          <w:bCs/>
          <w:color w:val="13576B"/>
          <w:sz w:val="22"/>
          <w:szCs w:val="22"/>
        </w:rPr>
        <w:t>nad 6 400 kusů</w:t>
      </w:r>
      <w:r w:rsidR="00D10497">
        <w:rPr>
          <w:rFonts w:ascii="Calibri" w:hAnsi="Calibri" w:cs="Calibri"/>
          <w:b/>
          <w:bCs/>
          <w:color w:val="13576B"/>
          <w:sz w:val="22"/>
          <w:szCs w:val="22"/>
        </w:rPr>
        <w:t xml:space="preserve"> měsíčně</w:t>
      </w:r>
      <w:r>
        <w:rPr>
          <w:rFonts w:ascii="Calibri" w:hAnsi="Calibri" w:cs="Calibri"/>
          <w:b/>
          <w:bCs/>
          <w:color w:val="13576B"/>
          <w:sz w:val="22"/>
          <w:szCs w:val="22"/>
        </w:rPr>
        <w:t>. Průměrná výše nové hypotéky se zvýšila</w:t>
      </w:r>
      <w:r w:rsidR="001871A7">
        <w:rPr>
          <w:rFonts w:ascii="Calibri" w:hAnsi="Calibri" w:cs="Calibri"/>
          <w:b/>
          <w:bCs/>
          <w:color w:val="13576B"/>
          <w:sz w:val="22"/>
          <w:szCs w:val="22"/>
        </w:rPr>
        <w:t xml:space="preserve"> o necelých 80 tisíc</w:t>
      </w:r>
      <w:r>
        <w:rPr>
          <w:rFonts w:ascii="Calibri" w:hAnsi="Calibri" w:cs="Calibri"/>
          <w:b/>
          <w:bCs/>
          <w:color w:val="13576B"/>
          <w:sz w:val="22"/>
          <w:szCs w:val="22"/>
        </w:rPr>
        <w:t xml:space="preserve"> na 4,67 milionu Kč</w:t>
      </w:r>
      <w:r w:rsidR="001871A7">
        <w:rPr>
          <w:rFonts w:ascii="Calibri" w:hAnsi="Calibri" w:cs="Calibri"/>
          <w:b/>
          <w:bCs/>
          <w:color w:val="13576B"/>
          <w:sz w:val="22"/>
          <w:szCs w:val="22"/>
        </w:rPr>
        <w:t>, což</w:t>
      </w:r>
      <w:r>
        <w:rPr>
          <w:rFonts w:ascii="Calibri" w:hAnsi="Calibri" w:cs="Calibri"/>
          <w:b/>
          <w:bCs/>
          <w:color w:val="13576B"/>
          <w:sz w:val="22"/>
          <w:szCs w:val="22"/>
        </w:rPr>
        <w:t xml:space="preserve"> při sazbě 5,1 % </w:t>
      </w:r>
      <w:r w:rsidR="001871A7">
        <w:rPr>
          <w:rFonts w:ascii="Calibri" w:hAnsi="Calibri" w:cs="Calibri"/>
          <w:b/>
          <w:bCs/>
          <w:color w:val="13576B"/>
          <w:sz w:val="22"/>
          <w:szCs w:val="22"/>
        </w:rPr>
        <w:t>zvyšuje ilustrativní</w:t>
      </w:r>
      <w:r>
        <w:rPr>
          <w:rFonts w:ascii="Calibri" w:hAnsi="Calibri" w:cs="Calibri"/>
          <w:b/>
          <w:bCs/>
          <w:color w:val="13576B"/>
          <w:sz w:val="22"/>
          <w:szCs w:val="22"/>
        </w:rPr>
        <w:t xml:space="preserve"> průměrn</w:t>
      </w:r>
      <w:r w:rsidR="001871A7">
        <w:rPr>
          <w:rFonts w:ascii="Calibri" w:hAnsi="Calibri" w:cs="Calibri"/>
          <w:b/>
          <w:bCs/>
          <w:color w:val="13576B"/>
          <w:sz w:val="22"/>
          <w:szCs w:val="22"/>
        </w:rPr>
        <w:t>ou</w:t>
      </w:r>
      <w:r>
        <w:rPr>
          <w:rFonts w:ascii="Calibri" w:hAnsi="Calibri" w:cs="Calibri"/>
          <w:b/>
          <w:bCs/>
          <w:color w:val="13576B"/>
          <w:sz w:val="22"/>
          <w:szCs w:val="22"/>
        </w:rPr>
        <w:t xml:space="preserve"> měsíční splátk</w:t>
      </w:r>
      <w:r w:rsidR="001871A7">
        <w:rPr>
          <w:rFonts w:ascii="Calibri" w:hAnsi="Calibri" w:cs="Calibri"/>
          <w:b/>
          <w:bCs/>
          <w:color w:val="13576B"/>
          <w:sz w:val="22"/>
          <w:szCs w:val="22"/>
        </w:rPr>
        <w:t>u z nové hypotéky na z</w:t>
      </w:r>
      <w:r>
        <w:rPr>
          <w:rFonts w:ascii="Calibri" w:hAnsi="Calibri" w:cs="Calibri"/>
          <w:b/>
          <w:bCs/>
          <w:color w:val="13576B"/>
          <w:sz w:val="22"/>
          <w:szCs w:val="22"/>
        </w:rPr>
        <w:t>hruba 26,5 tisíce Kč</w:t>
      </w:r>
      <w:r w:rsidR="001871A7">
        <w:rPr>
          <w:rFonts w:ascii="Calibri" w:hAnsi="Calibri" w:cs="Calibri"/>
          <w:b/>
          <w:bCs/>
          <w:color w:val="13576B"/>
          <w:sz w:val="22"/>
          <w:szCs w:val="22"/>
        </w:rPr>
        <w:t xml:space="preserve">, ale u poloviny nových hypoték dosahuje </w:t>
      </w:r>
      <w:r w:rsidR="00D10497">
        <w:rPr>
          <w:rFonts w:ascii="Calibri" w:hAnsi="Calibri" w:cs="Calibri"/>
          <w:b/>
          <w:bCs/>
          <w:color w:val="13576B"/>
          <w:sz w:val="22"/>
          <w:szCs w:val="22"/>
        </w:rPr>
        <w:t>21,3 tisíce korun</w:t>
      </w:r>
      <w:r>
        <w:rPr>
          <w:rFonts w:ascii="Calibri" w:hAnsi="Calibri" w:cs="Calibri"/>
          <w:b/>
          <w:bCs/>
          <w:color w:val="13576B"/>
          <w:sz w:val="22"/>
          <w:szCs w:val="22"/>
        </w:rPr>
        <w:t xml:space="preserve">. </w:t>
      </w:r>
    </w:p>
    <w:p w14:paraId="50998A1E" w14:textId="3761182E" w:rsidR="00D10497" w:rsidRPr="00C016C1" w:rsidRDefault="00D10497" w:rsidP="00D10497">
      <w:pPr>
        <w:tabs>
          <w:tab w:val="left" w:pos="8080"/>
        </w:tabs>
        <w:overflowPunct/>
        <w:autoSpaceDE/>
        <w:autoSpaceDN/>
        <w:adjustRightInd/>
        <w:spacing w:before="120" w:after="120"/>
        <w:textAlignment w:val="auto"/>
        <w:rPr>
          <w:rFonts w:ascii="Calibri" w:hAnsi="Calibri" w:cs="Calibri"/>
          <w:b/>
          <w:bCs/>
          <w:color w:val="13576B"/>
          <w:sz w:val="22"/>
          <w:szCs w:val="22"/>
        </w:rPr>
      </w:pPr>
      <w:r>
        <w:rPr>
          <w:rFonts w:ascii="Calibri" w:hAnsi="Calibri" w:cs="Calibri"/>
          <w:b/>
          <w:bCs/>
          <w:color w:val="13576B"/>
          <w:sz w:val="22"/>
          <w:szCs w:val="22"/>
        </w:rPr>
        <w:t xml:space="preserve">Hypoteční </w:t>
      </w:r>
      <w:r w:rsidRPr="004332EC">
        <w:rPr>
          <w:rFonts w:ascii="Calibri" w:hAnsi="Calibri" w:cs="Calibri"/>
          <w:b/>
          <w:bCs/>
          <w:color w:val="13576B"/>
          <w:sz w:val="22"/>
          <w:szCs w:val="22"/>
        </w:rPr>
        <w:t>čísla by měla podpořit spíše vyčkávací přístup centrální banky</w:t>
      </w:r>
      <w:r>
        <w:rPr>
          <w:rFonts w:ascii="Calibri" w:hAnsi="Calibri" w:cs="Calibri"/>
          <w:b/>
          <w:bCs/>
          <w:color w:val="13576B"/>
          <w:sz w:val="22"/>
          <w:szCs w:val="22"/>
        </w:rPr>
        <w:t xml:space="preserve"> i při dalším nastavení </w:t>
      </w:r>
      <w:proofErr w:type="spellStart"/>
      <w:r w:rsidRPr="004332EC">
        <w:rPr>
          <w:rFonts w:ascii="Calibri" w:hAnsi="Calibri" w:cs="Calibri"/>
          <w:b/>
          <w:bCs/>
          <w:color w:val="13576B"/>
          <w:sz w:val="22"/>
          <w:szCs w:val="22"/>
        </w:rPr>
        <w:t>makroobezřetnostní</w:t>
      </w:r>
      <w:proofErr w:type="spellEnd"/>
      <w:r w:rsidRPr="004332EC">
        <w:rPr>
          <w:rFonts w:ascii="Calibri" w:hAnsi="Calibri" w:cs="Calibri"/>
          <w:b/>
          <w:bCs/>
          <w:color w:val="13576B"/>
          <w:sz w:val="22"/>
          <w:szCs w:val="22"/>
        </w:rPr>
        <w:t xml:space="preserve"> politiky v oblasti hypoték </w:t>
      </w:r>
      <w:r>
        <w:rPr>
          <w:rFonts w:ascii="Calibri" w:hAnsi="Calibri" w:cs="Calibri"/>
          <w:b/>
          <w:bCs/>
          <w:color w:val="13576B"/>
          <w:sz w:val="22"/>
          <w:szCs w:val="22"/>
        </w:rPr>
        <w:t>26</w:t>
      </w:r>
      <w:r w:rsidRPr="004332EC">
        <w:rPr>
          <w:rFonts w:ascii="Calibri" w:hAnsi="Calibri" w:cs="Calibri"/>
          <w:b/>
          <w:bCs/>
          <w:color w:val="13576B"/>
          <w:sz w:val="22"/>
          <w:szCs w:val="22"/>
        </w:rPr>
        <w:t xml:space="preserve">. </w:t>
      </w:r>
      <w:r>
        <w:rPr>
          <w:rFonts w:ascii="Calibri" w:hAnsi="Calibri" w:cs="Calibri"/>
          <w:b/>
          <w:bCs/>
          <w:color w:val="13576B"/>
          <w:sz w:val="22"/>
          <w:szCs w:val="22"/>
        </w:rPr>
        <w:t>listopadu</w:t>
      </w:r>
      <w:r w:rsidRPr="004332EC">
        <w:rPr>
          <w:rFonts w:ascii="Calibri" w:hAnsi="Calibri" w:cs="Calibri"/>
          <w:b/>
          <w:bCs/>
          <w:color w:val="13576B"/>
          <w:sz w:val="22"/>
          <w:szCs w:val="22"/>
        </w:rPr>
        <w:t>.</w:t>
      </w:r>
      <w:r w:rsidRPr="00C016C1">
        <w:rPr>
          <w:rFonts w:ascii="Calibri" w:hAnsi="Calibri" w:cs="Calibri"/>
          <w:b/>
          <w:bCs/>
          <w:color w:val="13576B"/>
          <w:sz w:val="22"/>
          <w:szCs w:val="22"/>
        </w:rPr>
        <w:t xml:space="preserve"> Blíže</w:t>
      </w:r>
      <w:r>
        <w:rPr>
          <w:rFonts w:ascii="Calibri" w:hAnsi="Calibri" w:cs="Calibri"/>
          <w:b/>
          <w:bCs/>
          <w:color w:val="13576B"/>
          <w:sz w:val="22"/>
          <w:szCs w:val="22"/>
        </w:rPr>
        <w:t xml:space="preserve"> k tomuto</w:t>
      </w:r>
      <w:r w:rsidRPr="00C016C1">
        <w:rPr>
          <w:rFonts w:ascii="Calibri" w:hAnsi="Calibri" w:cs="Calibri"/>
          <w:b/>
          <w:bCs/>
          <w:color w:val="13576B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13576B"/>
          <w:sz w:val="22"/>
          <w:szCs w:val="22"/>
        </w:rPr>
        <w:t xml:space="preserve">na </w:t>
      </w:r>
      <w:hyperlink r:id="rId11" w:history="1">
        <w:r>
          <w:rPr>
            <w:rStyle w:val="Hypertextovodkaz"/>
            <w:b/>
            <w:bCs/>
          </w:rPr>
          <w:t>ČBA Monitoru</w:t>
        </w:r>
      </w:hyperlink>
      <w:r>
        <w:t>.</w:t>
      </w:r>
    </w:p>
    <w:p w14:paraId="4A7C2A28" w14:textId="5C9B96BF" w:rsidR="00425883" w:rsidRDefault="00425883" w:rsidP="0009562F">
      <w:pPr>
        <w:overflowPunct/>
        <w:autoSpaceDE/>
        <w:autoSpaceDN/>
        <w:adjustRightInd/>
        <w:spacing w:before="120" w:after="120"/>
        <w:textAlignment w:val="auto"/>
        <w:rPr>
          <w:rFonts w:ascii="Calibri" w:hAnsi="Calibri" w:cs="Calibri"/>
          <w:b/>
          <w:color w:val="13576B"/>
          <w:sz w:val="23"/>
          <w:szCs w:val="23"/>
        </w:rPr>
      </w:pPr>
      <w:r w:rsidRPr="003F159E">
        <w:rPr>
          <w:rFonts w:ascii="Calibri" w:hAnsi="Calibri" w:cs="Calibri"/>
          <w:b/>
          <w:color w:val="13576B"/>
          <w:sz w:val="23"/>
          <w:szCs w:val="23"/>
        </w:rPr>
        <w:t xml:space="preserve">Tabulka č. 1: Shrnutí objemu poskytnutých hypoték a průměrných úrokových sazeb za </w:t>
      </w:r>
      <w:r w:rsidR="00E656BA">
        <w:rPr>
          <w:rFonts w:ascii="Calibri" w:hAnsi="Calibri" w:cs="Calibri"/>
          <w:b/>
          <w:color w:val="13576B"/>
          <w:sz w:val="23"/>
          <w:szCs w:val="23"/>
        </w:rPr>
        <w:t>září</w:t>
      </w:r>
      <w:r>
        <w:rPr>
          <w:rFonts w:ascii="Calibri" w:hAnsi="Calibri" w:cs="Calibri"/>
          <w:b/>
          <w:color w:val="13576B"/>
          <w:sz w:val="23"/>
          <w:szCs w:val="23"/>
        </w:rPr>
        <w:t xml:space="preserve"> 202</w:t>
      </w:r>
      <w:r w:rsidR="00BA3140">
        <w:rPr>
          <w:rFonts w:ascii="Calibri" w:hAnsi="Calibri" w:cs="Calibri"/>
          <w:b/>
          <w:color w:val="13576B"/>
          <w:sz w:val="23"/>
          <w:szCs w:val="23"/>
        </w:rPr>
        <w:t>6</w:t>
      </w:r>
    </w:p>
    <w:tbl>
      <w:tblPr>
        <w:tblW w:w="95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0"/>
        <w:gridCol w:w="1102"/>
        <w:gridCol w:w="960"/>
        <w:gridCol w:w="960"/>
        <w:gridCol w:w="242"/>
        <w:gridCol w:w="993"/>
        <w:gridCol w:w="992"/>
        <w:gridCol w:w="774"/>
      </w:tblGrid>
      <w:tr w:rsidR="003C3451" w:rsidRPr="00A06A94" w14:paraId="23438AFD" w14:textId="77777777" w:rsidTr="006E30DB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3B7281" w14:textId="77777777" w:rsidR="003C3451" w:rsidRPr="00072DB9" w:rsidRDefault="003C3451" w:rsidP="006E30DB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22" w:type="dxa"/>
            <w:gridSpan w:val="3"/>
            <w:tcBorders>
              <w:top w:val="nil"/>
              <w:left w:val="nil"/>
            </w:tcBorders>
            <w:shd w:val="clear" w:color="000000" w:fill="FFFFFF"/>
            <w:vAlign w:val="bottom"/>
          </w:tcPr>
          <w:p w14:paraId="07A4A00D" w14:textId="77777777" w:rsidR="003C3451" w:rsidRPr="00072DB9" w:rsidRDefault="003C3451" w:rsidP="006E30D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b/>
                <w:bCs/>
                <w:color w:val="13576B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13576B"/>
                <w:sz w:val="22"/>
                <w:szCs w:val="22"/>
              </w:rPr>
              <w:t>měsíční hodnoty</w:t>
            </w:r>
          </w:p>
        </w:tc>
        <w:tc>
          <w:tcPr>
            <w:tcW w:w="242" w:type="dxa"/>
            <w:tcBorders>
              <w:top w:val="nil"/>
              <w:right w:val="nil"/>
            </w:tcBorders>
            <w:vAlign w:val="bottom"/>
          </w:tcPr>
          <w:p w14:paraId="519CB663" w14:textId="77777777" w:rsidR="003C3451" w:rsidRPr="00072DB9" w:rsidRDefault="003C3451" w:rsidP="006E30D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b/>
                <w:bCs/>
                <w:color w:val="13576B"/>
                <w:sz w:val="22"/>
                <w:szCs w:val="22"/>
              </w:rPr>
            </w:pPr>
          </w:p>
        </w:tc>
        <w:tc>
          <w:tcPr>
            <w:tcW w:w="2759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</w:tcPr>
          <w:p w14:paraId="040DDF7E" w14:textId="77777777" w:rsidR="003C3451" w:rsidRPr="00A06A94" w:rsidRDefault="003C3451" w:rsidP="006E30D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2"/>
                <w:szCs w:val="22"/>
              </w:rPr>
            </w:pPr>
            <w:r w:rsidRPr="00A06A94">
              <w:rPr>
                <w:rFonts w:ascii="Calibri Light" w:hAnsi="Calibri Light" w:cs="Calibri Light"/>
                <w:i/>
                <w:iCs/>
                <w:color w:val="13576B"/>
                <w:sz w:val="22"/>
                <w:szCs w:val="22"/>
              </w:rPr>
              <w:t>hodnoty od začátku roku</w:t>
            </w:r>
          </w:p>
        </w:tc>
      </w:tr>
      <w:tr w:rsidR="003C3451" w:rsidRPr="00A06A94" w14:paraId="384D4BC7" w14:textId="77777777" w:rsidTr="006E30DB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37D7CF" w14:textId="77777777" w:rsidR="003C3451" w:rsidRPr="00072DB9" w:rsidRDefault="003C3451" w:rsidP="006E30DB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72DB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2" w:type="dxa"/>
            <w:vMerge w:val="restart"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F207B" w14:textId="77777777" w:rsidR="003C3451" w:rsidRPr="00072DB9" w:rsidRDefault="003C3451" w:rsidP="006E30D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b/>
                <w:bCs/>
                <w:color w:val="13576B"/>
                <w:sz w:val="22"/>
                <w:szCs w:val="22"/>
              </w:rPr>
            </w:pPr>
            <w:r w:rsidRPr="00072DB9">
              <w:rPr>
                <w:rFonts w:ascii="Calibri Light" w:hAnsi="Calibri Light" w:cs="Calibri Light"/>
                <w:b/>
                <w:bCs/>
                <w:color w:val="13576B"/>
                <w:sz w:val="22"/>
                <w:szCs w:val="22"/>
              </w:rPr>
              <w:t>Objem</w:t>
            </w:r>
            <w:r w:rsidRPr="00072DB9">
              <w:rPr>
                <w:rFonts w:ascii="Calibri Light" w:hAnsi="Calibri Light" w:cs="Calibri Light"/>
                <w:b/>
                <w:bCs/>
                <w:color w:val="13576B"/>
                <w:sz w:val="22"/>
                <w:szCs w:val="22"/>
              </w:rPr>
              <w:br/>
              <w:t>(mld. Kč)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DC0F7" w14:textId="77777777" w:rsidR="003C3451" w:rsidRPr="00072DB9" w:rsidRDefault="003C3451" w:rsidP="006E30D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b/>
                <w:bCs/>
                <w:color w:val="13576B"/>
                <w:sz w:val="22"/>
                <w:szCs w:val="22"/>
              </w:rPr>
            </w:pPr>
            <w:r w:rsidRPr="00072DB9">
              <w:rPr>
                <w:rFonts w:ascii="Calibri Light" w:hAnsi="Calibri Light" w:cs="Calibri Light"/>
                <w:b/>
                <w:bCs/>
                <w:color w:val="13576B"/>
                <w:sz w:val="22"/>
                <w:szCs w:val="22"/>
              </w:rPr>
              <w:t>Počet</w:t>
            </w:r>
          </w:p>
        </w:tc>
        <w:tc>
          <w:tcPr>
            <w:tcW w:w="960" w:type="dxa"/>
            <w:vMerge w:val="restart"/>
            <w:tcBorders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2F9072A3" w14:textId="77777777" w:rsidR="003C3451" w:rsidRPr="00072DB9" w:rsidRDefault="003C3451" w:rsidP="006E30D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b/>
                <w:bCs/>
                <w:color w:val="13576B"/>
                <w:sz w:val="22"/>
                <w:szCs w:val="22"/>
              </w:rPr>
            </w:pPr>
            <w:r w:rsidRPr="00072DB9">
              <w:rPr>
                <w:rFonts w:ascii="Calibri Light" w:hAnsi="Calibri Light" w:cs="Calibri Light"/>
                <w:b/>
                <w:bCs/>
                <w:color w:val="13576B"/>
                <w:sz w:val="22"/>
                <w:szCs w:val="22"/>
              </w:rPr>
              <w:t>Sazba</w:t>
            </w:r>
            <w:r w:rsidRPr="00072DB9">
              <w:rPr>
                <w:rFonts w:ascii="Calibri Light" w:hAnsi="Calibri Light" w:cs="Calibri Light"/>
                <w:b/>
                <w:bCs/>
                <w:color w:val="13576B"/>
                <w:sz w:val="22"/>
                <w:szCs w:val="22"/>
              </w:rPr>
              <w:br/>
              <w:t xml:space="preserve"> (%)</w:t>
            </w:r>
          </w:p>
        </w:tc>
        <w:tc>
          <w:tcPr>
            <w:tcW w:w="242" w:type="dxa"/>
            <w:tcBorders>
              <w:left w:val="nil"/>
              <w:right w:val="nil"/>
            </w:tcBorders>
            <w:vAlign w:val="bottom"/>
          </w:tcPr>
          <w:p w14:paraId="538AA5D0" w14:textId="77777777" w:rsidR="003C3451" w:rsidRPr="00072DB9" w:rsidRDefault="003C3451" w:rsidP="006E30D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b/>
                <w:bCs/>
                <w:color w:val="13576B"/>
                <w:sz w:val="22"/>
                <w:szCs w:val="22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9080B29" w14:textId="77777777" w:rsidR="003C3451" w:rsidRPr="00A06A94" w:rsidRDefault="003C3451" w:rsidP="006E30D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2"/>
                <w:szCs w:val="22"/>
              </w:rPr>
            </w:pPr>
            <w:r w:rsidRPr="00A06A94">
              <w:rPr>
                <w:rFonts w:ascii="Calibri Light" w:hAnsi="Calibri Light" w:cs="Calibri Light"/>
                <w:i/>
                <w:iCs/>
                <w:color w:val="13576B"/>
                <w:sz w:val="22"/>
                <w:szCs w:val="22"/>
              </w:rPr>
              <w:t>Objem</w:t>
            </w:r>
            <w:r w:rsidRPr="00A06A94">
              <w:rPr>
                <w:rFonts w:ascii="Calibri Light" w:hAnsi="Calibri Light" w:cs="Calibri Light"/>
                <w:i/>
                <w:iCs/>
                <w:color w:val="13576B"/>
                <w:sz w:val="22"/>
                <w:szCs w:val="22"/>
              </w:rPr>
              <w:br/>
              <w:t>(mld. Kč)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0DB45" w14:textId="77777777" w:rsidR="003C3451" w:rsidRPr="00A06A94" w:rsidRDefault="003C3451" w:rsidP="006E30DB">
            <w:pPr>
              <w:overflowPunct/>
              <w:autoSpaceDE/>
              <w:autoSpaceDN/>
              <w:adjustRightInd/>
              <w:ind w:left="-73" w:firstLine="73"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2"/>
                <w:szCs w:val="22"/>
              </w:rPr>
            </w:pPr>
            <w:r w:rsidRPr="00A06A94">
              <w:rPr>
                <w:rFonts w:ascii="Calibri Light" w:hAnsi="Calibri Light" w:cs="Calibri Light"/>
                <w:i/>
                <w:iCs/>
                <w:color w:val="13576B"/>
                <w:sz w:val="22"/>
                <w:szCs w:val="22"/>
              </w:rPr>
              <w:t>Počet</w:t>
            </w:r>
          </w:p>
        </w:tc>
        <w:tc>
          <w:tcPr>
            <w:tcW w:w="774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bottom"/>
          </w:tcPr>
          <w:p w14:paraId="7A08A275" w14:textId="77777777" w:rsidR="003C3451" w:rsidRPr="00A06A94" w:rsidRDefault="003C3451" w:rsidP="006E30D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2"/>
                <w:szCs w:val="22"/>
              </w:rPr>
            </w:pPr>
            <w:r w:rsidRPr="00A06A94">
              <w:rPr>
                <w:rFonts w:ascii="Calibri Light" w:hAnsi="Calibri Light" w:cs="Calibri Light"/>
                <w:i/>
                <w:iCs/>
                <w:color w:val="13576B"/>
                <w:sz w:val="22"/>
                <w:szCs w:val="22"/>
              </w:rPr>
              <w:t>Sazba</w:t>
            </w:r>
            <w:r w:rsidRPr="00A06A94">
              <w:rPr>
                <w:rFonts w:ascii="Calibri Light" w:hAnsi="Calibri Light" w:cs="Calibri Light"/>
                <w:i/>
                <w:iCs/>
                <w:color w:val="13576B"/>
                <w:sz w:val="22"/>
                <w:szCs w:val="22"/>
              </w:rPr>
              <w:br/>
              <w:t xml:space="preserve"> (%)</w:t>
            </w:r>
          </w:p>
        </w:tc>
      </w:tr>
      <w:tr w:rsidR="003C3451" w:rsidRPr="00A06A94" w14:paraId="6FF8CBA7" w14:textId="77777777" w:rsidTr="006E30DB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60F314" w14:textId="77777777" w:rsidR="003C3451" w:rsidRPr="00072DB9" w:rsidRDefault="003C3451" w:rsidP="006E30DB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072DB9">
              <w:rPr>
                <w:rFonts w:ascii="Calibri Light" w:hAnsi="Calibri Light" w:cs="Calibri Light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9FB52" w14:textId="77777777" w:rsidR="003C3451" w:rsidRPr="00072DB9" w:rsidRDefault="003C3451" w:rsidP="006E30DB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13576B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B1CFB" w14:textId="77777777" w:rsidR="003C3451" w:rsidRPr="00072DB9" w:rsidRDefault="003C3451" w:rsidP="006E30DB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13576B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6398C1" w14:textId="77777777" w:rsidR="003C3451" w:rsidRPr="00072DB9" w:rsidRDefault="003C3451" w:rsidP="006E30DB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13576B"/>
                <w:sz w:val="22"/>
                <w:szCs w:val="22"/>
              </w:rPr>
            </w:pPr>
          </w:p>
        </w:tc>
        <w:tc>
          <w:tcPr>
            <w:tcW w:w="242" w:type="dxa"/>
            <w:tcBorders>
              <w:top w:val="nil"/>
              <w:left w:val="nil"/>
              <w:right w:val="nil"/>
            </w:tcBorders>
            <w:vAlign w:val="center"/>
          </w:tcPr>
          <w:p w14:paraId="59E82091" w14:textId="77777777" w:rsidR="003C3451" w:rsidRPr="00072DB9" w:rsidRDefault="003C3451" w:rsidP="006E30DB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13576B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9364FA4" w14:textId="77777777" w:rsidR="003C3451" w:rsidRPr="00A06A94" w:rsidRDefault="003C3451" w:rsidP="006E30DB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9A0ECE" w14:textId="77777777" w:rsidR="003C3451" w:rsidRPr="00A06A94" w:rsidRDefault="003C3451" w:rsidP="006E30DB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2"/>
                <w:szCs w:val="22"/>
              </w:rPr>
            </w:pPr>
          </w:p>
        </w:tc>
        <w:tc>
          <w:tcPr>
            <w:tcW w:w="774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7836F8EE" w14:textId="77777777" w:rsidR="003C3451" w:rsidRPr="00A06A94" w:rsidRDefault="003C3451" w:rsidP="006E30DB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2"/>
                <w:szCs w:val="22"/>
              </w:rPr>
            </w:pPr>
          </w:p>
        </w:tc>
      </w:tr>
      <w:tr w:rsidR="00E656BA" w:rsidRPr="00A06A94" w14:paraId="776CBD73" w14:textId="77777777" w:rsidTr="006E30DB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A9B5FD" w14:textId="77777777" w:rsidR="00E656BA" w:rsidRPr="00072DB9" w:rsidRDefault="00E656BA" w:rsidP="00E656B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072DB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Celkem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7692D" w14:textId="1A48FE61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35,4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ABB04" w14:textId="0A87D89A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7 942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F54FDC" w14:textId="7C84F263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5,09</w:t>
            </w:r>
          </w:p>
        </w:tc>
        <w:tc>
          <w:tcPr>
            <w:tcW w:w="242" w:type="dxa"/>
            <w:tcBorders>
              <w:top w:val="nil"/>
              <w:left w:val="nil"/>
              <w:right w:val="nil"/>
            </w:tcBorders>
            <w:vAlign w:val="bottom"/>
          </w:tcPr>
          <w:p w14:paraId="290588BC" w14:textId="0F1CC214" w:rsidR="00E656BA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B57A8" w14:textId="1BA4205C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i/>
                <w:iCs/>
                <w:color w:val="808080"/>
                <w:sz w:val="22"/>
                <w:szCs w:val="22"/>
              </w:rPr>
              <w:t>404,4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EAD2F" w14:textId="25DDE540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i/>
                <w:iCs/>
                <w:color w:val="808080"/>
                <w:sz w:val="22"/>
                <w:szCs w:val="22"/>
              </w:rPr>
              <w:t>90 317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286C628" w14:textId="2A4DCE53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i/>
                <w:iCs/>
                <w:color w:val="808080"/>
                <w:sz w:val="22"/>
                <w:szCs w:val="22"/>
              </w:rPr>
              <w:t>4,66</w:t>
            </w:r>
          </w:p>
        </w:tc>
      </w:tr>
      <w:tr w:rsidR="00E656BA" w:rsidRPr="00A06A94" w14:paraId="1B1E7FB2" w14:textId="77777777" w:rsidTr="006E30DB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DAF3EA" w:fill="C1F7E9"/>
            <w:noWrap/>
            <w:vAlign w:val="bottom"/>
            <w:hideMark/>
          </w:tcPr>
          <w:p w14:paraId="21ACEB93" w14:textId="77777777" w:rsidR="00E656BA" w:rsidRPr="00072DB9" w:rsidRDefault="00E656BA" w:rsidP="00E656BA">
            <w:pPr>
              <w:overflowPunct/>
              <w:autoSpaceDE/>
              <w:autoSpaceDN/>
              <w:adjustRightInd/>
              <w:ind w:firstLineChars="100" w:firstLine="221"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072DB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 xml:space="preserve">Nové úvěry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solid" w:color="DAF3EA" w:fill="C1F7E9"/>
            <w:noWrap/>
            <w:vAlign w:val="center"/>
            <w:hideMark/>
          </w:tcPr>
          <w:p w14:paraId="01D6378E" w14:textId="0A9990A9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28,0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solid" w:color="DAF3EA" w:fill="C1F7E9"/>
            <w:noWrap/>
            <w:vAlign w:val="center"/>
            <w:hideMark/>
          </w:tcPr>
          <w:p w14:paraId="121DEB33" w14:textId="40796707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5 995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DAF3EA" w:fill="C1F7E9"/>
            <w:noWrap/>
            <w:vAlign w:val="center"/>
            <w:hideMark/>
          </w:tcPr>
          <w:p w14:paraId="20D4C83E" w14:textId="16B4C4C7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5,10</w:t>
            </w:r>
          </w:p>
        </w:tc>
        <w:tc>
          <w:tcPr>
            <w:tcW w:w="242" w:type="dxa"/>
            <w:tcBorders>
              <w:left w:val="nil"/>
              <w:bottom w:val="nil"/>
              <w:right w:val="nil"/>
            </w:tcBorders>
            <w:vAlign w:val="bottom"/>
          </w:tcPr>
          <w:p w14:paraId="1E12AC4C" w14:textId="51E4DF3B" w:rsidR="00E656BA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solid" w:color="DAF3EA" w:fill="C1F7E9"/>
            <w:vAlign w:val="center"/>
          </w:tcPr>
          <w:p w14:paraId="4D6894CF" w14:textId="540FCB02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i/>
                <w:iCs/>
                <w:color w:val="808080"/>
                <w:sz w:val="22"/>
                <w:szCs w:val="22"/>
              </w:rPr>
              <w:t>301,4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solid" w:color="DAF3EA" w:fill="C1F7E9"/>
            <w:vAlign w:val="center"/>
          </w:tcPr>
          <w:p w14:paraId="4021A1B1" w14:textId="04C68FD4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i/>
                <w:iCs/>
                <w:color w:val="808080"/>
                <w:sz w:val="22"/>
                <w:szCs w:val="22"/>
              </w:rPr>
              <w:t>64 046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solid" w:color="DAF3EA" w:fill="C1F7E9"/>
            <w:vAlign w:val="center"/>
          </w:tcPr>
          <w:p w14:paraId="6544CAA1" w14:textId="1D99068D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i/>
                <w:iCs/>
                <w:color w:val="808080"/>
                <w:sz w:val="22"/>
                <w:szCs w:val="22"/>
              </w:rPr>
              <w:t>4,69</w:t>
            </w:r>
          </w:p>
        </w:tc>
      </w:tr>
      <w:tr w:rsidR="00E656BA" w:rsidRPr="00A06A94" w14:paraId="75B50A3D" w14:textId="77777777" w:rsidTr="006E30DB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59724" w14:textId="77777777" w:rsidR="00E656BA" w:rsidRPr="00072DB9" w:rsidRDefault="00E656BA" w:rsidP="00E656BA">
            <w:pPr>
              <w:overflowPunct/>
              <w:autoSpaceDE/>
              <w:autoSpaceDN/>
              <w:adjustRightInd/>
              <w:ind w:firstLineChars="200" w:firstLine="440"/>
              <w:jc w:val="left"/>
              <w:textAlignment w:val="auto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072DB9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z toho: 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44B38" w14:textId="2D1897B8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68906" w14:textId="2CFC0C0C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37150" w14:textId="74EF05AA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EE480" w14:textId="2E751D03" w:rsidR="00E656BA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600E58E" w14:textId="7BF779A3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i/>
                <w:iCs/>
                <w:color w:val="80808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B73575E" w14:textId="5707CEB9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i/>
                <w:iCs/>
                <w:color w:val="808080"/>
                <w:sz w:val="22"/>
                <w:szCs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12EBA8BD" w14:textId="49B7D8D0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i/>
                <w:iCs/>
                <w:color w:val="808080"/>
                <w:sz w:val="22"/>
                <w:szCs w:val="22"/>
              </w:rPr>
              <w:t> </w:t>
            </w:r>
          </w:p>
        </w:tc>
      </w:tr>
      <w:tr w:rsidR="00E656BA" w:rsidRPr="00A06A94" w14:paraId="7625D4E3" w14:textId="77777777" w:rsidTr="006E30DB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56AD1D" w14:textId="77777777" w:rsidR="00E656BA" w:rsidRPr="00072DB9" w:rsidRDefault="00E656BA" w:rsidP="00E656BA">
            <w:pPr>
              <w:overflowPunct/>
              <w:autoSpaceDE/>
              <w:autoSpaceDN/>
              <w:adjustRightInd/>
              <w:ind w:firstLineChars="300" w:firstLine="660"/>
              <w:jc w:val="left"/>
              <w:textAlignment w:val="auto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072DB9">
              <w:rPr>
                <w:rFonts w:ascii="Calibri Light" w:hAnsi="Calibri Light" w:cs="Calibri Light"/>
                <w:color w:val="000000"/>
                <w:sz w:val="22"/>
                <w:szCs w:val="22"/>
              </w:rPr>
              <w:t>na koupi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BFB31" w14:textId="498B68DA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22,3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04F7B" w14:textId="00C2AABA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4 658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9602DE" w14:textId="2533DC52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5,10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8C8AE" w14:textId="4C0AA54E" w:rsidR="00E656BA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F378060" w14:textId="4432ED2C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i/>
                <w:iCs/>
                <w:color w:val="808080"/>
                <w:sz w:val="22"/>
                <w:szCs w:val="22"/>
              </w:rPr>
              <w:t>218,9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F448916" w14:textId="4CE90776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i/>
                <w:iCs/>
                <w:color w:val="808080"/>
                <w:sz w:val="22"/>
                <w:szCs w:val="22"/>
              </w:rPr>
              <w:t>46 426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634C0342" w14:textId="2362DA7F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i/>
                <w:iCs/>
                <w:color w:val="808080"/>
                <w:sz w:val="22"/>
                <w:szCs w:val="22"/>
              </w:rPr>
              <w:t>4,69</w:t>
            </w:r>
          </w:p>
        </w:tc>
      </w:tr>
      <w:tr w:rsidR="00E656BA" w:rsidRPr="00A06A94" w14:paraId="0E99D021" w14:textId="77777777" w:rsidTr="00976966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650778" w14:textId="77777777" w:rsidR="00E656BA" w:rsidRPr="00072DB9" w:rsidRDefault="00E656BA" w:rsidP="00E656BA">
            <w:pPr>
              <w:overflowPunct/>
              <w:autoSpaceDE/>
              <w:autoSpaceDN/>
              <w:adjustRightInd/>
              <w:ind w:firstLineChars="300" w:firstLine="660"/>
              <w:jc w:val="left"/>
              <w:textAlignment w:val="auto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072DB9">
              <w:rPr>
                <w:rFonts w:ascii="Calibri Light" w:hAnsi="Calibri Light" w:cs="Calibri Light"/>
                <w:color w:val="000000"/>
                <w:sz w:val="22"/>
                <w:szCs w:val="22"/>
              </w:rPr>
              <w:t>na výstavbu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C5BF0" w14:textId="190D02E5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FDBC1" w14:textId="3A18F112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5E6596" w14:textId="119BD77D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6C099B" w14:textId="6935A472" w:rsidR="00E656BA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0B9382F" w14:textId="7BC9B66E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i/>
                <w:iCs/>
                <w:color w:val="808080"/>
                <w:sz w:val="22"/>
                <w:szCs w:val="22"/>
              </w:rPr>
              <w:t>49,5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CAD1162" w14:textId="3D537EF8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i/>
                <w:iCs/>
                <w:color w:val="808080"/>
                <w:sz w:val="22"/>
                <w:szCs w:val="22"/>
              </w:rPr>
              <w:t>10 555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068099D2" w14:textId="34845175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i/>
                <w:iCs/>
                <w:color w:val="808080"/>
                <w:sz w:val="22"/>
                <w:szCs w:val="22"/>
              </w:rPr>
              <w:t>4,62</w:t>
            </w:r>
          </w:p>
        </w:tc>
      </w:tr>
      <w:tr w:rsidR="00E656BA" w:rsidRPr="00A06A94" w14:paraId="501771B5" w14:textId="77777777" w:rsidTr="006E30DB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D2365D" w14:textId="77777777" w:rsidR="00E656BA" w:rsidRPr="00072DB9" w:rsidRDefault="00E656BA" w:rsidP="00E656BA">
            <w:pPr>
              <w:overflowPunct/>
              <w:autoSpaceDE/>
              <w:autoSpaceDN/>
              <w:adjustRightInd/>
              <w:ind w:firstLineChars="300" w:firstLine="660"/>
              <w:jc w:val="left"/>
              <w:textAlignment w:val="auto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072DB9">
              <w:rPr>
                <w:rFonts w:ascii="Calibri Light" w:hAnsi="Calibri Light" w:cs="Calibri Light"/>
                <w:color w:val="000000"/>
                <w:sz w:val="22"/>
                <w:szCs w:val="22"/>
              </w:rPr>
              <w:t>ostatní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C665A" w14:textId="4E1EC5A8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F58FE" w14:textId="23C44B79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B6015C" w14:textId="00DC7BF0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5,40</w:t>
            </w:r>
          </w:p>
        </w:tc>
        <w:tc>
          <w:tcPr>
            <w:tcW w:w="242" w:type="dxa"/>
            <w:tcBorders>
              <w:top w:val="nil"/>
              <w:left w:val="nil"/>
              <w:right w:val="nil"/>
            </w:tcBorders>
            <w:vAlign w:val="bottom"/>
          </w:tcPr>
          <w:p w14:paraId="0E5EEE48" w14:textId="6C2155C4" w:rsidR="00E656BA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E7FB0C" w14:textId="309A56A7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i/>
                <w:iCs/>
                <w:color w:val="808080"/>
                <w:sz w:val="22"/>
                <w:szCs w:val="22"/>
              </w:rPr>
              <w:t>33,0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96F2B8" w14:textId="583EFBE5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i/>
                <w:iCs/>
                <w:color w:val="808080"/>
                <w:sz w:val="22"/>
                <w:szCs w:val="22"/>
              </w:rPr>
              <w:t>7 065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9EA6453" w14:textId="099113DE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i/>
                <w:iCs/>
                <w:color w:val="808080"/>
                <w:sz w:val="22"/>
                <w:szCs w:val="22"/>
              </w:rPr>
              <w:t>4,75</w:t>
            </w:r>
          </w:p>
        </w:tc>
      </w:tr>
      <w:tr w:rsidR="00E656BA" w:rsidRPr="00A06A94" w14:paraId="5D723CBB" w14:textId="77777777" w:rsidTr="006E30DB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721761" w14:textId="77777777" w:rsidR="00E656BA" w:rsidRPr="00072DB9" w:rsidRDefault="00E656BA" w:rsidP="00E656BA">
            <w:pPr>
              <w:overflowPunct/>
              <w:autoSpaceDE/>
              <w:autoSpaceDN/>
              <w:adjustRightInd/>
              <w:ind w:firstLineChars="100" w:firstLine="221"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072DB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Refinancované z jiné instituce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7A9EB" w14:textId="16F9E903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E99BA" w14:textId="453336A1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1 661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9C49FD" w14:textId="603AECCB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5,05</w:t>
            </w:r>
          </w:p>
        </w:tc>
        <w:tc>
          <w:tcPr>
            <w:tcW w:w="242" w:type="dxa"/>
            <w:tcBorders>
              <w:top w:val="nil"/>
              <w:left w:val="nil"/>
              <w:right w:val="nil"/>
            </w:tcBorders>
            <w:vAlign w:val="bottom"/>
          </w:tcPr>
          <w:p w14:paraId="17CF4B73" w14:textId="0C923B63" w:rsidR="00E656BA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E3AC5" w14:textId="639A5B4F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i/>
                <w:iCs/>
                <w:color w:val="808080"/>
                <w:sz w:val="22"/>
                <w:szCs w:val="22"/>
              </w:rPr>
              <w:t>87,5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714FB1" w14:textId="2C6319C1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i/>
                <w:iCs/>
                <w:color w:val="808080"/>
                <w:sz w:val="22"/>
                <w:szCs w:val="22"/>
              </w:rPr>
              <w:t>22 449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B0AEEA7" w14:textId="53D1B77D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i/>
                <w:iCs/>
                <w:color w:val="808080"/>
                <w:sz w:val="22"/>
                <w:szCs w:val="22"/>
              </w:rPr>
              <w:t>4,58</w:t>
            </w:r>
          </w:p>
        </w:tc>
      </w:tr>
      <w:tr w:rsidR="00E656BA" w:rsidRPr="00A06A94" w14:paraId="2265D080" w14:textId="77777777" w:rsidTr="006E30DB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90B764" w14:textId="77777777" w:rsidR="00E656BA" w:rsidRPr="00072DB9" w:rsidRDefault="00E656BA" w:rsidP="00E656BA">
            <w:pPr>
              <w:overflowPunct/>
              <w:autoSpaceDE/>
              <w:autoSpaceDN/>
              <w:adjustRightInd/>
              <w:ind w:firstLineChars="100" w:firstLine="221"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072DB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Refinancované interně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, navýšené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8288F" w14:textId="53A7AAF4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8B663" w14:textId="212E62C0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286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99ECE4" w14:textId="0F033A27" w:rsidR="00E656BA" w:rsidRPr="00072DB9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5,08</w:t>
            </w:r>
          </w:p>
        </w:tc>
        <w:tc>
          <w:tcPr>
            <w:tcW w:w="242" w:type="dxa"/>
            <w:tcBorders>
              <w:top w:val="nil"/>
              <w:left w:val="nil"/>
              <w:right w:val="nil"/>
            </w:tcBorders>
            <w:vAlign w:val="bottom"/>
          </w:tcPr>
          <w:p w14:paraId="6021B7F9" w14:textId="257F365A" w:rsidR="00E656BA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BC0CC" w14:textId="015B8746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i/>
                <w:iCs/>
                <w:color w:val="808080"/>
                <w:sz w:val="22"/>
                <w:szCs w:val="22"/>
              </w:rPr>
              <w:t>15,6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016D1" w14:textId="41243ADE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i/>
                <w:iCs/>
                <w:color w:val="808080"/>
                <w:sz w:val="22"/>
                <w:szCs w:val="22"/>
              </w:rPr>
              <w:t>3 822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7B83F6B" w14:textId="7D125321" w:rsidR="00E656BA" w:rsidRPr="00A06A94" w:rsidRDefault="00E656BA" w:rsidP="00E656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i/>
                <w:iCs/>
                <w:color w:val="808080"/>
                <w:sz w:val="22"/>
                <w:szCs w:val="22"/>
              </w:rPr>
              <w:t>4,62</w:t>
            </w:r>
          </w:p>
        </w:tc>
      </w:tr>
    </w:tbl>
    <w:p w14:paraId="7749A713" w14:textId="7DA80B2C" w:rsidR="003C3451" w:rsidRPr="007821A2" w:rsidRDefault="007821A2" w:rsidP="0009562F">
      <w:pPr>
        <w:overflowPunct/>
        <w:autoSpaceDE/>
        <w:autoSpaceDN/>
        <w:adjustRightInd/>
        <w:spacing w:before="120" w:after="120"/>
        <w:textAlignment w:val="auto"/>
        <w:rPr>
          <w:rFonts w:asciiTheme="minorHAnsi" w:hAnsiTheme="minorHAnsi" w:cstheme="minorHAnsi"/>
          <w:bCs/>
          <w:color w:val="13576B"/>
          <w:sz w:val="20"/>
        </w:rPr>
      </w:pPr>
      <w:r w:rsidRPr="007821A2">
        <w:rPr>
          <w:rFonts w:asciiTheme="minorHAnsi" w:hAnsiTheme="minorHAnsi" w:cstheme="minorHAnsi"/>
          <w:bCs/>
          <w:color w:val="13576B"/>
          <w:sz w:val="20"/>
        </w:rPr>
        <w:t xml:space="preserve">Pramen: ČBA </w:t>
      </w:r>
      <w:proofErr w:type="spellStart"/>
      <w:r w:rsidRPr="007821A2">
        <w:rPr>
          <w:rFonts w:asciiTheme="minorHAnsi" w:hAnsiTheme="minorHAnsi" w:cstheme="minorHAnsi"/>
          <w:bCs/>
          <w:color w:val="13576B"/>
          <w:sz w:val="20"/>
        </w:rPr>
        <w:t>Hypomonitor</w:t>
      </w:r>
      <w:proofErr w:type="spellEnd"/>
      <w:r w:rsidRPr="007821A2">
        <w:rPr>
          <w:rFonts w:asciiTheme="minorHAnsi" w:hAnsiTheme="minorHAnsi" w:cstheme="minorHAnsi"/>
          <w:bCs/>
          <w:color w:val="13576B"/>
          <w:sz w:val="20"/>
        </w:rPr>
        <w:t>. Poznámka: sezónně neočištěná data</w:t>
      </w:r>
    </w:p>
    <w:p w14:paraId="0A5C07AA" w14:textId="1198A40C" w:rsidR="00F41315" w:rsidRPr="003C3451" w:rsidRDefault="0082373E" w:rsidP="006A4C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  <w:bookmarkStart w:id="2" w:name="_Hlk111121228"/>
      <w:bookmarkStart w:id="3" w:name="_Hlk119308742"/>
      <w:r>
        <w:rPr>
          <w:rFonts w:ascii="Calibri" w:hAnsi="Calibri" w:cs="Calibri"/>
          <w:i/>
          <w:iCs/>
          <w:sz w:val="22"/>
          <w:szCs w:val="22"/>
        </w:rPr>
        <w:t>„</w:t>
      </w:r>
      <w:r w:rsidR="00D10497">
        <w:rPr>
          <w:rFonts w:ascii="Calibri" w:hAnsi="Calibri" w:cs="Calibri"/>
          <w:i/>
          <w:iCs/>
          <w:sz w:val="22"/>
          <w:szCs w:val="22"/>
        </w:rPr>
        <w:t xml:space="preserve">Hypoteční trh se v září reálně </w:t>
      </w:r>
      <w:r w:rsidR="005E37F3">
        <w:rPr>
          <w:rFonts w:ascii="Calibri" w:hAnsi="Calibri" w:cs="Calibri"/>
          <w:i/>
          <w:iCs/>
          <w:sz w:val="22"/>
          <w:szCs w:val="22"/>
        </w:rPr>
        <w:t xml:space="preserve">v počtu nových hypoték </w:t>
      </w:r>
      <w:r w:rsidR="00D10497">
        <w:rPr>
          <w:rFonts w:ascii="Calibri" w:hAnsi="Calibri" w:cs="Calibri"/>
          <w:i/>
          <w:iCs/>
          <w:sz w:val="22"/>
          <w:szCs w:val="22"/>
        </w:rPr>
        <w:t>přiblížil dlouhodobému normálu</w:t>
      </w:r>
      <w:r w:rsidR="005E37F3">
        <w:rPr>
          <w:rFonts w:ascii="Calibri" w:hAnsi="Calibri" w:cs="Calibri"/>
          <w:i/>
          <w:iCs/>
          <w:sz w:val="22"/>
          <w:szCs w:val="22"/>
        </w:rPr>
        <w:t>. A</w:t>
      </w:r>
      <w:r w:rsidR="00D10497">
        <w:rPr>
          <w:rFonts w:ascii="Calibri" w:hAnsi="Calibri" w:cs="Calibri"/>
          <w:i/>
          <w:iCs/>
          <w:sz w:val="22"/>
          <w:szCs w:val="22"/>
        </w:rPr>
        <w:t xml:space="preserve"> to navzdory, respektive kvůli stále mírnému růstu realizované hypoteční úrokové sazby</w:t>
      </w:r>
      <w:r w:rsidR="005E37F3">
        <w:rPr>
          <w:rFonts w:ascii="Calibri" w:hAnsi="Calibri" w:cs="Calibri"/>
          <w:i/>
          <w:iCs/>
          <w:sz w:val="22"/>
          <w:szCs w:val="22"/>
        </w:rPr>
        <w:t xml:space="preserve">. Ta v září opět pouze částečně propustila tlak z vyšších tržních úrokových sazeb a </w:t>
      </w:r>
      <w:r w:rsidR="00D10497">
        <w:rPr>
          <w:rFonts w:ascii="Calibri" w:hAnsi="Calibri" w:cs="Calibri"/>
          <w:i/>
          <w:iCs/>
          <w:sz w:val="22"/>
          <w:szCs w:val="22"/>
        </w:rPr>
        <w:t xml:space="preserve">dostala </w:t>
      </w:r>
      <w:r w:rsidR="005E37F3">
        <w:rPr>
          <w:rFonts w:ascii="Calibri" w:hAnsi="Calibri" w:cs="Calibri"/>
          <w:i/>
          <w:iCs/>
          <w:sz w:val="22"/>
          <w:szCs w:val="22"/>
        </w:rPr>
        <w:t xml:space="preserve">se </w:t>
      </w:r>
      <w:r w:rsidR="00D10497">
        <w:rPr>
          <w:rFonts w:ascii="Calibri" w:hAnsi="Calibri" w:cs="Calibri"/>
          <w:i/>
          <w:iCs/>
          <w:sz w:val="22"/>
          <w:szCs w:val="22"/>
        </w:rPr>
        <w:t>na 5,1 %</w:t>
      </w:r>
      <w:r w:rsidR="005E37F3">
        <w:rPr>
          <w:rFonts w:ascii="Calibri" w:hAnsi="Calibri" w:cs="Calibri"/>
          <w:i/>
          <w:iCs/>
          <w:sz w:val="22"/>
          <w:szCs w:val="22"/>
        </w:rPr>
        <w:t>.</w:t>
      </w:r>
      <w:r w:rsidR="00ED1168">
        <w:rPr>
          <w:rFonts w:ascii="Calibri" w:hAnsi="Calibri" w:cs="Calibri"/>
          <w:i/>
          <w:iCs/>
          <w:sz w:val="22"/>
          <w:szCs w:val="22"/>
        </w:rPr>
        <w:t xml:space="preserve"> Vyšší tržní úrokové sazby budou pravděpodobně nadále tlačit na hypoteční trh.</w:t>
      </w:r>
      <w:r w:rsidR="005E37F3">
        <w:rPr>
          <w:rFonts w:ascii="Calibri" w:hAnsi="Calibri" w:cs="Calibri"/>
          <w:i/>
          <w:iCs/>
          <w:sz w:val="22"/>
          <w:szCs w:val="22"/>
        </w:rPr>
        <w:t xml:space="preserve"> Klesající podíl refixací naznačuje </w:t>
      </w:r>
      <w:r w:rsidR="00ED1168">
        <w:rPr>
          <w:rFonts w:ascii="Calibri" w:hAnsi="Calibri" w:cs="Calibri"/>
          <w:i/>
          <w:iCs/>
          <w:sz w:val="22"/>
          <w:szCs w:val="22"/>
        </w:rPr>
        <w:t xml:space="preserve">jarní </w:t>
      </w:r>
      <w:r w:rsidR="005E37F3">
        <w:rPr>
          <w:rFonts w:ascii="Calibri" w:hAnsi="Calibri" w:cs="Calibri"/>
          <w:i/>
          <w:iCs/>
          <w:sz w:val="22"/>
          <w:szCs w:val="22"/>
        </w:rPr>
        <w:t>předzásobení se i v případě končících fixací</w:t>
      </w:r>
      <w:r>
        <w:rPr>
          <w:rFonts w:ascii="Calibri" w:hAnsi="Calibri" w:cs="Calibri"/>
          <w:i/>
          <w:iCs/>
          <w:sz w:val="22"/>
          <w:szCs w:val="22"/>
        </w:rPr>
        <w:t xml:space="preserve">,“ </w:t>
      </w:r>
      <w:r>
        <w:rPr>
          <w:rFonts w:ascii="Calibri" w:hAnsi="Calibri" w:cs="Calibri"/>
          <w:sz w:val="22"/>
          <w:szCs w:val="22"/>
        </w:rPr>
        <w:t xml:space="preserve">shrnuje </w:t>
      </w:r>
      <w:r>
        <w:rPr>
          <w:rFonts w:ascii="Calibri" w:hAnsi="Calibri" w:cs="Calibri"/>
          <w:b/>
          <w:bCs/>
          <w:sz w:val="22"/>
          <w:szCs w:val="22"/>
        </w:rPr>
        <w:t>Jaromír Šindel, hlavní ekonom České bankovní asociace.</w:t>
      </w:r>
    </w:p>
    <w:p w14:paraId="6B7D1662" w14:textId="235A9BEC" w:rsidR="00677FE7" w:rsidRDefault="00E656BA" w:rsidP="007E1421">
      <w:pPr>
        <w:rPr>
          <w:rFonts w:ascii="Calibri" w:hAnsi="Calibri" w:cs="Calibri"/>
          <w:b/>
          <w:color w:val="13576B"/>
          <w:sz w:val="23"/>
          <w:szCs w:val="23"/>
        </w:rPr>
      </w:pPr>
      <w:r>
        <w:rPr>
          <w:rFonts w:ascii="Calibri" w:hAnsi="Calibri" w:cs="Calibri"/>
          <w:b/>
          <w:noProof/>
          <w:color w:val="13576B"/>
          <w:sz w:val="23"/>
          <w:szCs w:val="23"/>
        </w:rPr>
        <w:lastRenderedPageBreak/>
        <w:drawing>
          <wp:inline distT="0" distB="0" distL="0" distR="0" wp14:anchorId="2E028819" wp14:editId="65EE63FB">
            <wp:extent cx="6487419" cy="4805770"/>
            <wp:effectExtent l="0" t="0" r="8890" b="0"/>
            <wp:docPr id="19969549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5762" cy="48119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652A9F" w14:textId="49CDABBE" w:rsidR="007E1421" w:rsidRDefault="00E16BD3" w:rsidP="007E1421">
      <w:pPr>
        <w:overflowPunct/>
        <w:autoSpaceDE/>
        <w:autoSpaceDN/>
        <w:adjustRightInd/>
        <w:spacing w:after="120"/>
        <w:jc w:val="left"/>
        <w:textAlignment w:val="auto"/>
        <w:rPr>
          <w:rFonts w:ascii="Calibri Light" w:hAnsi="Calibri Light" w:cs="Calibri Light"/>
          <w:color w:val="13576B"/>
          <w:sz w:val="20"/>
        </w:rPr>
      </w:pPr>
      <w:r w:rsidRPr="00E16BD3">
        <w:rPr>
          <w:rFonts w:ascii="Calibri Light" w:hAnsi="Calibri Light" w:cs="Calibri Light"/>
          <w:color w:val="13576B"/>
          <w:sz w:val="20"/>
        </w:rPr>
        <w:t xml:space="preserve">Poznámka: </w:t>
      </w:r>
      <w:r w:rsidR="004332EC" w:rsidRPr="004332EC">
        <w:rPr>
          <w:rFonts w:ascii="Calibri Light" w:hAnsi="Calibri Light" w:cs="Calibri Light"/>
          <w:color w:val="13576B"/>
          <w:sz w:val="20"/>
        </w:rPr>
        <w:t>Výhled do konce roku má indikativní charakter – vychází z aktuálního trendu, nikoli z modelové predikce. Pro zbytek roku předpokládá 7% korekci počtu hypoték vůči tempu zaznamenanému ve druhém pololetí 2025. Ilustrativně viz graf č. 7.</w:t>
      </w:r>
    </w:p>
    <w:p w14:paraId="05D7F9BE" w14:textId="02A4EC57" w:rsidR="00795550" w:rsidRDefault="00795550" w:rsidP="007E1421">
      <w:pPr>
        <w:overflowPunct/>
        <w:autoSpaceDE/>
        <w:autoSpaceDN/>
        <w:adjustRightInd/>
        <w:spacing w:after="120"/>
        <w:jc w:val="left"/>
        <w:textAlignment w:val="auto"/>
        <w:rPr>
          <w:rFonts w:ascii="Calibri Light" w:hAnsi="Calibri Light" w:cs="Calibri Light"/>
          <w:noProof/>
          <w:color w:val="13576B"/>
          <w:sz w:val="20"/>
        </w:rPr>
      </w:pPr>
    </w:p>
    <w:p w14:paraId="318111AA" w14:textId="2CF46033" w:rsidR="004226ED" w:rsidRDefault="00E656BA" w:rsidP="007E1421">
      <w:pPr>
        <w:overflowPunct/>
        <w:autoSpaceDE/>
        <w:autoSpaceDN/>
        <w:adjustRightInd/>
        <w:spacing w:after="120"/>
        <w:jc w:val="left"/>
        <w:textAlignment w:val="auto"/>
        <w:rPr>
          <w:rFonts w:ascii="Calibri Light" w:hAnsi="Calibri Light" w:cs="Calibri Light"/>
          <w:color w:val="13576B"/>
          <w:sz w:val="20"/>
        </w:rPr>
      </w:pPr>
      <w:r>
        <w:rPr>
          <w:rFonts w:ascii="Calibri Light" w:hAnsi="Calibri Light" w:cs="Calibri Light"/>
          <w:noProof/>
          <w:color w:val="13576B"/>
          <w:sz w:val="20"/>
        </w:rPr>
        <w:lastRenderedPageBreak/>
        <w:drawing>
          <wp:inline distT="0" distB="0" distL="0" distR="0" wp14:anchorId="43A757F2" wp14:editId="2B5AE5BB">
            <wp:extent cx="6481866" cy="3469186"/>
            <wp:effectExtent l="0" t="0" r="0" b="0"/>
            <wp:docPr id="112305975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5548" cy="34765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4940DD" w14:textId="77777777" w:rsidR="00845107" w:rsidRDefault="00845107" w:rsidP="0009562F">
      <w:pPr>
        <w:overflowPunct/>
        <w:autoSpaceDE/>
        <w:autoSpaceDN/>
        <w:adjustRightInd/>
        <w:textAlignment w:val="auto"/>
        <w:rPr>
          <w:rFonts w:ascii="Calibri" w:hAnsi="Calibri" w:cs="Calibri"/>
          <w:b/>
          <w:color w:val="13576B"/>
          <w:sz w:val="23"/>
          <w:szCs w:val="23"/>
        </w:rPr>
      </w:pPr>
    </w:p>
    <w:p w14:paraId="4C222F62" w14:textId="4E193822" w:rsidR="00F41315" w:rsidRDefault="003320D5" w:rsidP="00CC1C2A">
      <w:pPr>
        <w:overflowPunct/>
        <w:autoSpaceDE/>
        <w:autoSpaceDN/>
        <w:adjustRightInd/>
        <w:textAlignment w:val="auto"/>
        <w:rPr>
          <w:rFonts w:ascii="Calibri" w:hAnsi="Calibri" w:cs="Calibri"/>
          <w:b/>
          <w:color w:val="13576B"/>
          <w:sz w:val="23"/>
          <w:szCs w:val="23"/>
        </w:rPr>
      </w:pPr>
      <w:r>
        <w:rPr>
          <w:rFonts w:ascii="Calibri" w:hAnsi="Calibri" w:cs="Calibri"/>
          <w:b/>
          <w:bCs/>
          <w:color w:val="13576B"/>
          <w:sz w:val="23"/>
          <w:szCs w:val="23"/>
        </w:rPr>
        <w:t xml:space="preserve">Září přineslo </w:t>
      </w:r>
      <w:r w:rsidR="00C66496">
        <w:rPr>
          <w:rFonts w:ascii="Calibri" w:hAnsi="Calibri" w:cs="Calibri"/>
          <w:b/>
          <w:bCs/>
          <w:color w:val="13576B"/>
          <w:sz w:val="23"/>
          <w:szCs w:val="23"/>
        </w:rPr>
        <w:t xml:space="preserve">stabilizaci u </w:t>
      </w:r>
      <w:r>
        <w:rPr>
          <w:rFonts w:ascii="Calibri" w:hAnsi="Calibri" w:cs="Calibri"/>
          <w:b/>
          <w:bCs/>
          <w:color w:val="13576B"/>
          <w:sz w:val="23"/>
          <w:szCs w:val="23"/>
        </w:rPr>
        <w:t>silnější</w:t>
      </w:r>
      <w:r w:rsidR="00C66496">
        <w:rPr>
          <w:rFonts w:ascii="Calibri" w:hAnsi="Calibri" w:cs="Calibri"/>
          <w:b/>
          <w:bCs/>
          <w:color w:val="13576B"/>
          <w:sz w:val="23"/>
          <w:szCs w:val="23"/>
        </w:rPr>
        <w:t>ho</w:t>
      </w:r>
      <w:r>
        <w:rPr>
          <w:rFonts w:ascii="Calibri" w:hAnsi="Calibri" w:cs="Calibri"/>
          <w:b/>
          <w:bCs/>
          <w:color w:val="13576B"/>
          <w:sz w:val="23"/>
          <w:szCs w:val="23"/>
        </w:rPr>
        <w:t xml:space="preserve"> normálu; sezónně očištěná aktivita </w:t>
      </w:r>
      <w:r w:rsidR="00C66496">
        <w:rPr>
          <w:rFonts w:ascii="Calibri" w:hAnsi="Calibri" w:cs="Calibri"/>
          <w:b/>
          <w:bCs/>
          <w:color w:val="13576B"/>
          <w:sz w:val="23"/>
          <w:szCs w:val="23"/>
        </w:rPr>
        <w:t xml:space="preserve">mírně </w:t>
      </w:r>
      <w:r>
        <w:rPr>
          <w:rFonts w:ascii="Calibri" w:hAnsi="Calibri" w:cs="Calibri"/>
          <w:b/>
          <w:bCs/>
          <w:color w:val="13576B"/>
          <w:sz w:val="23"/>
          <w:szCs w:val="23"/>
        </w:rPr>
        <w:t>překonala průměr léta</w:t>
      </w:r>
    </w:p>
    <w:p w14:paraId="5343300C" w14:textId="66CD2623" w:rsidR="00F41315" w:rsidRDefault="004D63AD" w:rsidP="00CC1C2A">
      <w:pPr>
        <w:overflowPunct/>
        <w:autoSpaceDE/>
        <w:autoSpaceDN/>
        <w:adjustRightInd/>
        <w:textAlignment w:val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Celkově banky a stavební spořitelny v září vykázaly nové a refinancované hypotéky v objemu 35,4 mld. Kč. </w:t>
      </w:r>
      <w:r>
        <w:rPr>
          <w:rFonts w:ascii="Calibri" w:hAnsi="Calibri" w:cs="Calibri"/>
          <w:color w:val="000000"/>
          <w:sz w:val="22"/>
          <w:szCs w:val="22"/>
        </w:rPr>
        <w:t>To je o 2,8 % více než v srpnu, meziročně však o 6 % méně. Od začátku roku dosáhl celkový objem 404,4 mld. Kč, což představuje 38% nárůst proti stejnému období předchozího roku.</w:t>
      </w:r>
    </w:p>
    <w:p w14:paraId="1C23508D" w14:textId="77777777" w:rsidR="00AD0FFE" w:rsidRDefault="00AD0FFE" w:rsidP="00CC1C2A">
      <w:pPr>
        <w:overflowPunct/>
        <w:autoSpaceDE/>
        <w:autoSpaceDN/>
        <w:adjustRightInd/>
        <w:textAlignment w:val="auto"/>
        <w:rPr>
          <w:rFonts w:ascii="Calibri" w:hAnsi="Calibri" w:cs="Calibri"/>
          <w:color w:val="000000"/>
          <w:sz w:val="22"/>
          <w:szCs w:val="22"/>
        </w:rPr>
      </w:pPr>
    </w:p>
    <w:p w14:paraId="56A90CBF" w14:textId="791E2031" w:rsidR="00F41315" w:rsidRPr="00AD0FFE" w:rsidRDefault="00F41315" w:rsidP="00CC1C2A">
      <w:pPr>
        <w:overflowPunct/>
        <w:autoSpaceDE/>
        <w:autoSpaceDN/>
        <w:adjustRightInd/>
        <w:textAlignment w:val="auto"/>
        <w:rPr>
          <w:rFonts w:ascii="Calibri" w:hAnsi="Calibri" w:cs="Calibri"/>
          <w:color w:val="000000"/>
          <w:sz w:val="22"/>
          <w:szCs w:val="22"/>
        </w:rPr>
      </w:pPr>
      <w:r w:rsidRPr="00746161">
        <w:rPr>
          <w:rFonts w:ascii="Calibri" w:hAnsi="Calibri" w:cs="Calibri"/>
          <w:b/>
          <w:bCs/>
          <w:color w:val="000000"/>
          <w:sz w:val="22"/>
          <w:szCs w:val="22"/>
        </w:rPr>
        <w:t>V</w:t>
      </w:r>
      <w:r w:rsidR="000861A9">
        <w:rPr>
          <w:rFonts w:ascii="Calibri" w:hAnsi="Calibri" w:cs="Calibri"/>
          <w:b/>
          <w:bCs/>
          <w:color w:val="000000"/>
          <w:sz w:val="22"/>
          <w:szCs w:val="22"/>
        </w:rPr>
        <w:t xml:space="preserve"> září</w:t>
      </w:r>
      <w:r w:rsidRPr="00746161">
        <w:rPr>
          <w:rFonts w:ascii="Calibri" w:hAnsi="Calibri" w:cs="Calibri"/>
          <w:b/>
          <w:bCs/>
          <w:color w:val="000000"/>
          <w:sz w:val="22"/>
          <w:szCs w:val="22"/>
        </w:rPr>
        <w:t xml:space="preserve"> vznikly skutečně nové hypoteční úvěry bez refinancování v objemu </w:t>
      </w:r>
      <w:r w:rsidR="000861A9">
        <w:rPr>
          <w:rFonts w:ascii="Calibri" w:hAnsi="Calibri" w:cs="Calibri"/>
          <w:b/>
          <w:bCs/>
          <w:color w:val="000000"/>
          <w:sz w:val="22"/>
          <w:szCs w:val="22"/>
        </w:rPr>
        <w:t>28</w:t>
      </w:r>
      <w:r w:rsidRPr="00746161">
        <w:rPr>
          <w:rFonts w:ascii="Calibri" w:hAnsi="Calibri" w:cs="Calibri"/>
          <w:b/>
          <w:bCs/>
          <w:color w:val="000000"/>
          <w:sz w:val="22"/>
          <w:szCs w:val="22"/>
        </w:rPr>
        <w:t xml:space="preserve"> mld. Kč. </w:t>
      </w:r>
      <w:r w:rsidRPr="00AD0FFE">
        <w:rPr>
          <w:rFonts w:ascii="Calibri" w:hAnsi="Calibri" w:cs="Calibri"/>
          <w:color w:val="000000"/>
          <w:sz w:val="22"/>
          <w:szCs w:val="22"/>
        </w:rPr>
        <w:t xml:space="preserve">Oproti </w:t>
      </w:r>
      <w:r w:rsidR="000861A9">
        <w:rPr>
          <w:rFonts w:ascii="Calibri" w:hAnsi="Calibri" w:cs="Calibri"/>
          <w:color w:val="000000"/>
          <w:sz w:val="22"/>
          <w:szCs w:val="22"/>
        </w:rPr>
        <w:t xml:space="preserve">srpnu </w:t>
      </w:r>
      <w:r w:rsidRPr="00AD0FFE">
        <w:rPr>
          <w:rFonts w:ascii="Calibri" w:hAnsi="Calibri" w:cs="Calibri"/>
          <w:color w:val="000000"/>
          <w:sz w:val="22"/>
          <w:szCs w:val="22"/>
        </w:rPr>
        <w:t xml:space="preserve">nová hypoteční aktivita objemově </w:t>
      </w:r>
      <w:r w:rsidR="000861A9">
        <w:rPr>
          <w:rFonts w:ascii="Calibri" w:hAnsi="Calibri" w:cs="Calibri"/>
          <w:color w:val="000000"/>
          <w:sz w:val="22"/>
          <w:szCs w:val="22"/>
        </w:rPr>
        <w:t>vzrostla</w:t>
      </w:r>
      <w:r w:rsidRPr="00AD0FFE">
        <w:rPr>
          <w:rFonts w:ascii="Calibri" w:hAnsi="Calibri" w:cs="Calibri"/>
          <w:color w:val="000000"/>
          <w:sz w:val="22"/>
          <w:szCs w:val="22"/>
        </w:rPr>
        <w:t xml:space="preserve"> přibližně o </w:t>
      </w:r>
      <w:r w:rsidR="000861A9">
        <w:rPr>
          <w:rFonts w:ascii="Calibri" w:hAnsi="Calibri" w:cs="Calibri"/>
          <w:color w:val="000000"/>
          <w:sz w:val="22"/>
          <w:szCs w:val="22"/>
        </w:rPr>
        <w:t xml:space="preserve">5 %. Jde o příznivější </w:t>
      </w:r>
      <w:proofErr w:type="gramStart"/>
      <w:r w:rsidR="00DF1993">
        <w:rPr>
          <w:rFonts w:ascii="Calibri" w:hAnsi="Calibri" w:cs="Calibri"/>
          <w:color w:val="000000"/>
          <w:sz w:val="22"/>
          <w:szCs w:val="22"/>
        </w:rPr>
        <w:t>výsledek,</w:t>
      </w:r>
      <w:proofErr w:type="gramEnd"/>
      <w:r w:rsidR="00C6649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0861A9">
        <w:rPr>
          <w:rFonts w:ascii="Calibri" w:hAnsi="Calibri" w:cs="Calibri"/>
          <w:color w:val="000000"/>
          <w:sz w:val="22"/>
          <w:szCs w:val="22"/>
        </w:rPr>
        <w:t xml:space="preserve">než naznačuje běžná sezónnost. Po sezónním očištění se objem zvýšil o 11 % na 29,6 mld. Kč ze srpnových 26,7 mld. Kč a překonal </w:t>
      </w:r>
      <w:r>
        <w:rPr>
          <w:rFonts w:ascii="Calibri" w:hAnsi="Calibri" w:cs="Calibri"/>
          <w:color w:val="000000"/>
          <w:sz w:val="22"/>
          <w:szCs w:val="22"/>
        </w:rPr>
        <w:t xml:space="preserve">průměr </w:t>
      </w:r>
      <w:r w:rsidRPr="00AD0FFE">
        <w:rPr>
          <w:rFonts w:ascii="Calibri" w:hAnsi="Calibri" w:cs="Calibri"/>
          <w:color w:val="000000"/>
          <w:sz w:val="22"/>
          <w:szCs w:val="22"/>
        </w:rPr>
        <w:t xml:space="preserve">předchozích tří měsíců </w:t>
      </w:r>
      <w:r w:rsidR="000861A9">
        <w:rPr>
          <w:rFonts w:ascii="Calibri" w:hAnsi="Calibri" w:cs="Calibri"/>
          <w:color w:val="000000"/>
          <w:sz w:val="22"/>
          <w:szCs w:val="22"/>
        </w:rPr>
        <w:t xml:space="preserve">ve výši 28,7 mld. Kč. Ve srovnání s druhým pololetím loňského roku </w:t>
      </w:r>
      <w:r>
        <w:rPr>
          <w:rFonts w:ascii="Calibri" w:hAnsi="Calibri" w:cs="Calibri"/>
          <w:color w:val="000000"/>
          <w:sz w:val="22"/>
          <w:szCs w:val="22"/>
        </w:rPr>
        <w:t xml:space="preserve">byl </w:t>
      </w:r>
      <w:r w:rsidR="000861A9">
        <w:rPr>
          <w:rFonts w:ascii="Calibri" w:hAnsi="Calibri" w:cs="Calibri"/>
          <w:color w:val="000000"/>
          <w:sz w:val="22"/>
          <w:szCs w:val="22"/>
        </w:rPr>
        <w:t xml:space="preserve">zářijový objem přibližně o 1 % vyšší. Meziročně vzrostl o 5 %, takže trh zůstává silný, růst je však výrazně mírnější než </w:t>
      </w:r>
      <w:r w:rsidR="00C66496">
        <w:rPr>
          <w:rFonts w:ascii="Calibri" w:hAnsi="Calibri" w:cs="Calibri"/>
          <w:color w:val="000000"/>
          <w:sz w:val="22"/>
          <w:szCs w:val="22"/>
        </w:rPr>
        <w:t xml:space="preserve">41% navýšení </w:t>
      </w:r>
      <w:r w:rsidR="000861A9">
        <w:rPr>
          <w:rFonts w:ascii="Calibri" w:hAnsi="Calibri" w:cs="Calibri"/>
          <w:color w:val="000000"/>
          <w:sz w:val="22"/>
          <w:szCs w:val="22"/>
        </w:rPr>
        <w:t>v průběhu roku 2025.</w:t>
      </w:r>
    </w:p>
    <w:p w14:paraId="10C573BD" w14:textId="77777777" w:rsidR="002B52C8" w:rsidRPr="002B52C8" w:rsidRDefault="002B52C8" w:rsidP="002B52C8">
      <w:pPr>
        <w:overflowPunct/>
        <w:autoSpaceDE/>
        <w:autoSpaceDN/>
        <w:adjustRightInd/>
        <w:textAlignment w:val="auto"/>
        <w:rPr>
          <w:rFonts w:ascii="Calibri" w:hAnsi="Calibri" w:cs="Calibri"/>
          <w:color w:val="000000"/>
          <w:sz w:val="22"/>
          <w:szCs w:val="22"/>
        </w:rPr>
      </w:pPr>
    </w:p>
    <w:p w14:paraId="56320F93" w14:textId="6AF5FBC5" w:rsidR="00795550" w:rsidRPr="007420E1" w:rsidRDefault="00795550" w:rsidP="0079555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7420E1">
        <w:rPr>
          <w:rFonts w:ascii="Calibri" w:hAnsi="Calibri" w:cs="Calibri"/>
          <w:i/>
          <w:iCs/>
          <w:sz w:val="22"/>
          <w:szCs w:val="22"/>
        </w:rPr>
        <w:t>„</w:t>
      </w:r>
      <w:r w:rsidR="00E656BA" w:rsidRPr="00E656BA">
        <w:rPr>
          <w:rFonts w:ascii="Calibri" w:hAnsi="Calibri" w:cs="Calibri"/>
          <w:i/>
          <w:iCs/>
          <w:sz w:val="22"/>
          <w:szCs w:val="22"/>
        </w:rPr>
        <w:t>Český realitní trh po období dynamického růstu zažívá mírné ochlazení poptávky po investičních nemovitostech. Hlavní výzvou při nákupu nemovitosti je v současné době kombinace vysokých cen a vysokých úrokových sazeb, které se kvůli volatilnímu mezibankovnímu trhu drží na svých dosavadních maximech. Pro překlenutí této situace se klientům otevírá příležitost v podobě kratší, například dvouleté fixace. Ta může klientům poskytnout čas na stabilizaci trhu a přípravu na budoucí pokles ceny peněz při následné r</w:t>
      </w:r>
      <w:r w:rsidR="00E656BA">
        <w:rPr>
          <w:rFonts w:ascii="Calibri" w:hAnsi="Calibri" w:cs="Calibri"/>
          <w:i/>
          <w:iCs/>
          <w:sz w:val="22"/>
          <w:szCs w:val="22"/>
        </w:rPr>
        <w:t>e</w:t>
      </w:r>
      <w:r w:rsidR="00E656BA" w:rsidRPr="00E656BA">
        <w:rPr>
          <w:rFonts w:ascii="Calibri" w:hAnsi="Calibri" w:cs="Calibri"/>
          <w:i/>
          <w:iCs/>
          <w:sz w:val="22"/>
          <w:szCs w:val="22"/>
        </w:rPr>
        <w:t>fixaci</w:t>
      </w:r>
      <w:r w:rsidRPr="007420E1">
        <w:rPr>
          <w:rFonts w:ascii="Calibri" w:hAnsi="Calibri" w:cs="Calibri"/>
          <w:i/>
          <w:iCs/>
          <w:sz w:val="22"/>
          <w:szCs w:val="22"/>
        </w:rPr>
        <w:t xml:space="preserve">,“ </w:t>
      </w:r>
      <w:r w:rsidR="00A12D28" w:rsidRPr="007420E1">
        <w:rPr>
          <w:rFonts w:ascii="Calibri" w:hAnsi="Calibri" w:cs="Calibri"/>
          <w:sz w:val="22"/>
          <w:szCs w:val="22"/>
        </w:rPr>
        <w:t>podotýká</w:t>
      </w:r>
      <w:r w:rsidR="007420E1" w:rsidRPr="007420E1">
        <w:t xml:space="preserve"> </w:t>
      </w:r>
      <w:r w:rsidR="00E656BA" w:rsidRPr="00E656BA">
        <w:rPr>
          <w:rFonts w:ascii="Calibri" w:hAnsi="Calibri" w:cs="Calibri"/>
          <w:b/>
          <w:bCs/>
          <w:sz w:val="22"/>
          <w:szCs w:val="22"/>
        </w:rPr>
        <w:t>Vilém Mádr, produktov</w:t>
      </w:r>
      <w:r w:rsidR="00E656BA">
        <w:rPr>
          <w:rFonts w:ascii="Calibri" w:hAnsi="Calibri" w:cs="Calibri"/>
          <w:b/>
          <w:bCs/>
          <w:sz w:val="22"/>
          <w:szCs w:val="22"/>
        </w:rPr>
        <w:t>ý</w:t>
      </w:r>
      <w:r w:rsidR="00E656BA" w:rsidRPr="00E656BA">
        <w:rPr>
          <w:rFonts w:ascii="Calibri" w:hAnsi="Calibri" w:cs="Calibri"/>
          <w:b/>
          <w:bCs/>
          <w:sz w:val="22"/>
          <w:szCs w:val="22"/>
        </w:rPr>
        <w:t xml:space="preserve"> manažer České spořitelny</w:t>
      </w:r>
      <w:r w:rsidR="00E656BA" w:rsidRPr="00D66D1C">
        <w:rPr>
          <w:rFonts w:ascii="Calibri" w:hAnsi="Calibri" w:cs="Calibri"/>
          <w:b/>
          <w:bCs/>
          <w:sz w:val="22"/>
          <w:szCs w:val="22"/>
        </w:rPr>
        <w:t>.</w:t>
      </w:r>
    </w:p>
    <w:p w14:paraId="78E132BE" w14:textId="5AD7C097" w:rsidR="00142116" w:rsidRDefault="00142116" w:rsidP="00142116">
      <w:pPr>
        <w:overflowPunct/>
        <w:autoSpaceDE/>
        <w:autoSpaceDN/>
        <w:adjustRightInd/>
        <w:textAlignment w:val="auto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12F8CED3" w14:textId="58E4F3CB" w:rsidR="00F41315" w:rsidRDefault="00510ECF" w:rsidP="001B2E5E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Počet nových hypoték v září vzrostl o 2,9 % meziměsíčně na 5 995, meziročně však zůstal o 12 % nižší. </w:t>
      </w:r>
      <w:r>
        <w:rPr>
          <w:rFonts w:ascii="Calibri" w:hAnsi="Calibri" w:cs="Calibri"/>
          <w:color w:val="000000"/>
          <w:sz w:val="22"/>
          <w:szCs w:val="22"/>
        </w:rPr>
        <w:t>Po sezónním očištění odhadujeme přibližně 6 395 nových úvěrů, tedy zhruba 1 % nad průměrem předchozích tří měsíců. Od začátku roku bylo poskytnuto 64 tisíc nových hypoték, o 13 % více než před rokem. Tempo posledních tří měsíců implikuje přibližně 82,5 tisíce hypoték za celý rok</w:t>
      </w:r>
      <w:r w:rsidR="00C66496">
        <w:rPr>
          <w:rFonts w:ascii="Calibri" w:hAnsi="Calibri" w:cs="Calibri"/>
          <w:color w:val="000000"/>
          <w:sz w:val="22"/>
          <w:szCs w:val="22"/>
        </w:rPr>
        <w:t xml:space="preserve">, tedy nepatrně více než </w:t>
      </w:r>
      <w:r>
        <w:rPr>
          <w:rFonts w:ascii="Calibri" w:hAnsi="Calibri" w:cs="Calibri"/>
          <w:color w:val="000000"/>
          <w:sz w:val="22"/>
          <w:szCs w:val="22"/>
        </w:rPr>
        <w:t xml:space="preserve">konzervativnější varianta se 7% korekcí </w:t>
      </w:r>
      <w:r w:rsidR="00C66496">
        <w:rPr>
          <w:rFonts w:ascii="Calibri" w:hAnsi="Calibri" w:cs="Calibri"/>
          <w:color w:val="000000"/>
          <w:sz w:val="22"/>
          <w:szCs w:val="22"/>
        </w:rPr>
        <w:t>v závěrečném čtvrtletí o</w:t>
      </w:r>
      <w:r>
        <w:rPr>
          <w:rFonts w:ascii="Calibri" w:hAnsi="Calibri" w:cs="Calibri"/>
          <w:color w:val="000000"/>
          <w:sz w:val="22"/>
          <w:szCs w:val="22"/>
        </w:rPr>
        <w:t>proti druhému pololetí 2025</w:t>
      </w:r>
      <w:r w:rsidR="00C66496">
        <w:rPr>
          <w:rFonts w:ascii="Calibri" w:hAnsi="Calibri" w:cs="Calibri"/>
          <w:color w:val="000000"/>
          <w:sz w:val="22"/>
          <w:szCs w:val="22"/>
        </w:rPr>
        <w:t>. Ta</w:t>
      </w:r>
      <w:r>
        <w:rPr>
          <w:rFonts w:ascii="Calibri" w:hAnsi="Calibri" w:cs="Calibri"/>
          <w:color w:val="000000"/>
          <w:sz w:val="22"/>
          <w:szCs w:val="22"/>
        </w:rPr>
        <w:t xml:space="preserve"> ukazuje na zhruba 82 tisíc, tedy asi o 8 % více než loni. Výsledek by přesto zůstal pod 92 tisíci z let 2016 až 2018 i pod 114 tisíci z roku 2021.</w:t>
      </w:r>
    </w:p>
    <w:p w14:paraId="4270F1E0" w14:textId="77777777" w:rsidR="00746161" w:rsidRDefault="00746161" w:rsidP="001B2E5E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4296189D" w14:textId="77777777" w:rsidR="0040774B" w:rsidRDefault="0040774B" w:rsidP="001B2E5E">
      <w:pPr>
        <w:rPr>
          <w:rFonts w:ascii="Calibri" w:hAnsi="Calibri" w:cs="Calibri"/>
          <w:b/>
          <w:color w:val="13576B"/>
          <w:sz w:val="23"/>
          <w:szCs w:val="23"/>
        </w:rPr>
        <w:sectPr w:rsidR="0040774B" w:rsidSect="00A06A94">
          <w:headerReference w:type="default" r:id="rId14"/>
          <w:footerReference w:type="default" r:id="rId15"/>
          <w:pgSz w:w="11906" w:h="16838"/>
          <w:pgMar w:top="2552" w:right="849" w:bottom="1560" w:left="851" w:header="709" w:footer="283" w:gutter="0"/>
          <w:cols w:space="708"/>
          <w:docGrid w:linePitch="360"/>
        </w:sectPr>
      </w:pPr>
    </w:p>
    <w:p w14:paraId="198A354A" w14:textId="430D2C45" w:rsidR="00F41315" w:rsidRDefault="00F41315" w:rsidP="00C8784D">
      <w:pPr>
        <w:spacing w:after="120"/>
        <w:rPr>
          <w:rFonts w:ascii="Calibri" w:hAnsi="Calibri" w:cs="Calibri"/>
          <w:i/>
          <w:iCs/>
          <w:color w:val="13576B"/>
          <w:sz w:val="23"/>
          <w:szCs w:val="23"/>
        </w:rPr>
      </w:pPr>
      <w:r w:rsidRPr="00F463BF">
        <w:rPr>
          <w:rFonts w:ascii="Calibri" w:hAnsi="Calibri" w:cs="Calibri"/>
          <w:b/>
          <w:color w:val="13576B"/>
          <w:sz w:val="23"/>
          <w:szCs w:val="23"/>
        </w:rPr>
        <w:t>Graf č. 2: Nov</w:t>
      </w:r>
      <w:r>
        <w:rPr>
          <w:rFonts w:ascii="Calibri" w:hAnsi="Calibri" w:cs="Calibri"/>
          <w:b/>
          <w:color w:val="13576B"/>
          <w:sz w:val="23"/>
          <w:szCs w:val="23"/>
        </w:rPr>
        <w:t xml:space="preserve">ě poskytnuté </w:t>
      </w:r>
      <w:r w:rsidRPr="00F463BF">
        <w:rPr>
          <w:rFonts w:ascii="Calibri" w:hAnsi="Calibri" w:cs="Calibri"/>
          <w:b/>
          <w:color w:val="13576B"/>
          <w:sz w:val="23"/>
          <w:szCs w:val="23"/>
        </w:rPr>
        <w:t>hypotéky bez refinancování</w:t>
      </w:r>
      <w:r w:rsidRPr="00F463BF">
        <w:rPr>
          <w:rFonts w:ascii="Calibri" w:hAnsi="Calibri" w:cs="Calibri"/>
          <w:b/>
          <w:color w:val="13576B"/>
          <w:sz w:val="23"/>
          <w:szCs w:val="23"/>
        </w:rPr>
        <w:br/>
      </w:r>
      <w:r w:rsidR="00B80702">
        <w:rPr>
          <w:rFonts w:ascii="Calibri" w:hAnsi="Calibri" w:cs="Calibri"/>
          <w:i/>
          <w:iCs/>
          <w:color w:val="13576B"/>
          <w:sz w:val="23"/>
          <w:szCs w:val="23"/>
        </w:rPr>
        <w:t xml:space="preserve">Září přineslo </w:t>
      </w:r>
      <w:r w:rsidR="00C66496">
        <w:rPr>
          <w:rFonts w:ascii="Calibri" w:hAnsi="Calibri" w:cs="Calibri"/>
          <w:i/>
          <w:iCs/>
          <w:color w:val="13576B"/>
          <w:sz w:val="23"/>
          <w:szCs w:val="23"/>
        </w:rPr>
        <w:t>mírné oživení</w:t>
      </w:r>
      <w:r w:rsidR="00B80702">
        <w:rPr>
          <w:rFonts w:ascii="Calibri" w:hAnsi="Calibri" w:cs="Calibri"/>
          <w:i/>
          <w:iCs/>
          <w:color w:val="13576B"/>
          <w:sz w:val="23"/>
          <w:szCs w:val="23"/>
        </w:rPr>
        <w:t xml:space="preserve"> objemu i počtu</w:t>
      </w:r>
      <w:r>
        <w:rPr>
          <w:rFonts w:ascii="Calibri" w:hAnsi="Calibri" w:cs="Calibri"/>
          <w:bCs/>
          <w:i/>
          <w:iCs/>
          <w:color w:val="13576B"/>
          <w:sz w:val="23"/>
          <w:szCs w:val="23"/>
        </w:rPr>
        <w:t xml:space="preserve"> nových </w:t>
      </w:r>
      <w:r w:rsidR="00B80702">
        <w:rPr>
          <w:rFonts w:ascii="Calibri" w:hAnsi="Calibri" w:cs="Calibri"/>
          <w:i/>
          <w:iCs/>
          <w:color w:val="13576B"/>
          <w:sz w:val="23"/>
          <w:szCs w:val="23"/>
        </w:rPr>
        <w:t>hypoték k silnějším úrovním posledních měsíců</w:t>
      </w:r>
      <w:r w:rsidR="00C66496">
        <w:rPr>
          <w:rFonts w:ascii="Calibri" w:hAnsi="Calibri" w:cs="Calibri"/>
          <w:i/>
          <w:iCs/>
          <w:color w:val="13576B"/>
          <w:sz w:val="23"/>
          <w:szCs w:val="23"/>
        </w:rPr>
        <w:t xml:space="preserve"> …</w:t>
      </w:r>
    </w:p>
    <w:p w14:paraId="580662E0" w14:textId="04100823" w:rsidR="00C66496" w:rsidRDefault="00C66496" w:rsidP="00C8784D">
      <w:pPr>
        <w:spacing w:after="120"/>
        <w:rPr>
          <w:rFonts w:ascii="Calibri" w:hAnsi="Calibri" w:cs="Calibri"/>
          <w:bCs/>
          <w:i/>
          <w:iCs/>
          <w:color w:val="13576B"/>
          <w:sz w:val="23"/>
          <w:szCs w:val="23"/>
        </w:rPr>
      </w:pPr>
      <w:r>
        <w:rPr>
          <w:rFonts w:ascii="Calibri Light" w:hAnsi="Calibri Light" w:cs="Calibri Light"/>
          <w:noProof/>
          <w:color w:val="13576B"/>
          <w:sz w:val="20"/>
        </w:rPr>
        <w:drawing>
          <wp:inline distT="0" distB="0" distL="0" distR="0" wp14:anchorId="7614CEA6" wp14:editId="3FA325CA">
            <wp:extent cx="2936487" cy="1917331"/>
            <wp:effectExtent l="0" t="0" r="0" b="6985"/>
            <wp:docPr id="202458866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910" cy="19443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2B0026" w14:textId="77777777" w:rsidR="00C66496" w:rsidRPr="00606031" w:rsidRDefault="00C66496" w:rsidP="00C66496">
      <w:pPr>
        <w:rPr>
          <w:rFonts w:ascii="Calibri" w:hAnsi="Calibri" w:cs="Calibri"/>
          <w:bCs/>
          <w:i/>
          <w:iCs/>
          <w:color w:val="EE0000"/>
          <w:sz w:val="23"/>
          <w:szCs w:val="23"/>
        </w:rPr>
      </w:pPr>
      <w:r>
        <w:rPr>
          <w:rFonts w:ascii="Calibri Light" w:hAnsi="Calibri Light" w:cs="Calibri Light"/>
          <w:color w:val="13576B"/>
          <w:sz w:val="20"/>
        </w:rPr>
        <w:t>P</w:t>
      </w:r>
      <w:r w:rsidRPr="00277397">
        <w:rPr>
          <w:rFonts w:ascii="Calibri Light" w:hAnsi="Calibri Light" w:cs="Calibri Light"/>
          <w:color w:val="13576B"/>
          <w:sz w:val="20"/>
        </w:rPr>
        <w:t>ramen:</w:t>
      </w:r>
      <w:r w:rsidRPr="00686618">
        <w:rPr>
          <w:rFonts w:ascii="Calibri Light" w:hAnsi="Calibri Light" w:cs="Calibri Light"/>
          <w:color w:val="13576B"/>
          <w:sz w:val="20"/>
        </w:rPr>
        <w:t xml:space="preserve"> Česká bankovní asociace, ČNB, ČSÚ, </w:t>
      </w:r>
      <w:proofErr w:type="spellStart"/>
      <w:r w:rsidRPr="00686618">
        <w:rPr>
          <w:rFonts w:ascii="Calibri Light" w:hAnsi="Calibri Light" w:cs="Calibri Light"/>
          <w:color w:val="13576B"/>
          <w:sz w:val="20"/>
        </w:rPr>
        <w:t>Flat</w:t>
      </w:r>
      <w:proofErr w:type="spellEnd"/>
      <w:r w:rsidRPr="00686618">
        <w:rPr>
          <w:rFonts w:ascii="Calibri Light" w:hAnsi="Calibri Light" w:cs="Calibri Light"/>
          <w:color w:val="13576B"/>
          <w:sz w:val="20"/>
        </w:rPr>
        <w:t xml:space="preserve"> </w:t>
      </w:r>
      <w:proofErr w:type="spellStart"/>
      <w:r w:rsidRPr="00686618">
        <w:rPr>
          <w:rFonts w:ascii="Calibri Light" w:hAnsi="Calibri Light" w:cs="Calibri Light"/>
          <w:color w:val="13576B"/>
          <w:sz w:val="20"/>
        </w:rPr>
        <w:t>Zone</w:t>
      </w:r>
      <w:proofErr w:type="spellEnd"/>
      <w:r w:rsidRPr="00277397">
        <w:rPr>
          <w:rFonts w:ascii="Calibri Light" w:hAnsi="Calibri Light" w:cs="Calibri Light"/>
          <w:color w:val="13576B"/>
          <w:sz w:val="20"/>
        </w:rPr>
        <w:t>.</w:t>
      </w:r>
    </w:p>
    <w:p w14:paraId="593F8D50" w14:textId="44DC5604" w:rsidR="001B2E5E" w:rsidRDefault="001B2E5E" w:rsidP="00C8784D">
      <w:pPr>
        <w:spacing w:after="120"/>
        <w:rPr>
          <w:rFonts w:ascii="Calibri" w:hAnsi="Calibri" w:cs="Calibri"/>
          <w:b/>
          <w:color w:val="13576B"/>
          <w:sz w:val="23"/>
          <w:szCs w:val="23"/>
        </w:rPr>
      </w:pPr>
      <w:r w:rsidRPr="00C42E87">
        <w:rPr>
          <w:rFonts w:ascii="Calibri" w:hAnsi="Calibri" w:cs="Calibri"/>
          <w:b/>
          <w:color w:val="13576B"/>
          <w:sz w:val="23"/>
          <w:szCs w:val="23"/>
        </w:rPr>
        <w:t xml:space="preserve">Graf č. </w:t>
      </w:r>
      <w:r w:rsidR="00E27948">
        <w:rPr>
          <w:rFonts w:ascii="Calibri" w:hAnsi="Calibri" w:cs="Calibri"/>
          <w:b/>
          <w:color w:val="13576B"/>
          <w:sz w:val="23"/>
          <w:szCs w:val="23"/>
        </w:rPr>
        <w:t>3:</w:t>
      </w:r>
      <w:r w:rsidRPr="00C42E87">
        <w:rPr>
          <w:rFonts w:ascii="Calibri" w:hAnsi="Calibri" w:cs="Calibri"/>
          <w:b/>
          <w:color w:val="13576B"/>
          <w:sz w:val="23"/>
          <w:szCs w:val="23"/>
        </w:rPr>
        <w:t xml:space="preserve"> Průměrná výše hypotéky podle účelu</w:t>
      </w:r>
      <w:r>
        <w:rPr>
          <w:rFonts w:ascii="Calibri" w:hAnsi="Calibri" w:cs="Calibri"/>
          <w:b/>
          <w:color w:val="13576B"/>
          <w:sz w:val="23"/>
          <w:szCs w:val="23"/>
        </w:rPr>
        <w:t xml:space="preserve"> </w:t>
      </w:r>
    </w:p>
    <w:p w14:paraId="133B2338" w14:textId="3432E1FB" w:rsidR="0021537B" w:rsidRDefault="0021537B">
      <w:pPr>
        <w:spacing w:after="120"/>
        <w:rPr>
          <w:rFonts w:ascii="Calibri" w:hAnsi="Calibri" w:cs="Calibri"/>
          <w:i/>
          <w:iCs/>
          <w:color w:val="13576B"/>
          <w:sz w:val="23"/>
          <w:szCs w:val="23"/>
        </w:rPr>
      </w:pPr>
      <w:r>
        <w:rPr>
          <w:rFonts w:ascii="Calibri" w:hAnsi="Calibri" w:cs="Calibri"/>
          <w:i/>
          <w:iCs/>
          <w:color w:val="13576B"/>
          <w:sz w:val="23"/>
          <w:szCs w:val="23"/>
        </w:rPr>
        <w:t xml:space="preserve">… současně se průměrná výše nové hypotéky </w:t>
      </w:r>
      <w:r w:rsidR="00C66496">
        <w:rPr>
          <w:rFonts w:ascii="Calibri" w:hAnsi="Calibri" w:cs="Calibri"/>
          <w:i/>
          <w:iCs/>
          <w:color w:val="13576B"/>
          <w:sz w:val="23"/>
          <w:szCs w:val="23"/>
        </w:rPr>
        <w:t xml:space="preserve">mírně </w:t>
      </w:r>
      <w:r>
        <w:rPr>
          <w:rFonts w:ascii="Calibri" w:hAnsi="Calibri" w:cs="Calibri"/>
          <w:i/>
          <w:iCs/>
          <w:color w:val="13576B"/>
          <w:sz w:val="23"/>
          <w:szCs w:val="23"/>
        </w:rPr>
        <w:t>zvýšila na 4,67 milionu Kč.</w:t>
      </w:r>
    </w:p>
    <w:p w14:paraId="227545EB" w14:textId="77777777" w:rsidR="00C66496" w:rsidRDefault="00C66496">
      <w:pPr>
        <w:spacing w:after="120"/>
        <w:rPr>
          <w:kern w:val="2"/>
          <w:szCs w:val="18"/>
          <w14:ligatures w14:val="standardContextual"/>
        </w:rPr>
      </w:pPr>
    </w:p>
    <w:p w14:paraId="64EBBCB8" w14:textId="0332F3E6" w:rsidR="00686618" w:rsidRDefault="00C66496" w:rsidP="00606031">
      <w:pPr>
        <w:rPr>
          <w:rFonts w:ascii="Calibri Light" w:hAnsi="Calibri Light" w:cs="Calibri Light"/>
          <w:noProof/>
          <w:color w:val="13576B"/>
          <w:sz w:val="20"/>
        </w:rPr>
      </w:pPr>
      <w:r>
        <w:rPr>
          <w:rFonts w:ascii="Calibri" w:hAnsi="Calibri" w:cs="Calibri"/>
          <w:b/>
          <w:bCs/>
          <w:noProof/>
          <w:sz w:val="22"/>
          <w:szCs w:val="22"/>
          <w:highlight w:val="yellow"/>
        </w:rPr>
        <w:drawing>
          <wp:inline distT="0" distB="0" distL="0" distR="0" wp14:anchorId="54C362D2" wp14:editId="2933C6F1">
            <wp:extent cx="3008847" cy="1793741"/>
            <wp:effectExtent l="0" t="0" r="1270" b="0"/>
            <wp:docPr id="41394439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070" cy="18016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D0766A" w14:textId="23D46AD9" w:rsidR="00D2301A" w:rsidRPr="00D24B00" w:rsidRDefault="00D2301A" w:rsidP="004A5428">
      <w:pPr>
        <w:rPr>
          <w:rFonts w:ascii="Calibri" w:hAnsi="Calibri" w:cs="Calibri"/>
          <w:b/>
          <w:bCs/>
          <w:sz w:val="22"/>
          <w:szCs w:val="22"/>
          <w:highlight w:val="yellow"/>
        </w:rPr>
      </w:pPr>
    </w:p>
    <w:p w14:paraId="432F9ABC" w14:textId="77777777" w:rsidR="00606031" w:rsidRDefault="004A5428" w:rsidP="004A5428">
      <w:pPr>
        <w:overflowPunct/>
        <w:autoSpaceDE/>
        <w:adjustRightInd/>
        <w:rPr>
          <w:rFonts w:ascii="Calibri Light" w:hAnsi="Calibri Light" w:cs="Calibri Light"/>
          <w:color w:val="13576B"/>
          <w:sz w:val="20"/>
        </w:rPr>
        <w:sectPr w:rsidR="00606031" w:rsidSect="00606031">
          <w:type w:val="continuous"/>
          <w:pgSz w:w="11906" w:h="16838"/>
          <w:pgMar w:top="2552" w:right="849" w:bottom="1560" w:left="851" w:header="709" w:footer="283" w:gutter="0"/>
          <w:cols w:num="2" w:space="708"/>
          <w:docGrid w:linePitch="360"/>
        </w:sectPr>
      </w:pPr>
      <w:r w:rsidRPr="002F4CBD">
        <w:rPr>
          <w:rFonts w:ascii="Calibri Light" w:hAnsi="Calibri Light" w:cs="Calibri Light"/>
          <w:color w:val="13576B"/>
          <w:sz w:val="20"/>
        </w:rPr>
        <w:t xml:space="preserve">Pramen: </w:t>
      </w:r>
      <w:r>
        <w:rPr>
          <w:rFonts w:ascii="Calibri Light" w:hAnsi="Calibri Light" w:cs="Calibri Light"/>
          <w:color w:val="13576B"/>
          <w:sz w:val="20"/>
        </w:rPr>
        <w:t xml:space="preserve">ČNB, </w:t>
      </w:r>
      <w:r w:rsidRPr="002F4CBD">
        <w:rPr>
          <w:rFonts w:ascii="Calibri Light" w:hAnsi="Calibri Light" w:cs="Calibri Light"/>
          <w:color w:val="13576B"/>
          <w:sz w:val="20"/>
        </w:rPr>
        <w:t xml:space="preserve">ČBA </w:t>
      </w:r>
      <w:proofErr w:type="spellStart"/>
      <w:r w:rsidRPr="002F4CBD">
        <w:rPr>
          <w:rFonts w:ascii="Calibri Light" w:hAnsi="Calibri Light" w:cs="Calibri Light"/>
          <w:color w:val="13576B"/>
          <w:sz w:val="20"/>
        </w:rPr>
        <w:t>Hypomonitor</w:t>
      </w:r>
      <w:proofErr w:type="spellEnd"/>
    </w:p>
    <w:bookmarkEnd w:id="1"/>
    <w:bookmarkEnd w:id="2"/>
    <w:bookmarkEnd w:id="3"/>
    <w:p w14:paraId="30A7E302" w14:textId="77777777" w:rsidR="00D94A5C" w:rsidRDefault="00D94A5C" w:rsidP="00845107">
      <w:pPr>
        <w:overflowPunct/>
        <w:autoSpaceDE/>
        <w:autoSpaceDN/>
        <w:adjustRightInd/>
        <w:textAlignment w:val="auto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2A63AA0E" w14:textId="77777777" w:rsidR="005E37F3" w:rsidRDefault="001B19BD" w:rsidP="00D85F85">
      <w:pPr>
        <w:overflowPunct/>
        <w:autoSpaceDE/>
        <w:autoSpaceDN/>
        <w:adjustRightInd/>
        <w:textAlignment w:val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Objem refinancovaných a navýšených úvěrů v září dosáhl 7,5 mld. Kč. </w:t>
      </w:r>
      <w:r>
        <w:rPr>
          <w:rFonts w:ascii="Calibri" w:hAnsi="Calibri" w:cs="Calibri"/>
          <w:color w:val="000000"/>
          <w:sz w:val="22"/>
          <w:szCs w:val="22"/>
        </w:rPr>
        <w:t>Byl tak o 6 % nad průměrem roku 2025 a o 91 % nad průměrem roku 2024. Podíl refinancování na celkovém objemu klesl na 21,1 %</w:t>
      </w:r>
      <w:r w:rsidR="00C66496">
        <w:rPr>
          <w:rFonts w:ascii="Calibri" w:hAnsi="Calibri" w:cs="Calibri"/>
          <w:color w:val="000000"/>
          <w:sz w:val="22"/>
          <w:szCs w:val="22"/>
        </w:rPr>
        <w:t xml:space="preserve">, přičemž během února a června dosáhl 27 %. V září se tak nacházel </w:t>
      </w:r>
      <w:r>
        <w:rPr>
          <w:rFonts w:ascii="Calibri" w:hAnsi="Calibri" w:cs="Calibri"/>
          <w:color w:val="000000"/>
          <w:sz w:val="22"/>
          <w:szCs w:val="22"/>
        </w:rPr>
        <w:t xml:space="preserve">poblíž loňského průměru. </w:t>
      </w:r>
      <w:r w:rsidR="00C66496">
        <w:rPr>
          <w:rFonts w:ascii="Calibri" w:hAnsi="Calibri" w:cs="Calibri"/>
          <w:color w:val="000000"/>
          <w:sz w:val="22"/>
          <w:szCs w:val="22"/>
        </w:rPr>
        <w:t>Ovšem z</w:t>
      </w:r>
      <w:r>
        <w:rPr>
          <w:rFonts w:ascii="Calibri" w:hAnsi="Calibri" w:cs="Calibri"/>
          <w:color w:val="000000"/>
          <w:sz w:val="22"/>
          <w:szCs w:val="22"/>
        </w:rPr>
        <w:t>ůstává nad 17,2% podílem z let 2022–2023, ale pod téměř 29% podílem z let 2020–2021.</w:t>
      </w:r>
      <w:r w:rsidR="00C6649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5E37F3">
        <w:rPr>
          <w:rFonts w:ascii="Calibri" w:hAnsi="Calibri" w:cs="Calibri"/>
          <w:color w:val="000000"/>
          <w:sz w:val="22"/>
          <w:szCs w:val="22"/>
        </w:rPr>
        <w:t xml:space="preserve">Průměrná sazba u refinancovaných hypoték v září činila 5,05 %, o 0,55 procentního bodu více než před rokem. </w:t>
      </w:r>
    </w:p>
    <w:p w14:paraId="56086AEA" w14:textId="77777777" w:rsidR="005E37F3" w:rsidRDefault="005E37F3" w:rsidP="00D85F85">
      <w:pPr>
        <w:overflowPunct/>
        <w:autoSpaceDE/>
        <w:autoSpaceDN/>
        <w:adjustRightInd/>
        <w:textAlignment w:val="auto"/>
        <w:rPr>
          <w:rFonts w:ascii="Calibri" w:hAnsi="Calibri" w:cs="Calibri"/>
          <w:color w:val="000000"/>
          <w:sz w:val="22"/>
          <w:szCs w:val="22"/>
        </w:rPr>
      </w:pPr>
    </w:p>
    <w:p w14:paraId="6EFA886B" w14:textId="40F4028B" w:rsidR="00F41315" w:rsidRDefault="00C66496" w:rsidP="00D85F85">
      <w:pPr>
        <w:overflowPunct/>
        <w:autoSpaceDE/>
        <w:autoSpaceDN/>
        <w:adjustRightInd/>
        <w:textAlignment w:val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Pokud zůstal podíl externího refinancování na končících refixací</w:t>
      </w:r>
      <w:r w:rsidR="00DF1993">
        <w:rPr>
          <w:rFonts w:ascii="Calibri" w:hAnsi="Calibri" w:cs="Calibri"/>
          <w:color w:val="000000"/>
          <w:sz w:val="22"/>
          <w:szCs w:val="22"/>
        </w:rPr>
        <w:t>ch</w:t>
      </w:r>
      <w:r>
        <w:rPr>
          <w:rFonts w:ascii="Calibri" w:hAnsi="Calibri" w:cs="Calibri"/>
          <w:color w:val="000000"/>
          <w:sz w:val="22"/>
          <w:szCs w:val="22"/>
        </w:rPr>
        <w:t xml:space="preserve"> neměnný, pak to naznačuje i jistou formu předzásobení se nižšími úrokovými sazbami i v případě letošních končicích fixací. </w:t>
      </w:r>
      <w:r w:rsidR="00077237">
        <w:rPr>
          <w:rFonts w:ascii="Calibri" w:hAnsi="Calibri" w:cs="Calibri"/>
          <w:color w:val="000000"/>
          <w:sz w:val="22"/>
          <w:szCs w:val="22"/>
        </w:rPr>
        <w:t>Zvýšené</w:t>
      </w:r>
      <w:r w:rsidR="00F41315" w:rsidRPr="00D85F85">
        <w:rPr>
          <w:rFonts w:ascii="Calibri" w:hAnsi="Calibri" w:cs="Calibri"/>
          <w:color w:val="000000"/>
          <w:sz w:val="22"/>
          <w:szCs w:val="22"/>
        </w:rPr>
        <w:t xml:space="preserve"> objemy refinancování odrážejí souběh delších fixací z období </w:t>
      </w:r>
      <w:r w:rsidR="00077237">
        <w:rPr>
          <w:rFonts w:ascii="Calibri" w:hAnsi="Calibri" w:cs="Calibri"/>
          <w:color w:val="000000"/>
          <w:sz w:val="22"/>
          <w:szCs w:val="22"/>
        </w:rPr>
        <w:t xml:space="preserve">mimořádně </w:t>
      </w:r>
      <w:r w:rsidR="00F41315" w:rsidRPr="00D85F85">
        <w:rPr>
          <w:rFonts w:ascii="Calibri" w:hAnsi="Calibri" w:cs="Calibri"/>
          <w:color w:val="000000"/>
          <w:sz w:val="22"/>
          <w:szCs w:val="22"/>
        </w:rPr>
        <w:t xml:space="preserve">nízkých sazeb a kratších fixací z nedávného období </w:t>
      </w:r>
      <w:r w:rsidR="00077237">
        <w:rPr>
          <w:rFonts w:ascii="Calibri" w:hAnsi="Calibri" w:cs="Calibri"/>
          <w:color w:val="000000"/>
          <w:sz w:val="22"/>
          <w:szCs w:val="22"/>
        </w:rPr>
        <w:t>vyšší ceny peněz. Pro část domácností tak refixace znamená citelné zvýšení splátky, u úvěrů uzavřených v roce 2023</w:t>
      </w:r>
      <w:r>
        <w:rPr>
          <w:rFonts w:ascii="Calibri" w:hAnsi="Calibri" w:cs="Calibri"/>
          <w:color w:val="000000"/>
          <w:sz w:val="22"/>
          <w:szCs w:val="22"/>
        </w:rPr>
        <w:t xml:space="preserve"> s hypoteční úrokovou sazbou 5,82 %</w:t>
      </w:r>
      <w:r w:rsidR="00077237">
        <w:rPr>
          <w:rFonts w:ascii="Calibri" w:hAnsi="Calibri" w:cs="Calibri"/>
          <w:color w:val="000000"/>
          <w:sz w:val="22"/>
          <w:szCs w:val="22"/>
        </w:rPr>
        <w:t xml:space="preserve"> naopak může přinést mírnou úlevu.</w:t>
      </w:r>
    </w:p>
    <w:p w14:paraId="0EC5EB32" w14:textId="77777777" w:rsidR="00D85F85" w:rsidRDefault="00D85F85" w:rsidP="00D85F85">
      <w:pPr>
        <w:overflowPunct/>
        <w:autoSpaceDE/>
        <w:autoSpaceDN/>
        <w:adjustRightInd/>
        <w:textAlignment w:val="auto"/>
        <w:rPr>
          <w:rFonts w:ascii="Calibri" w:hAnsi="Calibri" w:cs="Calibri"/>
          <w:color w:val="000000"/>
          <w:sz w:val="22"/>
          <w:szCs w:val="22"/>
        </w:rPr>
      </w:pPr>
    </w:p>
    <w:p w14:paraId="38A6516B" w14:textId="6EDCB3D4" w:rsidR="00436085" w:rsidRPr="00D66D1C" w:rsidRDefault="00436085" w:rsidP="00E720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alibri" w:eastAsia="Calibri" w:hAnsi="Calibri" w:cs="Calibri"/>
          <w:sz w:val="22"/>
          <w:szCs w:val="22"/>
        </w:rPr>
      </w:pPr>
      <w:r w:rsidRPr="00ED1168">
        <w:rPr>
          <w:rFonts w:ascii="Calibri" w:hAnsi="Calibri" w:cs="Calibri"/>
          <w:i/>
          <w:iCs/>
          <w:color w:val="000000" w:themeColor="text1"/>
          <w:sz w:val="22"/>
          <w:szCs w:val="22"/>
        </w:rPr>
        <w:t>„</w:t>
      </w:r>
      <w:r w:rsidR="00ED1168" w:rsidRPr="00ED1168">
        <w:rPr>
          <w:rFonts w:ascii="Calibri" w:hAnsi="Calibri" w:cs="Calibri"/>
          <w:i/>
          <w:iCs/>
          <w:color w:val="000000" w:themeColor="text1"/>
          <w:sz w:val="22"/>
          <w:szCs w:val="22"/>
        </w:rPr>
        <w:t>Důležitou roli na hypotečním trhu nyní hraje také ochota bank vyjít klientům vstříc a nabídnout jim příznivější podmínky i za cenu nízkých marží, tedy na úkor vlastních krátkodobých obchodních zájmů. Domácnosti musí pečlivěji zvažovat výši úvěru, únosnost měsíční splátky i délku fixace. Rozhodnutí o kratší fixaci by nemělo stát pouze na očekávání brzkého poklesu sazeb, ale především na schopnosti domácnosti zvládnout i méně příznivý vývoj</w:t>
      </w:r>
      <w:r w:rsidR="006F129E" w:rsidRPr="00D66D1C">
        <w:rPr>
          <w:rFonts w:ascii="Calibri" w:hAnsi="Calibri" w:cs="Calibri"/>
          <w:i/>
          <w:iCs/>
          <w:sz w:val="22"/>
          <w:szCs w:val="22"/>
        </w:rPr>
        <w:t xml:space="preserve">,“ </w:t>
      </w:r>
      <w:r w:rsidR="00ED1168">
        <w:rPr>
          <w:rFonts w:ascii="Calibri" w:hAnsi="Calibri" w:cs="Calibri"/>
          <w:sz w:val="22"/>
          <w:szCs w:val="22"/>
        </w:rPr>
        <w:t>dodává</w:t>
      </w:r>
      <w:r w:rsidR="006F129E" w:rsidRPr="00D66D1C">
        <w:rPr>
          <w:rFonts w:ascii="Calibri" w:hAnsi="Calibri" w:cs="Calibri"/>
          <w:sz w:val="22"/>
          <w:szCs w:val="22"/>
        </w:rPr>
        <w:t xml:space="preserve"> </w:t>
      </w:r>
      <w:r w:rsidR="00ED1168" w:rsidRPr="00ED1168">
        <w:rPr>
          <w:rFonts w:ascii="Calibri" w:hAnsi="Calibri" w:cs="Calibri"/>
          <w:b/>
          <w:bCs/>
          <w:sz w:val="22"/>
          <w:szCs w:val="22"/>
        </w:rPr>
        <w:t>Jan Fajfr, vedoucí úvěrových produktů klientské divize Fio banky</w:t>
      </w:r>
      <w:r w:rsidR="006F129E" w:rsidRPr="00D66D1C">
        <w:rPr>
          <w:rFonts w:ascii="Calibri" w:hAnsi="Calibri" w:cs="Calibri"/>
          <w:b/>
          <w:bCs/>
          <w:sz w:val="22"/>
          <w:szCs w:val="22"/>
        </w:rPr>
        <w:t>.</w:t>
      </w:r>
      <w:r w:rsidRPr="00D66D1C">
        <w:rPr>
          <w:rFonts w:ascii="Calibri" w:hAnsi="Calibri" w:cs="Calibri"/>
          <w:sz w:val="22"/>
          <w:szCs w:val="22"/>
        </w:rPr>
        <w:t xml:space="preserve"> </w:t>
      </w:r>
    </w:p>
    <w:p w14:paraId="0A09737B" w14:textId="77777777" w:rsidR="00652484" w:rsidRDefault="00652484" w:rsidP="00436085">
      <w:pPr>
        <w:rPr>
          <w:rFonts w:ascii="Calibri" w:hAnsi="Calibri" w:cs="Calibri"/>
          <w:b/>
          <w:color w:val="13576B"/>
          <w:sz w:val="23"/>
          <w:szCs w:val="23"/>
        </w:rPr>
      </w:pPr>
    </w:p>
    <w:p w14:paraId="17D6276F" w14:textId="313D2EC9" w:rsidR="00F41315" w:rsidRDefault="00137FC3" w:rsidP="00436085">
      <w:pPr>
        <w:rPr>
          <w:rFonts w:ascii="Calibri" w:hAnsi="Calibri" w:cs="Calibri"/>
          <w:b/>
          <w:color w:val="13576B"/>
          <w:sz w:val="23"/>
          <w:szCs w:val="23"/>
        </w:rPr>
      </w:pPr>
      <w:r>
        <w:rPr>
          <w:rFonts w:ascii="Calibri" w:hAnsi="Calibri" w:cs="Calibri"/>
          <w:b/>
          <w:bCs/>
          <w:color w:val="13576B"/>
          <w:sz w:val="23"/>
          <w:szCs w:val="23"/>
        </w:rPr>
        <w:t xml:space="preserve">Průměrná hypoteční sazba vzrostla na 5,1 </w:t>
      </w:r>
      <w:r w:rsidR="005E37F3">
        <w:rPr>
          <w:rFonts w:ascii="Calibri" w:hAnsi="Calibri" w:cs="Calibri"/>
          <w:b/>
          <w:bCs/>
          <w:color w:val="13576B"/>
          <w:sz w:val="23"/>
          <w:szCs w:val="23"/>
        </w:rPr>
        <w:t xml:space="preserve">% a propustila tak pouze částečně tlak z vyšších tržních úrokových sazeb </w:t>
      </w:r>
    </w:p>
    <w:p w14:paraId="2F36AF22" w14:textId="77777777" w:rsidR="004332EC" w:rsidRDefault="004332EC" w:rsidP="00436085">
      <w:pPr>
        <w:rPr>
          <w:rFonts w:ascii="Calibri" w:hAnsi="Calibri" w:cs="Calibri"/>
          <w:b/>
          <w:color w:val="000000" w:themeColor="text1"/>
          <w:sz w:val="23"/>
          <w:szCs w:val="23"/>
        </w:rPr>
      </w:pPr>
    </w:p>
    <w:p w14:paraId="05D2741B" w14:textId="3AE72780" w:rsidR="00F41315" w:rsidRPr="00B369F2" w:rsidRDefault="00F41315" w:rsidP="00F86368">
      <w:pPr>
        <w:rPr>
          <w:rFonts w:ascii="Calibri" w:hAnsi="Calibri" w:cs="Calibri"/>
          <w:bCs/>
          <w:color w:val="000000" w:themeColor="text1"/>
          <w:sz w:val="23"/>
          <w:szCs w:val="23"/>
        </w:rPr>
      </w:pPr>
      <w:r w:rsidRPr="00701676">
        <w:rPr>
          <w:rFonts w:ascii="Calibri" w:hAnsi="Calibri" w:cs="Calibri"/>
          <w:b/>
          <w:color w:val="000000"/>
          <w:sz w:val="23"/>
          <w:szCs w:val="23"/>
        </w:rPr>
        <w:t xml:space="preserve">Průměrná realizovaná úroková sazba u nových hypoték v </w:t>
      </w:r>
      <w:r w:rsidR="00701676">
        <w:rPr>
          <w:rFonts w:ascii="Calibri" w:hAnsi="Calibri" w:cs="Calibri"/>
          <w:b/>
          <w:bCs/>
          <w:color w:val="000000"/>
          <w:sz w:val="23"/>
          <w:szCs w:val="23"/>
        </w:rPr>
        <w:t>září</w:t>
      </w:r>
      <w:r w:rsidRPr="00701676">
        <w:rPr>
          <w:rFonts w:ascii="Calibri" w:hAnsi="Calibri" w:cs="Calibri"/>
          <w:b/>
          <w:color w:val="000000"/>
          <w:sz w:val="23"/>
          <w:szCs w:val="23"/>
        </w:rPr>
        <w:t xml:space="preserve"> dále vzrostla na 5</w:t>
      </w:r>
      <w:r w:rsidR="00701676">
        <w:rPr>
          <w:rFonts w:ascii="Calibri" w:hAnsi="Calibri" w:cs="Calibri"/>
          <w:b/>
          <w:bCs/>
          <w:color w:val="000000"/>
          <w:sz w:val="23"/>
          <w:szCs w:val="23"/>
        </w:rPr>
        <w:t xml:space="preserve">,1 % ze srpnových 5,0 %. </w:t>
      </w:r>
      <w:r w:rsidR="00701676">
        <w:rPr>
          <w:rFonts w:ascii="Calibri" w:hAnsi="Calibri" w:cs="Calibri"/>
          <w:color w:val="000000"/>
          <w:sz w:val="23"/>
          <w:szCs w:val="23"/>
        </w:rPr>
        <w:t>Byla</w:t>
      </w:r>
      <w:r w:rsidRPr="00701676">
        <w:rPr>
          <w:rFonts w:ascii="Calibri" w:hAnsi="Calibri" w:cs="Calibri"/>
          <w:color w:val="000000"/>
          <w:sz w:val="23"/>
          <w:szCs w:val="23"/>
        </w:rPr>
        <w:t xml:space="preserve"> tak o </w:t>
      </w:r>
      <w:r w:rsidR="00701676">
        <w:rPr>
          <w:rFonts w:ascii="Calibri" w:hAnsi="Calibri" w:cs="Calibri"/>
          <w:color w:val="000000"/>
          <w:sz w:val="23"/>
          <w:szCs w:val="23"/>
        </w:rPr>
        <w:t xml:space="preserve">0,58 </w:t>
      </w:r>
      <w:r w:rsidRPr="00701676">
        <w:rPr>
          <w:rFonts w:ascii="Calibri" w:hAnsi="Calibri" w:cs="Calibri"/>
          <w:color w:val="000000"/>
          <w:sz w:val="23"/>
          <w:szCs w:val="23"/>
        </w:rPr>
        <w:t>procentního bodu výše než před rokem</w:t>
      </w:r>
      <w:r w:rsidR="005E37F3">
        <w:rPr>
          <w:rFonts w:ascii="Calibri" w:hAnsi="Calibri" w:cs="Calibri"/>
          <w:color w:val="000000"/>
          <w:sz w:val="23"/>
          <w:szCs w:val="23"/>
        </w:rPr>
        <w:t>. Svého nedávného dna dosáhla hypoteční úroková sazba v letošním březnu se 4,43 %, tedy po obratu ve smýšlení o budoucím nastavení měnové politiky</w:t>
      </w:r>
      <w:r w:rsidR="00701676">
        <w:rPr>
          <w:rFonts w:ascii="Calibri" w:hAnsi="Calibri" w:cs="Calibri"/>
          <w:color w:val="000000"/>
          <w:sz w:val="23"/>
          <w:szCs w:val="23"/>
        </w:rPr>
        <w:t xml:space="preserve">. U hypotéky v aktuální průměrné výši tento meziroční posun sazby </w:t>
      </w:r>
      <w:r w:rsidRPr="00701676">
        <w:rPr>
          <w:rFonts w:ascii="Calibri" w:hAnsi="Calibri" w:cs="Calibri"/>
          <w:color w:val="000000"/>
          <w:sz w:val="23"/>
          <w:szCs w:val="23"/>
        </w:rPr>
        <w:t>zvyšuje ilustrativní měsíční splátku přibližně o 1,</w:t>
      </w:r>
      <w:r w:rsidR="00701676">
        <w:rPr>
          <w:rFonts w:ascii="Calibri" w:hAnsi="Calibri" w:cs="Calibri"/>
          <w:color w:val="000000"/>
          <w:sz w:val="23"/>
          <w:szCs w:val="23"/>
        </w:rPr>
        <w:t>5 tisíce Kč, tedy asi o 1,5</w:t>
      </w:r>
      <w:r w:rsidRPr="00701676">
        <w:rPr>
          <w:rFonts w:ascii="Calibri" w:hAnsi="Calibri" w:cs="Calibri"/>
          <w:color w:val="000000"/>
          <w:sz w:val="23"/>
          <w:szCs w:val="23"/>
        </w:rPr>
        <w:t xml:space="preserve"> % čistého příjmu žadatele. Pro srovnání průměrná </w:t>
      </w:r>
      <w:r w:rsidR="00701676">
        <w:rPr>
          <w:rFonts w:ascii="Calibri" w:hAnsi="Calibri" w:cs="Calibri"/>
          <w:color w:val="000000"/>
          <w:sz w:val="23"/>
          <w:szCs w:val="23"/>
        </w:rPr>
        <w:t xml:space="preserve">sazba </w:t>
      </w:r>
      <w:r w:rsidRPr="00701676">
        <w:rPr>
          <w:rFonts w:ascii="Calibri" w:hAnsi="Calibri" w:cs="Calibri"/>
          <w:color w:val="000000"/>
          <w:sz w:val="23"/>
          <w:szCs w:val="23"/>
        </w:rPr>
        <w:t xml:space="preserve">v roce 2025 </w:t>
      </w:r>
      <w:r w:rsidR="00701676">
        <w:rPr>
          <w:rFonts w:ascii="Calibri" w:hAnsi="Calibri" w:cs="Calibri"/>
          <w:color w:val="000000"/>
          <w:sz w:val="23"/>
          <w:szCs w:val="23"/>
        </w:rPr>
        <w:t xml:space="preserve">činila </w:t>
      </w:r>
      <w:r w:rsidRPr="00701676">
        <w:rPr>
          <w:rFonts w:ascii="Calibri" w:hAnsi="Calibri" w:cs="Calibri"/>
          <w:color w:val="000000"/>
          <w:sz w:val="23"/>
          <w:szCs w:val="23"/>
        </w:rPr>
        <w:t xml:space="preserve">4,58 % a </w:t>
      </w:r>
      <w:r w:rsidR="00701676">
        <w:rPr>
          <w:rFonts w:ascii="Calibri" w:hAnsi="Calibri" w:cs="Calibri"/>
          <w:color w:val="000000"/>
          <w:sz w:val="23"/>
          <w:szCs w:val="23"/>
        </w:rPr>
        <w:t>v roce</w:t>
      </w:r>
      <w:r w:rsidRPr="00701676">
        <w:rPr>
          <w:rFonts w:ascii="Calibri" w:hAnsi="Calibri" w:cs="Calibri"/>
          <w:color w:val="000000"/>
          <w:sz w:val="23"/>
          <w:szCs w:val="23"/>
        </w:rPr>
        <w:t xml:space="preserve"> 2024</w:t>
      </w:r>
      <w:r w:rsidR="00701676">
        <w:rPr>
          <w:rFonts w:ascii="Calibri" w:hAnsi="Calibri" w:cs="Calibri"/>
          <w:color w:val="000000"/>
          <w:sz w:val="23"/>
          <w:szCs w:val="23"/>
        </w:rPr>
        <w:t xml:space="preserve"> dosáhla 5,07 %.</w:t>
      </w:r>
    </w:p>
    <w:p w14:paraId="40C0AEE7" w14:textId="77777777" w:rsidR="004332EC" w:rsidRDefault="004332EC" w:rsidP="00F86368">
      <w:pPr>
        <w:rPr>
          <w:rFonts w:ascii="Calibri" w:hAnsi="Calibri" w:cs="Calibri"/>
          <w:bCs/>
          <w:color w:val="000000" w:themeColor="text1"/>
          <w:sz w:val="23"/>
          <w:szCs w:val="23"/>
        </w:rPr>
      </w:pPr>
    </w:p>
    <w:p w14:paraId="693D712E" w14:textId="77777777" w:rsidR="009D68B5" w:rsidRDefault="00B86655" w:rsidP="009D68B5">
      <w:pPr>
        <w:rPr>
          <w:rFonts w:ascii="Calibri" w:hAnsi="Calibri" w:cs="Calibri"/>
          <w:color w:val="000000" w:themeColor="text1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Zářijová hypoteční sazba byla o 0,31 procentního bodu nad </w:t>
      </w:r>
      <w:r w:rsidR="005E37F3">
        <w:rPr>
          <w:rFonts w:ascii="Calibri" w:hAnsi="Calibri" w:cs="Calibri"/>
          <w:b/>
          <w:bCs/>
          <w:color w:val="000000"/>
          <w:sz w:val="23"/>
          <w:szCs w:val="23"/>
        </w:rPr>
        <w:t xml:space="preserve">zářijovým </w:t>
      </w: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průměrem relevantních tržních swapových sazeb. </w:t>
      </w:r>
      <w:r>
        <w:rPr>
          <w:rFonts w:ascii="Calibri" w:hAnsi="Calibri" w:cs="Calibri"/>
          <w:color w:val="000000"/>
          <w:sz w:val="23"/>
          <w:szCs w:val="23"/>
        </w:rPr>
        <w:t xml:space="preserve">Rozpětí se tak proti předchozím třem měsícům zúžilo a zůstalo výrazně pod dlouhodobým průměrem okolo jednoho procentního bodu. Banky dosavadní růst tržní ceny peněz promítaly do klientských sazeb pouze postupně; zářijový </w:t>
      </w:r>
      <w:r w:rsidR="005E37F3">
        <w:rPr>
          <w:rFonts w:ascii="Calibri" w:hAnsi="Calibri" w:cs="Calibri"/>
          <w:color w:val="000000"/>
          <w:sz w:val="23"/>
          <w:szCs w:val="23"/>
        </w:rPr>
        <w:t xml:space="preserve">a říjnový </w:t>
      </w:r>
      <w:r>
        <w:rPr>
          <w:rFonts w:ascii="Calibri" w:hAnsi="Calibri" w:cs="Calibri"/>
          <w:color w:val="000000"/>
          <w:sz w:val="23"/>
          <w:szCs w:val="23"/>
        </w:rPr>
        <w:t xml:space="preserve">vzestup </w:t>
      </w:r>
      <w:r w:rsidR="005E37F3">
        <w:rPr>
          <w:rFonts w:ascii="Calibri" w:hAnsi="Calibri" w:cs="Calibri"/>
          <w:color w:val="000000"/>
          <w:sz w:val="23"/>
          <w:szCs w:val="23"/>
        </w:rPr>
        <w:t xml:space="preserve">úrokových </w:t>
      </w:r>
      <w:r>
        <w:rPr>
          <w:rFonts w:ascii="Calibri" w:hAnsi="Calibri" w:cs="Calibri"/>
          <w:color w:val="000000"/>
          <w:sz w:val="23"/>
          <w:szCs w:val="23"/>
        </w:rPr>
        <w:t>swapů však</w:t>
      </w:r>
      <w:r w:rsidR="005E37F3">
        <w:rPr>
          <w:rFonts w:ascii="Calibri" w:hAnsi="Calibri" w:cs="Calibri"/>
          <w:color w:val="000000"/>
          <w:sz w:val="23"/>
          <w:szCs w:val="23"/>
        </w:rPr>
        <w:t xml:space="preserve"> vytváří další tlak na hypoteční sazby. </w:t>
      </w:r>
      <w:hyperlink r:id="rId18" w:history="1">
        <w:r w:rsidR="009D68B5" w:rsidRPr="00F86368">
          <w:rPr>
            <w:rStyle w:val="Hypertextovodkaz"/>
            <w:rFonts w:ascii="Calibri" w:hAnsi="Calibri" w:cs="Calibri"/>
            <w:b/>
            <w:bCs/>
            <w:sz w:val="23"/>
            <w:szCs w:val="23"/>
          </w:rPr>
          <w:t>V naší studii</w:t>
        </w:r>
      </w:hyperlink>
      <w:r w:rsidR="009D68B5" w:rsidRPr="00F86368">
        <w:rPr>
          <w:rFonts w:ascii="Calibri" w:hAnsi="Calibri" w:cs="Calibri"/>
          <w:b/>
          <w:bCs/>
          <w:color w:val="13576B"/>
          <w:sz w:val="23"/>
          <w:szCs w:val="23"/>
        </w:rPr>
        <w:t xml:space="preserve"> </w:t>
      </w:r>
      <w:r w:rsidR="009D68B5" w:rsidRPr="00F86368">
        <w:rPr>
          <w:rFonts w:ascii="Calibri" w:hAnsi="Calibri" w:cs="Calibri"/>
          <w:color w:val="000000" w:themeColor="text1"/>
          <w:sz w:val="23"/>
          <w:szCs w:val="23"/>
        </w:rPr>
        <w:t xml:space="preserve">jsme poukázali na strukturální faktory, především sílu poptávky na konkurenčním trhu, které ovlivňují </w:t>
      </w:r>
      <w:r w:rsidR="009D68B5" w:rsidRPr="00150AA5">
        <w:rPr>
          <w:rFonts w:ascii="Calibri" w:hAnsi="Calibri" w:cs="Calibri"/>
          <w:color w:val="000000" w:themeColor="text1"/>
          <w:sz w:val="23"/>
          <w:szCs w:val="23"/>
        </w:rPr>
        <w:t>přenos tržních sazeb do sazeb hypotečních úvěrů</w:t>
      </w:r>
      <w:r w:rsidR="009D68B5" w:rsidRPr="00F86368">
        <w:rPr>
          <w:rFonts w:ascii="Calibri" w:hAnsi="Calibri" w:cs="Calibri"/>
          <w:color w:val="000000" w:themeColor="text1"/>
          <w:sz w:val="23"/>
          <w:szCs w:val="23"/>
        </w:rPr>
        <w:t>.</w:t>
      </w:r>
      <w:r w:rsidR="009D68B5">
        <w:rPr>
          <w:rFonts w:ascii="Calibri" w:hAnsi="Calibri" w:cs="Calibri"/>
          <w:color w:val="000000" w:themeColor="text1"/>
          <w:sz w:val="23"/>
          <w:szCs w:val="23"/>
        </w:rPr>
        <w:t xml:space="preserve"> </w:t>
      </w:r>
      <w:r w:rsidR="009D68B5" w:rsidRPr="00150AA5">
        <w:rPr>
          <w:rFonts w:ascii="Calibri" w:hAnsi="Calibri" w:cs="Calibri"/>
          <w:color w:val="000000" w:themeColor="text1"/>
          <w:sz w:val="23"/>
          <w:szCs w:val="23"/>
        </w:rPr>
        <w:t xml:space="preserve">Nové šetření však naznačuje, že ve třetím čtvrtletí může chybět impuls, který by udržel hypoteční sazby výrazněji pod tržními swapovými sazbami. </w:t>
      </w:r>
      <w:r w:rsidR="009D68B5">
        <w:rPr>
          <w:rFonts w:ascii="Calibri" w:hAnsi="Calibri" w:cs="Calibri"/>
          <w:color w:val="000000" w:themeColor="text1"/>
          <w:sz w:val="23"/>
          <w:szCs w:val="23"/>
        </w:rPr>
        <w:t xml:space="preserve">Blíže viz zde: </w:t>
      </w:r>
      <w:hyperlink r:id="rId19" w:history="1">
        <w:r w:rsidR="009D68B5" w:rsidRPr="001E66E9">
          <w:rPr>
            <w:rStyle w:val="Hypertextovodkaz"/>
            <w:rFonts w:asciiTheme="majorHAnsi" w:hAnsiTheme="majorHAnsi" w:cstheme="majorHAnsi"/>
            <w:sz w:val="23"/>
            <w:szCs w:val="23"/>
          </w:rPr>
          <w:t>Hypoteční standardy se zpřísnily, ale nejen silná poptávka tlumila dopad do úvěrových podmínek</w:t>
        </w:r>
      </w:hyperlink>
      <w:r w:rsidR="009D68B5" w:rsidRPr="001E66E9">
        <w:rPr>
          <w:rFonts w:asciiTheme="majorHAnsi" w:hAnsiTheme="majorHAnsi" w:cstheme="majorHAnsi"/>
          <w:sz w:val="23"/>
          <w:szCs w:val="23"/>
        </w:rPr>
        <w:t>.</w:t>
      </w:r>
      <w:r w:rsidR="009D68B5" w:rsidRPr="001E66E9">
        <w:rPr>
          <w:sz w:val="24"/>
          <w:szCs w:val="28"/>
        </w:rPr>
        <w:t xml:space="preserve"> </w:t>
      </w:r>
    </w:p>
    <w:p w14:paraId="0C1EE4EE" w14:textId="046BCF0E" w:rsidR="00F86368" w:rsidRDefault="00F86368" w:rsidP="00F86368">
      <w:pPr>
        <w:rPr>
          <w:rFonts w:ascii="Calibri" w:hAnsi="Calibri" w:cs="Calibri"/>
          <w:bCs/>
          <w:color w:val="000000" w:themeColor="text1"/>
          <w:sz w:val="23"/>
          <w:szCs w:val="23"/>
        </w:rPr>
      </w:pPr>
    </w:p>
    <w:p w14:paraId="6C74E0D7" w14:textId="42649512" w:rsidR="00FB337C" w:rsidRDefault="005E37F3">
      <w:pPr>
        <w:rPr>
          <w:kern w:val="2"/>
          <w:szCs w:val="18"/>
          <w14:ligatures w14:val="standardContextual"/>
        </w:rPr>
      </w:pPr>
      <w:r w:rsidRPr="00486BC4">
        <w:rPr>
          <w:rFonts w:ascii="Calibri" w:hAnsi="Calibri" w:cs="Calibri"/>
          <w:b/>
          <w:color w:val="000000" w:themeColor="text1"/>
          <w:sz w:val="23"/>
          <w:szCs w:val="23"/>
        </w:rPr>
        <w:t>České tržní delší úrokové sazby,</w:t>
      </w:r>
      <w:r w:rsidRPr="00486BC4">
        <w:rPr>
          <w:rStyle w:val="Znakapoznpodarou"/>
          <w:rFonts w:ascii="Calibri" w:hAnsi="Calibri" w:cs="Calibri"/>
          <w:b/>
          <w:i/>
          <w:iCs/>
          <w:color w:val="000000" w:themeColor="text1"/>
          <w:sz w:val="22"/>
          <w:szCs w:val="22"/>
        </w:rPr>
        <w:footnoteReference w:id="1"/>
      </w:r>
      <w:r>
        <w:rPr>
          <w:rFonts w:ascii="Calibri" w:hAnsi="Calibri" w:cs="Calibri"/>
          <w:b/>
          <w:color w:val="000000" w:themeColor="text1"/>
          <w:sz w:val="23"/>
          <w:szCs w:val="23"/>
        </w:rPr>
        <w:t xml:space="preserve"> </w:t>
      </w:r>
      <w:r w:rsidRPr="00A71689">
        <w:rPr>
          <w:rFonts w:ascii="Calibri" w:hAnsi="Calibri" w:cs="Calibri"/>
          <w:b/>
          <w:color w:val="000000" w:themeColor="text1"/>
          <w:sz w:val="22"/>
          <w:szCs w:val="22"/>
        </w:rPr>
        <w:t>které mají klíčový vliv na hypoteční sazby</w:t>
      </w:r>
      <w:r>
        <w:rPr>
          <w:rFonts w:ascii="Calibri" w:hAnsi="Calibri" w:cs="Calibri"/>
          <w:b/>
          <w:color w:val="000000" w:themeColor="text1"/>
          <w:sz w:val="22"/>
          <w:szCs w:val="22"/>
        </w:rPr>
        <w:t>, kde převládají tříleté fixace</w:t>
      </w:r>
      <w:r w:rsidRPr="00A71689">
        <w:rPr>
          <w:rFonts w:ascii="Calibri" w:hAnsi="Calibri" w:cs="Calibri"/>
          <w:b/>
          <w:color w:val="000000" w:themeColor="text1"/>
          <w:sz w:val="22"/>
          <w:szCs w:val="22"/>
        </w:rPr>
        <w:t xml:space="preserve">, </w:t>
      </w:r>
      <w:r>
        <w:rPr>
          <w:rFonts w:ascii="Calibri" w:hAnsi="Calibri" w:cs="Calibri"/>
          <w:b/>
          <w:color w:val="000000" w:themeColor="text1"/>
          <w:sz w:val="22"/>
          <w:szCs w:val="22"/>
        </w:rPr>
        <w:t xml:space="preserve">zůstaly v září i v první polovině října na rostoucím trendu, a to především kvůli zhoršené situaci na trhu s ropou, ale podpořeny také domácími faktory. </w:t>
      </w:r>
      <w:r w:rsidR="00FB337C" w:rsidRPr="005E37F3">
        <w:rPr>
          <w:rFonts w:ascii="Calibri" w:hAnsi="Calibri" w:cs="Calibri"/>
          <w:color w:val="000000"/>
          <w:sz w:val="22"/>
          <w:szCs w:val="22"/>
        </w:rPr>
        <w:t>České pětileté úrokové swapy</w:t>
      </w:r>
      <w:r w:rsidR="009D68B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9D68B5" w:rsidRPr="005E37F3">
        <w:rPr>
          <w:rFonts w:ascii="Calibri" w:hAnsi="Calibri" w:cs="Calibri"/>
          <w:color w:val="000000"/>
          <w:sz w:val="22"/>
          <w:szCs w:val="22"/>
        </w:rPr>
        <w:t>v září</w:t>
      </w:r>
      <w:r w:rsidR="009D68B5">
        <w:rPr>
          <w:rFonts w:ascii="Calibri" w:hAnsi="Calibri" w:cs="Calibri"/>
          <w:color w:val="000000"/>
          <w:sz w:val="22"/>
          <w:szCs w:val="22"/>
        </w:rPr>
        <w:t>, navzdory nezměněné úrokové sazbě ČNB na 3,75 %,</w:t>
      </w:r>
      <w:r w:rsidR="00FB337C" w:rsidRPr="005E37F3">
        <w:rPr>
          <w:rFonts w:ascii="Calibri" w:hAnsi="Calibri" w:cs="Calibri"/>
          <w:color w:val="000000"/>
          <w:sz w:val="22"/>
          <w:szCs w:val="22"/>
        </w:rPr>
        <w:t xml:space="preserve"> vzrostly o 0,35 procentního bodu na průměrných 4,85 % ze srpnových 4,50 %.</w:t>
      </w:r>
      <w:r w:rsidR="00FB337C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FB337C">
        <w:rPr>
          <w:rFonts w:ascii="Calibri" w:hAnsi="Calibri" w:cs="Calibri"/>
          <w:color w:val="000000"/>
          <w:sz w:val="22"/>
          <w:szCs w:val="22"/>
        </w:rPr>
        <w:t>Dostaly se tak na nejvyšší měsíční průměr za posledních dvanáct měsíců a byly o 1,2 procentního bodu nad průměrem roku 2025. Vzrostly také americké a eurové pětileté swapy. Vyšší zahraniční sazby, dražší energie a obavy z opětovného zesílení inflačních tlaků tak ponechávají dlouhou cenu peněz na zvýšené úrovn</w:t>
      </w:r>
      <w:r w:rsidR="009D68B5">
        <w:rPr>
          <w:rFonts w:ascii="Calibri" w:hAnsi="Calibri" w:cs="Calibri"/>
          <w:color w:val="000000"/>
          <w:sz w:val="22"/>
          <w:szCs w:val="22"/>
        </w:rPr>
        <w:t>i</w:t>
      </w:r>
      <w:r w:rsidR="00FB337C">
        <w:rPr>
          <w:rFonts w:ascii="Calibri" w:hAnsi="Calibri" w:cs="Calibri"/>
          <w:color w:val="000000"/>
          <w:sz w:val="22"/>
          <w:szCs w:val="22"/>
        </w:rPr>
        <w:t>.</w:t>
      </w:r>
      <w:r w:rsidR="009D68B5">
        <w:rPr>
          <w:rFonts w:ascii="Calibri" w:hAnsi="Calibri" w:cs="Calibri"/>
          <w:color w:val="000000"/>
          <w:sz w:val="22"/>
          <w:szCs w:val="22"/>
        </w:rPr>
        <w:t xml:space="preserve"> Mezi domácí faktory tlačící na tržní úrokové sazby, které očekávají další nárůst úrokové sazby ČNB, patří přetrvávající silný zářijový 3,1% meziroční růst </w:t>
      </w:r>
      <w:hyperlink r:id="rId20" w:history="1">
        <w:r w:rsidR="009D68B5" w:rsidRPr="009D68B5">
          <w:rPr>
            <w:rStyle w:val="Hypertextovodkaz"/>
            <w:rFonts w:ascii="Calibri" w:hAnsi="Calibri" w:cs="Calibri"/>
            <w:sz w:val="22"/>
            <w:szCs w:val="22"/>
          </w:rPr>
          <w:t>jádrové inflace</w:t>
        </w:r>
      </w:hyperlink>
      <w:r w:rsidR="009D68B5">
        <w:rPr>
          <w:rFonts w:ascii="Calibri" w:hAnsi="Calibri" w:cs="Calibri"/>
          <w:color w:val="000000"/>
          <w:sz w:val="22"/>
          <w:szCs w:val="22"/>
        </w:rPr>
        <w:t xml:space="preserve">. </w:t>
      </w:r>
    </w:p>
    <w:p w14:paraId="3EDC2E0C" w14:textId="77777777" w:rsidR="00436085" w:rsidRDefault="00436085" w:rsidP="00436085">
      <w:pPr>
        <w:rPr>
          <w:rFonts w:ascii="Calibri" w:hAnsi="Calibri" w:cs="Calibri"/>
          <w:b/>
          <w:color w:val="000000" w:themeColor="text1"/>
          <w:sz w:val="23"/>
          <w:szCs w:val="23"/>
        </w:rPr>
      </w:pPr>
    </w:p>
    <w:p w14:paraId="479EF412" w14:textId="4D40C121" w:rsidR="00616F34" w:rsidRPr="00616F34" w:rsidRDefault="00616F34" w:rsidP="00616F34">
      <w:pPr>
        <w:rPr>
          <w:rFonts w:ascii="Calibri" w:hAnsi="Calibri" w:cs="Calibri"/>
          <w:color w:val="000000" w:themeColor="text1"/>
          <w:sz w:val="22"/>
          <w:szCs w:val="22"/>
        </w:rPr>
        <w:sectPr w:rsidR="00616F34" w:rsidRPr="00616F34" w:rsidSect="00606031">
          <w:type w:val="continuous"/>
          <w:pgSz w:w="11906" w:h="16838"/>
          <w:pgMar w:top="2552" w:right="849" w:bottom="1560" w:left="851" w:header="709" w:footer="283" w:gutter="0"/>
          <w:cols w:space="708"/>
          <w:docGrid w:linePitch="360"/>
        </w:sectPr>
      </w:pPr>
    </w:p>
    <w:p w14:paraId="636F55D4" w14:textId="535B8789" w:rsidR="001B2E5E" w:rsidRDefault="001B2E5E" w:rsidP="001B2E5E">
      <w:pPr>
        <w:spacing w:after="120"/>
        <w:rPr>
          <w:rFonts w:ascii="Calibri" w:hAnsi="Calibri" w:cs="Calibri"/>
          <w:b/>
          <w:color w:val="13576B"/>
          <w:sz w:val="23"/>
          <w:szCs w:val="23"/>
        </w:rPr>
      </w:pPr>
      <w:r>
        <w:rPr>
          <w:rFonts w:ascii="Calibri" w:hAnsi="Calibri" w:cs="Calibri"/>
          <w:b/>
          <w:color w:val="13576B"/>
          <w:sz w:val="23"/>
          <w:szCs w:val="23"/>
        </w:rPr>
        <w:t xml:space="preserve">Graf </w:t>
      </w:r>
      <w:r w:rsidRPr="005B4653">
        <w:rPr>
          <w:rFonts w:ascii="Calibri" w:hAnsi="Calibri" w:cs="Calibri"/>
          <w:b/>
          <w:color w:val="13576B"/>
          <w:sz w:val="23"/>
          <w:szCs w:val="23"/>
        </w:rPr>
        <w:t xml:space="preserve">č. </w:t>
      </w:r>
      <w:r w:rsidR="00E27948">
        <w:rPr>
          <w:rFonts w:ascii="Calibri" w:hAnsi="Calibri" w:cs="Calibri"/>
          <w:b/>
          <w:color w:val="13576B"/>
          <w:sz w:val="23"/>
          <w:szCs w:val="23"/>
        </w:rPr>
        <w:t>4</w:t>
      </w:r>
      <w:r>
        <w:rPr>
          <w:rFonts w:ascii="Calibri" w:hAnsi="Calibri" w:cs="Calibri"/>
          <w:b/>
          <w:color w:val="13576B"/>
          <w:sz w:val="23"/>
          <w:szCs w:val="23"/>
        </w:rPr>
        <w:t>:</w:t>
      </w:r>
      <w:r w:rsidRPr="005B4653">
        <w:rPr>
          <w:rFonts w:ascii="Calibri" w:hAnsi="Calibri" w:cs="Calibri"/>
          <w:b/>
          <w:color w:val="13576B"/>
          <w:sz w:val="23"/>
          <w:szCs w:val="23"/>
        </w:rPr>
        <w:t xml:space="preserve"> Průměrná hypoteční </w:t>
      </w:r>
      <w:r>
        <w:rPr>
          <w:rFonts w:ascii="Calibri" w:hAnsi="Calibri" w:cs="Calibri"/>
          <w:b/>
          <w:color w:val="13576B"/>
          <w:sz w:val="23"/>
          <w:szCs w:val="23"/>
        </w:rPr>
        <w:t xml:space="preserve">úroková </w:t>
      </w:r>
      <w:r w:rsidRPr="005B4653">
        <w:rPr>
          <w:rFonts w:ascii="Calibri" w:hAnsi="Calibri" w:cs="Calibri"/>
          <w:b/>
          <w:color w:val="13576B"/>
          <w:sz w:val="23"/>
          <w:szCs w:val="23"/>
        </w:rPr>
        <w:t>sazba – nové obchody</w:t>
      </w:r>
    </w:p>
    <w:p w14:paraId="00505FA7" w14:textId="4C98DF33" w:rsidR="00F41315" w:rsidRDefault="00903363" w:rsidP="008E3BA7">
      <w:pPr>
        <w:rPr>
          <w:rFonts w:ascii="Calibri" w:hAnsi="Calibri" w:cs="Calibri"/>
          <w:bCs/>
          <w:i/>
          <w:iCs/>
          <w:color w:val="13576B"/>
          <w:sz w:val="23"/>
          <w:szCs w:val="23"/>
        </w:rPr>
      </w:pPr>
      <w:r>
        <w:rPr>
          <w:rFonts w:ascii="Calibri" w:hAnsi="Calibri" w:cs="Calibri"/>
          <w:i/>
          <w:iCs/>
          <w:color w:val="13576B"/>
          <w:sz w:val="23"/>
          <w:szCs w:val="23"/>
        </w:rPr>
        <w:t>Zářijová</w:t>
      </w:r>
      <w:r w:rsidR="00F41315" w:rsidRPr="00150AA5">
        <w:rPr>
          <w:rFonts w:ascii="Calibri" w:hAnsi="Calibri" w:cs="Calibri"/>
          <w:bCs/>
          <w:i/>
          <w:iCs/>
          <w:color w:val="13576B"/>
          <w:sz w:val="23"/>
          <w:szCs w:val="23"/>
        </w:rPr>
        <w:t xml:space="preserve"> hypoteční </w:t>
      </w:r>
      <w:r>
        <w:rPr>
          <w:rFonts w:ascii="Calibri" w:hAnsi="Calibri" w:cs="Calibri"/>
          <w:i/>
          <w:iCs/>
          <w:color w:val="13576B"/>
          <w:sz w:val="23"/>
          <w:szCs w:val="23"/>
        </w:rPr>
        <w:t>sazba</w:t>
      </w:r>
      <w:r w:rsidR="00F41315" w:rsidRPr="00150AA5">
        <w:rPr>
          <w:rFonts w:ascii="Calibri" w:hAnsi="Calibri" w:cs="Calibri"/>
          <w:bCs/>
          <w:i/>
          <w:iCs/>
          <w:color w:val="13576B"/>
          <w:sz w:val="23"/>
          <w:szCs w:val="23"/>
        </w:rPr>
        <w:t xml:space="preserve"> dále </w:t>
      </w:r>
      <w:r>
        <w:rPr>
          <w:rFonts w:ascii="Calibri" w:hAnsi="Calibri" w:cs="Calibri"/>
          <w:i/>
          <w:iCs/>
          <w:color w:val="13576B"/>
          <w:sz w:val="23"/>
          <w:szCs w:val="23"/>
        </w:rPr>
        <w:t>reagovala</w:t>
      </w:r>
      <w:r w:rsidR="00F41315" w:rsidRPr="00150AA5">
        <w:rPr>
          <w:rFonts w:ascii="Calibri" w:hAnsi="Calibri" w:cs="Calibri"/>
          <w:bCs/>
          <w:i/>
          <w:iCs/>
          <w:color w:val="13576B"/>
          <w:sz w:val="23"/>
          <w:szCs w:val="23"/>
        </w:rPr>
        <w:t xml:space="preserve"> na předchozí</w:t>
      </w:r>
      <w:r w:rsidR="00F41315">
        <w:rPr>
          <w:rFonts w:ascii="Calibri" w:hAnsi="Calibri" w:cs="Calibri"/>
          <w:bCs/>
          <w:i/>
          <w:iCs/>
          <w:color w:val="13576B"/>
          <w:sz w:val="23"/>
          <w:szCs w:val="23"/>
        </w:rPr>
        <w:t xml:space="preserve"> </w:t>
      </w:r>
      <w:r>
        <w:rPr>
          <w:rFonts w:ascii="Calibri" w:hAnsi="Calibri" w:cs="Calibri"/>
          <w:i/>
          <w:iCs/>
          <w:color w:val="13576B"/>
          <w:sz w:val="23"/>
          <w:szCs w:val="23"/>
        </w:rPr>
        <w:t>růst tržní ceny peněz</w:t>
      </w:r>
    </w:p>
    <w:p w14:paraId="45164D8D" w14:textId="32EA83DF" w:rsidR="001B2E5E" w:rsidRDefault="001B2E5E" w:rsidP="00C8784D">
      <w:pPr>
        <w:overflowPunct/>
        <w:autoSpaceDE/>
        <w:adjustRightInd/>
        <w:spacing w:after="120"/>
        <w:rPr>
          <w:rFonts w:ascii="Calibri" w:hAnsi="Calibri" w:cs="Calibri"/>
          <w:b/>
          <w:color w:val="13576B"/>
          <w:sz w:val="23"/>
          <w:szCs w:val="23"/>
        </w:rPr>
      </w:pPr>
      <w:r w:rsidRPr="005B4653">
        <w:rPr>
          <w:rFonts w:ascii="Calibri" w:hAnsi="Calibri" w:cs="Calibri"/>
          <w:b/>
          <w:color w:val="13576B"/>
          <w:sz w:val="23"/>
          <w:szCs w:val="23"/>
        </w:rPr>
        <w:t xml:space="preserve">Graf č. </w:t>
      </w:r>
      <w:r w:rsidR="00E27948">
        <w:rPr>
          <w:rFonts w:ascii="Calibri" w:hAnsi="Calibri" w:cs="Calibri"/>
          <w:b/>
          <w:color w:val="13576B"/>
          <w:sz w:val="23"/>
          <w:szCs w:val="23"/>
        </w:rPr>
        <w:t>5</w:t>
      </w:r>
      <w:r>
        <w:rPr>
          <w:rFonts w:ascii="Calibri" w:hAnsi="Calibri" w:cs="Calibri"/>
          <w:b/>
          <w:color w:val="13576B"/>
          <w:sz w:val="23"/>
          <w:szCs w:val="23"/>
        </w:rPr>
        <w:t>:</w:t>
      </w:r>
      <w:r w:rsidRPr="005B4653">
        <w:rPr>
          <w:rFonts w:ascii="Calibri" w:hAnsi="Calibri" w:cs="Calibri"/>
          <w:b/>
          <w:color w:val="13576B"/>
          <w:sz w:val="23"/>
          <w:szCs w:val="23"/>
        </w:rPr>
        <w:t xml:space="preserve"> </w:t>
      </w:r>
      <w:r w:rsidR="00C8784D">
        <w:rPr>
          <w:rFonts w:ascii="Calibri" w:hAnsi="Calibri" w:cs="Calibri"/>
          <w:b/>
          <w:color w:val="13576B"/>
          <w:sz w:val="23"/>
          <w:szCs w:val="23"/>
        </w:rPr>
        <w:t>Obnovený a</w:t>
      </w:r>
      <w:r w:rsidR="00AD4353">
        <w:rPr>
          <w:rFonts w:ascii="Calibri" w:hAnsi="Calibri" w:cs="Calibri"/>
          <w:b/>
          <w:color w:val="13576B"/>
          <w:sz w:val="23"/>
          <w:szCs w:val="23"/>
        </w:rPr>
        <w:t xml:space="preserve">merický útok na Írán </w:t>
      </w:r>
      <w:r w:rsidR="007602B9">
        <w:rPr>
          <w:rFonts w:ascii="Calibri" w:hAnsi="Calibri" w:cs="Calibri"/>
          <w:b/>
          <w:color w:val="13576B"/>
          <w:sz w:val="23"/>
          <w:szCs w:val="23"/>
        </w:rPr>
        <w:t>drží tržní</w:t>
      </w:r>
      <w:r w:rsidR="00486BC4">
        <w:rPr>
          <w:rFonts w:ascii="Calibri" w:hAnsi="Calibri" w:cs="Calibri"/>
          <w:b/>
          <w:color w:val="13576B"/>
          <w:sz w:val="23"/>
          <w:szCs w:val="23"/>
        </w:rPr>
        <w:t xml:space="preserve"> swapové úrokové sazby</w:t>
      </w:r>
      <w:r w:rsidR="00C8784D">
        <w:rPr>
          <w:rFonts w:ascii="Calibri" w:hAnsi="Calibri" w:cs="Calibri"/>
          <w:b/>
          <w:color w:val="13576B"/>
          <w:sz w:val="23"/>
          <w:szCs w:val="23"/>
        </w:rPr>
        <w:t xml:space="preserve"> výše</w:t>
      </w:r>
    </w:p>
    <w:p w14:paraId="380635EC" w14:textId="50E49CF6" w:rsidR="0025756A" w:rsidRPr="0025756A" w:rsidRDefault="0025756A" w:rsidP="006D5361">
      <w:pPr>
        <w:overflowPunct/>
        <w:autoSpaceDE/>
        <w:adjustRightInd/>
        <w:rPr>
          <w:rFonts w:ascii="Calibri" w:hAnsi="Calibri" w:cs="Calibri"/>
          <w:bCs/>
          <w:color w:val="13576B"/>
          <w:sz w:val="23"/>
          <w:szCs w:val="23"/>
        </w:rPr>
        <w:sectPr w:rsidR="0025756A" w:rsidRPr="0025756A" w:rsidSect="001B2E5E">
          <w:type w:val="continuous"/>
          <w:pgSz w:w="11906" w:h="16838"/>
          <w:pgMar w:top="2552" w:right="849" w:bottom="1560" w:left="851" w:header="709" w:footer="283" w:gutter="0"/>
          <w:cols w:num="2" w:space="708"/>
          <w:docGrid w:linePitch="360"/>
        </w:sectPr>
      </w:pPr>
      <w:r>
        <w:rPr>
          <w:rFonts w:ascii="Calibri" w:hAnsi="Calibri" w:cs="Calibri"/>
          <w:bCs/>
          <w:color w:val="13576B"/>
          <w:sz w:val="23"/>
          <w:szCs w:val="23"/>
        </w:rPr>
        <w:t xml:space="preserve">… které </w:t>
      </w:r>
      <w:r w:rsidR="008C551C">
        <w:rPr>
          <w:rFonts w:ascii="Calibri" w:hAnsi="Calibri" w:cs="Calibri"/>
          <w:bCs/>
          <w:color w:val="13576B"/>
          <w:sz w:val="23"/>
          <w:szCs w:val="23"/>
        </w:rPr>
        <w:t>v září získaly další impuls směrem vzhůru</w:t>
      </w:r>
      <w:r w:rsidR="00C8784D">
        <w:rPr>
          <w:rFonts w:ascii="Calibri" w:hAnsi="Calibri" w:cs="Calibri"/>
          <w:bCs/>
          <w:color w:val="13576B"/>
          <w:sz w:val="23"/>
          <w:szCs w:val="23"/>
        </w:rPr>
        <w:t xml:space="preserve"> </w:t>
      </w:r>
      <w:r w:rsidR="00A217EF">
        <w:rPr>
          <w:rFonts w:ascii="Calibri" w:hAnsi="Calibri" w:cs="Calibri"/>
          <w:bCs/>
          <w:color w:val="13576B"/>
          <w:sz w:val="23"/>
          <w:szCs w:val="23"/>
        </w:rPr>
        <w:t>na úrovně z druhého pololetí 2023</w:t>
      </w:r>
      <w:r>
        <w:rPr>
          <w:rFonts w:ascii="Calibri" w:hAnsi="Calibri" w:cs="Calibri"/>
          <w:bCs/>
          <w:color w:val="13576B"/>
          <w:sz w:val="23"/>
          <w:szCs w:val="23"/>
        </w:rPr>
        <w:t xml:space="preserve"> </w:t>
      </w:r>
    </w:p>
    <w:p w14:paraId="7CBC6B5A" w14:textId="77777777" w:rsidR="001B2E5E" w:rsidRPr="004803D6" w:rsidRDefault="001B2E5E" w:rsidP="00F625CA">
      <w:pPr>
        <w:rPr>
          <w:rFonts w:ascii="Calibri" w:hAnsi="Calibri" w:cs="Calibri"/>
          <w:color w:val="000000"/>
          <w:sz w:val="22"/>
          <w:szCs w:val="22"/>
        </w:rPr>
      </w:pPr>
    </w:p>
    <w:p w14:paraId="0230887A" w14:textId="77777777" w:rsidR="00606031" w:rsidRDefault="00606031" w:rsidP="005874B8">
      <w:pPr>
        <w:spacing w:after="120"/>
        <w:rPr>
          <w:rFonts w:ascii="Calibri" w:hAnsi="Calibri" w:cs="Calibri"/>
          <w:b/>
          <w:color w:val="13576B"/>
          <w:sz w:val="23"/>
          <w:szCs w:val="23"/>
        </w:rPr>
        <w:sectPr w:rsidR="00606031" w:rsidSect="00606031">
          <w:type w:val="continuous"/>
          <w:pgSz w:w="11906" w:h="16838"/>
          <w:pgMar w:top="2552" w:right="849" w:bottom="1560" w:left="851" w:header="709" w:footer="283" w:gutter="0"/>
          <w:cols w:space="708"/>
          <w:docGrid w:linePitch="360"/>
        </w:sectPr>
      </w:pPr>
    </w:p>
    <w:p w14:paraId="5C054A6D" w14:textId="372DD6D5" w:rsidR="00D2301A" w:rsidRPr="002138C0" w:rsidRDefault="00E656BA" w:rsidP="005874B8">
      <w:pPr>
        <w:rPr>
          <w:rFonts w:ascii="Calibri" w:hAnsi="Calibri" w:cs="Calibri"/>
          <w:sz w:val="22"/>
          <w:szCs w:val="22"/>
          <w:highlight w:val="yellow"/>
        </w:rPr>
      </w:pPr>
      <w:r>
        <w:rPr>
          <w:rFonts w:ascii="Calibri" w:hAnsi="Calibri" w:cs="Calibri"/>
          <w:noProof/>
          <w:sz w:val="22"/>
          <w:szCs w:val="22"/>
          <w:highlight w:val="yellow"/>
        </w:rPr>
        <w:drawing>
          <wp:inline distT="0" distB="0" distL="0" distR="0" wp14:anchorId="67350194" wp14:editId="70EC02C9">
            <wp:extent cx="3255645" cy="1901261"/>
            <wp:effectExtent l="0" t="0" r="1905" b="3810"/>
            <wp:docPr id="62524325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478" cy="19064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B88724" w14:textId="17255E86" w:rsidR="001B2E5E" w:rsidRDefault="00691287" w:rsidP="001B2E5E">
      <w:pPr>
        <w:overflowPunct/>
        <w:autoSpaceDE/>
        <w:adjustRightInd/>
        <w:rPr>
          <w:rFonts w:ascii="Calibri" w:hAnsi="Calibri" w:cs="Calibri"/>
          <w:b/>
          <w:color w:val="13576B"/>
          <w:sz w:val="23"/>
          <w:szCs w:val="23"/>
        </w:rPr>
      </w:pPr>
      <w:r w:rsidRPr="002F4CBD">
        <w:rPr>
          <w:rFonts w:ascii="Calibri Light" w:hAnsi="Calibri Light" w:cs="Calibri Light"/>
          <w:color w:val="13576B"/>
          <w:sz w:val="20"/>
        </w:rPr>
        <w:t xml:space="preserve">Pramen: </w:t>
      </w:r>
      <w:r w:rsidR="006F74BF">
        <w:rPr>
          <w:rFonts w:ascii="Calibri Light" w:hAnsi="Calibri Light" w:cs="Calibri Light"/>
          <w:color w:val="13576B"/>
          <w:sz w:val="20"/>
        </w:rPr>
        <w:t xml:space="preserve">ČNB, </w:t>
      </w:r>
      <w:r w:rsidRPr="002F4CBD">
        <w:rPr>
          <w:rFonts w:ascii="Calibri Light" w:hAnsi="Calibri Light" w:cs="Calibri Light"/>
          <w:color w:val="13576B"/>
          <w:sz w:val="20"/>
        </w:rPr>
        <w:t xml:space="preserve">ČBA </w:t>
      </w:r>
      <w:proofErr w:type="spellStart"/>
      <w:r w:rsidRPr="002F4CBD">
        <w:rPr>
          <w:rFonts w:ascii="Calibri Light" w:hAnsi="Calibri Light" w:cs="Calibri Light"/>
          <w:color w:val="13576B"/>
          <w:sz w:val="20"/>
        </w:rPr>
        <w:t>Hypomonitor</w:t>
      </w:r>
      <w:bookmarkStart w:id="4" w:name="_Hlk137652102"/>
      <w:proofErr w:type="spellEnd"/>
    </w:p>
    <w:p w14:paraId="53F00851" w14:textId="6DE943D6" w:rsidR="006337E7" w:rsidRDefault="00FA0A41" w:rsidP="006337E7">
      <w:p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noProof/>
          <w:color w:val="000000" w:themeColor="text1"/>
          <w:sz w:val="22"/>
          <w:szCs w:val="22"/>
        </w:rPr>
        <w:drawing>
          <wp:inline distT="0" distB="0" distL="0" distR="0" wp14:anchorId="64A475AF" wp14:editId="1060E98A">
            <wp:extent cx="2915018" cy="1730465"/>
            <wp:effectExtent l="0" t="0" r="0" b="3175"/>
            <wp:docPr id="5635994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559" cy="17373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B50194" w14:textId="4D78C834" w:rsidR="00F20967" w:rsidRDefault="006337E7" w:rsidP="00DD1BFF">
      <w:pPr>
        <w:rPr>
          <w:rFonts w:asciiTheme="minorHAnsi" w:hAnsiTheme="minorHAnsi" w:cstheme="minorHAnsi"/>
          <w:color w:val="13576B"/>
          <w:sz w:val="20"/>
        </w:rPr>
      </w:pPr>
      <w:r w:rsidRPr="00AA62A7">
        <w:rPr>
          <w:rFonts w:asciiTheme="minorHAnsi" w:hAnsiTheme="minorHAnsi" w:cstheme="minorHAnsi"/>
          <w:color w:val="2F5496" w:themeColor="accent5" w:themeShade="BF"/>
          <w:sz w:val="20"/>
        </w:rPr>
        <w:t>Pramen</w:t>
      </w:r>
      <w:r w:rsidRPr="00AA62A7">
        <w:rPr>
          <w:rFonts w:asciiTheme="minorHAnsi" w:hAnsiTheme="minorHAnsi" w:cstheme="minorHAnsi"/>
          <w:color w:val="13576B"/>
          <w:sz w:val="20"/>
        </w:rPr>
        <w:t>:</w:t>
      </w:r>
      <w:r>
        <w:rPr>
          <w:rFonts w:asciiTheme="minorHAnsi" w:hAnsiTheme="minorHAnsi" w:cstheme="minorHAnsi"/>
          <w:color w:val="13576B"/>
          <w:sz w:val="20"/>
        </w:rPr>
        <w:t xml:space="preserve"> Macrobond (</w:t>
      </w:r>
      <w:r w:rsidR="00BA3140">
        <w:rPr>
          <w:rFonts w:asciiTheme="minorHAnsi" w:hAnsiTheme="minorHAnsi" w:cstheme="minorHAnsi"/>
          <w:color w:val="13576B"/>
          <w:sz w:val="20"/>
        </w:rPr>
        <w:t>1</w:t>
      </w:r>
      <w:r w:rsidR="00FA0A41">
        <w:rPr>
          <w:rFonts w:asciiTheme="minorHAnsi" w:hAnsiTheme="minorHAnsi" w:cstheme="minorHAnsi"/>
          <w:color w:val="13576B"/>
          <w:sz w:val="20"/>
        </w:rPr>
        <w:t>2. října</w:t>
      </w:r>
      <w:r w:rsidR="00055000">
        <w:rPr>
          <w:rFonts w:asciiTheme="minorHAnsi" w:hAnsiTheme="minorHAnsi" w:cstheme="minorHAnsi"/>
          <w:color w:val="13576B"/>
          <w:sz w:val="20"/>
        </w:rPr>
        <w:t xml:space="preserve"> </w:t>
      </w:r>
      <w:r>
        <w:rPr>
          <w:rFonts w:asciiTheme="minorHAnsi" w:hAnsiTheme="minorHAnsi" w:cstheme="minorHAnsi"/>
          <w:color w:val="13576B"/>
          <w:sz w:val="20"/>
        </w:rPr>
        <w:t>202</w:t>
      </w:r>
      <w:r w:rsidR="00BA3140">
        <w:rPr>
          <w:rFonts w:asciiTheme="minorHAnsi" w:hAnsiTheme="minorHAnsi" w:cstheme="minorHAnsi"/>
          <w:color w:val="13576B"/>
          <w:sz w:val="20"/>
        </w:rPr>
        <w:t>6</w:t>
      </w:r>
      <w:r>
        <w:rPr>
          <w:rFonts w:asciiTheme="minorHAnsi" w:hAnsiTheme="minorHAnsi" w:cstheme="minorHAnsi"/>
          <w:color w:val="13576B"/>
          <w:sz w:val="20"/>
        </w:rPr>
        <w:t xml:space="preserve">), </w:t>
      </w:r>
      <w:r w:rsidRPr="00AA62A7">
        <w:rPr>
          <w:rFonts w:asciiTheme="minorHAnsi" w:hAnsiTheme="minorHAnsi" w:cstheme="minorHAnsi"/>
          <w:color w:val="13576B"/>
          <w:sz w:val="20"/>
        </w:rPr>
        <w:t>ČB</w:t>
      </w:r>
      <w:r w:rsidR="00F20967">
        <w:rPr>
          <w:rFonts w:asciiTheme="minorHAnsi" w:hAnsiTheme="minorHAnsi" w:cstheme="minorHAnsi"/>
          <w:color w:val="13576B"/>
          <w:sz w:val="20"/>
        </w:rPr>
        <w:t>A</w:t>
      </w:r>
    </w:p>
    <w:p w14:paraId="1AF065D2" w14:textId="464EA7CD" w:rsidR="00F20967" w:rsidRPr="00606031" w:rsidRDefault="00F20967" w:rsidP="00DD1BFF">
      <w:pPr>
        <w:rPr>
          <w:rFonts w:ascii="Calibri" w:hAnsi="Calibri" w:cs="Calibri"/>
          <w:color w:val="000000" w:themeColor="text1"/>
          <w:sz w:val="22"/>
          <w:szCs w:val="22"/>
        </w:rPr>
        <w:sectPr w:rsidR="00F20967" w:rsidRPr="00606031" w:rsidSect="00606031">
          <w:type w:val="continuous"/>
          <w:pgSz w:w="11906" w:h="16838"/>
          <w:pgMar w:top="2552" w:right="849" w:bottom="1560" w:left="851" w:header="709" w:footer="283" w:gutter="0"/>
          <w:cols w:num="2" w:space="708"/>
          <w:docGrid w:linePitch="360"/>
        </w:sectPr>
      </w:pPr>
    </w:p>
    <w:p w14:paraId="602A8F07" w14:textId="77777777" w:rsidR="001B2E5E" w:rsidRDefault="001B2E5E" w:rsidP="00055000">
      <w:pPr>
        <w:overflowPunct/>
        <w:autoSpaceDE/>
        <w:autoSpaceDN/>
        <w:adjustRightInd/>
        <w:textAlignment w:val="auto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077932C6" w14:textId="749C88A3" w:rsidR="00F41315" w:rsidRPr="00D1522E" w:rsidRDefault="0065003E" w:rsidP="009C5D66">
      <w:pPr>
        <w:rPr>
          <w:rFonts w:ascii="Calibri" w:hAnsi="Calibri" w:cs="Calibri"/>
          <w:b/>
          <w:color w:val="13576B"/>
          <w:sz w:val="24"/>
          <w:szCs w:val="24"/>
        </w:rPr>
      </w:pPr>
      <w:bookmarkStart w:id="5" w:name="_Hlk100672905"/>
      <w:bookmarkEnd w:id="4"/>
      <w:r>
        <w:rPr>
          <w:rFonts w:ascii="Calibri" w:hAnsi="Calibri" w:cs="Calibri"/>
          <w:b/>
          <w:bCs/>
          <w:color w:val="13576B"/>
          <w:sz w:val="24"/>
          <w:szCs w:val="24"/>
        </w:rPr>
        <w:t>Průměrná měsíční splátka vzrostla na zhruba 26,5 tisíce Kč</w:t>
      </w:r>
      <w:r w:rsidR="009D68B5">
        <w:rPr>
          <w:rFonts w:ascii="Calibri" w:hAnsi="Calibri" w:cs="Calibri"/>
          <w:b/>
          <w:bCs/>
          <w:color w:val="13576B"/>
          <w:sz w:val="24"/>
          <w:szCs w:val="24"/>
        </w:rPr>
        <w:t xml:space="preserve">, s mediánem 21,3 tisíce </w:t>
      </w:r>
    </w:p>
    <w:p w14:paraId="07A568B0" w14:textId="77777777" w:rsidR="006F129E" w:rsidRDefault="006F129E" w:rsidP="00150AA5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14AFDC14" w14:textId="76A6E8C1" w:rsidR="00ED1168" w:rsidRPr="00ED1168" w:rsidRDefault="009D68B5" w:rsidP="00150AA5">
      <w:pPr>
        <w:rPr>
          <w:rFonts w:ascii="Calibri" w:hAnsi="Calibri" w:cs="Calibri"/>
          <w:color w:val="000000" w:themeColor="text1"/>
          <w:sz w:val="22"/>
          <w:szCs w:val="22"/>
        </w:rPr>
      </w:pPr>
      <w:r w:rsidRPr="009D68B5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Kombinace nárůstu úrokové sazby a vyšší průměrné výše hypotéky v září 2026 ve srovnání s průměrnými hodnotami z roku 2025 zvýšily průměrnou měsíční splátku nově poskytnuté hypotéky o 3,9 tis. Kč. </w:t>
      </w:r>
      <w:r w:rsidRPr="00ED1168">
        <w:rPr>
          <w:rFonts w:ascii="Calibri" w:hAnsi="Calibri" w:cs="Calibri"/>
          <w:color w:val="000000" w:themeColor="text1"/>
          <w:sz w:val="22"/>
          <w:szCs w:val="22"/>
        </w:rPr>
        <w:t xml:space="preserve">Scénáře vývoje </w:t>
      </w:r>
      <w:r w:rsidRPr="00ED1168">
        <w:rPr>
          <w:rFonts w:ascii="Calibri" w:hAnsi="Calibri" w:cs="Calibri"/>
          <w:color w:val="000000" w:themeColor="text1"/>
          <w:sz w:val="22"/>
          <w:szCs w:val="22"/>
        </w:rPr>
        <w:lastRenderedPageBreak/>
        <w:t>měsíční splátky pro různé délky splatnosti hypotéky znázorňuje tabulka č. 2. Ta napovídá, že nárůst hypotečních sazeb přes 0,5 procentního bodu vůči jejich průměrné výši 4,58 % v roce 2025 přinesl, pro průměrnou velikost hypotéky při jejím obvyklém přibližně 27letém splácení, zvýšení měsíční splátky o necelých 1 400 Kč na přibližně 26,5 tis. Kč, tedy o 1,3 % čistého příjmu žadatele v porovnání s průměrnou splátkou v minulém roce.</w:t>
      </w:r>
      <w:r w:rsidRPr="009D68B5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Pr="00ED1168">
        <w:rPr>
          <w:rFonts w:ascii="Calibri" w:hAnsi="Calibri" w:cs="Calibri"/>
          <w:color w:val="000000" w:themeColor="text1"/>
          <w:sz w:val="22"/>
          <w:szCs w:val="22"/>
        </w:rPr>
        <w:t xml:space="preserve">Ve srovnání s průměrnou hypoteční sazbou 5,07 % v roce 2024 </w:t>
      </w:r>
      <w:r w:rsidR="00ED1168">
        <w:rPr>
          <w:rFonts w:ascii="Calibri" w:hAnsi="Calibri" w:cs="Calibri"/>
          <w:color w:val="000000" w:themeColor="text1"/>
          <w:sz w:val="22"/>
          <w:szCs w:val="22"/>
        </w:rPr>
        <w:t>tak d</w:t>
      </w:r>
      <w:r w:rsidRPr="00ED1168">
        <w:rPr>
          <w:rFonts w:ascii="Calibri" w:hAnsi="Calibri" w:cs="Calibri"/>
          <w:color w:val="000000" w:themeColor="text1"/>
          <w:sz w:val="22"/>
          <w:szCs w:val="22"/>
        </w:rPr>
        <w:t xml:space="preserve">osáhla změna kvůli úrokové sazbě </w:t>
      </w:r>
      <w:r w:rsidR="00ED1168">
        <w:rPr>
          <w:rFonts w:ascii="Calibri" w:hAnsi="Calibri" w:cs="Calibri"/>
          <w:color w:val="000000" w:themeColor="text1"/>
          <w:sz w:val="22"/>
          <w:szCs w:val="22"/>
        </w:rPr>
        <w:t>minimální změny.</w:t>
      </w:r>
    </w:p>
    <w:p w14:paraId="7EE4ECDE" w14:textId="77777777" w:rsidR="00ED1168" w:rsidRDefault="00ED1168" w:rsidP="00150AA5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4715E1A4" w14:textId="399AB37F" w:rsidR="009D68B5" w:rsidRDefault="009D68B5" w:rsidP="00150AA5">
      <w:pPr>
        <w:rPr>
          <w:rFonts w:ascii="Calibri" w:hAnsi="Calibri" w:cs="Calibri"/>
          <w:color w:val="000000" w:themeColor="text1"/>
          <w:sz w:val="22"/>
          <w:szCs w:val="22"/>
        </w:rPr>
      </w:pPr>
      <w:r w:rsidRPr="009D68B5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Ovšem současná průměrná výše hypotéky byla o 11 % vyšší než její průměrná výše v roce 2025, což přispívá k navýšení měsíční splátky o 2,6 tis. </w:t>
      </w:r>
      <w:r w:rsidRPr="00ED1168">
        <w:rPr>
          <w:rFonts w:ascii="Calibri" w:hAnsi="Calibri" w:cs="Calibri"/>
          <w:color w:val="000000" w:themeColor="text1"/>
          <w:sz w:val="22"/>
          <w:szCs w:val="22"/>
        </w:rPr>
        <w:t>Kč ve srovnání s průměrnou měsíční splátkou v minulém roce navázanou na loňskou průměrnou výši hypotéky ovšem při současné úrokové sazbě.  Splátka hypotéky ve výši jednoho milionu korun s 30letou splatností se se současnými úrokovými sazbami pohybuje okolo 5,4 tisíce Kč.</w:t>
      </w:r>
    </w:p>
    <w:p w14:paraId="2A59F413" w14:textId="77777777" w:rsidR="00ED1168" w:rsidRDefault="00ED1168" w:rsidP="00150AA5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02DD60FE" w14:textId="605D4AA9" w:rsidR="006F129E" w:rsidRPr="006F129E" w:rsidRDefault="00ED1168" w:rsidP="00C1363D">
      <w:pPr>
        <w:rPr>
          <w:rFonts w:ascii="Calibri" w:hAnsi="Calibri" w:cs="Calibri"/>
          <w:color w:val="000000" w:themeColor="text1"/>
          <w:sz w:val="22"/>
          <w:szCs w:val="22"/>
        </w:rPr>
      </w:pPr>
      <w:r w:rsidRPr="00ED1168">
        <w:rPr>
          <w:rFonts w:ascii="Calibri" w:hAnsi="Calibri" w:cs="Calibri"/>
          <w:b/>
          <w:bCs/>
          <w:color w:val="000000" w:themeColor="text1"/>
          <w:sz w:val="22"/>
          <w:szCs w:val="22"/>
        </w:rPr>
        <w:t>Dopad úrokové sazby na končící fixace má z hlediska vývoje hypoték různý dopad, podle toho, v jakém roce k fixaci úrokové sazby došlo.</w:t>
      </w:r>
      <w:r w:rsidRPr="00ED1168">
        <w:rPr>
          <w:rFonts w:ascii="Calibri" w:hAnsi="Calibri" w:cs="Calibri"/>
          <w:color w:val="000000" w:themeColor="text1"/>
          <w:sz w:val="22"/>
          <w:szCs w:val="22"/>
        </w:rPr>
        <w:t xml:space="preserve"> Ilustrativní příklady? Ve srovnání s průměrnou 2,33% úrokovou hypoteční sazbou pro nové hypotéky v roce 2021 tak současná hypoteční sazba pro refinancování ve výši 5,05 % při zkrácení splatnosti úvěru zvedá měsíční splátky u průměrné hypotéky téměř o 3900 Kč, tedy asi o 7,5 % současné hrubé průměrné mzdy. Ta ovšem v porovnání s koncem roku 2021 narostla o 34 %. Naopak současná úroková sazba by hypotékám z roku 2023 s úrokovou sazbou 5,82 % ulevila z měsíční splátky okolo 1,3 tisíce korun.  V roce 2027 budou dominovat refixace hypoték z roku 2024 s úrokovou sazbou 5,11 %, kde současná úroveň úrokové sazby představuje úlevu přibližně o 81 korun.  Dopady a okolnosti jsme diskutovali ve Fokus ČBA:</w:t>
      </w:r>
      <w:r w:rsidR="00F6412C" w:rsidRPr="00DA2CF3">
        <w:rPr>
          <w:rFonts w:ascii="Calibri" w:hAnsi="Calibri" w:cs="Calibri"/>
          <w:color w:val="000000"/>
          <w:sz w:val="22"/>
          <w:szCs w:val="22"/>
        </w:rPr>
        <w:t xml:space="preserve"> </w:t>
      </w:r>
      <w:hyperlink r:id="rId23" w:history="1">
        <w:r w:rsidR="00F6412C" w:rsidRPr="00DA2CF3">
          <w:rPr>
            <w:rStyle w:val="Hypertextovodkaz"/>
            <w:rFonts w:ascii="Calibri" w:hAnsi="Calibri" w:cs="Calibri"/>
            <w:sz w:val="22"/>
            <w:szCs w:val="22"/>
          </w:rPr>
          <w:t>Vlna refixací hypoték sílí, úrokový šok ale slábne. Rizikem zůstává vyšší inflace</w:t>
        </w:r>
      </w:hyperlink>
      <w:r w:rsidR="00F6412C" w:rsidRPr="00DA2CF3">
        <w:rPr>
          <w:rFonts w:ascii="Calibri" w:hAnsi="Calibri" w:cs="Calibri"/>
          <w:sz w:val="22"/>
          <w:szCs w:val="22"/>
        </w:rPr>
        <w:t>.</w:t>
      </w:r>
      <w:r w:rsidR="00F6412C">
        <w:t xml:space="preserve"> </w:t>
      </w:r>
      <w:r w:rsidR="00F6412C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</w:p>
    <w:p w14:paraId="0787F064" w14:textId="77777777" w:rsidR="00C1363D" w:rsidRDefault="00C1363D" w:rsidP="006D49D0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1A267256" w14:textId="6FC38244" w:rsidR="009D3067" w:rsidRDefault="009D3067" w:rsidP="008569DC">
      <w:pPr>
        <w:overflowPunct/>
        <w:autoSpaceDE/>
        <w:autoSpaceDN/>
        <w:adjustRightInd/>
        <w:spacing w:line="259" w:lineRule="auto"/>
        <w:textAlignment w:val="auto"/>
        <w:rPr>
          <w:rFonts w:ascii="Calibri" w:hAnsi="Calibri" w:cs="Calibri"/>
          <w:b/>
          <w:color w:val="13576B"/>
          <w:sz w:val="23"/>
          <w:szCs w:val="23"/>
        </w:rPr>
      </w:pPr>
      <w:bookmarkStart w:id="6" w:name="_Hlk190458144"/>
      <w:bookmarkEnd w:id="5"/>
      <w:r w:rsidRPr="00515ECA">
        <w:rPr>
          <w:rFonts w:ascii="Calibri" w:hAnsi="Calibri" w:cs="Calibri"/>
          <w:b/>
          <w:color w:val="13576B"/>
          <w:sz w:val="23"/>
          <w:szCs w:val="23"/>
        </w:rPr>
        <w:t xml:space="preserve">Tabulka č. 2: </w:t>
      </w:r>
      <w:r w:rsidR="004B441B">
        <w:rPr>
          <w:rFonts w:ascii="Calibri" w:hAnsi="Calibri" w:cs="Calibri"/>
          <w:b/>
          <w:color w:val="13576B"/>
          <w:sz w:val="23"/>
          <w:szCs w:val="23"/>
        </w:rPr>
        <w:t>Ilustrace</w:t>
      </w:r>
      <w:r w:rsidR="00EB1892">
        <w:rPr>
          <w:rFonts w:ascii="Calibri" w:hAnsi="Calibri" w:cs="Calibri"/>
          <w:b/>
          <w:color w:val="13576B"/>
          <w:sz w:val="23"/>
          <w:szCs w:val="23"/>
        </w:rPr>
        <w:t xml:space="preserve"> m</w:t>
      </w:r>
      <w:r w:rsidRPr="00515ECA">
        <w:rPr>
          <w:rFonts w:ascii="Calibri" w:hAnsi="Calibri" w:cs="Calibri"/>
          <w:b/>
          <w:color w:val="13576B"/>
          <w:sz w:val="23"/>
          <w:szCs w:val="23"/>
        </w:rPr>
        <w:t>ěsíční splátk</w:t>
      </w:r>
      <w:r w:rsidR="004B441B">
        <w:rPr>
          <w:rFonts w:ascii="Calibri" w:hAnsi="Calibri" w:cs="Calibri"/>
          <w:b/>
          <w:color w:val="13576B"/>
          <w:sz w:val="23"/>
          <w:szCs w:val="23"/>
        </w:rPr>
        <w:t>y</w:t>
      </w:r>
      <w:r w:rsidRPr="00515ECA">
        <w:rPr>
          <w:rFonts w:ascii="Calibri" w:hAnsi="Calibri" w:cs="Calibri"/>
          <w:b/>
          <w:color w:val="13576B"/>
          <w:sz w:val="23"/>
          <w:szCs w:val="23"/>
        </w:rPr>
        <w:t xml:space="preserve"> průměrné</w:t>
      </w:r>
      <w:r w:rsidR="00D1522E">
        <w:rPr>
          <w:rFonts w:ascii="Calibri" w:hAnsi="Calibri" w:cs="Calibri"/>
          <w:b/>
          <w:color w:val="13576B"/>
          <w:sz w:val="23"/>
          <w:szCs w:val="23"/>
        </w:rPr>
        <w:t xml:space="preserve"> a mediánové</w:t>
      </w:r>
      <w:r w:rsidRPr="00515ECA">
        <w:rPr>
          <w:rFonts w:ascii="Calibri" w:hAnsi="Calibri" w:cs="Calibri"/>
          <w:b/>
          <w:color w:val="13576B"/>
          <w:sz w:val="23"/>
          <w:szCs w:val="23"/>
        </w:rPr>
        <w:t xml:space="preserve"> hypotéky v závislosti na délce splatnosti a úrokové sazbě</w:t>
      </w:r>
    </w:p>
    <w:p w14:paraId="284B4CCF" w14:textId="5E11643C" w:rsidR="0025756A" w:rsidRDefault="00E656BA" w:rsidP="008569DC">
      <w:pPr>
        <w:overflowPunct/>
        <w:autoSpaceDE/>
        <w:autoSpaceDN/>
        <w:adjustRightInd/>
        <w:spacing w:line="259" w:lineRule="auto"/>
        <w:textAlignment w:val="auto"/>
        <w:rPr>
          <w:rFonts w:ascii="Calibri" w:hAnsi="Calibri" w:cs="Calibri"/>
          <w:b/>
          <w:color w:val="13576B"/>
          <w:sz w:val="23"/>
          <w:szCs w:val="23"/>
        </w:rPr>
      </w:pPr>
      <w:r w:rsidRPr="00E656BA">
        <w:rPr>
          <w:noProof/>
        </w:rPr>
        <w:drawing>
          <wp:inline distT="0" distB="0" distL="0" distR="0" wp14:anchorId="5782A4BE" wp14:editId="35E807C7">
            <wp:extent cx="6480810" cy="1076960"/>
            <wp:effectExtent l="0" t="0" r="0" b="8890"/>
            <wp:docPr id="209506652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73F2F" w14:textId="63201822" w:rsidR="00265F3C" w:rsidRPr="00265F3C" w:rsidRDefault="007C411F" w:rsidP="00265F3C">
      <w:pPr>
        <w:overflowPunct/>
        <w:autoSpaceDE/>
        <w:adjustRightInd/>
        <w:rPr>
          <w:rFonts w:ascii="Poppins" w:hAnsi="Poppins" w:cs="Poppins"/>
          <w:color w:val="212529"/>
          <w:sz w:val="27"/>
          <w:szCs w:val="27"/>
        </w:rPr>
      </w:pPr>
      <w:r w:rsidRPr="007C411F">
        <w:rPr>
          <w:rFonts w:ascii="Calibri Light" w:hAnsi="Calibri Light" w:cs="Calibri Light"/>
          <w:color w:val="13576B"/>
          <w:sz w:val="20"/>
        </w:rPr>
        <w:t xml:space="preserve">Pramen: ČBA (tabulka s hodnotami je k dispozici v </w:t>
      </w:r>
      <w:proofErr w:type="spellStart"/>
      <w:r w:rsidRPr="007C411F">
        <w:rPr>
          <w:rFonts w:ascii="Calibri Light" w:hAnsi="Calibri Light" w:cs="Calibri Light"/>
          <w:color w:val="13576B"/>
          <w:sz w:val="20"/>
        </w:rPr>
        <w:t>xls</w:t>
      </w:r>
      <w:proofErr w:type="spellEnd"/>
      <w:r w:rsidRPr="007C411F">
        <w:rPr>
          <w:rFonts w:ascii="Calibri Light" w:hAnsi="Calibri Light" w:cs="Calibri Light"/>
          <w:color w:val="13576B"/>
          <w:sz w:val="20"/>
        </w:rPr>
        <w:t xml:space="preserve"> souboru, který je přílohou této zprávy)</w:t>
      </w:r>
      <w:r w:rsidR="00265F3C">
        <w:rPr>
          <w:rFonts w:ascii="Calibri Light" w:hAnsi="Calibri Light" w:cs="Calibri Light"/>
          <w:color w:val="13576B"/>
          <w:sz w:val="20"/>
        </w:rPr>
        <w:t xml:space="preserve">. </w:t>
      </w:r>
      <w:r w:rsidR="00265F3C" w:rsidRPr="00265F3C">
        <w:rPr>
          <w:rFonts w:ascii="Calibri Light" w:hAnsi="Calibri Light" w:cs="Calibri Light"/>
          <w:color w:val="13576B"/>
          <w:sz w:val="20"/>
        </w:rPr>
        <w:t>Pozn.:</w:t>
      </w:r>
      <w:r w:rsidR="00265F3C">
        <w:rPr>
          <w:rFonts w:ascii="Calibri Light" w:hAnsi="Calibri Light" w:cs="Calibri Light"/>
          <w:color w:val="13576B"/>
          <w:sz w:val="20"/>
        </w:rPr>
        <w:t xml:space="preserve"> </w:t>
      </w:r>
      <w:r w:rsidR="00265F3C" w:rsidRPr="00265F3C">
        <w:rPr>
          <w:rFonts w:ascii="Calibri Light" w:hAnsi="Calibri Light" w:cs="Calibri Light"/>
          <w:color w:val="13576B"/>
          <w:sz w:val="20"/>
        </w:rPr>
        <w:t xml:space="preserve">Barevný sloupec odpovídá úrokové sazbě posledního ČBA Hypomonitoru v kombinaci s obvyklou splatností, ostatní sazby jsou ilustrační. Barevný řádek odpovídá průměrné a mediánové splatnosti nových hypoték podle dat ČNB; částky jsou zaokrouhleny na desítky korun. Mediánová výše splátky vychází z mediánové velikosti hypotéky. Ta je dopočtena na základě poměru průměrné a mediánové výše nových hypotečních úvěrů za poslední tři čtvrtletí podle statistik ČNB (118,7 %). Výpočet zároveň předpokládá průměrnou splatnost 30 let (odpovídající mediánu) a průměrnou úrokovou sazbu, protože rozdíl mezi průměrnou a mediánovou sazbou je dlouhodobě zanedbatelný (přibližně 0,045 procentního bodu). Medián na rozdíl od průměru představuje ´typickou´ hodnotu – polovina úvěrů je nižší a polovina vyšší – a není ovlivněn extrémními hodnotami. </w:t>
      </w:r>
      <w:r w:rsidR="00265F3C" w:rsidRPr="00265F3C">
        <w:rPr>
          <w:rFonts w:ascii="Calibri Light" w:hAnsi="Calibri Light" w:cs="Calibri Light"/>
          <w:color w:val="13576B"/>
          <w:sz w:val="20"/>
        </w:rPr>
        <w:tab/>
      </w:r>
      <w:r w:rsidR="00265F3C" w:rsidRPr="00265F3C">
        <w:rPr>
          <w:rFonts w:ascii="Poppins" w:hAnsi="Poppins" w:cs="Poppins"/>
          <w:color w:val="212529"/>
          <w:sz w:val="27"/>
          <w:szCs w:val="27"/>
        </w:rPr>
        <w:tab/>
      </w:r>
      <w:r w:rsidR="00265F3C" w:rsidRPr="00265F3C">
        <w:rPr>
          <w:rFonts w:ascii="Poppins" w:hAnsi="Poppins" w:cs="Poppins"/>
          <w:color w:val="212529"/>
          <w:sz w:val="27"/>
          <w:szCs w:val="27"/>
        </w:rPr>
        <w:tab/>
      </w:r>
      <w:r w:rsidR="00265F3C" w:rsidRPr="00265F3C">
        <w:rPr>
          <w:rFonts w:ascii="Poppins" w:hAnsi="Poppins" w:cs="Poppins"/>
          <w:color w:val="212529"/>
          <w:sz w:val="27"/>
          <w:szCs w:val="27"/>
        </w:rPr>
        <w:tab/>
      </w:r>
      <w:r w:rsidR="00265F3C" w:rsidRPr="00265F3C">
        <w:rPr>
          <w:rFonts w:ascii="Poppins" w:hAnsi="Poppins" w:cs="Poppins"/>
          <w:color w:val="212529"/>
          <w:sz w:val="27"/>
          <w:szCs w:val="27"/>
        </w:rPr>
        <w:tab/>
      </w:r>
      <w:r w:rsidR="00265F3C" w:rsidRPr="00265F3C">
        <w:rPr>
          <w:rFonts w:ascii="Poppins" w:hAnsi="Poppins" w:cs="Poppins"/>
          <w:color w:val="212529"/>
          <w:sz w:val="27"/>
          <w:szCs w:val="27"/>
        </w:rPr>
        <w:tab/>
      </w:r>
      <w:r w:rsidR="00265F3C" w:rsidRPr="00265F3C">
        <w:rPr>
          <w:rFonts w:ascii="Poppins" w:hAnsi="Poppins" w:cs="Poppins"/>
          <w:color w:val="212529"/>
          <w:sz w:val="27"/>
          <w:szCs w:val="27"/>
        </w:rPr>
        <w:tab/>
      </w:r>
      <w:r w:rsidR="00265F3C" w:rsidRPr="00265F3C">
        <w:rPr>
          <w:rFonts w:ascii="Poppins" w:hAnsi="Poppins" w:cs="Poppins"/>
          <w:color w:val="212529"/>
          <w:sz w:val="27"/>
          <w:szCs w:val="27"/>
        </w:rPr>
        <w:tab/>
      </w:r>
      <w:r w:rsidR="00265F3C" w:rsidRPr="00265F3C">
        <w:rPr>
          <w:rFonts w:ascii="Poppins" w:hAnsi="Poppins" w:cs="Poppins"/>
          <w:color w:val="212529"/>
          <w:sz w:val="27"/>
          <w:szCs w:val="27"/>
        </w:rPr>
        <w:tab/>
      </w:r>
      <w:r w:rsidR="00265F3C" w:rsidRPr="00265F3C">
        <w:rPr>
          <w:rFonts w:ascii="Poppins" w:hAnsi="Poppins" w:cs="Poppins"/>
          <w:color w:val="212529"/>
          <w:sz w:val="27"/>
          <w:szCs w:val="27"/>
        </w:rPr>
        <w:tab/>
      </w:r>
      <w:r w:rsidR="00265F3C" w:rsidRPr="00265F3C">
        <w:rPr>
          <w:rFonts w:ascii="Poppins" w:hAnsi="Poppins" w:cs="Poppins"/>
          <w:color w:val="212529"/>
          <w:sz w:val="27"/>
          <w:szCs w:val="27"/>
        </w:rPr>
        <w:tab/>
      </w:r>
      <w:r w:rsidR="00265F3C" w:rsidRPr="00265F3C">
        <w:rPr>
          <w:rFonts w:ascii="Poppins" w:hAnsi="Poppins" w:cs="Poppins"/>
          <w:color w:val="212529"/>
          <w:sz w:val="27"/>
          <w:szCs w:val="27"/>
        </w:rPr>
        <w:tab/>
      </w:r>
    </w:p>
    <w:p w14:paraId="79BF9A21" w14:textId="77777777" w:rsidR="00265F3C" w:rsidRPr="00265F3C" w:rsidRDefault="00265F3C" w:rsidP="00265F3C">
      <w:pPr>
        <w:overflowPunct/>
        <w:autoSpaceDE/>
        <w:adjustRightInd/>
        <w:rPr>
          <w:rFonts w:ascii="Poppins" w:hAnsi="Poppins" w:cs="Poppins"/>
          <w:color w:val="212529"/>
          <w:sz w:val="27"/>
          <w:szCs w:val="27"/>
        </w:rPr>
      </w:pP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</w:p>
    <w:p w14:paraId="4688DCB3" w14:textId="77777777" w:rsidR="00265F3C" w:rsidRPr="00265F3C" w:rsidRDefault="00265F3C" w:rsidP="00265F3C">
      <w:pPr>
        <w:overflowPunct/>
        <w:autoSpaceDE/>
        <w:adjustRightInd/>
        <w:rPr>
          <w:rFonts w:ascii="Poppins" w:hAnsi="Poppins" w:cs="Poppins"/>
          <w:color w:val="212529"/>
          <w:sz w:val="27"/>
          <w:szCs w:val="27"/>
        </w:rPr>
      </w:pP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</w:p>
    <w:p w14:paraId="0B879606" w14:textId="77777777" w:rsidR="00265F3C" w:rsidRPr="00265F3C" w:rsidRDefault="00265F3C" w:rsidP="00265F3C">
      <w:pPr>
        <w:overflowPunct/>
        <w:autoSpaceDE/>
        <w:adjustRightInd/>
        <w:rPr>
          <w:rFonts w:ascii="Poppins" w:hAnsi="Poppins" w:cs="Poppins"/>
          <w:color w:val="212529"/>
          <w:sz w:val="27"/>
          <w:szCs w:val="27"/>
        </w:rPr>
      </w:pP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</w:p>
    <w:p w14:paraId="6B93133B" w14:textId="77777777" w:rsidR="00265F3C" w:rsidRPr="00265F3C" w:rsidRDefault="00265F3C" w:rsidP="00265F3C">
      <w:pPr>
        <w:overflowPunct/>
        <w:autoSpaceDE/>
        <w:adjustRightInd/>
        <w:rPr>
          <w:rFonts w:ascii="Poppins" w:hAnsi="Poppins" w:cs="Poppins"/>
          <w:color w:val="212529"/>
          <w:sz w:val="27"/>
          <w:szCs w:val="27"/>
        </w:rPr>
      </w:pP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</w:p>
    <w:p w14:paraId="147D1458" w14:textId="0455C156" w:rsidR="007C411F" w:rsidRPr="007C411F" w:rsidRDefault="00265F3C" w:rsidP="00265F3C">
      <w:pPr>
        <w:overflowPunct/>
        <w:autoSpaceDE/>
        <w:adjustRightInd/>
        <w:rPr>
          <w:rFonts w:ascii="Poppins" w:hAnsi="Poppins" w:cs="Poppins"/>
          <w:color w:val="212529"/>
          <w:sz w:val="24"/>
          <w:szCs w:val="24"/>
        </w:rPr>
      </w:pP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Pr="00265F3C">
        <w:rPr>
          <w:rFonts w:ascii="Poppins" w:hAnsi="Poppins" w:cs="Poppins"/>
          <w:color w:val="212529"/>
          <w:sz w:val="27"/>
          <w:szCs w:val="27"/>
        </w:rPr>
        <w:tab/>
      </w:r>
      <w:r w:rsidR="007C411F" w:rsidRPr="007C411F">
        <w:rPr>
          <w:rFonts w:ascii="Poppins" w:hAnsi="Poppins" w:cs="Poppins"/>
          <w:color w:val="212529"/>
          <w:sz w:val="27"/>
          <w:szCs w:val="27"/>
        </w:rPr>
        <w:tab/>
      </w:r>
      <w:r w:rsidR="007C411F" w:rsidRPr="007C411F">
        <w:rPr>
          <w:rFonts w:ascii="Poppins" w:hAnsi="Poppins" w:cs="Poppins"/>
          <w:color w:val="212529"/>
          <w:sz w:val="27"/>
          <w:szCs w:val="27"/>
        </w:rPr>
        <w:tab/>
      </w:r>
      <w:r w:rsidR="007C411F" w:rsidRPr="007C411F">
        <w:rPr>
          <w:rFonts w:ascii="Poppins" w:hAnsi="Poppins" w:cs="Poppins"/>
          <w:color w:val="212529"/>
          <w:sz w:val="27"/>
          <w:szCs w:val="27"/>
        </w:rPr>
        <w:tab/>
      </w:r>
      <w:r w:rsidR="007C411F" w:rsidRPr="007C411F">
        <w:rPr>
          <w:rFonts w:ascii="Poppins" w:hAnsi="Poppins" w:cs="Poppins"/>
          <w:color w:val="212529"/>
          <w:sz w:val="27"/>
          <w:szCs w:val="27"/>
        </w:rPr>
        <w:tab/>
      </w:r>
      <w:r w:rsidR="007C411F" w:rsidRPr="007C411F">
        <w:rPr>
          <w:rFonts w:ascii="Poppins" w:hAnsi="Poppins" w:cs="Poppins"/>
          <w:color w:val="212529"/>
          <w:sz w:val="27"/>
          <w:szCs w:val="27"/>
        </w:rPr>
        <w:tab/>
      </w:r>
      <w:r w:rsidR="007C411F" w:rsidRPr="007C411F">
        <w:rPr>
          <w:rFonts w:ascii="Poppins" w:hAnsi="Poppins" w:cs="Poppins"/>
          <w:color w:val="212529"/>
          <w:sz w:val="27"/>
          <w:szCs w:val="27"/>
        </w:rPr>
        <w:tab/>
      </w:r>
      <w:r w:rsidR="007C411F" w:rsidRPr="007C411F">
        <w:rPr>
          <w:rFonts w:ascii="Poppins" w:hAnsi="Poppins" w:cs="Poppins"/>
          <w:color w:val="212529"/>
          <w:sz w:val="27"/>
          <w:szCs w:val="27"/>
        </w:rPr>
        <w:tab/>
      </w:r>
      <w:r w:rsidR="007C411F" w:rsidRPr="007C411F">
        <w:rPr>
          <w:rFonts w:ascii="Poppins" w:hAnsi="Poppins" w:cs="Poppins"/>
          <w:color w:val="212529"/>
          <w:sz w:val="27"/>
          <w:szCs w:val="27"/>
        </w:rPr>
        <w:tab/>
      </w:r>
      <w:r w:rsidR="007C411F" w:rsidRPr="007C411F">
        <w:rPr>
          <w:rFonts w:ascii="Poppins" w:hAnsi="Poppins" w:cs="Poppins"/>
          <w:color w:val="212529"/>
          <w:sz w:val="27"/>
          <w:szCs w:val="27"/>
        </w:rPr>
        <w:tab/>
      </w:r>
    </w:p>
    <w:p w14:paraId="3F1ACB94" w14:textId="232CAEA8" w:rsidR="00F41315" w:rsidRDefault="00336279" w:rsidP="00D1522E">
      <w:pPr>
        <w:rPr>
          <w:rFonts w:ascii="Calibri" w:hAnsi="Calibri" w:cs="Calibri"/>
          <w:b/>
          <w:color w:val="13576B"/>
          <w:sz w:val="24"/>
          <w:szCs w:val="24"/>
        </w:rPr>
      </w:pPr>
      <w:r>
        <w:rPr>
          <w:rFonts w:ascii="Calibri" w:hAnsi="Calibri" w:cs="Calibri"/>
          <w:b/>
          <w:bCs/>
          <w:color w:val="13576B"/>
          <w:sz w:val="24"/>
          <w:szCs w:val="24"/>
        </w:rPr>
        <w:lastRenderedPageBreak/>
        <w:t>Průměrná výše nové hypotéky v září vzrostla na 4,67 milionu Kč</w:t>
      </w:r>
    </w:p>
    <w:p w14:paraId="0200B3F4" w14:textId="77777777" w:rsidR="00D1522E" w:rsidRDefault="00D1522E" w:rsidP="00D1522E">
      <w:pPr>
        <w:overflowPunct/>
        <w:autoSpaceDE/>
        <w:autoSpaceDN/>
        <w:adjustRightInd/>
        <w:textAlignment w:val="auto"/>
        <w:rPr>
          <w:rFonts w:ascii="Calibri" w:hAnsi="Calibri" w:cs="Calibri"/>
          <w:color w:val="000000"/>
          <w:sz w:val="22"/>
          <w:szCs w:val="22"/>
        </w:rPr>
      </w:pPr>
    </w:p>
    <w:p w14:paraId="12761406" w14:textId="77777777" w:rsidR="00ED1168" w:rsidRDefault="008979EB" w:rsidP="00ED1168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Průměrná velikost skutečně nové hypotéky v září vzrostla téměř o 2 % na 4,67 milionu Kč a byla o 7 % vyšší než před rokem. </w:t>
      </w:r>
      <w:r w:rsidR="00ED1168" w:rsidRPr="00D83A6D">
        <w:rPr>
          <w:rFonts w:ascii="Calibri" w:hAnsi="Calibri" w:cs="Calibri"/>
          <w:color w:val="000000"/>
          <w:sz w:val="22"/>
          <w:szCs w:val="22"/>
        </w:rPr>
        <w:t xml:space="preserve">Vyšší </w:t>
      </w:r>
      <w:r w:rsidR="00ED1168">
        <w:rPr>
          <w:rFonts w:ascii="Calibri" w:hAnsi="Calibri" w:cs="Calibri"/>
          <w:color w:val="000000"/>
          <w:sz w:val="22"/>
          <w:szCs w:val="22"/>
        </w:rPr>
        <w:t xml:space="preserve">průměrná velikost hypotéky na začátku letošního roku, kdy v období březen až květen dosahovala 4,85 mil. Kč, pravděpodobně odrážela doznívající efekt předzásobení u tzv. investičních hypoték. U nich ČNB od dubna </w:t>
      </w:r>
      <w:hyperlink r:id="rId25" w:history="1">
        <w:r w:rsidR="00ED1168">
          <w:rPr>
            <w:rStyle w:val="Hypertextovodkaz"/>
            <w:rFonts w:ascii="Calibri" w:hAnsi="Calibri" w:cs="Calibri"/>
            <w:sz w:val="22"/>
            <w:szCs w:val="22"/>
          </w:rPr>
          <w:t>zpřísnila požadavky</w:t>
        </w:r>
      </w:hyperlink>
      <w:r w:rsidR="00ED1168">
        <w:rPr>
          <w:rFonts w:ascii="Calibri" w:hAnsi="Calibri" w:cs="Calibri"/>
          <w:color w:val="000000"/>
          <w:sz w:val="22"/>
          <w:szCs w:val="22"/>
        </w:rPr>
        <w:t>, konkrétně LTV na 70 % a DTI na sedminásobek ročního příjmu. Na základě dat ČNB ze Zprávy o finanční stabilitě odhadujeme, že průměrná výše investiční hypotéky, tedy hypotéky na další vlastní bydlení či pronájem, byla v loňském roce a v prvním čtvrtletí letošního roku zhruba o 29 % vyšší než u hypoték na vlastní bydlení a ostatních skutečně nových hypoték.</w:t>
      </w:r>
    </w:p>
    <w:p w14:paraId="10823FFD" w14:textId="3CFD30FA" w:rsidR="00AE7732" w:rsidRDefault="00AE7732" w:rsidP="00F6412C">
      <w:pPr>
        <w:overflowPunct/>
        <w:autoSpaceDE/>
        <w:autoSpaceDN/>
        <w:adjustRightInd/>
        <w:textAlignment w:val="auto"/>
        <w:rPr>
          <w:rFonts w:ascii="Calibri" w:hAnsi="Calibri" w:cs="Calibri"/>
          <w:color w:val="000000"/>
          <w:sz w:val="22"/>
          <w:szCs w:val="22"/>
        </w:rPr>
      </w:pPr>
    </w:p>
    <w:p w14:paraId="777FC14F" w14:textId="53DA6F49" w:rsidR="00150AA5" w:rsidRDefault="00150AA5" w:rsidP="00150AA5">
      <w:pPr>
        <w:rPr>
          <w:kern w:val="2"/>
          <w:szCs w:val="18"/>
          <w14:ligatures w14:val="standardContextual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Průměrná výše hypotéky úzce souvisí také s vývojem cen nemovitostí. </w:t>
      </w:r>
      <w:r>
        <w:rPr>
          <w:rFonts w:ascii="Calibri" w:hAnsi="Calibri" w:cs="Calibri"/>
          <w:color w:val="000000"/>
          <w:sz w:val="22"/>
          <w:szCs w:val="22"/>
        </w:rPr>
        <w:t xml:space="preserve">Ty </w:t>
      </w:r>
      <w:hyperlink r:id="rId26" w:history="1">
        <w:r>
          <w:rPr>
            <w:rStyle w:val="Hypertextovodkaz"/>
            <w:rFonts w:ascii="Calibri" w:hAnsi="Calibri" w:cs="Calibri"/>
            <w:sz w:val="22"/>
            <w:szCs w:val="22"/>
          </w:rPr>
          <w:t xml:space="preserve">v </w:t>
        </w:r>
        <w:r w:rsidR="00ED1168">
          <w:rPr>
            <w:rStyle w:val="Hypertextovodkaz"/>
            <w:rFonts w:ascii="Calibri" w:hAnsi="Calibri" w:cs="Calibri"/>
            <w:sz w:val="22"/>
            <w:szCs w:val="22"/>
          </w:rPr>
          <w:t>druhém</w:t>
        </w:r>
        <w:r>
          <w:rPr>
            <w:rStyle w:val="Hypertextovodkaz"/>
            <w:rFonts w:ascii="Calibri" w:hAnsi="Calibri" w:cs="Calibri"/>
            <w:sz w:val="22"/>
            <w:szCs w:val="22"/>
          </w:rPr>
          <w:t xml:space="preserve"> čtvrtletí pouze mírně zpomalily</w:t>
        </w:r>
      </w:hyperlink>
      <w:r>
        <w:rPr>
          <w:rFonts w:ascii="Calibri" w:hAnsi="Calibri" w:cs="Calibri"/>
          <w:color w:val="000000"/>
          <w:sz w:val="22"/>
          <w:szCs w:val="22"/>
        </w:rPr>
        <w:t xml:space="preserve"> svůj meziroční růst k</w:t>
      </w:r>
      <w:r w:rsidR="00ED1168">
        <w:rPr>
          <w:rFonts w:ascii="Calibri" w:hAnsi="Calibri" w:cs="Calibri"/>
          <w:color w:val="000000"/>
          <w:sz w:val="22"/>
          <w:szCs w:val="22"/>
        </w:rPr>
        <w:t> 8,6</w:t>
      </w:r>
      <w:r>
        <w:rPr>
          <w:rFonts w:ascii="Calibri" w:hAnsi="Calibri" w:cs="Calibri"/>
          <w:color w:val="000000"/>
          <w:sz w:val="22"/>
          <w:szCs w:val="22"/>
        </w:rPr>
        <w:t xml:space="preserve"> %. </w:t>
      </w:r>
      <w:hyperlink r:id="rId27" w:history="1">
        <w:r w:rsidR="007420E1" w:rsidRPr="007420E1">
          <w:rPr>
            <w:rStyle w:val="Hypertextovodkaz"/>
            <w:rFonts w:ascii="Calibri" w:hAnsi="Calibri" w:cs="Calibri"/>
            <w:sz w:val="22"/>
            <w:szCs w:val="22"/>
          </w:rPr>
          <w:t>Ceny bytů v druhém čtvrtletí</w:t>
        </w:r>
      </w:hyperlink>
      <w:r w:rsidR="007420E1">
        <w:rPr>
          <w:rFonts w:ascii="Calibri" w:hAnsi="Calibri" w:cs="Calibri"/>
          <w:color w:val="000000"/>
          <w:sz w:val="22"/>
          <w:szCs w:val="22"/>
        </w:rPr>
        <w:t xml:space="preserve"> zpomalily růst v případě nabídkových cen na 1,4 % mezičtvrtletně z 2,7 % v prvním čtvrtletí a dostaly se tak pod jejich dlouhodobé průměrné navýšení o 1,8 %. Ovšem růst realizovaných cen zůstal na 2,5 % </w:t>
      </w:r>
      <w:r w:rsidR="005F3D30">
        <w:rPr>
          <w:rFonts w:ascii="Calibri" w:hAnsi="Calibri" w:cs="Calibri"/>
          <w:color w:val="000000"/>
          <w:sz w:val="22"/>
          <w:szCs w:val="22"/>
        </w:rPr>
        <w:t>mezičtvrtletně</w:t>
      </w:r>
      <w:r w:rsidR="007420E1">
        <w:rPr>
          <w:rFonts w:ascii="Calibri" w:hAnsi="Calibri" w:cs="Calibri"/>
          <w:color w:val="000000"/>
          <w:sz w:val="22"/>
          <w:szCs w:val="22"/>
        </w:rPr>
        <w:t xml:space="preserve">, což </w:t>
      </w:r>
      <w:r w:rsidR="005F3D30">
        <w:rPr>
          <w:rFonts w:ascii="Calibri" w:hAnsi="Calibri" w:cs="Calibri"/>
          <w:color w:val="000000"/>
          <w:sz w:val="22"/>
          <w:szCs w:val="22"/>
        </w:rPr>
        <w:t>signalizuje</w:t>
      </w:r>
      <w:r w:rsidR="007420E1">
        <w:rPr>
          <w:rFonts w:ascii="Calibri" w:hAnsi="Calibri" w:cs="Calibri"/>
          <w:color w:val="000000"/>
          <w:sz w:val="22"/>
          <w:szCs w:val="22"/>
        </w:rPr>
        <w:t xml:space="preserve"> možné budoucí zpomalení k 10 % meziročně z 12,3 % v</w:t>
      </w:r>
      <w:r w:rsidR="005F3D30">
        <w:rPr>
          <w:rFonts w:ascii="Calibri" w:hAnsi="Calibri" w:cs="Calibri"/>
          <w:color w:val="000000"/>
          <w:sz w:val="22"/>
          <w:szCs w:val="22"/>
        </w:rPr>
        <w:t>e druhém</w:t>
      </w:r>
      <w:r w:rsidR="007420E1">
        <w:rPr>
          <w:rFonts w:ascii="Calibri" w:hAnsi="Calibri" w:cs="Calibri"/>
          <w:color w:val="000000"/>
          <w:sz w:val="22"/>
          <w:szCs w:val="22"/>
        </w:rPr>
        <w:t xml:space="preserve"> čtvrtletí</w:t>
      </w:r>
      <w:r>
        <w:rPr>
          <w:rFonts w:ascii="Calibri" w:hAnsi="Calibri" w:cs="Calibri"/>
          <w:color w:val="000000"/>
          <w:sz w:val="22"/>
          <w:szCs w:val="22"/>
        </w:rPr>
        <w:t xml:space="preserve">. Podle dat společnosti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Flat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Zone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5F3D30">
        <w:rPr>
          <w:rFonts w:ascii="Calibri" w:hAnsi="Calibri" w:cs="Calibri"/>
          <w:color w:val="000000"/>
          <w:sz w:val="22"/>
          <w:szCs w:val="22"/>
        </w:rPr>
        <w:t>stoupla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5F3D30">
        <w:rPr>
          <w:rFonts w:ascii="Calibri" w:hAnsi="Calibri" w:cs="Calibri"/>
          <w:color w:val="000000"/>
          <w:sz w:val="22"/>
          <w:szCs w:val="22"/>
        </w:rPr>
        <w:t>t</w:t>
      </w:r>
      <w:r w:rsidR="005F3D30" w:rsidRPr="005F3D30">
        <w:rPr>
          <w:rFonts w:ascii="Calibri" w:hAnsi="Calibri" w:cs="Calibri"/>
          <w:color w:val="000000"/>
          <w:sz w:val="22"/>
          <w:szCs w:val="22"/>
        </w:rPr>
        <w:t xml:space="preserve">ransakční cena prodaných bytů </w:t>
      </w:r>
      <w:hyperlink r:id="rId28" w:history="1">
        <w:r w:rsidR="005F3D30" w:rsidRPr="005F3D30">
          <w:rPr>
            <w:rStyle w:val="Hypertextovodkaz"/>
            <w:rFonts w:ascii="Calibri" w:hAnsi="Calibri" w:cs="Calibri"/>
            <w:sz w:val="22"/>
            <w:szCs w:val="22"/>
          </w:rPr>
          <w:t>ve druhém čtvrtletí</w:t>
        </w:r>
      </w:hyperlink>
      <w:r w:rsidR="005F3D30" w:rsidRPr="005F3D30">
        <w:rPr>
          <w:rFonts w:ascii="Calibri" w:hAnsi="Calibri" w:cs="Calibri"/>
          <w:color w:val="000000"/>
          <w:sz w:val="22"/>
          <w:szCs w:val="22"/>
        </w:rPr>
        <w:t xml:space="preserve"> téměř ke 100 tisícům korun za metr čtvereční, přičemž v Praze přesáhla 165 tisíc. To je o 8,3 %, respektive 9,7 % více než před rokem</w:t>
      </w:r>
      <w:r w:rsidR="005F3D30">
        <w:rPr>
          <w:rFonts w:ascii="Calibri" w:hAnsi="Calibri" w:cs="Calibri"/>
          <w:color w:val="000000"/>
          <w:sz w:val="22"/>
          <w:szCs w:val="22"/>
        </w:rPr>
        <w:t xml:space="preserve"> (</w:t>
      </w:r>
      <w:r>
        <w:rPr>
          <w:rFonts w:ascii="Calibri" w:hAnsi="Calibri" w:cs="Calibri"/>
          <w:color w:val="000000"/>
          <w:sz w:val="22"/>
          <w:szCs w:val="22"/>
        </w:rPr>
        <w:t xml:space="preserve">viz grafy na </w:t>
      </w:r>
      <w:hyperlink r:id="rId29" w:history="1">
        <w:r>
          <w:rPr>
            <w:rStyle w:val="Hypertextovodkaz"/>
            <w:rFonts w:ascii="Calibri" w:hAnsi="Calibri" w:cs="Calibri"/>
            <w:sz w:val="22"/>
            <w:szCs w:val="22"/>
          </w:rPr>
          <w:t>ČBA Monitor</w:t>
        </w:r>
      </w:hyperlink>
      <w:r>
        <w:rPr>
          <w:rFonts w:ascii="Calibri" w:hAnsi="Calibri" w:cs="Calibri"/>
          <w:color w:val="000000"/>
          <w:sz w:val="22"/>
          <w:szCs w:val="22"/>
        </w:rPr>
        <w:t xml:space="preserve">). </w:t>
      </w:r>
      <w:r w:rsidR="005F3D30" w:rsidRPr="005F3D30">
        <w:rPr>
          <w:rFonts w:ascii="Calibri" w:hAnsi="Calibri" w:cs="Calibri"/>
          <w:color w:val="000000"/>
          <w:sz w:val="22"/>
          <w:szCs w:val="22"/>
        </w:rPr>
        <w:t xml:space="preserve">Výraznější ústup cenové dynamiky však bude dál brzdit souběh omezení na </w:t>
      </w:r>
      <w:hyperlink r:id="rId30" w:history="1">
        <w:r w:rsidR="005F3D30" w:rsidRPr="006F129E">
          <w:rPr>
            <w:rStyle w:val="Hypertextovodkaz"/>
            <w:rFonts w:ascii="Calibri" w:hAnsi="Calibri" w:cs="Calibri"/>
            <w:sz w:val="22"/>
            <w:szCs w:val="22"/>
          </w:rPr>
          <w:t>nabídkové straně</w:t>
        </w:r>
      </w:hyperlink>
      <w:r w:rsidR="005F3D30" w:rsidRPr="005F3D30">
        <w:rPr>
          <w:rFonts w:ascii="Calibri" w:hAnsi="Calibri" w:cs="Calibri"/>
          <w:color w:val="000000"/>
          <w:sz w:val="22"/>
          <w:szCs w:val="22"/>
        </w:rPr>
        <w:t xml:space="preserve"> a silnější předzásobení hypotékami</w:t>
      </w:r>
      <w:r w:rsidR="005F3D30">
        <w:rPr>
          <w:rFonts w:ascii="Calibri" w:hAnsi="Calibri" w:cs="Calibri"/>
          <w:color w:val="000000"/>
          <w:sz w:val="22"/>
          <w:szCs w:val="22"/>
        </w:rPr>
        <w:t xml:space="preserve">, ale i stále solidní </w:t>
      </w:r>
      <w:r>
        <w:rPr>
          <w:rFonts w:ascii="Calibri" w:hAnsi="Calibri" w:cs="Calibri"/>
          <w:color w:val="000000"/>
          <w:sz w:val="22"/>
          <w:szCs w:val="22"/>
        </w:rPr>
        <w:t>reálných mezd domácností (</w:t>
      </w:r>
      <w:r w:rsidR="005F3D30">
        <w:rPr>
          <w:rFonts w:ascii="Calibri" w:hAnsi="Calibri" w:cs="Calibri"/>
          <w:color w:val="000000"/>
          <w:sz w:val="22"/>
          <w:szCs w:val="22"/>
        </w:rPr>
        <w:t>4,3</w:t>
      </w:r>
      <w:r>
        <w:rPr>
          <w:rFonts w:ascii="Calibri" w:hAnsi="Calibri" w:cs="Calibri"/>
          <w:color w:val="000000"/>
          <w:sz w:val="22"/>
          <w:szCs w:val="22"/>
        </w:rPr>
        <w:t xml:space="preserve"> % meziročně v</w:t>
      </w:r>
      <w:r w:rsidR="005F3D30">
        <w:rPr>
          <w:rFonts w:ascii="Calibri" w:hAnsi="Calibri" w:cs="Calibri"/>
          <w:color w:val="000000"/>
          <w:sz w:val="22"/>
          <w:szCs w:val="22"/>
        </w:rPr>
        <w:t> </w:t>
      </w:r>
      <w:hyperlink r:id="rId31" w:history="1">
        <w:r>
          <w:rPr>
            <w:rStyle w:val="Hypertextovodkaz"/>
            <w:rFonts w:ascii="Calibri" w:hAnsi="Calibri" w:cs="Calibri"/>
            <w:sz w:val="22"/>
            <w:szCs w:val="22"/>
          </w:rPr>
          <w:t>Q</w:t>
        </w:r>
        <w:r w:rsidR="005F3D30">
          <w:rPr>
            <w:rStyle w:val="Hypertextovodkaz"/>
            <w:rFonts w:ascii="Calibri" w:hAnsi="Calibri" w:cs="Calibri"/>
            <w:sz w:val="22"/>
            <w:szCs w:val="22"/>
          </w:rPr>
          <w:t>2</w:t>
        </w:r>
        <w:r>
          <w:rPr>
            <w:rStyle w:val="Hypertextovodkaz"/>
            <w:rFonts w:ascii="Calibri" w:hAnsi="Calibri" w:cs="Calibri"/>
            <w:sz w:val="22"/>
            <w:szCs w:val="22"/>
          </w:rPr>
          <w:t>-2026</w:t>
        </w:r>
      </w:hyperlink>
      <w:r>
        <w:rPr>
          <w:rFonts w:ascii="Calibri" w:hAnsi="Calibri" w:cs="Calibri"/>
          <w:sz w:val="22"/>
          <w:szCs w:val="22"/>
        </w:rPr>
        <w:t xml:space="preserve">; graficky </w:t>
      </w:r>
      <w:hyperlink r:id="rId32" w:history="1">
        <w:r>
          <w:rPr>
            <w:rStyle w:val="Hypertextovodkaz"/>
            <w:rFonts w:ascii="Calibri" w:hAnsi="Calibri" w:cs="Calibri"/>
            <w:sz w:val="22"/>
            <w:szCs w:val="22"/>
          </w:rPr>
          <w:t>zde</w:t>
        </w:r>
      </w:hyperlink>
      <w:r>
        <w:rPr>
          <w:rFonts w:ascii="Calibri" w:hAnsi="Calibri" w:cs="Calibri"/>
          <w:color w:val="000000"/>
          <w:sz w:val="22"/>
          <w:szCs w:val="22"/>
        </w:rPr>
        <w:t>)</w:t>
      </w:r>
      <w:r w:rsidR="00ED1168">
        <w:rPr>
          <w:rFonts w:ascii="Calibri" w:hAnsi="Calibri" w:cs="Calibri"/>
          <w:color w:val="000000"/>
          <w:sz w:val="22"/>
          <w:szCs w:val="22"/>
        </w:rPr>
        <w:t xml:space="preserve"> a </w:t>
      </w:r>
      <w:hyperlink r:id="rId33" w:history="1">
        <w:r w:rsidR="00ED1168" w:rsidRPr="00ED1168">
          <w:rPr>
            <w:rStyle w:val="Hypertextovodkaz"/>
            <w:rFonts w:ascii="Calibri" w:hAnsi="Calibri" w:cs="Calibri"/>
            <w:sz w:val="22"/>
            <w:szCs w:val="22"/>
          </w:rPr>
          <w:t>disponibilních příjmů</w:t>
        </w:r>
      </w:hyperlink>
      <w:r>
        <w:rPr>
          <w:rFonts w:ascii="Calibri" w:hAnsi="Calibri" w:cs="Calibri"/>
          <w:color w:val="000000"/>
          <w:sz w:val="22"/>
          <w:szCs w:val="22"/>
        </w:rPr>
        <w:t>.</w:t>
      </w:r>
    </w:p>
    <w:p w14:paraId="36769E17" w14:textId="77777777" w:rsidR="00C802D7" w:rsidRDefault="00C802D7" w:rsidP="00C802D7">
      <w:pPr>
        <w:overflowPunct/>
        <w:autoSpaceDE/>
        <w:autoSpaceDN/>
        <w:adjustRightInd/>
        <w:textAlignment w:val="auto"/>
        <w:rPr>
          <w:rFonts w:ascii="Calibri" w:hAnsi="Calibri" w:cs="Calibri"/>
          <w:color w:val="000000"/>
          <w:sz w:val="22"/>
          <w:szCs w:val="22"/>
        </w:rPr>
      </w:pPr>
    </w:p>
    <w:p w14:paraId="37433820" w14:textId="3A27D52D" w:rsidR="00573D34" w:rsidRDefault="00EB1892" w:rsidP="00573D34">
      <w:pPr>
        <w:spacing w:after="120"/>
        <w:rPr>
          <w:rFonts w:ascii="Calibri" w:hAnsi="Calibri" w:cs="Calibri"/>
          <w:b/>
          <w:color w:val="13576B"/>
          <w:sz w:val="23"/>
          <w:szCs w:val="23"/>
        </w:rPr>
      </w:pPr>
      <w:r w:rsidRPr="005B4653">
        <w:rPr>
          <w:rFonts w:ascii="Calibri" w:hAnsi="Calibri" w:cs="Calibri"/>
          <w:b/>
          <w:color w:val="13576B"/>
          <w:sz w:val="23"/>
          <w:szCs w:val="23"/>
        </w:rPr>
        <w:t xml:space="preserve">Graf č. </w:t>
      </w:r>
      <w:r w:rsidR="000B7D19">
        <w:rPr>
          <w:rFonts w:ascii="Calibri" w:hAnsi="Calibri" w:cs="Calibri"/>
          <w:b/>
          <w:color w:val="13576B"/>
          <w:sz w:val="23"/>
          <w:szCs w:val="23"/>
        </w:rPr>
        <w:t>6</w:t>
      </w:r>
      <w:r w:rsidRPr="005B4653">
        <w:rPr>
          <w:rFonts w:ascii="Calibri" w:hAnsi="Calibri" w:cs="Calibri"/>
          <w:b/>
          <w:color w:val="13576B"/>
          <w:sz w:val="23"/>
          <w:szCs w:val="23"/>
        </w:rPr>
        <w:t xml:space="preserve">: </w:t>
      </w:r>
      <w:r w:rsidR="009D5F35">
        <w:rPr>
          <w:rFonts w:ascii="Calibri" w:hAnsi="Calibri" w:cs="Calibri"/>
          <w:b/>
          <w:color w:val="13576B"/>
          <w:sz w:val="23"/>
          <w:szCs w:val="23"/>
        </w:rPr>
        <w:t xml:space="preserve">Ilustrativní srovnání výše měsíční splátky </w:t>
      </w:r>
      <w:r w:rsidR="00EA163C">
        <w:rPr>
          <w:rFonts w:ascii="Calibri" w:hAnsi="Calibri" w:cs="Calibri"/>
          <w:b/>
          <w:color w:val="13576B"/>
          <w:sz w:val="23"/>
          <w:szCs w:val="23"/>
        </w:rPr>
        <w:t xml:space="preserve">u aktuální </w:t>
      </w:r>
      <w:r w:rsidR="009D5F35">
        <w:rPr>
          <w:rFonts w:ascii="Calibri" w:hAnsi="Calibri" w:cs="Calibri"/>
          <w:b/>
          <w:color w:val="13576B"/>
          <w:sz w:val="23"/>
          <w:szCs w:val="23"/>
        </w:rPr>
        <w:t xml:space="preserve">průměrné </w:t>
      </w:r>
      <w:r w:rsidR="00490E04">
        <w:rPr>
          <w:rFonts w:ascii="Calibri" w:hAnsi="Calibri" w:cs="Calibri"/>
          <w:b/>
          <w:color w:val="13576B"/>
          <w:sz w:val="23"/>
          <w:szCs w:val="23"/>
        </w:rPr>
        <w:t xml:space="preserve">nově poskytnuté </w:t>
      </w:r>
      <w:r w:rsidR="009D5F35">
        <w:rPr>
          <w:rFonts w:ascii="Calibri" w:hAnsi="Calibri" w:cs="Calibri"/>
          <w:b/>
          <w:color w:val="13576B"/>
          <w:sz w:val="23"/>
          <w:szCs w:val="23"/>
        </w:rPr>
        <w:t>hypotéky s obdobím před rokem v závislosti na výši úroku, velikosti hypotéky a její splatnosti v</w:t>
      </w:r>
      <w:r w:rsidR="00573D34">
        <w:rPr>
          <w:rFonts w:ascii="Calibri" w:hAnsi="Calibri" w:cs="Calibri"/>
          <w:b/>
          <w:color w:val="13576B"/>
          <w:sz w:val="23"/>
          <w:szCs w:val="23"/>
        </w:rPr>
        <w:t> </w:t>
      </w:r>
      <w:r w:rsidR="009D5F35">
        <w:rPr>
          <w:rFonts w:ascii="Calibri" w:hAnsi="Calibri" w:cs="Calibri"/>
          <w:b/>
          <w:color w:val="13576B"/>
          <w:sz w:val="23"/>
          <w:szCs w:val="23"/>
        </w:rPr>
        <w:t>letech</w:t>
      </w:r>
    </w:p>
    <w:p w14:paraId="0828FF02" w14:textId="66131605" w:rsidR="00EA163C" w:rsidRDefault="004635CE" w:rsidP="00AA62A7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ascii="Calibri" w:hAnsi="Calibri" w:cs="Calibri"/>
          <w:bCs/>
          <w:i/>
          <w:iCs/>
          <w:noProof/>
          <w:color w:val="13576B"/>
          <w:sz w:val="23"/>
          <w:szCs w:val="23"/>
        </w:rPr>
      </w:pPr>
      <w:r w:rsidRPr="004635CE">
        <w:rPr>
          <w:rFonts w:ascii="Calibri" w:hAnsi="Calibri" w:cs="Calibri"/>
          <w:bCs/>
          <w:i/>
          <w:iCs/>
          <w:color w:val="13576B"/>
          <w:sz w:val="23"/>
          <w:szCs w:val="23"/>
        </w:rPr>
        <w:t>V meziročním srovnání přinesl nárůst hypoteční sazby nárůst průměrné měsíční splátky o 1 000 Kč a nárůst průměrné výše hypotéky způsobil její navýšení o 1 750 Kč.</w:t>
      </w:r>
      <w:r>
        <w:rPr>
          <w:rFonts w:ascii="Calibri" w:hAnsi="Calibri" w:cs="Calibri"/>
          <w:bCs/>
          <w:i/>
          <w:iCs/>
          <w:color w:val="13576B"/>
          <w:sz w:val="23"/>
          <w:szCs w:val="23"/>
        </w:rPr>
        <w:t xml:space="preserve"> Výše hypotéky ovšem v posledních dvou měsících klesá, což kompenzovalo dopad vyšší </w:t>
      </w:r>
      <w:r w:rsidRPr="004635CE">
        <w:rPr>
          <w:rFonts w:ascii="Calibri" w:hAnsi="Calibri" w:cs="Calibri"/>
          <w:bCs/>
          <w:i/>
          <w:iCs/>
          <w:color w:val="13576B"/>
          <w:sz w:val="23"/>
          <w:szCs w:val="23"/>
        </w:rPr>
        <w:t>úrokové sazby.</w:t>
      </w:r>
    </w:p>
    <w:p w14:paraId="602AD0DA" w14:textId="62BD6D11" w:rsidR="004635CE" w:rsidRDefault="00E656BA" w:rsidP="00AA62A7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ascii="Calibri" w:hAnsi="Calibri" w:cs="Calibri"/>
          <w:bCs/>
          <w:i/>
          <w:iCs/>
          <w:noProof/>
          <w:color w:val="13576B"/>
          <w:sz w:val="23"/>
          <w:szCs w:val="23"/>
        </w:rPr>
      </w:pPr>
      <w:r>
        <w:rPr>
          <w:rFonts w:ascii="Calibri" w:hAnsi="Calibri" w:cs="Calibri"/>
          <w:bCs/>
          <w:i/>
          <w:iCs/>
          <w:noProof/>
          <w:color w:val="13576B"/>
          <w:sz w:val="23"/>
          <w:szCs w:val="23"/>
        </w:rPr>
        <w:lastRenderedPageBreak/>
        <w:drawing>
          <wp:inline distT="0" distB="0" distL="0" distR="0" wp14:anchorId="3E4A8DFD" wp14:editId="15BF30BD">
            <wp:extent cx="6078220" cy="3645535"/>
            <wp:effectExtent l="0" t="0" r="0" b="0"/>
            <wp:docPr id="164260262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220" cy="3645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ADE1A7" w14:textId="4B9EF024" w:rsidR="009D5F35" w:rsidRDefault="009D5F35" w:rsidP="009D5F35">
      <w:pPr>
        <w:overflowPunct/>
        <w:autoSpaceDE/>
        <w:adjustRightInd/>
        <w:rPr>
          <w:rFonts w:ascii="Calibri Light" w:hAnsi="Calibri Light" w:cs="Calibri Light"/>
          <w:color w:val="13576B"/>
          <w:sz w:val="20"/>
        </w:rPr>
      </w:pPr>
      <w:r w:rsidRPr="002F4CBD">
        <w:rPr>
          <w:rFonts w:ascii="Calibri Light" w:hAnsi="Calibri Light" w:cs="Calibri Light"/>
          <w:color w:val="13576B"/>
          <w:sz w:val="20"/>
        </w:rPr>
        <w:t>Pramen:</w:t>
      </w:r>
      <w:r>
        <w:rPr>
          <w:rFonts w:ascii="Calibri Light" w:hAnsi="Calibri Light" w:cs="Calibri Light"/>
          <w:color w:val="13576B"/>
          <w:sz w:val="20"/>
        </w:rPr>
        <w:t xml:space="preserve"> </w:t>
      </w:r>
      <w:r w:rsidRPr="002F4CBD">
        <w:rPr>
          <w:rFonts w:ascii="Calibri Light" w:hAnsi="Calibri Light" w:cs="Calibri Light"/>
          <w:color w:val="13576B"/>
          <w:sz w:val="20"/>
        </w:rPr>
        <w:t>ČBA</w:t>
      </w:r>
      <w:r w:rsidR="00AA62A7">
        <w:rPr>
          <w:rFonts w:ascii="Calibri Light" w:hAnsi="Calibri Light" w:cs="Calibri Light"/>
          <w:color w:val="13576B"/>
          <w:sz w:val="20"/>
        </w:rPr>
        <w:t xml:space="preserve">. Pozn.: </w:t>
      </w:r>
      <w:r w:rsidR="00AA62A7" w:rsidRPr="00AA62A7">
        <w:rPr>
          <w:rFonts w:ascii="Calibri Light" w:hAnsi="Calibri Light" w:cs="Calibri Light"/>
          <w:color w:val="13576B"/>
          <w:sz w:val="20"/>
        </w:rPr>
        <w:t>částky jsou zaokrouhleny na desítky korun.</w:t>
      </w:r>
    </w:p>
    <w:p w14:paraId="7ECA69B5" w14:textId="77777777" w:rsidR="00173D31" w:rsidRDefault="00173D31" w:rsidP="009D5F35">
      <w:pPr>
        <w:overflowPunct/>
        <w:autoSpaceDE/>
        <w:adjustRightInd/>
        <w:rPr>
          <w:rFonts w:ascii="Calibri Light" w:hAnsi="Calibri Light" w:cs="Calibri Light"/>
          <w:color w:val="13576B"/>
          <w:sz w:val="20"/>
        </w:rPr>
      </w:pPr>
    </w:p>
    <w:p w14:paraId="620D9ACD" w14:textId="77777777" w:rsidR="00BA3140" w:rsidRDefault="00BA3140" w:rsidP="002E4EFD">
      <w:pPr>
        <w:rPr>
          <w:rFonts w:ascii="Calibri" w:hAnsi="Calibri" w:cs="Calibri"/>
          <w:b/>
          <w:color w:val="13576B"/>
          <w:sz w:val="24"/>
          <w:szCs w:val="24"/>
        </w:rPr>
      </w:pPr>
    </w:p>
    <w:p w14:paraId="5A72B105" w14:textId="31FA153D" w:rsidR="002E4EFD" w:rsidRDefault="008723A8" w:rsidP="002E4EFD">
      <w:pPr>
        <w:rPr>
          <w:rFonts w:ascii="Calibri" w:hAnsi="Calibri" w:cs="Calibri"/>
          <w:b/>
          <w:color w:val="13576B"/>
          <w:sz w:val="24"/>
          <w:szCs w:val="24"/>
        </w:rPr>
      </w:pPr>
      <w:r>
        <w:rPr>
          <w:rFonts w:ascii="Calibri" w:hAnsi="Calibri" w:cs="Calibri"/>
          <w:b/>
          <w:color w:val="13576B"/>
          <w:sz w:val="24"/>
          <w:szCs w:val="24"/>
        </w:rPr>
        <w:t>Statistická příloha</w:t>
      </w:r>
    </w:p>
    <w:p w14:paraId="7D8CD8E4" w14:textId="77777777" w:rsidR="00582221" w:rsidRDefault="00582221" w:rsidP="002E4EFD">
      <w:pPr>
        <w:rPr>
          <w:rFonts w:ascii="Calibri" w:hAnsi="Calibri" w:cs="Calibri"/>
          <w:b/>
          <w:color w:val="13576B"/>
          <w:sz w:val="24"/>
          <w:szCs w:val="24"/>
        </w:rPr>
      </w:pPr>
    </w:p>
    <w:p w14:paraId="2FA0BE1C" w14:textId="532A5C10" w:rsidR="00582221" w:rsidRPr="00D24B00" w:rsidRDefault="00582221" w:rsidP="002E4EFD">
      <w:pPr>
        <w:rPr>
          <w:rFonts w:ascii="Calibri" w:hAnsi="Calibri" w:cs="Calibri"/>
          <w:b/>
          <w:color w:val="EE0000"/>
          <w:sz w:val="24"/>
          <w:szCs w:val="24"/>
        </w:rPr>
      </w:pPr>
      <w:r w:rsidRPr="005B4653">
        <w:rPr>
          <w:rFonts w:ascii="Calibri" w:hAnsi="Calibri" w:cs="Calibri"/>
          <w:b/>
          <w:color w:val="13576B"/>
          <w:sz w:val="23"/>
          <w:szCs w:val="23"/>
        </w:rPr>
        <w:t xml:space="preserve">Graf č. </w:t>
      </w:r>
      <w:r w:rsidR="000B7D19">
        <w:rPr>
          <w:rFonts w:ascii="Calibri" w:hAnsi="Calibri" w:cs="Calibri"/>
          <w:b/>
          <w:color w:val="13576B"/>
          <w:sz w:val="23"/>
          <w:szCs w:val="23"/>
        </w:rPr>
        <w:t>7</w:t>
      </w:r>
      <w:r w:rsidRPr="005B4653">
        <w:rPr>
          <w:rFonts w:ascii="Calibri" w:hAnsi="Calibri" w:cs="Calibri"/>
          <w:b/>
          <w:color w:val="13576B"/>
          <w:sz w:val="23"/>
          <w:szCs w:val="23"/>
        </w:rPr>
        <w:t xml:space="preserve">: </w:t>
      </w:r>
      <w:r>
        <w:rPr>
          <w:rFonts w:ascii="Calibri" w:hAnsi="Calibri" w:cs="Calibri"/>
          <w:b/>
          <w:color w:val="13576B"/>
          <w:sz w:val="23"/>
          <w:szCs w:val="23"/>
        </w:rPr>
        <w:t>Sezónnost nových hypotečních úvěrů</w:t>
      </w:r>
    </w:p>
    <w:p w14:paraId="384BA2E5" w14:textId="5683034C" w:rsidR="0033440C" w:rsidRDefault="00E656BA" w:rsidP="009D5F35">
      <w:pPr>
        <w:overflowPunct/>
        <w:autoSpaceDE/>
        <w:adjustRightInd/>
        <w:rPr>
          <w:rFonts w:ascii="Calibri Light" w:hAnsi="Calibri Light" w:cs="Calibri Light"/>
          <w:color w:val="13576B"/>
          <w:sz w:val="20"/>
        </w:rPr>
      </w:pPr>
      <w:r>
        <w:rPr>
          <w:rFonts w:ascii="Calibri Light" w:hAnsi="Calibri Light" w:cs="Calibri Light"/>
          <w:noProof/>
          <w:color w:val="13576B"/>
          <w:sz w:val="20"/>
        </w:rPr>
        <w:lastRenderedPageBreak/>
        <w:drawing>
          <wp:inline distT="0" distB="0" distL="0" distR="0" wp14:anchorId="3BF2F9C0" wp14:editId="28A656E9">
            <wp:extent cx="6354536" cy="3817676"/>
            <wp:effectExtent l="0" t="0" r="8255" b="0"/>
            <wp:docPr id="173193344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480" cy="38260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43E5F5" w14:textId="68A6E96C" w:rsidR="0033440C" w:rsidRDefault="008723A8" w:rsidP="009D5F35">
      <w:pPr>
        <w:overflowPunct/>
        <w:autoSpaceDE/>
        <w:adjustRightInd/>
        <w:rPr>
          <w:rFonts w:ascii="Calibri Light" w:hAnsi="Calibri Light" w:cs="Calibri Light"/>
          <w:color w:val="13576B"/>
          <w:sz w:val="20"/>
        </w:rPr>
      </w:pPr>
      <w:r w:rsidRPr="002F4CBD">
        <w:rPr>
          <w:rFonts w:ascii="Calibri Light" w:hAnsi="Calibri Light" w:cs="Calibri Light"/>
          <w:color w:val="13576B"/>
          <w:sz w:val="20"/>
        </w:rPr>
        <w:t>Pramen:</w:t>
      </w:r>
      <w:r>
        <w:rPr>
          <w:rFonts w:ascii="Calibri Light" w:hAnsi="Calibri Light" w:cs="Calibri Light"/>
          <w:color w:val="13576B"/>
          <w:sz w:val="20"/>
        </w:rPr>
        <w:t xml:space="preserve"> </w:t>
      </w:r>
      <w:r w:rsidRPr="002F4CBD">
        <w:rPr>
          <w:rFonts w:ascii="Calibri Light" w:hAnsi="Calibri Light" w:cs="Calibri Light"/>
          <w:color w:val="13576B"/>
          <w:sz w:val="20"/>
        </w:rPr>
        <w:t>ČBA</w:t>
      </w:r>
      <w:r>
        <w:rPr>
          <w:rFonts w:ascii="Calibri Light" w:hAnsi="Calibri Light" w:cs="Calibri Light"/>
          <w:color w:val="13576B"/>
          <w:sz w:val="20"/>
        </w:rPr>
        <w:t xml:space="preserve"> </w:t>
      </w:r>
      <w:proofErr w:type="spellStart"/>
      <w:r>
        <w:rPr>
          <w:rFonts w:ascii="Calibri Light" w:hAnsi="Calibri Light" w:cs="Calibri Light"/>
          <w:color w:val="13576B"/>
          <w:sz w:val="20"/>
        </w:rPr>
        <w:t>Hypomonitor</w:t>
      </w:r>
      <w:proofErr w:type="spellEnd"/>
    </w:p>
    <w:p w14:paraId="03530238" w14:textId="12AD17C8" w:rsidR="008723A8" w:rsidRDefault="008723A8" w:rsidP="009D5F35">
      <w:pPr>
        <w:overflowPunct/>
        <w:autoSpaceDE/>
        <w:adjustRightInd/>
        <w:rPr>
          <w:rFonts w:ascii="Calibri Light" w:hAnsi="Calibri Light" w:cs="Calibri Light"/>
          <w:color w:val="13576B"/>
          <w:sz w:val="20"/>
        </w:rPr>
      </w:pPr>
      <w:r>
        <w:rPr>
          <w:rFonts w:ascii="Calibri Light" w:hAnsi="Calibri Light" w:cs="Calibri Light"/>
          <w:color w:val="13576B"/>
          <w:sz w:val="20"/>
        </w:rPr>
        <w:t xml:space="preserve">Poznámka: </w:t>
      </w:r>
      <w:r w:rsidR="006E2E7E">
        <w:rPr>
          <w:rFonts w:ascii="Calibri Light" w:hAnsi="Calibri Light" w:cs="Calibri Light"/>
          <w:color w:val="13576B"/>
          <w:sz w:val="20"/>
        </w:rPr>
        <w:t xml:space="preserve">Jedná se o skutečně nové hypotéky (tedy </w:t>
      </w:r>
      <w:r w:rsidR="00F50DD0">
        <w:rPr>
          <w:rFonts w:ascii="Calibri Light" w:hAnsi="Calibri Light" w:cs="Calibri Light"/>
          <w:color w:val="13576B"/>
          <w:sz w:val="20"/>
        </w:rPr>
        <w:t xml:space="preserve">bez </w:t>
      </w:r>
      <w:r w:rsidR="006E2E7E">
        <w:rPr>
          <w:rFonts w:ascii="Calibri Light" w:hAnsi="Calibri Light" w:cs="Calibri Light"/>
          <w:color w:val="13576B"/>
          <w:sz w:val="20"/>
        </w:rPr>
        <w:t xml:space="preserve">refinancování a navýšeni). </w:t>
      </w:r>
      <w:r>
        <w:rPr>
          <w:rFonts w:ascii="Calibri Light" w:hAnsi="Calibri Light" w:cs="Calibri Light"/>
          <w:color w:val="13576B"/>
          <w:sz w:val="20"/>
        </w:rPr>
        <w:t xml:space="preserve">Podkladová data jsou </w:t>
      </w:r>
      <w:r w:rsidRPr="008723A8">
        <w:rPr>
          <w:rFonts w:ascii="Calibri Light" w:hAnsi="Calibri Light" w:cs="Calibri Light"/>
          <w:color w:val="13576B"/>
          <w:sz w:val="20"/>
        </w:rPr>
        <w:t xml:space="preserve">k dispozici v souboru </w:t>
      </w:r>
      <w:proofErr w:type="spellStart"/>
      <w:r w:rsidRPr="008723A8">
        <w:rPr>
          <w:rFonts w:ascii="Calibri Light" w:hAnsi="Calibri Light" w:cs="Calibri Light"/>
          <w:color w:val="13576B"/>
          <w:sz w:val="20"/>
        </w:rPr>
        <w:t>xls</w:t>
      </w:r>
      <w:proofErr w:type="spellEnd"/>
      <w:r w:rsidRPr="008723A8">
        <w:rPr>
          <w:rFonts w:ascii="Calibri Light" w:hAnsi="Calibri Light" w:cs="Calibri Light"/>
          <w:color w:val="13576B"/>
          <w:sz w:val="20"/>
        </w:rPr>
        <w:t xml:space="preserve"> přiloženém na webových stránkách ČBA Hypomonitoru</w:t>
      </w:r>
      <w:r w:rsidR="00E16BD3">
        <w:rPr>
          <w:rFonts w:ascii="Calibri Light" w:hAnsi="Calibri Light" w:cs="Calibri Light"/>
          <w:color w:val="13576B"/>
          <w:sz w:val="20"/>
        </w:rPr>
        <w:t>. V</w:t>
      </w:r>
      <w:r w:rsidR="00E16BD3" w:rsidRPr="00E16BD3">
        <w:rPr>
          <w:rFonts w:ascii="Calibri Light" w:hAnsi="Calibri Light" w:cs="Calibri Light"/>
          <w:color w:val="13576B"/>
          <w:sz w:val="20"/>
        </w:rPr>
        <w:t>ýhled do konce roku</w:t>
      </w:r>
      <w:r w:rsidR="00E16BD3">
        <w:rPr>
          <w:rFonts w:ascii="Calibri Light" w:hAnsi="Calibri Light" w:cs="Calibri Light"/>
          <w:color w:val="13576B"/>
          <w:sz w:val="20"/>
        </w:rPr>
        <w:t xml:space="preserve"> (</w:t>
      </w:r>
      <w:proofErr w:type="spellStart"/>
      <w:r w:rsidR="00E16BD3">
        <w:rPr>
          <w:rFonts w:ascii="Calibri Light" w:hAnsi="Calibri Light" w:cs="Calibri Light"/>
          <w:color w:val="13576B"/>
          <w:sz w:val="20"/>
        </w:rPr>
        <w:t>fcst</w:t>
      </w:r>
      <w:proofErr w:type="spellEnd"/>
      <w:r w:rsidR="00E16BD3">
        <w:rPr>
          <w:rFonts w:ascii="Calibri Light" w:hAnsi="Calibri Light" w:cs="Calibri Light"/>
          <w:color w:val="13576B"/>
          <w:sz w:val="20"/>
        </w:rPr>
        <w:t>)</w:t>
      </w:r>
      <w:r w:rsidR="00E16BD3" w:rsidRPr="00E16BD3">
        <w:rPr>
          <w:rFonts w:ascii="Calibri Light" w:hAnsi="Calibri Light" w:cs="Calibri Light"/>
          <w:color w:val="13576B"/>
          <w:sz w:val="20"/>
        </w:rPr>
        <w:t xml:space="preserve"> je momentový – vychází z aktuálního trendu, nikoli z modelové predikce.</w:t>
      </w:r>
      <w:r w:rsidR="0025756A" w:rsidRPr="0025756A">
        <w:t xml:space="preserve"> </w:t>
      </w:r>
      <w:r w:rsidR="0025756A" w:rsidRPr="0025756A">
        <w:rPr>
          <w:rFonts w:ascii="Calibri Light" w:hAnsi="Calibri Light" w:cs="Calibri Light"/>
          <w:color w:val="13576B"/>
          <w:sz w:val="20"/>
        </w:rPr>
        <w:t>Nicméně pro zbytek roku předpokládá 7 % korekci do počtu hypoték</w:t>
      </w:r>
      <w:r w:rsidR="0007456F">
        <w:rPr>
          <w:rFonts w:ascii="Calibri Light" w:hAnsi="Calibri Light" w:cs="Calibri Light"/>
          <w:color w:val="13576B"/>
          <w:sz w:val="20"/>
        </w:rPr>
        <w:t xml:space="preserve"> vůči H2-2025</w:t>
      </w:r>
      <w:r w:rsidR="0025756A" w:rsidRPr="0025756A">
        <w:rPr>
          <w:rFonts w:ascii="Calibri Light" w:hAnsi="Calibri Light" w:cs="Calibri Light"/>
          <w:color w:val="13576B"/>
          <w:sz w:val="20"/>
        </w:rPr>
        <w:t>.</w:t>
      </w:r>
    </w:p>
    <w:p w14:paraId="50F3BD64" w14:textId="77777777" w:rsidR="0033440C" w:rsidRDefault="0033440C" w:rsidP="009D5F35">
      <w:pPr>
        <w:overflowPunct/>
        <w:autoSpaceDE/>
        <w:adjustRightInd/>
        <w:rPr>
          <w:rFonts w:ascii="Calibri Light" w:hAnsi="Calibri Light" w:cs="Calibri Light"/>
          <w:color w:val="13576B"/>
          <w:sz w:val="20"/>
        </w:rPr>
      </w:pPr>
    </w:p>
    <w:p w14:paraId="67028DE4" w14:textId="685D812B" w:rsidR="00582221" w:rsidRDefault="00582221" w:rsidP="009D5F35">
      <w:pPr>
        <w:overflowPunct/>
        <w:autoSpaceDE/>
        <w:adjustRightInd/>
        <w:rPr>
          <w:rFonts w:ascii="Calibri Light" w:hAnsi="Calibri Light" w:cs="Calibri Light"/>
          <w:color w:val="13576B"/>
          <w:sz w:val="20"/>
        </w:rPr>
      </w:pPr>
      <w:r w:rsidRPr="005B4653">
        <w:rPr>
          <w:rFonts w:ascii="Calibri" w:hAnsi="Calibri" w:cs="Calibri"/>
          <w:b/>
          <w:color w:val="13576B"/>
          <w:sz w:val="23"/>
          <w:szCs w:val="23"/>
        </w:rPr>
        <w:t xml:space="preserve">Graf č. </w:t>
      </w:r>
      <w:r w:rsidR="000B7D19">
        <w:rPr>
          <w:rFonts w:ascii="Calibri" w:hAnsi="Calibri" w:cs="Calibri"/>
          <w:b/>
          <w:color w:val="13576B"/>
          <w:sz w:val="23"/>
          <w:szCs w:val="23"/>
        </w:rPr>
        <w:t>8</w:t>
      </w:r>
      <w:r w:rsidRPr="005B4653">
        <w:rPr>
          <w:rFonts w:ascii="Calibri" w:hAnsi="Calibri" w:cs="Calibri"/>
          <w:b/>
          <w:color w:val="13576B"/>
          <w:sz w:val="23"/>
          <w:szCs w:val="23"/>
        </w:rPr>
        <w:t xml:space="preserve">: </w:t>
      </w:r>
      <w:r>
        <w:rPr>
          <w:rFonts w:ascii="Calibri" w:hAnsi="Calibri" w:cs="Calibri"/>
          <w:b/>
          <w:color w:val="13576B"/>
          <w:sz w:val="23"/>
          <w:szCs w:val="23"/>
        </w:rPr>
        <w:t>Rozložení nových hypotečních úvěrů podle účelu</w:t>
      </w:r>
    </w:p>
    <w:p w14:paraId="6D87A84C" w14:textId="6639B497" w:rsidR="00582221" w:rsidRDefault="00E656BA" w:rsidP="009D5F35">
      <w:pPr>
        <w:overflowPunct/>
        <w:autoSpaceDE/>
        <w:adjustRightInd/>
        <w:rPr>
          <w:rFonts w:ascii="Calibri Light" w:hAnsi="Calibri Light" w:cs="Calibri Light"/>
          <w:color w:val="13576B"/>
          <w:sz w:val="20"/>
        </w:rPr>
      </w:pPr>
      <w:r>
        <w:rPr>
          <w:rFonts w:ascii="Calibri Light" w:hAnsi="Calibri Light" w:cs="Calibri Light"/>
          <w:noProof/>
          <w:color w:val="13576B"/>
          <w:sz w:val="20"/>
        </w:rPr>
        <w:drawing>
          <wp:inline distT="0" distB="0" distL="0" distR="0" wp14:anchorId="4F57BE34" wp14:editId="02FC6B20">
            <wp:extent cx="6556598" cy="2002744"/>
            <wp:effectExtent l="0" t="0" r="0" b="0"/>
            <wp:docPr id="75607116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7817" cy="20214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D7AF75" w14:textId="77777777" w:rsidR="00582221" w:rsidRDefault="00582221" w:rsidP="00582221">
      <w:pPr>
        <w:overflowPunct/>
        <w:autoSpaceDE/>
        <w:adjustRightInd/>
        <w:rPr>
          <w:rFonts w:ascii="Calibri Light" w:hAnsi="Calibri Light" w:cs="Calibri Light"/>
          <w:color w:val="13576B"/>
          <w:sz w:val="20"/>
        </w:rPr>
      </w:pPr>
      <w:r w:rsidRPr="002F4CBD">
        <w:rPr>
          <w:rFonts w:ascii="Calibri Light" w:hAnsi="Calibri Light" w:cs="Calibri Light"/>
          <w:color w:val="13576B"/>
          <w:sz w:val="20"/>
        </w:rPr>
        <w:t>Pramen:</w:t>
      </w:r>
      <w:r>
        <w:rPr>
          <w:rFonts w:ascii="Calibri Light" w:hAnsi="Calibri Light" w:cs="Calibri Light"/>
          <w:color w:val="13576B"/>
          <w:sz w:val="20"/>
        </w:rPr>
        <w:t xml:space="preserve"> </w:t>
      </w:r>
      <w:r w:rsidRPr="002F4CBD">
        <w:rPr>
          <w:rFonts w:ascii="Calibri Light" w:hAnsi="Calibri Light" w:cs="Calibri Light"/>
          <w:color w:val="13576B"/>
          <w:sz w:val="20"/>
        </w:rPr>
        <w:t>ČBA</w:t>
      </w:r>
      <w:r>
        <w:rPr>
          <w:rFonts w:ascii="Calibri Light" w:hAnsi="Calibri Light" w:cs="Calibri Light"/>
          <w:color w:val="13576B"/>
          <w:sz w:val="20"/>
        </w:rPr>
        <w:t xml:space="preserve"> </w:t>
      </w:r>
      <w:proofErr w:type="spellStart"/>
      <w:r>
        <w:rPr>
          <w:rFonts w:ascii="Calibri Light" w:hAnsi="Calibri Light" w:cs="Calibri Light"/>
          <w:color w:val="13576B"/>
          <w:sz w:val="20"/>
        </w:rPr>
        <w:t>Hypomonitor</w:t>
      </w:r>
      <w:proofErr w:type="spellEnd"/>
    </w:p>
    <w:p w14:paraId="5303965F" w14:textId="2A25A408" w:rsidR="0033440C" w:rsidRPr="00616069" w:rsidRDefault="00582221" w:rsidP="00582221">
      <w:pPr>
        <w:overflowPunct/>
        <w:autoSpaceDE/>
        <w:adjustRightInd/>
        <w:rPr>
          <w:rFonts w:ascii="Calibri Light" w:hAnsi="Calibri Light" w:cs="Calibri Light"/>
          <w:color w:val="13576B"/>
          <w:sz w:val="20"/>
        </w:rPr>
      </w:pPr>
      <w:r>
        <w:rPr>
          <w:rFonts w:ascii="Calibri Light" w:hAnsi="Calibri Light" w:cs="Calibri Light"/>
          <w:color w:val="13576B"/>
          <w:sz w:val="20"/>
        </w:rPr>
        <w:t xml:space="preserve">Poznámka: Poslední údaj představuje průměr za posledních 12 měsíců. </w:t>
      </w:r>
      <w:r w:rsidR="00867322">
        <w:rPr>
          <w:rFonts w:ascii="Calibri Light" w:hAnsi="Calibri Light" w:cs="Calibri Light"/>
          <w:color w:val="13576B"/>
          <w:sz w:val="20"/>
        </w:rPr>
        <w:t>Intepretace segmentu ostatních může být zkreslena zařazením tz</w:t>
      </w:r>
      <w:r w:rsidR="0007456F">
        <w:rPr>
          <w:rFonts w:ascii="Calibri Light" w:hAnsi="Calibri Light" w:cs="Calibri Light"/>
          <w:color w:val="13576B"/>
          <w:sz w:val="20"/>
        </w:rPr>
        <w:t>v</w:t>
      </w:r>
      <w:r w:rsidR="00867322">
        <w:rPr>
          <w:rFonts w:ascii="Calibri Light" w:hAnsi="Calibri Light" w:cs="Calibri Light"/>
          <w:color w:val="13576B"/>
          <w:sz w:val="20"/>
        </w:rPr>
        <w:t xml:space="preserve">. hypoték bez nemovitosti </w:t>
      </w:r>
      <w:r w:rsidR="00867322" w:rsidRPr="00867322">
        <w:rPr>
          <w:rFonts w:ascii="Calibri Light" w:hAnsi="Calibri Light" w:cs="Calibri Light"/>
          <w:color w:val="13576B"/>
          <w:sz w:val="20"/>
        </w:rPr>
        <w:t>sjednané bez účelu</w:t>
      </w:r>
      <w:r w:rsidR="00867322">
        <w:rPr>
          <w:rFonts w:ascii="Calibri Light" w:hAnsi="Calibri Light" w:cs="Calibri Light"/>
          <w:color w:val="13576B"/>
          <w:sz w:val="20"/>
        </w:rPr>
        <w:t xml:space="preserve">. Blíže viz metodická poznámka níže. </w:t>
      </w:r>
    </w:p>
    <w:bookmarkEnd w:id="6"/>
    <w:p w14:paraId="045825E8" w14:textId="77777777" w:rsidR="00801B60" w:rsidRDefault="00801B60" w:rsidP="002A5D11">
      <w:pPr>
        <w:rPr>
          <w:rFonts w:ascii="Calibri" w:hAnsi="Calibri" w:cs="Calibri"/>
          <w:b/>
          <w:color w:val="13576B"/>
          <w:sz w:val="24"/>
          <w:szCs w:val="24"/>
        </w:rPr>
      </w:pPr>
    </w:p>
    <w:p w14:paraId="38F7CB3F" w14:textId="2FEEAD4C" w:rsidR="00BA3140" w:rsidRPr="002A5D11" w:rsidRDefault="00BA3140" w:rsidP="00BA3140">
      <w:pPr>
        <w:rPr>
          <w:rFonts w:ascii="Calibri" w:hAnsi="Calibri" w:cs="Calibri"/>
          <w:b/>
          <w:color w:val="13576B"/>
          <w:sz w:val="24"/>
          <w:szCs w:val="24"/>
        </w:rPr>
      </w:pPr>
      <w:r w:rsidRPr="002A5D11">
        <w:rPr>
          <w:rFonts w:ascii="Calibri" w:hAnsi="Calibri" w:cs="Calibri"/>
          <w:b/>
          <w:color w:val="13576B"/>
          <w:sz w:val="24"/>
          <w:szCs w:val="24"/>
        </w:rPr>
        <w:t>Hypoteční trh v roce 202</w:t>
      </w:r>
      <w:r>
        <w:rPr>
          <w:rFonts w:ascii="Calibri" w:hAnsi="Calibri" w:cs="Calibri"/>
          <w:b/>
          <w:color w:val="13576B"/>
          <w:sz w:val="24"/>
          <w:szCs w:val="24"/>
        </w:rPr>
        <w:t>5</w:t>
      </w:r>
      <w:r w:rsidR="00356A6D">
        <w:rPr>
          <w:rFonts w:ascii="Calibri" w:hAnsi="Calibri" w:cs="Calibri"/>
          <w:b/>
          <w:color w:val="13576B"/>
          <w:sz w:val="24"/>
          <w:szCs w:val="24"/>
        </w:rPr>
        <w:t xml:space="preserve"> přinesl </w:t>
      </w:r>
      <w:r>
        <w:rPr>
          <w:rFonts w:ascii="Calibri" w:hAnsi="Calibri" w:cs="Calibri"/>
          <w:b/>
          <w:color w:val="13576B"/>
          <w:sz w:val="24"/>
          <w:szCs w:val="24"/>
        </w:rPr>
        <w:t>silný</w:t>
      </w:r>
      <w:r w:rsidRPr="002A5D11">
        <w:rPr>
          <w:rFonts w:ascii="Calibri" w:hAnsi="Calibri" w:cs="Calibri"/>
          <w:b/>
          <w:color w:val="13576B"/>
          <w:sz w:val="24"/>
          <w:szCs w:val="24"/>
        </w:rPr>
        <w:t xml:space="preserve"> </w:t>
      </w:r>
      <w:r>
        <w:rPr>
          <w:rFonts w:ascii="Calibri" w:hAnsi="Calibri" w:cs="Calibri"/>
          <w:b/>
          <w:color w:val="13576B"/>
          <w:sz w:val="24"/>
          <w:szCs w:val="24"/>
        </w:rPr>
        <w:t xml:space="preserve">objemový </w:t>
      </w:r>
      <w:r w:rsidRPr="002A5D11">
        <w:rPr>
          <w:rFonts w:ascii="Calibri" w:hAnsi="Calibri" w:cs="Calibri"/>
          <w:b/>
          <w:color w:val="13576B"/>
          <w:sz w:val="24"/>
          <w:szCs w:val="24"/>
        </w:rPr>
        <w:t xml:space="preserve">růst o </w:t>
      </w:r>
      <w:r>
        <w:rPr>
          <w:rFonts w:ascii="Calibri" w:hAnsi="Calibri" w:cs="Calibri"/>
          <w:b/>
          <w:color w:val="13576B"/>
          <w:sz w:val="24"/>
          <w:szCs w:val="24"/>
        </w:rPr>
        <w:t>41</w:t>
      </w:r>
      <w:r w:rsidRPr="002A5D11">
        <w:rPr>
          <w:rFonts w:ascii="Calibri" w:hAnsi="Calibri" w:cs="Calibri"/>
          <w:b/>
          <w:color w:val="13576B"/>
          <w:sz w:val="24"/>
          <w:szCs w:val="24"/>
        </w:rPr>
        <w:t xml:space="preserve"> %</w:t>
      </w:r>
      <w:r>
        <w:rPr>
          <w:rFonts w:ascii="Calibri" w:hAnsi="Calibri" w:cs="Calibri"/>
          <w:b/>
          <w:color w:val="13576B"/>
          <w:sz w:val="24"/>
          <w:szCs w:val="24"/>
        </w:rPr>
        <w:t xml:space="preserve"> a o téměř čtvrtinu v počtech</w:t>
      </w:r>
    </w:p>
    <w:p w14:paraId="153D0109" w14:textId="77777777" w:rsidR="00BA3140" w:rsidRPr="00840F7C" w:rsidRDefault="00BA3140" w:rsidP="00BA3140">
      <w:pPr>
        <w:rPr>
          <w:rFonts w:ascii="Calibri" w:hAnsi="Calibri" w:cs="Calibri"/>
          <w:b/>
          <w:bCs/>
          <w:sz w:val="22"/>
          <w:szCs w:val="22"/>
        </w:rPr>
      </w:pPr>
    </w:p>
    <w:p w14:paraId="605D853E" w14:textId="77777777" w:rsidR="00BA3140" w:rsidRDefault="00BA3140" w:rsidP="00BA3140">
      <w:pPr>
        <w:rPr>
          <w:rFonts w:ascii="Calibri" w:hAnsi="Calibri" w:cs="Calibri"/>
          <w:color w:val="000000" w:themeColor="text1"/>
          <w:sz w:val="22"/>
          <w:szCs w:val="22"/>
        </w:rPr>
      </w:pPr>
      <w:r w:rsidRPr="00840F7C">
        <w:rPr>
          <w:rFonts w:ascii="Calibri" w:hAnsi="Calibri" w:cs="Calibri"/>
          <w:b/>
          <w:bCs/>
          <w:color w:val="000000" w:themeColor="text1"/>
          <w:sz w:val="22"/>
          <w:szCs w:val="22"/>
        </w:rPr>
        <w:lastRenderedPageBreak/>
        <w:t>Za celý rok 202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5</w:t>
      </w:r>
      <w:r w:rsidRPr="00840F7C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poskytly banky a stavební spořitelny nové hypoteční úvěry v objemu 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321</w:t>
      </w:r>
      <w:r w:rsidRPr="00840F7C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miliard Kč.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Pr="00840F7C">
        <w:rPr>
          <w:rFonts w:ascii="Calibri" w:hAnsi="Calibri" w:cs="Calibri"/>
          <w:color w:val="000000" w:themeColor="text1"/>
          <w:sz w:val="22"/>
          <w:szCs w:val="22"/>
        </w:rPr>
        <w:t>To je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o</w:t>
      </w:r>
      <w:r w:rsidRPr="00840F7C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>
        <w:rPr>
          <w:rFonts w:ascii="Calibri" w:hAnsi="Calibri" w:cs="Calibri"/>
          <w:color w:val="000000" w:themeColor="text1"/>
          <w:sz w:val="22"/>
          <w:szCs w:val="22"/>
        </w:rPr>
        <w:t>93 miliard korun</w:t>
      </w:r>
      <w:r w:rsidRPr="00840F7C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více než 228 miliard vytvořených v roce 2024. Tento meziroční skok odpovídá 41% nárůstu. </w:t>
      </w:r>
      <w:r w:rsidRPr="00840F7C">
        <w:rPr>
          <w:rFonts w:ascii="Calibri" w:hAnsi="Calibri" w:cs="Calibri"/>
          <w:color w:val="000000" w:themeColor="text1"/>
          <w:sz w:val="22"/>
          <w:szCs w:val="22"/>
        </w:rPr>
        <w:t xml:space="preserve">K tomu se navíc refinancovaly hypotéky v rozsahu 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85 </w:t>
      </w:r>
      <w:r w:rsidRPr="00840F7C">
        <w:rPr>
          <w:rFonts w:ascii="Calibri" w:hAnsi="Calibri" w:cs="Calibri"/>
          <w:color w:val="000000" w:themeColor="text1"/>
          <w:sz w:val="22"/>
          <w:szCs w:val="22"/>
        </w:rPr>
        <w:t>miliard Kč a celý hypoteční trh tak v roce 202</w:t>
      </w:r>
      <w:r>
        <w:rPr>
          <w:rFonts w:ascii="Calibri" w:hAnsi="Calibri" w:cs="Calibri"/>
          <w:color w:val="000000" w:themeColor="text1"/>
          <w:sz w:val="22"/>
          <w:szCs w:val="22"/>
        </w:rPr>
        <w:t>5</w:t>
      </w:r>
      <w:r w:rsidRPr="00840F7C">
        <w:rPr>
          <w:rFonts w:ascii="Calibri" w:hAnsi="Calibri" w:cs="Calibri"/>
          <w:color w:val="000000" w:themeColor="text1"/>
          <w:sz w:val="22"/>
          <w:szCs w:val="22"/>
        </w:rPr>
        <w:t xml:space="preserve"> narostl na </w:t>
      </w:r>
      <w:r>
        <w:rPr>
          <w:rFonts w:ascii="Calibri" w:hAnsi="Calibri" w:cs="Calibri"/>
          <w:color w:val="000000" w:themeColor="text1"/>
          <w:sz w:val="22"/>
          <w:szCs w:val="22"/>
        </w:rPr>
        <w:t>406</w:t>
      </w:r>
      <w:r w:rsidRPr="00840F7C">
        <w:rPr>
          <w:rFonts w:ascii="Calibri" w:hAnsi="Calibri" w:cs="Calibri"/>
          <w:color w:val="000000" w:themeColor="text1"/>
          <w:sz w:val="22"/>
          <w:szCs w:val="22"/>
        </w:rPr>
        <w:t xml:space="preserve"> miliard Kč z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 275 </w:t>
      </w:r>
      <w:r w:rsidRPr="00840F7C">
        <w:rPr>
          <w:rFonts w:ascii="Calibri" w:hAnsi="Calibri" w:cs="Calibri"/>
          <w:color w:val="000000" w:themeColor="text1"/>
          <w:sz w:val="22"/>
          <w:szCs w:val="22"/>
        </w:rPr>
        <w:t>miliard v roce 202</w:t>
      </w:r>
      <w:r>
        <w:rPr>
          <w:rFonts w:ascii="Calibri" w:hAnsi="Calibri" w:cs="Calibri"/>
          <w:color w:val="000000" w:themeColor="text1"/>
          <w:sz w:val="22"/>
          <w:szCs w:val="22"/>
        </w:rPr>
        <w:t>4</w:t>
      </w:r>
      <w:r w:rsidRPr="00840F7C">
        <w:rPr>
          <w:rFonts w:ascii="Calibri" w:hAnsi="Calibri" w:cs="Calibri"/>
          <w:color w:val="000000" w:themeColor="text1"/>
          <w:sz w:val="22"/>
          <w:szCs w:val="22"/>
        </w:rPr>
        <w:t xml:space="preserve">. Pokud upravíme objemy o nárůst cen </w:t>
      </w:r>
      <w:r>
        <w:rPr>
          <w:rFonts w:ascii="Calibri" w:hAnsi="Calibri" w:cs="Calibri"/>
          <w:color w:val="000000" w:themeColor="text1"/>
          <w:sz w:val="22"/>
          <w:szCs w:val="22"/>
        </w:rPr>
        <w:t>bytů okolo 15-16</w:t>
      </w:r>
      <w:r w:rsidRPr="00840F7C">
        <w:rPr>
          <w:rFonts w:ascii="Calibri" w:hAnsi="Calibri" w:cs="Calibri"/>
          <w:color w:val="000000" w:themeColor="text1"/>
          <w:sz w:val="22"/>
          <w:szCs w:val="22"/>
        </w:rPr>
        <w:t xml:space="preserve"> % (dle různých statistik), objem nových hypoték vzrostl reálně o něco méně. To odpovídá i mírnějšímu nárůstu počtu nových hypoték v roce 202</w:t>
      </w:r>
      <w:r>
        <w:rPr>
          <w:rFonts w:ascii="Calibri" w:hAnsi="Calibri" w:cs="Calibri"/>
          <w:color w:val="000000" w:themeColor="text1"/>
          <w:sz w:val="22"/>
          <w:szCs w:val="22"/>
        </w:rPr>
        <w:t>5, o necelou čtvrtinu na více než 76,11</w:t>
      </w:r>
      <w:r w:rsidRPr="00872E78">
        <w:rPr>
          <w:rFonts w:ascii="Calibri" w:hAnsi="Calibri" w:cs="Calibri"/>
          <w:color w:val="000000" w:themeColor="text1"/>
          <w:sz w:val="22"/>
          <w:szCs w:val="22"/>
        </w:rPr>
        <w:t xml:space="preserve"> tisíc</w:t>
      </w:r>
      <w:r>
        <w:rPr>
          <w:rFonts w:ascii="Calibri" w:hAnsi="Calibri" w:cs="Calibri"/>
          <w:color w:val="000000" w:themeColor="text1"/>
          <w:sz w:val="22"/>
          <w:szCs w:val="22"/>
        </w:rPr>
        <w:t>,</w:t>
      </w:r>
      <w:r w:rsidRPr="00872E78">
        <w:rPr>
          <w:rFonts w:ascii="Calibri" w:hAnsi="Calibri" w:cs="Calibri"/>
          <w:color w:val="000000" w:themeColor="text1"/>
          <w:sz w:val="22"/>
          <w:szCs w:val="22"/>
        </w:rPr>
        <w:t xml:space="preserve"> a téměř </w:t>
      </w:r>
      <w:r>
        <w:rPr>
          <w:rFonts w:ascii="Calibri" w:hAnsi="Calibri" w:cs="Calibri"/>
          <w:color w:val="000000" w:themeColor="text1"/>
          <w:sz w:val="22"/>
          <w:szCs w:val="22"/>
        </w:rPr>
        <w:t>15</w:t>
      </w:r>
      <w:r w:rsidRPr="00872E78">
        <w:rPr>
          <w:rFonts w:ascii="Calibri" w:hAnsi="Calibri" w:cs="Calibri"/>
          <w:color w:val="000000" w:themeColor="text1"/>
          <w:sz w:val="22"/>
          <w:szCs w:val="22"/>
        </w:rPr>
        <w:t>% nárůstu průměrné výše poskytnuté nové hypotéky na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4,21</w:t>
      </w:r>
      <w:r w:rsidRPr="00872E78">
        <w:rPr>
          <w:rFonts w:ascii="Calibri" w:hAnsi="Calibri" w:cs="Calibri"/>
          <w:color w:val="000000" w:themeColor="text1"/>
          <w:sz w:val="22"/>
          <w:szCs w:val="22"/>
        </w:rPr>
        <w:t xml:space="preserve"> milion</w:t>
      </w:r>
      <w:r>
        <w:rPr>
          <w:rFonts w:ascii="Calibri" w:hAnsi="Calibri" w:cs="Calibri"/>
          <w:color w:val="000000" w:themeColor="text1"/>
          <w:sz w:val="22"/>
          <w:szCs w:val="22"/>
        </w:rPr>
        <w:t>u</w:t>
      </w:r>
      <w:r w:rsidRPr="00872E78">
        <w:rPr>
          <w:rFonts w:ascii="Calibri" w:hAnsi="Calibri" w:cs="Calibri"/>
          <w:color w:val="000000" w:themeColor="text1"/>
          <w:sz w:val="22"/>
          <w:szCs w:val="22"/>
        </w:rPr>
        <w:t xml:space="preserve"> Kč. </w:t>
      </w:r>
    </w:p>
    <w:p w14:paraId="7ECD8698" w14:textId="77777777" w:rsidR="00BA3140" w:rsidRDefault="00BA3140" w:rsidP="00BA3140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2DB164B7" w14:textId="77777777" w:rsidR="00BA3140" w:rsidRPr="009C5D66" w:rsidRDefault="00BA3140" w:rsidP="00BA3140">
      <w:pPr>
        <w:rPr>
          <w:rFonts w:ascii="Calibri" w:hAnsi="Calibri" w:cs="Calibri"/>
          <w:color w:val="000000" w:themeColor="text1"/>
          <w:sz w:val="22"/>
          <w:szCs w:val="22"/>
        </w:rPr>
      </w:pPr>
      <w:r w:rsidRPr="009C5D66">
        <w:rPr>
          <w:rFonts w:ascii="Calibri" w:hAnsi="Calibri" w:cs="Calibri"/>
          <w:color w:val="000000" w:themeColor="text1"/>
          <w:sz w:val="22"/>
          <w:szCs w:val="22"/>
        </w:rPr>
        <w:t xml:space="preserve">Nové hypotéky se v roce 2025 financovaly průměrnou úrokovou sazbu 4,58 %, což bylo o půl procentního bodu méně než v roce 2024, přičemž spread vůči tržní swapové 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úrokové </w:t>
      </w:r>
      <w:r w:rsidRPr="009C5D66">
        <w:rPr>
          <w:rFonts w:ascii="Calibri" w:hAnsi="Calibri" w:cs="Calibri"/>
          <w:color w:val="000000" w:themeColor="text1"/>
          <w:sz w:val="22"/>
          <w:szCs w:val="22"/>
        </w:rPr>
        <w:t>křivce dosáhl necelého jednoho procentního bodu, což je mírně pod dlouhodobým průměrem. Průměrná měsíční výše hypoteční splátky v roce 2025 dosáhla necelých 22,8 tisíc</w:t>
      </w:r>
      <w:r>
        <w:rPr>
          <w:rFonts w:ascii="Calibri" w:hAnsi="Calibri" w:cs="Calibri"/>
          <w:color w:val="000000" w:themeColor="text1"/>
          <w:sz w:val="22"/>
          <w:szCs w:val="22"/>
        </w:rPr>
        <w:t>e</w:t>
      </w:r>
      <w:r w:rsidRPr="009C5D66">
        <w:rPr>
          <w:rFonts w:ascii="Calibri" w:hAnsi="Calibri" w:cs="Calibri"/>
          <w:color w:val="000000" w:themeColor="text1"/>
          <w:sz w:val="22"/>
          <w:szCs w:val="22"/>
        </w:rPr>
        <w:t xml:space="preserve"> Kč, což je o 8,6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%</w:t>
      </w:r>
      <w:r w:rsidRPr="009C5D66">
        <w:rPr>
          <w:rFonts w:ascii="Calibri" w:hAnsi="Calibri" w:cs="Calibri"/>
          <w:color w:val="000000" w:themeColor="text1"/>
          <w:sz w:val="22"/>
          <w:szCs w:val="22"/>
        </w:rPr>
        <w:t xml:space="preserve"> více než v roce 2024, </w:t>
      </w:r>
      <w:r>
        <w:rPr>
          <w:rFonts w:ascii="Calibri" w:hAnsi="Calibri" w:cs="Calibri"/>
          <w:color w:val="000000" w:themeColor="text1"/>
          <w:sz w:val="22"/>
          <w:szCs w:val="22"/>
        </w:rPr>
        <w:t>a mírně překonalo pravděpodobně více než 7% loňský nárůst</w:t>
      </w:r>
      <w:r w:rsidRPr="009C5D6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hyperlink r:id="rId37" w:history="1">
        <w:r w:rsidRPr="009C5D66">
          <w:rPr>
            <w:rStyle w:val="Hypertextovodkaz"/>
            <w:rFonts w:ascii="Calibri" w:hAnsi="Calibri" w:cs="Calibri"/>
            <w:sz w:val="22"/>
            <w:szCs w:val="22"/>
          </w:rPr>
          <w:t>průměrn</w:t>
        </w:r>
        <w:r>
          <w:rPr>
            <w:rStyle w:val="Hypertextovodkaz"/>
            <w:rFonts w:ascii="Calibri" w:hAnsi="Calibri" w:cs="Calibri"/>
            <w:sz w:val="22"/>
            <w:szCs w:val="22"/>
          </w:rPr>
          <w:t>é</w:t>
        </w:r>
        <w:r w:rsidRPr="009C5D66">
          <w:rPr>
            <w:rStyle w:val="Hypertextovodkaz"/>
            <w:rFonts w:ascii="Calibri" w:hAnsi="Calibri" w:cs="Calibri"/>
            <w:sz w:val="22"/>
            <w:szCs w:val="22"/>
          </w:rPr>
          <w:t xml:space="preserve"> nominální mzdy</w:t>
        </w:r>
      </w:hyperlink>
      <w:r w:rsidRPr="009C5D66">
        <w:rPr>
          <w:rFonts w:ascii="Calibri" w:hAnsi="Calibri" w:cs="Calibri"/>
          <w:color w:val="000000" w:themeColor="text1"/>
          <w:sz w:val="22"/>
          <w:szCs w:val="22"/>
        </w:rPr>
        <w:t xml:space="preserve">. </w:t>
      </w:r>
      <w:r>
        <w:rPr>
          <w:rFonts w:ascii="Calibri" w:hAnsi="Calibri" w:cs="Calibri"/>
          <w:color w:val="000000" w:themeColor="text1"/>
          <w:sz w:val="22"/>
          <w:szCs w:val="22"/>
        </w:rPr>
        <w:t>P</w:t>
      </w:r>
      <w:r w:rsidRPr="009C5D66">
        <w:rPr>
          <w:rFonts w:ascii="Calibri" w:hAnsi="Calibri" w:cs="Calibri"/>
          <w:color w:val="000000" w:themeColor="text1"/>
          <w:sz w:val="22"/>
          <w:szCs w:val="22"/>
        </w:rPr>
        <w:t xml:space="preserve">růměrný meziroční nárůst měsíční 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hypoteční </w:t>
      </w:r>
      <w:r w:rsidRPr="009C5D66">
        <w:rPr>
          <w:rFonts w:ascii="Calibri" w:hAnsi="Calibri" w:cs="Calibri"/>
          <w:color w:val="000000" w:themeColor="text1"/>
          <w:sz w:val="22"/>
          <w:szCs w:val="22"/>
        </w:rPr>
        <w:t>splátky přibližně o 1 800 korun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v roce 2025</w:t>
      </w:r>
      <w:r w:rsidRPr="009C5D66">
        <w:rPr>
          <w:rFonts w:ascii="Calibri" w:hAnsi="Calibri" w:cs="Calibri"/>
          <w:color w:val="000000" w:themeColor="text1"/>
          <w:sz w:val="22"/>
          <w:szCs w:val="22"/>
        </w:rPr>
        <w:t xml:space="preserve"> především odrážel vyšší průměrnou </w:t>
      </w:r>
      <w:r>
        <w:rPr>
          <w:rFonts w:ascii="Calibri" w:hAnsi="Calibri" w:cs="Calibri"/>
          <w:color w:val="000000" w:themeColor="text1"/>
          <w:sz w:val="22"/>
          <w:szCs w:val="22"/>
        </w:rPr>
        <w:t>úroveň</w:t>
      </w:r>
      <w:r w:rsidRPr="009C5D66">
        <w:rPr>
          <w:rFonts w:ascii="Calibri" w:hAnsi="Calibri" w:cs="Calibri"/>
          <w:color w:val="000000" w:themeColor="text1"/>
          <w:sz w:val="22"/>
          <w:szCs w:val="22"/>
        </w:rPr>
        <w:t xml:space="preserve"> hypotéky s navýšením splátky téměř o 2,9 tis. Kč, zatímco nižší hypoteční úroková sazba snížila průměrnou měsíční splátku o více než 1,2 tis. Kč. </w:t>
      </w:r>
    </w:p>
    <w:p w14:paraId="09717EC0" w14:textId="77777777" w:rsidR="00BA3140" w:rsidRDefault="00BA3140" w:rsidP="00BA3140">
      <w:pPr>
        <w:rPr>
          <w:rFonts w:ascii="Calibri" w:hAnsi="Calibri" w:cs="Calibri"/>
          <w:b/>
          <w:color w:val="13576B"/>
          <w:sz w:val="23"/>
          <w:szCs w:val="23"/>
          <w:highlight w:val="yellow"/>
        </w:rPr>
      </w:pPr>
    </w:p>
    <w:p w14:paraId="62183D0D" w14:textId="77777777" w:rsidR="00BA3140" w:rsidRPr="002F4CBD" w:rsidRDefault="00BA3140" w:rsidP="00BA3140">
      <w:pPr>
        <w:rPr>
          <w:rFonts w:ascii="Calibri" w:hAnsi="Calibri" w:cs="Calibri"/>
          <w:sz w:val="22"/>
          <w:szCs w:val="22"/>
        </w:rPr>
      </w:pPr>
      <w:r w:rsidRPr="002F4CBD">
        <w:rPr>
          <w:rFonts w:ascii="Calibri" w:hAnsi="Calibri" w:cs="Calibri"/>
          <w:b/>
          <w:color w:val="13576B"/>
          <w:sz w:val="23"/>
          <w:szCs w:val="23"/>
        </w:rPr>
        <w:t xml:space="preserve">Graf č. </w:t>
      </w:r>
      <w:r>
        <w:rPr>
          <w:rFonts w:ascii="Calibri" w:hAnsi="Calibri" w:cs="Calibri"/>
          <w:b/>
          <w:color w:val="13576B"/>
          <w:sz w:val="23"/>
          <w:szCs w:val="23"/>
        </w:rPr>
        <w:t>1</w:t>
      </w:r>
      <w:r w:rsidRPr="002F4CBD">
        <w:rPr>
          <w:rFonts w:ascii="Calibri" w:hAnsi="Calibri" w:cs="Calibri"/>
          <w:b/>
          <w:color w:val="13576B"/>
          <w:sz w:val="23"/>
          <w:szCs w:val="23"/>
        </w:rPr>
        <w:t>: Celoroční objem</w:t>
      </w:r>
      <w:r>
        <w:rPr>
          <w:rFonts w:ascii="Calibri" w:hAnsi="Calibri" w:cs="Calibri"/>
          <w:b/>
          <w:color w:val="13576B"/>
          <w:sz w:val="23"/>
          <w:szCs w:val="23"/>
        </w:rPr>
        <w:t xml:space="preserve">, </w:t>
      </w:r>
      <w:r w:rsidRPr="002F4CBD">
        <w:rPr>
          <w:rFonts w:ascii="Calibri" w:hAnsi="Calibri" w:cs="Calibri"/>
          <w:b/>
          <w:color w:val="13576B"/>
          <w:sz w:val="23"/>
          <w:szCs w:val="23"/>
        </w:rPr>
        <w:t xml:space="preserve">počet </w:t>
      </w:r>
      <w:r>
        <w:rPr>
          <w:rFonts w:ascii="Calibri" w:hAnsi="Calibri" w:cs="Calibri"/>
          <w:b/>
          <w:color w:val="13576B"/>
          <w:sz w:val="23"/>
          <w:szCs w:val="23"/>
        </w:rPr>
        <w:t xml:space="preserve">a průměrná výše </w:t>
      </w:r>
      <w:r w:rsidRPr="002F4CBD">
        <w:rPr>
          <w:rFonts w:ascii="Calibri" w:hAnsi="Calibri" w:cs="Calibri"/>
          <w:b/>
          <w:color w:val="13576B"/>
          <w:sz w:val="23"/>
          <w:szCs w:val="23"/>
        </w:rPr>
        <w:t>poskytnutých hypoték v letech 202</w:t>
      </w:r>
      <w:r>
        <w:rPr>
          <w:rFonts w:ascii="Calibri" w:hAnsi="Calibri" w:cs="Calibri"/>
          <w:b/>
          <w:color w:val="13576B"/>
          <w:sz w:val="23"/>
          <w:szCs w:val="23"/>
        </w:rPr>
        <w:t>0</w:t>
      </w:r>
      <w:r w:rsidRPr="002F4CBD">
        <w:rPr>
          <w:rFonts w:ascii="Calibri" w:hAnsi="Calibri" w:cs="Calibri"/>
          <w:b/>
          <w:color w:val="13576B"/>
          <w:sz w:val="23"/>
          <w:szCs w:val="23"/>
        </w:rPr>
        <w:t xml:space="preserve"> až 202</w:t>
      </w:r>
      <w:r>
        <w:rPr>
          <w:rFonts w:ascii="Calibri" w:hAnsi="Calibri" w:cs="Calibri"/>
          <w:b/>
          <w:color w:val="13576B"/>
          <w:sz w:val="23"/>
          <w:szCs w:val="23"/>
        </w:rPr>
        <w:t>5</w:t>
      </w:r>
    </w:p>
    <w:p w14:paraId="56EB097E" w14:textId="77777777" w:rsidR="00BA3140" w:rsidRPr="002F4CBD" w:rsidRDefault="00BA3140" w:rsidP="00BA3140">
      <w:pPr>
        <w:rPr>
          <w:rFonts w:ascii="Calibri" w:hAnsi="Calibri" w:cs="Calibri"/>
          <w:sz w:val="22"/>
          <w:szCs w:val="22"/>
        </w:rPr>
      </w:pPr>
    </w:p>
    <w:p w14:paraId="11D80496" w14:textId="77777777" w:rsidR="00BA3140" w:rsidRPr="002F4CBD" w:rsidRDefault="00BA3140" w:rsidP="00BA3140">
      <w:pPr>
        <w:rPr>
          <w:rFonts w:ascii="Calibri" w:hAnsi="Calibri" w:cs="Calibri"/>
          <w:sz w:val="22"/>
          <w:szCs w:val="22"/>
        </w:rPr>
      </w:pPr>
      <w:r w:rsidRPr="00E77326">
        <w:rPr>
          <w:noProof/>
        </w:rPr>
        <w:drawing>
          <wp:inline distT="0" distB="0" distL="0" distR="0" wp14:anchorId="2B97DD5A" wp14:editId="7C138169">
            <wp:extent cx="6480810" cy="2125345"/>
            <wp:effectExtent l="0" t="0" r="0" b="8255"/>
            <wp:docPr id="39175904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212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4B1DB" w14:textId="77777777" w:rsidR="00BA3140" w:rsidRPr="00616069" w:rsidRDefault="00BA3140" w:rsidP="00BA3140">
      <w:pPr>
        <w:overflowPunct/>
        <w:autoSpaceDE/>
        <w:adjustRightInd/>
        <w:rPr>
          <w:rFonts w:ascii="Calibri Light" w:hAnsi="Calibri Light" w:cs="Calibri Light"/>
          <w:color w:val="13576B"/>
          <w:sz w:val="20"/>
        </w:rPr>
      </w:pPr>
      <w:r w:rsidRPr="002F4CBD">
        <w:rPr>
          <w:rFonts w:ascii="Calibri Light" w:hAnsi="Calibri Light" w:cs="Calibri Light"/>
          <w:color w:val="13576B"/>
          <w:sz w:val="20"/>
        </w:rPr>
        <w:t xml:space="preserve">Pramen: ČBA </w:t>
      </w:r>
      <w:proofErr w:type="spellStart"/>
      <w:r w:rsidRPr="002F4CBD">
        <w:rPr>
          <w:rFonts w:ascii="Calibri Light" w:hAnsi="Calibri Light" w:cs="Calibri Light"/>
          <w:color w:val="13576B"/>
          <w:sz w:val="20"/>
        </w:rPr>
        <w:t>Hypomonitor</w:t>
      </w:r>
      <w:proofErr w:type="spellEnd"/>
    </w:p>
    <w:p w14:paraId="22ED378A" w14:textId="017879D6" w:rsidR="006C53A0" w:rsidRDefault="006C53A0" w:rsidP="007F41A0">
      <w:pPr>
        <w:rPr>
          <w:rFonts w:ascii="Calibri" w:hAnsi="Calibri" w:cs="Calibri"/>
          <w:b/>
          <w:color w:val="13576B"/>
          <w:sz w:val="23"/>
          <w:szCs w:val="23"/>
        </w:rPr>
      </w:pPr>
    </w:p>
    <w:p w14:paraId="628239FF" w14:textId="77777777" w:rsidR="00BA3140" w:rsidRPr="00616069" w:rsidRDefault="00BA3140" w:rsidP="007F41A0">
      <w:pPr>
        <w:rPr>
          <w:rFonts w:ascii="Calibri" w:hAnsi="Calibri" w:cs="Calibri"/>
          <w:b/>
          <w:color w:val="13576B"/>
          <w:sz w:val="23"/>
          <w:szCs w:val="23"/>
        </w:rPr>
      </w:pPr>
    </w:p>
    <w:p w14:paraId="1117B780" w14:textId="3B9498AC" w:rsidR="007F41A0" w:rsidRPr="00616069" w:rsidRDefault="007F41A0" w:rsidP="007F41A0">
      <w:pPr>
        <w:rPr>
          <w:rFonts w:ascii="Calibri" w:hAnsi="Calibri" w:cs="Calibri"/>
          <w:b/>
          <w:color w:val="13576B"/>
          <w:sz w:val="23"/>
          <w:szCs w:val="23"/>
        </w:rPr>
      </w:pPr>
      <w:r w:rsidRPr="00616069">
        <w:rPr>
          <w:rFonts w:ascii="Calibri" w:hAnsi="Calibri" w:cs="Calibri"/>
          <w:b/>
          <w:color w:val="13576B"/>
          <w:sz w:val="23"/>
          <w:szCs w:val="23"/>
        </w:rPr>
        <w:t>ČBA zveřejňuje souhrnné statistiky za celý bankovní trh</w:t>
      </w:r>
    </w:p>
    <w:p w14:paraId="55E76E82" w14:textId="019F3D7D" w:rsidR="007F41A0" w:rsidRPr="00616069" w:rsidRDefault="007F41A0" w:rsidP="007F41A0">
      <w:pPr>
        <w:rPr>
          <w:rFonts w:ascii="Calibri" w:hAnsi="Calibri" w:cs="Calibri"/>
          <w:b/>
          <w:bCs/>
          <w:sz w:val="22"/>
          <w:szCs w:val="22"/>
        </w:rPr>
      </w:pPr>
      <w:r w:rsidRPr="00616069">
        <w:rPr>
          <w:rFonts w:ascii="Calibri" w:hAnsi="Calibri" w:cs="Calibri"/>
          <w:sz w:val="22"/>
          <w:szCs w:val="22"/>
        </w:rPr>
        <w:t xml:space="preserve">Česká bankovní asociace zveřejňuje ve spolupráci s členskými bankami nové souhrnné statistiky z trhu bydlení. Jde především o objemy a počty nově poskytnutých a refinancovaných hypoték a příslušnou úrokovou sazbu. Tyto statistiky publikuje ČBA v agregované podobě za celý bankovní sektor na pravidelné bázi vždy zhruba v polovině měsíce. Šetření se účastní všechny tuzemské banky a stavební spořitelny poskytující v ČR hypotéky. Data jsou dostupná od ledna roku 2020 v přiloženém souboru na stránkách </w:t>
      </w:r>
      <w:hyperlink r:id="rId39" w:history="1">
        <w:r w:rsidR="004674AA" w:rsidRPr="00616069">
          <w:rPr>
            <w:rStyle w:val="Hypertextovodkaz"/>
            <w:rFonts w:ascii="Calibri" w:hAnsi="Calibri" w:cs="Calibri"/>
            <w:b/>
            <w:bCs/>
            <w:sz w:val="22"/>
            <w:szCs w:val="22"/>
          </w:rPr>
          <w:t>www.cbaonline.cz</w:t>
        </w:r>
      </w:hyperlink>
      <w:r w:rsidR="004674AA" w:rsidRPr="00616069">
        <w:rPr>
          <w:rFonts w:ascii="Calibri" w:hAnsi="Calibri" w:cs="Calibri"/>
          <w:b/>
          <w:bCs/>
          <w:sz w:val="22"/>
          <w:szCs w:val="22"/>
        </w:rPr>
        <w:t xml:space="preserve">, </w:t>
      </w:r>
      <w:r w:rsidRPr="00616069">
        <w:rPr>
          <w:rFonts w:ascii="Calibri" w:hAnsi="Calibri" w:cs="Calibri"/>
          <w:sz w:val="22"/>
          <w:szCs w:val="22"/>
        </w:rPr>
        <w:t>kde lze také příslušné statistiky najít zvlášť pro banky a stavební spořitelny. Výše uvedené hodnoty jsou pro sektor jako celek</w:t>
      </w:r>
      <w:r w:rsidR="004674AA" w:rsidRPr="00616069">
        <w:rPr>
          <w:rFonts w:ascii="Calibri" w:hAnsi="Calibri" w:cs="Calibri"/>
          <w:sz w:val="22"/>
          <w:szCs w:val="22"/>
        </w:rPr>
        <w:t>, které lze v jednoduch</w:t>
      </w:r>
      <w:r w:rsidR="004C593C">
        <w:rPr>
          <w:rFonts w:ascii="Calibri" w:hAnsi="Calibri" w:cs="Calibri"/>
          <w:sz w:val="22"/>
          <w:szCs w:val="22"/>
        </w:rPr>
        <w:t>é</w:t>
      </w:r>
      <w:r w:rsidR="004674AA" w:rsidRPr="00616069">
        <w:rPr>
          <w:rFonts w:ascii="Calibri" w:hAnsi="Calibri" w:cs="Calibri"/>
          <w:sz w:val="22"/>
          <w:szCs w:val="22"/>
        </w:rPr>
        <w:t xml:space="preserve"> grafické podobě sledovat také na stránkách </w:t>
      </w:r>
      <w:hyperlink r:id="rId40" w:history="1">
        <w:r w:rsidR="004674AA" w:rsidRPr="00616069">
          <w:rPr>
            <w:rStyle w:val="Hypertextovodkaz"/>
            <w:rFonts w:ascii="Calibri" w:hAnsi="Calibri" w:cs="Calibri"/>
            <w:b/>
            <w:bCs/>
            <w:sz w:val="22"/>
            <w:szCs w:val="22"/>
          </w:rPr>
          <w:t>cbamonitor.cz</w:t>
        </w:r>
      </w:hyperlink>
      <w:r w:rsidRPr="00616069">
        <w:rPr>
          <w:rFonts w:ascii="Calibri" w:hAnsi="Calibri" w:cs="Calibri"/>
          <w:sz w:val="22"/>
          <w:szCs w:val="22"/>
        </w:rPr>
        <w:t>.</w:t>
      </w:r>
      <w:r w:rsidRPr="00616069">
        <w:rPr>
          <w:rFonts w:ascii="Calibri" w:hAnsi="Calibri" w:cs="Calibri"/>
          <w:i/>
          <w:iCs/>
          <w:sz w:val="20"/>
        </w:rPr>
        <w:t xml:space="preserve"> </w:t>
      </w:r>
    </w:p>
    <w:p w14:paraId="3F99F9FA" w14:textId="6DA0884C" w:rsidR="007F41A0" w:rsidRPr="00616069" w:rsidRDefault="007F41A0" w:rsidP="003417B4">
      <w:pPr>
        <w:rPr>
          <w:rFonts w:ascii="Calibri" w:hAnsi="Calibri" w:cs="Calibri"/>
          <w:sz w:val="22"/>
          <w:szCs w:val="22"/>
        </w:rPr>
      </w:pPr>
    </w:p>
    <w:p w14:paraId="4AE26056" w14:textId="77777777" w:rsidR="00137560" w:rsidRPr="00616069" w:rsidRDefault="00137560" w:rsidP="00CA3B41">
      <w:pPr>
        <w:rPr>
          <w:rFonts w:ascii="Calibri" w:hAnsi="Calibri" w:cs="Calibri"/>
          <w:sz w:val="22"/>
          <w:szCs w:val="22"/>
        </w:rPr>
      </w:pPr>
    </w:p>
    <w:p w14:paraId="146C6D89" w14:textId="77777777" w:rsidR="0028530F" w:rsidRPr="00B04FE2" w:rsidRDefault="004975FD" w:rsidP="00CA3B41">
      <w:pPr>
        <w:rPr>
          <w:rFonts w:ascii="Calibri" w:hAnsi="Calibri" w:cs="Calibri"/>
          <w:sz w:val="22"/>
          <w:szCs w:val="22"/>
        </w:rPr>
      </w:pPr>
      <w:r w:rsidRPr="00616069">
        <w:rPr>
          <w:rFonts w:ascii="Calibri" w:hAnsi="Calibri" w:cs="Calibri"/>
          <w:i/>
          <w:iCs/>
          <w:noProof/>
          <w:sz w:val="20"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25DA650" wp14:editId="3347843E">
                <wp:simplePos x="0" y="0"/>
                <wp:positionH relativeFrom="margin">
                  <wp:align>center</wp:align>
                </wp:positionH>
                <wp:positionV relativeFrom="paragraph">
                  <wp:posOffset>282527</wp:posOffset>
                </wp:positionV>
                <wp:extent cx="6574790" cy="4895850"/>
                <wp:effectExtent l="0" t="0" r="0" b="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4790" cy="4895850"/>
                        </a:xfrm>
                        <a:prstGeom prst="rect">
                          <a:avLst/>
                        </a:prstGeom>
                        <a:solidFill>
                          <a:srgbClr val="13576B">
                            <a:alpha val="83922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681E4" w14:textId="20B4FCBA" w:rsidR="0001227F" w:rsidRPr="00616069" w:rsidRDefault="0001227F" w:rsidP="0001227F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616069"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Metodika ČBA Hypomonitoru</w:t>
                            </w:r>
                          </w:p>
                          <w:p w14:paraId="7401467C" w14:textId="77777777" w:rsidR="00414AD4" w:rsidRPr="00616069" w:rsidRDefault="00414AD4" w:rsidP="0001227F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</w:pPr>
                          </w:p>
                          <w:p w14:paraId="1021EABD" w14:textId="16015784" w:rsidR="0001227F" w:rsidRPr="00616069" w:rsidRDefault="00414AD4" w:rsidP="0001227F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</w:pP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 xml:space="preserve">ČBA </w:t>
                            </w:r>
                            <w:proofErr w:type="spellStart"/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>Hypomonitor</w:t>
                            </w:r>
                            <w:proofErr w:type="spellEnd"/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 xml:space="preserve"> </w:t>
                            </w:r>
                            <w:r w:rsidR="00FB47DE" w:rsidRPr="00616069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 xml:space="preserve">rozděluje poskytnuté hypoteční úvěry </w:t>
                            </w:r>
                            <w:r w:rsidR="00810DCF" w:rsidRPr="00616069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>bank a stavebních spořitelen</w:t>
                            </w:r>
                            <w:r w:rsidR="00B426A2" w:rsidRPr="00616069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 xml:space="preserve"> domácnostem</w:t>
                            </w:r>
                            <w:r w:rsidR="00810DCF" w:rsidRPr="00616069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 xml:space="preserve"> </w:t>
                            </w: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>do několika kategorií tak, aby byly rozlišeny nové úvěry od refinancovaných či interních refixací</w:t>
                            </w:r>
                            <w:r w:rsidR="000B70C8" w:rsidRPr="00616069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>.</w:t>
                            </w: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 xml:space="preserve"> Nové úvěry jsou </w:t>
                            </w:r>
                            <w:r w:rsidR="00581CC1" w:rsidRPr="00616069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>pak</w:t>
                            </w: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 xml:space="preserve"> vykazovány v</w:t>
                            </w:r>
                            <w:r w:rsidR="00581CC1" w:rsidRPr="00616069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> </w:t>
                            </w: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>kategoriích</w:t>
                            </w:r>
                            <w:r w:rsidR="00581CC1" w:rsidRPr="00616069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 xml:space="preserve"> dle účelu úvěru</w:t>
                            </w: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>:</w:t>
                            </w:r>
                          </w:p>
                          <w:p w14:paraId="58E707E8" w14:textId="77777777" w:rsidR="0001227F" w:rsidRPr="00616069" w:rsidRDefault="0001227F" w:rsidP="0001227F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</w:p>
                          <w:p w14:paraId="3227247A" w14:textId="11714118" w:rsidR="0001227F" w:rsidRPr="00616069" w:rsidRDefault="00E818C3" w:rsidP="00E818C3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</w:pPr>
                            <w:r w:rsidRPr="00616069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 xml:space="preserve">1. </w:t>
                            </w:r>
                            <w:r w:rsidR="0001227F" w:rsidRPr="00616069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>Nové úvěry</w:t>
                            </w:r>
                          </w:p>
                          <w:p w14:paraId="22AF3257" w14:textId="77777777" w:rsidR="0001227F" w:rsidRPr="00616069" w:rsidRDefault="0001227F" w:rsidP="0001227F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Jsou úvěry, jejichž celý objem poprvé vstupuje do ekonomiky. Do této kategorie nepatří konsolidace úvěrů anebo refinancování úvěrů. Dělí se do tří kategorií:</w:t>
                            </w:r>
                          </w:p>
                          <w:p w14:paraId="362AFB2A" w14:textId="77777777" w:rsidR="0001227F" w:rsidRPr="00616069" w:rsidRDefault="0001227F" w:rsidP="00E818C3">
                            <w:pPr>
                              <w:pStyle w:val="Odstavecseseznamem"/>
                              <w:numPr>
                                <w:ilvl w:val="0"/>
                                <w:numId w:val="30"/>
                              </w:numPr>
                              <w:spacing w:line="276" w:lineRule="auto"/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  <w:r w:rsidRPr="00616069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>Nákup nemovitosti</w:t>
                            </w: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14:paraId="29F23FA5" w14:textId="6EE96893" w:rsidR="0001227F" w:rsidRPr="00616069" w:rsidRDefault="0001227F" w:rsidP="00E818C3">
                            <w:pPr>
                              <w:pStyle w:val="Odstavecseseznamem"/>
                              <w:numPr>
                                <w:ilvl w:val="0"/>
                                <w:numId w:val="30"/>
                              </w:numPr>
                              <w:spacing w:line="276" w:lineRule="auto"/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  <w:r w:rsidRPr="00616069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>Výstavba nemovitosti</w:t>
                            </w: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 – včetně rekonstrukce nemovitosti </w:t>
                            </w:r>
                          </w:p>
                          <w:p w14:paraId="4D80580F" w14:textId="13151ABF" w:rsidR="0001227F" w:rsidRPr="00616069" w:rsidRDefault="0001227F" w:rsidP="00E818C3">
                            <w:pPr>
                              <w:pStyle w:val="Odstavecseseznamem"/>
                              <w:numPr>
                                <w:ilvl w:val="0"/>
                                <w:numId w:val="30"/>
                              </w:numPr>
                              <w:spacing w:line="276" w:lineRule="auto"/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  <w:r w:rsidRPr="00616069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>Ostatní nová ujednání</w:t>
                            </w: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 – pouze nové úvěry, které nijak nesouvisí s koupí nebo výstavbou nemovitosti</w:t>
                            </w:r>
                            <w:r w:rsidR="006B00D0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 (</w:t>
                            </w:r>
                            <w:r w:rsidR="006B00D0" w:rsidRPr="006B00D0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což neplatí v případě tzv. hypotéky bez nemovitosti sjedn</w:t>
                            </w:r>
                            <w:r w:rsidR="006B00D0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a</w:t>
                            </w:r>
                            <w:r w:rsidR="006B00D0" w:rsidRPr="006B00D0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né bez účelu</w:t>
                            </w:r>
                            <w:r w:rsidR="006B00D0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), tedy</w:t>
                            </w: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 např. tzv. americké hypotéky, vypořádání SJM, zpětná úhrada kupní ceny, vypořádání dědického podílu, vypořádání družstevního </w:t>
                            </w:r>
                            <w:proofErr w:type="gramStart"/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podílu,</w:t>
                            </w:r>
                            <w:proofErr w:type="gramEnd"/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 atp.</w:t>
                            </w:r>
                          </w:p>
                          <w:p w14:paraId="4FBF1D5A" w14:textId="77777777" w:rsidR="0001227F" w:rsidRPr="00616069" w:rsidRDefault="0001227F" w:rsidP="0001227F">
                            <w:pPr>
                              <w:spacing w:line="276" w:lineRule="auto"/>
                              <w:ind w:left="708"/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</w:p>
                          <w:p w14:paraId="71D5E0BB" w14:textId="7D112C27" w:rsidR="0001227F" w:rsidRPr="00616069" w:rsidRDefault="00E818C3" w:rsidP="0001227F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</w:pPr>
                            <w:r w:rsidRPr="00616069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 xml:space="preserve">2. </w:t>
                            </w:r>
                            <w:r w:rsidR="0001227F" w:rsidRPr="00616069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>Refinancované úvěry z jiné finanční instituce</w:t>
                            </w:r>
                          </w:p>
                          <w:p w14:paraId="351B5A60" w14:textId="0B5DCBB6" w:rsidR="0001227F" w:rsidRPr="00616069" w:rsidRDefault="0001227F" w:rsidP="0001227F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Jsou úvěry, které vznikly refinancováním jednoho nebo více úvěrů z jiné finanční instituce než </w:t>
                            </w:r>
                            <w:r w:rsidR="00973197"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té</w:t>
                            </w: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 vykazující. Bez ohledu na výši refinancované částky a bez ohledu na výši případného navýšení se celková výše nově vzniklého úvěru vykazuje do této kategorie. </w:t>
                            </w:r>
                          </w:p>
                          <w:p w14:paraId="7566D2D6" w14:textId="77777777" w:rsidR="0001227F" w:rsidRPr="00616069" w:rsidRDefault="0001227F" w:rsidP="0001227F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</w:p>
                          <w:p w14:paraId="04B36444" w14:textId="4F20B25F" w:rsidR="0001227F" w:rsidRPr="00616069" w:rsidRDefault="00E818C3" w:rsidP="0001227F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</w:pPr>
                            <w:r w:rsidRPr="00616069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 xml:space="preserve">3. </w:t>
                            </w:r>
                            <w:r w:rsidR="0001227F" w:rsidRPr="00616069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>Navýšené anebo interně refinancované úvěry</w:t>
                            </w:r>
                          </w:p>
                          <w:p w14:paraId="711A3661" w14:textId="2A271010" w:rsidR="0001227F" w:rsidRPr="00616069" w:rsidRDefault="0001227F" w:rsidP="0001227F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Jsou úvěry, které již byly </w:t>
                            </w:r>
                            <w:r w:rsidR="00647A7A"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v </w:t>
                            </w: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předchozí</w:t>
                            </w:r>
                            <w:r w:rsidR="0079039B"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m</w:t>
                            </w: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 vykazované</w:t>
                            </w:r>
                            <w:r w:rsidR="0079039B"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m</w:t>
                            </w: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 období součástí portfolia vykazujícího subjektu, a ve vykazovaném období u nich došlo k některé z následujících změn:</w:t>
                            </w:r>
                          </w:p>
                          <w:p w14:paraId="4A6B00C0" w14:textId="77777777" w:rsidR="00E818C3" w:rsidRPr="00616069" w:rsidRDefault="0001227F" w:rsidP="0001227F">
                            <w:pPr>
                              <w:pStyle w:val="Odstavecseseznamem"/>
                              <w:numPr>
                                <w:ilvl w:val="0"/>
                                <w:numId w:val="28"/>
                              </w:numPr>
                              <w:overflowPunct/>
                              <w:autoSpaceDE/>
                              <w:autoSpaceDN/>
                              <w:adjustRightInd/>
                              <w:spacing w:line="276" w:lineRule="auto"/>
                              <w:jc w:val="left"/>
                              <w:textAlignment w:val="auto"/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navýšení sjednané částky </w:t>
                            </w:r>
                          </w:p>
                          <w:p w14:paraId="44682079" w14:textId="72C23671" w:rsidR="0001227F" w:rsidRPr="00616069" w:rsidRDefault="0001227F" w:rsidP="0001227F">
                            <w:pPr>
                              <w:pStyle w:val="Odstavecseseznamem"/>
                              <w:numPr>
                                <w:ilvl w:val="0"/>
                                <w:numId w:val="28"/>
                              </w:numPr>
                              <w:overflowPunct/>
                              <w:autoSpaceDE/>
                              <w:autoSpaceDN/>
                              <w:adjustRightInd/>
                              <w:spacing w:line="276" w:lineRule="auto"/>
                              <w:jc w:val="left"/>
                              <w:textAlignment w:val="auto"/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došlo k takovým změnám, že původní úvěr byl v rámci vykazujícího subjektu refinancován/převeden na nový úvěr. </w:t>
                            </w:r>
                            <w:r w:rsidR="00E74228"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J</w:t>
                            </w: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de</w:t>
                            </w:r>
                            <w:r w:rsidR="00CD28EC"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 tak o</w:t>
                            </w: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 skutečně </w:t>
                            </w:r>
                            <w:r w:rsidR="00E74228"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novou smlouvu</w:t>
                            </w:r>
                            <w:r w:rsidR="00132EE9"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, nikoli např. jen </w:t>
                            </w:r>
                            <w:r w:rsidR="007B79F6"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nové ujednání v rámci refi</w:t>
                            </w:r>
                            <w:r w:rsidR="000F02C1"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xace </w:t>
                            </w:r>
                            <w:r w:rsidR="00132EE9"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stávající smlouvy. Proto je objem takových úvěru ve statistice ČBA nižší oproti „ostatním novým ujednáním“ ve statistice České </w:t>
                            </w:r>
                            <w:r w:rsidR="002D3F94"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n</w:t>
                            </w:r>
                            <w:r w:rsidR="00132EE9"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árodní </w:t>
                            </w:r>
                            <w:r w:rsidR="002D3F94"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b</w:t>
                            </w:r>
                            <w:r w:rsidR="00132EE9"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anky.</w:t>
                            </w:r>
                          </w:p>
                          <w:p w14:paraId="1FAF8B9B" w14:textId="4C474A58" w:rsidR="006F08E1" w:rsidRPr="00616069" w:rsidRDefault="006F08E1" w:rsidP="006F08E1">
                            <w:pPr>
                              <w:overflowPunct/>
                              <w:autoSpaceDE/>
                              <w:autoSpaceDN/>
                              <w:adjustRightInd/>
                              <w:spacing w:line="276" w:lineRule="auto"/>
                              <w:jc w:val="left"/>
                              <w:textAlignment w:val="auto"/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</w:p>
                          <w:p w14:paraId="65FC0189" w14:textId="63D05C51" w:rsidR="006F08E1" w:rsidRPr="00616069" w:rsidRDefault="001F49EA" w:rsidP="006F08E1">
                            <w:pPr>
                              <w:overflowPunct/>
                              <w:autoSpaceDE/>
                              <w:autoSpaceDN/>
                              <w:adjustRightInd/>
                              <w:spacing w:line="276" w:lineRule="auto"/>
                              <w:jc w:val="left"/>
                              <w:textAlignment w:val="auto"/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Data pro ČBA </w:t>
                            </w:r>
                            <w:proofErr w:type="spellStart"/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Hypomonitor</w:t>
                            </w:r>
                            <w:proofErr w:type="spellEnd"/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 poskytují následující banky a stavební spořitelny: Air Bank, Česká spořitelna, ČSOB, ČSOB Stavební spořitelna, Fio banka,</w:t>
                            </w:r>
                            <w:r w:rsidR="00752310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 ČSOB</w:t>
                            </w:r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 Hypoteční banka, Komerční banka, mBank, Modrá pyramida, MONETA Bank, </w:t>
                            </w:r>
                            <w:proofErr w:type="spellStart"/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Oberbank</w:t>
                            </w:r>
                            <w:proofErr w:type="spellEnd"/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, </w:t>
                            </w:r>
                            <w:proofErr w:type="spellStart"/>
                            <w:r w:rsidR="003E1AAB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Partners</w:t>
                            </w:r>
                            <w:proofErr w:type="spellEnd"/>
                            <w:r w:rsidR="003E1AAB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 Banka, </w:t>
                            </w:r>
                            <w:proofErr w:type="spellStart"/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Raiffeisen</w:t>
                            </w:r>
                            <w:proofErr w:type="spellEnd"/>
                            <w:r w:rsidRPr="00616069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 stavební spořitelna, Raiffeisenbank, Stavební spořitelna České spořitelny, UniCredit Bank.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DA650" id="_x0000_s1027" type="#_x0000_t202" style="position:absolute;left:0;text-align:left;margin-left:0;margin-top:22.25pt;width:517.7pt;height:385.5pt;z-index:25166848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" fillcolor="#13576b" stroked="f">
                <v:fill opacity="54998f"/>
                <v:textbox>
                  <w:txbxContent>
                    <w:p w14:paraId="523681E4" w14:textId="20B4FCBA" w:rsidR="0001227F" w:rsidRPr="00616069" w:rsidRDefault="0001227F" w:rsidP="0001227F">
                      <w:pPr>
                        <w:spacing w:line="276" w:lineRule="auto"/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616069"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Metodika ČBA Hypomonitoru</w:t>
                      </w:r>
                    </w:p>
                    <w:p w14:paraId="7401467C" w14:textId="77777777" w:rsidR="00414AD4" w:rsidRPr="00616069" w:rsidRDefault="00414AD4" w:rsidP="0001227F">
                      <w:pPr>
                        <w:spacing w:line="276" w:lineRule="auto"/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</w:pPr>
                    </w:p>
                    <w:p w14:paraId="1021EABD" w14:textId="16015784" w:rsidR="0001227F" w:rsidRPr="00616069" w:rsidRDefault="00414AD4" w:rsidP="0001227F">
                      <w:pPr>
                        <w:spacing w:line="276" w:lineRule="auto"/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</w:pPr>
                      <w:r w:rsidRPr="00616069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 xml:space="preserve">ČBA </w:t>
                      </w:r>
                      <w:proofErr w:type="spellStart"/>
                      <w:r w:rsidRPr="00616069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>Hypomonitor</w:t>
                      </w:r>
                      <w:proofErr w:type="spellEnd"/>
                      <w:r w:rsidRPr="00616069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 xml:space="preserve"> </w:t>
                      </w:r>
                      <w:r w:rsidR="00FB47DE" w:rsidRPr="00616069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 xml:space="preserve">rozděluje poskytnuté hypoteční úvěry </w:t>
                      </w:r>
                      <w:r w:rsidR="00810DCF" w:rsidRPr="00616069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>bank a stavebních spořitelen</w:t>
                      </w:r>
                      <w:r w:rsidR="00B426A2" w:rsidRPr="00616069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 xml:space="preserve"> domácnostem</w:t>
                      </w:r>
                      <w:r w:rsidR="00810DCF" w:rsidRPr="00616069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 xml:space="preserve"> </w:t>
                      </w:r>
                      <w:r w:rsidRPr="00616069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>do několika kategorií tak, aby byly rozlišeny nové úvěry od refinancovaných či interních refixací</w:t>
                      </w:r>
                      <w:r w:rsidR="000B70C8" w:rsidRPr="00616069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>.</w:t>
                      </w:r>
                      <w:r w:rsidRPr="00616069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 xml:space="preserve"> Nové úvěry jsou </w:t>
                      </w:r>
                      <w:r w:rsidR="00581CC1" w:rsidRPr="00616069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>pak</w:t>
                      </w:r>
                      <w:r w:rsidRPr="00616069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 xml:space="preserve"> vykazovány v</w:t>
                      </w:r>
                      <w:r w:rsidR="00581CC1" w:rsidRPr="00616069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> </w:t>
                      </w:r>
                      <w:r w:rsidRPr="00616069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>kategoriích</w:t>
                      </w:r>
                      <w:r w:rsidR="00581CC1" w:rsidRPr="00616069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 xml:space="preserve"> dle účelu úvěru</w:t>
                      </w:r>
                      <w:r w:rsidRPr="00616069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>:</w:t>
                      </w:r>
                    </w:p>
                    <w:p w14:paraId="58E707E8" w14:textId="77777777" w:rsidR="0001227F" w:rsidRPr="00616069" w:rsidRDefault="0001227F" w:rsidP="0001227F">
                      <w:pPr>
                        <w:spacing w:line="276" w:lineRule="auto"/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</w:p>
                    <w:p w14:paraId="3227247A" w14:textId="11714118" w:rsidR="0001227F" w:rsidRPr="00616069" w:rsidRDefault="00E818C3" w:rsidP="00E818C3">
                      <w:pPr>
                        <w:spacing w:line="276" w:lineRule="auto"/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</w:pPr>
                      <w:r w:rsidRPr="00616069"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  <w:t xml:space="preserve">1. </w:t>
                      </w:r>
                      <w:r w:rsidR="0001227F" w:rsidRPr="00616069"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  <w:t>Nové úvěry</w:t>
                      </w:r>
                    </w:p>
                    <w:p w14:paraId="22AF3257" w14:textId="77777777" w:rsidR="0001227F" w:rsidRPr="00616069" w:rsidRDefault="0001227F" w:rsidP="0001227F">
                      <w:pPr>
                        <w:spacing w:line="276" w:lineRule="auto"/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>Jsou úvěry, jejichž celý objem poprvé vstupuje do ekonomiky. Do této kategorie nepatří konsolidace úvěrů anebo refinancování úvěrů. Dělí se do tří kategorií:</w:t>
                      </w:r>
                    </w:p>
                    <w:p w14:paraId="362AFB2A" w14:textId="77777777" w:rsidR="0001227F" w:rsidRPr="00616069" w:rsidRDefault="0001227F" w:rsidP="00E818C3">
                      <w:pPr>
                        <w:pStyle w:val="Odstavecseseznamem"/>
                        <w:numPr>
                          <w:ilvl w:val="0"/>
                          <w:numId w:val="30"/>
                        </w:numPr>
                        <w:spacing w:line="276" w:lineRule="auto"/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  <w:r w:rsidRPr="00616069"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  <w:t>Nákup nemovitosti</w:t>
                      </w:r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 </w:t>
                      </w:r>
                    </w:p>
                    <w:p w14:paraId="29F23FA5" w14:textId="6EE96893" w:rsidR="0001227F" w:rsidRPr="00616069" w:rsidRDefault="0001227F" w:rsidP="00E818C3">
                      <w:pPr>
                        <w:pStyle w:val="Odstavecseseznamem"/>
                        <w:numPr>
                          <w:ilvl w:val="0"/>
                          <w:numId w:val="30"/>
                        </w:numPr>
                        <w:spacing w:line="276" w:lineRule="auto"/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  <w:r w:rsidRPr="00616069"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  <w:t>Výstavba nemovitosti</w:t>
                      </w:r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 – včetně rekonstrukce nemovitosti </w:t>
                      </w:r>
                    </w:p>
                    <w:p w14:paraId="4D80580F" w14:textId="13151ABF" w:rsidR="0001227F" w:rsidRPr="00616069" w:rsidRDefault="0001227F" w:rsidP="00E818C3">
                      <w:pPr>
                        <w:pStyle w:val="Odstavecseseznamem"/>
                        <w:numPr>
                          <w:ilvl w:val="0"/>
                          <w:numId w:val="30"/>
                        </w:numPr>
                        <w:spacing w:line="276" w:lineRule="auto"/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  <w:r w:rsidRPr="00616069"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  <w:t>Ostatní nová ujednání</w:t>
                      </w:r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 – pouze nové úvěry, které nijak nesouvisí s koupí nebo výstavbou nemovitosti</w:t>
                      </w:r>
                      <w:r w:rsidR="006B00D0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 (</w:t>
                      </w:r>
                      <w:r w:rsidR="006B00D0" w:rsidRPr="006B00D0">
                        <w:rPr>
                          <w:rFonts w:ascii="Calibri" w:hAnsi="Calibri" w:cs="Calibri"/>
                          <w:color w:val="FFFFFF" w:themeColor="background1"/>
                        </w:rPr>
                        <w:t>což neplatí v případě tzv. hypotéky bez nemovitosti sjedn</w:t>
                      </w:r>
                      <w:r w:rsidR="006B00D0">
                        <w:rPr>
                          <w:rFonts w:ascii="Calibri" w:hAnsi="Calibri" w:cs="Calibri"/>
                          <w:color w:val="FFFFFF" w:themeColor="background1"/>
                        </w:rPr>
                        <w:t>a</w:t>
                      </w:r>
                      <w:r w:rsidR="006B00D0" w:rsidRPr="006B00D0">
                        <w:rPr>
                          <w:rFonts w:ascii="Calibri" w:hAnsi="Calibri" w:cs="Calibri"/>
                          <w:color w:val="FFFFFF" w:themeColor="background1"/>
                        </w:rPr>
                        <w:t>né bez účelu</w:t>
                      </w:r>
                      <w:r w:rsidR="006B00D0">
                        <w:rPr>
                          <w:rFonts w:ascii="Calibri" w:hAnsi="Calibri" w:cs="Calibri"/>
                          <w:color w:val="FFFFFF" w:themeColor="background1"/>
                        </w:rPr>
                        <w:t>), tedy</w:t>
                      </w:r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 např. tzv. americké hypotéky, vypořádání SJM, zpětná úhrada kupní ceny, vypořádání dědického podílu, vypořádání družstevního </w:t>
                      </w:r>
                      <w:proofErr w:type="gramStart"/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>podílu,</w:t>
                      </w:r>
                      <w:proofErr w:type="gramEnd"/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 atp.</w:t>
                      </w:r>
                    </w:p>
                    <w:p w14:paraId="4FBF1D5A" w14:textId="77777777" w:rsidR="0001227F" w:rsidRPr="00616069" w:rsidRDefault="0001227F" w:rsidP="0001227F">
                      <w:pPr>
                        <w:spacing w:line="276" w:lineRule="auto"/>
                        <w:ind w:left="708"/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</w:p>
                    <w:p w14:paraId="71D5E0BB" w14:textId="7D112C27" w:rsidR="0001227F" w:rsidRPr="00616069" w:rsidRDefault="00E818C3" w:rsidP="0001227F">
                      <w:pPr>
                        <w:spacing w:line="276" w:lineRule="auto"/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</w:pPr>
                      <w:r w:rsidRPr="00616069"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  <w:t xml:space="preserve">2. </w:t>
                      </w:r>
                      <w:r w:rsidR="0001227F" w:rsidRPr="00616069"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  <w:t>Refinancované úvěry z jiné finanční instituce</w:t>
                      </w:r>
                    </w:p>
                    <w:p w14:paraId="351B5A60" w14:textId="0B5DCBB6" w:rsidR="0001227F" w:rsidRPr="00616069" w:rsidRDefault="0001227F" w:rsidP="0001227F">
                      <w:pPr>
                        <w:spacing w:line="276" w:lineRule="auto"/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Jsou úvěry, které vznikly refinancováním jednoho nebo více úvěrů z jiné finanční instituce než </w:t>
                      </w:r>
                      <w:r w:rsidR="00973197"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>té</w:t>
                      </w:r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 vykazující. Bez ohledu na výši refinancované částky a bez ohledu na výši případného navýšení se celková výše nově vzniklého úvěru vykazuje do této kategorie. </w:t>
                      </w:r>
                    </w:p>
                    <w:p w14:paraId="7566D2D6" w14:textId="77777777" w:rsidR="0001227F" w:rsidRPr="00616069" w:rsidRDefault="0001227F" w:rsidP="0001227F">
                      <w:pPr>
                        <w:spacing w:line="276" w:lineRule="auto"/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</w:p>
                    <w:p w14:paraId="04B36444" w14:textId="4F20B25F" w:rsidR="0001227F" w:rsidRPr="00616069" w:rsidRDefault="00E818C3" w:rsidP="0001227F">
                      <w:pPr>
                        <w:spacing w:line="276" w:lineRule="auto"/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</w:pPr>
                      <w:r w:rsidRPr="00616069"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  <w:t xml:space="preserve">3. </w:t>
                      </w:r>
                      <w:r w:rsidR="0001227F" w:rsidRPr="00616069"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  <w:t>Navýšené anebo interně refinancované úvěry</w:t>
                      </w:r>
                    </w:p>
                    <w:p w14:paraId="711A3661" w14:textId="2A271010" w:rsidR="0001227F" w:rsidRPr="00616069" w:rsidRDefault="0001227F" w:rsidP="0001227F">
                      <w:pPr>
                        <w:spacing w:line="276" w:lineRule="auto"/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Jsou úvěry, které již byly </w:t>
                      </w:r>
                      <w:r w:rsidR="00647A7A"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v </w:t>
                      </w:r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>předchozí</w:t>
                      </w:r>
                      <w:r w:rsidR="0079039B"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>m</w:t>
                      </w:r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 vykazované</w:t>
                      </w:r>
                      <w:r w:rsidR="0079039B"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>m</w:t>
                      </w:r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 období součástí portfolia vykazujícího subjektu, a ve vykazovaném období u nich došlo k některé z následujících změn:</w:t>
                      </w:r>
                    </w:p>
                    <w:p w14:paraId="4A6B00C0" w14:textId="77777777" w:rsidR="00E818C3" w:rsidRPr="00616069" w:rsidRDefault="0001227F" w:rsidP="0001227F">
                      <w:pPr>
                        <w:pStyle w:val="Odstavecseseznamem"/>
                        <w:numPr>
                          <w:ilvl w:val="0"/>
                          <w:numId w:val="28"/>
                        </w:numPr>
                        <w:overflowPunct/>
                        <w:autoSpaceDE/>
                        <w:autoSpaceDN/>
                        <w:adjustRightInd/>
                        <w:spacing w:line="276" w:lineRule="auto"/>
                        <w:jc w:val="left"/>
                        <w:textAlignment w:val="auto"/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navýšení sjednané částky </w:t>
                      </w:r>
                    </w:p>
                    <w:p w14:paraId="44682079" w14:textId="72C23671" w:rsidR="0001227F" w:rsidRPr="00616069" w:rsidRDefault="0001227F" w:rsidP="0001227F">
                      <w:pPr>
                        <w:pStyle w:val="Odstavecseseznamem"/>
                        <w:numPr>
                          <w:ilvl w:val="0"/>
                          <w:numId w:val="28"/>
                        </w:numPr>
                        <w:overflowPunct/>
                        <w:autoSpaceDE/>
                        <w:autoSpaceDN/>
                        <w:adjustRightInd/>
                        <w:spacing w:line="276" w:lineRule="auto"/>
                        <w:jc w:val="left"/>
                        <w:textAlignment w:val="auto"/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došlo k takovým změnám, že původní úvěr byl v rámci vykazujícího subjektu refinancován/převeden na nový úvěr. </w:t>
                      </w:r>
                      <w:r w:rsidR="00E74228"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>J</w:t>
                      </w:r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>de</w:t>
                      </w:r>
                      <w:r w:rsidR="00CD28EC"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 tak o</w:t>
                      </w:r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 skutečně </w:t>
                      </w:r>
                      <w:r w:rsidR="00E74228"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>novou smlouvu</w:t>
                      </w:r>
                      <w:r w:rsidR="00132EE9"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, nikoli např. jen </w:t>
                      </w:r>
                      <w:r w:rsidR="007B79F6"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>nové ujednání v rámci refi</w:t>
                      </w:r>
                      <w:r w:rsidR="000F02C1"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xace </w:t>
                      </w:r>
                      <w:r w:rsidR="00132EE9"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stávající smlouvy. Proto je objem takových úvěru ve statistice ČBA nižší oproti „ostatním novým ujednáním“ ve statistice České </w:t>
                      </w:r>
                      <w:r w:rsidR="002D3F94"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>n</w:t>
                      </w:r>
                      <w:r w:rsidR="00132EE9"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árodní </w:t>
                      </w:r>
                      <w:r w:rsidR="002D3F94"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>b</w:t>
                      </w:r>
                      <w:r w:rsidR="00132EE9"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>anky.</w:t>
                      </w:r>
                    </w:p>
                    <w:p w14:paraId="1FAF8B9B" w14:textId="4C474A58" w:rsidR="006F08E1" w:rsidRPr="00616069" w:rsidRDefault="006F08E1" w:rsidP="006F08E1">
                      <w:pPr>
                        <w:overflowPunct/>
                        <w:autoSpaceDE/>
                        <w:autoSpaceDN/>
                        <w:adjustRightInd/>
                        <w:spacing w:line="276" w:lineRule="auto"/>
                        <w:jc w:val="left"/>
                        <w:textAlignment w:val="auto"/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</w:p>
                    <w:p w14:paraId="65FC0189" w14:textId="63D05C51" w:rsidR="006F08E1" w:rsidRPr="00616069" w:rsidRDefault="001F49EA" w:rsidP="006F08E1">
                      <w:pPr>
                        <w:overflowPunct/>
                        <w:autoSpaceDE/>
                        <w:autoSpaceDN/>
                        <w:adjustRightInd/>
                        <w:spacing w:line="276" w:lineRule="auto"/>
                        <w:jc w:val="left"/>
                        <w:textAlignment w:val="auto"/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Data pro ČBA </w:t>
                      </w:r>
                      <w:proofErr w:type="spellStart"/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>Hypomonitor</w:t>
                      </w:r>
                      <w:proofErr w:type="spellEnd"/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 poskytují následující banky a stavební spořitelny: Air Bank, Česká spořitelna, ČSOB, ČSOB Stavební spořitelna, Fio banka,</w:t>
                      </w:r>
                      <w:r w:rsidR="00752310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 ČSOB</w:t>
                      </w:r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 Hypoteční banka, Komerční banka, mBank, Modrá pyramida, MONETA Bank, </w:t>
                      </w:r>
                      <w:proofErr w:type="spellStart"/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>Oberbank</w:t>
                      </w:r>
                      <w:proofErr w:type="spellEnd"/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, </w:t>
                      </w:r>
                      <w:proofErr w:type="spellStart"/>
                      <w:r w:rsidR="003E1AAB">
                        <w:rPr>
                          <w:rFonts w:ascii="Calibri" w:hAnsi="Calibri" w:cs="Calibri"/>
                          <w:color w:val="FFFFFF" w:themeColor="background1"/>
                        </w:rPr>
                        <w:t>Partners</w:t>
                      </w:r>
                      <w:proofErr w:type="spellEnd"/>
                      <w:r w:rsidR="003E1AAB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 Banka, </w:t>
                      </w:r>
                      <w:proofErr w:type="spellStart"/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>Raiffeisen</w:t>
                      </w:r>
                      <w:proofErr w:type="spellEnd"/>
                      <w:r w:rsidRPr="00616069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 stavební spořitelna, Raiffeisenbank, Stavební spořitelna České spořitelny, UniCredit Bank.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Mkatabulky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17"/>
        <w:gridCol w:w="3384"/>
      </w:tblGrid>
      <w:tr w:rsidR="0028530F" w:rsidRPr="00D80B55" w14:paraId="4825E599" w14:textId="77777777" w:rsidTr="001B1140">
        <w:trPr>
          <w:trHeight w:val="1364"/>
        </w:trPr>
        <w:tc>
          <w:tcPr>
            <w:tcW w:w="6817" w:type="dxa"/>
            <w:shd w:val="clear" w:color="auto" w:fill="13576B"/>
          </w:tcPr>
          <w:p w14:paraId="1EB2DC0A" w14:textId="77777777" w:rsidR="0028530F" w:rsidRPr="00D80B55" w:rsidRDefault="0028530F" w:rsidP="001B1140">
            <w:pPr>
              <w:pStyle w:val="CBANadpisvTABULCE"/>
              <w:jc w:val="both"/>
              <w:rPr>
                <w:rFonts w:cs="Arial"/>
                <w:color w:val="FFFFFF" w:themeColor="background1"/>
                <w:szCs w:val="18"/>
              </w:rPr>
            </w:pPr>
            <w:r w:rsidRPr="00D80B55">
              <w:rPr>
                <w:rFonts w:cs="Arial"/>
                <w:color w:val="FFFFFF" w:themeColor="background1"/>
                <w:szCs w:val="18"/>
              </w:rPr>
              <w:t>O České bankovní asociaci</w:t>
            </w:r>
          </w:p>
          <w:p w14:paraId="4EB0391C" w14:textId="423A1391" w:rsidR="0028530F" w:rsidRPr="00D80B55" w:rsidRDefault="0028530F" w:rsidP="001B1140">
            <w:pPr>
              <w:rPr>
                <w:rFonts w:cs="Arial"/>
                <w:color w:val="FFFFFF" w:themeColor="background1"/>
                <w:sz w:val="22"/>
              </w:rPr>
            </w:pPr>
            <w:r w:rsidRPr="00D80B55">
              <w:rPr>
                <w:rFonts w:cs="Arial"/>
                <w:color w:val="FFFFFF" w:themeColor="background1"/>
              </w:rPr>
              <w:t>Česká bankovní asociace (ČBA) je dobrovolné sdružení 3</w:t>
            </w:r>
            <w:r w:rsidR="00BA1D00">
              <w:rPr>
                <w:rFonts w:cs="Arial"/>
                <w:color w:val="FFFFFF" w:themeColor="background1"/>
              </w:rPr>
              <w:t>4</w:t>
            </w:r>
            <w:r w:rsidRPr="00D80B55">
              <w:rPr>
                <w:rFonts w:cs="Arial"/>
                <w:color w:val="FFFFFF" w:themeColor="background1"/>
              </w:rPr>
              <w:t xml:space="preserve"> bank, které v ČR působí a reprezentuje tak 99 % trhu. </w:t>
            </w:r>
            <w:r>
              <w:rPr>
                <w:rFonts w:cs="Arial"/>
                <w:color w:val="FFFFFF" w:themeColor="background1"/>
              </w:rPr>
              <w:t>Více než</w:t>
            </w:r>
            <w:r w:rsidRPr="00D80B55">
              <w:rPr>
                <w:rFonts w:cs="Arial"/>
                <w:color w:val="FFFFFF" w:themeColor="background1"/>
              </w:rPr>
              <w:t xml:space="preserve"> 30 let podporuje nejen rozvoj bankovního sektoru, ale i celé ekonomiky a všeobecné finanční gramotnosti. ČBA je členem Evropské bankovní federace (EBF).</w:t>
            </w:r>
          </w:p>
          <w:p w14:paraId="598BB9F7" w14:textId="77777777" w:rsidR="0028530F" w:rsidRPr="00D80B55" w:rsidRDefault="0028530F" w:rsidP="001B1140">
            <w:pPr>
              <w:pStyle w:val="CBAodstavecvTABULCE"/>
              <w:jc w:val="both"/>
              <w:rPr>
                <w:rFonts w:cs="Arial"/>
                <w:color w:val="FFFFFF" w:themeColor="background1"/>
                <w:szCs w:val="18"/>
              </w:rPr>
            </w:pPr>
            <w:r w:rsidRPr="00D80B55">
              <w:rPr>
                <w:rFonts w:cs="Arial"/>
                <w:color w:val="FFFFFF" w:themeColor="background1"/>
                <w:szCs w:val="18"/>
              </w:rPr>
              <w:t xml:space="preserve">Více informací na </w:t>
            </w:r>
            <w:r w:rsidRPr="00D80B55">
              <w:rPr>
                <w:rFonts w:cs="Arial"/>
                <w:color w:val="FFFFFF" w:themeColor="background1"/>
                <w:szCs w:val="18"/>
                <w:u w:val="single"/>
              </w:rPr>
              <w:t>www.cbaonline.cz.</w:t>
            </w:r>
            <w:r w:rsidRPr="00D80B55">
              <w:rPr>
                <w:rFonts w:cs="Arial"/>
                <w:color w:val="A9936D"/>
                <w:szCs w:val="18"/>
              </w:rPr>
              <w:t xml:space="preserve"> </w:t>
            </w:r>
          </w:p>
        </w:tc>
        <w:tc>
          <w:tcPr>
            <w:tcW w:w="3384" w:type="dxa"/>
            <w:shd w:val="clear" w:color="auto" w:fill="A9936D"/>
            <w:vAlign w:val="center"/>
          </w:tcPr>
          <w:p w14:paraId="606A2DEB" w14:textId="77777777" w:rsidR="0028530F" w:rsidRPr="00D80B55" w:rsidRDefault="0028530F" w:rsidP="001B1140">
            <w:pPr>
              <w:pStyle w:val="CBAodstavecvTABULCE"/>
              <w:rPr>
                <w:rFonts w:cs="Arial"/>
                <w:b/>
                <w:bCs/>
                <w:color w:val="FFFFFF" w:themeColor="background1"/>
                <w:szCs w:val="18"/>
              </w:rPr>
            </w:pPr>
            <w:r w:rsidRPr="00D80B55">
              <w:rPr>
                <w:rFonts w:cs="Arial"/>
                <w:b/>
                <w:bCs/>
                <w:color w:val="FFFFFF" w:themeColor="background1"/>
                <w:szCs w:val="18"/>
              </w:rPr>
              <w:t xml:space="preserve">                Dotazy posílejte na</w:t>
            </w:r>
          </w:p>
          <w:p w14:paraId="64706D81" w14:textId="77777777" w:rsidR="0028530F" w:rsidRPr="00D80B55" w:rsidRDefault="0028530F" w:rsidP="001B1140">
            <w:pPr>
              <w:pStyle w:val="CBAodstavecvTABULCE"/>
              <w:jc w:val="center"/>
              <w:rPr>
                <w:rFonts w:cs="Arial"/>
                <w:color w:val="FFFFFF" w:themeColor="background1"/>
                <w:szCs w:val="18"/>
              </w:rPr>
            </w:pPr>
            <w:r w:rsidRPr="00D80B55">
              <w:rPr>
                <w:rFonts w:cs="Arial"/>
                <w:b/>
                <w:bCs/>
                <w:color w:val="FFFFFF" w:themeColor="background1"/>
                <w:szCs w:val="18"/>
              </w:rPr>
              <w:t>radek.salsa@cbaonline.cz</w:t>
            </w:r>
          </w:p>
        </w:tc>
      </w:tr>
    </w:tbl>
    <w:p w14:paraId="79952D08" w14:textId="7B44AB4C" w:rsidR="00C42F00" w:rsidRPr="00B04FE2" w:rsidRDefault="00C42F00" w:rsidP="00CA3B41">
      <w:pPr>
        <w:rPr>
          <w:rFonts w:ascii="Calibri" w:hAnsi="Calibri" w:cs="Calibri"/>
          <w:sz w:val="22"/>
          <w:szCs w:val="22"/>
        </w:rPr>
      </w:pPr>
    </w:p>
    <w:sectPr w:rsidR="00C42F00" w:rsidRPr="00B04FE2" w:rsidSect="00606031">
      <w:type w:val="continuous"/>
      <w:pgSz w:w="11906" w:h="16838"/>
      <w:pgMar w:top="2552" w:right="849" w:bottom="1560" w:left="85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2207A" w14:textId="77777777" w:rsidR="00AB736F" w:rsidRPr="00616069" w:rsidRDefault="00AB736F" w:rsidP="00F573F1">
      <w:r w:rsidRPr="00616069">
        <w:separator/>
      </w:r>
    </w:p>
  </w:endnote>
  <w:endnote w:type="continuationSeparator" w:id="0">
    <w:p w14:paraId="2F5CF854" w14:textId="77777777" w:rsidR="00AB736F" w:rsidRPr="00616069" w:rsidRDefault="00AB736F" w:rsidP="00F573F1">
      <w:r w:rsidRPr="006160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069079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E2EB97C" w14:textId="697C5AC2" w:rsidR="001E31AB" w:rsidRPr="00616069" w:rsidRDefault="001E31AB">
            <w:pPr>
              <w:pStyle w:val="Zpat"/>
              <w:jc w:val="right"/>
            </w:pPr>
            <w:r w:rsidRPr="00616069">
              <w:rPr>
                <w:rFonts w:ascii="Calibri" w:hAnsi="Calibri"/>
                <w:noProof/>
                <w:szCs w:val="18"/>
                <w:lang w:eastAsia="en-GB"/>
              </w:rPr>
              <w:drawing>
                <wp:anchor distT="0" distB="0" distL="114300" distR="114300" simplePos="0" relativeHeight="251655680" behindDoc="0" locked="0" layoutInCell="1" allowOverlap="1" wp14:anchorId="7B2A8544" wp14:editId="09B386F6">
                  <wp:simplePos x="0" y="0"/>
                  <wp:positionH relativeFrom="column">
                    <wp:posOffset>-540385</wp:posOffset>
                  </wp:positionH>
                  <wp:positionV relativeFrom="paragraph">
                    <wp:posOffset>-365760</wp:posOffset>
                  </wp:positionV>
                  <wp:extent cx="3042285" cy="701040"/>
                  <wp:effectExtent l="0" t="0" r="5715" b="0"/>
                  <wp:wrapNone/>
                  <wp:docPr id="452462243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named.jpg"/>
                          <pic:cNvPicPr/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09" t="94992" r="61095" b="-1544"/>
                          <a:stretch/>
                        </pic:blipFill>
                        <pic:spPr bwMode="auto">
                          <a:xfrm>
                            <a:off x="0" y="0"/>
                            <a:ext cx="3042285" cy="701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6069">
              <w:rPr>
                <w:rFonts w:ascii="Calibri" w:hAnsi="Calibri"/>
                <w:szCs w:val="18"/>
              </w:rPr>
              <w:t xml:space="preserve">Stránka </w:t>
            </w:r>
            <w:r w:rsidRPr="00616069">
              <w:rPr>
                <w:rFonts w:ascii="Calibri" w:hAnsi="Calibri"/>
                <w:b/>
                <w:bCs/>
                <w:szCs w:val="18"/>
              </w:rPr>
              <w:fldChar w:fldCharType="begin"/>
            </w:r>
            <w:r w:rsidRPr="00616069">
              <w:rPr>
                <w:rFonts w:ascii="Calibri" w:hAnsi="Calibri"/>
                <w:b/>
                <w:bCs/>
                <w:szCs w:val="18"/>
              </w:rPr>
              <w:instrText>PAGE</w:instrText>
            </w:r>
            <w:r w:rsidRPr="00616069">
              <w:rPr>
                <w:rFonts w:ascii="Calibri" w:hAnsi="Calibri"/>
                <w:b/>
                <w:bCs/>
                <w:szCs w:val="18"/>
              </w:rPr>
              <w:fldChar w:fldCharType="separate"/>
            </w:r>
            <w:r w:rsidR="005F4B41" w:rsidRPr="00616069">
              <w:rPr>
                <w:rFonts w:ascii="Calibri" w:hAnsi="Calibri"/>
                <w:b/>
                <w:bCs/>
                <w:szCs w:val="18"/>
              </w:rPr>
              <w:t>1</w:t>
            </w:r>
            <w:r w:rsidRPr="00616069">
              <w:rPr>
                <w:rFonts w:ascii="Calibri" w:hAnsi="Calibri"/>
                <w:b/>
                <w:bCs/>
                <w:szCs w:val="18"/>
              </w:rPr>
              <w:fldChar w:fldCharType="end"/>
            </w:r>
            <w:r w:rsidRPr="00616069">
              <w:rPr>
                <w:rFonts w:ascii="Calibri" w:hAnsi="Calibri"/>
                <w:szCs w:val="18"/>
              </w:rPr>
              <w:t xml:space="preserve"> z </w:t>
            </w:r>
            <w:r w:rsidRPr="00616069">
              <w:rPr>
                <w:rFonts w:ascii="Calibri" w:hAnsi="Calibri"/>
                <w:b/>
                <w:bCs/>
                <w:szCs w:val="18"/>
              </w:rPr>
              <w:fldChar w:fldCharType="begin"/>
            </w:r>
            <w:r w:rsidRPr="00616069">
              <w:rPr>
                <w:rFonts w:ascii="Calibri" w:hAnsi="Calibri"/>
                <w:b/>
                <w:bCs/>
                <w:szCs w:val="18"/>
              </w:rPr>
              <w:instrText>NUMPAGES</w:instrText>
            </w:r>
            <w:r w:rsidRPr="00616069">
              <w:rPr>
                <w:rFonts w:ascii="Calibri" w:hAnsi="Calibri"/>
                <w:b/>
                <w:bCs/>
                <w:szCs w:val="18"/>
              </w:rPr>
              <w:fldChar w:fldCharType="separate"/>
            </w:r>
            <w:r w:rsidR="005F4B41" w:rsidRPr="00616069">
              <w:rPr>
                <w:rFonts w:ascii="Calibri" w:hAnsi="Calibri"/>
                <w:b/>
                <w:bCs/>
                <w:szCs w:val="18"/>
              </w:rPr>
              <w:t>2</w:t>
            </w:r>
            <w:r w:rsidRPr="00616069">
              <w:rPr>
                <w:rFonts w:ascii="Calibri" w:hAnsi="Calibri"/>
                <w:b/>
                <w:bCs/>
                <w:szCs w:val="18"/>
              </w:rPr>
              <w:fldChar w:fldCharType="end"/>
            </w:r>
          </w:p>
        </w:sdtContent>
      </w:sdt>
    </w:sdtContent>
  </w:sdt>
  <w:p w14:paraId="300EB588" w14:textId="24FF51AB" w:rsidR="0065124E" w:rsidRPr="00616069" w:rsidRDefault="0065124E" w:rsidP="00FB4A1C">
    <w:pPr>
      <w:pStyle w:val="Zpat"/>
      <w:tabs>
        <w:tab w:val="clear" w:pos="4536"/>
        <w:tab w:val="clear" w:pos="9072"/>
        <w:tab w:val="left" w:pos="6080"/>
      </w:tabs>
      <w:rPr>
        <w:color w:val="A6A6A6" w:themeColor="background1" w:themeShade="A6"/>
        <w:sz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96D69" w14:textId="77777777" w:rsidR="00AB736F" w:rsidRPr="00616069" w:rsidRDefault="00AB736F" w:rsidP="00F573F1">
      <w:r w:rsidRPr="00616069">
        <w:separator/>
      </w:r>
    </w:p>
  </w:footnote>
  <w:footnote w:type="continuationSeparator" w:id="0">
    <w:p w14:paraId="3B823AAA" w14:textId="77777777" w:rsidR="00AB736F" w:rsidRPr="00616069" w:rsidRDefault="00AB736F" w:rsidP="00F573F1">
      <w:r w:rsidRPr="00616069">
        <w:continuationSeparator/>
      </w:r>
    </w:p>
  </w:footnote>
  <w:footnote w:id="1">
    <w:p w14:paraId="006ACB2C" w14:textId="5C7EB3F1" w:rsidR="005E37F3" w:rsidRPr="00616069" w:rsidRDefault="005E37F3" w:rsidP="005E37F3">
      <w:pPr>
        <w:pStyle w:val="Textpoznpodarou"/>
        <w:rPr>
          <w:rFonts w:ascii="Calibri" w:hAnsi="Calibri" w:cs="Calibri"/>
          <w:sz w:val="17"/>
          <w:szCs w:val="17"/>
        </w:rPr>
      </w:pPr>
      <w:r w:rsidRPr="00616069">
        <w:rPr>
          <w:rStyle w:val="Znakapoznpodarou"/>
          <w:rFonts w:ascii="Calibri" w:hAnsi="Calibri" w:cs="Calibri"/>
          <w:sz w:val="17"/>
          <w:szCs w:val="17"/>
        </w:rPr>
        <w:footnoteRef/>
      </w:r>
      <w:r w:rsidRPr="00616069">
        <w:rPr>
          <w:rFonts w:ascii="Calibri" w:hAnsi="Calibri" w:cs="Calibri"/>
          <w:sz w:val="17"/>
          <w:szCs w:val="17"/>
        </w:rPr>
        <w:t xml:space="preserve"> </w:t>
      </w:r>
      <w:r w:rsidRPr="00616069">
        <w:rPr>
          <w:rFonts w:asciiTheme="majorHAnsi" w:hAnsiTheme="majorHAnsi" w:cstheme="majorHAnsi"/>
          <w:sz w:val="17"/>
          <w:szCs w:val="17"/>
        </w:rPr>
        <w:t>Jedná se především o dlouholeté úrokové swapy (</w:t>
      </w:r>
      <w:proofErr w:type="spellStart"/>
      <w:r w:rsidRPr="00616069">
        <w:rPr>
          <w:rFonts w:asciiTheme="majorHAnsi" w:hAnsiTheme="majorHAnsi" w:cstheme="majorHAnsi"/>
          <w:sz w:val="17"/>
          <w:szCs w:val="17"/>
        </w:rPr>
        <w:t>interest</w:t>
      </w:r>
      <w:proofErr w:type="spellEnd"/>
      <w:r w:rsidRPr="00616069">
        <w:rPr>
          <w:rFonts w:asciiTheme="majorHAnsi" w:hAnsiTheme="majorHAnsi" w:cstheme="majorHAnsi"/>
          <w:sz w:val="17"/>
          <w:szCs w:val="17"/>
        </w:rPr>
        <w:t xml:space="preserve"> </w:t>
      </w:r>
      <w:proofErr w:type="spellStart"/>
      <w:r w:rsidRPr="00616069">
        <w:rPr>
          <w:rFonts w:asciiTheme="majorHAnsi" w:hAnsiTheme="majorHAnsi" w:cstheme="majorHAnsi"/>
          <w:sz w:val="17"/>
          <w:szCs w:val="17"/>
        </w:rPr>
        <w:t>rate</w:t>
      </w:r>
      <w:proofErr w:type="spellEnd"/>
      <w:r w:rsidRPr="00616069">
        <w:rPr>
          <w:rFonts w:asciiTheme="majorHAnsi" w:hAnsiTheme="majorHAnsi" w:cstheme="majorHAnsi"/>
          <w:sz w:val="17"/>
          <w:szCs w:val="17"/>
        </w:rPr>
        <w:t xml:space="preserve"> swap, IRS), které odráží cenu peněz v delších splatnostech, </w:t>
      </w:r>
      <w:r>
        <w:rPr>
          <w:rFonts w:asciiTheme="majorHAnsi" w:hAnsiTheme="majorHAnsi" w:cstheme="majorHAnsi"/>
          <w:sz w:val="17"/>
          <w:szCs w:val="17"/>
        </w:rPr>
        <w:t>a to v posledních letech okolo 3 až 5 let</w:t>
      </w:r>
      <w:r w:rsidR="009D68B5">
        <w:rPr>
          <w:rFonts w:asciiTheme="majorHAnsi" w:hAnsiTheme="majorHAnsi" w:cstheme="majorHAnsi"/>
          <w:sz w:val="17"/>
          <w:szCs w:val="17"/>
        </w:rPr>
        <w:t xml:space="preserve">, ale v poslední době okolo 3 let. Případně kratší fixace, zatímco </w:t>
      </w:r>
      <w:r>
        <w:rPr>
          <w:rFonts w:asciiTheme="majorHAnsi" w:hAnsiTheme="majorHAnsi" w:cstheme="majorHAnsi"/>
          <w:sz w:val="17"/>
          <w:szCs w:val="17"/>
        </w:rPr>
        <w:t>10leté splatnosti jsou méně relevantní kvůli vyšším sazbám centrálních bank v porovnání s předchozí dekádou, ale i kvůli ú</w:t>
      </w:r>
      <w:r w:rsidRPr="00EA163C">
        <w:rPr>
          <w:rFonts w:asciiTheme="majorHAnsi" w:hAnsiTheme="majorHAnsi" w:cstheme="majorHAnsi"/>
          <w:sz w:val="17"/>
          <w:szCs w:val="17"/>
        </w:rPr>
        <w:t>čelně vynaložený</w:t>
      </w:r>
      <w:r>
        <w:rPr>
          <w:rFonts w:asciiTheme="majorHAnsi" w:hAnsiTheme="majorHAnsi" w:cstheme="majorHAnsi"/>
          <w:sz w:val="17"/>
          <w:szCs w:val="17"/>
        </w:rPr>
        <w:t>m</w:t>
      </w:r>
      <w:r w:rsidRPr="00EA163C">
        <w:rPr>
          <w:rFonts w:asciiTheme="majorHAnsi" w:hAnsiTheme="majorHAnsi" w:cstheme="majorHAnsi"/>
          <w:sz w:val="17"/>
          <w:szCs w:val="17"/>
        </w:rPr>
        <w:t xml:space="preserve"> nákladů</w:t>
      </w:r>
      <w:r>
        <w:rPr>
          <w:rFonts w:asciiTheme="majorHAnsi" w:hAnsiTheme="majorHAnsi" w:cstheme="majorHAnsi"/>
          <w:sz w:val="17"/>
          <w:szCs w:val="17"/>
        </w:rPr>
        <w:t xml:space="preserve">m </w:t>
      </w:r>
      <w:r w:rsidRPr="00EA163C">
        <w:rPr>
          <w:rFonts w:asciiTheme="majorHAnsi" w:hAnsiTheme="majorHAnsi" w:cstheme="majorHAnsi"/>
          <w:sz w:val="17"/>
          <w:szCs w:val="17"/>
        </w:rPr>
        <w:t>při předčasném splacení hypoték</w:t>
      </w:r>
      <w:r>
        <w:rPr>
          <w:rFonts w:asciiTheme="majorHAnsi" w:hAnsiTheme="majorHAnsi" w:cstheme="majorHAnsi"/>
          <w:sz w:val="17"/>
          <w:szCs w:val="17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A4485" w14:textId="25969B31" w:rsidR="0065124E" w:rsidRPr="00616069" w:rsidRDefault="00A86552">
    <w:pPr>
      <w:pStyle w:val="Zhlav"/>
    </w:pPr>
    <w:r w:rsidRPr="00616069">
      <w:rPr>
        <w:rFonts w:cs="Arial"/>
        <w:noProof/>
        <w:lang w:eastAsia="en-GB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1DCC7344" wp14:editId="2F0B41DB">
              <wp:simplePos x="0" y="0"/>
              <wp:positionH relativeFrom="margin">
                <wp:posOffset>2228694</wp:posOffset>
              </wp:positionH>
              <wp:positionV relativeFrom="paragraph">
                <wp:posOffset>214019</wp:posOffset>
              </wp:positionV>
              <wp:extent cx="2941608" cy="1404620"/>
              <wp:effectExtent l="0" t="0" r="0" b="0"/>
              <wp:wrapNone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1608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986907" w14:textId="1DE8A063" w:rsidR="00A86552" w:rsidRPr="00616069" w:rsidRDefault="00A86552" w:rsidP="00095055">
                          <w:pPr>
                            <w:spacing w:line="276" w:lineRule="auto"/>
                            <w:jc w:val="right"/>
                            <w:rPr>
                              <w:rFonts w:ascii="Calibri" w:hAnsi="Calibri" w:cs="Calibri"/>
                              <w:b/>
                              <w:color w:val="FF0000"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DCC734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175.5pt;margin-top:16.85pt;width:231.6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" filled="f" stroked="f">
              <v:textbox style="mso-fit-shape-to-text:t">
                <w:txbxContent>
                  <w:p w14:paraId="24986907" w14:textId="1DE8A063" w:rsidR="00A86552" w:rsidRPr="00616069" w:rsidRDefault="00A86552" w:rsidP="00095055">
                    <w:pPr>
                      <w:spacing w:line="276" w:lineRule="auto"/>
                      <w:jc w:val="right"/>
                      <w:rPr>
                        <w:rFonts w:ascii="Calibri" w:hAnsi="Calibri" w:cs="Calibri"/>
                        <w:b/>
                        <w:color w:val="FF0000"/>
                        <w:sz w:val="40"/>
                        <w:szCs w:val="4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744C66" w:rsidRPr="00616069"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197D896D" wp14:editId="7A6FB449">
          <wp:simplePos x="0" y="0"/>
          <wp:positionH relativeFrom="column">
            <wp:posOffset>-52705</wp:posOffset>
          </wp:positionH>
          <wp:positionV relativeFrom="paragraph">
            <wp:posOffset>29845</wp:posOffset>
          </wp:positionV>
          <wp:extent cx="2209800" cy="778510"/>
          <wp:effectExtent l="0" t="0" r="0" b="2540"/>
          <wp:wrapNone/>
          <wp:docPr id="957982425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D4720" w:rsidRPr="00616069">
      <w:rPr>
        <w:noProof/>
        <w:lang w:eastAsia="en-GB"/>
      </w:rPr>
      <w:drawing>
        <wp:anchor distT="0" distB="0" distL="114300" distR="114300" simplePos="0" relativeHeight="251664384" behindDoc="1" locked="0" layoutInCell="1" allowOverlap="1" wp14:anchorId="2A1D7AA9" wp14:editId="7A7B0A01">
          <wp:simplePos x="0" y="0"/>
          <wp:positionH relativeFrom="column">
            <wp:posOffset>3985895</wp:posOffset>
          </wp:positionH>
          <wp:positionV relativeFrom="paragraph">
            <wp:posOffset>-8255</wp:posOffset>
          </wp:positionV>
          <wp:extent cx="2943225" cy="243840"/>
          <wp:effectExtent l="0" t="0" r="9525" b="3810"/>
          <wp:wrapNone/>
          <wp:docPr id="79357122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named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4992" r="61096" b="2729"/>
                  <a:stretch/>
                </pic:blipFill>
                <pic:spPr bwMode="auto">
                  <a:xfrm>
                    <a:off x="0" y="0"/>
                    <a:ext cx="2943225" cy="2438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4720" w:rsidRPr="00616069">
      <w:rPr>
        <w:rFonts w:cs="Arial"/>
        <w:noProof/>
        <w:lang w:eastAsia="en-GB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126DE097" wp14:editId="755E40ED">
              <wp:simplePos x="0" y="0"/>
              <wp:positionH relativeFrom="margin">
                <wp:posOffset>5238115</wp:posOffset>
              </wp:positionH>
              <wp:positionV relativeFrom="paragraph">
                <wp:posOffset>153035</wp:posOffset>
              </wp:positionV>
              <wp:extent cx="1239520" cy="1404620"/>
              <wp:effectExtent l="0" t="0" r="0" b="0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952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DE40D2" w14:textId="6B669858" w:rsidR="002D4720" w:rsidRPr="00616069" w:rsidRDefault="002D4720" w:rsidP="000B7D19">
                          <w:pPr>
                            <w:spacing w:line="276" w:lineRule="auto"/>
                            <w:jc w:val="center"/>
                            <w:rPr>
                              <w:rFonts w:ascii="Calibri" w:hAnsi="Calibri" w:cs="Calibri"/>
                              <w:b/>
                              <w:color w:val="13576B"/>
                              <w:sz w:val="20"/>
                              <w:szCs w:val="22"/>
                            </w:rPr>
                          </w:pPr>
                        </w:p>
                        <w:p w14:paraId="0A69756F" w14:textId="701DF7A3" w:rsidR="002D4720" w:rsidRPr="00616069" w:rsidRDefault="007F41A0" w:rsidP="002138C0">
                          <w:pPr>
                            <w:spacing w:line="276" w:lineRule="auto"/>
                            <w:jc w:val="right"/>
                            <w:rPr>
                              <w:rFonts w:ascii="Calibri" w:hAnsi="Calibri" w:cs="Calibri"/>
                              <w:b/>
                              <w:color w:val="13576B"/>
                              <w:sz w:val="20"/>
                              <w:szCs w:val="22"/>
                            </w:rPr>
                          </w:pPr>
                          <w:r w:rsidRPr="00616069">
                            <w:rPr>
                              <w:rFonts w:ascii="Calibri" w:hAnsi="Calibri" w:cs="Calibri"/>
                              <w:color w:val="13576B"/>
                              <w:sz w:val="20"/>
                              <w:szCs w:val="22"/>
                            </w:rPr>
                            <w:t xml:space="preserve">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26DE097" id="_x0000_s1029" type="#_x0000_t202" style="position:absolute;left:0;text-align:left;margin-left:412.45pt;margin-top:12.05pt;width:97.6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" filled="f" stroked="f">
              <v:textbox style="mso-fit-shape-to-text:t">
                <w:txbxContent>
                  <w:p w14:paraId="15DE40D2" w14:textId="6B669858" w:rsidR="002D4720" w:rsidRPr="00616069" w:rsidRDefault="002D4720" w:rsidP="000B7D19">
                    <w:pPr>
                      <w:spacing w:line="276" w:lineRule="auto"/>
                      <w:jc w:val="center"/>
                      <w:rPr>
                        <w:rFonts w:ascii="Calibri" w:hAnsi="Calibri" w:cs="Calibri"/>
                        <w:b/>
                        <w:color w:val="13576B"/>
                        <w:sz w:val="20"/>
                        <w:szCs w:val="22"/>
                      </w:rPr>
                    </w:pPr>
                  </w:p>
                  <w:p w14:paraId="0A69756F" w14:textId="701DF7A3" w:rsidR="002D4720" w:rsidRPr="00616069" w:rsidRDefault="007F41A0" w:rsidP="002138C0">
                    <w:pPr>
                      <w:spacing w:line="276" w:lineRule="auto"/>
                      <w:jc w:val="right"/>
                      <w:rPr>
                        <w:rFonts w:ascii="Calibri" w:hAnsi="Calibri" w:cs="Calibri"/>
                        <w:b/>
                        <w:color w:val="13576B"/>
                        <w:sz w:val="20"/>
                        <w:szCs w:val="22"/>
                      </w:rPr>
                    </w:pPr>
                    <w:r w:rsidRPr="00616069">
                      <w:rPr>
                        <w:rFonts w:ascii="Calibri" w:hAnsi="Calibri" w:cs="Calibri"/>
                        <w:color w:val="13576B"/>
                        <w:sz w:val="20"/>
                        <w:szCs w:val="22"/>
                      </w:rPr>
                      <w:t xml:space="preserve">        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69A1"/>
    <w:multiLevelType w:val="hybridMultilevel"/>
    <w:tmpl w:val="28EA1BD4"/>
    <w:lvl w:ilvl="0" w:tplc="F8600A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54B5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304C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A221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1CD5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3A2E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1254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7E40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E09F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13A48A1"/>
    <w:multiLevelType w:val="hybridMultilevel"/>
    <w:tmpl w:val="6E121294"/>
    <w:lvl w:ilvl="0" w:tplc="BEC0709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843AD"/>
    <w:multiLevelType w:val="hybridMultilevel"/>
    <w:tmpl w:val="EB828C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15A72"/>
    <w:multiLevelType w:val="hybridMultilevel"/>
    <w:tmpl w:val="4222A8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B1D76"/>
    <w:multiLevelType w:val="hybridMultilevel"/>
    <w:tmpl w:val="6D527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72C3C"/>
    <w:multiLevelType w:val="hybridMultilevel"/>
    <w:tmpl w:val="163C6E86"/>
    <w:lvl w:ilvl="0" w:tplc="040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1206309C"/>
    <w:multiLevelType w:val="hybridMultilevel"/>
    <w:tmpl w:val="855E01C6"/>
    <w:lvl w:ilvl="0" w:tplc="9F3AF1EC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92919"/>
    <w:multiLevelType w:val="hybridMultilevel"/>
    <w:tmpl w:val="2B56FAFE"/>
    <w:lvl w:ilvl="0" w:tplc="698817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A4083"/>
    <w:multiLevelType w:val="hybridMultilevel"/>
    <w:tmpl w:val="3C5846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42FC1"/>
    <w:multiLevelType w:val="hybridMultilevel"/>
    <w:tmpl w:val="C296AEE6"/>
    <w:lvl w:ilvl="0" w:tplc="B25606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FA4577"/>
    <w:multiLevelType w:val="hybridMultilevel"/>
    <w:tmpl w:val="553EAC9E"/>
    <w:lvl w:ilvl="0" w:tplc="8B20C2B0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3343A30"/>
    <w:multiLevelType w:val="hybridMultilevel"/>
    <w:tmpl w:val="26BEA028"/>
    <w:lvl w:ilvl="0" w:tplc="886E46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4078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82BD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4E0B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82AF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02FB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CE20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245F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A85D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ABB14DD"/>
    <w:multiLevelType w:val="hybridMultilevel"/>
    <w:tmpl w:val="17628C18"/>
    <w:lvl w:ilvl="0" w:tplc="E50CA2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9C6437B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CCB6EF0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89EEF10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42ECDBE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A6A64D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785E48A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15F0E15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D38AD36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3" w15:restartNumberingAfterBreak="0">
    <w:nsid w:val="2C5A2A51"/>
    <w:multiLevelType w:val="hybridMultilevel"/>
    <w:tmpl w:val="633C88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647CE5"/>
    <w:multiLevelType w:val="hybridMultilevel"/>
    <w:tmpl w:val="F91C69CC"/>
    <w:lvl w:ilvl="0" w:tplc="AA8891D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B2B28"/>
    <w:multiLevelType w:val="hybridMultilevel"/>
    <w:tmpl w:val="A77CBF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170A7D"/>
    <w:multiLevelType w:val="hybridMultilevel"/>
    <w:tmpl w:val="E76A6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1A024A"/>
    <w:multiLevelType w:val="hybridMultilevel"/>
    <w:tmpl w:val="123AA014"/>
    <w:lvl w:ilvl="0" w:tplc="A1E66C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3A39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120F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847E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C0A5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F887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8863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545B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FEB4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D8A7633"/>
    <w:multiLevelType w:val="hybridMultilevel"/>
    <w:tmpl w:val="A68019BE"/>
    <w:lvl w:ilvl="0" w:tplc="D6BA4E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7C91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5E82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66A9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2238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7666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CED4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B482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F0AF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09105EB"/>
    <w:multiLevelType w:val="hybridMultilevel"/>
    <w:tmpl w:val="25882682"/>
    <w:lvl w:ilvl="0" w:tplc="E586E02A">
      <w:start w:val="1"/>
      <w:numFmt w:val="decimal"/>
      <w:lvlText w:val="%1."/>
      <w:lvlJc w:val="left"/>
      <w:pPr>
        <w:ind w:left="410" w:hanging="360"/>
      </w:pPr>
    </w:lvl>
    <w:lvl w:ilvl="1" w:tplc="08090019">
      <w:start w:val="1"/>
      <w:numFmt w:val="lowerLetter"/>
      <w:lvlText w:val="%2."/>
      <w:lvlJc w:val="left"/>
      <w:pPr>
        <w:ind w:left="1130" w:hanging="360"/>
      </w:pPr>
    </w:lvl>
    <w:lvl w:ilvl="2" w:tplc="0809001B">
      <w:start w:val="1"/>
      <w:numFmt w:val="lowerRoman"/>
      <w:lvlText w:val="%3."/>
      <w:lvlJc w:val="right"/>
      <w:pPr>
        <w:ind w:left="1850" w:hanging="180"/>
      </w:pPr>
    </w:lvl>
    <w:lvl w:ilvl="3" w:tplc="0809000F">
      <w:start w:val="1"/>
      <w:numFmt w:val="decimal"/>
      <w:lvlText w:val="%4."/>
      <w:lvlJc w:val="left"/>
      <w:pPr>
        <w:ind w:left="2570" w:hanging="360"/>
      </w:pPr>
    </w:lvl>
    <w:lvl w:ilvl="4" w:tplc="08090019">
      <w:start w:val="1"/>
      <w:numFmt w:val="lowerLetter"/>
      <w:lvlText w:val="%5."/>
      <w:lvlJc w:val="left"/>
      <w:pPr>
        <w:ind w:left="3290" w:hanging="360"/>
      </w:pPr>
    </w:lvl>
    <w:lvl w:ilvl="5" w:tplc="0809001B">
      <w:start w:val="1"/>
      <w:numFmt w:val="lowerRoman"/>
      <w:lvlText w:val="%6."/>
      <w:lvlJc w:val="right"/>
      <w:pPr>
        <w:ind w:left="4010" w:hanging="180"/>
      </w:pPr>
    </w:lvl>
    <w:lvl w:ilvl="6" w:tplc="0809000F">
      <w:start w:val="1"/>
      <w:numFmt w:val="decimal"/>
      <w:lvlText w:val="%7."/>
      <w:lvlJc w:val="left"/>
      <w:pPr>
        <w:ind w:left="4730" w:hanging="360"/>
      </w:pPr>
    </w:lvl>
    <w:lvl w:ilvl="7" w:tplc="08090019">
      <w:start w:val="1"/>
      <w:numFmt w:val="lowerLetter"/>
      <w:lvlText w:val="%8."/>
      <w:lvlJc w:val="left"/>
      <w:pPr>
        <w:ind w:left="5450" w:hanging="360"/>
      </w:pPr>
    </w:lvl>
    <w:lvl w:ilvl="8" w:tplc="0809001B">
      <w:start w:val="1"/>
      <w:numFmt w:val="lowerRoman"/>
      <w:lvlText w:val="%9."/>
      <w:lvlJc w:val="right"/>
      <w:pPr>
        <w:ind w:left="6170" w:hanging="180"/>
      </w:pPr>
    </w:lvl>
  </w:abstractNum>
  <w:abstractNum w:abstractNumId="20" w15:restartNumberingAfterBreak="0">
    <w:nsid w:val="606843DC"/>
    <w:multiLevelType w:val="hybridMultilevel"/>
    <w:tmpl w:val="3E42DD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E1214D"/>
    <w:multiLevelType w:val="hybridMultilevel"/>
    <w:tmpl w:val="9F34024E"/>
    <w:lvl w:ilvl="0" w:tplc="ADB0AA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B290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848D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7AB6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8623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1EBA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9A9B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AC96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8235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7613CD2"/>
    <w:multiLevelType w:val="hybridMultilevel"/>
    <w:tmpl w:val="0CF0BB3A"/>
    <w:lvl w:ilvl="0" w:tplc="150827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66CD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590C2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EABB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3CC3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2058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AE11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FCFD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1EA8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65577F"/>
    <w:multiLevelType w:val="hybridMultilevel"/>
    <w:tmpl w:val="BBB23B48"/>
    <w:lvl w:ilvl="0" w:tplc="AC68AD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5AC0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687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2084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46B4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EA0F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860D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8628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74DC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68FD055A"/>
    <w:multiLevelType w:val="hybridMultilevel"/>
    <w:tmpl w:val="F490C338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6EA509EA"/>
    <w:multiLevelType w:val="hybridMultilevel"/>
    <w:tmpl w:val="14E0161E"/>
    <w:lvl w:ilvl="0" w:tplc="9F3AF1EC">
      <w:numFmt w:val="bullet"/>
      <w:lvlText w:val="-"/>
      <w:lvlJc w:val="left"/>
      <w:pPr>
        <w:ind w:left="360" w:hanging="360"/>
      </w:pPr>
      <w:rPr>
        <w:rFonts w:ascii="Calibri Light" w:eastAsia="Times New Roman" w:hAnsi="Calibri Light" w:cs="Calibri Light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F137D7D"/>
    <w:multiLevelType w:val="hybridMultilevel"/>
    <w:tmpl w:val="F856C146"/>
    <w:lvl w:ilvl="0" w:tplc="F37A31C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0DE4F03"/>
    <w:multiLevelType w:val="hybridMultilevel"/>
    <w:tmpl w:val="D458DCC2"/>
    <w:lvl w:ilvl="0" w:tplc="ABAA372A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5767A3"/>
    <w:multiLevelType w:val="hybridMultilevel"/>
    <w:tmpl w:val="50648AEA"/>
    <w:lvl w:ilvl="0" w:tplc="A25066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5E90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4C93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BC9A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C8C3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2496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FACD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AE4B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F2D8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79FB636A"/>
    <w:multiLevelType w:val="hybridMultilevel"/>
    <w:tmpl w:val="4454BAA0"/>
    <w:lvl w:ilvl="0" w:tplc="3A1A42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92F1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446C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4AC4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124D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42272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648C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126DD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C16C1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7C2B4724"/>
    <w:multiLevelType w:val="hybridMultilevel"/>
    <w:tmpl w:val="A274A7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65382314">
    <w:abstractNumId w:val="3"/>
  </w:num>
  <w:num w:numId="2" w16cid:durableId="1910113698">
    <w:abstractNumId w:val="9"/>
  </w:num>
  <w:num w:numId="3" w16cid:durableId="405613309">
    <w:abstractNumId w:val="26"/>
  </w:num>
  <w:num w:numId="4" w16cid:durableId="240213499">
    <w:abstractNumId w:val="15"/>
  </w:num>
  <w:num w:numId="5" w16cid:durableId="740492638">
    <w:abstractNumId w:val="5"/>
  </w:num>
  <w:num w:numId="6" w16cid:durableId="211576891">
    <w:abstractNumId w:val="24"/>
  </w:num>
  <w:num w:numId="7" w16cid:durableId="1918248069">
    <w:abstractNumId w:val="7"/>
  </w:num>
  <w:num w:numId="8" w16cid:durableId="1159419045">
    <w:abstractNumId w:val="29"/>
  </w:num>
  <w:num w:numId="9" w16cid:durableId="1798374138">
    <w:abstractNumId w:val="6"/>
  </w:num>
  <w:num w:numId="10" w16cid:durableId="1530677457">
    <w:abstractNumId w:val="25"/>
  </w:num>
  <w:num w:numId="11" w16cid:durableId="984315201">
    <w:abstractNumId w:val="2"/>
  </w:num>
  <w:num w:numId="12" w16cid:durableId="7762198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551030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69389165">
    <w:abstractNumId w:val="16"/>
  </w:num>
  <w:num w:numId="15" w16cid:durableId="1323195451">
    <w:abstractNumId w:val="13"/>
  </w:num>
  <w:num w:numId="16" w16cid:durableId="467165265">
    <w:abstractNumId w:val="10"/>
  </w:num>
  <w:num w:numId="17" w16cid:durableId="676033370">
    <w:abstractNumId w:val="12"/>
  </w:num>
  <w:num w:numId="18" w16cid:durableId="1742554342">
    <w:abstractNumId w:val="18"/>
  </w:num>
  <w:num w:numId="19" w16cid:durableId="613287013">
    <w:abstractNumId w:val="21"/>
  </w:num>
  <w:num w:numId="20" w16cid:durableId="8067070">
    <w:abstractNumId w:val="11"/>
  </w:num>
  <w:num w:numId="21" w16cid:durableId="825434180">
    <w:abstractNumId w:val="0"/>
  </w:num>
  <w:num w:numId="22" w16cid:durableId="1082681076">
    <w:abstractNumId w:val="23"/>
  </w:num>
  <w:num w:numId="23" w16cid:durableId="1901165520">
    <w:abstractNumId w:val="28"/>
  </w:num>
  <w:num w:numId="24" w16cid:durableId="1991010767">
    <w:abstractNumId w:val="22"/>
  </w:num>
  <w:num w:numId="25" w16cid:durableId="1542282676">
    <w:abstractNumId w:val="17"/>
  </w:num>
  <w:num w:numId="26" w16cid:durableId="986973659">
    <w:abstractNumId w:val="14"/>
  </w:num>
  <w:num w:numId="27" w16cid:durableId="815336034">
    <w:abstractNumId w:val="27"/>
  </w:num>
  <w:num w:numId="28" w16cid:durableId="1895651473">
    <w:abstractNumId w:val="8"/>
  </w:num>
  <w:num w:numId="29" w16cid:durableId="1858687908">
    <w:abstractNumId w:val="4"/>
  </w:num>
  <w:num w:numId="30" w16cid:durableId="1758164458">
    <w:abstractNumId w:val="20"/>
  </w:num>
  <w:num w:numId="31" w16cid:durableId="1425541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943"/>
    <w:rsid w:val="00000954"/>
    <w:rsid w:val="00001C42"/>
    <w:rsid w:val="00001E72"/>
    <w:rsid w:val="0000226C"/>
    <w:rsid w:val="0000363D"/>
    <w:rsid w:val="00004596"/>
    <w:rsid w:val="00004B72"/>
    <w:rsid w:val="00005419"/>
    <w:rsid w:val="000054D2"/>
    <w:rsid w:val="00005B3F"/>
    <w:rsid w:val="00005DB1"/>
    <w:rsid w:val="00006511"/>
    <w:rsid w:val="00006C79"/>
    <w:rsid w:val="000070E2"/>
    <w:rsid w:val="00010564"/>
    <w:rsid w:val="000118C2"/>
    <w:rsid w:val="00011AF5"/>
    <w:rsid w:val="0001227F"/>
    <w:rsid w:val="00012832"/>
    <w:rsid w:val="00013D8A"/>
    <w:rsid w:val="00015933"/>
    <w:rsid w:val="000159E5"/>
    <w:rsid w:val="0001656C"/>
    <w:rsid w:val="000175B3"/>
    <w:rsid w:val="000176E6"/>
    <w:rsid w:val="000202BA"/>
    <w:rsid w:val="00020581"/>
    <w:rsid w:val="00020ED0"/>
    <w:rsid w:val="00020FE5"/>
    <w:rsid w:val="000213CC"/>
    <w:rsid w:val="000221E0"/>
    <w:rsid w:val="00023E9F"/>
    <w:rsid w:val="00024480"/>
    <w:rsid w:val="0002473E"/>
    <w:rsid w:val="00025805"/>
    <w:rsid w:val="000264B4"/>
    <w:rsid w:val="000265A3"/>
    <w:rsid w:val="00027099"/>
    <w:rsid w:val="00027B22"/>
    <w:rsid w:val="00027BAD"/>
    <w:rsid w:val="00031418"/>
    <w:rsid w:val="00031478"/>
    <w:rsid w:val="00035040"/>
    <w:rsid w:val="00036FAB"/>
    <w:rsid w:val="00037707"/>
    <w:rsid w:val="00037C17"/>
    <w:rsid w:val="00040FA4"/>
    <w:rsid w:val="00041985"/>
    <w:rsid w:val="000427B8"/>
    <w:rsid w:val="00043889"/>
    <w:rsid w:val="00043DB1"/>
    <w:rsid w:val="00044002"/>
    <w:rsid w:val="000444EA"/>
    <w:rsid w:val="000447C5"/>
    <w:rsid w:val="000458CD"/>
    <w:rsid w:val="0004612A"/>
    <w:rsid w:val="00047DF1"/>
    <w:rsid w:val="000509DD"/>
    <w:rsid w:val="00050AF7"/>
    <w:rsid w:val="00051022"/>
    <w:rsid w:val="00051A5B"/>
    <w:rsid w:val="00052C6A"/>
    <w:rsid w:val="00053780"/>
    <w:rsid w:val="00053EE4"/>
    <w:rsid w:val="00055000"/>
    <w:rsid w:val="000559DE"/>
    <w:rsid w:val="00055CBC"/>
    <w:rsid w:val="000563EB"/>
    <w:rsid w:val="00056A4F"/>
    <w:rsid w:val="00057396"/>
    <w:rsid w:val="000606C6"/>
    <w:rsid w:val="00060D7F"/>
    <w:rsid w:val="00063DEB"/>
    <w:rsid w:val="00066F52"/>
    <w:rsid w:val="0006711A"/>
    <w:rsid w:val="00072447"/>
    <w:rsid w:val="00072DB9"/>
    <w:rsid w:val="00072DE6"/>
    <w:rsid w:val="000733AD"/>
    <w:rsid w:val="0007445A"/>
    <w:rsid w:val="0007456F"/>
    <w:rsid w:val="00074C45"/>
    <w:rsid w:val="000752D6"/>
    <w:rsid w:val="00075932"/>
    <w:rsid w:val="0007638A"/>
    <w:rsid w:val="00076C37"/>
    <w:rsid w:val="000770D8"/>
    <w:rsid w:val="00077237"/>
    <w:rsid w:val="00080102"/>
    <w:rsid w:val="00081E35"/>
    <w:rsid w:val="0008300C"/>
    <w:rsid w:val="00083D1A"/>
    <w:rsid w:val="000841C2"/>
    <w:rsid w:val="000842AE"/>
    <w:rsid w:val="00084CF9"/>
    <w:rsid w:val="00086094"/>
    <w:rsid w:val="000861A9"/>
    <w:rsid w:val="00086BE0"/>
    <w:rsid w:val="0008743D"/>
    <w:rsid w:val="000900C9"/>
    <w:rsid w:val="0009101B"/>
    <w:rsid w:val="00091B3B"/>
    <w:rsid w:val="00093324"/>
    <w:rsid w:val="0009491E"/>
    <w:rsid w:val="00095055"/>
    <w:rsid w:val="0009562F"/>
    <w:rsid w:val="00097293"/>
    <w:rsid w:val="000976B9"/>
    <w:rsid w:val="00097716"/>
    <w:rsid w:val="00097B42"/>
    <w:rsid w:val="000A019A"/>
    <w:rsid w:val="000A0285"/>
    <w:rsid w:val="000A0ECE"/>
    <w:rsid w:val="000A16EA"/>
    <w:rsid w:val="000A2779"/>
    <w:rsid w:val="000A29DE"/>
    <w:rsid w:val="000A2C3B"/>
    <w:rsid w:val="000A3ECF"/>
    <w:rsid w:val="000A4D59"/>
    <w:rsid w:val="000A5220"/>
    <w:rsid w:val="000A549A"/>
    <w:rsid w:val="000A6481"/>
    <w:rsid w:val="000A664C"/>
    <w:rsid w:val="000B064D"/>
    <w:rsid w:val="000B083D"/>
    <w:rsid w:val="000B0992"/>
    <w:rsid w:val="000B2005"/>
    <w:rsid w:val="000B32E2"/>
    <w:rsid w:val="000B3BFA"/>
    <w:rsid w:val="000B4C8F"/>
    <w:rsid w:val="000B510F"/>
    <w:rsid w:val="000B51A4"/>
    <w:rsid w:val="000B70C8"/>
    <w:rsid w:val="000B79A4"/>
    <w:rsid w:val="000B7D19"/>
    <w:rsid w:val="000C045B"/>
    <w:rsid w:val="000C11CC"/>
    <w:rsid w:val="000C12D3"/>
    <w:rsid w:val="000C12F1"/>
    <w:rsid w:val="000C1E4E"/>
    <w:rsid w:val="000C234E"/>
    <w:rsid w:val="000C3211"/>
    <w:rsid w:val="000C4910"/>
    <w:rsid w:val="000C502F"/>
    <w:rsid w:val="000C5651"/>
    <w:rsid w:val="000C6349"/>
    <w:rsid w:val="000C6834"/>
    <w:rsid w:val="000C78A3"/>
    <w:rsid w:val="000D011A"/>
    <w:rsid w:val="000D02A4"/>
    <w:rsid w:val="000D06FE"/>
    <w:rsid w:val="000D0E54"/>
    <w:rsid w:val="000D1749"/>
    <w:rsid w:val="000D1D61"/>
    <w:rsid w:val="000D2F41"/>
    <w:rsid w:val="000D32BB"/>
    <w:rsid w:val="000D49D0"/>
    <w:rsid w:val="000D4A3C"/>
    <w:rsid w:val="000D4F26"/>
    <w:rsid w:val="000D56F1"/>
    <w:rsid w:val="000D5D2B"/>
    <w:rsid w:val="000D684D"/>
    <w:rsid w:val="000D6EF9"/>
    <w:rsid w:val="000D7F45"/>
    <w:rsid w:val="000E087A"/>
    <w:rsid w:val="000E0B50"/>
    <w:rsid w:val="000E0C43"/>
    <w:rsid w:val="000E1975"/>
    <w:rsid w:val="000E2B4E"/>
    <w:rsid w:val="000E2FCE"/>
    <w:rsid w:val="000E3B1C"/>
    <w:rsid w:val="000E42A4"/>
    <w:rsid w:val="000E4810"/>
    <w:rsid w:val="000E4ABC"/>
    <w:rsid w:val="000E55F2"/>
    <w:rsid w:val="000E563F"/>
    <w:rsid w:val="000E59CE"/>
    <w:rsid w:val="000E5F43"/>
    <w:rsid w:val="000E7D75"/>
    <w:rsid w:val="000F02C1"/>
    <w:rsid w:val="000F02FD"/>
    <w:rsid w:val="000F0342"/>
    <w:rsid w:val="000F0636"/>
    <w:rsid w:val="000F0A03"/>
    <w:rsid w:val="000F0B04"/>
    <w:rsid w:val="000F30E9"/>
    <w:rsid w:val="000F3195"/>
    <w:rsid w:val="000F426C"/>
    <w:rsid w:val="000F4318"/>
    <w:rsid w:val="000F617D"/>
    <w:rsid w:val="000F61F5"/>
    <w:rsid w:val="000F680C"/>
    <w:rsid w:val="000F6C58"/>
    <w:rsid w:val="000F70CA"/>
    <w:rsid w:val="00100269"/>
    <w:rsid w:val="001002CD"/>
    <w:rsid w:val="00100394"/>
    <w:rsid w:val="00100FC3"/>
    <w:rsid w:val="0010159F"/>
    <w:rsid w:val="00102262"/>
    <w:rsid w:val="0010268F"/>
    <w:rsid w:val="0010277A"/>
    <w:rsid w:val="00102D9A"/>
    <w:rsid w:val="00103662"/>
    <w:rsid w:val="0010371D"/>
    <w:rsid w:val="00105514"/>
    <w:rsid w:val="00105918"/>
    <w:rsid w:val="00105ACC"/>
    <w:rsid w:val="00105BE4"/>
    <w:rsid w:val="00105DB5"/>
    <w:rsid w:val="00106451"/>
    <w:rsid w:val="00106D78"/>
    <w:rsid w:val="00106F70"/>
    <w:rsid w:val="00107915"/>
    <w:rsid w:val="001102C6"/>
    <w:rsid w:val="001104C5"/>
    <w:rsid w:val="001106DD"/>
    <w:rsid w:val="00110C31"/>
    <w:rsid w:val="00110E3B"/>
    <w:rsid w:val="0011113B"/>
    <w:rsid w:val="001126B2"/>
    <w:rsid w:val="00112AA1"/>
    <w:rsid w:val="00112C5A"/>
    <w:rsid w:val="00112D3E"/>
    <w:rsid w:val="00112E70"/>
    <w:rsid w:val="0011443F"/>
    <w:rsid w:val="0011553C"/>
    <w:rsid w:val="00115D53"/>
    <w:rsid w:val="00115DDC"/>
    <w:rsid w:val="00116003"/>
    <w:rsid w:val="00116F4B"/>
    <w:rsid w:val="001177C9"/>
    <w:rsid w:val="00117860"/>
    <w:rsid w:val="001209DC"/>
    <w:rsid w:val="00120FB7"/>
    <w:rsid w:val="001226BC"/>
    <w:rsid w:val="00122810"/>
    <w:rsid w:val="00122CC4"/>
    <w:rsid w:val="0012351B"/>
    <w:rsid w:val="00123FF9"/>
    <w:rsid w:val="00124EF9"/>
    <w:rsid w:val="001253CC"/>
    <w:rsid w:val="001259D2"/>
    <w:rsid w:val="00126A7F"/>
    <w:rsid w:val="001271C2"/>
    <w:rsid w:val="00130063"/>
    <w:rsid w:val="00130359"/>
    <w:rsid w:val="001306A2"/>
    <w:rsid w:val="00131D36"/>
    <w:rsid w:val="00131E24"/>
    <w:rsid w:val="00131E94"/>
    <w:rsid w:val="00132159"/>
    <w:rsid w:val="00132EE9"/>
    <w:rsid w:val="0013407D"/>
    <w:rsid w:val="00134227"/>
    <w:rsid w:val="001348D9"/>
    <w:rsid w:val="00134A41"/>
    <w:rsid w:val="00134F6E"/>
    <w:rsid w:val="001361CA"/>
    <w:rsid w:val="00136519"/>
    <w:rsid w:val="0013679D"/>
    <w:rsid w:val="00136825"/>
    <w:rsid w:val="00136D3A"/>
    <w:rsid w:val="00136EC9"/>
    <w:rsid w:val="00136FC5"/>
    <w:rsid w:val="00136FC7"/>
    <w:rsid w:val="00137050"/>
    <w:rsid w:val="0013716D"/>
    <w:rsid w:val="00137560"/>
    <w:rsid w:val="00137659"/>
    <w:rsid w:val="00137FC3"/>
    <w:rsid w:val="00140854"/>
    <w:rsid w:val="00140E10"/>
    <w:rsid w:val="00142116"/>
    <w:rsid w:val="001438F4"/>
    <w:rsid w:val="00143BF5"/>
    <w:rsid w:val="00143DCC"/>
    <w:rsid w:val="00144794"/>
    <w:rsid w:val="00144D53"/>
    <w:rsid w:val="00144D9A"/>
    <w:rsid w:val="00145506"/>
    <w:rsid w:val="001457AA"/>
    <w:rsid w:val="00145E7A"/>
    <w:rsid w:val="00146F46"/>
    <w:rsid w:val="00150AA5"/>
    <w:rsid w:val="0015125A"/>
    <w:rsid w:val="00151A74"/>
    <w:rsid w:val="001526EE"/>
    <w:rsid w:val="0015278B"/>
    <w:rsid w:val="0015295E"/>
    <w:rsid w:val="00152A73"/>
    <w:rsid w:val="001534F6"/>
    <w:rsid w:val="00153692"/>
    <w:rsid w:val="00154B70"/>
    <w:rsid w:val="00154EE2"/>
    <w:rsid w:val="001553F8"/>
    <w:rsid w:val="00155A3F"/>
    <w:rsid w:val="00157080"/>
    <w:rsid w:val="001570E1"/>
    <w:rsid w:val="00157C6A"/>
    <w:rsid w:val="00157F91"/>
    <w:rsid w:val="001605B3"/>
    <w:rsid w:val="001622C2"/>
    <w:rsid w:val="00162D23"/>
    <w:rsid w:val="001633ED"/>
    <w:rsid w:val="00163F5F"/>
    <w:rsid w:val="00165DDC"/>
    <w:rsid w:val="0016769F"/>
    <w:rsid w:val="00170298"/>
    <w:rsid w:val="00170CF6"/>
    <w:rsid w:val="001715A2"/>
    <w:rsid w:val="0017388B"/>
    <w:rsid w:val="00173D31"/>
    <w:rsid w:val="0017441E"/>
    <w:rsid w:val="0017486D"/>
    <w:rsid w:val="00175839"/>
    <w:rsid w:val="00175A85"/>
    <w:rsid w:val="00175E6C"/>
    <w:rsid w:val="00175FBC"/>
    <w:rsid w:val="00176669"/>
    <w:rsid w:val="001766FF"/>
    <w:rsid w:val="00176C20"/>
    <w:rsid w:val="00176DFC"/>
    <w:rsid w:val="00177598"/>
    <w:rsid w:val="00180856"/>
    <w:rsid w:val="001808FE"/>
    <w:rsid w:val="0018097B"/>
    <w:rsid w:val="00180A13"/>
    <w:rsid w:val="00182C97"/>
    <w:rsid w:val="00183066"/>
    <w:rsid w:val="001833C7"/>
    <w:rsid w:val="00183FB4"/>
    <w:rsid w:val="00184412"/>
    <w:rsid w:val="0018579C"/>
    <w:rsid w:val="00186A72"/>
    <w:rsid w:val="001871A7"/>
    <w:rsid w:val="001903B2"/>
    <w:rsid w:val="001906F3"/>
    <w:rsid w:val="00192933"/>
    <w:rsid w:val="001929FC"/>
    <w:rsid w:val="00195C6D"/>
    <w:rsid w:val="001961C5"/>
    <w:rsid w:val="00196F95"/>
    <w:rsid w:val="00197315"/>
    <w:rsid w:val="0019772B"/>
    <w:rsid w:val="001A05A9"/>
    <w:rsid w:val="001A0C9F"/>
    <w:rsid w:val="001A2614"/>
    <w:rsid w:val="001A2623"/>
    <w:rsid w:val="001A463E"/>
    <w:rsid w:val="001A46CC"/>
    <w:rsid w:val="001A6304"/>
    <w:rsid w:val="001B1060"/>
    <w:rsid w:val="001B11F1"/>
    <w:rsid w:val="001B1467"/>
    <w:rsid w:val="001B19BD"/>
    <w:rsid w:val="001B1C5E"/>
    <w:rsid w:val="001B2B23"/>
    <w:rsid w:val="001B2E5E"/>
    <w:rsid w:val="001B3197"/>
    <w:rsid w:val="001B39D3"/>
    <w:rsid w:val="001B4DA8"/>
    <w:rsid w:val="001B59D5"/>
    <w:rsid w:val="001B59D9"/>
    <w:rsid w:val="001B5F14"/>
    <w:rsid w:val="001B6935"/>
    <w:rsid w:val="001B7154"/>
    <w:rsid w:val="001B76C3"/>
    <w:rsid w:val="001C091C"/>
    <w:rsid w:val="001C121C"/>
    <w:rsid w:val="001C150C"/>
    <w:rsid w:val="001C1FAA"/>
    <w:rsid w:val="001C2261"/>
    <w:rsid w:val="001C266E"/>
    <w:rsid w:val="001C280D"/>
    <w:rsid w:val="001C306A"/>
    <w:rsid w:val="001C49DC"/>
    <w:rsid w:val="001C6945"/>
    <w:rsid w:val="001C698F"/>
    <w:rsid w:val="001C7200"/>
    <w:rsid w:val="001C7CD3"/>
    <w:rsid w:val="001C7F88"/>
    <w:rsid w:val="001D12D6"/>
    <w:rsid w:val="001D169B"/>
    <w:rsid w:val="001D1B1C"/>
    <w:rsid w:val="001D2B76"/>
    <w:rsid w:val="001D2C14"/>
    <w:rsid w:val="001D2ECE"/>
    <w:rsid w:val="001D3292"/>
    <w:rsid w:val="001D39E5"/>
    <w:rsid w:val="001D3C90"/>
    <w:rsid w:val="001D43DB"/>
    <w:rsid w:val="001D474C"/>
    <w:rsid w:val="001D4A3B"/>
    <w:rsid w:val="001D5BB9"/>
    <w:rsid w:val="001D6B1A"/>
    <w:rsid w:val="001D7365"/>
    <w:rsid w:val="001D7DA5"/>
    <w:rsid w:val="001E15FD"/>
    <w:rsid w:val="001E1AED"/>
    <w:rsid w:val="001E27B8"/>
    <w:rsid w:val="001E31AB"/>
    <w:rsid w:val="001E3706"/>
    <w:rsid w:val="001E3B01"/>
    <w:rsid w:val="001E4032"/>
    <w:rsid w:val="001E432A"/>
    <w:rsid w:val="001E4370"/>
    <w:rsid w:val="001E4D27"/>
    <w:rsid w:val="001E5169"/>
    <w:rsid w:val="001E5571"/>
    <w:rsid w:val="001E60C5"/>
    <w:rsid w:val="001E66E9"/>
    <w:rsid w:val="001E6F5D"/>
    <w:rsid w:val="001E71FE"/>
    <w:rsid w:val="001F0819"/>
    <w:rsid w:val="001F1677"/>
    <w:rsid w:val="001F1C52"/>
    <w:rsid w:val="001F2A1F"/>
    <w:rsid w:val="001F3DF4"/>
    <w:rsid w:val="001F49EA"/>
    <w:rsid w:val="001F5CF7"/>
    <w:rsid w:val="001F64C3"/>
    <w:rsid w:val="001F6A78"/>
    <w:rsid w:val="001F6E8A"/>
    <w:rsid w:val="001F72D8"/>
    <w:rsid w:val="001F7B28"/>
    <w:rsid w:val="002010C8"/>
    <w:rsid w:val="0020111C"/>
    <w:rsid w:val="0020121A"/>
    <w:rsid w:val="00201DDA"/>
    <w:rsid w:val="002027D4"/>
    <w:rsid w:val="0020296D"/>
    <w:rsid w:val="00203021"/>
    <w:rsid w:val="00203302"/>
    <w:rsid w:val="00203A7B"/>
    <w:rsid w:val="00203F87"/>
    <w:rsid w:val="002045A5"/>
    <w:rsid w:val="00204637"/>
    <w:rsid w:val="0020488B"/>
    <w:rsid w:val="00204F09"/>
    <w:rsid w:val="0020667A"/>
    <w:rsid w:val="0020698C"/>
    <w:rsid w:val="00206F7E"/>
    <w:rsid w:val="00207AE7"/>
    <w:rsid w:val="00207BE5"/>
    <w:rsid w:val="00207CB1"/>
    <w:rsid w:val="002105A2"/>
    <w:rsid w:val="00210A9C"/>
    <w:rsid w:val="00211E6F"/>
    <w:rsid w:val="002128AF"/>
    <w:rsid w:val="00212996"/>
    <w:rsid w:val="002137B0"/>
    <w:rsid w:val="002138C0"/>
    <w:rsid w:val="002150BF"/>
    <w:rsid w:val="0021537B"/>
    <w:rsid w:val="00215481"/>
    <w:rsid w:val="00215E8D"/>
    <w:rsid w:val="00216187"/>
    <w:rsid w:val="00216A54"/>
    <w:rsid w:val="00217881"/>
    <w:rsid w:val="0022075B"/>
    <w:rsid w:val="00221F77"/>
    <w:rsid w:val="00221FF5"/>
    <w:rsid w:val="002226C1"/>
    <w:rsid w:val="00222917"/>
    <w:rsid w:val="00222DB9"/>
    <w:rsid w:val="002244BA"/>
    <w:rsid w:val="00224E2B"/>
    <w:rsid w:val="0022581B"/>
    <w:rsid w:val="00225F51"/>
    <w:rsid w:val="0022648E"/>
    <w:rsid w:val="002268A9"/>
    <w:rsid w:val="00226AB8"/>
    <w:rsid w:val="00226F32"/>
    <w:rsid w:val="00227ACD"/>
    <w:rsid w:val="00227C82"/>
    <w:rsid w:val="002307C1"/>
    <w:rsid w:val="0023165F"/>
    <w:rsid w:val="00231F3A"/>
    <w:rsid w:val="002328F4"/>
    <w:rsid w:val="0023390F"/>
    <w:rsid w:val="0023393E"/>
    <w:rsid w:val="0023493E"/>
    <w:rsid w:val="00235942"/>
    <w:rsid w:val="00236538"/>
    <w:rsid w:val="0023703D"/>
    <w:rsid w:val="002375B2"/>
    <w:rsid w:val="00237A71"/>
    <w:rsid w:val="00237E0B"/>
    <w:rsid w:val="00242D73"/>
    <w:rsid w:val="002443DF"/>
    <w:rsid w:val="002446E1"/>
    <w:rsid w:val="00244923"/>
    <w:rsid w:val="002472A6"/>
    <w:rsid w:val="00247512"/>
    <w:rsid w:val="00247A4D"/>
    <w:rsid w:val="00250212"/>
    <w:rsid w:val="002507F2"/>
    <w:rsid w:val="00250C73"/>
    <w:rsid w:val="00251163"/>
    <w:rsid w:val="00251393"/>
    <w:rsid w:val="0025241A"/>
    <w:rsid w:val="0025305E"/>
    <w:rsid w:val="00253D09"/>
    <w:rsid w:val="00254CA2"/>
    <w:rsid w:val="002556C2"/>
    <w:rsid w:val="00256268"/>
    <w:rsid w:val="002567A3"/>
    <w:rsid w:val="0025756A"/>
    <w:rsid w:val="00260219"/>
    <w:rsid w:val="00260B2C"/>
    <w:rsid w:val="00260E9F"/>
    <w:rsid w:val="0026106F"/>
    <w:rsid w:val="0026210C"/>
    <w:rsid w:val="0026268C"/>
    <w:rsid w:val="00262B7F"/>
    <w:rsid w:val="00263207"/>
    <w:rsid w:val="00264741"/>
    <w:rsid w:val="00264C92"/>
    <w:rsid w:val="00265F3C"/>
    <w:rsid w:val="0026639E"/>
    <w:rsid w:val="00266980"/>
    <w:rsid w:val="00266ACC"/>
    <w:rsid w:val="00267ACA"/>
    <w:rsid w:val="002707C5"/>
    <w:rsid w:val="00270A4E"/>
    <w:rsid w:val="00270E60"/>
    <w:rsid w:val="00270F52"/>
    <w:rsid w:val="00271563"/>
    <w:rsid w:val="00271569"/>
    <w:rsid w:val="00272177"/>
    <w:rsid w:val="002725DA"/>
    <w:rsid w:val="00274645"/>
    <w:rsid w:val="00274844"/>
    <w:rsid w:val="002748F6"/>
    <w:rsid w:val="00274D15"/>
    <w:rsid w:val="00275209"/>
    <w:rsid w:val="00277397"/>
    <w:rsid w:val="00277D90"/>
    <w:rsid w:val="0028055F"/>
    <w:rsid w:val="002808DB"/>
    <w:rsid w:val="00280AB4"/>
    <w:rsid w:val="00280D31"/>
    <w:rsid w:val="00280F92"/>
    <w:rsid w:val="002817B5"/>
    <w:rsid w:val="00282256"/>
    <w:rsid w:val="00282BE6"/>
    <w:rsid w:val="00283681"/>
    <w:rsid w:val="00284721"/>
    <w:rsid w:val="0028530F"/>
    <w:rsid w:val="002853A9"/>
    <w:rsid w:val="00285A75"/>
    <w:rsid w:val="00287580"/>
    <w:rsid w:val="00290498"/>
    <w:rsid w:val="0029071C"/>
    <w:rsid w:val="00291656"/>
    <w:rsid w:val="0029179B"/>
    <w:rsid w:val="00291BE8"/>
    <w:rsid w:val="00293122"/>
    <w:rsid w:val="00293873"/>
    <w:rsid w:val="0029502E"/>
    <w:rsid w:val="00295F01"/>
    <w:rsid w:val="00296021"/>
    <w:rsid w:val="0029774E"/>
    <w:rsid w:val="00297B85"/>
    <w:rsid w:val="002A0002"/>
    <w:rsid w:val="002A02A1"/>
    <w:rsid w:val="002A04EB"/>
    <w:rsid w:val="002A07F7"/>
    <w:rsid w:val="002A1748"/>
    <w:rsid w:val="002A23FA"/>
    <w:rsid w:val="002A266C"/>
    <w:rsid w:val="002A2CE3"/>
    <w:rsid w:val="002A31A1"/>
    <w:rsid w:val="002A3CF3"/>
    <w:rsid w:val="002A3F7E"/>
    <w:rsid w:val="002A4191"/>
    <w:rsid w:val="002A5D11"/>
    <w:rsid w:val="002A6290"/>
    <w:rsid w:val="002A6A60"/>
    <w:rsid w:val="002B1743"/>
    <w:rsid w:val="002B1996"/>
    <w:rsid w:val="002B35B7"/>
    <w:rsid w:val="002B3AB2"/>
    <w:rsid w:val="002B4617"/>
    <w:rsid w:val="002B4641"/>
    <w:rsid w:val="002B5069"/>
    <w:rsid w:val="002B52C8"/>
    <w:rsid w:val="002B58A5"/>
    <w:rsid w:val="002B724C"/>
    <w:rsid w:val="002C02A9"/>
    <w:rsid w:val="002C0719"/>
    <w:rsid w:val="002C179D"/>
    <w:rsid w:val="002C18CD"/>
    <w:rsid w:val="002C2C2B"/>
    <w:rsid w:val="002C30D4"/>
    <w:rsid w:val="002C47FE"/>
    <w:rsid w:val="002C513E"/>
    <w:rsid w:val="002C5B51"/>
    <w:rsid w:val="002D1376"/>
    <w:rsid w:val="002D238E"/>
    <w:rsid w:val="002D2A30"/>
    <w:rsid w:val="002D2DC7"/>
    <w:rsid w:val="002D3F94"/>
    <w:rsid w:val="002D4720"/>
    <w:rsid w:val="002D49FB"/>
    <w:rsid w:val="002D4A25"/>
    <w:rsid w:val="002D4DF8"/>
    <w:rsid w:val="002D6038"/>
    <w:rsid w:val="002D7231"/>
    <w:rsid w:val="002E0041"/>
    <w:rsid w:val="002E1390"/>
    <w:rsid w:val="002E1AEB"/>
    <w:rsid w:val="002E1DBF"/>
    <w:rsid w:val="002E2498"/>
    <w:rsid w:val="002E3105"/>
    <w:rsid w:val="002E320D"/>
    <w:rsid w:val="002E3E1D"/>
    <w:rsid w:val="002E4CA1"/>
    <w:rsid w:val="002E4EFD"/>
    <w:rsid w:val="002E5E57"/>
    <w:rsid w:val="002E6192"/>
    <w:rsid w:val="002E6312"/>
    <w:rsid w:val="002E6C7C"/>
    <w:rsid w:val="002F0118"/>
    <w:rsid w:val="002F0F08"/>
    <w:rsid w:val="002F1752"/>
    <w:rsid w:val="002F1AFD"/>
    <w:rsid w:val="002F20C7"/>
    <w:rsid w:val="002F2F90"/>
    <w:rsid w:val="002F2FAA"/>
    <w:rsid w:val="002F416F"/>
    <w:rsid w:val="002F4373"/>
    <w:rsid w:val="002F43DE"/>
    <w:rsid w:val="002F477C"/>
    <w:rsid w:val="002F4A74"/>
    <w:rsid w:val="002F4CBD"/>
    <w:rsid w:val="002F4CDA"/>
    <w:rsid w:val="002F506A"/>
    <w:rsid w:val="002F52DA"/>
    <w:rsid w:val="002F557F"/>
    <w:rsid w:val="002F58FE"/>
    <w:rsid w:val="002F6432"/>
    <w:rsid w:val="002F6A6D"/>
    <w:rsid w:val="003008A7"/>
    <w:rsid w:val="003012B9"/>
    <w:rsid w:val="0030161E"/>
    <w:rsid w:val="00301915"/>
    <w:rsid w:val="003028DC"/>
    <w:rsid w:val="003029D1"/>
    <w:rsid w:val="0030348A"/>
    <w:rsid w:val="00303B0E"/>
    <w:rsid w:val="003045DD"/>
    <w:rsid w:val="00304727"/>
    <w:rsid w:val="0030613B"/>
    <w:rsid w:val="00306844"/>
    <w:rsid w:val="003077DD"/>
    <w:rsid w:val="003111F3"/>
    <w:rsid w:val="00311B21"/>
    <w:rsid w:val="003131EC"/>
    <w:rsid w:val="003134AE"/>
    <w:rsid w:val="00313DD8"/>
    <w:rsid w:val="003142AD"/>
    <w:rsid w:val="003143A4"/>
    <w:rsid w:val="00314AB6"/>
    <w:rsid w:val="00314CF6"/>
    <w:rsid w:val="0031592A"/>
    <w:rsid w:val="00315F32"/>
    <w:rsid w:val="003160C2"/>
    <w:rsid w:val="00316BAA"/>
    <w:rsid w:val="00317242"/>
    <w:rsid w:val="00320236"/>
    <w:rsid w:val="00320811"/>
    <w:rsid w:val="00322BF9"/>
    <w:rsid w:val="00324743"/>
    <w:rsid w:val="00324769"/>
    <w:rsid w:val="00324B27"/>
    <w:rsid w:val="003253AF"/>
    <w:rsid w:val="003258C4"/>
    <w:rsid w:val="00327407"/>
    <w:rsid w:val="00327CB6"/>
    <w:rsid w:val="00330A92"/>
    <w:rsid w:val="003315E9"/>
    <w:rsid w:val="003320D5"/>
    <w:rsid w:val="0033298A"/>
    <w:rsid w:val="00333B31"/>
    <w:rsid w:val="00334257"/>
    <w:rsid w:val="0033440C"/>
    <w:rsid w:val="00335341"/>
    <w:rsid w:val="00335B88"/>
    <w:rsid w:val="00336279"/>
    <w:rsid w:val="00336412"/>
    <w:rsid w:val="00336CA6"/>
    <w:rsid w:val="00337157"/>
    <w:rsid w:val="003373BE"/>
    <w:rsid w:val="00340F22"/>
    <w:rsid w:val="003411DB"/>
    <w:rsid w:val="003417B4"/>
    <w:rsid w:val="00341D86"/>
    <w:rsid w:val="003423A7"/>
    <w:rsid w:val="003426EE"/>
    <w:rsid w:val="0034310E"/>
    <w:rsid w:val="00344213"/>
    <w:rsid w:val="003444F4"/>
    <w:rsid w:val="00344B88"/>
    <w:rsid w:val="00344EBB"/>
    <w:rsid w:val="00345842"/>
    <w:rsid w:val="0034612F"/>
    <w:rsid w:val="00346684"/>
    <w:rsid w:val="003472AF"/>
    <w:rsid w:val="00347FD9"/>
    <w:rsid w:val="003508FE"/>
    <w:rsid w:val="00351369"/>
    <w:rsid w:val="0035167B"/>
    <w:rsid w:val="003522BD"/>
    <w:rsid w:val="00352D4E"/>
    <w:rsid w:val="003543D2"/>
    <w:rsid w:val="0035493D"/>
    <w:rsid w:val="00356528"/>
    <w:rsid w:val="00356A6D"/>
    <w:rsid w:val="00356C7A"/>
    <w:rsid w:val="00356FF7"/>
    <w:rsid w:val="0035718C"/>
    <w:rsid w:val="003600A2"/>
    <w:rsid w:val="003608A1"/>
    <w:rsid w:val="003608FD"/>
    <w:rsid w:val="0036420C"/>
    <w:rsid w:val="00364A11"/>
    <w:rsid w:val="00365187"/>
    <w:rsid w:val="00366057"/>
    <w:rsid w:val="00366A68"/>
    <w:rsid w:val="003677E2"/>
    <w:rsid w:val="0037051F"/>
    <w:rsid w:val="003707E0"/>
    <w:rsid w:val="00370F35"/>
    <w:rsid w:val="003725F0"/>
    <w:rsid w:val="003732C7"/>
    <w:rsid w:val="0037346E"/>
    <w:rsid w:val="003739F0"/>
    <w:rsid w:val="00373FC2"/>
    <w:rsid w:val="003742A8"/>
    <w:rsid w:val="003749A5"/>
    <w:rsid w:val="00375CF8"/>
    <w:rsid w:val="00376918"/>
    <w:rsid w:val="00376F07"/>
    <w:rsid w:val="003775A3"/>
    <w:rsid w:val="00380502"/>
    <w:rsid w:val="00380788"/>
    <w:rsid w:val="003809CD"/>
    <w:rsid w:val="00381524"/>
    <w:rsid w:val="00381FAF"/>
    <w:rsid w:val="00383D10"/>
    <w:rsid w:val="00384170"/>
    <w:rsid w:val="003847A3"/>
    <w:rsid w:val="00385683"/>
    <w:rsid w:val="00386E7F"/>
    <w:rsid w:val="00387749"/>
    <w:rsid w:val="00387CB8"/>
    <w:rsid w:val="0039010C"/>
    <w:rsid w:val="00390C7F"/>
    <w:rsid w:val="00390E5C"/>
    <w:rsid w:val="00391AED"/>
    <w:rsid w:val="00391C4B"/>
    <w:rsid w:val="00391FA6"/>
    <w:rsid w:val="00393046"/>
    <w:rsid w:val="00394F6F"/>
    <w:rsid w:val="00395026"/>
    <w:rsid w:val="003952ED"/>
    <w:rsid w:val="00395549"/>
    <w:rsid w:val="00395F29"/>
    <w:rsid w:val="00396610"/>
    <w:rsid w:val="00396DEC"/>
    <w:rsid w:val="00396F9D"/>
    <w:rsid w:val="00397430"/>
    <w:rsid w:val="003A0443"/>
    <w:rsid w:val="003A0F5E"/>
    <w:rsid w:val="003A1E08"/>
    <w:rsid w:val="003A1F79"/>
    <w:rsid w:val="003A39B8"/>
    <w:rsid w:val="003A424B"/>
    <w:rsid w:val="003A46D3"/>
    <w:rsid w:val="003A542D"/>
    <w:rsid w:val="003A5636"/>
    <w:rsid w:val="003A5765"/>
    <w:rsid w:val="003A623D"/>
    <w:rsid w:val="003A68A3"/>
    <w:rsid w:val="003A76ED"/>
    <w:rsid w:val="003B0281"/>
    <w:rsid w:val="003B0433"/>
    <w:rsid w:val="003B04C1"/>
    <w:rsid w:val="003B2C84"/>
    <w:rsid w:val="003B4E23"/>
    <w:rsid w:val="003B4F01"/>
    <w:rsid w:val="003B505C"/>
    <w:rsid w:val="003B519E"/>
    <w:rsid w:val="003B5E6F"/>
    <w:rsid w:val="003B7AE1"/>
    <w:rsid w:val="003C0B1B"/>
    <w:rsid w:val="003C1195"/>
    <w:rsid w:val="003C12B6"/>
    <w:rsid w:val="003C185F"/>
    <w:rsid w:val="003C2D27"/>
    <w:rsid w:val="003C3451"/>
    <w:rsid w:val="003C373E"/>
    <w:rsid w:val="003C392F"/>
    <w:rsid w:val="003C3D7F"/>
    <w:rsid w:val="003C41DD"/>
    <w:rsid w:val="003C4DE7"/>
    <w:rsid w:val="003C5F2E"/>
    <w:rsid w:val="003C6326"/>
    <w:rsid w:val="003C6710"/>
    <w:rsid w:val="003C6D87"/>
    <w:rsid w:val="003C7600"/>
    <w:rsid w:val="003D079C"/>
    <w:rsid w:val="003D0D7D"/>
    <w:rsid w:val="003D107E"/>
    <w:rsid w:val="003D164F"/>
    <w:rsid w:val="003D18F0"/>
    <w:rsid w:val="003D224C"/>
    <w:rsid w:val="003D2390"/>
    <w:rsid w:val="003D2EFA"/>
    <w:rsid w:val="003D3759"/>
    <w:rsid w:val="003D45D4"/>
    <w:rsid w:val="003D472E"/>
    <w:rsid w:val="003D57E2"/>
    <w:rsid w:val="003D613B"/>
    <w:rsid w:val="003D684B"/>
    <w:rsid w:val="003D749F"/>
    <w:rsid w:val="003D7D9E"/>
    <w:rsid w:val="003E0FC6"/>
    <w:rsid w:val="003E14DF"/>
    <w:rsid w:val="003E1AAB"/>
    <w:rsid w:val="003E1F42"/>
    <w:rsid w:val="003E3584"/>
    <w:rsid w:val="003E382B"/>
    <w:rsid w:val="003E393C"/>
    <w:rsid w:val="003E3ACA"/>
    <w:rsid w:val="003E3DCB"/>
    <w:rsid w:val="003E4312"/>
    <w:rsid w:val="003E434F"/>
    <w:rsid w:val="003E4820"/>
    <w:rsid w:val="003E48FA"/>
    <w:rsid w:val="003E4ADE"/>
    <w:rsid w:val="003E5891"/>
    <w:rsid w:val="003E6245"/>
    <w:rsid w:val="003E7ED0"/>
    <w:rsid w:val="003F021E"/>
    <w:rsid w:val="003F03DF"/>
    <w:rsid w:val="003F1189"/>
    <w:rsid w:val="003F12BC"/>
    <w:rsid w:val="003F12D5"/>
    <w:rsid w:val="003F159E"/>
    <w:rsid w:val="003F1CB9"/>
    <w:rsid w:val="003F2050"/>
    <w:rsid w:val="003F37CA"/>
    <w:rsid w:val="003F3922"/>
    <w:rsid w:val="003F45B7"/>
    <w:rsid w:val="003F470D"/>
    <w:rsid w:val="003F512D"/>
    <w:rsid w:val="003F56AD"/>
    <w:rsid w:val="003F6A8D"/>
    <w:rsid w:val="003F6E69"/>
    <w:rsid w:val="003F7F31"/>
    <w:rsid w:val="004009B6"/>
    <w:rsid w:val="00400E23"/>
    <w:rsid w:val="004015AF"/>
    <w:rsid w:val="00401CD3"/>
    <w:rsid w:val="00401F79"/>
    <w:rsid w:val="00402778"/>
    <w:rsid w:val="00402D75"/>
    <w:rsid w:val="00402E19"/>
    <w:rsid w:val="00402FA1"/>
    <w:rsid w:val="00403744"/>
    <w:rsid w:val="0040474A"/>
    <w:rsid w:val="00404E84"/>
    <w:rsid w:val="00405D7E"/>
    <w:rsid w:val="00406F40"/>
    <w:rsid w:val="0040774B"/>
    <w:rsid w:val="00407FB6"/>
    <w:rsid w:val="00410561"/>
    <w:rsid w:val="004120D6"/>
    <w:rsid w:val="00412186"/>
    <w:rsid w:val="00412763"/>
    <w:rsid w:val="00412A2D"/>
    <w:rsid w:val="00413258"/>
    <w:rsid w:val="0041355F"/>
    <w:rsid w:val="00414181"/>
    <w:rsid w:val="0041427D"/>
    <w:rsid w:val="00414AD4"/>
    <w:rsid w:val="0041521E"/>
    <w:rsid w:val="004164DD"/>
    <w:rsid w:val="00416763"/>
    <w:rsid w:val="0041745A"/>
    <w:rsid w:val="0041772D"/>
    <w:rsid w:val="004179B3"/>
    <w:rsid w:val="004207D5"/>
    <w:rsid w:val="00420E6E"/>
    <w:rsid w:val="004226ED"/>
    <w:rsid w:val="00422B81"/>
    <w:rsid w:val="00422E44"/>
    <w:rsid w:val="004231FB"/>
    <w:rsid w:val="00423374"/>
    <w:rsid w:val="00423E0D"/>
    <w:rsid w:val="004257BB"/>
    <w:rsid w:val="00425883"/>
    <w:rsid w:val="00425A84"/>
    <w:rsid w:val="00425B3B"/>
    <w:rsid w:val="0042602B"/>
    <w:rsid w:val="004279BD"/>
    <w:rsid w:val="00430F3C"/>
    <w:rsid w:val="004325D3"/>
    <w:rsid w:val="004332EC"/>
    <w:rsid w:val="00435176"/>
    <w:rsid w:val="00436085"/>
    <w:rsid w:val="00436F5C"/>
    <w:rsid w:val="004371EE"/>
    <w:rsid w:val="00437589"/>
    <w:rsid w:val="0043780A"/>
    <w:rsid w:val="00440896"/>
    <w:rsid w:val="00440A53"/>
    <w:rsid w:val="00441C0D"/>
    <w:rsid w:val="00442170"/>
    <w:rsid w:val="0044352D"/>
    <w:rsid w:val="004444EE"/>
    <w:rsid w:val="004445E7"/>
    <w:rsid w:val="0044491F"/>
    <w:rsid w:val="00444BDA"/>
    <w:rsid w:val="00445609"/>
    <w:rsid w:val="004464CF"/>
    <w:rsid w:val="00446AAD"/>
    <w:rsid w:val="004476C2"/>
    <w:rsid w:val="00451368"/>
    <w:rsid w:val="004522D4"/>
    <w:rsid w:val="00452B0E"/>
    <w:rsid w:val="00453473"/>
    <w:rsid w:val="004555E6"/>
    <w:rsid w:val="00456A9B"/>
    <w:rsid w:val="00460772"/>
    <w:rsid w:val="00461E79"/>
    <w:rsid w:val="00462717"/>
    <w:rsid w:val="00463003"/>
    <w:rsid w:val="004635CE"/>
    <w:rsid w:val="004641CC"/>
    <w:rsid w:val="0046433E"/>
    <w:rsid w:val="00464E64"/>
    <w:rsid w:val="00465403"/>
    <w:rsid w:val="00465526"/>
    <w:rsid w:val="0046651A"/>
    <w:rsid w:val="004674AA"/>
    <w:rsid w:val="004714FB"/>
    <w:rsid w:val="004718BD"/>
    <w:rsid w:val="00471B86"/>
    <w:rsid w:val="00471D6F"/>
    <w:rsid w:val="00472210"/>
    <w:rsid w:val="00473C52"/>
    <w:rsid w:val="00473FF2"/>
    <w:rsid w:val="00474524"/>
    <w:rsid w:val="00475D5E"/>
    <w:rsid w:val="00475F13"/>
    <w:rsid w:val="0047661B"/>
    <w:rsid w:val="00476A2A"/>
    <w:rsid w:val="00477094"/>
    <w:rsid w:val="0047757F"/>
    <w:rsid w:val="00477AF5"/>
    <w:rsid w:val="00477CEB"/>
    <w:rsid w:val="004803D6"/>
    <w:rsid w:val="00480B75"/>
    <w:rsid w:val="004828F3"/>
    <w:rsid w:val="00483136"/>
    <w:rsid w:val="0048354D"/>
    <w:rsid w:val="00483FA6"/>
    <w:rsid w:val="0048489E"/>
    <w:rsid w:val="004852E3"/>
    <w:rsid w:val="00485ADC"/>
    <w:rsid w:val="00486858"/>
    <w:rsid w:val="00486BC4"/>
    <w:rsid w:val="00486C1D"/>
    <w:rsid w:val="004904F6"/>
    <w:rsid w:val="00490505"/>
    <w:rsid w:val="004908DB"/>
    <w:rsid w:val="00490E04"/>
    <w:rsid w:val="00490E1A"/>
    <w:rsid w:val="00491DB6"/>
    <w:rsid w:val="00492636"/>
    <w:rsid w:val="004934D9"/>
    <w:rsid w:val="004935C1"/>
    <w:rsid w:val="00493A20"/>
    <w:rsid w:val="00493C14"/>
    <w:rsid w:val="004951FE"/>
    <w:rsid w:val="00495C6A"/>
    <w:rsid w:val="004969D8"/>
    <w:rsid w:val="00496A0D"/>
    <w:rsid w:val="0049704E"/>
    <w:rsid w:val="004975FD"/>
    <w:rsid w:val="004979BF"/>
    <w:rsid w:val="004A1724"/>
    <w:rsid w:val="004A2349"/>
    <w:rsid w:val="004A31A7"/>
    <w:rsid w:val="004A435C"/>
    <w:rsid w:val="004A44DB"/>
    <w:rsid w:val="004A4D8B"/>
    <w:rsid w:val="004A4E6A"/>
    <w:rsid w:val="004A53BB"/>
    <w:rsid w:val="004A5428"/>
    <w:rsid w:val="004A5819"/>
    <w:rsid w:val="004A5C0E"/>
    <w:rsid w:val="004A5D84"/>
    <w:rsid w:val="004A6CE0"/>
    <w:rsid w:val="004A724B"/>
    <w:rsid w:val="004A74F4"/>
    <w:rsid w:val="004B1175"/>
    <w:rsid w:val="004B1442"/>
    <w:rsid w:val="004B1766"/>
    <w:rsid w:val="004B19DD"/>
    <w:rsid w:val="004B2E1A"/>
    <w:rsid w:val="004B3889"/>
    <w:rsid w:val="004B3E0D"/>
    <w:rsid w:val="004B3F04"/>
    <w:rsid w:val="004B441B"/>
    <w:rsid w:val="004B4571"/>
    <w:rsid w:val="004B4DE5"/>
    <w:rsid w:val="004B51F9"/>
    <w:rsid w:val="004B564F"/>
    <w:rsid w:val="004B61C3"/>
    <w:rsid w:val="004B6A7C"/>
    <w:rsid w:val="004B7ECE"/>
    <w:rsid w:val="004C04EA"/>
    <w:rsid w:val="004C0763"/>
    <w:rsid w:val="004C0A56"/>
    <w:rsid w:val="004C0AC1"/>
    <w:rsid w:val="004C10E7"/>
    <w:rsid w:val="004C23FB"/>
    <w:rsid w:val="004C3997"/>
    <w:rsid w:val="004C423D"/>
    <w:rsid w:val="004C4605"/>
    <w:rsid w:val="004C4C1F"/>
    <w:rsid w:val="004C50BF"/>
    <w:rsid w:val="004C53CB"/>
    <w:rsid w:val="004C593C"/>
    <w:rsid w:val="004C629B"/>
    <w:rsid w:val="004C693B"/>
    <w:rsid w:val="004C751A"/>
    <w:rsid w:val="004C7E8B"/>
    <w:rsid w:val="004D0B15"/>
    <w:rsid w:val="004D0EBA"/>
    <w:rsid w:val="004D114D"/>
    <w:rsid w:val="004D14D3"/>
    <w:rsid w:val="004D18AC"/>
    <w:rsid w:val="004D23AD"/>
    <w:rsid w:val="004D3347"/>
    <w:rsid w:val="004D3E58"/>
    <w:rsid w:val="004D4156"/>
    <w:rsid w:val="004D4333"/>
    <w:rsid w:val="004D63AD"/>
    <w:rsid w:val="004D6531"/>
    <w:rsid w:val="004D6F30"/>
    <w:rsid w:val="004E011D"/>
    <w:rsid w:val="004E0D15"/>
    <w:rsid w:val="004E1AC6"/>
    <w:rsid w:val="004E2434"/>
    <w:rsid w:val="004E26E2"/>
    <w:rsid w:val="004E3070"/>
    <w:rsid w:val="004E32FB"/>
    <w:rsid w:val="004E3F0C"/>
    <w:rsid w:val="004E4849"/>
    <w:rsid w:val="004E4B5B"/>
    <w:rsid w:val="004E5779"/>
    <w:rsid w:val="004E5E51"/>
    <w:rsid w:val="004E642B"/>
    <w:rsid w:val="004E668A"/>
    <w:rsid w:val="004E7E07"/>
    <w:rsid w:val="004F22A3"/>
    <w:rsid w:val="004F32E1"/>
    <w:rsid w:val="004F34F2"/>
    <w:rsid w:val="004F3D9B"/>
    <w:rsid w:val="004F4632"/>
    <w:rsid w:val="004F46CE"/>
    <w:rsid w:val="004F46D6"/>
    <w:rsid w:val="004F5C1C"/>
    <w:rsid w:val="004F62FF"/>
    <w:rsid w:val="004F69E2"/>
    <w:rsid w:val="004F6CFB"/>
    <w:rsid w:val="004F6EA8"/>
    <w:rsid w:val="004F70A7"/>
    <w:rsid w:val="005019FE"/>
    <w:rsid w:val="00502072"/>
    <w:rsid w:val="005027C2"/>
    <w:rsid w:val="00502C28"/>
    <w:rsid w:val="00503D06"/>
    <w:rsid w:val="00504229"/>
    <w:rsid w:val="00504370"/>
    <w:rsid w:val="00505434"/>
    <w:rsid w:val="00506126"/>
    <w:rsid w:val="005063FD"/>
    <w:rsid w:val="0050674F"/>
    <w:rsid w:val="005069C2"/>
    <w:rsid w:val="005070EC"/>
    <w:rsid w:val="00507747"/>
    <w:rsid w:val="00510452"/>
    <w:rsid w:val="00510AD7"/>
    <w:rsid w:val="00510EB1"/>
    <w:rsid w:val="00510ECF"/>
    <w:rsid w:val="0051164C"/>
    <w:rsid w:val="00512176"/>
    <w:rsid w:val="005122E9"/>
    <w:rsid w:val="005137DB"/>
    <w:rsid w:val="005142AC"/>
    <w:rsid w:val="0051437A"/>
    <w:rsid w:val="0051449F"/>
    <w:rsid w:val="00514960"/>
    <w:rsid w:val="0051508B"/>
    <w:rsid w:val="0051570C"/>
    <w:rsid w:val="00515A05"/>
    <w:rsid w:val="00515ECA"/>
    <w:rsid w:val="00516007"/>
    <w:rsid w:val="00517111"/>
    <w:rsid w:val="005203B7"/>
    <w:rsid w:val="005208BD"/>
    <w:rsid w:val="0052161C"/>
    <w:rsid w:val="00521FF6"/>
    <w:rsid w:val="0052347F"/>
    <w:rsid w:val="00527260"/>
    <w:rsid w:val="00527681"/>
    <w:rsid w:val="0052771A"/>
    <w:rsid w:val="00527FC5"/>
    <w:rsid w:val="00530245"/>
    <w:rsid w:val="00530967"/>
    <w:rsid w:val="00530DE6"/>
    <w:rsid w:val="00531FAE"/>
    <w:rsid w:val="00532041"/>
    <w:rsid w:val="005343BA"/>
    <w:rsid w:val="0053589B"/>
    <w:rsid w:val="00535CDB"/>
    <w:rsid w:val="00535E49"/>
    <w:rsid w:val="0053659F"/>
    <w:rsid w:val="00537D18"/>
    <w:rsid w:val="00537D95"/>
    <w:rsid w:val="005417AF"/>
    <w:rsid w:val="00541D7D"/>
    <w:rsid w:val="00543780"/>
    <w:rsid w:val="005442D1"/>
    <w:rsid w:val="005448A4"/>
    <w:rsid w:val="00544E51"/>
    <w:rsid w:val="005450EB"/>
    <w:rsid w:val="0054574A"/>
    <w:rsid w:val="00545AC2"/>
    <w:rsid w:val="00546646"/>
    <w:rsid w:val="0054665C"/>
    <w:rsid w:val="005467C6"/>
    <w:rsid w:val="00547A43"/>
    <w:rsid w:val="00550C47"/>
    <w:rsid w:val="00552694"/>
    <w:rsid w:val="00552D45"/>
    <w:rsid w:val="0055337B"/>
    <w:rsid w:val="0055377C"/>
    <w:rsid w:val="00553860"/>
    <w:rsid w:val="005541F4"/>
    <w:rsid w:val="005545FE"/>
    <w:rsid w:val="00554717"/>
    <w:rsid w:val="00554741"/>
    <w:rsid w:val="00554FF2"/>
    <w:rsid w:val="00555261"/>
    <w:rsid w:val="00555BED"/>
    <w:rsid w:val="00555C70"/>
    <w:rsid w:val="0055674E"/>
    <w:rsid w:val="00556DE6"/>
    <w:rsid w:val="005574AF"/>
    <w:rsid w:val="0055785D"/>
    <w:rsid w:val="005578C6"/>
    <w:rsid w:val="00557A53"/>
    <w:rsid w:val="0056090E"/>
    <w:rsid w:val="005613B3"/>
    <w:rsid w:val="00561ED7"/>
    <w:rsid w:val="00562166"/>
    <w:rsid w:val="0056253E"/>
    <w:rsid w:val="00562995"/>
    <w:rsid w:val="00563855"/>
    <w:rsid w:val="005642DD"/>
    <w:rsid w:val="00564453"/>
    <w:rsid w:val="00566025"/>
    <w:rsid w:val="0056611F"/>
    <w:rsid w:val="005666D7"/>
    <w:rsid w:val="0056769C"/>
    <w:rsid w:val="005676A0"/>
    <w:rsid w:val="00567ADA"/>
    <w:rsid w:val="005718D7"/>
    <w:rsid w:val="00571AFD"/>
    <w:rsid w:val="00571BEE"/>
    <w:rsid w:val="00571C08"/>
    <w:rsid w:val="00571C69"/>
    <w:rsid w:val="00572232"/>
    <w:rsid w:val="005722E9"/>
    <w:rsid w:val="00572D52"/>
    <w:rsid w:val="00573D34"/>
    <w:rsid w:val="00573F62"/>
    <w:rsid w:val="00574588"/>
    <w:rsid w:val="00574592"/>
    <w:rsid w:val="00574619"/>
    <w:rsid w:val="005746F6"/>
    <w:rsid w:val="00574E26"/>
    <w:rsid w:val="00575D36"/>
    <w:rsid w:val="005761EE"/>
    <w:rsid w:val="00576C13"/>
    <w:rsid w:val="00576CB6"/>
    <w:rsid w:val="00576CF4"/>
    <w:rsid w:val="00577164"/>
    <w:rsid w:val="00577D9F"/>
    <w:rsid w:val="00580391"/>
    <w:rsid w:val="0058086E"/>
    <w:rsid w:val="005818DE"/>
    <w:rsid w:val="00581AC8"/>
    <w:rsid w:val="00581CC1"/>
    <w:rsid w:val="00582221"/>
    <w:rsid w:val="00584718"/>
    <w:rsid w:val="005849B1"/>
    <w:rsid w:val="00584D4C"/>
    <w:rsid w:val="005861DC"/>
    <w:rsid w:val="0058622F"/>
    <w:rsid w:val="00586418"/>
    <w:rsid w:val="00586686"/>
    <w:rsid w:val="00587350"/>
    <w:rsid w:val="005874B8"/>
    <w:rsid w:val="00587BA9"/>
    <w:rsid w:val="0059007C"/>
    <w:rsid w:val="00590699"/>
    <w:rsid w:val="00591A31"/>
    <w:rsid w:val="00591E29"/>
    <w:rsid w:val="00592318"/>
    <w:rsid w:val="00594C44"/>
    <w:rsid w:val="0059556C"/>
    <w:rsid w:val="00596B76"/>
    <w:rsid w:val="00597DD9"/>
    <w:rsid w:val="005A0ACF"/>
    <w:rsid w:val="005A0C34"/>
    <w:rsid w:val="005A2501"/>
    <w:rsid w:val="005A292F"/>
    <w:rsid w:val="005A2FF8"/>
    <w:rsid w:val="005A34B6"/>
    <w:rsid w:val="005A390E"/>
    <w:rsid w:val="005A3E34"/>
    <w:rsid w:val="005A44FF"/>
    <w:rsid w:val="005A4638"/>
    <w:rsid w:val="005A4BD9"/>
    <w:rsid w:val="005A4D8E"/>
    <w:rsid w:val="005A51C6"/>
    <w:rsid w:val="005A576D"/>
    <w:rsid w:val="005A5BAB"/>
    <w:rsid w:val="005A5CB3"/>
    <w:rsid w:val="005A6604"/>
    <w:rsid w:val="005A78DE"/>
    <w:rsid w:val="005A7E09"/>
    <w:rsid w:val="005B08A6"/>
    <w:rsid w:val="005B0F22"/>
    <w:rsid w:val="005B0F27"/>
    <w:rsid w:val="005B1A31"/>
    <w:rsid w:val="005B1B6C"/>
    <w:rsid w:val="005B2B4F"/>
    <w:rsid w:val="005B2CB5"/>
    <w:rsid w:val="005B2CDC"/>
    <w:rsid w:val="005B3025"/>
    <w:rsid w:val="005B3439"/>
    <w:rsid w:val="005B4653"/>
    <w:rsid w:val="005B4E45"/>
    <w:rsid w:val="005B4E85"/>
    <w:rsid w:val="005B5E17"/>
    <w:rsid w:val="005B6419"/>
    <w:rsid w:val="005B6CC1"/>
    <w:rsid w:val="005C1943"/>
    <w:rsid w:val="005C22C2"/>
    <w:rsid w:val="005C2322"/>
    <w:rsid w:val="005C382F"/>
    <w:rsid w:val="005C501A"/>
    <w:rsid w:val="005C5673"/>
    <w:rsid w:val="005C6D52"/>
    <w:rsid w:val="005C6F67"/>
    <w:rsid w:val="005C7858"/>
    <w:rsid w:val="005C7A9A"/>
    <w:rsid w:val="005C7FCE"/>
    <w:rsid w:val="005D05FD"/>
    <w:rsid w:val="005D11A5"/>
    <w:rsid w:val="005D1A7D"/>
    <w:rsid w:val="005D3508"/>
    <w:rsid w:val="005D48E0"/>
    <w:rsid w:val="005D4BC8"/>
    <w:rsid w:val="005D55D6"/>
    <w:rsid w:val="005D593D"/>
    <w:rsid w:val="005D65FF"/>
    <w:rsid w:val="005D6E43"/>
    <w:rsid w:val="005D717B"/>
    <w:rsid w:val="005D769A"/>
    <w:rsid w:val="005D7FC2"/>
    <w:rsid w:val="005E0110"/>
    <w:rsid w:val="005E092E"/>
    <w:rsid w:val="005E1DD8"/>
    <w:rsid w:val="005E1EA0"/>
    <w:rsid w:val="005E1F6F"/>
    <w:rsid w:val="005E37F3"/>
    <w:rsid w:val="005E4132"/>
    <w:rsid w:val="005E58E1"/>
    <w:rsid w:val="005E5F8B"/>
    <w:rsid w:val="005E7C7D"/>
    <w:rsid w:val="005F0A09"/>
    <w:rsid w:val="005F0EC7"/>
    <w:rsid w:val="005F105B"/>
    <w:rsid w:val="005F1295"/>
    <w:rsid w:val="005F2075"/>
    <w:rsid w:val="005F2341"/>
    <w:rsid w:val="005F253A"/>
    <w:rsid w:val="005F2B48"/>
    <w:rsid w:val="005F3ADE"/>
    <w:rsid w:val="005F3D30"/>
    <w:rsid w:val="005F432C"/>
    <w:rsid w:val="005F4B41"/>
    <w:rsid w:val="005F4D52"/>
    <w:rsid w:val="005F4F2A"/>
    <w:rsid w:val="005F5099"/>
    <w:rsid w:val="005F73A6"/>
    <w:rsid w:val="006002FC"/>
    <w:rsid w:val="00600D9B"/>
    <w:rsid w:val="0060128D"/>
    <w:rsid w:val="006015EB"/>
    <w:rsid w:val="0060172A"/>
    <w:rsid w:val="006021B4"/>
    <w:rsid w:val="00602BDA"/>
    <w:rsid w:val="0060305B"/>
    <w:rsid w:val="0060308F"/>
    <w:rsid w:val="0060552B"/>
    <w:rsid w:val="00606031"/>
    <w:rsid w:val="00606E04"/>
    <w:rsid w:val="00607B8A"/>
    <w:rsid w:val="006102C4"/>
    <w:rsid w:val="00611A97"/>
    <w:rsid w:val="00611B3C"/>
    <w:rsid w:val="00611C5C"/>
    <w:rsid w:val="00612686"/>
    <w:rsid w:val="00612FFF"/>
    <w:rsid w:val="006131E9"/>
    <w:rsid w:val="0061392C"/>
    <w:rsid w:val="00613C92"/>
    <w:rsid w:val="00615685"/>
    <w:rsid w:val="00615849"/>
    <w:rsid w:val="00616069"/>
    <w:rsid w:val="00616F34"/>
    <w:rsid w:val="00616FDD"/>
    <w:rsid w:val="00617E42"/>
    <w:rsid w:val="00617E6C"/>
    <w:rsid w:val="006203EC"/>
    <w:rsid w:val="00622015"/>
    <w:rsid w:val="00622191"/>
    <w:rsid w:val="006228C3"/>
    <w:rsid w:val="00622D62"/>
    <w:rsid w:val="00622D80"/>
    <w:rsid w:val="0062336F"/>
    <w:rsid w:val="00623D41"/>
    <w:rsid w:val="00624A28"/>
    <w:rsid w:val="00624E5B"/>
    <w:rsid w:val="006264F1"/>
    <w:rsid w:val="00626A29"/>
    <w:rsid w:val="00626AF4"/>
    <w:rsid w:val="00626CB1"/>
    <w:rsid w:val="00626CBB"/>
    <w:rsid w:val="00627894"/>
    <w:rsid w:val="00627FF6"/>
    <w:rsid w:val="00630506"/>
    <w:rsid w:val="00630BC9"/>
    <w:rsid w:val="00631F13"/>
    <w:rsid w:val="006320CB"/>
    <w:rsid w:val="0063314F"/>
    <w:rsid w:val="006337E7"/>
    <w:rsid w:val="00634080"/>
    <w:rsid w:val="0063422F"/>
    <w:rsid w:val="006354FF"/>
    <w:rsid w:val="00635832"/>
    <w:rsid w:val="00635AB6"/>
    <w:rsid w:val="006361B1"/>
    <w:rsid w:val="006365E9"/>
    <w:rsid w:val="00636E18"/>
    <w:rsid w:val="0063705B"/>
    <w:rsid w:val="00637228"/>
    <w:rsid w:val="006406FA"/>
    <w:rsid w:val="00641532"/>
    <w:rsid w:val="00641E0B"/>
    <w:rsid w:val="0064225E"/>
    <w:rsid w:val="0064298D"/>
    <w:rsid w:val="0064364F"/>
    <w:rsid w:val="006445A3"/>
    <w:rsid w:val="00645115"/>
    <w:rsid w:val="006462F1"/>
    <w:rsid w:val="006464CF"/>
    <w:rsid w:val="00646CB6"/>
    <w:rsid w:val="00646DB1"/>
    <w:rsid w:val="00647A7A"/>
    <w:rsid w:val="0065003E"/>
    <w:rsid w:val="00650088"/>
    <w:rsid w:val="00650724"/>
    <w:rsid w:val="0065124E"/>
    <w:rsid w:val="006513A0"/>
    <w:rsid w:val="00652484"/>
    <w:rsid w:val="00652C4F"/>
    <w:rsid w:val="0065308E"/>
    <w:rsid w:val="006534DC"/>
    <w:rsid w:val="006541D1"/>
    <w:rsid w:val="00654860"/>
    <w:rsid w:val="00654F37"/>
    <w:rsid w:val="00655662"/>
    <w:rsid w:val="00656ABE"/>
    <w:rsid w:val="00657521"/>
    <w:rsid w:val="0066000B"/>
    <w:rsid w:val="0066030A"/>
    <w:rsid w:val="00660931"/>
    <w:rsid w:val="00660DB9"/>
    <w:rsid w:val="00661956"/>
    <w:rsid w:val="00661C43"/>
    <w:rsid w:val="00662C23"/>
    <w:rsid w:val="00663A53"/>
    <w:rsid w:val="0066473E"/>
    <w:rsid w:val="00664F66"/>
    <w:rsid w:val="00665069"/>
    <w:rsid w:val="0066537B"/>
    <w:rsid w:val="00665718"/>
    <w:rsid w:val="00665E8C"/>
    <w:rsid w:val="00665F6E"/>
    <w:rsid w:val="0066692E"/>
    <w:rsid w:val="00666CC6"/>
    <w:rsid w:val="006677D7"/>
    <w:rsid w:val="00667828"/>
    <w:rsid w:val="00667AF6"/>
    <w:rsid w:val="00670CDD"/>
    <w:rsid w:val="00670F37"/>
    <w:rsid w:val="00672277"/>
    <w:rsid w:val="00674930"/>
    <w:rsid w:val="00676079"/>
    <w:rsid w:val="00676326"/>
    <w:rsid w:val="006777C7"/>
    <w:rsid w:val="00677FE7"/>
    <w:rsid w:val="006830CE"/>
    <w:rsid w:val="006839E8"/>
    <w:rsid w:val="00683D65"/>
    <w:rsid w:val="00684AB4"/>
    <w:rsid w:val="00684FDE"/>
    <w:rsid w:val="006851CB"/>
    <w:rsid w:val="00685F12"/>
    <w:rsid w:val="00686618"/>
    <w:rsid w:val="00687672"/>
    <w:rsid w:val="00690239"/>
    <w:rsid w:val="00690FB6"/>
    <w:rsid w:val="00691287"/>
    <w:rsid w:val="006919FC"/>
    <w:rsid w:val="00693034"/>
    <w:rsid w:val="0069373F"/>
    <w:rsid w:val="00693FDC"/>
    <w:rsid w:val="006963D2"/>
    <w:rsid w:val="00696748"/>
    <w:rsid w:val="00697FEB"/>
    <w:rsid w:val="006A02C9"/>
    <w:rsid w:val="006A0A19"/>
    <w:rsid w:val="006A0B4A"/>
    <w:rsid w:val="006A0D71"/>
    <w:rsid w:val="006A0E7E"/>
    <w:rsid w:val="006A0F4A"/>
    <w:rsid w:val="006A1D16"/>
    <w:rsid w:val="006A1EA8"/>
    <w:rsid w:val="006A4300"/>
    <w:rsid w:val="006A4428"/>
    <w:rsid w:val="006A4CF3"/>
    <w:rsid w:val="006A70CC"/>
    <w:rsid w:val="006A7BEA"/>
    <w:rsid w:val="006A7D62"/>
    <w:rsid w:val="006B00D0"/>
    <w:rsid w:val="006B120F"/>
    <w:rsid w:val="006B1FE2"/>
    <w:rsid w:val="006B2EBD"/>
    <w:rsid w:val="006B2F86"/>
    <w:rsid w:val="006B3690"/>
    <w:rsid w:val="006B37A6"/>
    <w:rsid w:val="006B3C0D"/>
    <w:rsid w:val="006B4649"/>
    <w:rsid w:val="006B4CAC"/>
    <w:rsid w:val="006C0355"/>
    <w:rsid w:val="006C090C"/>
    <w:rsid w:val="006C13D5"/>
    <w:rsid w:val="006C3A40"/>
    <w:rsid w:val="006C3F79"/>
    <w:rsid w:val="006C4E8E"/>
    <w:rsid w:val="006C53A0"/>
    <w:rsid w:val="006C5E9B"/>
    <w:rsid w:val="006C61BD"/>
    <w:rsid w:val="006C6628"/>
    <w:rsid w:val="006C6D77"/>
    <w:rsid w:val="006C7240"/>
    <w:rsid w:val="006C74D6"/>
    <w:rsid w:val="006C7663"/>
    <w:rsid w:val="006D0EE8"/>
    <w:rsid w:val="006D12C7"/>
    <w:rsid w:val="006D175B"/>
    <w:rsid w:val="006D1BF7"/>
    <w:rsid w:val="006D23EF"/>
    <w:rsid w:val="006D457D"/>
    <w:rsid w:val="006D49D0"/>
    <w:rsid w:val="006D5361"/>
    <w:rsid w:val="006D59F8"/>
    <w:rsid w:val="006D61DA"/>
    <w:rsid w:val="006D6AF7"/>
    <w:rsid w:val="006D6EBB"/>
    <w:rsid w:val="006D781E"/>
    <w:rsid w:val="006D7F80"/>
    <w:rsid w:val="006D7FC7"/>
    <w:rsid w:val="006E00DA"/>
    <w:rsid w:val="006E04F7"/>
    <w:rsid w:val="006E0941"/>
    <w:rsid w:val="006E0B68"/>
    <w:rsid w:val="006E0EAD"/>
    <w:rsid w:val="006E1DC5"/>
    <w:rsid w:val="006E2E7E"/>
    <w:rsid w:val="006E2EFD"/>
    <w:rsid w:val="006E3420"/>
    <w:rsid w:val="006E381D"/>
    <w:rsid w:val="006E39D7"/>
    <w:rsid w:val="006E3BD0"/>
    <w:rsid w:val="006E3FA9"/>
    <w:rsid w:val="006E4444"/>
    <w:rsid w:val="006E4D14"/>
    <w:rsid w:val="006E6866"/>
    <w:rsid w:val="006E6C7D"/>
    <w:rsid w:val="006E702B"/>
    <w:rsid w:val="006E7DC6"/>
    <w:rsid w:val="006F01FC"/>
    <w:rsid w:val="006F0349"/>
    <w:rsid w:val="006F08E1"/>
    <w:rsid w:val="006F0E10"/>
    <w:rsid w:val="006F129E"/>
    <w:rsid w:val="006F13D2"/>
    <w:rsid w:val="006F1A53"/>
    <w:rsid w:val="006F2196"/>
    <w:rsid w:val="006F2B29"/>
    <w:rsid w:val="006F3240"/>
    <w:rsid w:val="006F3620"/>
    <w:rsid w:val="006F3D73"/>
    <w:rsid w:val="006F5A87"/>
    <w:rsid w:val="006F747C"/>
    <w:rsid w:val="006F74BF"/>
    <w:rsid w:val="006F7BDA"/>
    <w:rsid w:val="00700C93"/>
    <w:rsid w:val="00701676"/>
    <w:rsid w:val="00701FC8"/>
    <w:rsid w:val="0070288A"/>
    <w:rsid w:val="00702D07"/>
    <w:rsid w:val="00703676"/>
    <w:rsid w:val="00706655"/>
    <w:rsid w:val="007078D6"/>
    <w:rsid w:val="00707B85"/>
    <w:rsid w:val="007106DD"/>
    <w:rsid w:val="00710F87"/>
    <w:rsid w:val="00711217"/>
    <w:rsid w:val="007116F8"/>
    <w:rsid w:val="00712900"/>
    <w:rsid w:val="007133E9"/>
    <w:rsid w:val="007137B3"/>
    <w:rsid w:val="00713BD4"/>
    <w:rsid w:val="00714542"/>
    <w:rsid w:val="007146AA"/>
    <w:rsid w:val="00714837"/>
    <w:rsid w:val="007149B8"/>
    <w:rsid w:val="00714EF0"/>
    <w:rsid w:val="00714F04"/>
    <w:rsid w:val="00715087"/>
    <w:rsid w:val="00715712"/>
    <w:rsid w:val="007158C7"/>
    <w:rsid w:val="00715D0C"/>
    <w:rsid w:val="0071628B"/>
    <w:rsid w:val="00716F27"/>
    <w:rsid w:val="00717727"/>
    <w:rsid w:val="00717B00"/>
    <w:rsid w:val="007208AB"/>
    <w:rsid w:val="00720B68"/>
    <w:rsid w:val="00720DE3"/>
    <w:rsid w:val="00721C6A"/>
    <w:rsid w:val="007222B0"/>
    <w:rsid w:val="007227EC"/>
    <w:rsid w:val="00722F2C"/>
    <w:rsid w:val="00723293"/>
    <w:rsid w:val="00723439"/>
    <w:rsid w:val="00723CB3"/>
    <w:rsid w:val="00724D46"/>
    <w:rsid w:val="007252D4"/>
    <w:rsid w:val="007263EF"/>
    <w:rsid w:val="00727012"/>
    <w:rsid w:val="0072723A"/>
    <w:rsid w:val="007279EC"/>
    <w:rsid w:val="00727D29"/>
    <w:rsid w:val="00730818"/>
    <w:rsid w:val="00730E2D"/>
    <w:rsid w:val="0073142D"/>
    <w:rsid w:val="0073237F"/>
    <w:rsid w:val="007323B9"/>
    <w:rsid w:val="007330A4"/>
    <w:rsid w:val="00733C05"/>
    <w:rsid w:val="00734198"/>
    <w:rsid w:val="00734568"/>
    <w:rsid w:val="0073460E"/>
    <w:rsid w:val="007349F9"/>
    <w:rsid w:val="00734A12"/>
    <w:rsid w:val="00735CDE"/>
    <w:rsid w:val="00736EAE"/>
    <w:rsid w:val="00737F9B"/>
    <w:rsid w:val="007402C2"/>
    <w:rsid w:val="0074044C"/>
    <w:rsid w:val="007405B1"/>
    <w:rsid w:val="00740AF0"/>
    <w:rsid w:val="007419ED"/>
    <w:rsid w:val="007420E1"/>
    <w:rsid w:val="00742174"/>
    <w:rsid w:val="00742C4C"/>
    <w:rsid w:val="007431F0"/>
    <w:rsid w:val="00743537"/>
    <w:rsid w:val="00743577"/>
    <w:rsid w:val="007435D3"/>
    <w:rsid w:val="00744220"/>
    <w:rsid w:val="00744C66"/>
    <w:rsid w:val="00746161"/>
    <w:rsid w:val="007464CC"/>
    <w:rsid w:val="00747238"/>
    <w:rsid w:val="00747B4B"/>
    <w:rsid w:val="00747D5E"/>
    <w:rsid w:val="00750679"/>
    <w:rsid w:val="00751D79"/>
    <w:rsid w:val="00751EDA"/>
    <w:rsid w:val="00752310"/>
    <w:rsid w:val="007524A7"/>
    <w:rsid w:val="00754003"/>
    <w:rsid w:val="00754851"/>
    <w:rsid w:val="007575D0"/>
    <w:rsid w:val="00757649"/>
    <w:rsid w:val="007602B9"/>
    <w:rsid w:val="00760944"/>
    <w:rsid w:val="007609D5"/>
    <w:rsid w:val="00760C75"/>
    <w:rsid w:val="007611AD"/>
    <w:rsid w:val="0076126B"/>
    <w:rsid w:val="007613B3"/>
    <w:rsid w:val="00762FBA"/>
    <w:rsid w:val="0076316D"/>
    <w:rsid w:val="00763FB6"/>
    <w:rsid w:val="0076410A"/>
    <w:rsid w:val="0076473F"/>
    <w:rsid w:val="00764748"/>
    <w:rsid w:val="00765515"/>
    <w:rsid w:val="00765F2A"/>
    <w:rsid w:val="00766906"/>
    <w:rsid w:val="00766F28"/>
    <w:rsid w:val="00770E5B"/>
    <w:rsid w:val="007713E8"/>
    <w:rsid w:val="00771967"/>
    <w:rsid w:val="00771AA1"/>
    <w:rsid w:val="00772FC8"/>
    <w:rsid w:val="0077322C"/>
    <w:rsid w:val="00773DE7"/>
    <w:rsid w:val="00774715"/>
    <w:rsid w:val="007747EE"/>
    <w:rsid w:val="00774999"/>
    <w:rsid w:val="00774F98"/>
    <w:rsid w:val="00776623"/>
    <w:rsid w:val="007768F5"/>
    <w:rsid w:val="0077735A"/>
    <w:rsid w:val="0078095B"/>
    <w:rsid w:val="00780D10"/>
    <w:rsid w:val="007813D1"/>
    <w:rsid w:val="00782158"/>
    <w:rsid w:val="007821A2"/>
    <w:rsid w:val="007821BC"/>
    <w:rsid w:val="007826E0"/>
    <w:rsid w:val="0078271A"/>
    <w:rsid w:val="00783194"/>
    <w:rsid w:val="00783455"/>
    <w:rsid w:val="007835D5"/>
    <w:rsid w:val="0078383A"/>
    <w:rsid w:val="00783BA7"/>
    <w:rsid w:val="007853F8"/>
    <w:rsid w:val="0078687A"/>
    <w:rsid w:val="00786AA2"/>
    <w:rsid w:val="00786BB9"/>
    <w:rsid w:val="00786FE5"/>
    <w:rsid w:val="007870B3"/>
    <w:rsid w:val="00787297"/>
    <w:rsid w:val="007877DC"/>
    <w:rsid w:val="0079039B"/>
    <w:rsid w:val="007908E2"/>
    <w:rsid w:val="00792C45"/>
    <w:rsid w:val="00793842"/>
    <w:rsid w:val="00794379"/>
    <w:rsid w:val="007953B5"/>
    <w:rsid w:val="00795550"/>
    <w:rsid w:val="00795F3C"/>
    <w:rsid w:val="00796271"/>
    <w:rsid w:val="00796431"/>
    <w:rsid w:val="007964DC"/>
    <w:rsid w:val="007967E6"/>
    <w:rsid w:val="00797D07"/>
    <w:rsid w:val="00797EC1"/>
    <w:rsid w:val="007A03B9"/>
    <w:rsid w:val="007A06C5"/>
    <w:rsid w:val="007A0B4E"/>
    <w:rsid w:val="007A117C"/>
    <w:rsid w:val="007A19E3"/>
    <w:rsid w:val="007A2635"/>
    <w:rsid w:val="007A3BFB"/>
    <w:rsid w:val="007A4230"/>
    <w:rsid w:val="007A5DE7"/>
    <w:rsid w:val="007A69A5"/>
    <w:rsid w:val="007A6B52"/>
    <w:rsid w:val="007A6C81"/>
    <w:rsid w:val="007A7B10"/>
    <w:rsid w:val="007B02A8"/>
    <w:rsid w:val="007B0B30"/>
    <w:rsid w:val="007B129D"/>
    <w:rsid w:val="007B219A"/>
    <w:rsid w:val="007B31A6"/>
    <w:rsid w:val="007B4508"/>
    <w:rsid w:val="007B5E3D"/>
    <w:rsid w:val="007B6B28"/>
    <w:rsid w:val="007B79F6"/>
    <w:rsid w:val="007B7B44"/>
    <w:rsid w:val="007C0E2D"/>
    <w:rsid w:val="007C1271"/>
    <w:rsid w:val="007C12F0"/>
    <w:rsid w:val="007C15B2"/>
    <w:rsid w:val="007C1E59"/>
    <w:rsid w:val="007C411F"/>
    <w:rsid w:val="007C4747"/>
    <w:rsid w:val="007C4C83"/>
    <w:rsid w:val="007C525A"/>
    <w:rsid w:val="007C533A"/>
    <w:rsid w:val="007C591A"/>
    <w:rsid w:val="007C6206"/>
    <w:rsid w:val="007C6225"/>
    <w:rsid w:val="007C64E2"/>
    <w:rsid w:val="007C6B8C"/>
    <w:rsid w:val="007C7C72"/>
    <w:rsid w:val="007D065D"/>
    <w:rsid w:val="007D1196"/>
    <w:rsid w:val="007D1E88"/>
    <w:rsid w:val="007D275E"/>
    <w:rsid w:val="007D2928"/>
    <w:rsid w:val="007D37BA"/>
    <w:rsid w:val="007D3850"/>
    <w:rsid w:val="007D3F75"/>
    <w:rsid w:val="007D4025"/>
    <w:rsid w:val="007D66F0"/>
    <w:rsid w:val="007D73E5"/>
    <w:rsid w:val="007D750A"/>
    <w:rsid w:val="007D7523"/>
    <w:rsid w:val="007D77FB"/>
    <w:rsid w:val="007E0084"/>
    <w:rsid w:val="007E0678"/>
    <w:rsid w:val="007E0A18"/>
    <w:rsid w:val="007E0EF4"/>
    <w:rsid w:val="007E1035"/>
    <w:rsid w:val="007E1421"/>
    <w:rsid w:val="007E18D1"/>
    <w:rsid w:val="007E199C"/>
    <w:rsid w:val="007E2A76"/>
    <w:rsid w:val="007E4D07"/>
    <w:rsid w:val="007E581F"/>
    <w:rsid w:val="007E722A"/>
    <w:rsid w:val="007E72EF"/>
    <w:rsid w:val="007E770A"/>
    <w:rsid w:val="007E7968"/>
    <w:rsid w:val="007E7C0D"/>
    <w:rsid w:val="007F0CB0"/>
    <w:rsid w:val="007F1600"/>
    <w:rsid w:val="007F166D"/>
    <w:rsid w:val="007F1EDF"/>
    <w:rsid w:val="007F2054"/>
    <w:rsid w:val="007F299B"/>
    <w:rsid w:val="007F365B"/>
    <w:rsid w:val="007F3B50"/>
    <w:rsid w:val="007F4023"/>
    <w:rsid w:val="007F40D6"/>
    <w:rsid w:val="007F41A0"/>
    <w:rsid w:val="007F5346"/>
    <w:rsid w:val="007F690B"/>
    <w:rsid w:val="007F6FBE"/>
    <w:rsid w:val="007F742B"/>
    <w:rsid w:val="007F7CBC"/>
    <w:rsid w:val="00800C45"/>
    <w:rsid w:val="0080130F"/>
    <w:rsid w:val="00801B60"/>
    <w:rsid w:val="008026FE"/>
    <w:rsid w:val="00802F9F"/>
    <w:rsid w:val="0080372E"/>
    <w:rsid w:val="00803E55"/>
    <w:rsid w:val="00804358"/>
    <w:rsid w:val="00804F92"/>
    <w:rsid w:val="00807F19"/>
    <w:rsid w:val="00807F85"/>
    <w:rsid w:val="0081060D"/>
    <w:rsid w:val="00810A52"/>
    <w:rsid w:val="00810DCF"/>
    <w:rsid w:val="008110C4"/>
    <w:rsid w:val="00811527"/>
    <w:rsid w:val="00811F2C"/>
    <w:rsid w:val="00811FE2"/>
    <w:rsid w:val="008134F5"/>
    <w:rsid w:val="00813D03"/>
    <w:rsid w:val="00814399"/>
    <w:rsid w:val="00815A51"/>
    <w:rsid w:val="00817CF6"/>
    <w:rsid w:val="008208F2"/>
    <w:rsid w:val="00820A66"/>
    <w:rsid w:val="00820F38"/>
    <w:rsid w:val="00822D27"/>
    <w:rsid w:val="0082373E"/>
    <w:rsid w:val="008242DA"/>
    <w:rsid w:val="00824A84"/>
    <w:rsid w:val="00826371"/>
    <w:rsid w:val="0082668B"/>
    <w:rsid w:val="0082687A"/>
    <w:rsid w:val="008272AC"/>
    <w:rsid w:val="00830214"/>
    <w:rsid w:val="00830902"/>
    <w:rsid w:val="00832118"/>
    <w:rsid w:val="00832C2F"/>
    <w:rsid w:val="00833EC7"/>
    <w:rsid w:val="00834366"/>
    <w:rsid w:val="008358AE"/>
    <w:rsid w:val="008363D1"/>
    <w:rsid w:val="00836C3B"/>
    <w:rsid w:val="008404FF"/>
    <w:rsid w:val="00840749"/>
    <w:rsid w:val="00840F7C"/>
    <w:rsid w:val="008412E1"/>
    <w:rsid w:val="008413A8"/>
    <w:rsid w:val="00842443"/>
    <w:rsid w:val="00843285"/>
    <w:rsid w:val="00843286"/>
    <w:rsid w:val="00843386"/>
    <w:rsid w:val="00844479"/>
    <w:rsid w:val="00844C79"/>
    <w:rsid w:val="00845107"/>
    <w:rsid w:val="00846122"/>
    <w:rsid w:val="008466C4"/>
    <w:rsid w:val="00850FDB"/>
    <w:rsid w:val="008510D6"/>
    <w:rsid w:val="008522B5"/>
    <w:rsid w:val="0085346F"/>
    <w:rsid w:val="00853C4A"/>
    <w:rsid w:val="00854190"/>
    <w:rsid w:val="00854682"/>
    <w:rsid w:val="00855DA1"/>
    <w:rsid w:val="00856359"/>
    <w:rsid w:val="0085657D"/>
    <w:rsid w:val="008569DC"/>
    <w:rsid w:val="00856DA4"/>
    <w:rsid w:val="00857078"/>
    <w:rsid w:val="00857A3C"/>
    <w:rsid w:val="00860199"/>
    <w:rsid w:val="00860613"/>
    <w:rsid w:val="00861279"/>
    <w:rsid w:val="008612B4"/>
    <w:rsid w:val="00862A90"/>
    <w:rsid w:val="00863D31"/>
    <w:rsid w:val="00863D50"/>
    <w:rsid w:val="0086454A"/>
    <w:rsid w:val="00866E95"/>
    <w:rsid w:val="00867322"/>
    <w:rsid w:val="00867E88"/>
    <w:rsid w:val="00870102"/>
    <w:rsid w:val="00870456"/>
    <w:rsid w:val="00871E82"/>
    <w:rsid w:val="008721A5"/>
    <w:rsid w:val="008723A8"/>
    <w:rsid w:val="00872847"/>
    <w:rsid w:val="00872C9B"/>
    <w:rsid w:val="00872E78"/>
    <w:rsid w:val="00872FDB"/>
    <w:rsid w:val="00873451"/>
    <w:rsid w:val="00873471"/>
    <w:rsid w:val="00873C14"/>
    <w:rsid w:val="0087619E"/>
    <w:rsid w:val="0087627E"/>
    <w:rsid w:val="00876A48"/>
    <w:rsid w:val="00877706"/>
    <w:rsid w:val="00877F7D"/>
    <w:rsid w:val="008811FC"/>
    <w:rsid w:val="00881D54"/>
    <w:rsid w:val="008825CE"/>
    <w:rsid w:val="00882EFB"/>
    <w:rsid w:val="00882F4A"/>
    <w:rsid w:val="0088366A"/>
    <w:rsid w:val="00883A3C"/>
    <w:rsid w:val="0088460D"/>
    <w:rsid w:val="008857AA"/>
    <w:rsid w:val="00885FA2"/>
    <w:rsid w:val="0088688E"/>
    <w:rsid w:val="00887608"/>
    <w:rsid w:val="00887ABB"/>
    <w:rsid w:val="00887FD1"/>
    <w:rsid w:val="008900AF"/>
    <w:rsid w:val="008906E6"/>
    <w:rsid w:val="00890AD0"/>
    <w:rsid w:val="00890B66"/>
    <w:rsid w:val="00891109"/>
    <w:rsid w:val="00891BA0"/>
    <w:rsid w:val="00891BF0"/>
    <w:rsid w:val="00891F38"/>
    <w:rsid w:val="00893E0C"/>
    <w:rsid w:val="00893E72"/>
    <w:rsid w:val="00894ED3"/>
    <w:rsid w:val="00896BC2"/>
    <w:rsid w:val="00896C06"/>
    <w:rsid w:val="008979EB"/>
    <w:rsid w:val="00897C3A"/>
    <w:rsid w:val="008A072D"/>
    <w:rsid w:val="008A1815"/>
    <w:rsid w:val="008A1C42"/>
    <w:rsid w:val="008A2D63"/>
    <w:rsid w:val="008A2FA0"/>
    <w:rsid w:val="008A3348"/>
    <w:rsid w:val="008A3666"/>
    <w:rsid w:val="008A3889"/>
    <w:rsid w:val="008A4BAF"/>
    <w:rsid w:val="008A56CE"/>
    <w:rsid w:val="008A5CE1"/>
    <w:rsid w:val="008A5EE6"/>
    <w:rsid w:val="008A6398"/>
    <w:rsid w:val="008B048B"/>
    <w:rsid w:val="008B08D3"/>
    <w:rsid w:val="008B19B7"/>
    <w:rsid w:val="008B19E5"/>
    <w:rsid w:val="008B1C16"/>
    <w:rsid w:val="008B2AC1"/>
    <w:rsid w:val="008B2D32"/>
    <w:rsid w:val="008B2D3F"/>
    <w:rsid w:val="008B2E9A"/>
    <w:rsid w:val="008B2EB5"/>
    <w:rsid w:val="008B3ADE"/>
    <w:rsid w:val="008B44C3"/>
    <w:rsid w:val="008B5255"/>
    <w:rsid w:val="008B5613"/>
    <w:rsid w:val="008B62E9"/>
    <w:rsid w:val="008B7050"/>
    <w:rsid w:val="008B7162"/>
    <w:rsid w:val="008C1507"/>
    <w:rsid w:val="008C19A3"/>
    <w:rsid w:val="008C2501"/>
    <w:rsid w:val="008C383B"/>
    <w:rsid w:val="008C3A5F"/>
    <w:rsid w:val="008C44A7"/>
    <w:rsid w:val="008C551C"/>
    <w:rsid w:val="008C5671"/>
    <w:rsid w:val="008C59BA"/>
    <w:rsid w:val="008C5D4D"/>
    <w:rsid w:val="008C6671"/>
    <w:rsid w:val="008C739D"/>
    <w:rsid w:val="008C7707"/>
    <w:rsid w:val="008D1695"/>
    <w:rsid w:val="008D22DA"/>
    <w:rsid w:val="008D25B5"/>
    <w:rsid w:val="008D3273"/>
    <w:rsid w:val="008D3CA0"/>
    <w:rsid w:val="008D4696"/>
    <w:rsid w:val="008D6805"/>
    <w:rsid w:val="008D6CA8"/>
    <w:rsid w:val="008D733D"/>
    <w:rsid w:val="008E0A95"/>
    <w:rsid w:val="008E136A"/>
    <w:rsid w:val="008E14A5"/>
    <w:rsid w:val="008E2213"/>
    <w:rsid w:val="008E2336"/>
    <w:rsid w:val="008E27A7"/>
    <w:rsid w:val="008E33F9"/>
    <w:rsid w:val="008E34A2"/>
    <w:rsid w:val="008E34AE"/>
    <w:rsid w:val="008E3BA7"/>
    <w:rsid w:val="008E3D1C"/>
    <w:rsid w:val="008E4D1F"/>
    <w:rsid w:val="008E694D"/>
    <w:rsid w:val="008E78B4"/>
    <w:rsid w:val="008F047E"/>
    <w:rsid w:val="008F2841"/>
    <w:rsid w:val="008F2959"/>
    <w:rsid w:val="008F399F"/>
    <w:rsid w:val="008F39F1"/>
    <w:rsid w:val="008F432C"/>
    <w:rsid w:val="008F4916"/>
    <w:rsid w:val="008F6034"/>
    <w:rsid w:val="008F7859"/>
    <w:rsid w:val="008F7ADB"/>
    <w:rsid w:val="008F7CC9"/>
    <w:rsid w:val="009001B0"/>
    <w:rsid w:val="00900940"/>
    <w:rsid w:val="00900CC0"/>
    <w:rsid w:val="0090288E"/>
    <w:rsid w:val="00903363"/>
    <w:rsid w:val="009038F9"/>
    <w:rsid w:val="00905028"/>
    <w:rsid w:val="009055D6"/>
    <w:rsid w:val="00905AAB"/>
    <w:rsid w:val="009068C3"/>
    <w:rsid w:val="00906F53"/>
    <w:rsid w:val="0090775D"/>
    <w:rsid w:val="00910432"/>
    <w:rsid w:val="0091050C"/>
    <w:rsid w:val="00911865"/>
    <w:rsid w:val="00911A8D"/>
    <w:rsid w:val="00912D34"/>
    <w:rsid w:val="009139AF"/>
    <w:rsid w:val="009148EC"/>
    <w:rsid w:val="00914BFD"/>
    <w:rsid w:val="00914CD2"/>
    <w:rsid w:val="00915EF9"/>
    <w:rsid w:val="00916FF9"/>
    <w:rsid w:val="009174DB"/>
    <w:rsid w:val="009174F6"/>
    <w:rsid w:val="00917A99"/>
    <w:rsid w:val="00920831"/>
    <w:rsid w:val="00921BFB"/>
    <w:rsid w:val="00921EF9"/>
    <w:rsid w:val="00922AFA"/>
    <w:rsid w:val="00922BF2"/>
    <w:rsid w:val="009234FD"/>
    <w:rsid w:val="00923665"/>
    <w:rsid w:val="00924258"/>
    <w:rsid w:val="00924973"/>
    <w:rsid w:val="00924ED5"/>
    <w:rsid w:val="0092631A"/>
    <w:rsid w:val="009272E3"/>
    <w:rsid w:val="009311DF"/>
    <w:rsid w:val="009314B6"/>
    <w:rsid w:val="0093152E"/>
    <w:rsid w:val="009315A3"/>
    <w:rsid w:val="00931779"/>
    <w:rsid w:val="00931E42"/>
    <w:rsid w:val="0093252C"/>
    <w:rsid w:val="0093283A"/>
    <w:rsid w:val="0093430F"/>
    <w:rsid w:val="009356B3"/>
    <w:rsid w:val="00935AC3"/>
    <w:rsid w:val="00935EAC"/>
    <w:rsid w:val="00937529"/>
    <w:rsid w:val="0093758A"/>
    <w:rsid w:val="00940DF7"/>
    <w:rsid w:val="00940F2E"/>
    <w:rsid w:val="00942405"/>
    <w:rsid w:val="00942818"/>
    <w:rsid w:val="00942AD5"/>
    <w:rsid w:val="00942F66"/>
    <w:rsid w:val="00943510"/>
    <w:rsid w:val="00943A66"/>
    <w:rsid w:val="00944371"/>
    <w:rsid w:val="00944529"/>
    <w:rsid w:val="00944CB3"/>
    <w:rsid w:val="00944D10"/>
    <w:rsid w:val="009450BA"/>
    <w:rsid w:val="009454B6"/>
    <w:rsid w:val="009460DF"/>
    <w:rsid w:val="00946929"/>
    <w:rsid w:val="00946D29"/>
    <w:rsid w:val="00946EEE"/>
    <w:rsid w:val="009474F2"/>
    <w:rsid w:val="00950E7E"/>
    <w:rsid w:val="00952AEF"/>
    <w:rsid w:val="009533C7"/>
    <w:rsid w:val="00955C33"/>
    <w:rsid w:val="0095625A"/>
    <w:rsid w:val="00956446"/>
    <w:rsid w:val="00957B4C"/>
    <w:rsid w:val="009603BF"/>
    <w:rsid w:val="00960B5B"/>
    <w:rsid w:val="00960F24"/>
    <w:rsid w:val="00960FAF"/>
    <w:rsid w:val="00960FBE"/>
    <w:rsid w:val="0096172B"/>
    <w:rsid w:val="00961C91"/>
    <w:rsid w:val="009628F6"/>
    <w:rsid w:val="00962AB8"/>
    <w:rsid w:val="00962CB7"/>
    <w:rsid w:val="00962E64"/>
    <w:rsid w:val="00963AA3"/>
    <w:rsid w:val="00963B80"/>
    <w:rsid w:val="00964478"/>
    <w:rsid w:val="009651FA"/>
    <w:rsid w:val="00966080"/>
    <w:rsid w:val="0096628F"/>
    <w:rsid w:val="009664DD"/>
    <w:rsid w:val="00966F48"/>
    <w:rsid w:val="0096744E"/>
    <w:rsid w:val="009704A0"/>
    <w:rsid w:val="00970792"/>
    <w:rsid w:val="00970EB5"/>
    <w:rsid w:val="00971E1A"/>
    <w:rsid w:val="00971EE1"/>
    <w:rsid w:val="00973197"/>
    <w:rsid w:val="00973E14"/>
    <w:rsid w:val="009753FB"/>
    <w:rsid w:val="00975439"/>
    <w:rsid w:val="009756E8"/>
    <w:rsid w:val="00976F97"/>
    <w:rsid w:val="00977317"/>
    <w:rsid w:val="009802E6"/>
    <w:rsid w:val="009804C2"/>
    <w:rsid w:val="00980AFA"/>
    <w:rsid w:val="00980C11"/>
    <w:rsid w:val="00981086"/>
    <w:rsid w:val="0098257D"/>
    <w:rsid w:val="0098302F"/>
    <w:rsid w:val="009831C8"/>
    <w:rsid w:val="00983D28"/>
    <w:rsid w:val="0098474E"/>
    <w:rsid w:val="009857EB"/>
    <w:rsid w:val="00986110"/>
    <w:rsid w:val="009869D5"/>
    <w:rsid w:val="00987232"/>
    <w:rsid w:val="009877E3"/>
    <w:rsid w:val="00990104"/>
    <w:rsid w:val="0099047A"/>
    <w:rsid w:val="009905A0"/>
    <w:rsid w:val="00990EC7"/>
    <w:rsid w:val="00991B95"/>
    <w:rsid w:val="00991D3E"/>
    <w:rsid w:val="00992630"/>
    <w:rsid w:val="00992840"/>
    <w:rsid w:val="00993064"/>
    <w:rsid w:val="00994C6F"/>
    <w:rsid w:val="00994CC4"/>
    <w:rsid w:val="00995379"/>
    <w:rsid w:val="009968AC"/>
    <w:rsid w:val="00996911"/>
    <w:rsid w:val="00996DB9"/>
    <w:rsid w:val="009976E7"/>
    <w:rsid w:val="009A044E"/>
    <w:rsid w:val="009A10AD"/>
    <w:rsid w:val="009A10DD"/>
    <w:rsid w:val="009A11ED"/>
    <w:rsid w:val="009A1795"/>
    <w:rsid w:val="009A1CB0"/>
    <w:rsid w:val="009A2547"/>
    <w:rsid w:val="009A4D66"/>
    <w:rsid w:val="009A5821"/>
    <w:rsid w:val="009A63A6"/>
    <w:rsid w:val="009A65F0"/>
    <w:rsid w:val="009A67A1"/>
    <w:rsid w:val="009A7026"/>
    <w:rsid w:val="009A702B"/>
    <w:rsid w:val="009A7D0C"/>
    <w:rsid w:val="009A7F30"/>
    <w:rsid w:val="009B069B"/>
    <w:rsid w:val="009B097A"/>
    <w:rsid w:val="009B10E0"/>
    <w:rsid w:val="009B18EB"/>
    <w:rsid w:val="009B27DF"/>
    <w:rsid w:val="009B36AF"/>
    <w:rsid w:val="009B393A"/>
    <w:rsid w:val="009B5A7A"/>
    <w:rsid w:val="009B7972"/>
    <w:rsid w:val="009B7A5A"/>
    <w:rsid w:val="009C040E"/>
    <w:rsid w:val="009C0544"/>
    <w:rsid w:val="009C0DD6"/>
    <w:rsid w:val="009C1B29"/>
    <w:rsid w:val="009C1C07"/>
    <w:rsid w:val="009C1F84"/>
    <w:rsid w:val="009C38A8"/>
    <w:rsid w:val="009C38DF"/>
    <w:rsid w:val="009C40F8"/>
    <w:rsid w:val="009C5A3E"/>
    <w:rsid w:val="009C5D66"/>
    <w:rsid w:val="009C6CC1"/>
    <w:rsid w:val="009C73E9"/>
    <w:rsid w:val="009D05F1"/>
    <w:rsid w:val="009D089E"/>
    <w:rsid w:val="009D094F"/>
    <w:rsid w:val="009D0BF3"/>
    <w:rsid w:val="009D0E88"/>
    <w:rsid w:val="009D0EB6"/>
    <w:rsid w:val="009D1003"/>
    <w:rsid w:val="009D24D7"/>
    <w:rsid w:val="009D256E"/>
    <w:rsid w:val="009D2DB6"/>
    <w:rsid w:val="009D2EAF"/>
    <w:rsid w:val="009D2F47"/>
    <w:rsid w:val="009D2FB9"/>
    <w:rsid w:val="009D3067"/>
    <w:rsid w:val="009D39EE"/>
    <w:rsid w:val="009D3B45"/>
    <w:rsid w:val="009D4E78"/>
    <w:rsid w:val="009D5487"/>
    <w:rsid w:val="009D55B8"/>
    <w:rsid w:val="009D5F35"/>
    <w:rsid w:val="009D674E"/>
    <w:rsid w:val="009D6791"/>
    <w:rsid w:val="009D68B5"/>
    <w:rsid w:val="009D7835"/>
    <w:rsid w:val="009D7CDF"/>
    <w:rsid w:val="009D7EFC"/>
    <w:rsid w:val="009E05AC"/>
    <w:rsid w:val="009E1548"/>
    <w:rsid w:val="009E1649"/>
    <w:rsid w:val="009E172B"/>
    <w:rsid w:val="009E1B55"/>
    <w:rsid w:val="009E204D"/>
    <w:rsid w:val="009E253A"/>
    <w:rsid w:val="009E25F5"/>
    <w:rsid w:val="009E3555"/>
    <w:rsid w:val="009E39C0"/>
    <w:rsid w:val="009E4CE0"/>
    <w:rsid w:val="009E523E"/>
    <w:rsid w:val="009E5367"/>
    <w:rsid w:val="009E7B93"/>
    <w:rsid w:val="009F0062"/>
    <w:rsid w:val="009F0349"/>
    <w:rsid w:val="009F1CE1"/>
    <w:rsid w:val="009F1E76"/>
    <w:rsid w:val="009F2D48"/>
    <w:rsid w:val="009F2FEB"/>
    <w:rsid w:val="009F3268"/>
    <w:rsid w:val="009F4230"/>
    <w:rsid w:val="009F4860"/>
    <w:rsid w:val="009F58F4"/>
    <w:rsid w:val="009F5F2C"/>
    <w:rsid w:val="009F6749"/>
    <w:rsid w:val="009F6A7F"/>
    <w:rsid w:val="009F6C56"/>
    <w:rsid w:val="00A0021A"/>
    <w:rsid w:val="00A0178C"/>
    <w:rsid w:val="00A01D67"/>
    <w:rsid w:val="00A01EAA"/>
    <w:rsid w:val="00A0206E"/>
    <w:rsid w:val="00A02A33"/>
    <w:rsid w:val="00A02F5D"/>
    <w:rsid w:val="00A031CC"/>
    <w:rsid w:val="00A0323B"/>
    <w:rsid w:val="00A04192"/>
    <w:rsid w:val="00A04474"/>
    <w:rsid w:val="00A0482C"/>
    <w:rsid w:val="00A06A94"/>
    <w:rsid w:val="00A0762A"/>
    <w:rsid w:val="00A0776D"/>
    <w:rsid w:val="00A0778F"/>
    <w:rsid w:val="00A1004D"/>
    <w:rsid w:val="00A1182A"/>
    <w:rsid w:val="00A11FC2"/>
    <w:rsid w:val="00A12D28"/>
    <w:rsid w:val="00A13922"/>
    <w:rsid w:val="00A13DB8"/>
    <w:rsid w:val="00A13F1D"/>
    <w:rsid w:val="00A1482D"/>
    <w:rsid w:val="00A14AA1"/>
    <w:rsid w:val="00A155ED"/>
    <w:rsid w:val="00A15939"/>
    <w:rsid w:val="00A15F37"/>
    <w:rsid w:val="00A16191"/>
    <w:rsid w:val="00A163E3"/>
    <w:rsid w:val="00A16B96"/>
    <w:rsid w:val="00A16CAF"/>
    <w:rsid w:val="00A217EF"/>
    <w:rsid w:val="00A220C0"/>
    <w:rsid w:val="00A22229"/>
    <w:rsid w:val="00A2239A"/>
    <w:rsid w:val="00A2295F"/>
    <w:rsid w:val="00A22A52"/>
    <w:rsid w:val="00A23246"/>
    <w:rsid w:val="00A24A2E"/>
    <w:rsid w:val="00A25215"/>
    <w:rsid w:val="00A25889"/>
    <w:rsid w:val="00A2710F"/>
    <w:rsid w:val="00A3034C"/>
    <w:rsid w:val="00A30764"/>
    <w:rsid w:val="00A325EE"/>
    <w:rsid w:val="00A338A1"/>
    <w:rsid w:val="00A349CB"/>
    <w:rsid w:val="00A34E5A"/>
    <w:rsid w:val="00A3508F"/>
    <w:rsid w:val="00A35D8A"/>
    <w:rsid w:val="00A364F7"/>
    <w:rsid w:val="00A36CE8"/>
    <w:rsid w:val="00A36DDD"/>
    <w:rsid w:val="00A36EBB"/>
    <w:rsid w:val="00A378ED"/>
    <w:rsid w:val="00A37C13"/>
    <w:rsid w:val="00A425BA"/>
    <w:rsid w:val="00A42D6B"/>
    <w:rsid w:val="00A42EEB"/>
    <w:rsid w:val="00A430E2"/>
    <w:rsid w:val="00A4316F"/>
    <w:rsid w:val="00A447E7"/>
    <w:rsid w:val="00A44A0C"/>
    <w:rsid w:val="00A454B6"/>
    <w:rsid w:val="00A4559F"/>
    <w:rsid w:val="00A45FC0"/>
    <w:rsid w:val="00A46558"/>
    <w:rsid w:val="00A472F8"/>
    <w:rsid w:val="00A50571"/>
    <w:rsid w:val="00A50AEA"/>
    <w:rsid w:val="00A5314F"/>
    <w:rsid w:val="00A53F81"/>
    <w:rsid w:val="00A54055"/>
    <w:rsid w:val="00A54B25"/>
    <w:rsid w:val="00A54D53"/>
    <w:rsid w:val="00A55882"/>
    <w:rsid w:val="00A5590F"/>
    <w:rsid w:val="00A569E0"/>
    <w:rsid w:val="00A56B6B"/>
    <w:rsid w:val="00A60311"/>
    <w:rsid w:val="00A60546"/>
    <w:rsid w:val="00A61107"/>
    <w:rsid w:val="00A63272"/>
    <w:rsid w:val="00A63EEE"/>
    <w:rsid w:val="00A6445C"/>
    <w:rsid w:val="00A66054"/>
    <w:rsid w:val="00A66F1E"/>
    <w:rsid w:val="00A6760A"/>
    <w:rsid w:val="00A676D3"/>
    <w:rsid w:val="00A679AD"/>
    <w:rsid w:val="00A71142"/>
    <w:rsid w:val="00A711B7"/>
    <w:rsid w:val="00A7149F"/>
    <w:rsid w:val="00A71689"/>
    <w:rsid w:val="00A72C93"/>
    <w:rsid w:val="00A72DB7"/>
    <w:rsid w:val="00A72FF3"/>
    <w:rsid w:val="00A7410C"/>
    <w:rsid w:val="00A754A0"/>
    <w:rsid w:val="00A76082"/>
    <w:rsid w:val="00A7784F"/>
    <w:rsid w:val="00A77DE1"/>
    <w:rsid w:val="00A80A07"/>
    <w:rsid w:val="00A811D6"/>
    <w:rsid w:val="00A81F02"/>
    <w:rsid w:val="00A82860"/>
    <w:rsid w:val="00A82B36"/>
    <w:rsid w:val="00A82F07"/>
    <w:rsid w:val="00A832BA"/>
    <w:rsid w:val="00A8331B"/>
    <w:rsid w:val="00A83BF6"/>
    <w:rsid w:val="00A84963"/>
    <w:rsid w:val="00A84D9C"/>
    <w:rsid w:val="00A85048"/>
    <w:rsid w:val="00A86552"/>
    <w:rsid w:val="00A86CD7"/>
    <w:rsid w:val="00A86D7C"/>
    <w:rsid w:val="00A8750A"/>
    <w:rsid w:val="00A9017B"/>
    <w:rsid w:val="00A90878"/>
    <w:rsid w:val="00A91266"/>
    <w:rsid w:val="00A9266A"/>
    <w:rsid w:val="00A9310D"/>
    <w:rsid w:val="00A9367D"/>
    <w:rsid w:val="00A950F4"/>
    <w:rsid w:val="00A9567A"/>
    <w:rsid w:val="00A96783"/>
    <w:rsid w:val="00A97098"/>
    <w:rsid w:val="00A97337"/>
    <w:rsid w:val="00A97B08"/>
    <w:rsid w:val="00A97D41"/>
    <w:rsid w:val="00A97F5A"/>
    <w:rsid w:val="00A97F92"/>
    <w:rsid w:val="00AA0D5A"/>
    <w:rsid w:val="00AA17F7"/>
    <w:rsid w:val="00AA253F"/>
    <w:rsid w:val="00AA25AC"/>
    <w:rsid w:val="00AA28D2"/>
    <w:rsid w:val="00AA2D58"/>
    <w:rsid w:val="00AA4A27"/>
    <w:rsid w:val="00AA4C06"/>
    <w:rsid w:val="00AA5C1F"/>
    <w:rsid w:val="00AA62A7"/>
    <w:rsid w:val="00AA7E5F"/>
    <w:rsid w:val="00AB0ED1"/>
    <w:rsid w:val="00AB16F3"/>
    <w:rsid w:val="00AB1ED1"/>
    <w:rsid w:val="00AB23B0"/>
    <w:rsid w:val="00AB2567"/>
    <w:rsid w:val="00AB3273"/>
    <w:rsid w:val="00AB3537"/>
    <w:rsid w:val="00AB365A"/>
    <w:rsid w:val="00AB3A63"/>
    <w:rsid w:val="00AB4201"/>
    <w:rsid w:val="00AB453D"/>
    <w:rsid w:val="00AB48D1"/>
    <w:rsid w:val="00AB4CFC"/>
    <w:rsid w:val="00AB5363"/>
    <w:rsid w:val="00AB58F2"/>
    <w:rsid w:val="00AB5E9F"/>
    <w:rsid w:val="00AB61EF"/>
    <w:rsid w:val="00AB689B"/>
    <w:rsid w:val="00AB736F"/>
    <w:rsid w:val="00AB747A"/>
    <w:rsid w:val="00AB7541"/>
    <w:rsid w:val="00AB7CDE"/>
    <w:rsid w:val="00AC0AAA"/>
    <w:rsid w:val="00AC0D62"/>
    <w:rsid w:val="00AC1771"/>
    <w:rsid w:val="00AC1934"/>
    <w:rsid w:val="00AC277A"/>
    <w:rsid w:val="00AC41F9"/>
    <w:rsid w:val="00AC4EEC"/>
    <w:rsid w:val="00AC5B51"/>
    <w:rsid w:val="00AC6C46"/>
    <w:rsid w:val="00AC6D5D"/>
    <w:rsid w:val="00AC6F64"/>
    <w:rsid w:val="00AC706B"/>
    <w:rsid w:val="00AC7487"/>
    <w:rsid w:val="00AC7B00"/>
    <w:rsid w:val="00AD03D9"/>
    <w:rsid w:val="00AD0FFE"/>
    <w:rsid w:val="00AD20AF"/>
    <w:rsid w:val="00AD25AD"/>
    <w:rsid w:val="00AD3A59"/>
    <w:rsid w:val="00AD3BBF"/>
    <w:rsid w:val="00AD4353"/>
    <w:rsid w:val="00AD485D"/>
    <w:rsid w:val="00AD613B"/>
    <w:rsid w:val="00AE079E"/>
    <w:rsid w:val="00AE0D0C"/>
    <w:rsid w:val="00AE1BA9"/>
    <w:rsid w:val="00AE2387"/>
    <w:rsid w:val="00AE266B"/>
    <w:rsid w:val="00AE4002"/>
    <w:rsid w:val="00AE6E19"/>
    <w:rsid w:val="00AE724E"/>
    <w:rsid w:val="00AE76A8"/>
    <w:rsid w:val="00AE7732"/>
    <w:rsid w:val="00AF09A0"/>
    <w:rsid w:val="00AF1091"/>
    <w:rsid w:val="00AF153A"/>
    <w:rsid w:val="00AF18A6"/>
    <w:rsid w:val="00AF18CA"/>
    <w:rsid w:val="00AF1CFD"/>
    <w:rsid w:val="00AF2306"/>
    <w:rsid w:val="00AF2617"/>
    <w:rsid w:val="00AF2AE5"/>
    <w:rsid w:val="00AF2B00"/>
    <w:rsid w:val="00AF3AD9"/>
    <w:rsid w:val="00AF4640"/>
    <w:rsid w:val="00AF5145"/>
    <w:rsid w:val="00AF52CD"/>
    <w:rsid w:val="00AF58F3"/>
    <w:rsid w:val="00AF5ABA"/>
    <w:rsid w:val="00AF6D5C"/>
    <w:rsid w:val="00AF6D94"/>
    <w:rsid w:val="00B00317"/>
    <w:rsid w:val="00B0149D"/>
    <w:rsid w:val="00B014EC"/>
    <w:rsid w:val="00B04FE2"/>
    <w:rsid w:val="00B05126"/>
    <w:rsid w:val="00B05277"/>
    <w:rsid w:val="00B05777"/>
    <w:rsid w:val="00B05B5E"/>
    <w:rsid w:val="00B06527"/>
    <w:rsid w:val="00B07EE5"/>
    <w:rsid w:val="00B10C3C"/>
    <w:rsid w:val="00B11271"/>
    <w:rsid w:val="00B112A5"/>
    <w:rsid w:val="00B116FF"/>
    <w:rsid w:val="00B118CF"/>
    <w:rsid w:val="00B12833"/>
    <w:rsid w:val="00B12AAF"/>
    <w:rsid w:val="00B12D4B"/>
    <w:rsid w:val="00B140E9"/>
    <w:rsid w:val="00B14557"/>
    <w:rsid w:val="00B1471D"/>
    <w:rsid w:val="00B15438"/>
    <w:rsid w:val="00B17281"/>
    <w:rsid w:val="00B17A43"/>
    <w:rsid w:val="00B2131B"/>
    <w:rsid w:val="00B21BF3"/>
    <w:rsid w:val="00B222E2"/>
    <w:rsid w:val="00B230A8"/>
    <w:rsid w:val="00B2310C"/>
    <w:rsid w:val="00B23328"/>
    <w:rsid w:val="00B233EC"/>
    <w:rsid w:val="00B23B81"/>
    <w:rsid w:val="00B242B1"/>
    <w:rsid w:val="00B24E54"/>
    <w:rsid w:val="00B25994"/>
    <w:rsid w:val="00B27646"/>
    <w:rsid w:val="00B301CC"/>
    <w:rsid w:val="00B30A4E"/>
    <w:rsid w:val="00B31A01"/>
    <w:rsid w:val="00B31E3C"/>
    <w:rsid w:val="00B32C18"/>
    <w:rsid w:val="00B33037"/>
    <w:rsid w:val="00B33732"/>
    <w:rsid w:val="00B3483B"/>
    <w:rsid w:val="00B35C7E"/>
    <w:rsid w:val="00B35D32"/>
    <w:rsid w:val="00B36448"/>
    <w:rsid w:val="00B369F2"/>
    <w:rsid w:val="00B377F6"/>
    <w:rsid w:val="00B40FEB"/>
    <w:rsid w:val="00B416B1"/>
    <w:rsid w:val="00B418F4"/>
    <w:rsid w:val="00B426A2"/>
    <w:rsid w:val="00B42D4E"/>
    <w:rsid w:val="00B43376"/>
    <w:rsid w:val="00B43E68"/>
    <w:rsid w:val="00B44209"/>
    <w:rsid w:val="00B44CCC"/>
    <w:rsid w:val="00B44EAC"/>
    <w:rsid w:val="00B465C8"/>
    <w:rsid w:val="00B472C9"/>
    <w:rsid w:val="00B47636"/>
    <w:rsid w:val="00B47C1C"/>
    <w:rsid w:val="00B47F43"/>
    <w:rsid w:val="00B506AC"/>
    <w:rsid w:val="00B50773"/>
    <w:rsid w:val="00B50D1B"/>
    <w:rsid w:val="00B50E2C"/>
    <w:rsid w:val="00B51364"/>
    <w:rsid w:val="00B517ED"/>
    <w:rsid w:val="00B51F08"/>
    <w:rsid w:val="00B52041"/>
    <w:rsid w:val="00B52A2C"/>
    <w:rsid w:val="00B52F1D"/>
    <w:rsid w:val="00B53170"/>
    <w:rsid w:val="00B536A8"/>
    <w:rsid w:val="00B53B00"/>
    <w:rsid w:val="00B54AE6"/>
    <w:rsid w:val="00B54F8C"/>
    <w:rsid w:val="00B551CF"/>
    <w:rsid w:val="00B56D06"/>
    <w:rsid w:val="00B5765A"/>
    <w:rsid w:val="00B60C22"/>
    <w:rsid w:val="00B616A0"/>
    <w:rsid w:val="00B620CA"/>
    <w:rsid w:val="00B6232A"/>
    <w:rsid w:val="00B62B8F"/>
    <w:rsid w:val="00B62D75"/>
    <w:rsid w:val="00B63850"/>
    <w:rsid w:val="00B6475C"/>
    <w:rsid w:val="00B649F7"/>
    <w:rsid w:val="00B667C6"/>
    <w:rsid w:val="00B66DB7"/>
    <w:rsid w:val="00B67ADB"/>
    <w:rsid w:val="00B70A7F"/>
    <w:rsid w:val="00B716B3"/>
    <w:rsid w:val="00B719C9"/>
    <w:rsid w:val="00B71C25"/>
    <w:rsid w:val="00B71D4B"/>
    <w:rsid w:val="00B7214B"/>
    <w:rsid w:val="00B72A9B"/>
    <w:rsid w:val="00B73636"/>
    <w:rsid w:val="00B7370E"/>
    <w:rsid w:val="00B7381A"/>
    <w:rsid w:val="00B73C08"/>
    <w:rsid w:val="00B7439C"/>
    <w:rsid w:val="00B743D7"/>
    <w:rsid w:val="00B7534C"/>
    <w:rsid w:val="00B7657E"/>
    <w:rsid w:val="00B76793"/>
    <w:rsid w:val="00B76C42"/>
    <w:rsid w:val="00B76CBC"/>
    <w:rsid w:val="00B770C9"/>
    <w:rsid w:val="00B80702"/>
    <w:rsid w:val="00B80C63"/>
    <w:rsid w:val="00B819ED"/>
    <w:rsid w:val="00B8390E"/>
    <w:rsid w:val="00B83CA3"/>
    <w:rsid w:val="00B84219"/>
    <w:rsid w:val="00B84275"/>
    <w:rsid w:val="00B84382"/>
    <w:rsid w:val="00B8495C"/>
    <w:rsid w:val="00B85068"/>
    <w:rsid w:val="00B85154"/>
    <w:rsid w:val="00B85546"/>
    <w:rsid w:val="00B85D8E"/>
    <w:rsid w:val="00B86655"/>
    <w:rsid w:val="00B87377"/>
    <w:rsid w:val="00B87EA2"/>
    <w:rsid w:val="00B90139"/>
    <w:rsid w:val="00B913AA"/>
    <w:rsid w:val="00B91481"/>
    <w:rsid w:val="00B91B01"/>
    <w:rsid w:val="00B9205C"/>
    <w:rsid w:val="00B925BA"/>
    <w:rsid w:val="00B93031"/>
    <w:rsid w:val="00B9335D"/>
    <w:rsid w:val="00B94400"/>
    <w:rsid w:val="00B95673"/>
    <w:rsid w:val="00B961C8"/>
    <w:rsid w:val="00B96C2A"/>
    <w:rsid w:val="00B96FD4"/>
    <w:rsid w:val="00B97971"/>
    <w:rsid w:val="00B97D8D"/>
    <w:rsid w:val="00BA04E1"/>
    <w:rsid w:val="00BA18D1"/>
    <w:rsid w:val="00BA19E0"/>
    <w:rsid w:val="00BA1D00"/>
    <w:rsid w:val="00BA1F8A"/>
    <w:rsid w:val="00BA258C"/>
    <w:rsid w:val="00BA280D"/>
    <w:rsid w:val="00BA3140"/>
    <w:rsid w:val="00BA321E"/>
    <w:rsid w:val="00BA3EDB"/>
    <w:rsid w:val="00BA4441"/>
    <w:rsid w:val="00BA46B0"/>
    <w:rsid w:val="00BA47DA"/>
    <w:rsid w:val="00BA4E91"/>
    <w:rsid w:val="00BA5E59"/>
    <w:rsid w:val="00BA62A1"/>
    <w:rsid w:val="00BA6D0B"/>
    <w:rsid w:val="00BA75F2"/>
    <w:rsid w:val="00BB0F17"/>
    <w:rsid w:val="00BB1A4D"/>
    <w:rsid w:val="00BB1A9F"/>
    <w:rsid w:val="00BB228F"/>
    <w:rsid w:val="00BB304B"/>
    <w:rsid w:val="00BB347F"/>
    <w:rsid w:val="00BB36ED"/>
    <w:rsid w:val="00BB50DE"/>
    <w:rsid w:val="00BB641A"/>
    <w:rsid w:val="00BB6D16"/>
    <w:rsid w:val="00BB6DED"/>
    <w:rsid w:val="00BB79A4"/>
    <w:rsid w:val="00BB7A89"/>
    <w:rsid w:val="00BB7CBB"/>
    <w:rsid w:val="00BC08D4"/>
    <w:rsid w:val="00BC0CB8"/>
    <w:rsid w:val="00BC0EE4"/>
    <w:rsid w:val="00BC1B82"/>
    <w:rsid w:val="00BC1D46"/>
    <w:rsid w:val="00BC21D7"/>
    <w:rsid w:val="00BC4A61"/>
    <w:rsid w:val="00BC52EB"/>
    <w:rsid w:val="00BC5978"/>
    <w:rsid w:val="00BC5A14"/>
    <w:rsid w:val="00BC63D5"/>
    <w:rsid w:val="00BC6876"/>
    <w:rsid w:val="00BD0100"/>
    <w:rsid w:val="00BD297C"/>
    <w:rsid w:val="00BD2BB6"/>
    <w:rsid w:val="00BD4509"/>
    <w:rsid w:val="00BD483C"/>
    <w:rsid w:val="00BD4931"/>
    <w:rsid w:val="00BD499A"/>
    <w:rsid w:val="00BD532D"/>
    <w:rsid w:val="00BD6018"/>
    <w:rsid w:val="00BD6F03"/>
    <w:rsid w:val="00BD6FDA"/>
    <w:rsid w:val="00BD77B5"/>
    <w:rsid w:val="00BD7A55"/>
    <w:rsid w:val="00BE00E4"/>
    <w:rsid w:val="00BE0270"/>
    <w:rsid w:val="00BE0809"/>
    <w:rsid w:val="00BE0965"/>
    <w:rsid w:val="00BE0D73"/>
    <w:rsid w:val="00BE0DD9"/>
    <w:rsid w:val="00BE180E"/>
    <w:rsid w:val="00BE19CD"/>
    <w:rsid w:val="00BE21A8"/>
    <w:rsid w:val="00BE2556"/>
    <w:rsid w:val="00BE2827"/>
    <w:rsid w:val="00BE2CB6"/>
    <w:rsid w:val="00BE331A"/>
    <w:rsid w:val="00BE391E"/>
    <w:rsid w:val="00BE4444"/>
    <w:rsid w:val="00BE48B7"/>
    <w:rsid w:val="00BE4C20"/>
    <w:rsid w:val="00BE53BC"/>
    <w:rsid w:val="00BE5574"/>
    <w:rsid w:val="00BE5CDB"/>
    <w:rsid w:val="00BE5DF3"/>
    <w:rsid w:val="00BE61B0"/>
    <w:rsid w:val="00BE6BFF"/>
    <w:rsid w:val="00BE74B4"/>
    <w:rsid w:val="00BE74D9"/>
    <w:rsid w:val="00BF01E3"/>
    <w:rsid w:val="00BF0B84"/>
    <w:rsid w:val="00BF19A0"/>
    <w:rsid w:val="00BF2280"/>
    <w:rsid w:val="00BF4843"/>
    <w:rsid w:val="00BF4B69"/>
    <w:rsid w:val="00BF5F81"/>
    <w:rsid w:val="00BF6456"/>
    <w:rsid w:val="00BF6462"/>
    <w:rsid w:val="00BF6F8D"/>
    <w:rsid w:val="00BF7738"/>
    <w:rsid w:val="00BF77A4"/>
    <w:rsid w:val="00C00471"/>
    <w:rsid w:val="00C011B3"/>
    <w:rsid w:val="00C014C6"/>
    <w:rsid w:val="00C016C1"/>
    <w:rsid w:val="00C01839"/>
    <w:rsid w:val="00C01BF8"/>
    <w:rsid w:val="00C02043"/>
    <w:rsid w:val="00C048AE"/>
    <w:rsid w:val="00C04A40"/>
    <w:rsid w:val="00C04F50"/>
    <w:rsid w:val="00C05E06"/>
    <w:rsid w:val="00C06D5F"/>
    <w:rsid w:val="00C06FED"/>
    <w:rsid w:val="00C0702F"/>
    <w:rsid w:val="00C076D3"/>
    <w:rsid w:val="00C1041E"/>
    <w:rsid w:val="00C1044E"/>
    <w:rsid w:val="00C10EB9"/>
    <w:rsid w:val="00C11E3B"/>
    <w:rsid w:val="00C1233D"/>
    <w:rsid w:val="00C12AFA"/>
    <w:rsid w:val="00C12E9A"/>
    <w:rsid w:val="00C1363D"/>
    <w:rsid w:val="00C1412B"/>
    <w:rsid w:val="00C15578"/>
    <w:rsid w:val="00C15648"/>
    <w:rsid w:val="00C16E21"/>
    <w:rsid w:val="00C17244"/>
    <w:rsid w:val="00C2000C"/>
    <w:rsid w:val="00C2020E"/>
    <w:rsid w:val="00C20265"/>
    <w:rsid w:val="00C2049A"/>
    <w:rsid w:val="00C20ECB"/>
    <w:rsid w:val="00C2112F"/>
    <w:rsid w:val="00C21CA1"/>
    <w:rsid w:val="00C21D7D"/>
    <w:rsid w:val="00C21FB0"/>
    <w:rsid w:val="00C24142"/>
    <w:rsid w:val="00C257EC"/>
    <w:rsid w:val="00C25B6F"/>
    <w:rsid w:val="00C25CA5"/>
    <w:rsid w:val="00C2605E"/>
    <w:rsid w:val="00C2648E"/>
    <w:rsid w:val="00C26B97"/>
    <w:rsid w:val="00C27BE2"/>
    <w:rsid w:val="00C30194"/>
    <w:rsid w:val="00C30973"/>
    <w:rsid w:val="00C30F85"/>
    <w:rsid w:val="00C31129"/>
    <w:rsid w:val="00C313E7"/>
    <w:rsid w:val="00C3210B"/>
    <w:rsid w:val="00C326A9"/>
    <w:rsid w:val="00C34EEE"/>
    <w:rsid w:val="00C3561D"/>
    <w:rsid w:val="00C3654D"/>
    <w:rsid w:val="00C369FE"/>
    <w:rsid w:val="00C410EB"/>
    <w:rsid w:val="00C4196A"/>
    <w:rsid w:val="00C41CF2"/>
    <w:rsid w:val="00C41E47"/>
    <w:rsid w:val="00C42E87"/>
    <w:rsid w:val="00C42F00"/>
    <w:rsid w:val="00C43453"/>
    <w:rsid w:val="00C44924"/>
    <w:rsid w:val="00C45097"/>
    <w:rsid w:val="00C45C93"/>
    <w:rsid w:val="00C461EB"/>
    <w:rsid w:val="00C47D3E"/>
    <w:rsid w:val="00C50077"/>
    <w:rsid w:val="00C51720"/>
    <w:rsid w:val="00C51E03"/>
    <w:rsid w:val="00C520D7"/>
    <w:rsid w:val="00C52B35"/>
    <w:rsid w:val="00C5372C"/>
    <w:rsid w:val="00C53769"/>
    <w:rsid w:val="00C53EEF"/>
    <w:rsid w:val="00C55CD2"/>
    <w:rsid w:val="00C55E91"/>
    <w:rsid w:val="00C562B4"/>
    <w:rsid w:val="00C56832"/>
    <w:rsid w:val="00C56C08"/>
    <w:rsid w:val="00C57869"/>
    <w:rsid w:val="00C60DF5"/>
    <w:rsid w:val="00C60FED"/>
    <w:rsid w:val="00C627A3"/>
    <w:rsid w:val="00C64C2F"/>
    <w:rsid w:val="00C6528A"/>
    <w:rsid w:val="00C6546A"/>
    <w:rsid w:val="00C66496"/>
    <w:rsid w:val="00C66586"/>
    <w:rsid w:val="00C665F2"/>
    <w:rsid w:val="00C672BF"/>
    <w:rsid w:val="00C6749F"/>
    <w:rsid w:val="00C676D3"/>
    <w:rsid w:val="00C7054B"/>
    <w:rsid w:val="00C70598"/>
    <w:rsid w:val="00C71439"/>
    <w:rsid w:val="00C72AE9"/>
    <w:rsid w:val="00C7375A"/>
    <w:rsid w:val="00C74048"/>
    <w:rsid w:val="00C74654"/>
    <w:rsid w:val="00C74775"/>
    <w:rsid w:val="00C74F0F"/>
    <w:rsid w:val="00C754A8"/>
    <w:rsid w:val="00C7556D"/>
    <w:rsid w:val="00C75F55"/>
    <w:rsid w:val="00C76725"/>
    <w:rsid w:val="00C77FDD"/>
    <w:rsid w:val="00C802D7"/>
    <w:rsid w:val="00C81867"/>
    <w:rsid w:val="00C81AAE"/>
    <w:rsid w:val="00C81EBC"/>
    <w:rsid w:val="00C82FE1"/>
    <w:rsid w:val="00C847AA"/>
    <w:rsid w:val="00C84C3A"/>
    <w:rsid w:val="00C86300"/>
    <w:rsid w:val="00C8679C"/>
    <w:rsid w:val="00C8685C"/>
    <w:rsid w:val="00C873BE"/>
    <w:rsid w:val="00C87645"/>
    <w:rsid w:val="00C87795"/>
    <w:rsid w:val="00C8784D"/>
    <w:rsid w:val="00C8788F"/>
    <w:rsid w:val="00C878A2"/>
    <w:rsid w:val="00C93936"/>
    <w:rsid w:val="00C948E7"/>
    <w:rsid w:val="00C963E5"/>
    <w:rsid w:val="00C967BE"/>
    <w:rsid w:val="00C96E4A"/>
    <w:rsid w:val="00C97546"/>
    <w:rsid w:val="00C975A8"/>
    <w:rsid w:val="00C97688"/>
    <w:rsid w:val="00C97773"/>
    <w:rsid w:val="00C9786B"/>
    <w:rsid w:val="00C97D39"/>
    <w:rsid w:val="00CA1482"/>
    <w:rsid w:val="00CA1957"/>
    <w:rsid w:val="00CA2159"/>
    <w:rsid w:val="00CA21E3"/>
    <w:rsid w:val="00CA2ACE"/>
    <w:rsid w:val="00CA2E21"/>
    <w:rsid w:val="00CA3B1F"/>
    <w:rsid w:val="00CA3B41"/>
    <w:rsid w:val="00CA3BA7"/>
    <w:rsid w:val="00CA3D0C"/>
    <w:rsid w:val="00CA7866"/>
    <w:rsid w:val="00CA7F24"/>
    <w:rsid w:val="00CB0C31"/>
    <w:rsid w:val="00CB0D84"/>
    <w:rsid w:val="00CB1580"/>
    <w:rsid w:val="00CB1A38"/>
    <w:rsid w:val="00CB21B3"/>
    <w:rsid w:val="00CB2E9C"/>
    <w:rsid w:val="00CB3460"/>
    <w:rsid w:val="00CB4072"/>
    <w:rsid w:val="00CB484D"/>
    <w:rsid w:val="00CB517A"/>
    <w:rsid w:val="00CB5E18"/>
    <w:rsid w:val="00CB61C9"/>
    <w:rsid w:val="00CB62EE"/>
    <w:rsid w:val="00CB7176"/>
    <w:rsid w:val="00CB730C"/>
    <w:rsid w:val="00CC0F4A"/>
    <w:rsid w:val="00CC0F68"/>
    <w:rsid w:val="00CC1C2A"/>
    <w:rsid w:val="00CC22B1"/>
    <w:rsid w:val="00CC2A03"/>
    <w:rsid w:val="00CC2C93"/>
    <w:rsid w:val="00CC2DC4"/>
    <w:rsid w:val="00CC384C"/>
    <w:rsid w:val="00CC38CF"/>
    <w:rsid w:val="00CC3988"/>
    <w:rsid w:val="00CC4F63"/>
    <w:rsid w:val="00CC5202"/>
    <w:rsid w:val="00CC52C9"/>
    <w:rsid w:val="00CC53F4"/>
    <w:rsid w:val="00CC5AF3"/>
    <w:rsid w:val="00CC68BF"/>
    <w:rsid w:val="00CC6958"/>
    <w:rsid w:val="00CC7C45"/>
    <w:rsid w:val="00CD13B1"/>
    <w:rsid w:val="00CD2107"/>
    <w:rsid w:val="00CD28EC"/>
    <w:rsid w:val="00CD2DC8"/>
    <w:rsid w:val="00CD3D23"/>
    <w:rsid w:val="00CD3FDF"/>
    <w:rsid w:val="00CD561D"/>
    <w:rsid w:val="00CD6EF5"/>
    <w:rsid w:val="00CD755A"/>
    <w:rsid w:val="00CE052C"/>
    <w:rsid w:val="00CE0CE1"/>
    <w:rsid w:val="00CE20E9"/>
    <w:rsid w:val="00CE3DD3"/>
    <w:rsid w:val="00CE4053"/>
    <w:rsid w:val="00CE4954"/>
    <w:rsid w:val="00CE5016"/>
    <w:rsid w:val="00CE596E"/>
    <w:rsid w:val="00CE5FEF"/>
    <w:rsid w:val="00CF1160"/>
    <w:rsid w:val="00CF3482"/>
    <w:rsid w:val="00CF4940"/>
    <w:rsid w:val="00CF4CD4"/>
    <w:rsid w:val="00CF507C"/>
    <w:rsid w:val="00CF5293"/>
    <w:rsid w:val="00CF72AC"/>
    <w:rsid w:val="00D0011E"/>
    <w:rsid w:val="00D004E5"/>
    <w:rsid w:val="00D0136A"/>
    <w:rsid w:val="00D0142A"/>
    <w:rsid w:val="00D0150B"/>
    <w:rsid w:val="00D02111"/>
    <w:rsid w:val="00D0280B"/>
    <w:rsid w:val="00D038D7"/>
    <w:rsid w:val="00D03B38"/>
    <w:rsid w:val="00D052E6"/>
    <w:rsid w:val="00D05DDB"/>
    <w:rsid w:val="00D073F9"/>
    <w:rsid w:val="00D07DD7"/>
    <w:rsid w:val="00D10497"/>
    <w:rsid w:val="00D10717"/>
    <w:rsid w:val="00D1147F"/>
    <w:rsid w:val="00D13DF1"/>
    <w:rsid w:val="00D13EDA"/>
    <w:rsid w:val="00D15061"/>
    <w:rsid w:val="00D1522E"/>
    <w:rsid w:val="00D15D74"/>
    <w:rsid w:val="00D16D8E"/>
    <w:rsid w:val="00D16FB5"/>
    <w:rsid w:val="00D1722E"/>
    <w:rsid w:val="00D176B7"/>
    <w:rsid w:val="00D17F2A"/>
    <w:rsid w:val="00D20B08"/>
    <w:rsid w:val="00D211A5"/>
    <w:rsid w:val="00D21C7E"/>
    <w:rsid w:val="00D2261D"/>
    <w:rsid w:val="00D228B8"/>
    <w:rsid w:val="00D2301A"/>
    <w:rsid w:val="00D24515"/>
    <w:rsid w:val="00D24B00"/>
    <w:rsid w:val="00D24E61"/>
    <w:rsid w:val="00D2526B"/>
    <w:rsid w:val="00D266A9"/>
    <w:rsid w:val="00D27660"/>
    <w:rsid w:val="00D30E94"/>
    <w:rsid w:val="00D31401"/>
    <w:rsid w:val="00D324DA"/>
    <w:rsid w:val="00D3266B"/>
    <w:rsid w:val="00D32A14"/>
    <w:rsid w:val="00D32B43"/>
    <w:rsid w:val="00D33571"/>
    <w:rsid w:val="00D339A1"/>
    <w:rsid w:val="00D33CFC"/>
    <w:rsid w:val="00D344F3"/>
    <w:rsid w:val="00D3524B"/>
    <w:rsid w:val="00D3530F"/>
    <w:rsid w:val="00D357A4"/>
    <w:rsid w:val="00D36238"/>
    <w:rsid w:val="00D36EB1"/>
    <w:rsid w:val="00D375AE"/>
    <w:rsid w:val="00D4029D"/>
    <w:rsid w:val="00D43642"/>
    <w:rsid w:val="00D44DF2"/>
    <w:rsid w:val="00D44EDE"/>
    <w:rsid w:val="00D451A5"/>
    <w:rsid w:val="00D451C1"/>
    <w:rsid w:val="00D45283"/>
    <w:rsid w:val="00D4541B"/>
    <w:rsid w:val="00D477C3"/>
    <w:rsid w:val="00D47CB0"/>
    <w:rsid w:val="00D47DE7"/>
    <w:rsid w:val="00D51271"/>
    <w:rsid w:val="00D51828"/>
    <w:rsid w:val="00D53179"/>
    <w:rsid w:val="00D53DC5"/>
    <w:rsid w:val="00D5465D"/>
    <w:rsid w:val="00D5517C"/>
    <w:rsid w:val="00D55406"/>
    <w:rsid w:val="00D55E9A"/>
    <w:rsid w:val="00D5615B"/>
    <w:rsid w:val="00D5638E"/>
    <w:rsid w:val="00D56E84"/>
    <w:rsid w:val="00D60759"/>
    <w:rsid w:val="00D6293F"/>
    <w:rsid w:val="00D662E4"/>
    <w:rsid w:val="00D66D1C"/>
    <w:rsid w:val="00D66E1F"/>
    <w:rsid w:val="00D670D3"/>
    <w:rsid w:val="00D67470"/>
    <w:rsid w:val="00D6792F"/>
    <w:rsid w:val="00D67B99"/>
    <w:rsid w:val="00D67FC9"/>
    <w:rsid w:val="00D709B5"/>
    <w:rsid w:val="00D729D1"/>
    <w:rsid w:val="00D72B2A"/>
    <w:rsid w:val="00D736FB"/>
    <w:rsid w:val="00D73AAF"/>
    <w:rsid w:val="00D73B35"/>
    <w:rsid w:val="00D74B08"/>
    <w:rsid w:val="00D75461"/>
    <w:rsid w:val="00D75B0B"/>
    <w:rsid w:val="00D76233"/>
    <w:rsid w:val="00D76E6B"/>
    <w:rsid w:val="00D77388"/>
    <w:rsid w:val="00D775D2"/>
    <w:rsid w:val="00D77855"/>
    <w:rsid w:val="00D8078E"/>
    <w:rsid w:val="00D80D94"/>
    <w:rsid w:val="00D8118D"/>
    <w:rsid w:val="00D82637"/>
    <w:rsid w:val="00D83283"/>
    <w:rsid w:val="00D83860"/>
    <w:rsid w:val="00D83A6D"/>
    <w:rsid w:val="00D83B8A"/>
    <w:rsid w:val="00D83D34"/>
    <w:rsid w:val="00D85155"/>
    <w:rsid w:val="00D85F3F"/>
    <w:rsid w:val="00D85F85"/>
    <w:rsid w:val="00D86169"/>
    <w:rsid w:val="00D8652F"/>
    <w:rsid w:val="00D86BF7"/>
    <w:rsid w:val="00D86C18"/>
    <w:rsid w:val="00D8747A"/>
    <w:rsid w:val="00D875E3"/>
    <w:rsid w:val="00D91421"/>
    <w:rsid w:val="00D91CBD"/>
    <w:rsid w:val="00D926E9"/>
    <w:rsid w:val="00D92B66"/>
    <w:rsid w:val="00D9348C"/>
    <w:rsid w:val="00D93CC1"/>
    <w:rsid w:val="00D93EB9"/>
    <w:rsid w:val="00D942A3"/>
    <w:rsid w:val="00D94A5C"/>
    <w:rsid w:val="00D95384"/>
    <w:rsid w:val="00D9583F"/>
    <w:rsid w:val="00D96C34"/>
    <w:rsid w:val="00D970E9"/>
    <w:rsid w:val="00D97E49"/>
    <w:rsid w:val="00DA073F"/>
    <w:rsid w:val="00DA08BF"/>
    <w:rsid w:val="00DA12F6"/>
    <w:rsid w:val="00DA1419"/>
    <w:rsid w:val="00DA2603"/>
    <w:rsid w:val="00DA2818"/>
    <w:rsid w:val="00DA2876"/>
    <w:rsid w:val="00DA2CF3"/>
    <w:rsid w:val="00DA40F8"/>
    <w:rsid w:val="00DA47F0"/>
    <w:rsid w:val="00DA4875"/>
    <w:rsid w:val="00DA4917"/>
    <w:rsid w:val="00DA4E73"/>
    <w:rsid w:val="00DA5117"/>
    <w:rsid w:val="00DA61B6"/>
    <w:rsid w:val="00DA68C1"/>
    <w:rsid w:val="00DA71E0"/>
    <w:rsid w:val="00DA7808"/>
    <w:rsid w:val="00DB2CB5"/>
    <w:rsid w:val="00DB2F25"/>
    <w:rsid w:val="00DB35F8"/>
    <w:rsid w:val="00DB57B7"/>
    <w:rsid w:val="00DB67E5"/>
    <w:rsid w:val="00DB68CD"/>
    <w:rsid w:val="00DB73AB"/>
    <w:rsid w:val="00DB746B"/>
    <w:rsid w:val="00DB761D"/>
    <w:rsid w:val="00DB7C28"/>
    <w:rsid w:val="00DC13F9"/>
    <w:rsid w:val="00DC1D72"/>
    <w:rsid w:val="00DC2A04"/>
    <w:rsid w:val="00DC2E2C"/>
    <w:rsid w:val="00DC46D1"/>
    <w:rsid w:val="00DC4E8F"/>
    <w:rsid w:val="00DC545A"/>
    <w:rsid w:val="00DC585F"/>
    <w:rsid w:val="00DC604C"/>
    <w:rsid w:val="00DC613C"/>
    <w:rsid w:val="00DC77F2"/>
    <w:rsid w:val="00DC78DB"/>
    <w:rsid w:val="00DC7F7D"/>
    <w:rsid w:val="00DD028A"/>
    <w:rsid w:val="00DD08C1"/>
    <w:rsid w:val="00DD19C8"/>
    <w:rsid w:val="00DD1BFF"/>
    <w:rsid w:val="00DD2278"/>
    <w:rsid w:val="00DD2ADC"/>
    <w:rsid w:val="00DD4F3E"/>
    <w:rsid w:val="00DD5FFB"/>
    <w:rsid w:val="00DD67A9"/>
    <w:rsid w:val="00DD6EA5"/>
    <w:rsid w:val="00DD75C0"/>
    <w:rsid w:val="00DD7C85"/>
    <w:rsid w:val="00DE2574"/>
    <w:rsid w:val="00DE2C5D"/>
    <w:rsid w:val="00DE36B6"/>
    <w:rsid w:val="00DE43B5"/>
    <w:rsid w:val="00DE4BD0"/>
    <w:rsid w:val="00DE58C9"/>
    <w:rsid w:val="00DE58D7"/>
    <w:rsid w:val="00DE5D98"/>
    <w:rsid w:val="00DE62BC"/>
    <w:rsid w:val="00DE7572"/>
    <w:rsid w:val="00DE7BEA"/>
    <w:rsid w:val="00DE7DAF"/>
    <w:rsid w:val="00DF08BB"/>
    <w:rsid w:val="00DF154D"/>
    <w:rsid w:val="00DF16FC"/>
    <w:rsid w:val="00DF1993"/>
    <w:rsid w:val="00DF19F6"/>
    <w:rsid w:val="00DF376E"/>
    <w:rsid w:val="00DF431A"/>
    <w:rsid w:val="00DF5CAF"/>
    <w:rsid w:val="00DF62C6"/>
    <w:rsid w:val="00DF6D21"/>
    <w:rsid w:val="00DF75FB"/>
    <w:rsid w:val="00DF7C00"/>
    <w:rsid w:val="00E00BBD"/>
    <w:rsid w:val="00E00C89"/>
    <w:rsid w:val="00E013E3"/>
    <w:rsid w:val="00E01F2F"/>
    <w:rsid w:val="00E02136"/>
    <w:rsid w:val="00E02157"/>
    <w:rsid w:val="00E0219A"/>
    <w:rsid w:val="00E02370"/>
    <w:rsid w:val="00E02392"/>
    <w:rsid w:val="00E02F84"/>
    <w:rsid w:val="00E03E17"/>
    <w:rsid w:val="00E042FF"/>
    <w:rsid w:val="00E04850"/>
    <w:rsid w:val="00E04A38"/>
    <w:rsid w:val="00E05C13"/>
    <w:rsid w:val="00E05C1A"/>
    <w:rsid w:val="00E064CA"/>
    <w:rsid w:val="00E065B2"/>
    <w:rsid w:val="00E06813"/>
    <w:rsid w:val="00E10053"/>
    <w:rsid w:val="00E111E4"/>
    <w:rsid w:val="00E11521"/>
    <w:rsid w:val="00E127AF"/>
    <w:rsid w:val="00E13B47"/>
    <w:rsid w:val="00E15933"/>
    <w:rsid w:val="00E15B99"/>
    <w:rsid w:val="00E1657C"/>
    <w:rsid w:val="00E16BD3"/>
    <w:rsid w:val="00E16FAA"/>
    <w:rsid w:val="00E171C2"/>
    <w:rsid w:val="00E20598"/>
    <w:rsid w:val="00E20664"/>
    <w:rsid w:val="00E2148E"/>
    <w:rsid w:val="00E21C56"/>
    <w:rsid w:val="00E22425"/>
    <w:rsid w:val="00E2267B"/>
    <w:rsid w:val="00E22996"/>
    <w:rsid w:val="00E23F67"/>
    <w:rsid w:val="00E24926"/>
    <w:rsid w:val="00E24E04"/>
    <w:rsid w:val="00E2580D"/>
    <w:rsid w:val="00E2583C"/>
    <w:rsid w:val="00E2789E"/>
    <w:rsid w:val="00E27948"/>
    <w:rsid w:val="00E27F2F"/>
    <w:rsid w:val="00E30294"/>
    <w:rsid w:val="00E315D6"/>
    <w:rsid w:val="00E3258F"/>
    <w:rsid w:val="00E330AB"/>
    <w:rsid w:val="00E3317B"/>
    <w:rsid w:val="00E3386F"/>
    <w:rsid w:val="00E341F0"/>
    <w:rsid w:val="00E350BD"/>
    <w:rsid w:val="00E3540A"/>
    <w:rsid w:val="00E35AE0"/>
    <w:rsid w:val="00E36335"/>
    <w:rsid w:val="00E373B4"/>
    <w:rsid w:val="00E37B5C"/>
    <w:rsid w:val="00E37CF8"/>
    <w:rsid w:val="00E40350"/>
    <w:rsid w:val="00E407AC"/>
    <w:rsid w:val="00E413A5"/>
    <w:rsid w:val="00E41AF8"/>
    <w:rsid w:val="00E422BE"/>
    <w:rsid w:val="00E4296A"/>
    <w:rsid w:val="00E43380"/>
    <w:rsid w:val="00E44274"/>
    <w:rsid w:val="00E44603"/>
    <w:rsid w:val="00E44F24"/>
    <w:rsid w:val="00E455B4"/>
    <w:rsid w:val="00E46FA7"/>
    <w:rsid w:val="00E46FBA"/>
    <w:rsid w:val="00E47328"/>
    <w:rsid w:val="00E476DD"/>
    <w:rsid w:val="00E479DF"/>
    <w:rsid w:val="00E505D8"/>
    <w:rsid w:val="00E50B83"/>
    <w:rsid w:val="00E51530"/>
    <w:rsid w:val="00E5252F"/>
    <w:rsid w:val="00E528C6"/>
    <w:rsid w:val="00E52B26"/>
    <w:rsid w:val="00E535BD"/>
    <w:rsid w:val="00E54596"/>
    <w:rsid w:val="00E55578"/>
    <w:rsid w:val="00E56000"/>
    <w:rsid w:val="00E5632A"/>
    <w:rsid w:val="00E56378"/>
    <w:rsid w:val="00E57208"/>
    <w:rsid w:val="00E57457"/>
    <w:rsid w:val="00E60175"/>
    <w:rsid w:val="00E6160E"/>
    <w:rsid w:val="00E63B64"/>
    <w:rsid w:val="00E63F00"/>
    <w:rsid w:val="00E642DC"/>
    <w:rsid w:val="00E64ABC"/>
    <w:rsid w:val="00E64E57"/>
    <w:rsid w:val="00E64F71"/>
    <w:rsid w:val="00E64FC2"/>
    <w:rsid w:val="00E65240"/>
    <w:rsid w:val="00E656BA"/>
    <w:rsid w:val="00E66FD1"/>
    <w:rsid w:val="00E67590"/>
    <w:rsid w:val="00E67A1A"/>
    <w:rsid w:val="00E703B1"/>
    <w:rsid w:val="00E7045C"/>
    <w:rsid w:val="00E718EA"/>
    <w:rsid w:val="00E71A6E"/>
    <w:rsid w:val="00E720A0"/>
    <w:rsid w:val="00E72E55"/>
    <w:rsid w:val="00E733D4"/>
    <w:rsid w:val="00E74228"/>
    <w:rsid w:val="00E74759"/>
    <w:rsid w:val="00E74A24"/>
    <w:rsid w:val="00E74E48"/>
    <w:rsid w:val="00E769EA"/>
    <w:rsid w:val="00E76B64"/>
    <w:rsid w:val="00E76BBE"/>
    <w:rsid w:val="00E77101"/>
    <w:rsid w:val="00E77326"/>
    <w:rsid w:val="00E808C9"/>
    <w:rsid w:val="00E80943"/>
    <w:rsid w:val="00E8112D"/>
    <w:rsid w:val="00E81135"/>
    <w:rsid w:val="00E8148D"/>
    <w:rsid w:val="00E818C3"/>
    <w:rsid w:val="00E82DCF"/>
    <w:rsid w:val="00E84DC4"/>
    <w:rsid w:val="00E84E21"/>
    <w:rsid w:val="00E8561A"/>
    <w:rsid w:val="00E8589E"/>
    <w:rsid w:val="00E85DE8"/>
    <w:rsid w:val="00E86672"/>
    <w:rsid w:val="00E86705"/>
    <w:rsid w:val="00E86E0C"/>
    <w:rsid w:val="00E87FB1"/>
    <w:rsid w:val="00E900CF"/>
    <w:rsid w:val="00E908C6"/>
    <w:rsid w:val="00E924A8"/>
    <w:rsid w:val="00E93450"/>
    <w:rsid w:val="00E9372A"/>
    <w:rsid w:val="00E93AFD"/>
    <w:rsid w:val="00E95441"/>
    <w:rsid w:val="00E96618"/>
    <w:rsid w:val="00E97970"/>
    <w:rsid w:val="00E979A5"/>
    <w:rsid w:val="00E97C50"/>
    <w:rsid w:val="00EA03D8"/>
    <w:rsid w:val="00EA0DB1"/>
    <w:rsid w:val="00EA163C"/>
    <w:rsid w:val="00EA507E"/>
    <w:rsid w:val="00EA5747"/>
    <w:rsid w:val="00EA6103"/>
    <w:rsid w:val="00EA73BA"/>
    <w:rsid w:val="00EA743C"/>
    <w:rsid w:val="00EA7745"/>
    <w:rsid w:val="00EB0F28"/>
    <w:rsid w:val="00EB1892"/>
    <w:rsid w:val="00EB2336"/>
    <w:rsid w:val="00EB3B2C"/>
    <w:rsid w:val="00EB3F96"/>
    <w:rsid w:val="00EB3FA2"/>
    <w:rsid w:val="00EB4281"/>
    <w:rsid w:val="00EB4A81"/>
    <w:rsid w:val="00EB5264"/>
    <w:rsid w:val="00EB52AE"/>
    <w:rsid w:val="00EB60D0"/>
    <w:rsid w:val="00EC03D2"/>
    <w:rsid w:val="00EC0719"/>
    <w:rsid w:val="00EC09D5"/>
    <w:rsid w:val="00EC1FA6"/>
    <w:rsid w:val="00EC202F"/>
    <w:rsid w:val="00EC25AB"/>
    <w:rsid w:val="00EC3DF9"/>
    <w:rsid w:val="00EC4F93"/>
    <w:rsid w:val="00EC515F"/>
    <w:rsid w:val="00EC5679"/>
    <w:rsid w:val="00EC5764"/>
    <w:rsid w:val="00EC5DBE"/>
    <w:rsid w:val="00EC5DE6"/>
    <w:rsid w:val="00EC6263"/>
    <w:rsid w:val="00EC6C65"/>
    <w:rsid w:val="00ED0FC6"/>
    <w:rsid w:val="00ED1168"/>
    <w:rsid w:val="00ED1C3D"/>
    <w:rsid w:val="00ED2264"/>
    <w:rsid w:val="00ED23A2"/>
    <w:rsid w:val="00ED2B1D"/>
    <w:rsid w:val="00ED412E"/>
    <w:rsid w:val="00ED41A8"/>
    <w:rsid w:val="00ED44D2"/>
    <w:rsid w:val="00ED452D"/>
    <w:rsid w:val="00ED5035"/>
    <w:rsid w:val="00ED5703"/>
    <w:rsid w:val="00ED5DD6"/>
    <w:rsid w:val="00ED65DB"/>
    <w:rsid w:val="00ED6AF2"/>
    <w:rsid w:val="00ED7BC1"/>
    <w:rsid w:val="00EE04D4"/>
    <w:rsid w:val="00EE0C34"/>
    <w:rsid w:val="00EE0C71"/>
    <w:rsid w:val="00EE29BE"/>
    <w:rsid w:val="00EE3C34"/>
    <w:rsid w:val="00EE3CDA"/>
    <w:rsid w:val="00EE4C9E"/>
    <w:rsid w:val="00EE5884"/>
    <w:rsid w:val="00EE64D0"/>
    <w:rsid w:val="00EE7159"/>
    <w:rsid w:val="00EE7261"/>
    <w:rsid w:val="00EF038F"/>
    <w:rsid w:val="00EF07C3"/>
    <w:rsid w:val="00EF1944"/>
    <w:rsid w:val="00EF26AE"/>
    <w:rsid w:val="00EF27B5"/>
    <w:rsid w:val="00EF43EA"/>
    <w:rsid w:val="00EF46B1"/>
    <w:rsid w:val="00EF493E"/>
    <w:rsid w:val="00EF5D73"/>
    <w:rsid w:val="00EF607A"/>
    <w:rsid w:val="00EF6331"/>
    <w:rsid w:val="00EF6482"/>
    <w:rsid w:val="00EF7136"/>
    <w:rsid w:val="00EF71FF"/>
    <w:rsid w:val="00EF7662"/>
    <w:rsid w:val="00EF773B"/>
    <w:rsid w:val="00F00241"/>
    <w:rsid w:val="00F00777"/>
    <w:rsid w:val="00F00887"/>
    <w:rsid w:val="00F0147C"/>
    <w:rsid w:val="00F01AED"/>
    <w:rsid w:val="00F02876"/>
    <w:rsid w:val="00F03CD8"/>
    <w:rsid w:val="00F06185"/>
    <w:rsid w:val="00F064C3"/>
    <w:rsid w:val="00F06A82"/>
    <w:rsid w:val="00F109A7"/>
    <w:rsid w:val="00F10BFD"/>
    <w:rsid w:val="00F10D7E"/>
    <w:rsid w:val="00F11D60"/>
    <w:rsid w:val="00F11FF2"/>
    <w:rsid w:val="00F12451"/>
    <w:rsid w:val="00F12C44"/>
    <w:rsid w:val="00F12F74"/>
    <w:rsid w:val="00F1303C"/>
    <w:rsid w:val="00F132E8"/>
    <w:rsid w:val="00F14FD4"/>
    <w:rsid w:val="00F15550"/>
    <w:rsid w:val="00F15E8D"/>
    <w:rsid w:val="00F175AF"/>
    <w:rsid w:val="00F205FB"/>
    <w:rsid w:val="00F20967"/>
    <w:rsid w:val="00F20DD7"/>
    <w:rsid w:val="00F20F27"/>
    <w:rsid w:val="00F21CF8"/>
    <w:rsid w:val="00F22A61"/>
    <w:rsid w:val="00F2357B"/>
    <w:rsid w:val="00F23602"/>
    <w:rsid w:val="00F236DC"/>
    <w:rsid w:val="00F243CB"/>
    <w:rsid w:val="00F2464A"/>
    <w:rsid w:val="00F247BC"/>
    <w:rsid w:val="00F2482C"/>
    <w:rsid w:val="00F24A8F"/>
    <w:rsid w:val="00F25233"/>
    <w:rsid w:val="00F25CBC"/>
    <w:rsid w:val="00F25EAF"/>
    <w:rsid w:val="00F26AC0"/>
    <w:rsid w:val="00F2719D"/>
    <w:rsid w:val="00F27940"/>
    <w:rsid w:val="00F27A13"/>
    <w:rsid w:val="00F27FA1"/>
    <w:rsid w:val="00F3032E"/>
    <w:rsid w:val="00F3124A"/>
    <w:rsid w:val="00F313E8"/>
    <w:rsid w:val="00F31596"/>
    <w:rsid w:val="00F31EFE"/>
    <w:rsid w:val="00F3277D"/>
    <w:rsid w:val="00F32822"/>
    <w:rsid w:val="00F32EC1"/>
    <w:rsid w:val="00F3329B"/>
    <w:rsid w:val="00F33D35"/>
    <w:rsid w:val="00F340F0"/>
    <w:rsid w:val="00F343CC"/>
    <w:rsid w:val="00F34F38"/>
    <w:rsid w:val="00F350F7"/>
    <w:rsid w:val="00F35253"/>
    <w:rsid w:val="00F36405"/>
    <w:rsid w:val="00F36809"/>
    <w:rsid w:val="00F36950"/>
    <w:rsid w:val="00F371E7"/>
    <w:rsid w:val="00F3733F"/>
    <w:rsid w:val="00F3738F"/>
    <w:rsid w:val="00F37625"/>
    <w:rsid w:val="00F37CB3"/>
    <w:rsid w:val="00F40055"/>
    <w:rsid w:val="00F41315"/>
    <w:rsid w:val="00F41E87"/>
    <w:rsid w:val="00F42120"/>
    <w:rsid w:val="00F428F8"/>
    <w:rsid w:val="00F43B83"/>
    <w:rsid w:val="00F44EBF"/>
    <w:rsid w:val="00F45EB3"/>
    <w:rsid w:val="00F463BF"/>
    <w:rsid w:val="00F47502"/>
    <w:rsid w:val="00F47697"/>
    <w:rsid w:val="00F50AFE"/>
    <w:rsid w:val="00F50DD0"/>
    <w:rsid w:val="00F517F3"/>
    <w:rsid w:val="00F520B3"/>
    <w:rsid w:val="00F53132"/>
    <w:rsid w:val="00F531DC"/>
    <w:rsid w:val="00F538EF"/>
    <w:rsid w:val="00F53F88"/>
    <w:rsid w:val="00F54274"/>
    <w:rsid w:val="00F5456A"/>
    <w:rsid w:val="00F545FC"/>
    <w:rsid w:val="00F547FE"/>
    <w:rsid w:val="00F54E12"/>
    <w:rsid w:val="00F56446"/>
    <w:rsid w:val="00F573F1"/>
    <w:rsid w:val="00F57AF7"/>
    <w:rsid w:val="00F57CAC"/>
    <w:rsid w:val="00F61B21"/>
    <w:rsid w:val="00F61FFC"/>
    <w:rsid w:val="00F625CA"/>
    <w:rsid w:val="00F62A93"/>
    <w:rsid w:val="00F62AF9"/>
    <w:rsid w:val="00F62C6B"/>
    <w:rsid w:val="00F62CDB"/>
    <w:rsid w:val="00F62F06"/>
    <w:rsid w:val="00F6412C"/>
    <w:rsid w:val="00F644AD"/>
    <w:rsid w:val="00F646BE"/>
    <w:rsid w:val="00F64FF5"/>
    <w:rsid w:val="00F66320"/>
    <w:rsid w:val="00F663A8"/>
    <w:rsid w:val="00F66A76"/>
    <w:rsid w:val="00F674BA"/>
    <w:rsid w:val="00F6767A"/>
    <w:rsid w:val="00F67E6A"/>
    <w:rsid w:val="00F70A48"/>
    <w:rsid w:val="00F70BAD"/>
    <w:rsid w:val="00F713ED"/>
    <w:rsid w:val="00F71668"/>
    <w:rsid w:val="00F73140"/>
    <w:rsid w:val="00F74364"/>
    <w:rsid w:val="00F74666"/>
    <w:rsid w:val="00F7492D"/>
    <w:rsid w:val="00F751A4"/>
    <w:rsid w:val="00F7568A"/>
    <w:rsid w:val="00F77C1A"/>
    <w:rsid w:val="00F77E91"/>
    <w:rsid w:val="00F81073"/>
    <w:rsid w:val="00F812E4"/>
    <w:rsid w:val="00F815BB"/>
    <w:rsid w:val="00F825C9"/>
    <w:rsid w:val="00F8344B"/>
    <w:rsid w:val="00F83C40"/>
    <w:rsid w:val="00F83EEA"/>
    <w:rsid w:val="00F844DC"/>
    <w:rsid w:val="00F8461A"/>
    <w:rsid w:val="00F84BEC"/>
    <w:rsid w:val="00F852BE"/>
    <w:rsid w:val="00F86368"/>
    <w:rsid w:val="00F8731D"/>
    <w:rsid w:val="00F879C5"/>
    <w:rsid w:val="00F87CAF"/>
    <w:rsid w:val="00F87FA4"/>
    <w:rsid w:val="00F90063"/>
    <w:rsid w:val="00F90A3D"/>
    <w:rsid w:val="00F90EC0"/>
    <w:rsid w:val="00F91222"/>
    <w:rsid w:val="00F91EB5"/>
    <w:rsid w:val="00F92352"/>
    <w:rsid w:val="00F9267B"/>
    <w:rsid w:val="00F93469"/>
    <w:rsid w:val="00F93B7A"/>
    <w:rsid w:val="00F94ACE"/>
    <w:rsid w:val="00F94AE5"/>
    <w:rsid w:val="00F94C20"/>
    <w:rsid w:val="00F94EAF"/>
    <w:rsid w:val="00F96581"/>
    <w:rsid w:val="00F96AF2"/>
    <w:rsid w:val="00F96D11"/>
    <w:rsid w:val="00F96F50"/>
    <w:rsid w:val="00F970A7"/>
    <w:rsid w:val="00F9731E"/>
    <w:rsid w:val="00F9738D"/>
    <w:rsid w:val="00FA0A41"/>
    <w:rsid w:val="00FA1622"/>
    <w:rsid w:val="00FA1A3F"/>
    <w:rsid w:val="00FA2228"/>
    <w:rsid w:val="00FA2A03"/>
    <w:rsid w:val="00FA36A5"/>
    <w:rsid w:val="00FA57BD"/>
    <w:rsid w:val="00FA59C4"/>
    <w:rsid w:val="00FA59C6"/>
    <w:rsid w:val="00FA5A3F"/>
    <w:rsid w:val="00FA5B04"/>
    <w:rsid w:val="00FA5F7E"/>
    <w:rsid w:val="00FA6140"/>
    <w:rsid w:val="00FA6AEF"/>
    <w:rsid w:val="00FB0167"/>
    <w:rsid w:val="00FB0EBB"/>
    <w:rsid w:val="00FB10F6"/>
    <w:rsid w:val="00FB13A2"/>
    <w:rsid w:val="00FB1402"/>
    <w:rsid w:val="00FB15EB"/>
    <w:rsid w:val="00FB19EB"/>
    <w:rsid w:val="00FB337C"/>
    <w:rsid w:val="00FB3A29"/>
    <w:rsid w:val="00FB41AF"/>
    <w:rsid w:val="00FB47DE"/>
    <w:rsid w:val="00FB492C"/>
    <w:rsid w:val="00FB4A1C"/>
    <w:rsid w:val="00FB4CA7"/>
    <w:rsid w:val="00FB60CC"/>
    <w:rsid w:val="00FB60FB"/>
    <w:rsid w:val="00FB612E"/>
    <w:rsid w:val="00FB6635"/>
    <w:rsid w:val="00FB6B37"/>
    <w:rsid w:val="00FB7510"/>
    <w:rsid w:val="00FC08D8"/>
    <w:rsid w:val="00FC111B"/>
    <w:rsid w:val="00FC1A5E"/>
    <w:rsid w:val="00FC1DE5"/>
    <w:rsid w:val="00FC206B"/>
    <w:rsid w:val="00FC23C7"/>
    <w:rsid w:val="00FC2710"/>
    <w:rsid w:val="00FC27DC"/>
    <w:rsid w:val="00FC3E40"/>
    <w:rsid w:val="00FC3FB7"/>
    <w:rsid w:val="00FC4378"/>
    <w:rsid w:val="00FC52C1"/>
    <w:rsid w:val="00FC5A6D"/>
    <w:rsid w:val="00FC5B2A"/>
    <w:rsid w:val="00FC623B"/>
    <w:rsid w:val="00FC6281"/>
    <w:rsid w:val="00FC65D0"/>
    <w:rsid w:val="00FC772C"/>
    <w:rsid w:val="00FC7DB1"/>
    <w:rsid w:val="00FD0284"/>
    <w:rsid w:val="00FD0BC0"/>
    <w:rsid w:val="00FD1078"/>
    <w:rsid w:val="00FD12DB"/>
    <w:rsid w:val="00FD1306"/>
    <w:rsid w:val="00FD3713"/>
    <w:rsid w:val="00FD434E"/>
    <w:rsid w:val="00FD4587"/>
    <w:rsid w:val="00FD47F8"/>
    <w:rsid w:val="00FD57E2"/>
    <w:rsid w:val="00FD5B9B"/>
    <w:rsid w:val="00FD66DD"/>
    <w:rsid w:val="00FD6921"/>
    <w:rsid w:val="00FD77C2"/>
    <w:rsid w:val="00FE175F"/>
    <w:rsid w:val="00FE1F8E"/>
    <w:rsid w:val="00FE26DD"/>
    <w:rsid w:val="00FE2EB3"/>
    <w:rsid w:val="00FE2ED7"/>
    <w:rsid w:val="00FE329D"/>
    <w:rsid w:val="00FE34B0"/>
    <w:rsid w:val="00FE371B"/>
    <w:rsid w:val="00FE379B"/>
    <w:rsid w:val="00FE3AFB"/>
    <w:rsid w:val="00FE3E6F"/>
    <w:rsid w:val="00FE400F"/>
    <w:rsid w:val="00FE4187"/>
    <w:rsid w:val="00FE4697"/>
    <w:rsid w:val="00FE58C5"/>
    <w:rsid w:val="00FE5ADE"/>
    <w:rsid w:val="00FE5C0B"/>
    <w:rsid w:val="00FE5E79"/>
    <w:rsid w:val="00FE788D"/>
    <w:rsid w:val="00FE797F"/>
    <w:rsid w:val="00FF052C"/>
    <w:rsid w:val="00FF05CB"/>
    <w:rsid w:val="00FF1B26"/>
    <w:rsid w:val="00FF211E"/>
    <w:rsid w:val="00FF22E1"/>
    <w:rsid w:val="00FF27FB"/>
    <w:rsid w:val="00FF31B0"/>
    <w:rsid w:val="00FF3215"/>
    <w:rsid w:val="00FF3E5C"/>
    <w:rsid w:val="00FF4658"/>
    <w:rsid w:val="00FF473D"/>
    <w:rsid w:val="00FF4E8A"/>
    <w:rsid w:val="00FF556A"/>
    <w:rsid w:val="00FF5D50"/>
    <w:rsid w:val="00FF5E33"/>
    <w:rsid w:val="00FF609F"/>
    <w:rsid w:val="00FF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08FD0"/>
  <w15:docId w15:val="{A3C56C42-C2BB-4C69-A941-45FEB8511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5F8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18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631F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31F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31F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31F1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31F1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31F1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31F1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31F1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31F1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573F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573F1"/>
  </w:style>
  <w:style w:type="paragraph" w:styleId="Zpat">
    <w:name w:val="footer"/>
    <w:basedOn w:val="Normln"/>
    <w:link w:val="ZpatChar"/>
    <w:uiPriority w:val="99"/>
    <w:unhideWhenUsed/>
    <w:rsid w:val="00F573F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573F1"/>
  </w:style>
  <w:style w:type="paragraph" w:customStyle="1" w:styleId="Standard">
    <w:name w:val="Standard"/>
    <w:rsid w:val="00F573F1"/>
    <w:pPr>
      <w:suppressAutoHyphens/>
      <w:autoSpaceDN w:val="0"/>
      <w:spacing w:after="0" w:line="240" w:lineRule="auto"/>
      <w:jc w:val="both"/>
      <w:textAlignment w:val="baseline"/>
    </w:pPr>
    <w:rPr>
      <w:rFonts w:ascii="Arial" w:eastAsia="Times New Roman" w:hAnsi="Arial" w:cs="Arial Unicode MS"/>
      <w:kern w:val="3"/>
      <w:sz w:val="18"/>
      <w:szCs w:val="20"/>
      <w:lang w:eastAsia="zh-CN" w:bidi="hi-IN"/>
    </w:rPr>
  </w:style>
  <w:style w:type="character" w:styleId="Hypertextovodkaz">
    <w:name w:val="Hyperlink"/>
    <w:basedOn w:val="Standardnpsmoodstavce"/>
    <w:uiPriority w:val="99"/>
    <w:rsid w:val="005A2501"/>
    <w:rPr>
      <w:rFonts w:cs="Times New Roman"/>
      <w:color w:val="0000FF"/>
      <w:u w:val="single"/>
    </w:rPr>
  </w:style>
  <w:style w:type="paragraph" w:styleId="Normlnweb">
    <w:name w:val="Normal (Web)"/>
    <w:basedOn w:val="Normln"/>
    <w:uiPriority w:val="99"/>
    <w:rsid w:val="005A2501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eastAsia="Calibri" w:hAnsi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1711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139AF"/>
    <w:rPr>
      <w:rFonts w:cs="Arial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39AF"/>
    <w:rPr>
      <w:rFonts w:ascii="Arial" w:eastAsia="Times New Roman" w:hAnsi="Arial" w:cs="Arial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EA574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A5747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A5747"/>
    <w:rPr>
      <w:rFonts w:ascii="Arial" w:eastAsia="Times New Roman" w:hAnsi="Arial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574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574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46651A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C12AFA"/>
    <w:rPr>
      <w:b/>
      <w:bCs/>
    </w:rPr>
  </w:style>
  <w:style w:type="paragraph" w:customStyle="1" w:styleId="THnorm">
    <w:name w:val="TH norm"/>
    <w:basedOn w:val="Normln"/>
    <w:rsid w:val="006A7BEA"/>
    <w:pPr>
      <w:tabs>
        <w:tab w:val="left" w:pos="0"/>
      </w:tabs>
      <w:overflowPunct/>
      <w:autoSpaceDE/>
      <w:autoSpaceDN/>
      <w:adjustRightInd/>
      <w:spacing w:after="120"/>
      <w:ind w:firstLine="709"/>
      <w:textAlignment w:val="auto"/>
    </w:pPr>
    <w:rPr>
      <w:rFonts w:ascii="Times New Roman" w:hAnsi="Times New Roman"/>
      <w:sz w:val="24"/>
      <w:szCs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968AC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0444EA"/>
    <w:rPr>
      <w:color w:val="954F72" w:themeColor="followedHyperlink"/>
      <w:u w:val="singl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5A0ACF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BA19E0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012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F7BDA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F7BDA"/>
    <w:rPr>
      <w:rFonts w:ascii="Arial" w:eastAsia="Times New Roman" w:hAnsi="Arial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6F7BDA"/>
    <w:rPr>
      <w:vertAlign w:val="superscript"/>
    </w:rPr>
  </w:style>
  <w:style w:type="paragraph" w:customStyle="1" w:styleId="xmsonormal">
    <w:name w:val="xmsonormal"/>
    <w:basedOn w:val="Normln"/>
    <w:rsid w:val="00051022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eastAsia="Calibri" w:hAnsi="Calibri" w:cs="Calibri"/>
      <w:sz w:val="22"/>
      <w:szCs w:val="22"/>
    </w:rPr>
  </w:style>
  <w:style w:type="character" w:customStyle="1" w:styleId="xpk-token">
    <w:name w:val="xpk-token"/>
    <w:basedOn w:val="Standardnpsmoodstavce"/>
    <w:rsid w:val="00051022"/>
  </w:style>
  <w:style w:type="paragraph" w:customStyle="1" w:styleId="xmsonormal0">
    <w:name w:val="x_msonormal"/>
    <w:basedOn w:val="Normln"/>
    <w:rsid w:val="00162D23"/>
    <w:pPr>
      <w:overflowPunct/>
      <w:autoSpaceDE/>
      <w:autoSpaceDN/>
      <w:adjustRightInd/>
      <w:jc w:val="left"/>
      <w:textAlignment w:val="auto"/>
    </w:pPr>
    <w:rPr>
      <w:rFonts w:ascii="Calibri" w:eastAsiaTheme="minorHAnsi" w:hAnsi="Calibri" w:cs="Calibri"/>
      <w:sz w:val="22"/>
      <w:szCs w:val="22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A4A27"/>
    <w:rPr>
      <w:sz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A4A27"/>
    <w:rPr>
      <w:rFonts w:ascii="Arial" w:eastAsia="Times New Roman" w:hAnsi="Arial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A4A27"/>
    <w:rPr>
      <w:vertAlign w:val="superscript"/>
    </w:rPr>
  </w:style>
  <w:style w:type="paragraph" w:customStyle="1" w:styleId="CBANadpisvTABULCE">
    <w:name w:val="CBA Nadpis v TABULCE"/>
    <w:basedOn w:val="Normln"/>
    <w:qFormat/>
    <w:rsid w:val="0028530F"/>
    <w:pPr>
      <w:spacing w:before="120" w:after="120"/>
      <w:jc w:val="left"/>
    </w:pPr>
    <w:rPr>
      <w:b/>
      <w:bCs/>
      <w:color w:val="13576B"/>
    </w:rPr>
  </w:style>
  <w:style w:type="paragraph" w:customStyle="1" w:styleId="CBAodstavecvTABULCE">
    <w:name w:val="CBA odstavec v TABULCE"/>
    <w:basedOn w:val="Normln"/>
    <w:qFormat/>
    <w:rsid w:val="0028530F"/>
    <w:pPr>
      <w:spacing w:before="120" w:after="120"/>
      <w:jc w:val="left"/>
    </w:pPr>
    <w:rPr>
      <w:color w:val="13576B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1177C9"/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1177C9"/>
    <w:rPr>
      <w:rFonts w:ascii="Consolas" w:eastAsia="Times New Roman" w:hAnsi="Consolas" w:cs="Times New Roman"/>
      <w:sz w:val="21"/>
      <w:szCs w:val="21"/>
      <w:lang w:eastAsia="cs-CZ"/>
    </w:rPr>
  </w:style>
  <w:style w:type="character" w:styleId="Nzevknihy">
    <w:name w:val="Book Title"/>
    <w:basedOn w:val="Standardnpsmoodstavce"/>
    <w:uiPriority w:val="33"/>
    <w:qFormat/>
    <w:rsid w:val="00631F13"/>
    <w:rPr>
      <w:b/>
      <w:bCs/>
      <w:i/>
      <w:iCs/>
      <w:spacing w:val="5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631F13"/>
    <w:pPr>
      <w:spacing w:after="200"/>
    </w:pPr>
    <w:rPr>
      <w:i/>
      <w:iCs/>
      <w:color w:val="44546A" w:themeColor="text2"/>
      <w:szCs w:val="18"/>
    </w:rPr>
  </w:style>
  <w:style w:type="character" w:styleId="Zdraznn">
    <w:name w:val="Emphasis"/>
    <w:basedOn w:val="Standardnpsmoodstavce"/>
    <w:uiPriority w:val="20"/>
    <w:qFormat/>
    <w:rsid w:val="00631F13"/>
    <w:rPr>
      <w:i/>
      <w:iCs/>
    </w:rPr>
  </w:style>
  <w:style w:type="character" w:customStyle="1" w:styleId="Nadpis1Char">
    <w:name w:val="Nadpis 1 Char"/>
    <w:basedOn w:val="Standardnpsmoodstavce"/>
    <w:link w:val="Nadpis1"/>
    <w:uiPriority w:val="9"/>
    <w:rsid w:val="00631F1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31F1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31F1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31F13"/>
    <w:rPr>
      <w:rFonts w:asciiTheme="majorHAnsi" w:eastAsiaTheme="majorEastAsia" w:hAnsiTheme="majorHAnsi" w:cstheme="majorBidi"/>
      <w:i/>
      <w:iCs/>
      <w:color w:val="2E74B5" w:themeColor="accent1" w:themeShade="BF"/>
      <w:sz w:val="18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31F13"/>
    <w:rPr>
      <w:rFonts w:asciiTheme="majorHAnsi" w:eastAsiaTheme="majorEastAsia" w:hAnsiTheme="majorHAnsi" w:cstheme="majorBidi"/>
      <w:color w:val="2E74B5" w:themeColor="accent1" w:themeShade="BF"/>
      <w:sz w:val="18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31F13"/>
    <w:rPr>
      <w:rFonts w:asciiTheme="majorHAnsi" w:eastAsiaTheme="majorEastAsia" w:hAnsiTheme="majorHAnsi" w:cstheme="majorBidi"/>
      <w:color w:val="1F4D78" w:themeColor="accent1" w:themeShade="7F"/>
      <w:sz w:val="18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31F13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31F1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31F1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  <w:style w:type="character" w:styleId="Zdraznnintenzivn">
    <w:name w:val="Intense Emphasis"/>
    <w:basedOn w:val="Standardnpsmoodstavce"/>
    <w:uiPriority w:val="21"/>
    <w:qFormat/>
    <w:rsid w:val="00631F13"/>
    <w:rPr>
      <w:i/>
      <w:iCs/>
      <w:color w:val="5B9BD5" w:themeColor="accen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31F1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31F13"/>
    <w:rPr>
      <w:rFonts w:ascii="Arial" w:eastAsia="Times New Roman" w:hAnsi="Arial" w:cs="Times New Roman"/>
      <w:i/>
      <w:iCs/>
      <w:color w:val="5B9BD5" w:themeColor="accent1"/>
      <w:sz w:val="18"/>
      <w:szCs w:val="20"/>
      <w:lang w:eastAsia="cs-CZ"/>
    </w:rPr>
  </w:style>
  <w:style w:type="character" w:styleId="Odkazintenzivn">
    <w:name w:val="Intense Reference"/>
    <w:basedOn w:val="Standardnpsmoodstavce"/>
    <w:uiPriority w:val="32"/>
    <w:qFormat/>
    <w:rsid w:val="00631F13"/>
    <w:rPr>
      <w:b/>
      <w:bCs/>
      <w:smallCaps/>
      <w:color w:val="5B9BD5" w:themeColor="accent1"/>
      <w:spacing w:val="5"/>
    </w:rPr>
  </w:style>
  <w:style w:type="paragraph" w:styleId="Bezmezer">
    <w:name w:val="No Spacing"/>
    <w:uiPriority w:val="1"/>
    <w:qFormat/>
    <w:rsid w:val="00631F1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18"/>
      <w:szCs w:val="20"/>
      <w:lang w:eastAsia="cs-CZ"/>
    </w:rPr>
  </w:style>
  <w:style w:type="paragraph" w:styleId="Citt">
    <w:name w:val="Quote"/>
    <w:basedOn w:val="Normln"/>
    <w:next w:val="Normln"/>
    <w:link w:val="CittChar"/>
    <w:uiPriority w:val="29"/>
    <w:qFormat/>
    <w:rsid w:val="00631F1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31F13"/>
    <w:rPr>
      <w:rFonts w:ascii="Arial" w:eastAsia="Times New Roman" w:hAnsi="Arial" w:cs="Times New Roman"/>
      <w:i/>
      <w:iCs/>
      <w:color w:val="404040" w:themeColor="text1" w:themeTint="BF"/>
      <w:sz w:val="18"/>
      <w:szCs w:val="20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31F1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631F13"/>
    <w:rPr>
      <w:rFonts w:eastAsiaTheme="minorEastAsia"/>
      <w:color w:val="5A5A5A" w:themeColor="text1" w:themeTint="A5"/>
      <w:spacing w:val="15"/>
      <w:lang w:eastAsia="cs-CZ"/>
    </w:rPr>
  </w:style>
  <w:style w:type="character" w:styleId="Zdraznnjemn">
    <w:name w:val="Subtle Emphasis"/>
    <w:basedOn w:val="Standardnpsmoodstavce"/>
    <w:uiPriority w:val="19"/>
    <w:qFormat/>
    <w:rsid w:val="00631F13"/>
    <w:rPr>
      <w:i/>
      <w:iCs/>
      <w:color w:val="404040" w:themeColor="text1" w:themeTint="BF"/>
    </w:rPr>
  </w:style>
  <w:style w:type="character" w:styleId="Odkazjemn">
    <w:name w:val="Subtle Reference"/>
    <w:basedOn w:val="Standardnpsmoodstavce"/>
    <w:uiPriority w:val="31"/>
    <w:qFormat/>
    <w:rsid w:val="00631F13"/>
    <w:rPr>
      <w:smallCaps/>
      <w:color w:val="5A5A5A" w:themeColor="text1" w:themeTint="A5"/>
    </w:rPr>
  </w:style>
  <w:style w:type="paragraph" w:styleId="Nzev">
    <w:name w:val="Title"/>
    <w:basedOn w:val="Normln"/>
    <w:next w:val="Normln"/>
    <w:link w:val="NzevChar"/>
    <w:uiPriority w:val="10"/>
    <w:qFormat/>
    <w:rsid w:val="00631F1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31F13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31F1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063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33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66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144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4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39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35723">
          <w:marLeft w:val="288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7238">
          <w:marLeft w:val="288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784">
          <w:marLeft w:val="1080"/>
          <w:marRight w:val="0"/>
          <w:marTop w:val="36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5497">
          <w:marLeft w:val="1080"/>
          <w:marRight w:val="0"/>
          <w:marTop w:val="36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8414">
          <w:marLeft w:val="288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1847">
          <w:marLeft w:val="288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9034">
          <w:marLeft w:val="288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8889">
          <w:marLeft w:val="288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9719">
          <w:marLeft w:val="288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4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201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69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4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22814">
          <w:marLeft w:val="0"/>
          <w:marRight w:val="15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1918499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8307479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9142399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92958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49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8825838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8" w:color="000000"/>
            <w:right w:val="single" w:sz="2" w:space="0" w:color="000000"/>
          </w:divBdr>
          <w:divsChild>
            <w:div w:id="20753954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1989819">
                  <w:marLeft w:val="0"/>
                  <w:marRight w:val="0"/>
                  <w:marTop w:val="0"/>
                  <w:marBottom w:val="3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7798347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7058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392079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962956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719091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2044553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  <w:div w:id="1449860268">
                                      <w:marLeft w:val="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54464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2290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4" w:color="000000"/>
                                <w:bottom w:val="single" w:sz="2" w:space="0" w:color="000000"/>
                                <w:right w:val="single" w:sz="2" w:space="4" w:color="00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9621024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0217159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5555561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  <w:div w:id="198203323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143278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942714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464040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662074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97575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7284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45826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208638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8" w:color="000000"/>
                                                    <w:bottom w:val="single" w:sz="2" w:space="0" w:color="000000"/>
                                                    <w:right w:val="single" w:sz="2" w:space="8" w:color="000000"/>
                                                  </w:divBdr>
                                                  <w:divsChild>
                                                    <w:div w:id="1928464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04856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8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904020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02988206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491291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354237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8" w:color="000000"/>
                                                    <w:bottom w:val="single" w:sz="2" w:space="0" w:color="000000"/>
                                                    <w:right w:val="single" w:sz="2" w:space="8" w:color="000000"/>
                                                  </w:divBdr>
                                                  <w:divsChild>
                                                    <w:div w:id="101464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42356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8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110931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4566048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746099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2134010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8" w:color="000000"/>
                                                    <w:bottom w:val="single" w:sz="2" w:space="0" w:color="000000"/>
                                                    <w:right w:val="single" w:sz="2" w:space="8" w:color="000000"/>
                                                  </w:divBdr>
                                                  <w:divsChild>
                                                    <w:div w:id="1329213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94777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8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479616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0835978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427583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9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634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17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30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545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805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0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8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4982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06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77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28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05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50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13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5432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4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www.cbamonitor.cz/aktuality/trzni-sily-v-hypotecnich-sazbach-rust-trznich-uroku-se-do-hypotek-promitl-jen-castecne-pomaha-silna-konkurence-na-trhu" TargetMode="External"/><Relationship Id="rId26" Type="http://schemas.openxmlformats.org/officeDocument/2006/relationships/hyperlink" Target="https://www.cbamonitor.cz/aktuality/ceny-nemovitosti-zpomalily-rust-pod-8-anualizovane-ale-starsi-si-drzi-10-tempo" TargetMode="External"/><Relationship Id="rId39" Type="http://schemas.openxmlformats.org/officeDocument/2006/relationships/hyperlink" Target="http://www.cbaonline.cz" TargetMode="External"/><Relationship Id="rId21" Type="http://schemas.openxmlformats.org/officeDocument/2006/relationships/image" Target="media/image7.png"/><Relationship Id="rId34" Type="http://schemas.openxmlformats.org/officeDocument/2006/relationships/image" Target="media/image10.png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https://www.cbamonitor.cz/statistika/mesicni-vyvoj-inflace" TargetMode="External"/><Relationship Id="rId29" Type="http://schemas.openxmlformats.org/officeDocument/2006/relationships/hyperlink" Target="https://www.cbamonitor.cz/kategorie/ceny-nemovitosti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bamonitor.cz/aktuality/cnb-zvysuje-kapitalovou-rezervu-bank-reaguje-na-rychlejsi-rust-uveru-i-nova-rizika" TargetMode="External"/><Relationship Id="rId24" Type="http://schemas.openxmlformats.org/officeDocument/2006/relationships/image" Target="media/image9.emf"/><Relationship Id="rId32" Type="http://schemas.openxmlformats.org/officeDocument/2006/relationships/hyperlink" Target="https://www.cbamonitor.cz/statistika/dynamika-mezd" TargetMode="External"/><Relationship Id="rId37" Type="http://schemas.openxmlformats.org/officeDocument/2006/relationships/hyperlink" Target="https://www.cbamonitor.cz/statistika/prognoza-prumerna-mzda" TargetMode="External"/><Relationship Id="rId40" Type="http://schemas.openxmlformats.org/officeDocument/2006/relationships/hyperlink" Target="https://www.cbamonitor.cz/kategorie/cba-hypomonito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yperlink" Target="https://www.cbamonitor.cz/aktuality/vlna-refixaci-hypotek-sili-urokovy-sok-ale-slabne-rizikem-zustava-vyssi-inflace" TargetMode="External"/><Relationship Id="rId28" Type="http://schemas.openxmlformats.org/officeDocument/2006/relationships/hyperlink" Target="https://www.cbamonitor.cz/aktuality/transakcni-ceny-bytu-nepolevuji-v-rustu_prilis-nepolevily" TargetMode="External"/><Relationship Id="rId36" Type="http://schemas.openxmlformats.org/officeDocument/2006/relationships/image" Target="media/image12.png"/><Relationship Id="rId10" Type="http://schemas.openxmlformats.org/officeDocument/2006/relationships/endnotes" Target="endnotes.xml"/><Relationship Id="rId19" Type="http://schemas.openxmlformats.org/officeDocument/2006/relationships/hyperlink" Target="https://www.cbamonitor.cz/aktuality/hypotecni-standardy-se-zprisnily-silna-poptavka-ale-tlumila-dopad-do-uverovych-podminek" TargetMode="External"/><Relationship Id="rId31" Type="http://schemas.openxmlformats.org/officeDocument/2006/relationships/hyperlink" Target="https://www.cbamonitor.cz/aktuality/pomalejsi-rust-mezd-si-ovsem-i-ve-druhem-ctvrtleti-udrzel-silne-momentu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8.png"/><Relationship Id="rId27" Type="http://schemas.openxmlformats.org/officeDocument/2006/relationships/hyperlink" Target="https://www.cbamonitor.cz/aktuality/zpomaleni-rustu-cen-novych-prazskych-bytu-se-do-cen-starsich-bytu-nepromitlo" TargetMode="External"/><Relationship Id="rId30" Type="http://schemas.openxmlformats.org/officeDocument/2006/relationships/hyperlink" Target="https://www.cbamonitor.cz/aktuality/cervencovy-prumysl-neotevrel-treti-ctvrtleti-rustem-stavebnictvi-vsak-roste" TargetMode="External"/><Relationship Id="rId35" Type="http://schemas.openxmlformats.org/officeDocument/2006/relationships/image" Target="media/image11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hyperlink" Target="https://www.cbamonitor.cz/aktuality/cnb-zprisnuje-podminky-pro-investicni-hypoteky-9-dopad-nebo-potrebna-redistribuce-poptavky" TargetMode="External"/><Relationship Id="rId33" Type="http://schemas.openxmlformats.org/officeDocument/2006/relationships/hyperlink" Target="https://www.cbamonitor.cz/aktuality/pomalejsi-rust-ceske-ekonomiky-v-prvnim-pololeti-opet-doprovazela-slaba-produktivita-i-vysoka-mira-uspor" TargetMode="External"/><Relationship Id="rId38" Type="http://schemas.openxmlformats.org/officeDocument/2006/relationships/image" Target="media/image13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Vlastní 1">
      <a:majorFont>
        <a:latin typeface="Calibri Light"/>
        <a:ea typeface=""/>
        <a:cs typeface=""/>
      </a:majorFont>
      <a:minorFont>
        <a:latin typeface="Calibri Light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09ec118-0c61-46db-bb00-952e09940a1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C0CBE5B95D55468F8CF7D6D1C8CB6B" ma:contentTypeVersion="10" ma:contentTypeDescription="Create a new document." ma:contentTypeScope="" ma:versionID="03de8c559e19055c2732f6aae148e160">
  <xsd:schema xmlns:xsd="http://www.w3.org/2001/XMLSchema" xmlns:xs="http://www.w3.org/2001/XMLSchema" xmlns:p="http://schemas.microsoft.com/office/2006/metadata/properties" xmlns:ns3="b09ec118-0c61-46db-bb00-952e09940a1f" targetNamespace="http://schemas.microsoft.com/office/2006/metadata/properties" ma:root="true" ma:fieldsID="a58f24d30c88e6ff28d70a1926b856b7" ns3:_="">
    <xsd:import namespace="b09ec118-0c61-46db-bb00-952e09940a1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ec118-0c61-46db-bb00-952e09940a1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A9F6F5-D843-4129-900A-FD170C2ABB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B935B7-8C88-4CAE-A0AA-13A352B0843E}">
  <ds:schemaRefs>
    <ds:schemaRef ds:uri="http://schemas.microsoft.com/office/2006/metadata/properties"/>
    <ds:schemaRef ds:uri="http://schemas.microsoft.com/office/infopath/2007/PartnerControls"/>
    <ds:schemaRef ds:uri="b09ec118-0c61-46db-bb00-952e09940a1f"/>
  </ds:schemaRefs>
</ds:datastoreItem>
</file>

<file path=customXml/itemProps3.xml><?xml version="1.0" encoding="utf-8"?>
<ds:datastoreItem xmlns:ds="http://schemas.openxmlformats.org/officeDocument/2006/customXml" ds:itemID="{90F695EA-D77D-4F66-A87E-5245D7A921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464796-18D1-44D3-AEB3-40E112819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9ec118-0c61-46db-bb00-952e09940a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</Pages>
  <Words>3041</Words>
  <Characters>17947</Characters>
  <Application>Microsoft Office Word</Application>
  <DocSecurity>0</DocSecurity>
  <Lines>149</Lines>
  <Paragraphs>41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martina vlachova</dc:creator>
  <cp:lastModifiedBy>Duffek, Adam (ČBA)</cp:lastModifiedBy>
  <cp:revision>3</cp:revision>
  <cp:lastPrinted>2025-08-14T09:13:00Z</cp:lastPrinted>
  <dcterms:created xsi:type="dcterms:W3CDTF">2026-10-13T13:40:00Z</dcterms:created>
  <dcterms:modified xsi:type="dcterms:W3CDTF">2026-10-13T14:27:00Z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0x0101004DC0CBE5B95D55468F8CF7D6D1C8CB6B</vt:lpwstr>
  </property>
</Properties>
</file>