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CFB2" w14:textId="2AAD44FE" w:rsidR="004332EC" w:rsidRDefault="004C4605" w:rsidP="004332EC">
      <w:pPr>
        <w:rPr>
          <w:rFonts w:ascii="Calibri" w:hAnsi="Calibri" w:cs="Calibri"/>
          <w:b/>
          <w:color w:val="13576B"/>
          <w:sz w:val="32"/>
          <w:szCs w:val="32"/>
        </w:rPr>
      </w:pPr>
      <w:bookmarkStart w:id="0" w:name="_Hlk221885432"/>
      <w:bookmarkStart w:id="1" w:name="_Hlk111121205"/>
      <w:bookmarkStart w:id="2" w:name="_Hlk116472656"/>
      <w:bookmarkEnd w:id="0"/>
      <w:r w:rsidRPr="00616069">
        <w:rPr>
          <w:rFonts w:cs="Arial"/>
          <w:noProof/>
          <w:lang w:eastAsia="en-GB"/>
        </w:rPr>
        <mc:AlternateContent>
          <mc:Choice Requires="wps">
            <w:drawing>
              <wp:anchor distT="45720" distB="45720" distL="114300" distR="114300" simplePos="0" relativeHeight="251670528" behindDoc="0" locked="0" layoutInCell="1" allowOverlap="1" wp14:anchorId="2D226F0A" wp14:editId="7C880E22">
                <wp:simplePos x="0" y="0"/>
                <wp:positionH relativeFrom="margin">
                  <wp:posOffset>2228850</wp:posOffset>
                </wp:positionH>
                <wp:positionV relativeFrom="paragraph">
                  <wp:posOffset>-954405</wp:posOffset>
                </wp:positionV>
                <wp:extent cx="2941608" cy="1404620"/>
                <wp:effectExtent l="0" t="0" r="0" b="0"/>
                <wp:wrapNone/>
                <wp:docPr id="2647617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32B97BB3" w14:textId="6E5A2C0E" w:rsidR="004C4605" w:rsidRPr="00616069" w:rsidRDefault="004C4605" w:rsidP="004C460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26F0A" id="_x0000_t202" coordsize="21600,21600" o:spt="202" path="m,l,21600r21600,l21600,xe">
                <v:stroke joinstyle="miter"/>
                <v:path gradientshapeok="t" o:connecttype="rect"/>
              </v:shapetype>
              <v:shape id="Textové pole 2" o:spid="_x0000_s1026" type="#_x0000_t202" style="position:absolute;left:0;text-align:left;margin-left:175.5pt;margin-top:-75.15pt;width:231.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" filled="f" stroked="f">
                <v:textbox style="mso-fit-shape-to-text:t">
                  <w:txbxContent>
                    <w:p w14:paraId="32B97BB3" w14:textId="6E5A2C0E" w:rsidR="004C4605" w:rsidRPr="00616069" w:rsidRDefault="004C4605" w:rsidP="004C4605">
                      <w:pPr>
                        <w:spacing w:line="276" w:lineRule="auto"/>
                        <w:jc w:val="right"/>
                        <w:rPr>
                          <w:rFonts w:ascii="Calibri" w:hAnsi="Calibri" w:cs="Calibri"/>
                          <w:b/>
                          <w:color w:val="FF0000"/>
                          <w:sz w:val="40"/>
                          <w:szCs w:val="40"/>
                        </w:rPr>
                      </w:pPr>
                    </w:p>
                  </w:txbxContent>
                </v:textbox>
                <w10:wrap anchorx="margin"/>
              </v:shape>
            </w:pict>
          </mc:Fallback>
        </mc:AlternateContent>
      </w:r>
      <w:r w:rsidR="003D3759" w:rsidRPr="00616069">
        <w:rPr>
          <w:rFonts w:ascii="Calibri" w:hAnsi="Calibri" w:cs="Calibri"/>
          <w:b/>
          <w:color w:val="13576B"/>
          <w:sz w:val="32"/>
          <w:szCs w:val="32"/>
        </w:rPr>
        <w:t xml:space="preserve">ČBA </w:t>
      </w:r>
      <w:proofErr w:type="spellStart"/>
      <w:r w:rsidR="003D3759" w:rsidRPr="00616069">
        <w:rPr>
          <w:rFonts w:ascii="Calibri" w:hAnsi="Calibri" w:cs="Calibri"/>
          <w:b/>
          <w:color w:val="13576B"/>
          <w:sz w:val="32"/>
          <w:szCs w:val="32"/>
        </w:rPr>
        <w:t>Hypomonito</w:t>
      </w:r>
      <w:r w:rsidR="007C0E2D">
        <w:rPr>
          <w:rFonts w:ascii="Calibri" w:hAnsi="Calibri" w:cs="Calibri"/>
          <w:b/>
          <w:color w:val="13576B"/>
          <w:sz w:val="32"/>
          <w:szCs w:val="32"/>
        </w:rPr>
        <w:t>r</w:t>
      </w:r>
      <w:proofErr w:type="spellEnd"/>
      <w:r w:rsidR="003D3759" w:rsidRPr="00616069">
        <w:rPr>
          <w:rFonts w:ascii="Calibri" w:hAnsi="Calibri" w:cs="Calibri"/>
          <w:b/>
          <w:color w:val="13576B"/>
          <w:sz w:val="32"/>
          <w:szCs w:val="32"/>
        </w:rPr>
        <w:t>:</w:t>
      </w:r>
      <w:r>
        <w:rPr>
          <w:rFonts w:ascii="Calibri" w:hAnsi="Calibri" w:cs="Calibri"/>
          <w:b/>
          <w:color w:val="13576B"/>
          <w:sz w:val="32"/>
          <w:szCs w:val="32"/>
        </w:rPr>
        <w:t xml:space="preserve"> </w:t>
      </w:r>
      <w:bookmarkEnd w:id="1"/>
      <w:r w:rsidR="004226ED">
        <w:rPr>
          <w:rFonts w:ascii="Calibri" w:hAnsi="Calibri" w:cs="Calibri"/>
          <w:b/>
          <w:color w:val="13576B"/>
          <w:sz w:val="32"/>
          <w:szCs w:val="32"/>
        </w:rPr>
        <w:t>Zchlazení hypoték v</w:t>
      </w:r>
      <w:r w:rsidR="005849B1">
        <w:rPr>
          <w:rFonts w:ascii="Calibri" w:hAnsi="Calibri" w:cs="Calibri"/>
          <w:b/>
          <w:color w:val="13576B"/>
          <w:sz w:val="32"/>
          <w:szCs w:val="32"/>
        </w:rPr>
        <w:t> </w:t>
      </w:r>
      <w:r w:rsidR="004226ED">
        <w:rPr>
          <w:rFonts w:ascii="Calibri" w:hAnsi="Calibri" w:cs="Calibri"/>
          <w:b/>
          <w:color w:val="13576B"/>
          <w:sz w:val="32"/>
          <w:szCs w:val="32"/>
        </w:rPr>
        <w:t>srpnu</w:t>
      </w:r>
      <w:r w:rsidR="005849B1">
        <w:rPr>
          <w:rFonts w:ascii="Calibri" w:hAnsi="Calibri" w:cs="Calibri"/>
          <w:b/>
          <w:color w:val="13576B"/>
          <w:sz w:val="32"/>
          <w:szCs w:val="32"/>
        </w:rPr>
        <w:t xml:space="preserve"> pokračovalo se </w:t>
      </w:r>
      <w:r w:rsidR="004226ED">
        <w:rPr>
          <w:rFonts w:ascii="Calibri" w:hAnsi="Calibri" w:cs="Calibri"/>
          <w:b/>
          <w:color w:val="13576B"/>
          <w:sz w:val="32"/>
          <w:szCs w:val="32"/>
        </w:rPr>
        <w:t>sazb</w:t>
      </w:r>
      <w:r w:rsidR="005849B1">
        <w:rPr>
          <w:rFonts w:ascii="Calibri" w:hAnsi="Calibri" w:cs="Calibri"/>
          <w:b/>
          <w:color w:val="13576B"/>
          <w:sz w:val="32"/>
          <w:szCs w:val="32"/>
        </w:rPr>
        <w:t>ou</w:t>
      </w:r>
      <w:r w:rsidR="004226ED">
        <w:rPr>
          <w:rFonts w:ascii="Calibri" w:hAnsi="Calibri" w:cs="Calibri"/>
          <w:b/>
          <w:color w:val="13576B"/>
          <w:sz w:val="32"/>
          <w:szCs w:val="32"/>
        </w:rPr>
        <w:t xml:space="preserve"> na 5 %</w:t>
      </w:r>
    </w:p>
    <w:p w14:paraId="42DC3DB0" w14:textId="20C51F63" w:rsidR="005849B1" w:rsidRDefault="007967E6" w:rsidP="005849B1">
      <w:pPr>
        <w:rPr>
          <w:rFonts w:ascii="Calibri" w:hAnsi="Calibri" w:cs="Calibri"/>
          <w:b/>
          <w:bCs/>
          <w:color w:val="13576B"/>
          <w:sz w:val="22"/>
          <w:szCs w:val="22"/>
        </w:rPr>
      </w:pPr>
      <w:r w:rsidRPr="006B4CAC">
        <w:rPr>
          <w:rFonts w:ascii="Calibri" w:hAnsi="Calibri" w:cs="Calibri"/>
          <w:b/>
          <w:bCs/>
          <w:color w:val="13576B"/>
          <w:sz w:val="22"/>
          <w:szCs w:val="22"/>
        </w:rPr>
        <w:t xml:space="preserve">Praha, </w:t>
      </w:r>
      <w:r w:rsidR="00C016C1">
        <w:rPr>
          <w:rFonts w:ascii="Calibri" w:hAnsi="Calibri" w:cs="Calibri"/>
          <w:b/>
          <w:bCs/>
          <w:color w:val="13576B"/>
          <w:sz w:val="22"/>
          <w:szCs w:val="22"/>
        </w:rPr>
        <w:t>1</w:t>
      </w:r>
      <w:r w:rsidR="00134227">
        <w:rPr>
          <w:rFonts w:ascii="Calibri" w:hAnsi="Calibri" w:cs="Calibri"/>
          <w:b/>
          <w:bCs/>
          <w:color w:val="13576B"/>
          <w:sz w:val="22"/>
          <w:szCs w:val="22"/>
        </w:rPr>
        <w:t>6</w:t>
      </w:r>
      <w:r w:rsidRPr="006B4CAC">
        <w:rPr>
          <w:rFonts w:ascii="Calibri" w:hAnsi="Calibri" w:cs="Calibri"/>
          <w:b/>
          <w:bCs/>
          <w:color w:val="13576B"/>
          <w:sz w:val="22"/>
          <w:szCs w:val="22"/>
        </w:rPr>
        <w:t>.</w:t>
      </w:r>
      <w:r w:rsidR="00EE64D0">
        <w:rPr>
          <w:rFonts w:ascii="Calibri" w:hAnsi="Calibri" w:cs="Calibri"/>
          <w:b/>
          <w:bCs/>
          <w:color w:val="13576B"/>
          <w:sz w:val="22"/>
          <w:szCs w:val="22"/>
        </w:rPr>
        <w:t xml:space="preserve"> </w:t>
      </w:r>
      <w:r w:rsidR="004226ED">
        <w:rPr>
          <w:rFonts w:ascii="Calibri" w:hAnsi="Calibri" w:cs="Calibri"/>
          <w:b/>
          <w:bCs/>
          <w:color w:val="13576B"/>
          <w:sz w:val="22"/>
          <w:szCs w:val="22"/>
        </w:rPr>
        <w:t>září</w:t>
      </w:r>
      <w:r w:rsidRPr="006B4CAC">
        <w:rPr>
          <w:rFonts w:ascii="Calibri" w:hAnsi="Calibri" w:cs="Calibri"/>
          <w:b/>
          <w:bCs/>
          <w:color w:val="13576B"/>
          <w:sz w:val="22"/>
          <w:szCs w:val="22"/>
        </w:rPr>
        <w:t xml:space="preserve"> </w:t>
      </w:r>
      <w:proofErr w:type="gramStart"/>
      <w:r w:rsidR="003C392F" w:rsidRPr="006B4CAC">
        <w:rPr>
          <w:rFonts w:ascii="Calibri" w:hAnsi="Calibri" w:cs="Calibri"/>
          <w:b/>
          <w:bCs/>
          <w:color w:val="13576B"/>
          <w:sz w:val="22"/>
          <w:szCs w:val="22"/>
        </w:rPr>
        <w:t>202</w:t>
      </w:r>
      <w:r w:rsidR="00C016C1">
        <w:rPr>
          <w:rFonts w:ascii="Calibri" w:hAnsi="Calibri" w:cs="Calibri"/>
          <w:b/>
          <w:bCs/>
          <w:color w:val="13576B"/>
          <w:sz w:val="22"/>
          <w:szCs w:val="22"/>
        </w:rPr>
        <w:t>6</w:t>
      </w:r>
      <w:r w:rsidR="003C392F" w:rsidRPr="006B4CAC">
        <w:rPr>
          <w:rFonts w:ascii="Calibri" w:hAnsi="Calibri" w:cs="Calibri"/>
          <w:b/>
          <w:bCs/>
          <w:color w:val="13576B"/>
          <w:sz w:val="22"/>
          <w:szCs w:val="22"/>
        </w:rPr>
        <w:t xml:space="preserve"> –</w:t>
      </w:r>
      <w:r w:rsidR="003D472E">
        <w:rPr>
          <w:rFonts w:ascii="Calibri" w:hAnsi="Calibri" w:cs="Calibri"/>
          <w:b/>
          <w:bCs/>
          <w:color w:val="13576B"/>
          <w:sz w:val="22"/>
          <w:szCs w:val="22"/>
        </w:rPr>
        <w:t xml:space="preserve"> </w:t>
      </w:r>
      <w:r w:rsidR="005849B1" w:rsidRPr="005849B1">
        <w:rPr>
          <w:rFonts w:ascii="Calibri" w:hAnsi="Calibri" w:cs="Calibri"/>
          <w:b/>
          <w:bCs/>
          <w:color w:val="13576B"/>
          <w:sz w:val="22"/>
          <w:szCs w:val="22"/>
        </w:rPr>
        <w:t>V</w:t>
      </w:r>
      <w:proofErr w:type="gramEnd"/>
      <w:r w:rsidR="005849B1" w:rsidRPr="005849B1">
        <w:rPr>
          <w:rFonts w:ascii="Calibri" w:hAnsi="Calibri" w:cs="Calibri"/>
          <w:b/>
          <w:bCs/>
          <w:color w:val="13576B"/>
          <w:sz w:val="22"/>
          <w:szCs w:val="22"/>
        </w:rPr>
        <w:t xml:space="preserve"> srpnu 2026 poskytly banky a stavební spořitelny skutečně nové hypotéky bez refinancování za 26,8 miliardy Kč.</w:t>
      </w:r>
      <w:r w:rsidR="00894ED3">
        <w:rPr>
          <w:rFonts w:ascii="Calibri" w:hAnsi="Calibri" w:cs="Calibri"/>
          <w:b/>
          <w:bCs/>
          <w:color w:val="13576B"/>
          <w:sz w:val="22"/>
          <w:szCs w:val="22"/>
        </w:rPr>
        <w:t xml:space="preserve"> </w:t>
      </w:r>
      <w:r w:rsidR="00894ED3" w:rsidRPr="005849B1">
        <w:rPr>
          <w:rFonts w:ascii="Calibri" w:hAnsi="Calibri" w:cs="Calibri"/>
          <w:b/>
          <w:bCs/>
          <w:color w:val="13576B"/>
          <w:sz w:val="22"/>
          <w:szCs w:val="22"/>
        </w:rPr>
        <w:t>Oproti červenci aktivita objemově</w:t>
      </w:r>
      <w:r w:rsidR="00894ED3">
        <w:rPr>
          <w:rFonts w:ascii="Calibri" w:hAnsi="Calibri" w:cs="Calibri"/>
          <w:b/>
          <w:bCs/>
          <w:color w:val="13576B"/>
          <w:sz w:val="22"/>
          <w:szCs w:val="22"/>
        </w:rPr>
        <w:t xml:space="preserve"> dále</w:t>
      </w:r>
      <w:r w:rsidR="00894ED3" w:rsidRPr="005849B1">
        <w:rPr>
          <w:rFonts w:ascii="Calibri" w:hAnsi="Calibri" w:cs="Calibri"/>
          <w:b/>
          <w:bCs/>
          <w:color w:val="13576B"/>
          <w:sz w:val="22"/>
          <w:szCs w:val="22"/>
        </w:rPr>
        <w:t xml:space="preserve"> zeslábla o 13 </w:t>
      </w:r>
      <w:r w:rsidR="00894ED3">
        <w:rPr>
          <w:rFonts w:ascii="Calibri" w:hAnsi="Calibri" w:cs="Calibri"/>
          <w:b/>
          <w:bCs/>
          <w:color w:val="13576B"/>
          <w:sz w:val="22"/>
          <w:szCs w:val="22"/>
        </w:rPr>
        <w:t xml:space="preserve">%. Takovýto pokles nelze připsat na vrub sezonnosti jako v červenci. Pravděpodobně tak pozorujeme pozdější korekci po efektu předzásobení hypotékami před přísnější regulací pro investiční hypotéky a nárůstem tržních úrokových sazeb. </w:t>
      </w:r>
      <w:r w:rsidR="005849B1" w:rsidRPr="005849B1">
        <w:rPr>
          <w:rFonts w:ascii="Calibri" w:hAnsi="Calibri" w:cs="Calibri"/>
          <w:b/>
          <w:bCs/>
          <w:color w:val="13576B"/>
          <w:sz w:val="22"/>
          <w:szCs w:val="22"/>
        </w:rPr>
        <w:t>Od začátku roku tak jejich objem dosáhl 273 miliard korun, tedy o 68 miliard více než před rokem. Průměrná realizovaná úroková sazba u nových hypoték dále vzrostla na 5 % z červencových 4,9 %</w:t>
      </w:r>
      <w:r w:rsidR="00B369F2">
        <w:rPr>
          <w:rFonts w:ascii="Calibri" w:hAnsi="Calibri" w:cs="Calibri"/>
          <w:b/>
          <w:bCs/>
          <w:color w:val="13576B"/>
          <w:sz w:val="22"/>
          <w:szCs w:val="22"/>
        </w:rPr>
        <w:t xml:space="preserve"> a vrací se k průměrné sazbě z roku 2024</w:t>
      </w:r>
      <w:r w:rsidR="001B76C3">
        <w:rPr>
          <w:rFonts w:ascii="Calibri" w:hAnsi="Calibri" w:cs="Calibri"/>
          <w:b/>
          <w:bCs/>
          <w:color w:val="13576B"/>
          <w:sz w:val="22"/>
          <w:szCs w:val="22"/>
        </w:rPr>
        <w:t xml:space="preserve">. Přičemž rozdíl vůči relevantním </w:t>
      </w:r>
      <w:r w:rsidR="003E6245">
        <w:rPr>
          <w:rFonts w:ascii="Calibri" w:hAnsi="Calibri" w:cs="Calibri"/>
          <w:b/>
          <w:bCs/>
          <w:color w:val="13576B"/>
          <w:sz w:val="22"/>
          <w:szCs w:val="22"/>
        </w:rPr>
        <w:t xml:space="preserve">stále rostoucím </w:t>
      </w:r>
      <w:r w:rsidR="001B76C3">
        <w:rPr>
          <w:rFonts w:ascii="Calibri" w:hAnsi="Calibri" w:cs="Calibri"/>
          <w:b/>
          <w:bCs/>
          <w:color w:val="13576B"/>
          <w:sz w:val="22"/>
          <w:szCs w:val="22"/>
        </w:rPr>
        <w:t xml:space="preserve">tržním sazbám se v srpnu </w:t>
      </w:r>
      <w:r w:rsidR="00FE2EB3">
        <w:rPr>
          <w:rFonts w:ascii="Calibri" w:hAnsi="Calibri" w:cs="Calibri"/>
          <w:b/>
          <w:bCs/>
          <w:color w:val="13576B"/>
          <w:sz w:val="22"/>
          <w:szCs w:val="22"/>
        </w:rPr>
        <w:t xml:space="preserve">udržel pod </w:t>
      </w:r>
      <w:proofErr w:type="gramStart"/>
      <w:r w:rsidR="00FE2EB3">
        <w:rPr>
          <w:rFonts w:ascii="Calibri" w:hAnsi="Calibri" w:cs="Calibri"/>
          <w:b/>
          <w:bCs/>
          <w:color w:val="13576B"/>
          <w:sz w:val="22"/>
          <w:szCs w:val="22"/>
        </w:rPr>
        <w:t>0,6 procentního</w:t>
      </w:r>
      <w:proofErr w:type="gramEnd"/>
      <w:r w:rsidR="00FE2EB3">
        <w:rPr>
          <w:rFonts w:ascii="Calibri" w:hAnsi="Calibri" w:cs="Calibri"/>
          <w:b/>
          <w:bCs/>
          <w:color w:val="13576B"/>
          <w:sz w:val="22"/>
          <w:szCs w:val="22"/>
        </w:rPr>
        <w:t xml:space="preserve"> bodu </w:t>
      </w:r>
      <w:r w:rsidR="001B76C3">
        <w:rPr>
          <w:rFonts w:ascii="Calibri" w:hAnsi="Calibri" w:cs="Calibri"/>
          <w:b/>
          <w:bCs/>
          <w:color w:val="13576B"/>
          <w:sz w:val="22"/>
          <w:szCs w:val="22"/>
        </w:rPr>
        <w:t xml:space="preserve">a zůstává tak výrazněji pod dlouhodobým průměrem </w:t>
      </w:r>
      <w:r w:rsidR="003E6245">
        <w:rPr>
          <w:rFonts w:ascii="Calibri" w:hAnsi="Calibri" w:cs="Calibri"/>
          <w:b/>
          <w:bCs/>
          <w:color w:val="13576B"/>
          <w:sz w:val="22"/>
          <w:szCs w:val="22"/>
        </w:rPr>
        <w:t xml:space="preserve">1 </w:t>
      </w:r>
      <w:r w:rsidR="001B76C3">
        <w:rPr>
          <w:rFonts w:ascii="Calibri" w:hAnsi="Calibri" w:cs="Calibri"/>
          <w:b/>
          <w:bCs/>
          <w:color w:val="13576B"/>
          <w:sz w:val="22"/>
          <w:szCs w:val="22"/>
        </w:rPr>
        <w:t>p.</w:t>
      </w:r>
      <w:r w:rsidR="00311B21">
        <w:rPr>
          <w:rFonts w:ascii="Calibri" w:hAnsi="Calibri" w:cs="Calibri"/>
          <w:b/>
          <w:bCs/>
          <w:color w:val="13576B"/>
          <w:sz w:val="22"/>
          <w:szCs w:val="22"/>
        </w:rPr>
        <w:t xml:space="preserve"> </w:t>
      </w:r>
      <w:r w:rsidR="001B76C3">
        <w:rPr>
          <w:rFonts w:ascii="Calibri" w:hAnsi="Calibri" w:cs="Calibri"/>
          <w:b/>
          <w:bCs/>
          <w:color w:val="13576B"/>
          <w:sz w:val="22"/>
          <w:szCs w:val="22"/>
        </w:rPr>
        <w:t xml:space="preserve">b. </w:t>
      </w:r>
      <w:r w:rsidR="005849B1" w:rsidRPr="005849B1">
        <w:rPr>
          <w:rFonts w:ascii="Calibri" w:hAnsi="Calibri" w:cs="Calibri"/>
          <w:b/>
          <w:bCs/>
          <w:color w:val="13576B"/>
          <w:sz w:val="22"/>
          <w:szCs w:val="22"/>
        </w:rPr>
        <w:t xml:space="preserve">Uvedené informace plynou z údajů ČBA </w:t>
      </w:r>
      <w:proofErr w:type="spellStart"/>
      <w:r w:rsidR="005849B1" w:rsidRPr="005849B1">
        <w:rPr>
          <w:rFonts w:ascii="Calibri" w:hAnsi="Calibri" w:cs="Calibri"/>
          <w:b/>
          <w:bCs/>
          <w:color w:val="13576B"/>
          <w:sz w:val="22"/>
          <w:szCs w:val="22"/>
        </w:rPr>
        <w:t>Hypomonitoru</w:t>
      </w:r>
      <w:proofErr w:type="spellEnd"/>
      <w:r w:rsidR="005849B1" w:rsidRPr="005849B1">
        <w:rPr>
          <w:rFonts w:ascii="Calibri" w:hAnsi="Calibri" w:cs="Calibri"/>
          <w:b/>
          <w:bCs/>
          <w:color w:val="13576B"/>
          <w:sz w:val="22"/>
          <w:szCs w:val="22"/>
        </w:rPr>
        <w:t xml:space="preserve">, který zachycuje data všech tuzemských bank a stavebních spořitelen poskytujících hypoteční úvěry. </w:t>
      </w:r>
    </w:p>
    <w:p w14:paraId="5D53BBBF" w14:textId="3260AC45" w:rsidR="004332EC" w:rsidRDefault="004332EC" w:rsidP="00FC27DC">
      <w:pPr>
        <w:tabs>
          <w:tab w:val="left" w:pos="8080"/>
        </w:tabs>
        <w:overflowPunct/>
        <w:autoSpaceDE/>
        <w:autoSpaceDN/>
        <w:adjustRightInd/>
        <w:spacing w:before="120" w:after="120"/>
        <w:textAlignment w:val="auto"/>
        <w:rPr>
          <w:rFonts w:ascii="Calibri" w:hAnsi="Calibri" w:cs="Calibri"/>
          <w:b/>
          <w:bCs/>
          <w:color w:val="13576B"/>
          <w:sz w:val="22"/>
          <w:szCs w:val="22"/>
        </w:rPr>
      </w:pPr>
      <w:r w:rsidRPr="00D85F85">
        <w:rPr>
          <w:rFonts w:ascii="Calibri" w:hAnsi="Calibri" w:cs="Calibri"/>
          <w:b/>
          <w:bCs/>
          <w:color w:val="13576B"/>
          <w:sz w:val="22"/>
          <w:szCs w:val="22"/>
        </w:rPr>
        <w:t xml:space="preserve">Slabší </w:t>
      </w:r>
      <w:r w:rsidR="00AE266B" w:rsidRPr="00D85F85">
        <w:rPr>
          <w:rFonts w:ascii="Calibri" w:hAnsi="Calibri" w:cs="Calibri"/>
          <w:b/>
          <w:bCs/>
          <w:color w:val="13576B"/>
          <w:sz w:val="22"/>
          <w:szCs w:val="22"/>
        </w:rPr>
        <w:t>srpnová</w:t>
      </w:r>
      <w:r w:rsidRPr="00D85F85">
        <w:rPr>
          <w:rFonts w:ascii="Calibri" w:hAnsi="Calibri" w:cs="Calibri"/>
          <w:b/>
          <w:bCs/>
          <w:color w:val="13576B"/>
          <w:sz w:val="22"/>
          <w:szCs w:val="22"/>
        </w:rPr>
        <w:t xml:space="preserve"> čísla, </w:t>
      </w:r>
      <w:r w:rsidR="00AE266B" w:rsidRPr="00D85F85">
        <w:rPr>
          <w:rFonts w:ascii="Calibri" w:hAnsi="Calibri" w:cs="Calibri"/>
          <w:b/>
          <w:bCs/>
          <w:color w:val="13576B"/>
          <w:sz w:val="22"/>
          <w:szCs w:val="22"/>
        </w:rPr>
        <w:t xml:space="preserve">znatelněji než </w:t>
      </w:r>
      <w:r w:rsidRPr="00D85F85">
        <w:rPr>
          <w:rFonts w:ascii="Calibri" w:hAnsi="Calibri" w:cs="Calibri"/>
          <w:b/>
          <w:bCs/>
          <w:color w:val="13576B"/>
          <w:sz w:val="22"/>
          <w:szCs w:val="22"/>
        </w:rPr>
        <w:t>v</w:t>
      </w:r>
      <w:r w:rsidR="00AE266B" w:rsidRPr="00D85F85">
        <w:rPr>
          <w:rFonts w:ascii="Calibri" w:hAnsi="Calibri" w:cs="Calibri"/>
          <w:b/>
          <w:bCs/>
          <w:color w:val="13576B"/>
          <w:sz w:val="22"/>
          <w:szCs w:val="22"/>
        </w:rPr>
        <w:t> </w:t>
      </w:r>
      <w:r w:rsidRPr="00D85F85">
        <w:rPr>
          <w:rFonts w:ascii="Calibri" w:hAnsi="Calibri" w:cs="Calibri"/>
          <w:b/>
          <w:bCs/>
          <w:color w:val="13576B"/>
          <w:sz w:val="22"/>
          <w:szCs w:val="22"/>
        </w:rPr>
        <w:t>červnu</w:t>
      </w:r>
      <w:r w:rsidR="00AE266B" w:rsidRPr="00D85F85">
        <w:rPr>
          <w:rFonts w:ascii="Calibri" w:hAnsi="Calibri" w:cs="Calibri"/>
          <w:b/>
          <w:bCs/>
          <w:color w:val="13576B"/>
          <w:sz w:val="22"/>
          <w:szCs w:val="22"/>
        </w:rPr>
        <w:t xml:space="preserve"> a červenci</w:t>
      </w:r>
      <w:r w:rsidRPr="00D85F85">
        <w:rPr>
          <w:rFonts w:ascii="Calibri" w:hAnsi="Calibri" w:cs="Calibri"/>
          <w:b/>
          <w:bCs/>
          <w:color w:val="13576B"/>
          <w:sz w:val="22"/>
          <w:szCs w:val="22"/>
        </w:rPr>
        <w:t xml:space="preserve">, odrážela odeznění předchozího efektu předzásobení. Část klientů si hypotéku sjednávala dříve ve snaze </w:t>
      </w:r>
      <w:r w:rsidRPr="004332EC">
        <w:rPr>
          <w:rFonts w:ascii="Calibri" w:hAnsi="Calibri" w:cs="Calibri"/>
          <w:b/>
          <w:bCs/>
          <w:color w:val="13576B"/>
          <w:sz w:val="22"/>
          <w:szCs w:val="22"/>
        </w:rPr>
        <w:t>vyhnout se dopadům vyšších tržních sazeb i dubnovému zpřísnění pravidel ČNB pro tzv. investiční hypotéky. Nižší zastoupení těchto úvěrů se pravděpodobně projevilo také v poklesu průměrné výše nové hypotéky</w:t>
      </w:r>
      <w:r w:rsidR="00AE266B">
        <w:rPr>
          <w:rFonts w:ascii="Calibri" w:hAnsi="Calibri" w:cs="Calibri"/>
          <w:b/>
          <w:bCs/>
          <w:color w:val="13576B"/>
          <w:sz w:val="22"/>
          <w:szCs w:val="22"/>
        </w:rPr>
        <w:t>, která se v srpnu udržela</w:t>
      </w:r>
      <w:r w:rsidRPr="004332EC">
        <w:rPr>
          <w:rFonts w:ascii="Calibri" w:hAnsi="Calibri" w:cs="Calibri"/>
          <w:b/>
          <w:bCs/>
          <w:color w:val="13576B"/>
          <w:sz w:val="22"/>
          <w:szCs w:val="22"/>
        </w:rPr>
        <w:t xml:space="preserve"> pod 4,6 milionu Kč. Díky tomu zůstala průměrná měsíční splátka nové hypotéky pod 26 tisíci Kč navzdory vyšším úrokovým sazbám. Dopad vyšších sazeb je patrnější </w:t>
      </w:r>
      <w:r>
        <w:rPr>
          <w:rFonts w:ascii="Calibri" w:hAnsi="Calibri" w:cs="Calibri"/>
          <w:b/>
          <w:bCs/>
          <w:color w:val="13576B"/>
          <w:sz w:val="22"/>
          <w:szCs w:val="22"/>
        </w:rPr>
        <w:t>i</w:t>
      </w:r>
      <w:r w:rsidRPr="004332EC">
        <w:rPr>
          <w:rFonts w:ascii="Calibri" w:hAnsi="Calibri" w:cs="Calibri"/>
          <w:b/>
          <w:bCs/>
          <w:color w:val="13576B"/>
          <w:sz w:val="22"/>
          <w:szCs w:val="22"/>
        </w:rPr>
        <w:t xml:space="preserve"> u refinancovaných hypoték, kde sazby sice zůstávají pod úrovní nových úvěrů, rozdíl je však menší než v květnu a červnu.</w:t>
      </w:r>
    </w:p>
    <w:p w14:paraId="543D468B" w14:textId="06597CD5" w:rsidR="002B52C8" w:rsidRPr="00C016C1" w:rsidRDefault="00AE266B" w:rsidP="00FC27DC">
      <w:pPr>
        <w:tabs>
          <w:tab w:val="left" w:pos="8080"/>
        </w:tabs>
        <w:overflowPunct/>
        <w:autoSpaceDE/>
        <w:autoSpaceDN/>
        <w:adjustRightInd/>
        <w:spacing w:before="120" w:after="120"/>
        <w:textAlignment w:val="auto"/>
        <w:rPr>
          <w:rFonts w:ascii="Calibri" w:hAnsi="Calibri" w:cs="Calibri"/>
          <w:b/>
          <w:bCs/>
          <w:color w:val="13576B"/>
          <w:sz w:val="22"/>
          <w:szCs w:val="22"/>
        </w:rPr>
      </w:pPr>
      <w:r>
        <w:rPr>
          <w:rFonts w:ascii="Calibri" w:hAnsi="Calibri" w:cs="Calibri"/>
          <w:b/>
          <w:bCs/>
          <w:color w:val="13576B"/>
          <w:sz w:val="22"/>
          <w:szCs w:val="22"/>
        </w:rPr>
        <w:t xml:space="preserve">Srpnová hypoteční čísla naznačují zklidnění </w:t>
      </w:r>
      <w:r w:rsidR="004332EC" w:rsidRPr="004332EC">
        <w:rPr>
          <w:rFonts w:ascii="Calibri" w:hAnsi="Calibri" w:cs="Calibri"/>
          <w:b/>
          <w:bCs/>
          <w:color w:val="13576B"/>
          <w:sz w:val="22"/>
          <w:szCs w:val="22"/>
        </w:rPr>
        <w:t>hypoteční</w:t>
      </w:r>
      <w:r>
        <w:rPr>
          <w:rFonts w:ascii="Calibri" w:hAnsi="Calibri" w:cs="Calibri"/>
          <w:b/>
          <w:bCs/>
          <w:color w:val="13576B"/>
          <w:sz w:val="22"/>
          <w:szCs w:val="22"/>
        </w:rPr>
        <w:t>ho</w:t>
      </w:r>
      <w:r w:rsidR="004332EC" w:rsidRPr="004332EC">
        <w:rPr>
          <w:rFonts w:ascii="Calibri" w:hAnsi="Calibri" w:cs="Calibri"/>
          <w:b/>
          <w:bCs/>
          <w:color w:val="13576B"/>
          <w:sz w:val="22"/>
          <w:szCs w:val="22"/>
        </w:rPr>
        <w:t xml:space="preserve"> trh</w:t>
      </w:r>
      <w:r>
        <w:rPr>
          <w:rFonts w:ascii="Calibri" w:hAnsi="Calibri" w:cs="Calibri"/>
          <w:b/>
          <w:bCs/>
          <w:color w:val="13576B"/>
          <w:sz w:val="22"/>
          <w:szCs w:val="22"/>
        </w:rPr>
        <w:t>u</w:t>
      </w:r>
      <w:r w:rsidR="00D85F85">
        <w:rPr>
          <w:rFonts w:ascii="Calibri" w:hAnsi="Calibri" w:cs="Calibri"/>
          <w:b/>
          <w:bCs/>
          <w:color w:val="13576B"/>
          <w:sz w:val="22"/>
          <w:szCs w:val="22"/>
        </w:rPr>
        <w:t>, jelikož jak p</w:t>
      </w:r>
      <w:r w:rsidR="004332EC" w:rsidRPr="004332EC">
        <w:rPr>
          <w:rFonts w:ascii="Calibri" w:hAnsi="Calibri" w:cs="Calibri"/>
          <w:b/>
          <w:bCs/>
          <w:color w:val="13576B"/>
          <w:sz w:val="22"/>
          <w:szCs w:val="22"/>
        </w:rPr>
        <w:t>očty</w:t>
      </w:r>
      <w:r w:rsidR="00D85F85">
        <w:rPr>
          <w:rFonts w:ascii="Calibri" w:hAnsi="Calibri" w:cs="Calibri"/>
          <w:b/>
          <w:bCs/>
          <w:color w:val="13576B"/>
          <w:sz w:val="22"/>
          <w:szCs w:val="22"/>
        </w:rPr>
        <w:t>, tak</w:t>
      </w:r>
      <w:r w:rsidR="004332EC" w:rsidRPr="004332EC">
        <w:rPr>
          <w:rFonts w:ascii="Calibri" w:hAnsi="Calibri" w:cs="Calibri"/>
          <w:b/>
          <w:bCs/>
          <w:color w:val="13576B"/>
          <w:sz w:val="22"/>
          <w:szCs w:val="22"/>
        </w:rPr>
        <w:t xml:space="preserve"> objemy nových hypoték </w:t>
      </w:r>
      <w:r w:rsidR="00D85F85">
        <w:rPr>
          <w:rFonts w:ascii="Calibri" w:hAnsi="Calibri" w:cs="Calibri"/>
          <w:b/>
          <w:bCs/>
          <w:color w:val="13576B"/>
          <w:sz w:val="22"/>
          <w:szCs w:val="22"/>
        </w:rPr>
        <w:t xml:space="preserve">ustoupily nejen z jarních výšin, ale i pod úrovně </w:t>
      </w:r>
      <w:r w:rsidR="004332EC" w:rsidRPr="004332EC">
        <w:rPr>
          <w:rFonts w:ascii="Calibri" w:hAnsi="Calibri" w:cs="Calibri"/>
          <w:b/>
          <w:bCs/>
          <w:color w:val="13576B"/>
          <w:sz w:val="22"/>
          <w:szCs w:val="22"/>
        </w:rPr>
        <w:t xml:space="preserve">z druhé poloviny loňského roku. </w:t>
      </w:r>
      <w:r w:rsidR="00D85F85">
        <w:rPr>
          <w:rFonts w:ascii="Calibri" w:hAnsi="Calibri" w:cs="Calibri"/>
          <w:b/>
          <w:bCs/>
          <w:color w:val="13576B"/>
          <w:sz w:val="22"/>
          <w:szCs w:val="22"/>
        </w:rPr>
        <w:t xml:space="preserve">Hypoteční </w:t>
      </w:r>
      <w:r w:rsidR="004332EC" w:rsidRPr="004332EC">
        <w:rPr>
          <w:rFonts w:ascii="Calibri" w:hAnsi="Calibri" w:cs="Calibri"/>
          <w:b/>
          <w:bCs/>
          <w:color w:val="13576B"/>
          <w:sz w:val="22"/>
          <w:szCs w:val="22"/>
        </w:rPr>
        <w:t>čísla by měla podpořit spíše vyčkávací přístup centrální banky</w:t>
      </w:r>
      <w:r w:rsidR="00555BED">
        <w:rPr>
          <w:rFonts w:ascii="Calibri" w:hAnsi="Calibri" w:cs="Calibri"/>
          <w:b/>
          <w:bCs/>
          <w:color w:val="13576B"/>
          <w:sz w:val="22"/>
          <w:szCs w:val="22"/>
        </w:rPr>
        <w:t xml:space="preserve"> </w:t>
      </w:r>
      <w:r w:rsidR="00D85F85">
        <w:rPr>
          <w:rFonts w:ascii="Calibri" w:hAnsi="Calibri" w:cs="Calibri"/>
          <w:b/>
          <w:bCs/>
          <w:color w:val="13576B"/>
          <w:sz w:val="22"/>
          <w:szCs w:val="22"/>
        </w:rPr>
        <w:t xml:space="preserve">i </w:t>
      </w:r>
      <w:r w:rsidR="00555BED">
        <w:rPr>
          <w:rFonts w:ascii="Calibri" w:hAnsi="Calibri" w:cs="Calibri"/>
          <w:b/>
          <w:bCs/>
          <w:color w:val="13576B"/>
          <w:sz w:val="22"/>
          <w:szCs w:val="22"/>
        </w:rPr>
        <w:t xml:space="preserve">při dalším nastavení </w:t>
      </w:r>
      <w:proofErr w:type="spellStart"/>
      <w:r w:rsidR="00555BED" w:rsidRPr="004332EC">
        <w:rPr>
          <w:rFonts w:ascii="Calibri" w:hAnsi="Calibri" w:cs="Calibri"/>
          <w:b/>
          <w:bCs/>
          <w:color w:val="13576B"/>
          <w:sz w:val="22"/>
          <w:szCs w:val="22"/>
        </w:rPr>
        <w:t>makroobezřetnostní</w:t>
      </w:r>
      <w:proofErr w:type="spellEnd"/>
      <w:r w:rsidR="00555BED" w:rsidRPr="004332EC">
        <w:rPr>
          <w:rFonts w:ascii="Calibri" w:hAnsi="Calibri" w:cs="Calibri"/>
          <w:b/>
          <w:bCs/>
          <w:color w:val="13576B"/>
          <w:sz w:val="22"/>
          <w:szCs w:val="22"/>
        </w:rPr>
        <w:t xml:space="preserve"> politiky v oblasti hypoték </w:t>
      </w:r>
      <w:r w:rsidR="005849B1">
        <w:rPr>
          <w:rFonts w:ascii="Calibri" w:hAnsi="Calibri" w:cs="Calibri"/>
          <w:b/>
          <w:bCs/>
          <w:color w:val="13576B"/>
          <w:sz w:val="22"/>
          <w:szCs w:val="22"/>
        </w:rPr>
        <w:t>26</w:t>
      </w:r>
      <w:r w:rsidR="00555BED" w:rsidRPr="004332EC">
        <w:rPr>
          <w:rFonts w:ascii="Calibri" w:hAnsi="Calibri" w:cs="Calibri"/>
          <w:b/>
          <w:bCs/>
          <w:color w:val="13576B"/>
          <w:sz w:val="22"/>
          <w:szCs w:val="22"/>
        </w:rPr>
        <w:t xml:space="preserve">. </w:t>
      </w:r>
      <w:r w:rsidR="005849B1">
        <w:rPr>
          <w:rFonts w:ascii="Calibri" w:hAnsi="Calibri" w:cs="Calibri"/>
          <w:b/>
          <w:bCs/>
          <w:color w:val="13576B"/>
          <w:sz w:val="22"/>
          <w:szCs w:val="22"/>
        </w:rPr>
        <w:t>listopadu</w:t>
      </w:r>
      <w:r w:rsidR="004332EC" w:rsidRPr="004332EC">
        <w:rPr>
          <w:rFonts w:ascii="Calibri" w:hAnsi="Calibri" w:cs="Calibri"/>
          <w:b/>
          <w:bCs/>
          <w:color w:val="13576B"/>
          <w:sz w:val="22"/>
          <w:szCs w:val="22"/>
        </w:rPr>
        <w:t>.</w:t>
      </w:r>
      <w:r w:rsidR="002B52C8" w:rsidRPr="00C016C1">
        <w:rPr>
          <w:rFonts w:ascii="Calibri" w:hAnsi="Calibri" w:cs="Calibri"/>
          <w:b/>
          <w:bCs/>
          <w:color w:val="13576B"/>
          <w:sz w:val="22"/>
          <w:szCs w:val="22"/>
        </w:rPr>
        <w:t xml:space="preserve"> Blíže</w:t>
      </w:r>
      <w:r w:rsidR="00555BED">
        <w:rPr>
          <w:rFonts w:ascii="Calibri" w:hAnsi="Calibri" w:cs="Calibri"/>
          <w:b/>
          <w:bCs/>
          <w:color w:val="13576B"/>
          <w:sz w:val="22"/>
          <w:szCs w:val="22"/>
        </w:rPr>
        <w:t xml:space="preserve"> k tomuto</w:t>
      </w:r>
      <w:r w:rsidR="002B52C8" w:rsidRPr="00C016C1">
        <w:rPr>
          <w:rFonts w:ascii="Calibri" w:hAnsi="Calibri" w:cs="Calibri"/>
          <w:b/>
          <w:bCs/>
          <w:color w:val="13576B"/>
          <w:sz w:val="22"/>
          <w:szCs w:val="22"/>
        </w:rPr>
        <w:t xml:space="preserve"> </w:t>
      </w:r>
      <w:r w:rsidR="00555BED">
        <w:rPr>
          <w:rFonts w:ascii="Calibri" w:hAnsi="Calibri" w:cs="Calibri"/>
          <w:b/>
          <w:bCs/>
          <w:color w:val="13576B"/>
          <w:sz w:val="22"/>
          <w:szCs w:val="22"/>
        </w:rPr>
        <w:t xml:space="preserve">na </w:t>
      </w:r>
      <w:hyperlink r:id="rId11" w:history="1">
        <w:r w:rsidR="00555BED">
          <w:rPr>
            <w:rStyle w:val="Hypertextovodkaz"/>
            <w:b/>
            <w:bCs/>
          </w:rPr>
          <w:t>ČBA Monitoru</w:t>
        </w:r>
      </w:hyperlink>
      <w:r w:rsidR="00555BED">
        <w:t>.</w:t>
      </w:r>
    </w:p>
    <w:p w14:paraId="4A7C2A28" w14:textId="3EE062F7" w:rsidR="00425883" w:rsidRDefault="00425883" w:rsidP="0009562F">
      <w:pPr>
        <w:overflowPunct/>
        <w:autoSpaceDE/>
        <w:autoSpaceDN/>
        <w:adjustRightInd/>
        <w:spacing w:before="120" w:after="120"/>
        <w:textAlignment w:val="auto"/>
        <w:rPr>
          <w:rFonts w:ascii="Calibri" w:hAnsi="Calibri" w:cs="Calibri"/>
          <w:b/>
          <w:color w:val="13576B"/>
          <w:sz w:val="23"/>
          <w:szCs w:val="23"/>
        </w:rPr>
      </w:pPr>
      <w:r w:rsidRPr="003F159E">
        <w:rPr>
          <w:rFonts w:ascii="Calibri" w:hAnsi="Calibri" w:cs="Calibri"/>
          <w:b/>
          <w:color w:val="13576B"/>
          <w:sz w:val="23"/>
          <w:szCs w:val="23"/>
        </w:rPr>
        <w:t xml:space="preserve">Tabulka č. 1: Shrnutí objemu poskytnutých hypoték a průměrných úrokových sazeb za </w:t>
      </w:r>
      <w:r w:rsidR="004226ED">
        <w:rPr>
          <w:rFonts w:ascii="Calibri" w:hAnsi="Calibri" w:cs="Calibri"/>
          <w:b/>
          <w:color w:val="13576B"/>
          <w:sz w:val="23"/>
          <w:szCs w:val="23"/>
        </w:rPr>
        <w:t>srpen</w:t>
      </w:r>
      <w:r>
        <w:rPr>
          <w:rFonts w:ascii="Calibri" w:hAnsi="Calibri" w:cs="Calibri"/>
          <w:b/>
          <w:color w:val="13576B"/>
          <w:sz w:val="23"/>
          <w:szCs w:val="23"/>
        </w:rPr>
        <w:t xml:space="preserve"> 202</w:t>
      </w:r>
      <w:r w:rsidR="00BA3140">
        <w:rPr>
          <w:rFonts w:ascii="Calibri" w:hAnsi="Calibri" w:cs="Calibri"/>
          <w:b/>
          <w:color w:val="13576B"/>
          <w:sz w:val="23"/>
          <w:szCs w:val="23"/>
        </w:rPr>
        <w:t>6</w:t>
      </w:r>
    </w:p>
    <w:tbl>
      <w:tblPr>
        <w:tblW w:w="9563" w:type="dxa"/>
        <w:tblCellMar>
          <w:left w:w="70" w:type="dxa"/>
          <w:right w:w="70" w:type="dxa"/>
        </w:tblCellMar>
        <w:tblLook w:val="04A0" w:firstRow="1" w:lastRow="0" w:firstColumn="1" w:lastColumn="0" w:noHBand="0" w:noVBand="1"/>
      </w:tblPr>
      <w:tblGrid>
        <w:gridCol w:w="3540"/>
        <w:gridCol w:w="1102"/>
        <w:gridCol w:w="960"/>
        <w:gridCol w:w="960"/>
        <w:gridCol w:w="242"/>
        <w:gridCol w:w="993"/>
        <w:gridCol w:w="992"/>
        <w:gridCol w:w="774"/>
      </w:tblGrid>
      <w:tr w:rsidR="003C3451" w:rsidRPr="00A06A94" w14:paraId="23438AFD" w14:textId="77777777" w:rsidTr="006E30DB">
        <w:trPr>
          <w:trHeight w:val="300"/>
        </w:trPr>
        <w:tc>
          <w:tcPr>
            <w:tcW w:w="3540" w:type="dxa"/>
            <w:tcBorders>
              <w:top w:val="nil"/>
              <w:left w:val="nil"/>
              <w:bottom w:val="nil"/>
              <w:right w:val="nil"/>
            </w:tcBorders>
            <w:shd w:val="clear" w:color="000000" w:fill="FFFFFF"/>
            <w:noWrap/>
            <w:vAlign w:val="bottom"/>
          </w:tcPr>
          <w:p w14:paraId="543B7281"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p>
        </w:tc>
        <w:tc>
          <w:tcPr>
            <w:tcW w:w="3022" w:type="dxa"/>
            <w:gridSpan w:val="3"/>
            <w:tcBorders>
              <w:top w:val="nil"/>
              <w:left w:val="nil"/>
            </w:tcBorders>
            <w:shd w:val="clear" w:color="000000" w:fill="FFFFFF"/>
            <w:vAlign w:val="bottom"/>
          </w:tcPr>
          <w:p w14:paraId="07A4A00D"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Pr>
                <w:rFonts w:ascii="Calibri Light" w:hAnsi="Calibri Light" w:cs="Calibri Light"/>
                <w:b/>
                <w:bCs/>
                <w:color w:val="13576B"/>
                <w:sz w:val="22"/>
                <w:szCs w:val="22"/>
              </w:rPr>
              <w:t>měsíční hodnoty</w:t>
            </w:r>
          </w:p>
        </w:tc>
        <w:tc>
          <w:tcPr>
            <w:tcW w:w="242" w:type="dxa"/>
            <w:tcBorders>
              <w:top w:val="nil"/>
              <w:right w:val="nil"/>
            </w:tcBorders>
            <w:vAlign w:val="bottom"/>
          </w:tcPr>
          <w:p w14:paraId="519CB66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2759" w:type="dxa"/>
            <w:gridSpan w:val="3"/>
            <w:tcBorders>
              <w:top w:val="nil"/>
              <w:left w:val="nil"/>
              <w:right w:val="nil"/>
            </w:tcBorders>
            <w:shd w:val="clear" w:color="000000" w:fill="FFFFFF"/>
            <w:vAlign w:val="bottom"/>
          </w:tcPr>
          <w:p w14:paraId="040DDF7E"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hodnoty od začátku roku</w:t>
            </w:r>
          </w:p>
        </w:tc>
      </w:tr>
      <w:tr w:rsidR="003C3451" w:rsidRPr="00A06A94" w14:paraId="384D4BC7" w14:textId="77777777" w:rsidTr="006E30DB">
        <w:trPr>
          <w:trHeight w:val="300"/>
        </w:trPr>
        <w:tc>
          <w:tcPr>
            <w:tcW w:w="3540" w:type="dxa"/>
            <w:tcBorders>
              <w:top w:val="nil"/>
              <w:left w:val="nil"/>
              <w:bottom w:val="nil"/>
              <w:right w:val="nil"/>
            </w:tcBorders>
            <w:shd w:val="clear" w:color="000000" w:fill="FFFFFF"/>
            <w:noWrap/>
            <w:vAlign w:val="bottom"/>
            <w:hideMark/>
          </w:tcPr>
          <w:p w14:paraId="7137D7CF"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2" w:type="dxa"/>
            <w:vMerge w:val="restart"/>
            <w:tcBorders>
              <w:left w:val="nil"/>
              <w:bottom w:val="single" w:sz="4" w:space="0" w:color="000000"/>
              <w:right w:val="single" w:sz="4" w:space="0" w:color="auto"/>
            </w:tcBorders>
            <w:shd w:val="clear" w:color="000000" w:fill="FFFFFF"/>
            <w:vAlign w:val="bottom"/>
            <w:hideMark/>
          </w:tcPr>
          <w:p w14:paraId="065F207B"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left w:val="single" w:sz="4" w:space="0" w:color="auto"/>
              <w:bottom w:val="single" w:sz="4" w:space="0" w:color="000000"/>
              <w:right w:val="single" w:sz="4" w:space="0" w:color="auto"/>
            </w:tcBorders>
            <w:shd w:val="clear" w:color="000000" w:fill="FFFFFF"/>
            <w:noWrap/>
            <w:vAlign w:val="center"/>
            <w:hideMark/>
          </w:tcPr>
          <w:p w14:paraId="0A6DC0F7"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left w:val="nil"/>
              <w:bottom w:val="single" w:sz="4" w:space="0" w:color="000000"/>
              <w:right w:val="nil"/>
            </w:tcBorders>
            <w:shd w:val="clear" w:color="000000" w:fill="FFFFFF"/>
            <w:vAlign w:val="bottom"/>
            <w:hideMark/>
          </w:tcPr>
          <w:p w14:paraId="2F9072A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c>
          <w:tcPr>
            <w:tcW w:w="242" w:type="dxa"/>
            <w:tcBorders>
              <w:left w:val="nil"/>
              <w:right w:val="nil"/>
            </w:tcBorders>
            <w:vAlign w:val="bottom"/>
          </w:tcPr>
          <w:p w14:paraId="538AA5D0"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993" w:type="dxa"/>
            <w:vMerge w:val="restart"/>
            <w:tcBorders>
              <w:top w:val="nil"/>
              <w:left w:val="nil"/>
              <w:right w:val="single" w:sz="4" w:space="0" w:color="auto"/>
            </w:tcBorders>
            <w:shd w:val="clear" w:color="000000" w:fill="FFFFFF"/>
            <w:vAlign w:val="bottom"/>
          </w:tcPr>
          <w:p w14:paraId="09080B29"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Objem</w:t>
            </w:r>
            <w:r w:rsidRPr="00A06A94">
              <w:rPr>
                <w:rFonts w:ascii="Calibri Light" w:hAnsi="Calibri Light" w:cs="Calibri Light"/>
                <w:i/>
                <w:iCs/>
                <w:color w:val="13576B"/>
                <w:sz w:val="22"/>
                <w:szCs w:val="22"/>
              </w:rPr>
              <w:br/>
              <w:t>(mld. Kč)</w:t>
            </w:r>
          </w:p>
        </w:tc>
        <w:tc>
          <w:tcPr>
            <w:tcW w:w="992" w:type="dxa"/>
            <w:vMerge w:val="restart"/>
            <w:tcBorders>
              <w:top w:val="nil"/>
              <w:left w:val="single" w:sz="4" w:space="0" w:color="auto"/>
              <w:right w:val="single" w:sz="4" w:space="0" w:color="auto"/>
            </w:tcBorders>
            <w:shd w:val="clear" w:color="000000" w:fill="FFFFFF"/>
            <w:vAlign w:val="center"/>
          </w:tcPr>
          <w:p w14:paraId="14A0DB45" w14:textId="77777777" w:rsidR="003C3451" w:rsidRPr="00A06A94" w:rsidRDefault="003C3451" w:rsidP="006E30DB">
            <w:pPr>
              <w:overflowPunct/>
              <w:autoSpaceDE/>
              <w:autoSpaceDN/>
              <w:adjustRightInd/>
              <w:ind w:left="-73" w:firstLine="73"/>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Počet</w:t>
            </w:r>
          </w:p>
        </w:tc>
        <w:tc>
          <w:tcPr>
            <w:tcW w:w="774" w:type="dxa"/>
            <w:vMerge w:val="restart"/>
            <w:tcBorders>
              <w:top w:val="nil"/>
              <w:left w:val="single" w:sz="4" w:space="0" w:color="auto"/>
              <w:right w:val="nil"/>
            </w:tcBorders>
            <w:shd w:val="clear" w:color="000000" w:fill="FFFFFF"/>
            <w:vAlign w:val="bottom"/>
          </w:tcPr>
          <w:p w14:paraId="7A08A275"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Sazba</w:t>
            </w:r>
            <w:r w:rsidRPr="00A06A94">
              <w:rPr>
                <w:rFonts w:ascii="Calibri Light" w:hAnsi="Calibri Light" w:cs="Calibri Light"/>
                <w:i/>
                <w:iCs/>
                <w:color w:val="13576B"/>
                <w:sz w:val="22"/>
                <w:szCs w:val="22"/>
              </w:rPr>
              <w:br/>
              <w:t xml:space="preserve"> (%)</w:t>
            </w:r>
          </w:p>
        </w:tc>
      </w:tr>
      <w:tr w:rsidR="003C3451" w:rsidRPr="00A06A94" w14:paraId="6FF8CBA7"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860F314"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2" w:type="dxa"/>
            <w:vMerge/>
            <w:tcBorders>
              <w:top w:val="nil"/>
              <w:left w:val="nil"/>
              <w:bottom w:val="single" w:sz="4" w:space="0" w:color="000000"/>
              <w:right w:val="single" w:sz="4" w:space="0" w:color="auto"/>
            </w:tcBorders>
            <w:vAlign w:val="center"/>
            <w:hideMark/>
          </w:tcPr>
          <w:p w14:paraId="0A59FB52"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390B1CFB"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7A6398C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242" w:type="dxa"/>
            <w:tcBorders>
              <w:top w:val="nil"/>
              <w:left w:val="nil"/>
              <w:right w:val="nil"/>
            </w:tcBorders>
            <w:vAlign w:val="center"/>
          </w:tcPr>
          <w:p w14:paraId="59E8209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93" w:type="dxa"/>
            <w:vMerge/>
            <w:tcBorders>
              <w:left w:val="nil"/>
              <w:bottom w:val="single" w:sz="4" w:space="0" w:color="000000"/>
              <w:right w:val="single" w:sz="4" w:space="0" w:color="auto"/>
            </w:tcBorders>
            <w:vAlign w:val="center"/>
          </w:tcPr>
          <w:p w14:paraId="39364FA4"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992" w:type="dxa"/>
            <w:vMerge/>
            <w:tcBorders>
              <w:left w:val="single" w:sz="4" w:space="0" w:color="auto"/>
              <w:bottom w:val="single" w:sz="4" w:space="0" w:color="000000"/>
              <w:right w:val="single" w:sz="4" w:space="0" w:color="auto"/>
            </w:tcBorders>
            <w:vAlign w:val="center"/>
          </w:tcPr>
          <w:p w14:paraId="739A0EC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774" w:type="dxa"/>
            <w:vMerge/>
            <w:tcBorders>
              <w:left w:val="single" w:sz="4" w:space="0" w:color="auto"/>
              <w:bottom w:val="single" w:sz="4" w:space="0" w:color="000000"/>
              <w:right w:val="nil"/>
            </w:tcBorders>
            <w:vAlign w:val="center"/>
          </w:tcPr>
          <w:p w14:paraId="7836F8E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r>
      <w:tr w:rsidR="004226ED" w:rsidRPr="00A06A94" w14:paraId="776CBD73"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6A9B5FD" w14:textId="77777777" w:rsidR="004226ED" w:rsidRPr="00072DB9" w:rsidRDefault="004226ED" w:rsidP="004226ED">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2" w:type="dxa"/>
            <w:tcBorders>
              <w:top w:val="nil"/>
              <w:left w:val="nil"/>
              <w:bottom w:val="single" w:sz="4" w:space="0" w:color="auto"/>
              <w:right w:val="single" w:sz="4" w:space="0" w:color="auto"/>
            </w:tcBorders>
            <w:shd w:val="clear" w:color="000000" w:fill="FFFFFF"/>
            <w:noWrap/>
            <w:vAlign w:val="center"/>
            <w:hideMark/>
          </w:tcPr>
          <w:p w14:paraId="27B7692D" w14:textId="07E62790"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34,5</w:t>
            </w:r>
          </w:p>
        </w:tc>
        <w:tc>
          <w:tcPr>
            <w:tcW w:w="960" w:type="dxa"/>
            <w:tcBorders>
              <w:top w:val="nil"/>
              <w:left w:val="nil"/>
              <w:bottom w:val="single" w:sz="4" w:space="0" w:color="auto"/>
              <w:right w:val="single" w:sz="4" w:space="0" w:color="auto"/>
            </w:tcBorders>
            <w:shd w:val="clear" w:color="000000" w:fill="FFFFFF"/>
            <w:noWrap/>
            <w:vAlign w:val="center"/>
            <w:hideMark/>
          </w:tcPr>
          <w:p w14:paraId="424ABB04" w14:textId="45915694"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7 857</w:t>
            </w:r>
          </w:p>
        </w:tc>
        <w:tc>
          <w:tcPr>
            <w:tcW w:w="960" w:type="dxa"/>
            <w:tcBorders>
              <w:top w:val="nil"/>
              <w:left w:val="nil"/>
              <w:bottom w:val="single" w:sz="4" w:space="0" w:color="auto"/>
              <w:right w:val="nil"/>
            </w:tcBorders>
            <w:shd w:val="clear" w:color="000000" w:fill="FFFFFF"/>
            <w:noWrap/>
            <w:vAlign w:val="center"/>
            <w:hideMark/>
          </w:tcPr>
          <w:p w14:paraId="47F54FDC" w14:textId="4128A9F8"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4,99</w:t>
            </w:r>
          </w:p>
        </w:tc>
        <w:tc>
          <w:tcPr>
            <w:tcW w:w="242" w:type="dxa"/>
            <w:tcBorders>
              <w:top w:val="nil"/>
              <w:left w:val="nil"/>
              <w:right w:val="nil"/>
            </w:tcBorders>
            <w:vAlign w:val="bottom"/>
          </w:tcPr>
          <w:p w14:paraId="290588BC" w14:textId="2EA49D4E"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545B57A8" w14:textId="61CFF4F3"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369,0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F3EAD2F" w14:textId="2D0C0677"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82 375</w:t>
            </w:r>
          </w:p>
        </w:tc>
        <w:tc>
          <w:tcPr>
            <w:tcW w:w="774" w:type="dxa"/>
            <w:tcBorders>
              <w:top w:val="nil"/>
              <w:left w:val="single" w:sz="4" w:space="0" w:color="auto"/>
              <w:bottom w:val="single" w:sz="4" w:space="0" w:color="auto"/>
              <w:right w:val="nil"/>
            </w:tcBorders>
            <w:shd w:val="clear" w:color="000000" w:fill="FFFFFF"/>
            <w:vAlign w:val="center"/>
          </w:tcPr>
          <w:p w14:paraId="3286C628" w14:textId="3BC32794"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4,62</w:t>
            </w:r>
          </w:p>
        </w:tc>
      </w:tr>
      <w:tr w:rsidR="004226ED" w:rsidRPr="00A06A94" w14:paraId="1B1E7FB2" w14:textId="77777777" w:rsidTr="006E30DB">
        <w:trPr>
          <w:trHeight w:val="300"/>
        </w:trPr>
        <w:tc>
          <w:tcPr>
            <w:tcW w:w="3540" w:type="dxa"/>
            <w:tcBorders>
              <w:top w:val="single" w:sz="4" w:space="0" w:color="auto"/>
              <w:left w:val="nil"/>
              <w:bottom w:val="nil"/>
              <w:right w:val="nil"/>
            </w:tcBorders>
            <w:shd w:val="solid" w:color="DAF3EA" w:fill="C1F7E9"/>
            <w:noWrap/>
            <w:vAlign w:val="bottom"/>
            <w:hideMark/>
          </w:tcPr>
          <w:p w14:paraId="21ACEB93" w14:textId="77777777" w:rsidR="004226ED" w:rsidRPr="00072DB9" w:rsidRDefault="004226ED" w:rsidP="004226ED">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2" w:type="dxa"/>
            <w:tcBorders>
              <w:top w:val="single" w:sz="4" w:space="0" w:color="auto"/>
              <w:left w:val="nil"/>
              <w:bottom w:val="nil"/>
              <w:right w:val="single" w:sz="4" w:space="0" w:color="auto"/>
            </w:tcBorders>
            <w:shd w:val="solid" w:color="DAF3EA" w:fill="C1F7E9"/>
            <w:noWrap/>
            <w:vAlign w:val="center"/>
            <w:hideMark/>
          </w:tcPr>
          <w:p w14:paraId="01D6378E" w14:textId="404E741D"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26,8</w:t>
            </w:r>
          </w:p>
        </w:tc>
        <w:tc>
          <w:tcPr>
            <w:tcW w:w="960" w:type="dxa"/>
            <w:tcBorders>
              <w:top w:val="single" w:sz="4" w:space="0" w:color="auto"/>
              <w:left w:val="nil"/>
              <w:bottom w:val="nil"/>
              <w:right w:val="single" w:sz="4" w:space="0" w:color="auto"/>
            </w:tcBorders>
            <w:shd w:val="solid" w:color="DAF3EA" w:fill="C1F7E9"/>
            <w:noWrap/>
            <w:vAlign w:val="center"/>
            <w:hideMark/>
          </w:tcPr>
          <w:p w14:paraId="121DEB33" w14:textId="731D5161"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5 825</w:t>
            </w:r>
          </w:p>
        </w:tc>
        <w:tc>
          <w:tcPr>
            <w:tcW w:w="960" w:type="dxa"/>
            <w:tcBorders>
              <w:top w:val="single" w:sz="4" w:space="0" w:color="auto"/>
              <w:left w:val="nil"/>
              <w:bottom w:val="nil"/>
              <w:right w:val="nil"/>
            </w:tcBorders>
            <w:shd w:val="solid" w:color="DAF3EA" w:fill="C1F7E9"/>
            <w:noWrap/>
            <w:vAlign w:val="center"/>
            <w:hideMark/>
          </w:tcPr>
          <w:p w14:paraId="20D4C83E" w14:textId="0065BD74"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5,00</w:t>
            </w:r>
          </w:p>
        </w:tc>
        <w:tc>
          <w:tcPr>
            <w:tcW w:w="242" w:type="dxa"/>
            <w:tcBorders>
              <w:left w:val="nil"/>
              <w:bottom w:val="nil"/>
              <w:right w:val="nil"/>
            </w:tcBorders>
            <w:vAlign w:val="bottom"/>
          </w:tcPr>
          <w:p w14:paraId="1E12AC4C" w14:textId="5C9499D2" w:rsidR="004226ED" w:rsidRDefault="004226ED" w:rsidP="004226ED">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color w:val="000000"/>
                <w:sz w:val="22"/>
                <w:szCs w:val="22"/>
              </w:rPr>
              <w:t> </w:t>
            </w:r>
          </w:p>
        </w:tc>
        <w:tc>
          <w:tcPr>
            <w:tcW w:w="993" w:type="dxa"/>
            <w:tcBorders>
              <w:top w:val="single" w:sz="4" w:space="0" w:color="auto"/>
              <w:left w:val="nil"/>
              <w:bottom w:val="nil"/>
              <w:right w:val="single" w:sz="4" w:space="0" w:color="auto"/>
            </w:tcBorders>
            <w:shd w:val="solid" w:color="DAF3EA" w:fill="C1F7E9"/>
            <w:vAlign w:val="center"/>
          </w:tcPr>
          <w:p w14:paraId="4D6894CF" w14:textId="1B128D80"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273,4</w:t>
            </w:r>
          </w:p>
        </w:tc>
        <w:tc>
          <w:tcPr>
            <w:tcW w:w="992" w:type="dxa"/>
            <w:tcBorders>
              <w:top w:val="single" w:sz="4" w:space="0" w:color="auto"/>
              <w:left w:val="single" w:sz="4" w:space="0" w:color="auto"/>
              <w:bottom w:val="nil"/>
              <w:right w:val="single" w:sz="4" w:space="0" w:color="auto"/>
            </w:tcBorders>
            <w:shd w:val="solid" w:color="DAF3EA" w:fill="C1F7E9"/>
            <w:vAlign w:val="center"/>
          </w:tcPr>
          <w:p w14:paraId="4021A1B1" w14:textId="57F65912"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58 051</w:t>
            </w:r>
          </w:p>
        </w:tc>
        <w:tc>
          <w:tcPr>
            <w:tcW w:w="774" w:type="dxa"/>
            <w:tcBorders>
              <w:top w:val="single" w:sz="4" w:space="0" w:color="auto"/>
              <w:left w:val="single" w:sz="4" w:space="0" w:color="auto"/>
              <w:bottom w:val="nil"/>
              <w:right w:val="nil"/>
            </w:tcBorders>
            <w:shd w:val="solid" w:color="DAF3EA" w:fill="C1F7E9"/>
            <w:vAlign w:val="center"/>
          </w:tcPr>
          <w:p w14:paraId="6544CAA1" w14:textId="148D84B7"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4,64</w:t>
            </w:r>
          </w:p>
        </w:tc>
      </w:tr>
      <w:tr w:rsidR="004226ED" w:rsidRPr="00A06A94" w14:paraId="75B50A3D" w14:textId="77777777" w:rsidTr="006E30DB">
        <w:trPr>
          <w:trHeight w:val="300"/>
        </w:trPr>
        <w:tc>
          <w:tcPr>
            <w:tcW w:w="3540" w:type="dxa"/>
            <w:tcBorders>
              <w:top w:val="nil"/>
              <w:left w:val="nil"/>
              <w:bottom w:val="nil"/>
              <w:right w:val="nil"/>
            </w:tcBorders>
            <w:shd w:val="clear" w:color="000000" w:fill="FFFFFF"/>
            <w:noWrap/>
            <w:vAlign w:val="bottom"/>
            <w:hideMark/>
          </w:tcPr>
          <w:p w14:paraId="7C159724" w14:textId="77777777" w:rsidR="004226ED" w:rsidRPr="00072DB9" w:rsidRDefault="004226ED" w:rsidP="004226ED">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2" w:type="dxa"/>
            <w:tcBorders>
              <w:top w:val="nil"/>
              <w:left w:val="nil"/>
              <w:bottom w:val="nil"/>
              <w:right w:val="single" w:sz="4" w:space="0" w:color="auto"/>
            </w:tcBorders>
            <w:shd w:val="clear" w:color="000000" w:fill="FFFFFF"/>
            <w:noWrap/>
            <w:vAlign w:val="center"/>
            <w:hideMark/>
          </w:tcPr>
          <w:p w14:paraId="63544B38" w14:textId="0A84666D"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33D68906" w14:textId="5D98F811"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8537150" w14:textId="2EFEB9FA"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242" w:type="dxa"/>
            <w:tcBorders>
              <w:top w:val="nil"/>
              <w:left w:val="nil"/>
              <w:bottom w:val="nil"/>
              <w:right w:val="nil"/>
            </w:tcBorders>
            <w:vAlign w:val="bottom"/>
          </w:tcPr>
          <w:p w14:paraId="442EE480" w14:textId="6E7FE5F9"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5600E58E" w14:textId="793436E7"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992" w:type="dxa"/>
            <w:tcBorders>
              <w:top w:val="nil"/>
              <w:left w:val="single" w:sz="4" w:space="0" w:color="auto"/>
              <w:bottom w:val="nil"/>
              <w:right w:val="single" w:sz="4" w:space="0" w:color="auto"/>
            </w:tcBorders>
            <w:shd w:val="clear" w:color="000000" w:fill="FFFFFF"/>
            <w:vAlign w:val="center"/>
          </w:tcPr>
          <w:p w14:paraId="7B73575E" w14:textId="0CAB6337"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774" w:type="dxa"/>
            <w:tcBorders>
              <w:top w:val="nil"/>
              <w:left w:val="single" w:sz="4" w:space="0" w:color="auto"/>
              <w:bottom w:val="nil"/>
              <w:right w:val="nil"/>
            </w:tcBorders>
            <w:shd w:val="clear" w:color="000000" w:fill="FFFFFF"/>
            <w:vAlign w:val="center"/>
          </w:tcPr>
          <w:p w14:paraId="12EBA8BD" w14:textId="67CB23C8"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r>
      <w:tr w:rsidR="004226ED" w:rsidRPr="00A06A94" w14:paraId="7625D4E3" w14:textId="77777777" w:rsidTr="006E30DB">
        <w:trPr>
          <w:trHeight w:val="300"/>
        </w:trPr>
        <w:tc>
          <w:tcPr>
            <w:tcW w:w="3540" w:type="dxa"/>
            <w:tcBorders>
              <w:top w:val="nil"/>
              <w:left w:val="nil"/>
              <w:bottom w:val="nil"/>
              <w:right w:val="nil"/>
            </w:tcBorders>
            <w:shd w:val="clear" w:color="000000" w:fill="FFFFFF"/>
            <w:noWrap/>
            <w:vAlign w:val="bottom"/>
            <w:hideMark/>
          </w:tcPr>
          <w:p w14:paraId="3D56AD1D" w14:textId="77777777" w:rsidR="004226ED" w:rsidRPr="00072DB9" w:rsidRDefault="004226ED" w:rsidP="004226ED">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2" w:type="dxa"/>
            <w:tcBorders>
              <w:top w:val="nil"/>
              <w:left w:val="nil"/>
              <w:bottom w:val="nil"/>
              <w:right w:val="single" w:sz="4" w:space="0" w:color="auto"/>
            </w:tcBorders>
            <w:shd w:val="clear" w:color="000000" w:fill="FFFFFF"/>
            <w:noWrap/>
            <w:vAlign w:val="center"/>
            <w:hideMark/>
          </w:tcPr>
          <w:p w14:paraId="413BFB31" w14:textId="6D76CD88"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19,2</w:t>
            </w:r>
          </w:p>
        </w:tc>
        <w:tc>
          <w:tcPr>
            <w:tcW w:w="960" w:type="dxa"/>
            <w:tcBorders>
              <w:top w:val="nil"/>
              <w:left w:val="nil"/>
              <w:bottom w:val="nil"/>
              <w:right w:val="single" w:sz="4" w:space="0" w:color="auto"/>
            </w:tcBorders>
            <w:shd w:val="clear" w:color="000000" w:fill="FFFFFF"/>
            <w:noWrap/>
            <w:vAlign w:val="center"/>
            <w:hideMark/>
          </w:tcPr>
          <w:p w14:paraId="35204F7B" w14:textId="05A66049"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4 150</w:t>
            </w:r>
          </w:p>
        </w:tc>
        <w:tc>
          <w:tcPr>
            <w:tcW w:w="960" w:type="dxa"/>
            <w:tcBorders>
              <w:top w:val="nil"/>
              <w:left w:val="nil"/>
              <w:bottom w:val="nil"/>
              <w:right w:val="nil"/>
            </w:tcBorders>
            <w:shd w:val="clear" w:color="000000" w:fill="FFFFFF"/>
            <w:noWrap/>
            <w:vAlign w:val="center"/>
            <w:hideMark/>
          </w:tcPr>
          <w:p w14:paraId="339602DE" w14:textId="57F2E805"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4,99</w:t>
            </w:r>
          </w:p>
        </w:tc>
        <w:tc>
          <w:tcPr>
            <w:tcW w:w="242" w:type="dxa"/>
            <w:tcBorders>
              <w:top w:val="nil"/>
              <w:left w:val="nil"/>
              <w:bottom w:val="nil"/>
              <w:right w:val="nil"/>
            </w:tcBorders>
            <w:vAlign w:val="bottom"/>
          </w:tcPr>
          <w:p w14:paraId="1CF8C8AE" w14:textId="6F34370B"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0F378060" w14:textId="02572B43"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196,6</w:t>
            </w:r>
          </w:p>
        </w:tc>
        <w:tc>
          <w:tcPr>
            <w:tcW w:w="992" w:type="dxa"/>
            <w:tcBorders>
              <w:top w:val="nil"/>
              <w:left w:val="single" w:sz="4" w:space="0" w:color="auto"/>
              <w:bottom w:val="nil"/>
              <w:right w:val="single" w:sz="4" w:space="0" w:color="auto"/>
            </w:tcBorders>
            <w:shd w:val="clear" w:color="000000" w:fill="FFFFFF"/>
            <w:vAlign w:val="center"/>
          </w:tcPr>
          <w:p w14:paraId="5F448916" w14:textId="15DB1010"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41 768</w:t>
            </w:r>
          </w:p>
        </w:tc>
        <w:tc>
          <w:tcPr>
            <w:tcW w:w="774" w:type="dxa"/>
            <w:tcBorders>
              <w:top w:val="nil"/>
              <w:left w:val="single" w:sz="4" w:space="0" w:color="auto"/>
              <w:bottom w:val="nil"/>
              <w:right w:val="nil"/>
            </w:tcBorders>
            <w:shd w:val="clear" w:color="000000" w:fill="FFFFFF"/>
            <w:vAlign w:val="center"/>
          </w:tcPr>
          <w:p w14:paraId="634C0342" w14:textId="04442917"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4,64</w:t>
            </w:r>
          </w:p>
        </w:tc>
      </w:tr>
      <w:tr w:rsidR="004226ED" w:rsidRPr="00A06A94" w14:paraId="0E99D021" w14:textId="77777777" w:rsidTr="00976966">
        <w:trPr>
          <w:trHeight w:val="300"/>
        </w:trPr>
        <w:tc>
          <w:tcPr>
            <w:tcW w:w="3540" w:type="dxa"/>
            <w:tcBorders>
              <w:top w:val="nil"/>
              <w:left w:val="nil"/>
              <w:bottom w:val="nil"/>
              <w:right w:val="nil"/>
            </w:tcBorders>
            <w:shd w:val="clear" w:color="000000" w:fill="FFFFFF"/>
            <w:noWrap/>
            <w:vAlign w:val="bottom"/>
            <w:hideMark/>
          </w:tcPr>
          <w:p w14:paraId="24650778" w14:textId="77777777" w:rsidR="004226ED" w:rsidRPr="00072DB9" w:rsidRDefault="004226ED" w:rsidP="004226ED">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2" w:type="dxa"/>
            <w:tcBorders>
              <w:top w:val="nil"/>
              <w:left w:val="nil"/>
              <w:bottom w:val="nil"/>
              <w:right w:val="single" w:sz="4" w:space="0" w:color="auto"/>
            </w:tcBorders>
            <w:shd w:val="clear" w:color="000000" w:fill="FFFFFF"/>
            <w:noWrap/>
            <w:vAlign w:val="center"/>
            <w:hideMark/>
          </w:tcPr>
          <w:p w14:paraId="52DC5BF0" w14:textId="1690F33A"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4,2</w:t>
            </w:r>
          </w:p>
        </w:tc>
        <w:tc>
          <w:tcPr>
            <w:tcW w:w="960" w:type="dxa"/>
            <w:tcBorders>
              <w:top w:val="nil"/>
              <w:left w:val="nil"/>
              <w:bottom w:val="nil"/>
              <w:right w:val="single" w:sz="4" w:space="0" w:color="auto"/>
            </w:tcBorders>
            <w:shd w:val="clear" w:color="000000" w:fill="FFFFFF"/>
            <w:noWrap/>
            <w:vAlign w:val="center"/>
            <w:hideMark/>
          </w:tcPr>
          <w:p w14:paraId="6ABFDBC1" w14:textId="2B3EFA21"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934</w:t>
            </w:r>
          </w:p>
        </w:tc>
        <w:tc>
          <w:tcPr>
            <w:tcW w:w="960" w:type="dxa"/>
            <w:tcBorders>
              <w:top w:val="nil"/>
              <w:left w:val="nil"/>
              <w:bottom w:val="nil"/>
              <w:right w:val="nil"/>
            </w:tcBorders>
            <w:shd w:val="clear" w:color="000000" w:fill="FFFFFF"/>
            <w:noWrap/>
            <w:vAlign w:val="center"/>
            <w:hideMark/>
          </w:tcPr>
          <w:p w14:paraId="5D5E6596" w14:textId="0D84A2CB"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4,92</w:t>
            </w:r>
          </w:p>
        </w:tc>
        <w:tc>
          <w:tcPr>
            <w:tcW w:w="242" w:type="dxa"/>
            <w:tcBorders>
              <w:top w:val="nil"/>
              <w:left w:val="nil"/>
              <w:bottom w:val="nil"/>
              <w:right w:val="nil"/>
            </w:tcBorders>
            <w:vAlign w:val="bottom"/>
          </w:tcPr>
          <w:p w14:paraId="096C099B" w14:textId="4A586BE0"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10B9382F" w14:textId="594D7C84"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45,0</w:t>
            </w:r>
          </w:p>
        </w:tc>
        <w:tc>
          <w:tcPr>
            <w:tcW w:w="992" w:type="dxa"/>
            <w:tcBorders>
              <w:top w:val="nil"/>
              <w:left w:val="single" w:sz="4" w:space="0" w:color="auto"/>
              <w:bottom w:val="nil"/>
              <w:right w:val="single" w:sz="4" w:space="0" w:color="auto"/>
            </w:tcBorders>
            <w:shd w:val="clear" w:color="000000" w:fill="FFFFFF"/>
            <w:vAlign w:val="center"/>
          </w:tcPr>
          <w:p w14:paraId="2CAD1162" w14:textId="245F55A5"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9 593</w:t>
            </w:r>
          </w:p>
        </w:tc>
        <w:tc>
          <w:tcPr>
            <w:tcW w:w="774" w:type="dxa"/>
            <w:tcBorders>
              <w:top w:val="nil"/>
              <w:left w:val="single" w:sz="4" w:space="0" w:color="auto"/>
              <w:bottom w:val="nil"/>
              <w:right w:val="nil"/>
            </w:tcBorders>
            <w:shd w:val="clear" w:color="000000" w:fill="FFFFFF"/>
            <w:vAlign w:val="center"/>
          </w:tcPr>
          <w:p w14:paraId="068099D2" w14:textId="637819C8"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4,58</w:t>
            </w:r>
          </w:p>
        </w:tc>
      </w:tr>
      <w:tr w:rsidR="004226ED" w:rsidRPr="00A06A94" w14:paraId="501771B5"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DD2365D" w14:textId="77777777" w:rsidR="004226ED" w:rsidRPr="00072DB9" w:rsidRDefault="004226ED" w:rsidP="004226ED">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2" w:type="dxa"/>
            <w:tcBorders>
              <w:top w:val="nil"/>
              <w:left w:val="nil"/>
              <w:bottom w:val="single" w:sz="4" w:space="0" w:color="auto"/>
              <w:right w:val="single" w:sz="4" w:space="0" w:color="auto"/>
            </w:tcBorders>
            <w:shd w:val="clear" w:color="000000" w:fill="FFFFFF"/>
            <w:noWrap/>
            <w:vAlign w:val="center"/>
            <w:hideMark/>
          </w:tcPr>
          <w:p w14:paraId="447C665A" w14:textId="40193F1E"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3,4</w:t>
            </w:r>
          </w:p>
        </w:tc>
        <w:tc>
          <w:tcPr>
            <w:tcW w:w="960" w:type="dxa"/>
            <w:tcBorders>
              <w:top w:val="nil"/>
              <w:left w:val="nil"/>
              <w:bottom w:val="single" w:sz="4" w:space="0" w:color="auto"/>
              <w:right w:val="single" w:sz="4" w:space="0" w:color="auto"/>
            </w:tcBorders>
            <w:shd w:val="clear" w:color="000000" w:fill="FFFFFF"/>
            <w:noWrap/>
            <w:vAlign w:val="center"/>
            <w:hideMark/>
          </w:tcPr>
          <w:p w14:paraId="736F58FE" w14:textId="7D5CC200"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741</w:t>
            </w:r>
          </w:p>
        </w:tc>
        <w:tc>
          <w:tcPr>
            <w:tcW w:w="960" w:type="dxa"/>
            <w:tcBorders>
              <w:top w:val="nil"/>
              <w:left w:val="nil"/>
              <w:bottom w:val="single" w:sz="4" w:space="0" w:color="auto"/>
              <w:right w:val="nil"/>
            </w:tcBorders>
            <w:shd w:val="clear" w:color="000000" w:fill="FFFFFF"/>
            <w:noWrap/>
            <w:vAlign w:val="center"/>
            <w:hideMark/>
          </w:tcPr>
          <w:p w14:paraId="11B6015C" w14:textId="0186098B"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5,11</w:t>
            </w:r>
          </w:p>
        </w:tc>
        <w:tc>
          <w:tcPr>
            <w:tcW w:w="242" w:type="dxa"/>
            <w:tcBorders>
              <w:top w:val="nil"/>
              <w:left w:val="nil"/>
              <w:right w:val="nil"/>
            </w:tcBorders>
            <w:vAlign w:val="bottom"/>
          </w:tcPr>
          <w:p w14:paraId="0E5EEE48" w14:textId="4B807E55"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6AE7FB0C" w14:textId="66D5FE15"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31,8</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6096F2B8" w14:textId="118E6201"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6 690</w:t>
            </w:r>
          </w:p>
        </w:tc>
        <w:tc>
          <w:tcPr>
            <w:tcW w:w="774" w:type="dxa"/>
            <w:tcBorders>
              <w:top w:val="nil"/>
              <w:left w:val="single" w:sz="4" w:space="0" w:color="auto"/>
              <w:bottom w:val="single" w:sz="4" w:space="0" w:color="auto"/>
              <w:right w:val="nil"/>
            </w:tcBorders>
            <w:shd w:val="clear" w:color="000000" w:fill="FFFFFF"/>
            <w:vAlign w:val="center"/>
          </w:tcPr>
          <w:p w14:paraId="19EA6453" w14:textId="5BCB556F"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4,73</w:t>
            </w:r>
          </w:p>
        </w:tc>
      </w:tr>
      <w:tr w:rsidR="004226ED" w:rsidRPr="00A06A94" w14:paraId="5D723CBB"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2E721761" w14:textId="77777777" w:rsidR="004226ED" w:rsidRPr="00072DB9" w:rsidRDefault="004226ED" w:rsidP="004226ED">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2" w:type="dxa"/>
            <w:tcBorders>
              <w:top w:val="nil"/>
              <w:left w:val="nil"/>
              <w:bottom w:val="single" w:sz="4" w:space="0" w:color="auto"/>
              <w:right w:val="single" w:sz="4" w:space="0" w:color="auto"/>
            </w:tcBorders>
            <w:shd w:val="clear" w:color="000000" w:fill="FFFFFF"/>
            <w:noWrap/>
            <w:vAlign w:val="center"/>
            <w:hideMark/>
          </w:tcPr>
          <w:p w14:paraId="69F7A9EB" w14:textId="6FC32F7F"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6,6</w:t>
            </w:r>
          </w:p>
        </w:tc>
        <w:tc>
          <w:tcPr>
            <w:tcW w:w="960" w:type="dxa"/>
            <w:tcBorders>
              <w:top w:val="nil"/>
              <w:left w:val="nil"/>
              <w:bottom w:val="single" w:sz="4" w:space="0" w:color="auto"/>
              <w:right w:val="single" w:sz="4" w:space="0" w:color="auto"/>
            </w:tcBorders>
            <w:shd w:val="clear" w:color="000000" w:fill="FFFFFF"/>
            <w:noWrap/>
            <w:vAlign w:val="center"/>
            <w:hideMark/>
          </w:tcPr>
          <w:p w14:paraId="5D3E99BA" w14:textId="2183AE7E"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1 735</w:t>
            </w:r>
          </w:p>
        </w:tc>
        <w:tc>
          <w:tcPr>
            <w:tcW w:w="960" w:type="dxa"/>
            <w:tcBorders>
              <w:top w:val="nil"/>
              <w:left w:val="nil"/>
              <w:bottom w:val="single" w:sz="4" w:space="0" w:color="auto"/>
              <w:right w:val="nil"/>
            </w:tcBorders>
            <w:shd w:val="clear" w:color="000000" w:fill="FFFFFF"/>
            <w:noWrap/>
            <w:vAlign w:val="center"/>
            <w:hideMark/>
          </w:tcPr>
          <w:p w14:paraId="459C49FD" w14:textId="03051FB5"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4,96</w:t>
            </w:r>
          </w:p>
        </w:tc>
        <w:tc>
          <w:tcPr>
            <w:tcW w:w="242" w:type="dxa"/>
            <w:tcBorders>
              <w:top w:val="nil"/>
              <w:left w:val="nil"/>
              <w:right w:val="nil"/>
            </w:tcBorders>
            <w:vAlign w:val="bottom"/>
          </w:tcPr>
          <w:p w14:paraId="17CF4B73" w14:textId="275DA2EA"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68E3AC5" w14:textId="7D9DDF74"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81,1</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9714FB1" w14:textId="03C5DB12"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20 788</w:t>
            </w:r>
          </w:p>
        </w:tc>
        <w:tc>
          <w:tcPr>
            <w:tcW w:w="774" w:type="dxa"/>
            <w:tcBorders>
              <w:top w:val="nil"/>
              <w:left w:val="single" w:sz="4" w:space="0" w:color="auto"/>
              <w:bottom w:val="single" w:sz="4" w:space="0" w:color="auto"/>
              <w:right w:val="nil"/>
            </w:tcBorders>
            <w:shd w:val="clear" w:color="000000" w:fill="FFFFFF"/>
            <w:vAlign w:val="center"/>
          </w:tcPr>
          <w:p w14:paraId="2B0AEEA7" w14:textId="2502A0F3"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4,54</w:t>
            </w:r>
          </w:p>
        </w:tc>
      </w:tr>
      <w:tr w:rsidR="004226ED" w:rsidRPr="00A06A94" w14:paraId="2265D080"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290B764" w14:textId="77777777" w:rsidR="004226ED" w:rsidRPr="00072DB9" w:rsidRDefault="004226ED" w:rsidP="004226ED">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r>
              <w:rPr>
                <w:rFonts w:ascii="Calibri Light" w:hAnsi="Calibri Light" w:cs="Calibri Light"/>
                <w:b/>
                <w:bCs/>
                <w:color w:val="000000"/>
                <w:sz w:val="22"/>
                <w:szCs w:val="22"/>
              </w:rPr>
              <w:t>, navýšené</w:t>
            </w:r>
          </w:p>
        </w:tc>
        <w:tc>
          <w:tcPr>
            <w:tcW w:w="1102" w:type="dxa"/>
            <w:tcBorders>
              <w:top w:val="nil"/>
              <w:left w:val="nil"/>
              <w:bottom w:val="single" w:sz="4" w:space="0" w:color="auto"/>
              <w:right w:val="single" w:sz="4" w:space="0" w:color="auto"/>
            </w:tcBorders>
            <w:shd w:val="clear" w:color="000000" w:fill="FFFFFF"/>
            <w:noWrap/>
            <w:vAlign w:val="center"/>
            <w:hideMark/>
          </w:tcPr>
          <w:p w14:paraId="04D8288F" w14:textId="271FB409"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1,1</w:t>
            </w:r>
          </w:p>
        </w:tc>
        <w:tc>
          <w:tcPr>
            <w:tcW w:w="960" w:type="dxa"/>
            <w:tcBorders>
              <w:top w:val="nil"/>
              <w:left w:val="nil"/>
              <w:bottom w:val="single" w:sz="4" w:space="0" w:color="auto"/>
              <w:right w:val="single" w:sz="4" w:space="0" w:color="auto"/>
            </w:tcBorders>
            <w:shd w:val="clear" w:color="000000" w:fill="FFFFFF"/>
            <w:noWrap/>
            <w:vAlign w:val="center"/>
            <w:hideMark/>
          </w:tcPr>
          <w:p w14:paraId="7398B663" w14:textId="733585A4" w:rsidR="004226ED" w:rsidRPr="00072DB9" w:rsidRDefault="004226ED" w:rsidP="004226ED">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297</w:t>
            </w:r>
          </w:p>
        </w:tc>
        <w:tc>
          <w:tcPr>
            <w:tcW w:w="960" w:type="dxa"/>
            <w:tcBorders>
              <w:top w:val="nil"/>
              <w:left w:val="nil"/>
              <w:bottom w:val="single" w:sz="4" w:space="0" w:color="auto"/>
              <w:right w:val="nil"/>
            </w:tcBorders>
            <w:shd w:val="clear" w:color="000000" w:fill="FFFFFF"/>
            <w:noWrap/>
            <w:vAlign w:val="center"/>
            <w:hideMark/>
          </w:tcPr>
          <w:p w14:paraId="4499ECE4" w14:textId="3A561265" w:rsidR="004226ED" w:rsidRPr="00072DB9" w:rsidRDefault="004226ED" w:rsidP="004226ED">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5,02</w:t>
            </w:r>
          </w:p>
        </w:tc>
        <w:tc>
          <w:tcPr>
            <w:tcW w:w="242" w:type="dxa"/>
            <w:tcBorders>
              <w:top w:val="nil"/>
              <w:left w:val="nil"/>
              <w:right w:val="nil"/>
            </w:tcBorders>
            <w:vAlign w:val="bottom"/>
          </w:tcPr>
          <w:p w14:paraId="6021B7F9" w14:textId="5EDA6BE2" w:rsidR="004226ED" w:rsidRDefault="004226ED" w:rsidP="004226ED">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89BC0CC" w14:textId="7CF26923"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14,5</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A4016D1" w14:textId="0EFABED4"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3 536</w:t>
            </w:r>
          </w:p>
        </w:tc>
        <w:tc>
          <w:tcPr>
            <w:tcW w:w="774" w:type="dxa"/>
            <w:tcBorders>
              <w:top w:val="nil"/>
              <w:left w:val="single" w:sz="4" w:space="0" w:color="auto"/>
              <w:bottom w:val="single" w:sz="4" w:space="0" w:color="auto"/>
              <w:right w:val="nil"/>
            </w:tcBorders>
            <w:shd w:val="clear" w:color="000000" w:fill="FFFFFF"/>
            <w:vAlign w:val="center"/>
          </w:tcPr>
          <w:p w14:paraId="67B83F6B" w14:textId="37CC32FB" w:rsidR="004226ED" w:rsidRPr="00A06A94" w:rsidRDefault="004226ED" w:rsidP="004226ED">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4,58</w:t>
            </w:r>
          </w:p>
        </w:tc>
      </w:tr>
    </w:tbl>
    <w:p w14:paraId="7749A713" w14:textId="7DA80B2C" w:rsidR="003C3451" w:rsidRPr="007821A2" w:rsidRDefault="007821A2" w:rsidP="0009562F">
      <w:pPr>
        <w:overflowPunct/>
        <w:autoSpaceDE/>
        <w:autoSpaceDN/>
        <w:adjustRightInd/>
        <w:spacing w:before="120" w:after="120"/>
        <w:textAlignment w:val="auto"/>
        <w:rPr>
          <w:rFonts w:asciiTheme="minorHAnsi" w:hAnsiTheme="minorHAnsi" w:cstheme="minorHAnsi"/>
          <w:bCs/>
          <w:color w:val="13576B"/>
          <w:sz w:val="20"/>
        </w:rPr>
      </w:pPr>
      <w:r w:rsidRPr="007821A2">
        <w:rPr>
          <w:rFonts w:asciiTheme="minorHAnsi" w:hAnsiTheme="minorHAnsi" w:cstheme="minorHAnsi"/>
          <w:bCs/>
          <w:color w:val="13576B"/>
          <w:sz w:val="20"/>
        </w:rPr>
        <w:t xml:space="preserve">Pramen: ČBA </w:t>
      </w:r>
      <w:proofErr w:type="spellStart"/>
      <w:r w:rsidRPr="007821A2">
        <w:rPr>
          <w:rFonts w:asciiTheme="minorHAnsi" w:hAnsiTheme="minorHAnsi" w:cstheme="minorHAnsi"/>
          <w:bCs/>
          <w:color w:val="13576B"/>
          <w:sz w:val="20"/>
        </w:rPr>
        <w:t>Hypomonitor</w:t>
      </w:r>
      <w:proofErr w:type="spellEnd"/>
      <w:r w:rsidRPr="007821A2">
        <w:rPr>
          <w:rFonts w:asciiTheme="minorHAnsi" w:hAnsiTheme="minorHAnsi" w:cstheme="minorHAnsi"/>
          <w:bCs/>
          <w:color w:val="13576B"/>
          <w:sz w:val="20"/>
        </w:rPr>
        <w:t>. Poznámka: sezónně neočištěná data</w:t>
      </w:r>
    </w:p>
    <w:p w14:paraId="0A5C07AA" w14:textId="1C381E7F" w:rsidR="006A4CF3" w:rsidRPr="003C3451" w:rsidRDefault="00D16FB5" w:rsidP="006A4CF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i/>
          <w:iCs/>
          <w:color w:val="000000" w:themeColor="text1"/>
          <w:sz w:val="22"/>
          <w:szCs w:val="22"/>
        </w:rPr>
      </w:pPr>
      <w:bookmarkStart w:id="3" w:name="_Hlk111121228"/>
      <w:bookmarkStart w:id="4" w:name="_Hlk119308742"/>
      <w:r w:rsidRPr="00FC27DC">
        <w:rPr>
          <w:rFonts w:ascii="Calibri" w:hAnsi="Calibri" w:cs="Calibri"/>
          <w:i/>
          <w:iCs/>
          <w:color w:val="000000" w:themeColor="text1"/>
          <w:sz w:val="22"/>
          <w:szCs w:val="22"/>
        </w:rPr>
        <w:t>„</w:t>
      </w:r>
      <w:r w:rsidR="00D66D1C" w:rsidRPr="00D66D1C">
        <w:rPr>
          <w:rFonts w:ascii="Calibri" w:hAnsi="Calibri" w:cs="Calibri"/>
          <w:i/>
          <w:iCs/>
          <w:sz w:val="22"/>
          <w:szCs w:val="22"/>
        </w:rPr>
        <w:t>Srpnová hypoteční čísla zesílila čtyři hlavní tendence z července. Počty i objemy nových hypoték se zchladily pod silné loňské druhé pololetí. Růst realizovaných hypotečních sazeb zůstává ve srovnání s tržními sazbami pozvolný. Sazby u refinancovaných hypoték se již neodchylují směrem dolů jako v květnu a červnu. Pravděpodobně nižší zastoupení investičních hypoték přispělo k udržení nižší průměrné výše nové hypotéky</w:t>
      </w:r>
      <w:r w:rsidR="000B7D19" w:rsidRPr="00D66D1C">
        <w:rPr>
          <w:rFonts w:ascii="Calibri" w:hAnsi="Calibri" w:cs="Calibri"/>
          <w:i/>
          <w:iCs/>
          <w:sz w:val="22"/>
          <w:szCs w:val="22"/>
        </w:rPr>
        <w:t>,</w:t>
      </w:r>
      <w:r w:rsidRPr="00D66D1C">
        <w:rPr>
          <w:rFonts w:ascii="Calibri" w:hAnsi="Calibri" w:cs="Calibri"/>
          <w:i/>
          <w:iCs/>
          <w:sz w:val="22"/>
          <w:szCs w:val="22"/>
        </w:rPr>
        <w:t>“</w:t>
      </w:r>
      <w:r w:rsidR="006A4CF3" w:rsidRPr="00D66D1C">
        <w:rPr>
          <w:rFonts w:ascii="Calibri" w:hAnsi="Calibri" w:cs="Calibri"/>
          <w:i/>
          <w:iCs/>
          <w:sz w:val="22"/>
          <w:szCs w:val="22"/>
        </w:rPr>
        <w:t xml:space="preserve"> </w:t>
      </w:r>
      <w:r w:rsidR="00D66D1C">
        <w:rPr>
          <w:rFonts w:ascii="Calibri" w:hAnsi="Calibri" w:cs="Calibri"/>
          <w:color w:val="000000" w:themeColor="text1"/>
          <w:sz w:val="22"/>
          <w:szCs w:val="22"/>
        </w:rPr>
        <w:t>shrnuje</w:t>
      </w:r>
      <w:r w:rsidR="006A4CF3" w:rsidRPr="00882EFB">
        <w:rPr>
          <w:rFonts w:ascii="Calibri" w:hAnsi="Calibri" w:cs="Calibri"/>
          <w:sz w:val="22"/>
          <w:szCs w:val="22"/>
        </w:rPr>
        <w:t xml:space="preserve"> </w:t>
      </w:r>
      <w:r w:rsidR="006A4CF3">
        <w:rPr>
          <w:rFonts w:ascii="Calibri" w:hAnsi="Calibri" w:cs="Calibri"/>
          <w:b/>
          <w:bCs/>
          <w:sz w:val="22"/>
          <w:szCs w:val="22"/>
        </w:rPr>
        <w:t xml:space="preserve">Jaromír Šindel, hlavní ekonom České bankovní asociace. </w:t>
      </w:r>
    </w:p>
    <w:p w14:paraId="6B7D1662" w14:textId="104AD1A3" w:rsidR="00677FE7" w:rsidRDefault="004226ED" w:rsidP="007E1421">
      <w:pPr>
        <w:rPr>
          <w:rFonts w:ascii="Calibri" w:hAnsi="Calibri" w:cs="Calibri"/>
          <w:b/>
          <w:color w:val="13576B"/>
          <w:sz w:val="23"/>
          <w:szCs w:val="23"/>
        </w:rPr>
      </w:pPr>
      <w:r>
        <w:rPr>
          <w:rFonts w:ascii="Calibri" w:hAnsi="Calibri" w:cs="Calibri"/>
          <w:b/>
          <w:noProof/>
          <w:color w:val="13576B"/>
          <w:sz w:val="23"/>
          <w:szCs w:val="23"/>
        </w:rPr>
        <w:lastRenderedPageBreak/>
        <w:drawing>
          <wp:inline distT="0" distB="0" distL="0" distR="0" wp14:anchorId="3B9B4DF4" wp14:editId="026AEDDA">
            <wp:extent cx="6720463" cy="4961255"/>
            <wp:effectExtent l="0" t="0" r="4445" b="0"/>
            <wp:docPr id="4895613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31092" cy="4969102"/>
                    </a:xfrm>
                    <a:prstGeom prst="rect">
                      <a:avLst/>
                    </a:prstGeom>
                    <a:noFill/>
                  </pic:spPr>
                </pic:pic>
              </a:graphicData>
            </a:graphic>
          </wp:inline>
        </w:drawing>
      </w:r>
    </w:p>
    <w:p w14:paraId="6C652A9F" w14:textId="49CDABBE" w:rsidR="007E1421" w:rsidRDefault="00E16BD3" w:rsidP="007E1421">
      <w:pPr>
        <w:overflowPunct/>
        <w:autoSpaceDE/>
        <w:autoSpaceDN/>
        <w:adjustRightInd/>
        <w:spacing w:after="120"/>
        <w:jc w:val="left"/>
        <w:textAlignment w:val="auto"/>
        <w:rPr>
          <w:rFonts w:ascii="Calibri Light" w:hAnsi="Calibri Light" w:cs="Calibri Light"/>
          <w:color w:val="13576B"/>
          <w:sz w:val="20"/>
        </w:rPr>
      </w:pPr>
      <w:r w:rsidRPr="00E16BD3">
        <w:rPr>
          <w:rFonts w:ascii="Calibri Light" w:hAnsi="Calibri Light" w:cs="Calibri Light"/>
          <w:color w:val="13576B"/>
          <w:sz w:val="20"/>
        </w:rPr>
        <w:t xml:space="preserve">Poznámka: </w:t>
      </w:r>
      <w:r w:rsidR="004332EC" w:rsidRPr="004332EC">
        <w:rPr>
          <w:rFonts w:ascii="Calibri Light" w:hAnsi="Calibri Light" w:cs="Calibri Light"/>
          <w:color w:val="13576B"/>
          <w:sz w:val="20"/>
        </w:rPr>
        <w:t xml:space="preserve">Výhled do konce roku má indikativní charakter – vychází z aktuálního trendu, nikoli z modelové predikce. Pro zbytek roku předpokládá </w:t>
      </w:r>
      <w:proofErr w:type="gramStart"/>
      <w:r w:rsidR="004332EC" w:rsidRPr="004332EC">
        <w:rPr>
          <w:rFonts w:ascii="Calibri Light" w:hAnsi="Calibri Light" w:cs="Calibri Light"/>
          <w:color w:val="13576B"/>
          <w:sz w:val="20"/>
        </w:rPr>
        <w:t>7%</w:t>
      </w:r>
      <w:proofErr w:type="gramEnd"/>
      <w:r w:rsidR="004332EC" w:rsidRPr="004332EC">
        <w:rPr>
          <w:rFonts w:ascii="Calibri Light" w:hAnsi="Calibri Light" w:cs="Calibri Light"/>
          <w:color w:val="13576B"/>
          <w:sz w:val="20"/>
        </w:rPr>
        <w:t xml:space="preserve"> korekci počtu hypoték vůči tempu zaznamenanému ve druhém pololetí 2025. Ilustrativně viz graf č. 7.</w:t>
      </w:r>
    </w:p>
    <w:p w14:paraId="05D7F9BE" w14:textId="02A4EC57" w:rsidR="00795550" w:rsidRDefault="00795550" w:rsidP="007E1421">
      <w:pPr>
        <w:overflowPunct/>
        <w:autoSpaceDE/>
        <w:autoSpaceDN/>
        <w:adjustRightInd/>
        <w:spacing w:after="120"/>
        <w:jc w:val="left"/>
        <w:textAlignment w:val="auto"/>
        <w:rPr>
          <w:rFonts w:ascii="Calibri Light" w:hAnsi="Calibri Light" w:cs="Calibri Light"/>
          <w:noProof/>
          <w:color w:val="13576B"/>
          <w:sz w:val="20"/>
        </w:rPr>
      </w:pPr>
    </w:p>
    <w:p w14:paraId="318111AA" w14:textId="36F4B271" w:rsidR="004226ED" w:rsidRDefault="004226ED" w:rsidP="007E1421">
      <w:pPr>
        <w:overflowPunct/>
        <w:autoSpaceDE/>
        <w:autoSpaceDN/>
        <w:adjustRightInd/>
        <w:spacing w:after="120"/>
        <w:jc w:val="left"/>
        <w:textAlignment w:val="auto"/>
        <w:rPr>
          <w:rFonts w:ascii="Calibri Light" w:hAnsi="Calibri Light" w:cs="Calibri Light"/>
          <w:color w:val="13576B"/>
          <w:sz w:val="20"/>
        </w:rPr>
      </w:pPr>
      <w:r>
        <w:rPr>
          <w:rFonts w:ascii="Calibri Light" w:hAnsi="Calibri Light" w:cs="Calibri Light"/>
          <w:noProof/>
          <w:color w:val="13576B"/>
          <w:sz w:val="20"/>
        </w:rPr>
        <w:lastRenderedPageBreak/>
        <w:drawing>
          <wp:inline distT="0" distB="0" distL="0" distR="0" wp14:anchorId="0856A82C" wp14:editId="5B92536F">
            <wp:extent cx="6469059" cy="3536950"/>
            <wp:effectExtent l="0" t="0" r="8255" b="6350"/>
            <wp:docPr id="798546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6351" cy="3546404"/>
                    </a:xfrm>
                    <a:prstGeom prst="rect">
                      <a:avLst/>
                    </a:prstGeom>
                    <a:noFill/>
                  </pic:spPr>
                </pic:pic>
              </a:graphicData>
            </a:graphic>
          </wp:inline>
        </w:drawing>
      </w:r>
    </w:p>
    <w:p w14:paraId="304940DD" w14:textId="77777777" w:rsidR="00845107" w:rsidRDefault="00845107" w:rsidP="0009562F">
      <w:pPr>
        <w:overflowPunct/>
        <w:autoSpaceDE/>
        <w:autoSpaceDN/>
        <w:adjustRightInd/>
        <w:textAlignment w:val="auto"/>
        <w:rPr>
          <w:rFonts w:ascii="Calibri" w:hAnsi="Calibri" w:cs="Calibri"/>
          <w:b/>
          <w:color w:val="13576B"/>
          <w:sz w:val="23"/>
          <w:szCs w:val="23"/>
        </w:rPr>
      </w:pPr>
    </w:p>
    <w:p w14:paraId="4C222F62" w14:textId="4DAFC338" w:rsidR="004332EC" w:rsidRDefault="004332EC" w:rsidP="00CC1C2A">
      <w:pPr>
        <w:overflowPunct/>
        <w:autoSpaceDE/>
        <w:autoSpaceDN/>
        <w:adjustRightInd/>
        <w:textAlignment w:val="auto"/>
        <w:rPr>
          <w:rFonts w:ascii="Calibri" w:hAnsi="Calibri" w:cs="Calibri"/>
          <w:b/>
          <w:color w:val="13576B"/>
          <w:sz w:val="23"/>
          <w:szCs w:val="23"/>
        </w:rPr>
      </w:pPr>
      <w:r w:rsidRPr="004332EC">
        <w:rPr>
          <w:rFonts w:ascii="Calibri" w:hAnsi="Calibri" w:cs="Calibri"/>
          <w:b/>
          <w:color w:val="13576B"/>
          <w:sz w:val="23"/>
          <w:szCs w:val="23"/>
        </w:rPr>
        <w:t xml:space="preserve">Hypoteční aktivita </w:t>
      </w:r>
      <w:r w:rsidR="00AD0FFE">
        <w:rPr>
          <w:rFonts w:ascii="Calibri" w:hAnsi="Calibri" w:cs="Calibri"/>
          <w:b/>
          <w:color w:val="13576B"/>
          <w:sz w:val="23"/>
          <w:szCs w:val="23"/>
        </w:rPr>
        <w:t xml:space="preserve">na sklonku léta dále </w:t>
      </w:r>
      <w:r w:rsidRPr="004332EC">
        <w:rPr>
          <w:rFonts w:ascii="Calibri" w:hAnsi="Calibri" w:cs="Calibri"/>
          <w:b/>
          <w:color w:val="13576B"/>
          <w:sz w:val="23"/>
          <w:szCs w:val="23"/>
        </w:rPr>
        <w:t>zvolnila, objemy i počty však zůstávají poblíž silných úrovní z druhé poloviny loňského roku</w:t>
      </w:r>
    </w:p>
    <w:p w14:paraId="5343300C" w14:textId="63A5B0D9" w:rsidR="00AD0FFE" w:rsidRDefault="00AD0FFE" w:rsidP="00CC1C2A">
      <w:pPr>
        <w:overflowPunct/>
        <w:autoSpaceDE/>
        <w:autoSpaceDN/>
        <w:adjustRightInd/>
        <w:textAlignment w:val="auto"/>
        <w:rPr>
          <w:rFonts w:ascii="Calibri" w:hAnsi="Calibri" w:cs="Calibri"/>
          <w:color w:val="000000"/>
          <w:sz w:val="22"/>
          <w:szCs w:val="22"/>
        </w:rPr>
      </w:pPr>
      <w:r w:rsidRPr="00AD0FFE">
        <w:rPr>
          <w:rFonts w:ascii="Calibri" w:hAnsi="Calibri" w:cs="Calibri"/>
          <w:b/>
          <w:bCs/>
          <w:color w:val="000000"/>
          <w:sz w:val="22"/>
          <w:szCs w:val="22"/>
        </w:rPr>
        <w:t>Celkově banky a stavební spořitelny v srpnu vykázaly nový nekonsolidovaný business v podobě nových a refinancovaných hypoték v objemu 34,5 mld. Kč</w:t>
      </w:r>
      <w:r>
        <w:rPr>
          <w:rFonts w:ascii="Calibri" w:hAnsi="Calibri" w:cs="Calibri"/>
          <w:b/>
          <w:bCs/>
          <w:color w:val="000000"/>
          <w:sz w:val="22"/>
          <w:szCs w:val="22"/>
        </w:rPr>
        <w:t xml:space="preserve">. </w:t>
      </w:r>
      <w:r>
        <w:rPr>
          <w:rFonts w:ascii="Calibri" w:hAnsi="Calibri" w:cs="Calibri"/>
          <w:color w:val="000000"/>
          <w:sz w:val="22"/>
          <w:szCs w:val="22"/>
        </w:rPr>
        <w:t>T</w:t>
      </w:r>
      <w:r w:rsidRPr="00AD0FFE">
        <w:rPr>
          <w:rFonts w:ascii="Calibri" w:hAnsi="Calibri" w:cs="Calibri"/>
          <w:color w:val="000000"/>
          <w:sz w:val="22"/>
          <w:szCs w:val="22"/>
        </w:rPr>
        <w:t xml:space="preserve">o je o </w:t>
      </w:r>
      <w:r>
        <w:rPr>
          <w:rFonts w:ascii="Calibri" w:hAnsi="Calibri" w:cs="Calibri"/>
          <w:color w:val="000000"/>
          <w:sz w:val="22"/>
          <w:szCs w:val="22"/>
        </w:rPr>
        <w:t>téměř 15</w:t>
      </w:r>
      <w:r w:rsidRPr="00AD0FFE">
        <w:rPr>
          <w:rFonts w:ascii="Calibri" w:hAnsi="Calibri" w:cs="Calibri"/>
          <w:color w:val="000000"/>
          <w:sz w:val="22"/>
          <w:szCs w:val="22"/>
        </w:rPr>
        <w:t xml:space="preserve"> % méně než před měsícem</w:t>
      </w:r>
      <w:r>
        <w:rPr>
          <w:rFonts w:ascii="Calibri" w:hAnsi="Calibri" w:cs="Calibri"/>
          <w:color w:val="000000"/>
          <w:sz w:val="22"/>
          <w:szCs w:val="22"/>
        </w:rPr>
        <w:t xml:space="preserve">. </w:t>
      </w:r>
      <w:r w:rsidRPr="00AD0FFE">
        <w:rPr>
          <w:rFonts w:ascii="Calibri" w:hAnsi="Calibri" w:cs="Calibri"/>
          <w:color w:val="000000"/>
          <w:sz w:val="22"/>
          <w:szCs w:val="22"/>
        </w:rPr>
        <w:t>V meziročním srovnání stoupl o 4 %</w:t>
      </w:r>
      <w:r>
        <w:rPr>
          <w:rFonts w:ascii="Calibri" w:hAnsi="Calibri" w:cs="Calibri"/>
          <w:color w:val="000000"/>
          <w:sz w:val="22"/>
          <w:szCs w:val="22"/>
        </w:rPr>
        <w:t>, tedy výrazně pomaleji než průměrný nárůst o 52 % v předchozích sedmi měsících, jelikož hypoteční trh výrazně posílil v loňském druhém pololetí. C</w:t>
      </w:r>
      <w:r w:rsidRPr="00AD0FFE">
        <w:rPr>
          <w:rFonts w:ascii="Calibri" w:hAnsi="Calibri" w:cs="Calibri"/>
          <w:color w:val="000000"/>
          <w:sz w:val="22"/>
          <w:szCs w:val="22"/>
        </w:rPr>
        <w:t>elkový objem</w:t>
      </w:r>
      <w:r>
        <w:rPr>
          <w:rFonts w:ascii="Calibri" w:hAnsi="Calibri" w:cs="Calibri"/>
          <w:color w:val="000000"/>
          <w:sz w:val="22"/>
          <w:szCs w:val="22"/>
        </w:rPr>
        <w:t xml:space="preserve"> hypoték </w:t>
      </w:r>
      <w:r w:rsidRPr="00AD0FFE">
        <w:rPr>
          <w:rFonts w:ascii="Calibri" w:hAnsi="Calibri" w:cs="Calibri"/>
          <w:color w:val="000000"/>
          <w:sz w:val="22"/>
          <w:szCs w:val="22"/>
        </w:rPr>
        <w:t>v letošním roce prozatím dosáhl 369 mld. Kč, což představuje 44% nárůst ve srovnání s lednem až srpnem předcházejícího roku.</w:t>
      </w:r>
    </w:p>
    <w:p w14:paraId="1C23508D" w14:textId="77777777" w:rsidR="00AD0FFE" w:rsidRDefault="00AD0FFE" w:rsidP="00CC1C2A">
      <w:pPr>
        <w:overflowPunct/>
        <w:autoSpaceDE/>
        <w:autoSpaceDN/>
        <w:adjustRightInd/>
        <w:textAlignment w:val="auto"/>
        <w:rPr>
          <w:rFonts w:ascii="Calibri" w:hAnsi="Calibri" w:cs="Calibri"/>
          <w:color w:val="000000"/>
          <w:sz w:val="22"/>
          <w:szCs w:val="22"/>
        </w:rPr>
      </w:pPr>
    </w:p>
    <w:p w14:paraId="56A90CBF" w14:textId="27F5C074" w:rsidR="00AD0FFE" w:rsidRPr="00AD0FFE" w:rsidRDefault="00AD0FFE" w:rsidP="00CC1C2A">
      <w:pPr>
        <w:overflowPunct/>
        <w:autoSpaceDE/>
        <w:autoSpaceDN/>
        <w:adjustRightInd/>
        <w:textAlignment w:val="auto"/>
        <w:rPr>
          <w:rFonts w:ascii="Calibri" w:hAnsi="Calibri" w:cs="Calibri"/>
          <w:color w:val="000000"/>
          <w:sz w:val="22"/>
          <w:szCs w:val="22"/>
        </w:rPr>
      </w:pPr>
      <w:r w:rsidRPr="00746161">
        <w:rPr>
          <w:rFonts w:ascii="Calibri" w:hAnsi="Calibri" w:cs="Calibri"/>
          <w:b/>
          <w:bCs/>
          <w:color w:val="000000"/>
          <w:sz w:val="22"/>
          <w:szCs w:val="22"/>
        </w:rPr>
        <w:t xml:space="preserve">V srpnu vznikly skutečně nové hypoteční úvěry bez refinancování v objemu 26,8 mld. Kč. </w:t>
      </w:r>
      <w:r w:rsidRPr="00AD0FFE">
        <w:rPr>
          <w:rFonts w:ascii="Calibri" w:hAnsi="Calibri" w:cs="Calibri"/>
          <w:color w:val="000000"/>
          <w:sz w:val="22"/>
          <w:szCs w:val="22"/>
        </w:rPr>
        <w:t>Oproti červenci tak nová hypoteční aktivita objemově klesla přibližně o 13 %</w:t>
      </w:r>
      <w:r w:rsidR="00746161">
        <w:rPr>
          <w:rFonts w:ascii="Calibri" w:hAnsi="Calibri" w:cs="Calibri"/>
          <w:color w:val="000000"/>
          <w:sz w:val="22"/>
          <w:szCs w:val="22"/>
        </w:rPr>
        <w:t xml:space="preserve">. Ovšem </w:t>
      </w:r>
      <w:r w:rsidRPr="00AD0FFE">
        <w:rPr>
          <w:rFonts w:ascii="Calibri" w:hAnsi="Calibri" w:cs="Calibri"/>
          <w:color w:val="000000"/>
          <w:sz w:val="22"/>
          <w:szCs w:val="22"/>
        </w:rPr>
        <w:t xml:space="preserve">v srpnu </w:t>
      </w:r>
      <w:r w:rsidR="00746161">
        <w:rPr>
          <w:rFonts w:ascii="Calibri" w:hAnsi="Calibri" w:cs="Calibri"/>
          <w:color w:val="000000"/>
          <w:sz w:val="22"/>
          <w:szCs w:val="22"/>
        </w:rPr>
        <w:t xml:space="preserve">objemy obvykle </w:t>
      </w:r>
      <w:r w:rsidRPr="00AD0FFE">
        <w:rPr>
          <w:rFonts w:ascii="Calibri" w:hAnsi="Calibri" w:cs="Calibri"/>
          <w:color w:val="000000"/>
          <w:sz w:val="22"/>
          <w:szCs w:val="22"/>
        </w:rPr>
        <w:t>narost</w:t>
      </w:r>
      <w:r w:rsidR="00746161">
        <w:rPr>
          <w:rFonts w:ascii="Calibri" w:hAnsi="Calibri" w:cs="Calibri"/>
          <w:color w:val="000000"/>
          <w:sz w:val="22"/>
          <w:szCs w:val="22"/>
        </w:rPr>
        <w:t>ou</w:t>
      </w:r>
      <w:r w:rsidRPr="00AD0FFE">
        <w:rPr>
          <w:rFonts w:ascii="Calibri" w:hAnsi="Calibri" w:cs="Calibri"/>
          <w:color w:val="000000"/>
          <w:sz w:val="22"/>
          <w:szCs w:val="22"/>
        </w:rPr>
        <w:t xml:space="preserve"> o 1 </w:t>
      </w:r>
      <w:r w:rsidR="00746161">
        <w:rPr>
          <w:rFonts w:ascii="Calibri" w:hAnsi="Calibri" w:cs="Calibri"/>
          <w:color w:val="000000"/>
          <w:sz w:val="22"/>
          <w:szCs w:val="22"/>
        </w:rPr>
        <w:t>%. Nepřekvapivě pak p</w:t>
      </w:r>
      <w:r w:rsidRPr="00AD0FFE">
        <w:rPr>
          <w:rFonts w:ascii="Calibri" w:hAnsi="Calibri" w:cs="Calibri"/>
          <w:color w:val="000000"/>
          <w:sz w:val="22"/>
          <w:szCs w:val="22"/>
        </w:rPr>
        <w:t>o sezónní</w:t>
      </w:r>
      <w:r w:rsidR="00746161">
        <w:rPr>
          <w:rFonts w:ascii="Calibri" w:hAnsi="Calibri" w:cs="Calibri"/>
          <w:color w:val="000000"/>
          <w:sz w:val="22"/>
          <w:szCs w:val="22"/>
        </w:rPr>
        <w:t xml:space="preserve">m očištění </w:t>
      </w:r>
      <w:r w:rsidRPr="00AD0FFE">
        <w:rPr>
          <w:rFonts w:ascii="Calibri" w:hAnsi="Calibri" w:cs="Calibri"/>
          <w:color w:val="000000"/>
          <w:sz w:val="22"/>
          <w:szCs w:val="22"/>
        </w:rPr>
        <w:t>přinesl srp</w:t>
      </w:r>
      <w:r w:rsidR="00746161">
        <w:rPr>
          <w:rFonts w:ascii="Calibri" w:hAnsi="Calibri" w:cs="Calibri"/>
          <w:color w:val="000000"/>
          <w:sz w:val="22"/>
          <w:szCs w:val="22"/>
        </w:rPr>
        <w:t>e</w:t>
      </w:r>
      <w:r w:rsidRPr="00AD0FFE">
        <w:rPr>
          <w:rFonts w:ascii="Calibri" w:hAnsi="Calibri" w:cs="Calibri"/>
          <w:color w:val="000000"/>
          <w:sz w:val="22"/>
          <w:szCs w:val="22"/>
        </w:rPr>
        <w:t xml:space="preserve">n </w:t>
      </w:r>
      <w:r w:rsidR="00746161">
        <w:rPr>
          <w:rFonts w:ascii="Calibri" w:hAnsi="Calibri" w:cs="Calibri"/>
          <w:color w:val="000000"/>
          <w:sz w:val="22"/>
          <w:szCs w:val="22"/>
        </w:rPr>
        <w:t xml:space="preserve">11% pokles objemu </w:t>
      </w:r>
      <w:r w:rsidRPr="00AD0FFE">
        <w:rPr>
          <w:rFonts w:ascii="Calibri" w:hAnsi="Calibri" w:cs="Calibri"/>
          <w:color w:val="000000"/>
          <w:sz w:val="22"/>
          <w:szCs w:val="22"/>
        </w:rPr>
        <w:t>nov</w:t>
      </w:r>
      <w:r w:rsidR="00746161">
        <w:rPr>
          <w:rFonts w:ascii="Calibri" w:hAnsi="Calibri" w:cs="Calibri"/>
          <w:color w:val="000000"/>
          <w:sz w:val="22"/>
          <w:szCs w:val="22"/>
        </w:rPr>
        <w:t xml:space="preserve">ých hypoték </w:t>
      </w:r>
      <w:r w:rsidRPr="00AD0FFE">
        <w:rPr>
          <w:rFonts w:ascii="Calibri" w:hAnsi="Calibri" w:cs="Calibri"/>
          <w:color w:val="000000"/>
          <w:sz w:val="22"/>
          <w:szCs w:val="22"/>
        </w:rPr>
        <w:t>na 26,7 mld. Kč ve srovnání s červencovými 30,1 mld.</w:t>
      </w:r>
      <w:r w:rsidR="00746161">
        <w:rPr>
          <w:rFonts w:ascii="Calibri" w:hAnsi="Calibri" w:cs="Calibri"/>
          <w:color w:val="000000"/>
          <w:sz w:val="22"/>
          <w:szCs w:val="22"/>
        </w:rPr>
        <w:t xml:space="preserve"> (průměr </w:t>
      </w:r>
      <w:r w:rsidRPr="00AD0FFE">
        <w:rPr>
          <w:rFonts w:ascii="Calibri" w:hAnsi="Calibri" w:cs="Calibri"/>
          <w:color w:val="000000"/>
          <w:sz w:val="22"/>
          <w:szCs w:val="22"/>
        </w:rPr>
        <w:t xml:space="preserve">předchozích tří měsíců </w:t>
      </w:r>
      <w:r w:rsidR="00746161">
        <w:rPr>
          <w:rFonts w:ascii="Calibri" w:hAnsi="Calibri" w:cs="Calibri"/>
          <w:color w:val="000000"/>
          <w:sz w:val="22"/>
          <w:szCs w:val="22"/>
        </w:rPr>
        <w:t xml:space="preserve">byl </w:t>
      </w:r>
      <w:r w:rsidRPr="00AD0FFE">
        <w:rPr>
          <w:rFonts w:ascii="Calibri" w:hAnsi="Calibri" w:cs="Calibri"/>
          <w:color w:val="000000"/>
          <w:sz w:val="22"/>
          <w:szCs w:val="22"/>
        </w:rPr>
        <w:t xml:space="preserve">31,6 mld. Kč). </w:t>
      </w:r>
      <w:r w:rsidR="00746161">
        <w:rPr>
          <w:rFonts w:ascii="Calibri" w:hAnsi="Calibri" w:cs="Calibri"/>
          <w:color w:val="000000"/>
          <w:sz w:val="22"/>
          <w:szCs w:val="22"/>
        </w:rPr>
        <w:t>V kontrastu s červencem se srpnový o</w:t>
      </w:r>
      <w:r w:rsidRPr="00AD0FFE">
        <w:rPr>
          <w:rFonts w:ascii="Calibri" w:hAnsi="Calibri" w:cs="Calibri"/>
          <w:color w:val="000000"/>
          <w:sz w:val="22"/>
          <w:szCs w:val="22"/>
        </w:rPr>
        <w:t>bjem nově poskytnutých hypoték</w:t>
      </w:r>
      <w:r w:rsidR="00746161">
        <w:rPr>
          <w:rFonts w:ascii="Calibri" w:hAnsi="Calibri" w:cs="Calibri"/>
          <w:color w:val="000000"/>
          <w:sz w:val="22"/>
          <w:szCs w:val="22"/>
        </w:rPr>
        <w:t xml:space="preserve"> dostal</w:t>
      </w:r>
      <w:r w:rsidRPr="00AD0FFE">
        <w:rPr>
          <w:rFonts w:ascii="Calibri" w:hAnsi="Calibri" w:cs="Calibri"/>
          <w:color w:val="000000"/>
          <w:sz w:val="22"/>
          <w:szCs w:val="22"/>
        </w:rPr>
        <w:t xml:space="preserve"> na přibližně o 9 % nižší úroveň ve srovnání s druhou polovinou loňského roku. V meziročním vyjádření růst objemu poskytnutých hypoték v srpnu </w:t>
      </w:r>
      <w:r w:rsidR="00746161">
        <w:rPr>
          <w:rFonts w:ascii="Calibri" w:hAnsi="Calibri" w:cs="Calibri"/>
          <w:color w:val="000000"/>
          <w:sz w:val="22"/>
          <w:szCs w:val="22"/>
        </w:rPr>
        <w:t xml:space="preserve">zůstal na přibližně 3% zlepšení. </w:t>
      </w:r>
      <w:r w:rsidRPr="00AD0FFE">
        <w:rPr>
          <w:rFonts w:ascii="Calibri" w:hAnsi="Calibri" w:cs="Calibri"/>
          <w:color w:val="000000"/>
          <w:sz w:val="22"/>
          <w:szCs w:val="22"/>
        </w:rPr>
        <w:t xml:space="preserve"> </w:t>
      </w:r>
    </w:p>
    <w:p w14:paraId="10C573BD" w14:textId="77777777" w:rsidR="002B52C8" w:rsidRPr="002B52C8" w:rsidRDefault="002B52C8" w:rsidP="002B52C8">
      <w:pPr>
        <w:overflowPunct/>
        <w:autoSpaceDE/>
        <w:autoSpaceDN/>
        <w:adjustRightInd/>
        <w:textAlignment w:val="auto"/>
        <w:rPr>
          <w:rFonts w:ascii="Calibri" w:hAnsi="Calibri" w:cs="Calibri"/>
          <w:color w:val="000000"/>
          <w:sz w:val="22"/>
          <w:szCs w:val="22"/>
        </w:rPr>
      </w:pPr>
    </w:p>
    <w:p w14:paraId="56320F93" w14:textId="48073AF4" w:rsidR="00795550" w:rsidRPr="007420E1" w:rsidRDefault="00795550" w:rsidP="00795550">
      <w:pPr>
        <w:pBdr>
          <w:top w:val="single" w:sz="4" w:space="1" w:color="auto"/>
          <w:left w:val="single" w:sz="4" w:space="0" w:color="auto"/>
          <w:bottom w:val="single" w:sz="4" w:space="1" w:color="auto"/>
          <w:right w:val="single" w:sz="4" w:space="4" w:color="auto"/>
          <w:between w:val="single" w:sz="4" w:space="1" w:color="auto"/>
          <w:bar w:val="single" w:sz="4" w:color="auto"/>
        </w:pBdr>
      </w:pPr>
      <w:r w:rsidRPr="007420E1">
        <w:rPr>
          <w:rFonts w:ascii="Calibri" w:hAnsi="Calibri" w:cs="Calibri"/>
          <w:i/>
          <w:iCs/>
          <w:sz w:val="22"/>
          <w:szCs w:val="22"/>
        </w:rPr>
        <w:t>„</w:t>
      </w:r>
      <w:r w:rsidR="007420E1" w:rsidRPr="007420E1">
        <w:rPr>
          <w:rFonts w:ascii="Calibri" w:hAnsi="Calibri" w:cs="Calibri"/>
          <w:i/>
          <w:iCs/>
          <w:sz w:val="22"/>
          <w:szCs w:val="22"/>
        </w:rPr>
        <w:t>Srpnový pokles hypoteční aktivity o přibližně 13 % oproti červenci není vzhledem k růstu úrokových sazeb překvapivý. Objemy nově poskytnutých hypoték však nadále zůstávají na solidní úrovni. Vyšší sazby se již začínají promítat do rozhodování části domácností, které zvažují financování bydlení. Pro další vývoj trhu bude klíčové, zda se růst sazeb zastaví a zda tempo růstu cen nemovitostí nepřevýší růst příjmů domácností</w:t>
      </w:r>
      <w:r w:rsidRPr="007420E1">
        <w:rPr>
          <w:rFonts w:ascii="Calibri" w:hAnsi="Calibri" w:cs="Calibri"/>
          <w:i/>
          <w:iCs/>
          <w:sz w:val="22"/>
          <w:szCs w:val="22"/>
        </w:rPr>
        <w:t xml:space="preserve">,“ </w:t>
      </w:r>
      <w:r w:rsidR="00A12D28" w:rsidRPr="007420E1">
        <w:rPr>
          <w:rFonts w:ascii="Calibri" w:hAnsi="Calibri" w:cs="Calibri"/>
          <w:sz w:val="22"/>
          <w:szCs w:val="22"/>
        </w:rPr>
        <w:t>podotýká</w:t>
      </w:r>
      <w:r w:rsidR="007420E1" w:rsidRPr="007420E1">
        <w:t xml:space="preserve"> </w:t>
      </w:r>
      <w:r w:rsidR="007420E1" w:rsidRPr="007420E1">
        <w:rPr>
          <w:rFonts w:ascii="Calibri" w:hAnsi="Calibri" w:cs="Calibri"/>
          <w:b/>
          <w:bCs/>
          <w:sz w:val="22"/>
          <w:szCs w:val="22"/>
        </w:rPr>
        <w:t>Michal Neubauer, hypoteční specialista UniCredit Bank</w:t>
      </w:r>
      <w:r w:rsidR="00845107" w:rsidRPr="007420E1">
        <w:rPr>
          <w:rFonts w:ascii="Calibri" w:hAnsi="Calibri" w:cs="Calibri"/>
          <w:sz w:val="22"/>
          <w:szCs w:val="22"/>
        </w:rPr>
        <w:t>.</w:t>
      </w:r>
    </w:p>
    <w:p w14:paraId="78E132BE" w14:textId="5AD7C097" w:rsidR="00142116" w:rsidRDefault="00142116" w:rsidP="00142116">
      <w:pPr>
        <w:overflowPunct/>
        <w:autoSpaceDE/>
        <w:autoSpaceDN/>
        <w:adjustRightInd/>
        <w:textAlignment w:val="auto"/>
        <w:rPr>
          <w:rFonts w:ascii="Calibri" w:hAnsi="Calibri" w:cs="Calibri"/>
          <w:b/>
          <w:bCs/>
          <w:color w:val="000000"/>
          <w:sz w:val="22"/>
          <w:szCs w:val="22"/>
        </w:rPr>
      </w:pPr>
    </w:p>
    <w:p w14:paraId="12F8CED3" w14:textId="37FFAF59" w:rsidR="00746161" w:rsidRDefault="00746161" w:rsidP="001B2E5E">
      <w:pPr>
        <w:rPr>
          <w:rFonts w:ascii="Calibri" w:hAnsi="Calibri" w:cs="Calibri"/>
          <w:color w:val="000000"/>
          <w:sz w:val="22"/>
          <w:szCs w:val="22"/>
        </w:rPr>
      </w:pPr>
      <w:r w:rsidRPr="00746161">
        <w:rPr>
          <w:rFonts w:ascii="Calibri" w:hAnsi="Calibri" w:cs="Calibri"/>
          <w:b/>
          <w:bCs/>
          <w:color w:val="000000"/>
          <w:sz w:val="22"/>
          <w:szCs w:val="22"/>
        </w:rPr>
        <w:t xml:space="preserve">Počet nových hypoték v srpnu poklesl o 13,1 % meziměsíčně na 5 825 kusů, což je o 4 % méně než před rokem. </w:t>
      </w:r>
      <w:r w:rsidRPr="00746161">
        <w:rPr>
          <w:rFonts w:ascii="Calibri" w:hAnsi="Calibri" w:cs="Calibri"/>
          <w:color w:val="000000"/>
          <w:sz w:val="22"/>
          <w:szCs w:val="22"/>
        </w:rPr>
        <w:t>Odhadujeme, že po sezónním očištění se jejich počet pohybuje okolo 5</w:t>
      </w:r>
      <w:r w:rsidR="00894ED3">
        <w:rPr>
          <w:rFonts w:ascii="Calibri" w:hAnsi="Calibri" w:cs="Calibri"/>
          <w:color w:val="000000"/>
          <w:sz w:val="22"/>
          <w:szCs w:val="22"/>
        </w:rPr>
        <w:t> </w:t>
      </w:r>
      <w:r w:rsidRPr="00746161">
        <w:rPr>
          <w:rFonts w:ascii="Calibri" w:hAnsi="Calibri" w:cs="Calibri"/>
          <w:color w:val="000000"/>
          <w:sz w:val="22"/>
          <w:szCs w:val="22"/>
        </w:rPr>
        <w:t>911</w:t>
      </w:r>
      <w:r w:rsidR="00894ED3">
        <w:rPr>
          <w:rFonts w:ascii="Calibri" w:hAnsi="Calibri" w:cs="Calibri"/>
          <w:color w:val="000000"/>
          <w:sz w:val="22"/>
          <w:szCs w:val="22"/>
        </w:rPr>
        <w:t xml:space="preserve"> (obdobně jako v červnu 2025)</w:t>
      </w:r>
      <w:r w:rsidRPr="00746161">
        <w:rPr>
          <w:rFonts w:ascii="Calibri" w:hAnsi="Calibri" w:cs="Calibri"/>
          <w:color w:val="000000"/>
          <w:sz w:val="22"/>
          <w:szCs w:val="22"/>
        </w:rPr>
        <w:t xml:space="preserve">, přibližně 13 % pod průměrným počtem (6 789) v předchozích třech měsících. Od počátku roku dosáhl počet nových hypoték </w:t>
      </w:r>
      <w:r w:rsidRPr="00746161">
        <w:rPr>
          <w:rFonts w:ascii="Calibri" w:hAnsi="Calibri" w:cs="Calibri"/>
          <w:color w:val="000000"/>
          <w:sz w:val="22"/>
          <w:szCs w:val="22"/>
        </w:rPr>
        <w:lastRenderedPageBreak/>
        <w:t>58,1 tisíc</w:t>
      </w:r>
      <w:r w:rsidR="00072DE6">
        <w:rPr>
          <w:rFonts w:ascii="Calibri" w:hAnsi="Calibri" w:cs="Calibri"/>
          <w:color w:val="000000"/>
          <w:sz w:val="22"/>
          <w:szCs w:val="22"/>
        </w:rPr>
        <w:t>e</w:t>
      </w:r>
      <w:r w:rsidRPr="00746161">
        <w:rPr>
          <w:rFonts w:ascii="Calibri" w:hAnsi="Calibri" w:cs="Calibri"/>
          <w:color w:val="000000"/>
          <w:sz w:val="22"/>
          <w:szCs w:val="22"/>
        </w:rPr>
        <w:t xml:space="preserve"> kusů (+17 % meziročně). Dynamika počtu nových hypoték z posledních tří měsíců, tedy za červen až srpen</w:t>
      </w:r>
      <w:r w:rsidR="003160C2">
        <w:rPr>
          <w:rFonts w:ascii="Calibri" w:hAnsi="Calibri" w:cs="Calibri"/>
          <w:color w:val="000000"/>
          <w:sz w:val="22"/>
          <w:szCs w:val="22"/>
        </w:rPr>
        <w:t>,</w:t>
      </w:r>
      <w:r w:rsidRPr="00746161">
        <w:rPr>
          <w:rFonts w:ascii="Calibri" w:hAnsi="Calibri" w:cs="Calibri"/>
          <w:color w:val="000000"/>
          <w:sz w:val="22"/>
          <w:szCs w:val="22"/>
        </w:rPr>
        <w:t xml:space="preserve"> implikuje jejich letošní nárůst na celkový počet okolo 82 tisíc. </w:t>
      </w:r>
      <w:r w:rsidR="003160C2">
        <w:rPr>
          <w:rFonts w:ascii="Calibri" w:hAnsi="Calibri" w:cs="Calibri"/>
          <w:color w:val="000000"/>
          <w:sz w:val="22"/>
          <w:szCs w:val="22"/>
        </w:rPr>
        <w:t>To</w:t>
      </w:r>
      <w:r w:rsidRPr="00746161">
        <w:rPr>
          <w:rFonts w:ascii="Calibri" w:hAnsi="Calibri" w:cs="Calibri"/>
          <w:color w:val="000000"/>
          <w:sz w:val="22"/>
          <w:szCs w:val="22"/>
        </w:rPr>
        <w:t xml:space="preserve"> by bylo o</w:t>
      </w:r>
      <w:r w:rsidR="003160C2">
        <w:rPr>
          <w:rFonts w:ascii="Calibri" w:hAnsi="Calibri" w:cs="Calibri"/>
          <w:color w:val="000000"/>
          <w:sz w:val="22"/>
          <w:szCs w:val="22"/>
        </w:rPr>
        <w:t xml:space="preserve">kolo </w:t>
      </w:r>
      <w:r w:rsidRPr="00746161">
        <w:rPr>
          <w:rFonts w:ascii="Calibri" w:hAnsi="Calibri" w:cs="Calibri"/>
          <w:color w:val="000000"/>
          <w:sz w:val="22"/>
          <w:szCs w:val="22"/>
        </w:rPr>
        <w:t xml:space="preserve">9 % </w:t>
      </w:r>
      <w:r w:rsidR="00072DE6" w:rsidRPr="00746161">
        <w:rPr>
          <w:rFonts w:ascii="Calibri" w:hAnsi="Calibri" w:cs="Calibri"/>
          <w:color w:val="000000"/>
          <w:sz w:val="22"/>
          <w:szCs w:val="22"/>
        </w:rPr>
        <w:t>více než</w:t>
      </w:r>
      <w:r w:rsidRPr="00746161">
        <w:rPr>
          <w:rFonts w:ascii="Calibri" w:hAnsi="Calibri" w:cs="Calibri"/>
          <w:color w:val="000000"/>
          <w:sz w:val="22"/>
          <w:szCs w:val="22"/>
        </w:rPr>
        <w:t xml:space="preserve"> v loňském roce</w:t>
      </w:r>
      <w:r w:rsidR="00894ED3">
        <w:rPr>
          <w:rFonts w:ascii="Calibri" w:hAnsi="Calibri" w:cs="Calibri"/>
          <w:color w:val="000000"/>
          <w:sz w:val="22"/>
          <w:szCs w:val="22"/>
        </w:rPr>
        <w:t xml:space="preserve">, ale pod </w:t>
      </w:r>
      <w:r w:rsidR="003160C2" w:rsidRPr="003160C2">
        <w:rPr>
          <w:rFonts w:ascii="Calibri" w:hAnsi="Calibri" w:cs="Calibri"/>
          <w:color w:val="000000"/>
          <w:sz w:val="22"/>
          <w:szCs w:val="22"/>
        </w:rPr>
        <w:t>průměrnými počty okolo 92 tisíc z let 2016 až 2018</w:t>
      </w:r>
      <w:r w:rsidR="00894ED3">
        <w:rPr>
          <w:rFonts w:ascii="Calibri" w:hAnsi="Calibri" w:cs="Calibri"/>
          <w:color w:val="000000"/>
          <w:sz w:val="22"/>
          <w:szCs w:val="22"/>
        </w:rPr>
        <w:t xml:space="preserve"> a</w:t>
      </w:r>
      <w:r w:rsidR="003160C2" w:rsidRPr="003160C2">
        <w:rPr>
          <w:rFonts w:ascii="Calibri" w:hAnsi="Calibri" w:cs="Calibri"/>
          <w:color w:val="000000"/>
          <w:sz w:val="22"/>
          <w:szCs w:val="22"/>
        </w:rPr>
        <w:t xml:space="preserve"> stále hluboko pod 114 tisíci z roku 2021.</w:t>
      </w:r>
    </w:p>
    <w:p w14:paraId="4270F1E0" w14:textId="77777777" w:rsidR="00746161" w:rsidRDefault="00746161" w:rsidP="001B2E5E">
      <w:pPr>
        <w:rPr>
          <w:rFonts w:ascii="Calibri" w:hAnsi="Calibri" w:cs="Calibri"/>
          <w:b/>
          <w:bCs/>
          <w:color w:val="000000"/>
          <w:sz w:val="22"/>
          <w:szCs w:val="22"/>
        </w:rPr>
      </w:pPr>
    </w:p>
    <w:p w14:paraId="4296189D" w14:textId="77777777" w:rsidR="0040774B" w:rsidRDefault="0040774B" w:rsidP="001B2E5E">
      <w:pPr>
        <w:rPr>
          <w:rFonts w:ascii="Calibri" w:hAnsi="Calibri" w:cs="Calibri"/>
          <w:b/>
          <w:color w:val="13576B"/>
          <w:sz w:val="23"/>
          <w:szCs w:val="23"/>
        </w:rPr>
        <w:sectPr w:rsidR="0040774B" w:rsidSect="00A06A94">
          <w:headerReference w:type="default" r:id="rId14"/>
          <w:footerReference w:type="default" r:id="rId15"/>
          <w:pgSz w:w="11906" w:h="16838"/>
          <w:pgMar w:top="2552" w:right="849" w:bottom="1560" w:left="851" w:header="709" w:footer="283" w:gutter="0"/>
          <w:cols w:space="708"/>
          <w:docGrid w:linePitch="360"/>
        </w:sectPr>
      </w:pPr>
    </w:p>
    <w:p w14:paraId="198A354A" w14:textId="148CBCCE" w:rsidR="00A71689" w:rsidRDefault="00616F34" w:rsidP="00C8784D">
      <w:pPr>
        <w:spacing w:after="120"/>
        <w:rPr>
          <w:rFonts w:ascii="Calibri" w:hAnsi="Calibri" w:cs="Calibri"/>
          <w:bCs/>
          <w:i/>
          <w:iCs/>
          <w:color w:val="13576B"/>
          <w:sz w:val="23"/>
          <w:szCs w:val="23"/>
        </w:rPr>
      </w:pPr>
      <w:r w:rsidRPr="00F463BF">
        <w:rPr>
          <w:rFonts w:ascii="Calibri" w:hAnsi="Calibri" w:cs="Calibri"/>
          <w:b/>
          <w:color w:val="13576B"/>
          <w:sz w:val="23"/>
          <w:szCs w:val="23"/>
        </w:rPr>
        <w:t xml:space="preserve">Graf </w:t>
      </w:r>
      <w:r w:rsidR="001B2E5E" w:rsidRPr="00F463BF">
        <w:rPr>
          <w:rFonts w:ascii="Calibri" w:hAnsi="Calibri" w:cs="Calibri"/>
          <w:b/>
          <w:color w:val="13576B"/>
          <w:sz w:val="23"/>
          <w:szCs w:val="23"/>
        </w:rPr>
        <w:t xml:space="preserve">č. </w:t>
      </w:r>
      <w:r w:rsidR="00E27948" w:rsidRPr="00F463BF">
        <w:rPr>
          <w:rFonts w:ascii="Calibri" w:hAnsi="Calibri" w:cs="Calibri"/>
          <w:b/>
          <w:color w:val="13576B"/>
          <w:sz w:val="23"/>
          <w:szCs w:val="23"/>
        </w:rPr>
        <w:t>2</w:t>
      </w:r>
      <w:r w:rsidR="001B2E5E" w:rsidRPr="00F463BF">
        <w:rPr>
          <w:rFonts w:ascii="Calibri" w:hAnsi="Calibri" w:cs="Calibri"/>
          <w:b/>
          <w:color w:val="13576B"/>
          <w:sz w:val="23"/>
          <w:szCs w:val="23"/>
        </w:rPr>
        <w:t>: Nov</w:t>
      </w:r>
      <w:r w:rsidR="00D66E1F">
        <w:rPr>
          <w:rFonts w:ascii="Calibri" w:hAnsi="Calibri" w:cs="Calibri"/>
          <w:b/>
          <w:color w:val="13576B"/>
          <w:sz w:val="23"/>
          <w:szCs w:val="23"/>
        </w:rPr>
        <w:t>ě posk</w:t>
      </w:r>
      <w:r w:rsidR="000B7D19">
        <w:rPr>
          <w:rFonts w:ascii="Calibri" w:hAnsi="Calibri" w:cs="Calibri"/>
          <w:b/>
          <w:color w:val="13576B"/>
          <w:sz w:val="23"/>
          <w:szCs w:val="23"/>
        </w:rPr>
        <w:t>y</w:t>
      </w:r>
      <w:r w:rsidR="00D66E1F">
        <w:rPr>
          <w:rFonts w:ascii="Calibri" w:hAnsi="Calibri" w:cs="Calibri"/>
          <w:b/>
          <w:color w:val="13576B"/>
          <w:sz w:val="23"/>
          <w:szCs w:val="23"/>
        </w:rPr>
        <w:t xml:space="preserve">tnuté </w:t>
      </w:r>
      <w:r w:rsidR="001B2E5E" w:rsidRPr="00F463BF">
        <w:rPr>
          <w:rFonts w:ascii="Calibri" w:hAnsi="Calibri" w:cs="Calibri"/>
          <w:b/>
          <w:color w:val="13576B"/>
          <w:sz w:val="23"/>
          <w:szCs w:val="23"/>
        </w:rPr>
        <w:t>hypotéky bez refinancování</w:t>
      </w:r>
      <w:r w:rsidR="00BC63D5" w:rsidRPr="00F463BF">
        <w:rPr>
          <w:rFonts w:ascii="Calibri" w:hAnsi="Calibri" w:cs="Calibri"/>
          <w:b/>
          <w:color w:val="13576B"/>
          <w:sz w:val="23"/>
          <w:szCs w:val="23"/>
        </w:rPr>
        <w:br/>
      </w:r>
      <w:r w:rsidR="00D85F85">
        <w:rPr>
          <w:rFonts w:ascii="Calibri" w:hAnsi="Calibri" w:cs="Calibri"/>
          <w:bCs/>
          <w:i/>
          <w:iCs/>
          <w:color w:val="13576B"/>
          <w:sz w:val="23"/>
          <w:szCs w:val="23"/>
        </w:rPr>
        <w:t>Srpen</w:t>
      </w:r>
      <w:r w:rsidR="00013D8A">
        <w:rPr>
          <w:rFonts w:ascii="Calibri" w:hAnsi="Calibri" w:cs="Calibri"/>
          <w:bCs/>
          <w:i/>
          <w:iCs/>
          <w:color w:val="13576B"/>
          <w:sz w:val="23"/>
          <w:szCs w:val="23"/>
        </w:rPr>
        <w:t xml:space="preserve"> přinesl</w:t>
      </w:r>
      <w:r w:rsidR="004635CE">
        <w:rPr>
          <w:rFonts w:ascii="Calibri" w:hAnsi="Calibri" w:cs="Calibri"/>
          <w:bCs/>
          <w:i/>
          <w:iCs/>
          <w:color w:val="13576B"/>
          <w:sz w:val="23"/>
          <w:szCs w:val="23"/>
        </w:rPr>
        <w:t xml:space="preserve"> další</w:t>
      </w:r>
      <w:r w:rsidR="00013D8A">
        <w:rPr>
          <w:rFonts w:ascii="Calibri" w:hAnsi="Calibri" w:cs="Calibri"/>
          <w:bCs/>
          <w:i/>
          <w:iCs/>
          <w:color w:val="13576B"/>
          <w:sz w:val="23"/>
          <w:szCs w:val="23"/>
        </w:rPr>
        <w:t xml:space="preserve"> korekci do </w:t>
      </w:r>
      <w:r w:rsidR="00C8784D">
        <w:rPr>
          <w:rFonts w:ascii="Calibri" w:hAnsi="Calibri" w:cs="Calibri"/>
          <w:bCs/>
          <w:i/>
          <w:iCs/>
          <w:color w:val="13576B"/>
          <w:sz w:val="23"/>
          <w:szCs w:val="23"/>
        </w:rPr>
        <w:t xml:space="preserve">vybraných metrik intenzity nových hypotečních úvěrů … </w:t>
      </w:r>
    </w:p>
    <w:p w14:paraId="593F8D50" w14:textId="44DC5604" w:rsidR="001B2E5E" w:rsidRDefault="001B2E5E" w:rsidP="00C8784D">
      <w:pPr>
        <w:spacing w:after="120"/>
        <w:rPr>
          <w:rFonts w:ascii="Calibri" w:hAnsi="Calibri" w:cs="Calibri"/>
          <w:b/>
          <w:color w:val="13576B"/>
          <w:sz w:val="23"/>
          <w:szCs w:val="23"/>
        </w:rPr>
      </w:pPr>
      <w:r w:rsidRPr="00C42E87">
        <w:rPr>
          <w:rFonts w:ascii="Calibri" w:hAnsi="Calibri" w:cs="Calibri"/>
          <w:b/>
          <w:color w:val="13576B"/>
          <w:sz w:val="23"/>
          <w:szCs w:val="23"/>
        </w:rPr>
        <w:t xml:space="preserve">Graf č. </w:t>
      </w:r>
      <w:r w:rsidR="00E27948">
        <w:rPr>
          <w:rFonts w:ascii="Calibri" w:hAnsi="Calibri" w:cs="Calibri"/>
          <w:b/>
          <w:color w:val="13576B"/>
          <w:sz w:val="23"/>
          <w:szCs w:val="23"/>
        </w:rPr>
        <w:t>3:</w:t>
      </w:r>
      <w:r w:rsidRPr="00C42E87">
        <w:rPr>
          <w:rFonts w:ascii="Calibri" w:hAnsi="Calibri" w:cs="Calibri"/>
          <w:b/>
          <w:color w:val="13576B"/>
          <w:sz w:val="23"/>
          <w:szCs w:val="23"/>
        </w:rPr>
        <w:t xml:space="preserve"> Průměrná výše hypotéky podle účelu</w:t>
      </w:r>
      <w:r>
        <w:rPr>
          <w:rFonts w:ascii="Calibri" w:hAnsi="Calibri" w:cs="Calibri"/>
          <w:b/>
          <w:color w:val="13576B"/>
          <w:sz w:val="23"/>
          <w:szCs w:val="23"/>
        </w:rPr>
        <w:t xml:space="preserve"> </w:t>
      </w:r>
    </w:p>
    <w:p w14:paraId="133B2338" w14:textId="34247C82" w:rsidR="001B2E5E" w:rsidRDefault="00C8784D" w:rsidP="00A71689">
      <w:pPr>
        <w:spacing w:after="120"/>
        <w:rPr>
          <w:rFonts w:ascii="Calibri" w:hAnsi="Calibri" w:cs="Calibri"/>
          <w:color w:val="000000"/>
          <w:sz w:val="22"/>
          <w:szCs w:val="22"/>
        </w:rPr>
        <w:sectPr w:rsidR="001B2E5E" w:rsidSect="001B2E5E">
          <w:type w:val="continuous"/>
          <w:pgSz w:w="11906" w:h="16838"/>
          <w:pgMar w:top="2552" w:right="849" w:bottom="1560" w:left="851" w:header="709" w:footer="283" w:gutter="0"/>
          <w:cols w:num="2" w:space="708"/>
          <w:docGrid w:linePitch="360"/>
        </w:sectPr>
      </w:pPr>
      <w:r>
        <w:rPr>
          <w:rFonts w:ascii="Calibri" w:hAnsi="Calibri" w:cs="Calibri"/>
          <w:bCs/>
          <w:i/>
          <w:iCs/>
          <w:color w:val="13576B"/>
          <w:sz w:val="23"/>
          <w:szCs w:val="23"/>
        </w:rPr>
        <w:t>… a to i díky</w:t>
      </w:r>
      <w:r w:rsidR="00D85F85">
        <w:rPr>
          <w:rFonts w:ascii="Calibri" w:hAnsi="Calibri" w:cs="Calibri"/>
          <w:bCs/>
          <w:i/>
          <w:iCs/>
          <w:color w:val="13576B"/>
          <w:sz w:val="23"/>
          <w:szCs w:val="23"/>
        </w:rPr>
        <w:t xml:space="preserve"> udržení</w:t>
      </w:r>
      <w:r>
        <w:rPr>
          <w:rFonts w:ascii="Calibri" w:hAnsi="Calibri" w:cs="Calibri"/>
          <w:bCs/>
          <w:i/>
          <w:iCs/>
          <w:color w:val="13576B"/>
          <w:sz w:val="23"/>
          <w:szCs w:val="23"/>
        </w:rPr>
        <w:t xml:space="preserve"> návratu průměrné výše hypotéky pod </w:t>
      </w:r>
      <w:r w:rsidR="004635CE">
        <w:rPr>
          <w:rFonts w:ascii="Calibri" w:hAnsi="Calibri" w:cs="Calibri"/>
          <w:bCs/>
          <w:i/>
          <w:iCs/>
          <w:color w:val="13576B"/>
          <w:sz w:val="23"/>
          <w:szCs w:val="23"/>
        </w:rPr>
        <w:t>jarní</w:t>
      </w:r>
      <w:r>
        <w:rPr>
          <w:rFonts w:ascii="Calibri" w:hAnsi="Calibri" w:cs="Calibri"/>
          <w:bCs/>
          <w:i/>
          <w:iCs/>
          <w:color w:val="13576B"/>
          <w:sz w:val="23"/>
          <w:szCs w:val="23"/>
        </w:rPr>
        <w:t xml:space="preserve"> hodnoty</w:t>
      </w:r>
      <w:r w:rsidR="00A71689">
        <w:rPr>
          <w:rFonts w:ascii="Calibri" w:hAnsi="Calibri" w:cs="Calibri"/>
          <w:bCs/>
          <w:i/>
          <w:iCs/>
          <w:color w:val="13576B"/>
          <w:sz w:val="23"/>
          <w:szCs w:val="23"/>
        </w:rPr>
        <w:t xml:space="preserve">. </w:t>
      </w:r>
      <w:r w:rsidR="00A71689" w:rsidRPr="00A71689">
        <w:rPr>
          <w:rFonts w:ascii="Calibri" w:hAnsi="Calibri" w:cs="Calibri"/>
          <w:bCs/>
          <w:i/>
          <w:iCs/>
          <w:color w:val="13576B"/>
          <w:sz w:val="23"/>
          <w:szCs w:val="23"/>
        </w:rPr>
        <w:tab/>
      </w:r>
      <w:r w:rsidR="00A71689" w:rsidRPr="00A71689">
        <w:rPr>
          <w:rFonts w:ascii="Calibri" w:hAnsi="Calibri" w:cs="Calibri"/>
          <w:bCs/>
          <w:i/>
          <w:iCs/>
          <w:color w:val="13576B"/>
          <w:sz w:val="23"/>
          <w:szCs w:val="23"/>
        </w:rPr>
        <w:tab/>
      </w:r>
    </w:p>
    <w:p w14:paraId="64EBBCB8" w14:textId="575DB468" w:rsidR="00686618" w:rsidRDefault="004226ED" w:rsidP="00606031">
      <w:pPr>
        <w:rPr>
          <w:rFonts w:ascii="Calibri Light" w:hAnsi="Calibri Light" w:cs="Calibri Light"/>
          <w:noProof/>
          <w:color w:val="13576B"/>
          <w:sz w:val="20"/>
        </w:rPr>
      </w:pPr>
      <w:r>
        <w:rPr>
          <w:rFonts w:ascii="Calibri Light" w:hAnsi="Calibri Light" w:cs="Calibri Light"/>
          <w:noProof/>
          <w:color w:val="13576B"/>
          <w:sz w:val="20"/>
        </w:rPr>
        <w:drawing>
          <wp:inline distT="0" distB="0" distL="0" distR="0" wp14:anchorId="7E539EF0" wp14:editId="7F7D3A77">
            <wp:extent cx="3162300" cy="1985081"/>
            <wp:effectExtent l="0" t="0" r="0" b="0"/>
            <wp:docPr id="8076472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3792" cy="1998572"/>
                    </a:xfrm>
                    <a:prstGeom prst="rect">
                      <a:avLst/>
                    </a:prstGeom>
                    <a:noFill/>
                  </pic:spPr>
                </pic:pic>
              </a:graphicData>
            </a:graphic>
          </wp:inline>
        </w:drawing>
      </w:r>
    </w:p>
    <w:p w14:paraId="2A1F1E51" w14:textId="77777777" w:rsidR="00436085" w:rsidRPr="00606031" w:rsidRDefault="00436085" w:rsidP="00436085">
      <w:pPr>
        <w:rPr>
          <w:rFonts w:ascii="Calibri" w:hAnsi="Calibri" w:cs="Calibri"/>
          <w:bCs/>
          <w:i/>
          <w:iCs/>
          <w:color w:val="EE0000"/>
          <w:sz w:val="23"/>
          <w:szCs w:val="23"/>
        </w:rPr>
      </w:pPr>
      <w:r>
        <w:rPr>
          <w:rFonts w:ascii="Calibri Light" w:hAnsi="Calibri Light" w:cs="Calibri Light"/>
          <w:color w:val="13576B"/>
          <w:sz w:val="20"/>
        </w:rPr>
        <w:t>P</w:t>
      </w:r>
      <w:r w:rsidRPr="00277397">
        <w:rPr>
          <w:rFonts w:ascii="Calibri Light" w:hAnsi="Calibri Light" w:cs="Calibri Light"/>
          <w:color w:val="13576B"/>
          <w:sz w:val="20"/>
        </w:rPr>
        <w:t>ramen:</w:t>
      </w:r>
      <w:r w:rsidRPr="00686618">
        <w:rPr>
          <w:rFonts w:ascii="Calibri Light" w:hAnsi="Calibri Light" w:cs="Calibri Light"/>
          <w:color w:val="13576B"/>
          <w:sz w:val="20"/>
        </w:rPr>
        <w:t xml:space="preserve"> Česká bankovní asociace, ČNB, ČSÚ, </w:t>
      </w:r>
      <w:proofErr w:type="spellStart"/>
      <w:r w:rsidRPr="00686618">
        <w:rPr>
          <w:rFonts w:ascii="Calibri Light" w:hAnsi="Calibri Light" w:cs="Calibri Light"/>
          <w:color w:val="13576B"/>
          <w:sz w:val="20"/>
        </w:rPr>
        <w:t>Flat</w:t>
      </w:r>
      <w:proofErr w:type="spellEnd"/>
      <w:r w:rsidRPr="00686618">
        <w:rPr>
          <w:rFonts w:ascii="Calibri Light" w:hAnsi="Calibri Light" w:cs="Calibri Light"/>
          <w:color w:val="13576B"/>
          <w:sz w:val="20"/>
        </w:rPr>
        <w:t xml:space="preserve"> </w:t>
      </w:r>
      <w:proofErr w:type="spellStart"/>
      <w:r w:rsidRPr="00686618">
        <w:rPr>
          <w:rFonts w:ascii="Calibri Light" w:hAnsi="Calibri Light" w:cs="Calibri Light"/>
          <w:color w:val="13576B"/>
          <w:sz w:val="20"/>
        </w:rPr>
        <w:t>Zone</w:t>
      </w:r>
      <w:proofErr w:type="spellEnd"/>
      <w:r w:rsidRPr="00277397">
        <w:rPr>
          <w:rFonts w:ascii="Calibri Light" w:hAnsi="Calibri Light" w:cs="Calibri Light"/>
          <w:color w:val="13576B"/>
          <w:sz w:val="20"/>
        </w:rPr>
        <w:t>.</w:t>
      </w:r>
    </w:p>
    <w:p w14:paraId="4DD0766A" w14:textId="453D7AA2" w:rsidR="00D2301A" w:rsidRPr="00D24B00" w:rsidRDefault="004226ED" w:rsidP="004A5428">
      <w:pPr>
        <w:rPr>
          <w:rFonts w:ascii="Calibri" w:hAnsi="Calibri" w:cs="Calibri"/>
          <w:b/>
          <w:bCs/>
          <w:sz w:val="22"/>
          <w:szCs w:val="22"/>
          <w:highlight w:val="yellow"/>
        </w:rPr>
      </w:pPr>
      <w:r>
        <w:rPr>
          <w:rFonts w:ascii="Calibri" w:hAnsi="Calibri" w:cs="Calibri"/>
          <w:b/>
          <w:bCs/>
          <w:noProof/>
          <w:sz w:val="22"/>
          <w:szCs w:val="22"/>
          <w:highlight w:val="yellow"/>
        </w:rPr>
        <w:drawing>
          <wp:inline distT="0" distB="0" distL="0" distR="0" wp14:anchorId="7AB3BCEE" wp14:editId="0C52B264">
            <wp:extent cx="3231922" cy="1835150"/>
            <wp:effectExtent l="0" t="0" r="6985" b="0"/>
            <wp:docPr id="422183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3321" cy="1847301"/>
                    </a:xfrm>
                    <a:prstGeom prst="rect">
                      <a:avLst/>
                    </a:prstGeom>
                    <a:noFill/>
                  </pic:spPr>
                </pic:pic>
              </a:graphicData>
            </a:graphic>
          </wp:inline>
        </w:drawing>
      </w:r>
    </w:p>
    <w:p w14:paraId="432F9ABC" w14:textId="77777777" w:rsidR="00606031" w:rsidRDefault="004A5428" w:rsidP="004A5428">
      <w:pPr>
        <w:overflowPunct/>
        <w:autoSpaceDE/>
        <w:adjustRightInd/>
        <w:rPr>
          <w:rFonts w:ascii="Calibri Light" w:hAnsi="Calibri Light" w:cs="Calibri Light"/>
          <w:color w:val="13576B"/>
          <w:sz w:val="20"/>
        </w:rPr>
        <w:sectPr w:rsidR="00606031" w:rsidSect="00606031">
          <w:type w:val="continuous"/>
          <w:pgSz w:w="11906" w:h="16838"/>
          <w:pgMar w:top="2552" w:right="849" w:bottom="1560" w:left="851" w:header="709" w:footer="283" w:gutter="0"/>
          <w:cols w:num="2" w:space="708"/>
          <w:docGrid w:linePitch="360"/>
        </w:sect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 xml:space="preserve">ČBA </w:t>
      </w:r>
      <w:proofErr w:type="spellStart"/>
      <w:r w:rsidRPr="002F4CBD">
        <w:rPr>
          <w:rFonts w:ascii="Calibri Light" w:hAnsi="Calibri Light" w:cs="Calibri Light"/>
          <w:color w:val="13576B"/>
          <w:sz w:val="20"/>
        </w:rPr>
        <w:t>Hypomonitor</w:t>
      </w:r>
      <w:proofErr w:type="spellEnd"/>
    </w:p>
    <w:bookmarkEnd w:id="2"/>
    <w:bookmarkEnd w:id="3"/>
    <w:bookmarkEnd w:id="4"/>
    <w:p w14:paraId="30A7E302" w14:textId="77777777" w:rsidR="00D94A5C" w:rsidRDefault="00D94A5C" w:rsidP="00845107">
      <w:pPr>
        <w:overflowPunct/>
        <w:autoSpaceDE/>
        <w:autoSpaceDN/>
        <w:adjustRightInd/>
        <w:textAlignment w:val="auto"/>
        <w:rPr>
          <w:rFonts w:ascii="Calibri" w:hAnsi="Calibri" w:cs="Calibri"/>
          <w:b/>
          <w:bCs/>
          <w:color w:val="000000"/>
          <w:sz w:val="22"/>
          <w:szCs w:val="22"/>
        </w:rPr>
      </w:pPr>
    </w:p>
    <w:p w14:paraId="7D564CA5" w14:textId="77777777" w:rsidR="00B369F2" w:rsidRDefault="00D85F85" w:rsidP="00D85F85">
      <w:pPr>
        <w:overflowPunct/>
        <w:autoSpaceDE/>
        <w:autoSpaceDN/>
        <w:adjustRightInd/>
        <w:textAlignment w:val="auto"/>
        <w:rPr>
          <w:rFonts w:ascii="Calibri" w:hAnsi="Calibri" w:cs="Calibri"/>
          <w:color w:val="000000"/>
          <w:sz w:val="22"/>
          <w:szCs w:val="22"/>
        </w:rPr>
      </w:pPr>
      <w:r w:rsidRPr="00D85F85">
        <w:rPr>
          <w:rFonts w:ascii="Calibri" w:hAnsi="Calibri" w:cs="Calibri"/>
          <w:b/>
          <w:bCs/>
          <w:color w:val="000000"/>
          <w:sz w:val="22"/>
          <w:szCs w:val="22"/>
        </w:rPr>
        <w:t>Objem refinancovaných a navýšených úvěrů (interně či z jiné instituce) v srpnu poklesl na 7,7 mld. Kč.</w:t>
      </w:r>
      <w:r w:rsidRPr="00D85F85">
        <w:rPr>
          <w:rFonts w:ascii="Calibri" w:hAnsi="Calibri" w:cs="Calibri"/>
          <w:color w:val="000000"/>
          <w:sz w:val="22"/>
          <w:szCs w:val="22"/>
        </w:rPr>
        <w:t xml:space="preserve"> To je o 9 % více než průměrných 7,1 miliardy refinancovaných v loňském roce</w:t>
      </w:r>
      <w:r>
        <w:rPr>
          <w:rFonts w:ascii="Calibri" w:hAnsi="Calibri" w:cs="Calibri"/>
          <w:color w:val="000000"/>
          <w:sz w:val="22"/>
          <w:szCs w:val="22"/>
        </w:rPr>
        <w:t xml:space="preserve"> (v červenci to bylo o 36 % více)</w:t>
      </w:r>
      <w:r w:rsidRPr="00D85F85">
        <w:rPr>
          <w:rFonts w:ascii="Calibri" w:hAnsi="Calibri" w:cs="Calibri"/>
          <w:color w:val="000000"/>
          <w:sz w:val="22"/>
          <w:szCs w:val="22"/>
        </w:rPr>
        <w:t xml:space="preserve"> a o 96 % nad 3,9 miliardami refinancovanými v roce 2024. Podíl refinancovaných úvěrů na celkovém objemu poskytnutých hypoték pak klesl na 22,3 %</w:t>
      </w:r>
      <w:r>
        <w:rPr>
          <w:rFonts w:ascii="Calibri" w:hAnsi="Calibri" w:cs="Calibri"/>
          <w:color w:val="000000"/>
          <w:sz w:val="22"/>
          <w:szCs w:val="22"/>
        </w:rPr>
        <w:t xml:space="preserve"> (v červnu přes 25 %). Nadále však zůstává </w:t>
      </w:r>
      <w:r w:rsidRPr="00D85F85">
        <w:rPr>
          <w:rFonts w:ascii="Calibri" w:hAnsi="Calibri" w:cs="Calibri"/>
          <w:color w:val="000000"/>
          <w:sz w:val="22"/>
          <w:szCs w:val="22"/>
        </w:rPr>
        <w:t>nad loňským průměrem 21 %</w:t>
      </w:r>
      <w:r>
        <w:rPr>
          <w:rFonts w:ascii="Calibri" w:hAnsi="Calibri" w:cs="Calibri"/>
          <w:color w:val="000000"/>
          <w:sz w:val="22"/>
          <w:szCs w:val="22"/>
        </w:rPr>
        <w:t xml:space="preserve"> i nad </w:t>
      </w:r>
      <w:r w:rsidRPr="00D85F85">
        <w:rPr>
          <w:rFonts w:ascii="Calibri" w:hAnsi="Calibri" w:cs="Calibri"/>
          <w:color w:val="000000"/>
          <w:sz w:val="22"/>
          <w:szCs w:val="22"/>
        </w:rPr>
        <w:t xml:space="preserve">17% podílem z let 2022-2023, </w:t>
      </w:r>
      <w:r w:rsidRPr="004332EC">
        <w:rPr>
          <w:rFonts w:ascii="Calibri" w:hAnsi="Calibri" w:cs="Calibri"/>
          <w:color w:val="000000"/>
          <w:sz w:val="22"/>
          <w:szCs w:val="22"/>
        </w:rPr>
        <w:t>zároveň však pod téměř 29% podílem z let 2020–2021, kdy domácnosti refinancovaly při sazbě 2,14 %.</w:t>
      </w:r>
      <w:r>
        <w:rPr>
          <w:rFonts w:ascii="Calibri" w:hAnsi="Calibri" w:cs="Calibri"/>
          <w:color w:val="000000"/>
          <w:sz w:val="22"/>
          <w:szCs w:val="22"/>
        </w:rPr>
        <w:t xml:space="preserve"> </w:t>
      </w:r>
    </w:p>
    <w:p w14:paraId="622FB2FB" w14:textId="77777777" w:rsidR="00B369F2" w:rsidRDefault="00B369F2" w:rsidP="00D85F85">
      <w:pPr>
        <w:overflowPunct/>
        <w:autoSpaceDE/>
        <w:autoSpaceDN/>
        <w:adjustRightInd/>
        <w:textAlignment w:val="auto"/>
        <w:rPr>
          <w:rFonts w:ascii="Calibri" w:hAnsi="Calibri" w:cs="Calibri"/>
          <w:color w:val="000000"/>
          <w:sz w:val="22"/>
          <w:szCs w:val="22"/>
        </w:rPr>
      </w:pPr>
    </w:p>
    <w:p w14:paraId="6EFA886B" w14:textId="72C7485B" w:rsidR="00D85F85" w:rsidRDefault="00D85F85" w:rsidP="00D85F85">
      <w:pPr>
        <w:overflowPunct/>
        <w:autoSpaceDE/>
        <w:autoSpaceDN/>
        <w:adjustRightInd/>
        <w:textAlignment w:val="auto"/>
        <w:rPr>
          <w:rFonts w:ascii="Calibri" w:hAnsi="Calibri" w:cs="Calibri"/>
          <w:color w:val="000000"/>
          <w:sz w:val="22"/>
          <w:szCs w:val="22"/>
        </w:rPr>
      </w:pPr>
      <w:r w:rsidRPr="00D85F85">
        <w:rPr>
          <w:rFonts w:ascii="Calibri" w:hAnsi="Calibri" w:cs="Calibri"/>
          <w:color w:val="000000"/>
          <w:sz w:val="22"/>
          <w:szCs w:val="22"/>
        </w:rPr>
        <w:t xml:space="preserve">V srpnu 2026 se domácnosti refinancovaly za úrokovou sazbu 4,97 %, což je </w:t>
      </w:r>
      <w:r>
        <w:rPr>
          <w:rFonts w:ascii="Calibri" w:hAnsi="Calibri" w:cs="Calibri"/>
          <w:color w:val="000000"/>
          <w:sz w:val="22"/>
          <w:szCs w:val="22"/>
        </w:rPr>
        <w:t>o</w:t>
      </w:r>
      <w:r w:rsidRPr="00D85F85">
        <w:rPr>
          <w:rFonts w:ascii="Calibri" w:hAnsi="Calibri" w:cs="Calibri"/>
          <w:color w:val="000000"/>
          <w:sz w:val="22"/>
          <w:szCs w:val="22"/>
        </w:rPr>
        <w:t xml:space="preserve"> </w:t>
      </w:r>
      <w:r>
        <w:rPr>
          <w:rFonts w:ascii="Calibri" w:hAnsi="Calibri" w:cs="Calibri"/>
          <w:color w:val="000000"/>
          <w:sz w:val="22"/>
          <w:szCs w:val="22"/>
        </w:rPr>
        <w:t>téměř půl pro</w:t>
      </w:r>
      <w:r w:rsidRPr="00D85F85">
        <w:rPr>
          <w:rFonts w:ascii="Calibri" w:hAnsi="Calibri" w:cs="Calibri"/>
          <w:color w:val="000000"/>
          <w:sz w:val="22"/>
          <w:szCs w:val="22"/>
        </w:rPr>
        <w:t>centního bodu více než</w:t>
      </w:r>
      <w:r>
        <w:rPr>
          <w:rFonts w:ascii="Calibri" w:hAnsi="Calibri" w:cs="Calibri"/>
          <w:color w:val="000000"/>
          <w:sz w:val="22"/>
          <w:szCs w:val="22"/>
        </w:rPr>
        <w:t xml:space="preserve"> </w:t>
      </w:r>
      <w:r w:rsidRPr="00D85F85">
        <w:rPr>
          <w:rFonts w:ascii="Calibri" w:hAnsi="Calibri" w:cs="Calibri"/>
          <w:color w:val="000000"/>
          <w:sz w:val="22"/>
          <w:szCs w:val="22"/>
        </w:rPr>
        <w:t>před rokem. Vyšší objemy refinancování odrážejí souběh končících delších fixací z období nízkých úrokových sazeb a kratších fixací z nedávného období vyšších úrokových sazeb.</w:t>
      </w:r>
      <w:r>
        <w:rPr>
          <w:rFonts w:ascii="Calibri" w:hAnsi="Calibri" w:cs="Calibri"/>
          <w:color w:val="000000"/>
          <w:sz w:val="22"/>
          <w:szCs w:val="22"/>
        </w:rPr>
        <w:t xml:space="preserve"> </w:t>
      </w:r>
      <w:r w:rsidRPr="004332EC">
        <w:rPr>
          <w:rFonts w:ascii="Calibri" w:hAnsi="Calibri" w:cs="Calibri"/>
          <w:color w:val="000000"/>
          <w:sz w:val="22"/>
          <w:szCs w:val="22"/>
        </w:rPr>
        <w:t xml:space="preserve">Blíže k sílící vlně refixací viz </w:t>
      </w:r>
      <w:r w:rsidRPr="00DA2CF3">
        <w:rPr>
          <w:rFonts w:ascii="Calibri" w:hAnsi="Calibri" w:cs="Calibri"/>
          <w:color w:val="000000"/>
          <w:sz w:val="22"/>
          <w:szCs w:val="22"/>
        </w:rPr>
        <w:t xml:space="preserve">Fokus ČBA: </w:t>
      </w:r>
      <w:hyperlink r:id="rId18" w:history="1">
        <w:r w:rsidRPr="00DA2CF3">
          <w:rPr>
            <w:rStyle w:val="Hypertextovodkaz"/>
            <w:rFonts w:ascii="Calibri" w:hAnsi="Calibri" w:cs="Calibri"/>
            <w:sz w:val="22"/>
            <w:szCs w:val="22"/>
          </w:rPr>
          <w:t>Vlna refixací hypoték sílí, úrokový šok ale slábne. Rizikem zůstává vyšší inflace</w:t>
        </w:r>
      </w:hyperlink>
      <w:r w:rsidRPr="00DA2CF3">
        <w:rPr>
          <w:rFonts w:ascii="Calibri" w:hAnsi="Calibri" w:cs="Calibri"/>
          <w:sz w:val="22"/>
          <w:szCs w:val="22"/>
        </w:rPr>
        <w:t>.</w:t>
      </w:r>
    </w:p>
    <w:p w14:paraId="0EC5EB32" w14:textId="77777777" w:rsidR="00D85F85" w:rsidRDefault="00D85F85" w:rsidP="00D85F85">
      <w:pPr>
        <w:overflowPunct/>
        <w:autoSpaceDE/>
        <w:autoSpaceDN/>
        <w:adjustRightInd/>
        <w:textAlignment w:val="auto"/>
        <w:rPr>
          <w:rFonts w:ascii="Calibri" w:hAnsi="Calibri" w:cs="Calibri"/>
          <w:color w:val="000000"/>
          <w:sz w:val="22"/>
          <w:szCs w:val="22"/>
        </w:rPr>
      </w:pPr>
    </w:p>
    <w:p w14:paraId="38A6516B" w14:textId="31E80667" w:rsidR="00436085" w:rsidRPr="00D66D1C" w:rsidRDefault="00436085" w:rsidP="00E720A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Calibri"/>
          <w:sz w:val="22"/>
          <w:szCs w:val="22"/>
        </w:rPr>
      </w:pPr>
      <w:r w:rsidRPr="00D66D1C">
        <w:rPr>
          <w:rFonts w:ascii="Calibri" w:hAnsi="Calibri" w:cs="Calibri"/>
          <w:i/>
          <w:iCs/>
          <w:sz w:val="22"/>
          <w:szCs w:val="22"/>
        </w:rPr>
        <w:t>„</w:t>
      </w:r>
      <w:r w:rsidR="006F129E" w:rsidRPr="00D66D1C">
        <w:rPr>
          <w:rFonts w:ascii="Calibri" w:hAnsi="Calibri" w:cs="Calibri"/>
          <w:i/>
          <w:iCs/>
          <w:sz w:val="22"/>
          <w:szCs w:val="22"/>
        </w:rPr>
        <w:t xml:space="preserve">Hypoteční aktivita v srpnu zeslábla, což se dá přičíst zejména vyšším úrokovým sazbám, které úspěšně atakují hranici pěti procent. I tak se stále dá hypotéka v některých případech sjednat za levnější než pětiprocentní úrok, při rostoucím výhledu sazeb to ale pravděpodobně do konce roku nevydrží,“ </w:t>
      </w:r>
      <w:r w:rsidR="006F129E" w:rsidRPr="00D66D1C">
        <w:rPr>
          <w:rFonts w:ascii="Calibri" w:hAnsi="Calibri" w:cs="Calibri"/>
          <w:sz w:val="22"/>
          <w:szCs w:val="22"/>
        </w:rPr>
        <w:t xml:space="preserve">říká </w:t>
      </w:r>
      <w:r w:rsidR="006F129E" w:rsidRPr="00D66D1C">
        <w:rPr>
          <w:rFonts w:ascii="Calibri" w:hAnsi="Calibri" w:cs="Calibri"/>
          <w:b/>
          <w:bCs/>
          <w:sz w:val="22"/>
          <w:szCs w:val="22"/>
        </w:rPr>
        <w:t xml:space="preserve">Petr </w:t>
      </w:r>
      <w:proofErr w:type="spellStart"/>
      <w:r w:rsidR="006F129E" w:rsidRPr="00D66D1C">
        <w:rPr>
          <w:rFonts w:ascii="Calibri" w:hAnsi="Calibri" w:cs="Calibri"/>
          <w:b/>
          <w:bCs/>
          <w:sz w:val="22"/>
          <w:szCs w:val="22"/>
        </w:rPr>
        <w:t>Gapko</w:t>
      </w:r>
      <w:proofErr w:type="spellEnd"/>
      <w:r w:rsidR="006F129E" w:rsidRPr="00D66D1C">
        <w:rPr>
          <w:rFonts w:ascii="Calibri" w:hAnsi="Calibri" w:cs="Calibri"/>
          <w:b/>
          <w:bCs/>
          <w:sz w:val="22"/>
          <w:szCs w:val="22"/>
        </w:rPr>
        <w:t>, hlavní ekonom MONETA Money Bank.</w:t>
      </w:r>
      <w:r w:rsidRPr="00D66D1C">
        <w:rPr>
          <w:rFonts w:ascii="Calibri" w:hAnsi="Calibri" w:cs="Calibri"/>
          <w:sz w:val="22"/>
          <w:szCs w:val="22"/>
        </w:rPr>
        <w:t xml:space="preserve"> </w:t>
      </w:r>
    </w:p>
    <w:p w14:paraId="0A09737B" w14:textId="77777777" w:rsidR="00652484" w:rsidRDefault="00652484" w:rsidP="00436085">
      <w:pPr>
        <w:rPr>
          <w:rFonts w:ascii="Calibri" w:hAnsi="Calibri" w:cs="Calibri"/>
          <w:b/>
          <w:color w:val="13576B"/>
          <w:sz w:val="23"/>
          <w:szCs w:val="23"/>
        </w:rPr>
      </w:pPr>
    </w:p>
    <w:p w14:paraId="17D6276F" w14:textId="0B87BE65" w:rsidR="00B12AAF" w:rsidRDefault="004332EC" w:rsidP="00436085">
      <w:pPr>
        <w:rPr>
          <w:rFonts w:ascii="Calibri" w:hAnsi="Calibri" w:cs="Calibri"/>
          <w:b/>
          <w:color w:val="13576B"/>
          <w:sz w:val="23"/>
          <w:szCs w:val="23"/>
        </w:rPr>
      </w:pPr>
      <w:r w:rsidRPr="004332EC">
        <w:rPr>
          <w:rFonts w:ascii="Calibri" w:hAnsi="Calibri" w:cs="Calibri"/>
          <w:b/>
          <w:color w:val="13576B"/>
          <w:sz w:val="23"/>
          <w:szCs w:val="23"/>
        </w:rPr>
        <w:t xml:space="preserve">Průměrná hypoteční sazba dále vzrostla na </w:t>
      </w:r>
      <w:r w:rsidR="00B369F2">
        <w:rPr>
          <w:rFonts w:ascii="Calibri" w:hAnsi="Calibri" w:cs="Calibri"/>
          <w:b/>
          <w:color w:val="13576B"/>
          <w:sz w:val="23"/>
          <w:szCs w:val="23"/>
        </w:rPr>
        <w:t>5</w:t>
      </w:r>
      <w:r w:rsidRPr="004332EC">
        <w:rPr>
          <w:rFonts w:ascii="Calibri" w:hAnsi="Calibri" w:cs="Calibri"/>
          <w:b/>
          <w:color w:val="13576B"/>
          <w:sz w:val="23"/>
          <w:szCs w:val="23"/>
        </w:rPr>
        <w:t xml:space="preserve"> %, </w:t>
      </w:r>
      <w:r w:rsidR="00B369F2">
        <w:rPr>
          <w:rFonts w:ascii="Calibri" w:hAnsi="Calibri" w:cs="Calibri"/>
          <w:b/>
          <w:color w:val="13576B"/>
          <w:sz w:val="23"/>
          <w:szCs w:val="23"/>
        </w:rPr>
        <w:t>protože do</w:t>
      </w:r>
      <w:r w:rsidRPr="004332EC">
        <w:rPr>
          <w:rFonts w:ascii="Calibri" w:hAnsi="Calibri" w:cs="Calibri"/>
          <w:b/>
          <w:color w:val="13576B"/>
          <w:sz w:val="23"/>
          <w:szCs w:val="23"/>
        </w:rPr>
        <w:t xml:space="preserve"> cen hypoték se postupně promít</w:t>
      </w:r>
      <w:r w:rsidR="00B369F2">
        <w:rPr>
          <w:rFonts w:ascii="Calibri" w:hAnsi="Calibri" w:cs="Calibri"/>
          <w:b/>
          <w:color w:val="13576B"/>
          <w:sz w:val="23"/>
          <w:szCs w:val="23"/>
        </w:rPr>
        <w:t xml:space="preserve">ají stále rostoucí </w:t>
      </w:r>
      <w:r w:rsidRPr="004332EC">
        <w:rPr>
          <w:rFonts w:ascii="Calibri" w:hAnsi="Calibri" w:cs="Calibri"/>
          <w:b/>
          <w:color w:val="13576B"/>
          <w:sz w:val="23"/>
          <w:szCs w:val="23"/>
        </w:rPr>
        <w:t>tržní úroky</w:t>
      </w:r>
    </w:p>
    <w:p w14:paraId="2F36AF22" w14:textId="77777777" w:rsidR="004332EC" w:rsidRDefault="004332EC" w:rsidP="00436085">
      <w:pPr>
        <w:rPr>
          <w:rFonts w:ascii="Calibri" w:hAnsi="Calibri" w:cs="Calibri"/>
          <w:b/>
          <w:color w:val="000000" w:themeColor="text1"/>
          <w:sz w:val="23"/>
          <w:szCs w:val="23"/>
        </w:rPr>
      </w:pPr>
    </w:p>
    <w:p w14:paraId="05D2741B" w14:textId="0884E6D8" w:rsidR="00B369F2" w:rsidRPr="00B369F2" w:rsidRDefault="00B369F2" w:rsidP="00F86368">
      <w:pPr>
        <w:rPr>
          <w:rFonts w:ascii="Calibri" w:hAnsi="Calibri" w:cs="Calibri"/>
          <w:bCs/>
          <w:color w:val="000000" w:themeColor="text1"/>
          <w:sz w:val="23"/>
          <w:szCs w:val="23"/>
        </w:rPr>
      </w:pPr>
      <w:r w:rsidRPr="00B369F2">
        <w:rPr>
          <w:rFonts w:ascii="Calibri" w:hAnsi="Calibri" w:cs="Calibri"/>
          <w:b/>
          <w:color w:val="000000" w:themeColor="text1"/>
          <w:sz w:val="23"/>
          <w:szCs w:val="23"/>
        </w:rPr>
        <w:t>Průměrná realizovaná úroková sazba u nových hypoték v srpnu dále vzrostla na 5 % z červencových 4,9 %.</w:t>
      </w:r>
      <w:r w:rsidRPr="00B369F2">
        <w:rPr>
          <w:rFonts w:ascii="Calibri" w:hAnsi="Calibri" w:cs="Calibri"/>
          <w:bCs/>
          <w:color w:val="000000" w:themeColor="text1"/>
          <w:sz w:val="23"/>
          <w:szCs w:val="23"/>
        </w:rPr>
        <w:t xml:space="preserve"> Její srpnová úroveň je tak o</w:t>
      </w:r>
      <w:r>
        <w:rPr>
          <w:rFonts w:ascii="Calibri" w:hAnsi="Calibri" w:cs="Calibri"/>
          <w:bCs/>
          <w:color w:val="000000" w:themeColor="text1"/>
          <w:sz w:val="23"/>
          <w:szCs w:val="23"/>
        </w:rPr>
        <w:t xml:space="preserve"> půl </w:t>
      </w:r>
      <w:r w:rsidRPr="00B369F2">
        <w:rPr>
          <w:rFonts w:ascii="Calibri" w:hAnsi="Calibri" w:cs="Calibri"/>
          <w:bCs/>
          <w:color w:val="000000" w:themeColor="text1"/>
          <w:sz w:val="23"/>
          <w:szCs w:val="23"/>
        </w:rPr>
        <w:t xml:space="preserve">procentního bodu výše než 4,52% sazba před rokem, což zvyšuje ilustrativní průměrnou měsíční splátku nové hypotéky o 1,2 tis. Kč, tedy přibližně o 1,2 % čistého příjmu žadatele. Pro srovnání průměrná hodnota hypoteční sazby v roce 2025 dosáhla 4,58 % </w:t>
      </w:r>
      <w:r>
        <w:rPr>
          <w:rFonts w:ascii="Calibri" w:hAnsi="Calibri" w:cs="Calibri"/>
          <w:bCs/>
          <w:color w:val="000000" w:themeColor="text1"/>
          <w:sz w:val="23"/>
          <w:szCs w:val="23"/>
        </w:rPr>
        <w:t xml:space="preserve">a blíží se k průměrné sazbě </w:t>
      </w:r>
      <w:r w:rsidRPr="00B369F2">
        <w:rPr>
          <w:rFonts w:ascii="Calibri" w:hAnsi="Calibri" w:cs="Calibri"/>
          <w:bCs/>
          <w:color w:val="000000" w:themeColor="text1"/>
          <w:sz w:val="23"/>
          <w:szCs w:val="23"/>
        </w:rPr>
        <w:t xml:space="preserve">5,07 % </w:t>
      </w:r>
      <w:r>
        <w:rPr>
          <w:rFonts w:ascii="Calibri" w:hAnsi="Calibri" w:cs="Calibri"/>
          <w:bCs/>
          <w:color w:val="000000" w:themeColor="text1"/>
          <w:sz w:val="23"/>
          <w:szCs w:val="23"/>
        </w:rPr>
        <w:t xml:space="preserve">z roku </w:t>
      </w:r>
      <w:r w:rsidRPr="00B369F2">
        <w:rPr>
          <w:rFonts w:ascii="Calibri" w:hAnsi="Calibri" w:cs="Calibri"/>
          <w:bCs/>
          <w:color w:val="000000" w:themeColor="text1"/>
          <w:sz w:val="23"/>
          <w:szCs w:val="23"/>
        </w:rPr>
        <w:t>2024.</w:t>
      </w:r>
    </w:p>
    <w:p w14:paraId="40C0AEE7" w14:textId="77777777" w:rsidR="004332EC" w:rsidRDefault="004332EC" w:rsidP="00F86368">
      <w:pPr>
        <w:rPr>
          <w:rFonts w:ascii="Calibri" w:hAnsi="Calibri" w:cs="Calibri"/>
          <w:bCs/>
          <w:color w:val="000000" w:themeColor="text1"/>
          <w:sz w:val="23"/>
          <w:szCs w:val="23"/>
        </w:rPr>
      </w:pPr>
    </w:p>
    <w:p w14:paraId="213EE1DE" w14:textId="1AAC0AAD" w:rsidR="00C47D3E" w:rsidRDefault="00B369F2" w:rsidP="00C47D3E">
      <w:pPr>
        <w:rPr>
          <w:rFonts w:ascii="Calibri" w:hAnsi="Calibri" w:cs="Calibri"/>
          <w:color w:val="000000" w:themeColor="text1"/>
          <w:sz w:val="23"/>
          <w:szCs w:val="23"/>
        </w:rPr>
      </w:pPr>
      <w:r>
        <w:rPr>
          <w:rFonts w:ascii="Calibri" w:hAnsi="Calibri" w:cs="Calibri"/>
          <w:b/>
          <w:color w:val="000000" w:themeColor="text1"/>
          <w:sz w:val="23"/>
          <w:szCs w:val="23"/>
        </w:rPr>
        <w:t>Srpnová</w:t>
      </w:r>
      <w:r w:rsidR="00C47D3E" w:rsidRPr="00C47D3E">
        <w:rPr>
          <w:rFonts w:ascii="Calibri" w:hAnsi="Calibri" w:cs="Calibri"/>
          <w:b/>
          <w:color w:val="000000" w:themeColor="text1"/>
          <w:sz w:val="23"/>
          <w:szCs w:val="23"/>
        </w:rPr>
        <w:t xml:space="preserve"> úroková hypoteční sazba se </w:t>
      </w:r>
      <w:r>
        <w:rPr>
          <w:rFonts w:ascii="Calibri" w:hAnsi="Calibri" w:cs="Calibri"/>
          <w:b/>
          <w:color w:val="000000" w:themeColor="text1"/>
          <w:sz w:val="23"/>
          <w:szCs w:val="23"/>
        </w:rPr>
        <w:t xml:space="preserve">s 5 % stále </w:t>
      </w:r>
      <w:r w:rsidR="00C47D3E" w:rsidRPr="00C47D3E">
        <w:rPr>
          <w:rFonts w:ascii="Calibri" w:hAnsi="Calibri" w:cs="Calibri"/>
          <w:b/>
          <w:color w:val="000000" w:themeColor="text1"/>
          <w:sz w:val="23"/>
          <w:szCs w:val="23"/>
        </w:rPr>
        <w:t>nacházela</w:t>
      </w:r>
      <w:r w:rsidR="00C47D3E">
        <w:rPr>
          <w:rFonts w:ascii="Calibri" w:hAnsi="Calibri" w:cs="Calibri"/>
          <w:b/>
          <w:color w:val="000000" w:themeColor="text1"/>
          <w:sz w:val="23"/>
          <w:szCs w:val="23"/>
        </w:rPr>
        <w:t xml:space="preserve"> přibližně </w:t>
      </w:r>
      <w:proofErr w:type="gramStart"/>
      <w:r w:rsidR="00C47D3E">
        <w:rPr>
          <w:rFonts w:ascii="Calibri" w:hAnsi="Calibri" w:cs="Calibri"/>
          <w:b/>
          <w:color w:val="000000" w:themeColor="text1"/>
          <w:sz w:val="23"/>
          <w:szCs w:val="23"/>
        </w:rPr>
        <w:t>0,6</w:t>
      </w:r>
      <w:r w:rsidR="00C47D3E" w:rsidRPr="00C47D3E">
        <w:rPr>
          <w:rFonts w:ascii="Calibri" w:hAnsi="Calibri" w:cs="Calibri"/>
          <w:b/>
          <w:color w:val="000000" w:themeColor="text1"/>
          <w:sz w:val="23"/>
          <w:szCs w:val="23"/>
        </w:rPr>
        <w:t xml:space="preserve"> procentního</w:t>
      </w:r>
      <w:proofErr w:type="gramEnd"/>
      <w:r w:rsidR="00C47D3E" w:rsidRPr="00C47D3E">
        <w:rPr>
          <w:rFonts w:ascii="Calibri" w:hAnsi="Calibri" w:cs="Calibri"/>
          <w:b/>
          <w:color w:val="000000" w:themeColor="text1"/>
          <w:sz w:val="23"/>
          <w:szCs w:val="23"/>
        </w:rPr>
        <w:t xml:space="preserve"> bodu nad průměrnými tržními</w:t>
      </w:r>
      <w:r w:rsidR="00150AA5">
        <w:rPr>
          <w:rFonts w:ascii="Calibri" w:hAnsi="Calibri" w:cs="Calibri"/>
          <w:b/>
          <w:color w:val="000000" w:themeColor="text1"/>
          <w:sz w:val="23"/>
          <w:szCs w:val="23"/>
        </w:rPr>
        <w:t xml:space="preserve"> úrokovými</w:t>
      </w:r>
      <w:r w:rsidR="00C47D3E" w:rsidRPr="00C47D3E">
        <w:rPr>
          <w:rFonts w:ascii="Calibri" w:hAnsi="Calibri" w:cs="Calibri"/>
          <w:b/>
          <w:color w:val="000000" w:themeColor="text1"/>
          <w:sz w:val="23"/>
          <w:szCs w:val="23"/>
        </w:rPr>
        <w:t xml:space="preserve"> swapovými sazbami</w:t>
      </w:r>
      <w:r w:rsidR="00C47D3E">
        <w:rPr>
          <w:rFonts w:ascii="Calibri" w:hAnsi="Calibri" w:cs="Calibri"/>
          <w:b/>
          <w:color w:val="000000" w:themeColor="text1"/>
          <w:sz w:val="23"/>
          <w:szCs w:val="23"/>
        </w:rPr>
        <w:t xml:space="preserve">. </w:t>
      </w:r>
      <w:r w:rsidR="00150AA5" w:rsidRPr="00150AA5">
        <w:rPr>
          <w:rFonts w:ascii="Calibri" w:hAnsi="Calibri" w:cs="Calibri"/>
          <w:bCs/>
          <w:color w:val="000000" w:themeColor="text1"/>
          <w:sz w:val="23"/>
          <w:szCs w:val="23"/>
        </w:rPr>
        <w:t xml:space="preserve">To je stále necelý půl procentní bod pod dlouhodobým průměrem od roku 2014, který činí </w:t>
      </w:r>
      <w:proofErr w:type="gramStart"/>
      <w:r w:rsidR="00150AA5" w:rsidRPr="00150AA5">
        <w:rPr>
          <w:rFonts w:ascii="Calibri" w:hAnsi="Calibri" w:cs="Calibri"/>
          <w:bCs/>
          <w:color w:val="000000" w:themeColor="text1"/>
          <w:sz w:val="23"/>
          <w:szCs w:val="23"/>
        </w:rPr>
        <w:t>1,04 procentního</w:t>
      </w:r>
      <w:proofErr w:type="gramEnd"/>
      <w:r w:rsidR="00150AA5" w:rsidRPr="00150AA5">
        <w:rPr>
          <w:rFonts w:ascii="Calibri" w:hAnsi="Calibri" w:cs="Calibri"/>
          <w:bCs/>
          <w:color w:val="000000" w:themeColor="text1"/>
          <w:sz w:val="23"/>
          <w:szCs w:val="23"/>
        </w:rPr>
        <w:t xml:space="preserve"> bodu. Mezi březnem a květnem přitom tento spread vůči tržním sazbám dosahoval</w:t>
      </w:r>
      <w:r w:rsidR="00150AA5">
        <w:rPr>
          <w:rFonts w:ascii="Calibri" w:hAnsi="Calibri" w:cs="Calibri"/>
          <w:bCs/>
          <w:color w:val="000000" w:themeColor="text1"/>
          <w:sz w:val="23"/>
          <w:szCs w:val="23"/>
        </w:rPr>
        <w:t xml:space="preserve"> dokonce</w:t>
      </w:r>
      <w:r w:rsidR="00150AA5" w:rsidRPr="00150AA5">
        <w:rPr>
          <w:rFonts w:ascii="Calibri" w:hAnsi="Calibri" w:cs="Calibri"/>
          <w:bCs/>
          <w:color w:val="000000" w:themeColor="text1"/>
          <w:sz w:val="23"/>
          <w:szCs w:val="23"/>
        </w:rPr>
        <w:t xml:space="preserve"> </w:t>
      </w:r>
      <w:proofErr w:type="gramStart"/>
      <w:r w:rsidR="00150AA5" w:rsidRPr="00150AA5">
        <w:rPr>
          <w:rFonts w:ascii="Calibri" w:hAnsi="Calibri" w:cs="Calibri"/>
          <w:bCs/>
          <w:color w:val="000000" w:themeColor="text1"/>
          <w:sz w:val="23"/>
          <w:szCs w:val="23"/>
        </w:rPr>
        <w:t>0,37 procentního</w:t>
      </w:r>
      <w:proofErr w:type="gramEnd"/>
      <w:r w:rsidR="00150AA5" w:rsidRPr="00150AA5">
        <w:rPr>
          <w:rFonts w:ascii="Calibri" w:hAnsi="Calibri" w:cs="Calibri"/>
          <w:bCs/>
          <w:color w:val="000000" w:themeColor="text1"/>
          <w:sz w:val="23"/>
          <w:szCs w:val="23"/>
        </w:rPr>
        <w:t xml:space="preserve"> bodu</w:t>
      </w:r>
      <w:r w:rsidR="00C47D3E" w:rsidRPr="00F86368">
        <w:rPr>
          <w:rFonts w:ascii="Calibri" w:hAnsi="Calibri" w:cs="Calibri"/>
          <w:bCs/>
          <w:color w:val="000000" w:themeColor="text1"/>
          <w:sz w:val="23"/>
          <w:szCs w:val="23"/>
        </w:rPr>
        <w:t xml:space="preserve">. </w:t>
      </w:r>
      <w:hyperlink r:id="rId19" w:history="1">
        <w:r w:rsidR="00C47D3E" w:rsidRPr="00F86368">
          <w:rPr>
            <w:rStyle w:val="Hypertextovodkaz"/>
            <w:rFonts w:ascii="Calibri" w:hAnsi="Calibri" w:cs="Calibri"/>
            <w:b/>
            <w:bCs/>
            <w:sz w:val="23"/>
            <w:szCs w:val="23"/>
          </w:rPr>
          <w:t>V naší studii</w:t>
        </w:r>
      </w:hyperlink>
      <w:r w:rsidR="00C47D3E" w:rsidRPr="00F86368">
        <w:rPr>
          <w:rFonts w:ascii="Calibri" w:hAnsi="Calibri" w:cs="Calibri"/>
          <w:b/>
          <w:bCs/>
          <w:color w:val="13576B"/>
          <w:sz w:val="23"/>
          <w:szCs w:val="23"/>
        </w:rPr>
        <w:t xml:space="preserve"> </w:t>
      </w:r>
      <w:r w:rsidR="00C47D3E" w:rsidRPr="00F86368">
        <w:rPr>
          <w:rFonts w:ascii="Calibri" w:hAnsi="Calibri" w:cs="Calibri"/>
          <w:color w:val="000000" w:themeColor="text1"/>
          <w:sz w:val="23"/>
          <w:szCs w:val="23"/>
        </w:rPr>
        <w:t xml:space="preserve">jsme poukázali na strukturální faktory, především sílu poptávky na konkurenčním trhu, které ovlivňují </w:t>
      </w:r>
      <w:r w:rsidR="00150AA5" w:rsidRPr="00150AA5">
        <w:rPr>
          <w:rFonts w:ascii="Calibri" w:hAnsi="Calibri" w:cs="Calibri"/>
          <w:color w:val="000000" w:themeColor="text1"/>
          <w:sz w:val="23"/>
          <w:szCs w:val="23"/>
        </w:rPr>
        <w:t>přenos tržních sazeb do sazeb hypotečních úvěrů</w:t>
      </w:r>
      <w:r w:rsidR="00C47D3E" w:rsidRPr="00F86368">
        <w:rPr>
          <w:rFonts w:ascii="Calibri" w:hAnsi="Calibri" w:cs="Calibri"/>
          <w:color w:val="000000" w:themeColor="text1"/>
          <w:sz w:val="23"/>
          <w:szCs w:val="23"/>
        </w:rPr>
        <w:t>.</w:t>
      </w:r>
      <w:r w:rsidR="001E66E9">
        <w:rPr>
          <w:rFonts w:ascii="Calibri" w:hAnsi="Calibri" w:cs="Calibri"/>
          <w:color w:val="000000" w:themeColor="text1"/>
          <w:sz w:val="23"/>
          <w:szCs w:val="23"/>
        </w:rPr>
        <w:t xml:space="preserve"> </w:t>
      </w:r>
      <w:r w:rsidR="00150AA5" w:rsidRPr="00150AA5">
        <w:rPr>
          <w:rFonts w:ascii="Calibri" w:hAnsi="Calibri" w:cs="Calibri"/>
          <w:color w:val="000000" w:themeColor="text1"/>
          <w:sz w:val="23"/>
          <w:szCs w:val="23"/>
        </w:rPr>
        <w:t xml:space="preserve">Nové šetření však naznačuje, že ve třetím čtvrtletí může chybět impuls, který by udržel hypoteční sazby výrazněji pod tržními swapovými sazbami. </w:t>
      </w:r>
      <w:r w:rsidR="001E66E9">
        <w:rPr>
          <w:rFonts w:ascii="Calibri" w:hAnsi="Calibri" w:cs="Calibri"/>
          <w:color w:val="000000" w:themeColor="text1"/>
          <w:sz w:val="23"/>
          <w:szCs w:val="23"/>
        </w:rPr>
        <w:t xml:space="preserve">Blíže viz zde: </w:t>
      </w:r>
      <w:hyperlink r:id="rId20" w:history="1">
        <w:r w:rsidR="001E66E9" w:rsidRPr="001E66E9">
          <w:rPr>
            <w:rStyle w:val="Hypertextovodkaz"/>
            <w:rFonts w:asciiTheme="majorHAnsi" w:hAnsiTheme="majorHAnsi" w:cstheme="majorHAnsi"/>
            <w:sz w:val="23"/>
            <w:szCs w:val="23"/>
          </w:rPr>
          <w:t>Hypoteční standardy se zpřísnily, ale nejen silná poptávka tlumila dopad do úvěrových podmínek</w:t>
        </w:r>
      </w:hyperlink>
      <w:r w:rsidR="001E66E9" w:rsidRPr="001E66E9">
        <w:rPr>
          <w:rFonts w:asciiTheme="majorHAnsi" w:hAnsiTheme="majorHAnsi" w:cstheme="majorHAnsi"/>
          <w:sz w:val="23"/>
          <w:szCs w:val="23"/>
        </w:rPr>
        <w:t>.</w:t>
      </w:r>
      <w:r w:rsidR="001E66E9" w:rsidRPr="001E66E9">
        <w:rPr>
          <w:sz w:val="24"/>
          <w:szCs w:val="28"/>
        </w:rPr>
        <w:t xml:space="preserve"> </w:t>
      </w:r>
    </w:p>
    <w:p w14:paraId="0C1EE4EE" w14:textId="046BCF0E" w:rsidR="00F86368" w:rsidRDefault="00F86368" w:rsidP="00F86368">
      <w:pPr>
        <w:rPr>
          <w:rFonts w:ascii="Calibri" w:hAnsi="Calibri" w:cs="Calibri"/>
          <w:bCs/>
          <w:color w:val="000000" w:themeColor="text1"/>
          <w:sz w:val="23"/>
          <w:szCs w:val="23"/>
        </w:rPr>
      </w:pPr>
    </w:p>
    <w:p w14:paraId="6C74E0D7" w14:textId="4D653145" w:rsidR="00B369F2" w:rsidRDefault="00F86368" w:rsidP="00F86368">
      <w:pPr>
        <w:rPr>
          <w:rFonts w:ascii="Calibri" w:hAnsi="Calibri" w:cs="Calibri"/>
          <w:bCs/>
          <w:color w:val="EE0000"/>
          <w:sz w:val="22"/>
          <w:szCs w:val="22"/>
        </w:rPr>
      </w:pPr>
      <w:r w:rsidRPr="00486BC4">
        <w:rPr>
          <w:rFonts w:ascii="Calibri" w:hAnsi="Calibri" w:cs="Calibri"/>
          <w:b/>
          <w:color w:val="000000" w:themeColor="text1"/>
          <w:sz w:val="23"/>
          <w:szCs w:val="23"/>
        </w:rPr>
        <w:t>České tržní delší úrokové sazby,</w:t>
      </w:r>
      <w:r w:rsidRPr="00486BC4">
        <w:rPr>
          <w:rStyle w:val="Znakapoznpodarou"/>
          <w:rFonts w:ascii="Calibri" w:hAnsi="Calibri" w:cs="Calibri"/>
          <w:b/>
          <w:i/>
          <w:iCs/>
          <w:color w:val="000000" w:themeColor="text1"/>
          <w:sz w:val="22"/>
          <w:szCs w:val="22"/>
        </w:rPr>
        <w:footnoteReference w:id="1"/>
      </w:r>
      <w:r>
        <w:rPr>
          <w:rFonts w:ascii="Calibri" w:hAnsi="Calibri" w:cs="Calibri"/>
          <w:b/>
          <w:color w:val="000000" w:themeColor="text1"/>
          <w:sz w:val="23"/>
          <w:szCs w:val="23"/>
        </w:rPr>
        <w:t xml:space="preserve"> </w:t>
      </w:r>
      <w:r w:rsidRPr="00A71689">
        <w:rPr>
          <w:rFonts w:ascii="Calibri" w:hAnsi="Calibri" w:cs="Calibri"/>
          <w:b/>
          <w:color w:val="000000" w:themeColor="text1"/>
          <w:sz w:val="22"/>
          <w:szCs w:val="22"/>
        </w:rPr>
        <w:t>které mají klíčový vliv na hypoteční sazby</w:t>
      </w:r>
      <w:r>
        <w:rPr>
          <w:rFonts w:ascii="Calibri" w:hAnsi="Calibri" w:cs="Calibri"/>
          <w:b/>
          <w:color w:val="000000" w:themeColor="text1"/>
          <w:sz w:val="22"/>
          <w:szCs w:val="22"/>
        </w:rPr>
        <w:t>, kde převládají tříleté fixace</w:t>
      </w:r>
      <w:r w:rsidRPr="00A71689">
        <w:rPr>
          <w:rFonts w:ascii="Calibri" w:hAnsi="Calibri" w:cs="Calibri"/>
          <w:b/>
          <w:color w:val="000000" w:themeColor="text1"/>
          <w:sz w:val="22"/>
          <w:szCs w:val="22"/>
        </w:rPr>
        <w:t xml:space="preserve">, </w:t>
      </w:r>
      <w:r>
        <w:rPr>
          <w:rFonts w:ascii="Calibri" w:hAnsi="Calibri" w:cs="Calibri"/>
          <w:b/>
          <w:color w:val="000000" w:themeColor="text1"/>
          <w:sz w:val="22"/>
          <w:szCs w:val="22"/>
        </w:rPr>
        <w:t xml:space="preserve">zůstaly </w:t>
      </w:r>
      <w:r w:rsidR="00BE2556">
        <w:rPr>
          <w:rFonts w:ascii="Calibri" w:hAnsi="Calibri" w:cs="Calibri"/>
          <w:b/>
          <w:color w:val="000000" w:themeColor="text1"/>
          <w:sz w:val="22"/>
          <w:szCs w:val="22"/>
        </w:rPr>
        <w:t>v</w:t>
      </w:r>
      <w:r w:rsidR="00B369F2">
        <w:rPr>
          <w:rFonts w:ascii="Calibri" w:hAnsi="Calibri" w:cs="Calibri"/>
          <w:b/>
          <w:color w:val="000000" w:themeColor="text1"/>
          <w:sz w:val="22"/>
          <w:szCs w:val="22"/>
        </w:rPr>
        <w:t> srpnu i v první polovině září na rostoucím trendu</w:t>
      </w:r>
      <w:r w:rsidR="00D76E6B">
        <w:rPr>
          <w:rFonts w:ascii="Calibri" w:hAnsi="Calibri" w:cs="Calibri"/>
          <w:b/>
          <w:color w:val="000000" w:themeColor="text1"/>
          <w:sz w:val="22"/>
          <w:szCs w:val="22"/>
        </w:rPr>
        <w:t xml:space="preserve">, a to především kvůli zhoršené situaci na trhu s ropou, ale podpořeny také domácími faktory. </w:t>
      </w:r>
      <w:r w:rsidR="00B369F2" w:rsidRPr="00D76E6B">
        <w:rPr>
          <w:rFonts w:ascii="Calibri" w:hAnsi="Calibri" w:cs="Calibri"/>
          <w:bCs/>
          <w:sz w:val="22"/>
          <w:szCs w:val="22"/>
        </w:rPr>
        <w:t xml:space="preserve">České pětileté úrokové swapy </w:t>
      </w:r>
      <w:r w:rsidR="00F91EB5" w:rsidRPr="00D76E6B">
        <w:rPr>
          <w:rFonts w:ascii="Calibri" w:hAnsi="Calibri" w:cs="Calibri"/>
          <w:bCs/>
          <w:sz w:val="22"/>
          <w:szCs w:val="22"/>
        </w:rPr>
        <w:t xml:space="preserve">z červencových 4,35 % </w:t>
      </w:r>
      <w:r w:rsidR="00B369F2" w:rsidRPr="00D76E6B">
        <w:rPr>
          <w:rFonts w:ascii="Calibri" w:hAnsi="Calibri" w:cs="Calibri"/>
          <w:bCs/>
          <w:sz w:val="22"/>
          <w:szCs w:val="22"/>
        </w:rPr>
        <w:t xml:space="preserve">v srpnu stouply o </w:t>
      </w:r>
      <w:proofErr w:type="gramStart"/>
      <w:r w:rsidR="00B369F2" w:rsidRPr="00D76E6B">
        <w:rPr>
          <w:rFonts w:ascii="Calibri" w:hAnsi="Calibri" w:cs="Calibri"/>
          <w:bCs/>
          <w:sz w:val="22"/>
          <w:szCs w:val="22"/>
        </w:rPr>
        <w:t>0,15 procentního</w:t>
      </w:r>
      <w:proofErr w:type="gramEnd"/>
      <w:r w:rsidR="00B369F2" w:rsidRPr="00D76E6B">
        <w:rPr>
          <w:rFonts w:ascii="Calibri" w:hAnsi="Calibri" w:cs="Calibri"/>
          <w:bCs/>
          <w:sz w:val="22"/>
          <w:szCs w:val="22"/>
        </w:rPr>
        <w:t xml:space="preserve"> bodu na 4,5 %</w:t>
      </w:r>
      <w:r w:rsidR="00F91EB5" w:rsidRPr="00D76E6B">
        <w:rPr>
          <w:rFonts w:ascii="Calibri" w:hAnsi="Calibri" w:cs="Calibri"/>
          <w:bCs/>
          <w:sz w:val="22"/>
          <w:szCs w:val="22"/>
        </w:rPr>
        <w:t xml:space="preserve"> a v první polovině září pokračovaly kvůli zhoršení situace na trhu s ropou přes 4,7 %</w:t>
      </w:r>
      <w:r w:rsidR="00B369F2" w:rsidRPr="00D76E6B">
        <w:rPr>
          <w:rFonts w:ascii="Calibri" w:hAnsi="Calibri" w:cs="Calibri"/>
          <w:bCs/>
          <w:sz w:val="22"/>
          <w:szCs w:val="22"/>
        </w:rPr>
        <w:t xml:space="preserve"> a nacházely se nad červnovými 4,26 %. V posledních dvanácti měsících se české pětileté swapy pohybovaly v rozmezí měsíčních průměrů 3,6 % (v únoru 2026) a</w:t>
      </w:r>
      <w:r w:rsidR="00F91EB5" w:rsidRPr="00D76E6B">
        <w:rPr>
          <w:rFonts w:ascii="Calibri" w:hAnsi="Calibri" w:cs="Calibri"/>
          <w:bCs/>
          <w:sz w:val="22"/>
          <w:szCs w:val="22"/>
        </w:rPr>
        <w:t xml:space="preserve"> srpnových </w:t>
      </w:r>
      <w:r w:rsidR="00B369F2" w:rsidRPr="00D76E6B">
        <w:rPr>
          <w:rFonts w:ascii="Calibri" w:hAnsi="Calibri" w:cs="Calibri"/>
          <w:bCs/>
          <w:sz w:val="22"/>
          <w:szCs w:val="22"/>
        </w:rPr>
        <w:t>4,5 %</w:t>
      </w:r>
      <w:r w:rsidR="00F91EB5" w:rsidRPr="00D76E6B">
        <w:rPr>
          <w:rFonts w:ascii="Calibri" w:hAnsi="Calibri" w:cs="Calibri"/>
          <w:bCs/>
          <w:sz w:val="22"/>
          <w:szCs w:val="22"/>
        </w:rPr>
        <w:t xml:space="preserve">. </w:t>
      </w:r>
      <w:r w:rsidR="00B369F2" w:rsidRPr="00D76E6B">
        <w:rPr>
          <w:rFonts w:ascii="Calibri" w:hAnsi="Calibri" w:cs="Calibri"/>
          <w:bCs/>
          <w:sz w:val="22"/>
          <w:szCs w:val="22"/>
        </w:rPr>
        <w:t>V porovnání s průměrnou úrovní pětiletých swapů v roce 2025 byly srpnové úroky o 0,85 p. b. výše. V případě amerických pětiletých úrokových swapů došlo v srpnu k jejich růstu na 4,37 %</w:t>
      </w:r>
      <w:r w:rsidR="00F91EB5" w:rsidRPr="00D76E6B">
        <w:rPr>
          <w:rFonts w:ascii="Calibri" w:hAnsi="Calibri" w:cs="Calibri"/>
          <w:bCs/>
          <w:sz w:val="22"/>
          <w:szCs w:val="22"/>
        </w:rPr>
        <w:t xml:space="preserve"> </w:t>
      </w:r>
      <w:r w:rsidR="00D76E6B" w:rsidRPr="00D76E6B">
        <w:rPr>
          <w:rFonts w:ascii="Calibri" w:hAnsi="Calibri" w:cs="Calibri"/>
          <w:bCs/>
          <w:sz w:val="22"/>
          <w:szCs w:val="22"/>
        </w:rPr>
        <w:t>(</w:t>
      </w:r>
      <w:r w:rsidR="00F91EB5" w:rsidRPr="00D76E6B">
        <w:rPr>
          <w:rFonts w:ascii="Calibri" w:hAnsi="Calibri" w:cs="Calibri"/>
          <w:bCs/>
          <w:sz w:val="22"/>
          <w:szCs w:val="22"/>
        </w:rPr>
        <w:t>a v první polovině září k 4,6 %</w:t>
      </w:r>
      <w:r w:rsidR="00D76E6B" w:rsidRPr="00D76E6B">
        <w:rPr>
          <w:rFonts w:ascii="Calibri" w:hAnsi="Calibri" w:cs="Calibri"/>
          <w:bCs/>
          <w:sz w:val="22"/>
          <w:szCs w:val="22"/>
        </w:rPr>
        <w:t>)</w:t>
      </w:r>
      <w:r w:rsidR="00B369F2" w:rsidRPr="00D76E6B">
        <w:rPr>
          <w:rFonts w:ascii="Calibri" w:hAnsi="Calibri" w:cs="Calibri"/>
          <w:bCs/>
          <w:sz w:val="22"/>
          <w:szCs w:val="22"/>
        </w:rPr>
        <w:t xml:space="preserve"> z červencových 4,3 % a nacházely se 0,51 p. b. nad jejich průměrnou hodnotou z roku 2025. Eurové pětileté swapy v srpnu stouply na 3,07 %</w:t>
      </w:r>
      <w:r w:rsidR="00D76E6B" w:rsidRPr="00D76E6B">
        <w:rPr>
          <w:rFonts w:ascii="Calibri" w:hAnsi="Calibri" w:cs="Calibri"/>
          <w:bCs/>
          <w:sz w:val="22"/>
          <w:szCs w:val="22"/>
        </w:rPr>
        <w:t xml:space="preserve"> (v první polovině září přes 3,3 %)</w:t>
      </w:r>
      <w:r w:rsidR="00B369F2" w:rsidRPr="00D76E6B">
        <w:rPr>
          <w:rFonts w:ascii="Calibri" w:hAnsi="Calibri" w:cs="Calibri"/>
          <w:bCs/>
          <w:sz w:val="22"/>
          <w:szCs w:val="22"/>
        </w:rPr>
        <w:t xml:space="preserve"> z červencových 2,96 % a byly 0,73 p. b. nad jejich průměrnou loňskou úrovní 2,34 %.</w:t>
      </w:r>
      <w:r w:rsidR="00D76E6B">
        <w:rPr>
          <w:rFonts w:ascii="Calibri" w:hAnsi="Calibri" w:cs="Calibri"/>
          <w:bCs/>
          <w:sz w:val="22"/>
          <w:szCs w:val="22"/>
        </w:rPr>
        <w:t xml:space="preserve"> </w:t>
      </w:r>
      <w:r w:rsidR="00D76E6B">
        <w:rPr>
          <w:rFonts w:ascii="Calibri" w:hAnsi="Calibri" w:cs="Calibri"/>
          <w:bCs/>
          <w:color w:val="000000" w:themeColor="text1"/>
          <w:sz w:val="23"/>
          <w:szCs w:val="23"/>
        </w:rPr>
        <w:t>Rozpětí mezi českými a eurovými pětiletými IRS úrokovými sazbami se v posledním měsíci a půl pohyboval okolo 1,4 p.</w:t>
      </w:r>
      <w:r w:rsidR="00D83A6D">
        <w:rPr>
          <w:rFonts w:ascii="Calibri" w:hAnsi="Calibri" w:cs="Calibri"/>
          <w:bCs/>
          <w:color w:val="000000" w:themeColor="text1"/>
          <w:sz w:val="23"/>
          <w:szCs w:val="23"/>
        </w:rPr>
        <w:t xml:space="preserve"> </w:t>
      </w:r>
      <w:r w:rsidR="00D76E6B">
        <w:rPr>
          <w:rFonts w:ascii="Calibri" w:hAnsi="Calibri" w:cs="Calibri"/>
          <w:bCs/>
          <w:color w:val="000000" w:themeColor="text1"/>
          <w:sz w:val="23"/>
          <w:szCs w:val="23"/>
        </w:rPr>
        <w:t>b., tedy obdobně jako v předchozích pěti měsících, ale nad 1,16 p.</w:t>
      </w:r>
      <w:r w:rsidR="00D83A6D">
        <w:rPr>
          <w:rFonts w:ascii="Calibri" w:hAnsi="Calibri" w:cs="Calibri"/>
          <w:bCs/>
          <w:color w:val="000000" w:themeColor="text1"/>
          <w:sz w:val="23"/>
          <w:szCs w:val="23"/>
        </w:rPr>
        <w:t xml:space="preserve"> </w:t>
      </w:r>
      <w:r w:rsidR="00D76E6B">
        <w:rPr>
          <w:rFonts w:ascii="Calibri" w:hAnsi="Calibri" w:cs="Calibri"/>
          <w:bCs/>
          <w:color w:val="000000" w:themeColor="text1"/>
          <w:sz w:val="23"/>
          <w:szCs w:val="23"/>
        </w:rPr>
        <w:t>b. z počátku roku a 1,3 p.</w:t>
      </w:r>
      <w:r w:rsidR="00D83A6D">
        <w:rPr>
          <w:rFonts w:ascii="Calibri" w:hAnsi="Calibri" w:cs="Calibri"/>
          <w:bCs/>
          <w:color w:val="000000" w:themeColor="text1"/>
          <w:sz w:val="23"/>
          <w:szCs w:val="23"/>
        </w:rPr>
        <w:t xml:space="preserve"> </w:t>
      </w:r>
      <w:r w:rsidR="00D76E6B">
        <w:rPr>
          <w:rFonts w:ascii="Calibri" w:hAnsi="Calibri" w:cs="Calibri"/>
          <w:bCs/>
          <w:color w:val="000000" w:themeColor="text1"/>
          <w:sz w:val="23"/>
          <w:szCs w:val="23"/>
        </w:rPr>
        <w:t>b. z loňského roku.</w:t>
      </w:r>
    </w:p>
    <w:p w14:paraId="71999AA4" w14:textId="77777777" w:rsidR="008C551C" w:rsidRDefault="008C551C" w:rsidP="00F86368">
      <w:pPr>
        <w:rPr>
          <w:rFonts w:ascii="Calibri" w:hAnsi="Calibri" w:cs="Calibri"/>
          <w:bCs/>
          <w:color w:val="EE0000"/>
          <w:sz w:val="22"/>
          <w:szCs w:val="22"/>
        </w:rPr>
      </w:pPr>
    </w:p>
    <w:p w14:paraId="20CE7BEA" w14:textId="6B84E8A6" w:rsidR="008C551C" w:rsidRPr="00B17A43" w:rsidRDefault="008C551C" w:rsidP="008C551C">
      <w:pPr>
        <w:rPr>
          <w:rFonts w:ascii="Calibri" w:hAnsi="Calibri" w:cs="Calibri"/>
          <w:b/>
          <w:color w:val="000000" w:themeColor="text1"/>
          <w:sz w:val="23"/>
          <w:szCs w:val="23"/>
        </w:rPr>
      </w:pPr>
      <w:r w:rsidRPr="00150AA5">
        <w:rPr>
          <w:rFonts w:ascii="Calibri" w:hAnsi="Calibri" w:cs="Calibri"/>
          <w:b/>
          <w:color w:val="000000" w:themeColor="text1"/>
          <w:sz w:val="23"/>
          <w:szCs w:val="23"/>
        </w:rPr>
        <w:t>Mezi domácí faktory, které ovlivnily vývoj úrokových swapů, patři</w:t>
      </w:r>
      <w:r w:rsidR="000D4A3C">
        <w:rPr>
          <w:rFonts w:ascii="Calibri" w:hAnsi="Calibri" w:cs="Calibri"/>
          <w:b/>
          <w:color w:val="000000" w:themeColor="text1"/>
          <w:sz w:val="23"/>
          <w:szCs w:val="23"/>
        </w:rPr>
        <w:t>la stále zvýšen</w:t>
      </w:r>
      <w:r w:rsidR="00D83A6D">
        <w:rPr>
          <w:rFonts w:ascii="Calibri" w:hAnsi="Calibri" w:cs="Calibri"/>
          <w:b/>
          <w:color w:val="000000" w:themeColor="text1"/>
          <w:sz w:val="23"/>
          <w:szCs w:val="23"/>
        </w:rPr>
        <w:t>á</w:t>
      </w:r>
      <w:r w:rsidR="000D4A3C">
        <w:rPr>
          <w:rFonts w:ascii="Calibri" w:hAnsi="Calibri" w:cs="Calibri"/>
          <w:b/>
          <w:color w:val="000000" w:themeColor="text1"/>
          <w:sz w:val="23"/>
          <w:szCs w:val="23"/>
        </w:rPr>
        <w:t xml:space="preserve"> jádrová inflace, návrh uvolněnější fiskální politiky, zatímco revize růstu mezd jejich růst tlumila, i když fundamentálně zůstává růst mezd proinflační.</w:t>
      </w:r>
      <w:r w:rsidR="00F91EB5">
        <w:rPr>
          <w:rFonts w:ascii="Calibri" w:hAnsi="Calibri" w:cs="Calibri"/>
          <w:b/>
          <w:color w:val="000000" w:themeColor="text1"/>
          <w:sz w:val="23"/>
          <w:szCs w:val="23"/>
        </w:rPr>
        <w:t xml:space="preserve"> </w:t>
      </w:r>
      <w:r w:rsidR="00F91EB5">
        <w:rPr>
          <w:rFonts w:ascii="Calibri" w:hAnsi="Calibri" w:cs="Calibri"/>
          <w:bCs/>
          <w:color w:val="000000" w:themeColor="text1"/>
          <w:sz w:val="23"/>
          <w:szCs w:val="23"/>
        </w:rPr>
        <w:t>Tento mix společně s dalším růstem cen ropy zvyšuje tržní očekávání ohledně budoucího zvýšení úrokové sazby ČNB po</w:t>
      </w:r>
      <w:r w:rsidR="00D76E6B">
        <w:rPr>
          <w:rFonts w:ascii="Calibri" w:hAnsi="Calibri" w:cs="Calibri"/>
          <w:bCs/>
          <w:color w:val="000000" w:themeColor="text1"/>
          <w:sz w:val="23"/>
          <w:szCs w:val="23"/>
        </w:rPr>
        <w:t xml:space="preserve"> </w:t>
      </w:r>
      <w:r w:rsidR="00F91EB5">
        <w:rPr>
          <w:rFonts w:ascii="Calibri" w:hAnsi="Calibri" w:cs="Calibri"/>
          <w:bCs/>
          <w:color w:val="000000" w:themeColor="text1"/>
          <w:sz w:val="23"/>
          <w:szCs w:val="23"/>
        </w:rPr>
        <w:t>jejím zvýšení na 3,75 % v červnu</w:t>
      </w:r>
      <w:r w:rsidR="00D76E6B">
        <w:rPr>
          <w:rFonts w:ascii="Calibri" w:hAnsi="Calibri" w:cs="Calibri"/>
          <w:bCs/>
          <w:color w:val="000000" w:themeColor="text1"/>
          <w:sz w:val="23"/>
          <w:szCs w:val="23"/>
        </w:rPr>
        <w:t xml:space="preserve">. </w:t>
      </w:r>
      <w:r w:rsidRPr="003D472E">
        <w:rPr>
          <w:rFonts w:asciiTheme="majorHAnsi" w:hAnsiTheme="majorHAnsi" w:cstheme="majorHAnsi"/>
          <w:bCs/>
          <w:color w:val="000000" w:themeColor="text1"/>
          <w:sz w:val="23"/>
          <w:szCs w:val="23"/>
        </w:rPr>
        <w:t xml:space="preserve">Blíže k těmto faktorům viz analýzy na ČBA Monitoru: </w:t>
      </w:r>
      <w:hyperlink r:id="rId21" w:history="1">
        <w:r w:rsidRPr="003D472E">
          <w:rPr>
            <w:rStyle w:val="Hypertextovodkaz"/>
            <w:rFonts w:asciiTheme="majorHAnsi" w:hAnsiTheme="majorHAnsi" w:cstheme="majorHAnsi"/>
            <w:sz w:val="23"/>
            <w:szCs w:val="23"/>
          </w:rPr>
          <w:t>ČNB čeká na nový impuls a spoléhá na méně inflační růst ekonomiky</w:t>
        </w:r>
      </w:hyperlink>
      <w:r w:rsidRPr="003D472E">
        <w:rPr>
          <w:rFonts w:asciiTheme="majorHAnsi" w:hAnsiTheme="majorHAnsi" w:cstheme="majorHAnsi"/>
          <w:sz w:val="23"/>
          <w:szCs w:val="23"/>
        </w:rPr>
        <w:t xml:space="preserve">, </w:t>
      </w:r>
      <w:hyperlink r:id="rId22" w:history="1">
        <w:r w:rsidRPr="003D472E">
          <w:rPr>
            <w:rStyle w:val="Hypertextovodkaz"/>
            <w:rFonts w:asciiTheme="majorHAnsi" w:hAnsiTheme="majorHAnsi" w:cstheme="majorHAnsi"/>
            <w:sz w:val="23"/>
            <w:szCs w:val="23"/>
          </w:rPr>
          <w:t>Čtyři příběhy červnových dat: energetika, export, mzdy a zahájené byty</w:t>
        </w:r>
      </w:hyperlink>
      <w:r w:rsidRPr="003D472E">
        <w:rPr>
          <w:rFonts w:asciiTheme="majorHAnsi" w:hAnsiTheme="majorHAnsi" w:cstheme="majorHAnsi"/>
          <w:sz w:val="23"/>
          <w:szCs w:val="23"/>
        </w:rPr>
        <w:t>.</w:t>
      </w:r>
      <w:r>
        <w:t xml:space="preserve"> </w:t>
      </w:r>
    </w:p>
    <w:p w14:paraId="3EB42A7B" w14:textId="77777777" w:rsidR="008C551C" w:rsidRPr="00B369F2" w:rsidRDefault="008C551C" w:rsidP="00F86368">
      <w:pPr>
        <w:rPr>
          <w:rFonts w:ascii="Calibri" w:hAnsi="Calibri" w:cs="Calibri"/>
          <w:bCs/>
          <w:color w:val="EE0000"/>
          <w:sz w:val="22"/>
          <w:szCs w:val="22"/>
        </w:rPr>
      </w:pPr>
    </w:p>
    <w:p w14:paraId="3EDC2E0C" w14:textId="77777777" w:rsidR="00436085" w:rsidRDefault="00436085" w:rsidP="00436085">
      <w:pPr>
        <w:rPr>
          <w:rFonts w:ascii="Calibri" w:hAnsi="Calibri" w:cs="Calibri"/>
          <w:b/>
          <w:color w:val="000000" w:themeColor="text1"/>
          <w:sz w:val="23"/>
          <w:szCs w:val="23"/>
        </w:rPr>
      </w:pPr>
    </w:p>
    <w:p w14:paraId="479EF412" w14:textId="4D40C121" w:rsidR="00616F34" w:rsidRPr="00616F34" w:rsidRDefault="00616F34" w:rsidP="00616F34">
      <w:pPr>
        <w:rPr>
          <w:rFonts w:ascii="Calibri" w:hAnsi="Calibri" w:cs="Calibri"/>
          <w:color w:val="000000" w:themeColor="text1"/>
          <w:sz w:val="22"/>
          <w:szCs w:val="22"/>
        </w:rPr>
        <w:sectPr w:rsidR="00616F34" w:rsidRPr="00616F34" w:rsidSect="00606031">
          <w:type w:val="continuous"/>
          <w:pgSz w:w="11906" w:h="16838"/>
          <w:pgMar w:top="2552" w:right="849" w:bottom="1560" w:left="851" w:header="709" w:footer="283" w:gutter="0"/>
          <w:cols w:space="708"/>
          <w:docGrid w:linePitch="360"/>
        </w:sectPr>
      </w:pPr>
    </w:p>
    <w:p w14:paraId="636F55D4" w14:textId="535B8789" w:rsidR="001B2E5E" w:rsidRDefault="001B2E5E" w:rsidP="001B2E5E">
      <w:pPr>
        <w:spacing w:after="120"/>
        <w:rPr>
          <w:rFonts w:ascii="Calibri" w:hAnsi="Calibri" w:cs="Calibri"/>
          <w:b/>
          <w:color w:val="13576B"/>
          <w:sz w:val="23"/>
          <w:szCs w:val="23"/>
        </w:rPr>
      </w:pPr>
      <w:r>
        <w:rPr>
          <w:rFonts w:ascii="Calibri" w:hAnsi="Calibri" w:cs="Calibri"/>
          <w:b/>
          <w:color w:val="13576B"/>
          <w:sz w:val="23"/>
          <w:szCs w:val="23"/>
        </w:rPr>
        <w:t xml:space="preserve">Graf </w:t>
      </w:r>
      <w:r w:rsidRPr="005B4653">
        <w:rPr>
          <w:rFonts w:ascii="Calibri" w:hAnsi="Calibri" w:cs="Calibri"/>
          <w:b/>
          <w:color w:val="13576B"/>
          <w:sz w:val="23"/>
          <w:szCs w:val="23"/>
        </w:rPr>
        <w:t xml:space="preserve">č. </w:t>
      </w:r>
      <w:r w:rsidR="00E27948">
        <w:rPr>
          <w:rFonts w:ascii="Calibri" w:hAnsi="Calibri" w:cs="Calibri"/>
          <w:b/>
          <w:color w:val="13576B"/>
          <w:sz w:val="23"/>
          <w:szCs w:val="23"/>
        </w:rPr>
        <w:t>4</w:t>
      </w:r>
      <w:r>
        <w:rPr>
          <w:rFonts w:ascii="Calibri" w:hAnsi="Calibri" w:cs="Calibri"/>
          <w:b/>
          <w:color w:val="13576B"/>
          <w:sz w:val="23"/>
          <w:szCs w:val="23"/>
        </w:rPr>
        <w:t>:</w:t>
      </w:r>
      <w:r w:rsidRPr="005B4653">
        <w:rPr>
          <w:rFonts w:ascii="Calibri" w:hAnsi="Calibri" w:cs="Calibri"/>
          <w:b/>
          <w:color w:val="13576B"/>
          <w:sz w:val="23"/>
          <w:szCs w:val="23"/>
        </w:rPr>
        <w:t xml:space="preserve"> Průměrná hypoteční </w:t>
      </w:r>
      <w:r>
        <w:rPr>
          <w:rFonts w:ascii="Calibri" w:hAnsi="Calibri" w:cs="Calibri"/>
          <w:b/>
          <w:color w:val="13576B"/>
          <w:sz w:val="23"/>
          <w:szCs w:val="23"/>
        </w:rPr>
        <w:t xml:space="preserve">úroková </w:t>
      </w:r>
      <w:r w:rsidRPr="005B4653">
        <w:rPr>
          <w:rFonts w:ascii="Calibri" w:hAnsi="Calibri" w:cs="Calibri"/>
          <w:b/>
          <w:color w:val="13576B"/>
          <w:sz w:val="23"/>
          <w:szCs w:val="23"/>
        </w:rPr>
        <w:t>sazba – nové obchody</w:t>
      </w:r>
    </w:p>
    <w:p w14:paraId="00505FA7" w14:textId="76B10C9D" w:rsidR="005A4638" w:rsidRDefault="00B369F2" w:rsidP="008E3BA7">
      <w:pPr>
        <w:rPr>
          <w:rFonts w:ascii="Calibri" w:hAnsi="Calibri" w:cs="Calibri"/>
          <w:bCs/>
          <w:i/>
          <w:iCs/>
          <w:color w:val="13576B"/>
          <w:sz w:val="23"/>
          <w:szCs w:val="23"/>
        </w:rPr>
      </w:pPr>
      <w:r>
        <w:rPr>
          <w:rFonts w:ascii="Calibri" w:hAnsi="Calibri" w:cs="Calibri"/>
          <w:bCs/>
          <w:i/>
          <w:iCs/>
          <w:color w:val="13576B"/>
          <w:sz w:val="23"/>
          <w:szCs w:val="23"/>
        </w:rPr>
        <w:t>Srpnové</w:t>
      </w:r>
      <w:r w:rsidR="00150AA5" w:rsidRPr="00150AA5">
        <w:rPr>
          <w:rFonts w:ascii="Calibri" w:hAnsi="Calibri" w:cs="Calibri"/>
          <w:bCs/>
          <w:i/>
          <w:iCs/>
          <w:color w:val="13576B"/>
          <w:sz w:val="23"/>
          <w:szCs w:val="23"/>
        </w:rPr>
        <w:t xml:space="preserve"> hypoteční sazby dále reagovaly na předchozí</w:t>
      </w:r>
      <w:r w:rsidR="008C551C">
        <w:rPr>
          <w:rFonts w:ascii="Calibri" w:hAnsi="Calibri" w:cs="Calibri"/>
          <w:bCs/>
          <w:i/>
          <w:iCs/>
          <w:color w:val="13576B"/>
          <w:sz w:val="23"/>
          <w:szCs w:val="23"/>
        </w:rPr>
        <w:t xml:space="preserve"> </w:t>
      </w:r>
      <w:r w:rsidR="00150AA5">
        <w:rPr>
          <w:rFonts w:ascii="Calibri" w:hAnsi="Calibri" w:cs="Calibri"/>
          <w:bCs/>
          <w:i/>
          <w:iCs/>
          <w:color w:val="13576B"/>
          <w:sz w:val="23"/>
          <w:szCs w:val="23"/>
        </w:rPr>
        <w:t>strmý</w:t>
      </w:r>
      <w:r w:rsidR="00150AA5" w:rsidRPr="00150AA5">
        <w:rPr>
          <w:rFonts w:ascii="Calibri" w:hAnsi="Calibri" w:cs="Calibri"/>
          <w:bCs/>
          <w:i/>
          <w:iCs/>
          <w:color w:val="13576B"/>
          <w:sz w:val="23"/>
          <w:szCs w:val="23"/>
        </w:rPr>
        <w:t xml:space="preserve"> nárůst tržních sazeb</w:t>
      </w:r>
    </w:p>
    <w:p w14:paraId="45164D8D" w14:textId="32EA83DF" w:rsidR="001B2E5E" w:rsidRDefault="001B2E5E" w:rsidP="00C8784D">
      <w:pPr>
        <w:overflowPunct/>
        <w:autoSpaceDE/>
        <w:adjustRightInd/>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E27948">
        <w:rPr>
          <w:rFonts w:ascii="Calibri" w:hAnsi="Calibri" w:cs="Calibri"/>
          <w:b/>
          <w:color w:val="13576B"/>
          <w:sz w:val="23"/>
          <w:szCs w:val="23"/>
        </w:rPr>
        <w:t>5</w:t>
      </w:r>
      <w:r>
        <w:rPr>
          <w:rFonts w:ascii="Calibri" w:hAnsi="Calibri" w:cs="Calibri"/>
          <w:b/>
          <w:color w:val="13576B"/>
          <w:sz w:val="23"/>
          <w:szCs w:val="23"/>
        </w:rPr>
        <w:t>:</w:t>
      </w:r>
      <w:r w:rsidRPr="005B4653">
        <w:rPr>
          <w:rFonts w:ascii="Calibri" w:hAnsi="Calibri" w:cs="Calibri"/>
          <w:b/>
          <w:color w:val="13576B"/>
          <w:sz w:val="23"/>
          <w:szCs w:val="23"/>
        </w:rPr>
        <w:t xml:space="preserve"> </w:t>
      </w:r>
      <w:r w:rsidR="00C8784D">
        <w:rPr>
          <w:rFonts w:ascii="Calibri" w:hAnsi="Calibri" w:cs="Calibri"/>
          <w:b/>
          <w:color w:val="13576B"/>
          <w:sz w:val="23"/>
          <w:szCs w:val="23"/>
        </w:rPr>
        <w:t>Obnovený a</w:t>
      </w:r>
      <w:r w:rsidR="00AD4353">
        <w:rPr>
          <w:rFonts w:ascii="Calibri" w:hAnsi="Calibri" w:cs="Calibri"/>
          <w:b/>
          <w:color w:val="13576B"/>
          <w:sz w:val="23"/>
          <w:szCs w:val="23"/>
        </w:rPr>
        <w:t xml:space="preserve">merický útok na Írán </w:t>
      </w:r>
      <w:r w:rsidR="007602B9">
        <w:rPr>
          <w:rFonts w:ascii="Calibri" w:hAnsi="Calibri" w:cs="Calibri"/>
          <w:b/>
          <w:color w:val="13576B"/>
          <w:sz w:val="23"/>
          <w:szCs w:val="23"/>
        </w:rPr>
        <w:t>drží tržní</w:t>
      </w:r>
      <w:r w:rsidR="00486BC4">
        <w:rPr>
          <w:rFonts w:ascii="Calibri" w:hAnsi="Calibri" w:cs="Calibri"/>
          <w:b/>
          <w:color w:val="13576B"/>
          <w:sz w:val="23"/>
          <w:szCs w:val="23"/>
        </w:rPr>
        <w:t xml:space="preserve"> swapové úrokové sazby</w:t>
      </w:r>
      <w:r w:rsidR="00C8784D">
        <w:rPr>
          <w:rFonts w:ascii="Calibri" w:hAnsi="Calibri" w:cs="Calibri"/>
          <w:b/>
          <w:color w:val="13576B"/>
          <w:sz w:val="23"/>
          <w:szCs w:val="23"/>
        </w:rPr>
        <w:t xml:space="preserve"> výše</w:t>
      </w:r>
    </w:p>
    <w:p w14:paraId="380635EC" w14:textId="50E49CF6" w:rsidR="0025756A" w:rsidRPr="0025756A" w:rsidRDefault="0025756A" w:rsidP="006D5361">
      <w:pPr>
        <w:overflowPunct/>
        <w:autoSpaceDE/>
        <w:adjustRightInd/>
        <w:rPr>
          <w:rFonts w:ascii="Calibri" w:hAnsi="Calibri" w:cs="Calibri"/>
          <w:bCs/>
          <w:color w:val="13576B"/>
          <w:sz w:val="23"/>
          <w:szCs w:val="23"/>
        </w:rPr>
        <w:sectPr w:rsidR="0025756A" w:rsidRPr="0025756A" w:rsidSect="001B2E5E">
          <w:type w:val="continuous"/>
          <w:pgSz w:w="11906" w:h="16838"/>
          <w:pgMar w:top="2552" w:right="849" w:bottom="1560" w:left="851" w:header="709" w:footer="283" w:gutter="0"/>
          <w:cols w:num="2" w:space="708"/>
          <w:docGrid w:linePitch="360"/>
        </w:sectPr>
      </w:pPr>
      <w:r>
        <w:rPr>
          <w:rFonts w:ascii="Calibri" w:hAnsi="Calibri" w:cs="Calibri"/>
          <w:bCs/>
          <w:color w:val="13576B"/>
          <w:sz w:val="23"/>
          <w:szCs w:val="23"/>
        </w:rPr>
        <w:t xml:space="preserve">… které </w:t>
      </w:r>
      <w:r w:rsidR="008C551C">
        <w:rPr>
          <w:rFonts w:ascii="Calibri" w:hAnsi="Calibri" w:cs="Calibri"/>
          <w:bCs/>
          <w:color w:val="13576B"/>
          <w:sz w:val="23"/>
          <w:szCs w:val="23"/>
        </w:rPr>
        <w:t>v září získaly další impuls směrem vzhůru</w:t>
      </w:r>
      <w:r w:rsidR="00C8784D">
        <w:rPr>
          <w:rFonts w:ascii="Calibri" w:hAnsi="Calibri" w:cs="Calibri"/>
          <w:bCs/>
          <w:color w:val="13576B"/>
          <w:sz w:val="23"/>
          <w:szCs w:val="23"/>
        </w:rPr>
        <w:t xml:space="preserve"> </w:t>
      </w:r>
      <w:r w:rsidR="00A217EF">
        <w:rPr>
          <w:rFonts w:ascii="Calibri" w:hAnsi="Calibri" w:cs="Calibri"/>
          <w:bCs/>
          <w:color w:val="13576B"/>
          <w:sz w:val="23"/>
          <w:szCs w:val="23"/>
        </w:rPr>
        <w:t>na úrovně z druhého pololetí 2023</w:t>
      </w:r>
      <w:r>
        <w:rPr>
          <w:rFonts w:ascii="Calibri" w:hAnsi="Calibri" w:cs="Calibri"/>
          <w:bCs/>
          <w:color w:val="13576B"/>
          <w:sz w:val="23"/>
          <w:szCs w:val="23"/>
        </w:rPr>
        <w:t xml:space="preserve"> </w:t>
      </w:r>
    </w:p>
    <w:p w14:paraId="7CBC6B5A" w14:textId="77777777" w:rsidR="001B2E5E" w:rsidRPr="004803D6" w:rsidRDefault="001B2E5E" w:rsidP="00F625CA">
      <w:pPr>
        <w:rPr>
          <w:rFonts w:ascii="Calibri" w:hAnsi="Calibri" w:cs="Calibri"/>
          <w:color w:val="000000"/>
          <w:sz w:val="22"/>
          <w:szCs w:val="22"/>
        </w:rPr>
      </w:pPr>
    </w:p>
    <w:p w14:paraId="0230887A" w14:textId="77777777" w:rsidR="00606031" w:rsidRDefault="00606031" w:rsidP="005874B8">
      <w:pPr>
        <w:spacing w:after="120"/>
        <w:rPr>
          <w:rFonts w:ascii="Calibri" w:hAnsi="Calibri" w:cs="Calibri"/>
          <w:b/>
          <w:color w:val="13576B"/>
          <w:sz w:val="23"/>
          <w:szCs w:val="23"/>
        </w:rPr>
        <w:sectPr w:rsidR="00606031" w:rsidSect="00606031">
          <w:type w:val="continuous"/>
          <w:pgSz w:w="11906" w:h="16838"/>
          <w:pgMar w:top="2552" w:right="849" w:bottom="1560" w:left="851" w:header="709" w:footer="283" w:gutter="0"/>
          <w:cols w:space="708"/>
          <w:docGrid w:linePitch="360"/>
        </w:sectPr>
      </w:pPr>
    </w:p>
    <w:p w14:paraId="5C054A6D" w14:textId="7CA448F0" w:rsidR="00D2301A" w:rsidRPr="002138C0" w:rsidRDefault="004226ED" w:rsidP="005874B8">
      <w:pPr>
        <w:rPr>
          <w:rFonts w:ascii="Calibri" w:hAnsi="Calibri" w:cs="Calibri"/>
          <w:sz w:val="22"/>
          <w:szCs w:val="22"/>
          <w:highlight w:val="yellow"/>
        </w:rPr>
      </w:pPr>
      <w:r>
        <w:rPr>
          <w:rFonts w:ascii="Calibri" w:hAnsi="Calibri" w:cs="Calibri"/>
          <w:noProof/>
          <w:sz w:val="22"/>
          <w:szCs w:val="22"/>
          <w:highlight w:val="yellow"/>
        </w:rPr>
        <w:lastRenderedPageBreak/>
        <w:drawing>
          <wp:inline distT="0" distB="0" distL="0" distR="0" wp14:anchorId="6F192702" wp14:editId="36C3B064">
            <wp:extent cx="3251200" cy="1808063"/>
            <wp:effectExtent l="0" t="0" r="6350" b="1905"/>
            <wp:docPr id="7638021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59241" cy="1812535"/>
                    </a:xfrm>
                    <a:prstGeom prst="rect">
                      <a:avLst/>
                    </a:prstGeom>
                    <a:noFill/>
                  </pic:spPr>
                </pic:pic>
              </a:graphicData>
            </a:graphic>
          </wp:inline>
        </w:drawing>
      </w:r>
    </w:p>
    <w:p w14:paraId="59B88724" w14:textId="17255E86" w:rsidR="001B2E5E" w:rsidRDefault="00691287" w:rsidP="001B2E5E">
      <w:pPr>
        <w:overflowPunct/>
        <w:autoSpaceDE/>
        <w:adjustRightInd/>
        <w:rPr>
          <w:rFonts w:ascii="Calibri" w:hAnsi="Calibri" w:cs="Calibri"/>
          <w:b/>
          <w:color w:val="13576B"/>
          <w:sz w:val="23"/>
          <w:szCs w:val="23"/>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 xml:space="preserve">ČBA </w:t>
      </w:r>
      <w:proofErr w:type="spellStart"/>
      <w:r w:rsidRPr="002F4CBD">
        <w:rPr>
          <w:rFonts w:ascii="Calibri Light" w:hAnsi="Calibri Light" w:cs="Calibri Light"/>
          <w:color w:val="13576B"/>
          <w:sz w:val="20"/>
        </w:rPr>
        <w:t>Hypomonitor</w:t>
      </w:r>
      <w:bookmarkStart w:id="5" w:name="_Hlk137652102"/>
      <w:proofErr w:type="spellEnd"/>
    </w:p>
    <w:p w14:paraId="53F00851" w14:textId="33CB92E8" w:rsidR="006337E7" w:rsidRDefault="003E6245" w:rsidP="006337E7">
      <w:pPr>
        <w:rPr>
          <w:rFonts w:ascii="Calibri" w:hAnsi="Calibri" w:cs="Calibri"/>
          <w:color w:val="000000" w:themeColor="text1"/>
          <w:sz w:val="22"/>
          <w:szCs w:val="22"/>
        </w:rPr>
      </w:pPr>
      <w:r>
        <w:rPr>
          <w:rFonts w:ascii="Calibri" w:hAnsi="Calibri" w:cs="Calibri"/>
          <w:noProof/>
          <w:color w:val="000000" w:themeColor="text1"/>
          <w:sz w:val="22"/>
          <w:szCs w:val="22"/>
        </w:rPr>
        <w:drawing>
          <wp:inline distT="0" distB="0" distL="0" distR="0" wp14:anchorId="41F7654F" wp14:editId="5BBB2D3F">
            <wp:extent cx="3204927" cy="1920842"/>
            <wp:effectExtent l="0" t="0" r="0" b="3810"/>
            <wp:docPr id="19000526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8648" cy="1929066"/>
                    </a:xfrm>
                    <a:prstGeom prst="rect">
                      <a:avLst/>
                    </a:prstGeom>
                    <a:noFill/>
                  </pic:spPr>
                </pic:pic>
              </a:graphicData>
            </a:graphic>
          </wp:inline>
        </w:drawing>
      </w:r>
    </w:p>
    <w:p w14:paraId="46B50194" w14:textId="08C49FD3" w:rsidR="00F20967" w:rsidRDefault="006337E7" w:rsidP="00DD1BFF">
      <w:pPr>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t>Pramen</w:t>
      </w:r>
      <w:r w:rsidRPr="00AA62A7">
        <w:rPr>
          <w:rFonts w:asciiTheme="minorHAnsi" w:hAnsiTheme="minorHAnsi" w:cstheme="minorHAnsi"/>
          <w:color w:val="13576B"/>
          <w:sz w:val="20"/>
        </w:rPr>
        <w:t>:</w:t>
      </w:r>
      <w:r>
        <w:rPr>
          <w:rFonts w:asciiTheme="minorHAnsi" w:hAnsiTheme="minorHAnsi" w:cstheme="minorHAnsi"/>
          <w:color w:val="13576B"/>
          <w:sz w:val="20"/>
        </w:rPr>
        <w:t xml:space="preserve"> </w:t>
      </w:r>
      <w:proofErr w:type="spellStart"/>
      <w:r>
        <w:rPr>
          <w:rFonts w:asciiTheme="minorHAnsi" w:hAnsiTheme="minorHAnsi" w:cstheme="minorHAnsi"/>
          <w:color w:val="13576B"/>
          <w:sz w:val="20"/>
        </w:rPr>
        <w:t>Macrobond</w:t>
      </w:r>
      <w:proofErr w:type="spellEnd"/>
      <w:r>
        <w:rPr>
          <w:rFonts w:asciiTheme="minorHAnsi" w:hAnsiTheme="minorHAnsi" w:cstheme="minorHAnsi"/>
          <w:color w:val="13576B"/>
          <w:sz w:val="20"/>
        </w:rPr>
        <w:t xml:space="preserve"> (</w:t>
      </w:r>
      <w:r w:rsidR="00BA3140">
        <w:rPr>
          <w:rFonts w:asciiTheme="minorHAnsi" w:hAnsiTheme="minorHAnsi" w:cstheme="minorHAnsi"/>
          <w:color w:val="13576B"/>
          <w:sz w:val="20"/>
        </w:rPr>
        <w:t>1</w:t>
      </w:r>
      <w:r w:rsidR="005F253A">
        <w:rPr>
          <w:rFonts w:asciiTheme="minorHAnsi" w:hAnsiTheme="minorHAnsi" w:cstheme="minorHAnsi"/>
          <w:color w:val="13576B"/>
          <w:sz w:val="20"/>
        </w:rPr>
        <w:t>4</w:t>
      </w:r>
      <w:r w:rsidR="00C8784D">
        <w:rPr>
          <w:rFonts w:asciiTheme="minorHAnsi" w:hAnsiTheme="minorHAnsi" w:cstheme="minorHAnsi"/>
          <w:color w:val="13576B"/>
          <w:sz w:val="20"/>
        </w:rPr>
        <w:t xml:space="preserve">. </w:t>
      </w:r>
      <w:r w:rsidR="005F253A">
        <w:rPr>
          <w:rFonts w:asciiTheme="minorHAnsi" w:hAnsiTheme="minorHAnsi" w:cstheme="minorHAnsi"/>
          <w:color w:val="13576B"/>
          <w:sz w:val="20"/>
        </w:rPr>
        <w:t>září</w:t>
      </w:r>
      <w:r w:rsidR="00055000">
        <w:rPr>
          <w:rFonts w:asciiTheme="minorHAnsi" w:hAnsiTheme="minorHAnsi" w:cstheme="minorHAnsi"/>
          <w:color w:val="13576B"/>
          <w:sz w:val="20"/>
        </w:rPr>
        <w:t xml:space="preserve"> </w:t>
      </w:r>
      <w:r>
        <w:rPr>
          <w:rFonts w:asciiTheme="minorHAnsi" w:hAnsiTheme="minorHAnsi" w:cstheme="minorHAnsi"/>
          <w:color w:val="13576B"/>
          <w:sz w:val="20"/>
        </w:rPr>
        <w:t>202</w:t>
      </w:r>
      <w:r w:rsidR="00BA3140">
        <w:rPr>
          <w:rFonts w:asciiTheme="minorHAnsi" w:hAnsiTheme="minorHAnsi" w:cstheme="minorHAnsi"/>
          <w:color w:val="13576B"/>
          <w:sz w:val="20"/>
        </w:rPr>
        <w:t>6</w:t>
      </w:r>
      <w:r>
        <w:rPr>
          <w:rFonts w:asciiTheme="minorHAnsi" w:hAnsiTheme="minorHAnsi" w:cstheme="minorHAnsi"/>
          <w:color w:val="13576B"/>
          <w:sz w:val="20"/>
        </w:rPr>
        <w:t xml:space="preserve">), </w:t>
      </w:r>
      <w:r w:rsidRPr="00AA62A7">
        <w:rPr>
          <w:rFonts w:asciiTheme="minorHAnsi" w:hAnsiTheme="minorHAnsi" w:cstheme="minorHAnsi"/>
          <w:color w:val="13576B"/>
          <w:sz w:val="20"/>
        </w:rPr>
        <w:t>ČB</w:t>
      </w:r>
      <w:r w:rsidR="00F20967">
        <w:rPr>
          <w:rFonts w:asciiTheme="minorHAnsi" w:hAnsiTheme="minorHAnsi" w:cstheme="minorHAnsi"/>
          <w:color w:val="13576B"/>
          <w:sz w:val="20"/>
        </w:rPr>
        <w:t>A</w:t>
      </w:r>
    </w:p>
    <w:p w14:paraId="1AF065D2" w14:textId="464EA7CD" w:rsidR="00F20967" w:rsidRPr="00606031" w:rsidRDefault="00F20967" w:rsidP="00DD1BFF">
      <w:pPr>
        <w:rPr>
          <w:rFonts w:ascii="Calibri" w:hAnsi="Calibri" w:cs="Calibri"/>
          <w:color w:val="000000" w:themeColor="text1"/>
          <w:sz w:val="22"/>
          <w:szCs w:val="22"/>
        </w:rPr>
        <w:sectPr w:rsidR="00F20967" w:rsidRPr="00606031" w:rsidSect="00606031">
          <w:type w:val="continuous"/>
          <w:pgSz w:w="11906" w:h="16838"/>
          <w:pgMar w:top="2552" w:right="849" w:bottom="1560" w:left="851" w:header="709" w:footer="283" w:gutter="0"/>
          <w:cols w:num="2" w:space="708"/>
          <w:docGrid w:linePitch="360"/>
        </w:sectPr>
      </w:pPr>
    </w:p>
    <w:p w14:paraId="602A8F07" w14:textId="77777777" w:rsidR="001B2E5E" w:rsidRDefault="001B2E5E" w:rsidP="00055000">
      <w:pPr>
        <w:overflowPunct/>
        <w:autoSpaceDE/>
        <w:autoSpaceDN/>
        <w:adjustRightInd/>
        <w:textAlignment w:val="auto"/>
        <w:rPr>
          <w:rFonts w:ascii="Calibri" w:hAnsi="Calibri" w:cs="Calibri"/>
          <w:b/>
          <w:bCs/>
          <w:color w:val="000000" w:themeColor="text1"/>
          <w:sz w:val="22"/>
          <w:szCs w:val="22"/>
        </w:rPr>
      </w:pPr>
    </w:p>
    <w:p w14:paraId="077932C6" w14:textId="3D7EC16B" w:rsidR="00D1522E" w:rsidRPr="00D1522E" w:rsidRDefault="00BE2556" w:rsidP="009C5D66">
      <w:pPr>
        <w:rPr>
          <w:rFonts w:ascii="Calibri" w:hAnsi="Calibri" w:cs="Calibri"/>
          <w:b/>
          <w:color w:val="13576B"/>
          <w:sz w:val="24"/>
          <w:szCs w:val="24"/>
        </w:rPr>
      </w:pPr>
      <w:bookmarkStart w:id="6" w:name="_Hlk100672905"/>
      <w:bookmarkEnd w:id="5"/>
      <w:r>
        <w:rPr>
          <w:rFonts w:ascii="Calibri" w:hAnsi="Calibri" w:cs="Calibri"/>
          <w:b/>
          <w:color w:val="13576B"/>
          <w:sz w:val="24"/>
          <w:szCs w:val="24"/>
        </w:rPr>
        <w:t xml:space="preserve">Průměrná měsíční nová </w:t>
      </w:r>
      <w:r w:rsidR="00C802D7" w:rsidRPr="00C802D7">
        <w:rPr>
          <w:rFonts w:ascii="Calibri" w:hAnsi="Calibri" w:cs="Calibri"/>
          <w:b/>
          <w:color w:val="13576B"/>
          <w:sz w:val="24"/>
          <w:szCs w:val="24"/>
        </w:rPr>
        <w:t>hypoteční splát</w:t>
      </w:r>
      <w:r>
        <w:rPr>
          <w:rFonts w:ascii="Calibri" w:hAnsi="Calibri" w:cs="Calibri"/>
          <w:b/>
          <w:color w:val="13576B"/>
          <w:sz w:val="24"/>
          <w:szCs w:val="24"/>
        </w:rPr>
        <w:t xml:space="preserve">ka </w:t>
      </w:r>
      <w:r w:rsidR="00AE7732">
        <w:rPr>
          <w:rFonts w:ascii="Calibri" w:hAnsi="Calibri" w:cs="Calibri"/>
          <w:b/>
          <w:color w:val="13576B"/>
          <w:sz w:val="24"/>
          <w:szCs w:val="24"/>
        </w:rPr>
        <w:t xml:space="preserve">zůstala </w:t>
      </w:r>
      <w:r>
        <w:rPr>
          <w:rFonts w:ascii="Calibri" w:hAnsi="Calibri" w:cs="Calibri"/>
          <w:b/>
          <w:color w:val="13576B"/>
          <w:sz w:val="24"/>
          <w:szCs w:val="24"/>
        </w:rPr>
        <w:t xml:space="preserve">pod </w:t>
      </w:r>
      <w:r w:rsidR="00C802D7" w:rsidRPr="00C802D7">
        <w:rPr>
          <w:rFonts w:ascii="Calibri" w:hAnsi="Calibri" w:cs="Calibri"/>
          <w:b/>
          <w:color w:val="13576B"/>
          <w:sz w:val="24"/>
          <w:szCs w:val="24"/>
        </w:rPr>
        <w:t>26 tisíc Kč</w:t>
      </w:r>
      <w:r>
        <w:rPr>
          <w:rFonts w:ascii="Calibri" w:hAnsi="Calibri" w:cs="Calibri"/>
          <w:b/>
          <w:color w:val="13576B"/>
          <w:sz w:val="24"/>
          <w:szCs w:val="24"/>
        </w:rPr>
        <w:t xml:space="preserve"> a </w:t>
      </w:r>
      <w:r w:rsidR="00D1522E" w:rsidRPr="00D1522E">
        <w:rPr>
          <w:rFonts w:ascii="Calibri" w:hAnsi="Calibri" w:cs="Calibri"/>
          <w:b/>
          <w:color w:val="13576B"/>
          <w:sz w:val="24"/>
          <w:szCs w:val="24"/>
        </w:rPr>
        <w:t>medián</w:t>
      </w:r>
      <w:r>
        <w:rPr>
          <w:rFonts w:ascii="Calibri" w:hAnsi="Calibri" w:cs="Calibri"/>
          <w:b/>
          <w:color w:val="13576B"/>
          <w:sz w:val="24"/>
          <w:szCs w:val="24"/>
        </w:rPr>
        <w:t xml:space="preserve">ová pod </w:t>
      </w:r>
      <w:r w:rsidR="0008300C">
        <w:rPr>
          <w:rFonts w:ascii="Calibri" w:hAnsi="Calibri" w:cs="Calibri"/>
          <w:b/>
          <w:color w:val="13576B"/>
          <w:sz w:val="24"/>
          <w:szCs w:val="24"/>
        </w:rPr>
        <w:t>21</w:t>
      </w:r>
      <w:r w:rsidR="00D1522E" w:rsidRPr="00D1522E">
        <w:rPr>
          <w:rFonts w:ascii="Calibri" w:hAnsi="Calibri" w:cs="Calibri"/>
          <w:b/>
          <w:color w:val="13576B"/>
          <w:sz w:val="24"/>
          <w:szCs w:val="24"/>
        </w:rPr>
        <w:t xml:space="preserve"> tisíc</w:t>
      </w:r>
      <w:r w:rsidR="00150AA5">
        <w:rPr>
          <w:rFonts w:ascii="Calibri" w:hAnsi="Calibri" w:cs="Calibri"/>
          <w:b/>
          <w:color w:val="13576B"/>
          <w:sz w:val="24"/>
          <w:szCs w:val="24"/>
        </w:rPr>
        <w:t>i</w:t>
      </w:r>
      <w:r w:rsidR="00AE7732">
        <w:rPr>
          <w:rFonts w:ascii="Calibri" w:hAnsi="Calibri" w:cs="Calibri"/>
          <w:b/>
          <w:color w:val="13576B"/>
          <w:sz w:val="24"/>
          <w:szCs w:val="24"/>
        </w:rPr>
        <w:t xml:space="preserve"> … </w:t>
      </w:r>
    </w:p>
    <w:p w14:paraId="07A568B0" w14:textId="77777777" w:rsidR="006F129E" w:rsidRDefault="006F129E" w:rsidP="00150AA5">
      <w:pPr>
        <w:rPr>
          <w:rFonts w:ascii="Calibri" w:hAnsi="Calibri" w:cs="Calibri"/>
          <w:color w:val="000000" w:themeColor="text1"/>
          <w:sz w:val="22"/>
          <w:szCs w:val="22"/>
        </w:rPr>
      </w:pPr>
    </w:p>
    <w:p w14:paraId="352C3B5B" w14:textId="1B61C092" w:rsidR="00150AA5" w:rsidRPr="00150AA5" w:rsidRDefault="00150AA5" w:rsidP="00150AA5">
      <w:pPr>
        <w:rPr>
          <w:rFonts w:ascii="Calibri" w:hAnsi="Calibri" w:cs="Calibri"/>
          <w:b/>
          <w:bCs/>
          <w:color w:val="000000" w:themeColor="text1"/>
          <w:sz w:val="22"/>
          <w:szCs w:val="22"/>
        </w:rPr>
      </w:pPr>
      <w:r w:rsidRPr="00150AA5">
        <w:rPr>
          <w:rFonts w:ascii="Calibri" w:hAnsi="Calibri" w:cs="Calibri"/>
          <w:b/>
          <w:bCs/>
          <w:color w:val="000000" w:themeColor="text1"/>
          <w:sz w:val="22"/>
          <w:szCs w:val="22"/>
        </w:rPr>
        <w:t xml:space="preserve">Kombinace vyšší úrokové sazby a vyšší průměrné výše hypotéky v </w:t>
      </w:r>
      <w:r w:rsidR="006F129E">
        <w:rPr>
          <w:rFonts w:ascii="Calibri" w:hAnsi="Calibri" w:cs="Calibri"/>
          <w:b/>
          <w:bCs/>
          <w:color w:val="000000" w:themeColor="text1"/>
          <w:sz w:val="22"/>
          <w:szCs w:val="22"/>
        </w:rPr>
        <w:t>srpnu</w:t>
      </w:r>
      <w:r w:rsidRPr="00150AA5">
        <w:rPr>
          <w:rFonts w:ascii="Calibri" w:hAnsi="Calibri" w:cs="Calibri"/>
          <w:b/>
          <w:bCs/>
          <w:color w:val="000000" w:themeColor="text1"/>
          <w:sz w:val="22"/>
          <w:szCs w:val="22"/>
        </w:rPr>
        <w:t xml:space="preserve"> 2026 zvýšila oproti průměrným hodnotám roku 2025 průměrnou měsíční splátku nově poskytnuté hypotéky o </w:t>
      </w:r>
      <w:r w:rsidR="006F129E">
        <w:rPr>
          <w:rFonts w:ascii="Calibri" w:hAnsi="Calibri" w:cs="Calibri"/>
          <w:b/>
          <w:bCs/>
          <w:color w:val="000000" w:themeColor="text1"/>
          <w:sz w:val="22"/>
          <w:szCs w:val="22"/>
        </w:rPr>
        <w:t>3,2</w:t>
      </w:r>
      <w:r w:rsidRPr="00150AA5">
        <w:rPr>
          <w:rFonts w:ascii="Calibri" w:hAnsi="Calibri" w:cs="Calibri"/>
          <w:b/>
          <w:bCs/>
          <w:color w:val="000000" w:themeColor="text1"/>
          <w:sz w:val="22"/>
          <w:szCs w:val="22"/>
        </w:rPr>
        <w:t xml:space="preserve"> tis. Kč. </w:t>
      </w:r>
      <w:r w:rsidRPr="00150AA5">
        <w:rPr>
          <w:rFonts w:ascii="Calibri" w:hAnsi="Calibri" w:cs="Calibri"/>
          <w:color w:val="000000" w:themeColor="text1"/>
          <w:sz w:val="22"/>
          <w:szCs w:val="22"/>
        </w:rPr>
        <w:t xml:space="preserve">Scénáře vývoje měsíční splátky pro různé délky splatnosti hypotéky znázorňuje tabulka č. 2. Ta ukazuje, že nárůst hypotečních sazeb </w:t>
      </w:r>
      <w:r w:rsidR="006F129E">
        <w:rPr>
          <w:rFonts w:ascii="Calibri" w:hAnsi="Calibri" w:cs="Calibri"/>
          <w:color w:val="000000" w:themeColor="text1"/>
          <w:sz w:val="22"/>
          <w:szCs w:val="22"/>
        </w:rPr>
        <w:t xml:space="preserve">přes </w:t>
      </w:r>
      <w:proofErr w:type="gramStart"/>
      <w:r w:rsidR="006F129E">
        <w:rPr>
          <w:rFonts w:ascii="Calibri" w:hAnsi="Calibri" w:cs="Calibri"/>
          <w:color w:val="000000" w:themeColor="text1"/>
          <w:sz w:val="22"/>
          <w:szCs w:val="22"/>
        </w:rPr>
        <w:t>0,4</w:t>
      </w:r>
      <w:r w:rsidRPr="00150AA5">
        <w:rPr>
          <w:rFonts w:ascii="Calibri" w:hAnsi="Calibri" w:cs="Calibri"/>
          <w:color w:val="000000" w:themeColor="text1"/>
          <w:sz w:val="22"/>
          <w:szCs w:val="22"/>
        </w:rPr>
        <w:t xml:space="preserve"> procentního</w:t>
      </w:r>
      <w:proofErr w:type="gramEnd"/>
      <w:r w:rsidRPr="00150AA5">
        <w:rPr>
          <w:rFonts w:ascii="Calibri" w:hAnsi="Calibri" w:cs="Calibri"/>
          <w:color w:val="000000" w:themeColor="text1"/>
          <w:sz w:val="22"/>
          <w:szCs w:val="22"/>
        </w:rPr>
        <w:t xml:space="preserve"> bodu vůči jejich průměrné výši 4,58 % v roce 2025 zvýšil měsíční splátku u průměrné hypotéky s obvyklou splatností přibližně 26,9 roku o necelých </w:t>
      </w:r>
      <w:r w:rsidR="006F129E">
        <w:rPr>
          <w:rFonts w:ascii="Calibri" w:hAnsi="Calibri" w:cs="Calibri"/>
          <w:color w:val="000000" w:themeColor="text1"/>
          <w:sz w:val="22"/>
          <w:szCs w:val="22"/>
        </w:rPr>
        <w:t>1 1</w:t>
      </w:r>
      <w:r w:rsidRPr="00150AA5">
        <w:rPr>
          <w:rFonts w:ascii="Calibri" w:hAnsi="Calibri" w:cs="Calibri"/>
          <w:color w:val="000000" w:themeColor="text1"/>
          <w:sz w:val="22"/>
          <w:szCs w:val="22"/>
        </w:rPr>
        <w:t xml:space="preserve">00 Kč na zhruba </w:t>
      </w:r>
      <w:r w:rsidRPr="00773DE7">
        <w:rPr>
          <w:rFonts w:ascii="Calibri" w:hAnsi="Calibri" w:cs="Calibri"/>
          <w:b/>
          <w:bCs/>
          <w:color w:val="000000" w:themeColor="text1"/>
          <w:sz w:val="22"/>
          <w:szCs w:val="22"/>
        </w:rPr>
        <w:t>25,</w:t>
      </w:r>
      <w:r w:rsidR="006F129E">
        <w:rPr>
          <w:rFonts w:ascii="Calibri" w:hAnsi="Calibri" w:cs="Calibri"/>
          <w:b/>
          <w:bCs/>
          <w:color w:val="000000" w:themeColor="text1"/>
          <w:sz w:val="22"/>
          <w:szCs w:val="22"/>
        </w:rPr>
        <w:t>9</w:t>
      </w:r>
      <w:r w:rsidRPr="00150AA5">
        <w:rPr>
          <w:rFonts w:ascii="Calibri" w:hAnsi="Calibri" w:cs="Calibri"/>
          <w:color w:val="000000" w:themeColor="text1"/>
          <w:sz w:val="22"/>
          <w:szCs w:val="22"/>
        </w:rPr>
        <w:t xml:space="preserve"> </w:t>
      </w:r>
      <w:r w:rsidRPr="00150AA5">
        <w:rPr>
          <w:rFonts w:ascii="Calibri" w:hAnsi="Calibri" w:cs="Calibri"/>
          <w:b/>
          <w:bCs/>
          <w:color w:val="000000" w:themeColor="text1"/>
          <w:sz w:val="22"/>
          <w:szCs w:val="22"/>
        </w:rPr>
        <w:t xml:space="preserve">tis. Kč. To odpovídá přibližně </w:t>
      </w:r>
      <w:r w:rsidR="006F129E">
        <w:rPr>
          <w:rFonts w:ascii="Calibri" w:hAnsi="Calibri" w:cs="Calibri"/>
          <w:b/>
          <w:bCs/>
          <w:color w:val="000000" w:themeColor="text1"/>
          <w:sz w:val="22"/>
          <w:szCs w:val="22"/>
        </w:rPr>
        <w:t xml:space="preserve">1,1 </w:t>
      </w:r>
      <w:r w:rsidRPr="00150AA5">
        <w:rPr>
          <w:rFonts w:ascii="Calibri" w:hAnsi="Calibri" w:cs="Calibri"/>
          <w:b/>
          <w:bCs/>
          <w:color w:val="000000" w:themeColor="text1"/>
          <w:sz w:val="22"/>
          <w:szCs w:val="22"/>
        </w:rPr>
        <w:t>% čistého příjmu žadatele ve srovnání s průměrnou splátkou v minulém roce.</w:t>
      </w:r>
    </w:p>
    <w:p w14:paraId="7CEDE573" w14:textId="77777777" w:rsidR="00150AA5" w:rsidRPr="00150AA5" w:rsidRDefault="00150AA5" w:rsidP="00150AA5">
      <w:pPr>
        <w:rPr>
          <w:rFonts w:ascii="Calibri" w:hAnsi="Calibri" w:cs="Calibri"/>
          <w:b/>
          <w:bCs/>
          <w:color w:val="000000" w:themeColor="text1"/>
          <w:sz w:val="22"/>
          <w:szCs w:val="22"/>
        </w:rPr>
      </w:pPr>
    </w:p>
    <w:p w14:paraId="36765070" w14:textId="4A2FDA48" w:rsidR="00F6412C" w:rsidRDefault="00150AA5" w:rsidP="00150AA5">
      <w:pPr>
        <w:rPr>
          <w:rFonts w:ascii="Calibri" w:hAnsi="Calibri" w:cs="Calibri"/>
          <w:b/>
          <w:bCs/>
          <w:color w:val="000000" w:themeColor="text1"/>
          <w:sz w:val="22"/>
          <w:szCs w:val="22"/>
        </w:rPr>
      </w:pPr>
      <w:r w:rsidRPr="00150AA5">
        <w:rPr>
          <w:rFonts w:ascii="Calibri" w:hAnsi="Calibri" w:cs="Calibri"/>
          <w:b/>
          <w:bCs/>
          <w:color w:val="000000" w:themeColor="text1"/>
          <w:sz w:val="22"/>
          <w:szCs w:val="22"/>
        </w:rPr>
        <w:t>Současná průměrná výše hypotéky byla zároveň o 9 % vyšší než průměr roku 2024, což samo o sobě zvyšuje měsíční splátku o 2,</w:t>
      </w:r>
      <w:r w:rsidR="006F129E">
        <w:rPr>
          <w:rFonts w:ascii="Calibri" w:hAnsi="Calibri" w:cs="Calibri"/>
          <w:b/>
          <w:bCs/>
          <w:color w:val="000000" w:themeColor="text1"/>
          <w:sz w:val="22"/>
          <w:szCs w:val="22"/>
        </w:rPr>
        <w:t>2</w:t>
      </w:r>
      <w:r w:rsidRPr="00150AA5">
        <w:rPr>
          <w:rFonts w:ascii="Calibri" w:hAnsi="Calibri" w:cs="Calibri"/>
          <w:b/>
          <w:bCs/>
          <w:color w:val="000000" w:themeColor="text1"/>
          <w:sz w:val="22"/>
          <w:szCs w:val="22"/>
        </w:rPr>
        <w:t xml:space="preserve"> tis. Kč. </w:t>
      </w:r>
      <w:r w:rsidRPr="00150AA5">
        <w:rPr>
          <w:rFonts w:ascii="Calibri" w:hAnsi="Calibri" w:cs="Calibri"/>
          <w:color w:val="000000" w:themeColor="text1"/>
          <w:sz w:val="22"/>
          <w:szCs w:val="22"/>
        </w:rPr>
        <w:t>Jde o srovnání se splátkou vypočtenou z loňské průměrné výše hypotéky, avšak při současné úrokové sazbě. Splátka hypotéky ve výši jednoho milionu korun s 30letou splatností se při současných sazbách pohybuje okolo 5,</w:t>
      </w:r>
      <w:r w:rsidR="006F129E">
        <w:rPr>
          <w:rFonts w:ascii="Calibri" w:hAnsi="Calibri" w:cs="Calibri"/>
          <w:color w:val="000000" w:themeColor="text1"/>
          <w:sz w:val="22"/>
          <w:szCs w:val="22"/>
        </w:rPr>
        <w:t>4</w:t>
      </w:r>
      <w:r w:rsidRPr="00150AA5">
        <w:rPr>
          <w:rFonts w:ascii="Calibri" w:hAnsi="Calibri" w:cs="Calibri"/>
          <w:color w:val="000000" w:themeColor="text1"/>
          <w:sz w:val="22"/>
          <w:szCs w:val="22"/>
        </w:rPr>
        <w:t xml:space="preserve"> tisíce Kč.</w:t>
      </w:r>
    </w:p>
    <w:p w14:paraId="420D95A8" w14:textId="77777777" w:rsidR="00150AA5" w:rsidRDefault="00150AA5" w:rsidP="00150AA5">
      <w:pPr>
        <w:rPr>
          <w:rFonts w:ascii="Calibri" w:hAnsi="Calibri" w:cs="Calibri"/>
          <w:color w:val="000000" w:themeColor="text1"/>
          <w:sz w:val="22"/>
          <w:szCs w:val="22"/>
        </w:rPr>
      </w:pPr>
    </w:p>
    <w:p w14:paraId="02DD60FE" w14:textId="04D59F50" w:rsidR="006F129E" w:rsidRPr="006F129E" w:rsidRDefault="00150AA5" w:rsidP="00C1363D">
      <w:pPr>
        <w:rPr>
          <w:rFonts w:ascii="Calibri" w:hAnsi="Calibri" w:cs="Calibri"/>
          <w:color w:val="000000" w:themeColor="text1"/>
          <w:sz w:val="22"/>
          <w:szCs w:val="22"/>
        </w:rPr>
      </w:pPr>
      <w:r w:rsidRPr="00150AA5">
        <w:rPr>
          <w:rFonts w:ascii="Calibri" w:hAnsi="Calibri" w:cs="Calibri"/>
          <w:b/>
          <w:bCs/>
          <w:color w:val="000000" w:themeColor="text1"/>
          <w:sz w:val="22"/>
          <w:szCs w:val="22"/>
        </w:rPr>
        <w:t>Ve srovnání s průměrnou hypoteční sazbou 2,33 % u nových hypoték v roce 2021 současná refinanční sazba 4,</w:t>
      </w:r>
      <w:r w:rsidR="006F129E">
        <w:rPr>
          <w:rFonts w:ascii="Calibri" w:hAnsi="Calibri" w:cs="Calibri"/>
          <w:b/>
          <w:bCs/>
          <w:color w:val="000000" w:themeColor="text1"/>
          <w:sz w:val="22"/>
          <w:szCs w:val="22"/>
        </w:rPr>
        <w:t>97</w:t>
      </w:r>
      <w:r w:rsidRPr="00150AA5">
        <w:rPr>
          <w:rFonts w:ascii="Calibri" w:hAnsi="Calibri" w:cs="Calibri"/>
          <w:b/>
          <w:bCs/>
          <w:color w:val="000000" w:themeColor="text1"/>
          <w:sz w:val="22"/>
          <w:szCs w:val="22"/>
        </w:rPr>
        <w:t xml:space="preserve"> % při zkrácení splatnosti úvěru zvyšuje měsíční splátku u průměrné hypotéky téměř o 3 </w:t>
      </w:r>
      <w:r w:rsidR="006F129E">
        <w:rPr>
          <w:rFonts w:ascii="Calibri" w:hAnsi="Calibri" w:cs="Calibri"/>
          <w:b/>
          <w:bCs/>
          <w:color w:val="000000" w:themeColor="text1"/>
          <w:sz w:val="22"/>
          <w:szCs w:val="22"/>
        </w:rPr>
        <w:t>3</w:t>
      </w:r>
      <w:r w:rsidRPr="00150AA5">
        <w:rPr>
          <w:rFonts w:ascii="Calibri" w:hAnsi="Calibri" w:cs="Calibri"/>
          <w:b/>
          <w:bCs/>
          <w:color w:val="000000" w:themeColor="text1"/>
          <w:sz w:val="22"/>
          <w:szCs w:val="22"/>
        </w:rPr>
        <w:t>00 Kč.</w:t>
      </w:r>
      <w:r w:rsidRPr="00150AA5">
        <w:rPr>
          <w:rFonts w:ascii="Calibri" w:hAnsi="Calibri" w:cs="Calibri"/>
          <w:color w:val="000000" w:themeColor="text1"/>
          <w:sz w:val="22"/>
          <w:szCs w:val="22"/>
        </w:rPr>
        <w:t xml:space="preserve"> To odpovídá přibližně 6,</w:t>
      </w:r>
      <w:r w:rsidR="006F129E">
        <w:rPr>
          <w:rFonts w:ascii="Calibri" w:hAnsi="Calibri" w:cs="Calibri"/>
          <w:color w:val="000000" w:themeColor="text1"/>
          <w:sz w:val="22"/>
          <w:szCs w:val="22"/>
        </w:rPr>
        <w:t>4</w:t>
      </w:r>
      <w:r w:rsidRPr="00150AA5">
        <w:rPr>
          <w:rFonts w:ascii="Calibri" w:hAnsi="Calibri" w:cs="Calibri"/>
          <w:color w:val="000000" w:themeColor="text1"/>
          <w:sz w:val="22"/>
          <w:szCs w:val="22"/>
        </w:rPr>
        <w:t xml:space="preserve"> % současné hrubé průměrné mzdy. Ta však oproti konci roku 2021 vzrostla o 3</w:t>
      </w:r>
      <w:r w:rsidR="006F129E">
        <w:rPr>
          <w:rFonts w:ascii="Calibri" w:hAnsi="Calibri" w:cs="Calibri"/>
          <w:color w:val="000000" w:themeColor="text1"/>
          <w:sz w:val="22"/>
          <w:szCs w:val="22"/>
        </w:rPr>
        <w:t>2</w:t>
      </w:r>
      <w:r w:rsidRPr="00150AA5">
        <w:rPr>
          <w:rFonts w:ascii="Calibri" w:hAnsi="Calibri" w:cs="Calibri"/>
          <w:color w:val="000000" w:themeColor="text1"/>
          <w:sz w:val="22"/>
          <w:szCs w:val="22"/>
        </w:rPr>
        <w:t xml:space="preserve"> %. Dopady a okolnosti jsme diskutovali ve </w:t>
      </w:r>
      <w:r w:rsidR="00F6412C" w:rsidRPr="00DA2CF3">
        <w:rPr>
          <w:rFonts w:ascii="Calibri" w:hAnsi="Calibri" w:cs="Calibri"/>
          <w:color w:val="000000"/>
          <w:sz w:val="22"/>
          <w:szCs w:val="22"/>
        </w:rPr>
        <w:t xml:space="preserve">Fokus ČBA: </w:t>
      </w:r>
      <w:hyperlink r:id="rId25" w:history="1">
        <w:r w:rsidR="00F6412C" w:rsidRPr="00DA2CF3">
          <w:rPr>
            <w:rStyle w:val="Hypertextovodkaz"/>
            <w:rFonts w:ascii="Calibri" w:hAnsi="Calibri" w:cs="Calibri"/>
            <w:sz w:val="22"/>
            <w:szCs w:val="22"/>
          </w:rPr>
          <w:t>Vlna refixací hypoték sílí, úrokový šok ale slábne. Rizikem zůstává vyšší inflace</w:t>
        </w:r>
      </w:hyperlink>
      <w:r w:rsidR="00F6412C" w:rsidRPr="00DA2CF3">
        <w:rPr>
          <w:rFonts w:ascii="Calibri" w:hAnsi="Calibri" w:cs="Calibri"/>
          <w:sz w:val="22"/>
          <w:szCs w:val="22"/>
        </w:rPr>
        <w:t>.</w:t>
      </w:r>
      <w:r w:rsidR="00F6412C">
        <w:t xml:space="preserve"> </w:t>
      </w:r>
      <w:r w:rsidR="00F6412C">
        <w:rPr>
          <w:rFonts w:ascii="Calibri" w:hAnsi="Calibri" w:cs="Calibri"/>
          <w:color w:val="000000" w:themeColor="text1"/>
          <w:sz w:val="22"/>
          <w:szCs w:val="22"/>
        </w:rPr>
        <w:t xml:space="preserve"> </w:t>
      </w:r>
    </w:p>
    <w:p w14:paraId="0787F064" w14:textId="77777777" w:rsidR="00C1363D" w:rsidRDefault="00C1363D" w:rsidP="006D49D0">
      <w:pPr>
        <w:rPr>
          <w:rFonts w:ascii="Calibri" w:hAnsi="Calibri" w:cs="Calibri"/>
          <w:b/>
          <w:bCs/>
          <w:color w:val="000000" w:themeColor="text1"/>
          <w:sz w:val="22"/>
          <w:szCs w:val="22"/>
        </w:rPr>
      </w:pPr>
    </w:p>
    <w:p w14:paraId="1A267256" w14:textId="6FC38244" w:rsidR="009D3067" w:rsidRDefault="009D3067" w:rsidP="008569DC">
      <w:pPr>
        <w:overflowPunct/>
        <w:autoSpaceDE/>
        <w:autoSpaceDN/>
        <w:adjustRightInd/>
        <w:spacing w:line="259" w:lineRule="auto"/>
        <w:textAlignment w:val="auto"/>
        <w:rPr>
          <w:rFonts w:ascii="Calibri" w:hAnsi="Calibri" w:cs="Calibri"/>
          <w:b/>
          <w:color w:val="13576B"/>
          <w:sz w:val="23"/>
          <w:szCs w:val="23"/>
        </w:rPr>
      </w:pPr>
      <w:bookmarkStart w:id="7" w:name="_Hlk190458144"/>
      <w:bookmarkEnd w:id="6"/>
      <w:r w:rsidRPr="00515ECA">
        <w:rPr>
          <w:rFonts w:ascii="Calibri" w:hAnsi="Calibri" w:cs="Calibri"/>
          <w:b/>
          <w:color w:val="13576B"/>
          <w:sz w:val="23"/>
          <w:szCs w:val="23"/>
        </w:rPr>
        <w:t xml:space="preserve">Tabulka č. 2: </w:t>
      </w:r>
      <w:r w:rsidR="004B441B">
        <w:rPr>
          <w:rFonts w:ascii="Calibri" w:hAnsi="Calibri" w:cs="Calibri"/>
          <w:b/>
          <w:color w:val="13576B"/>
          <w:sz w:val="23"/>
          <w:szCs w:val="23"/>
        </w:rPr>
        <w:t>Ilustrace</w:t>
      </w:r>
      <w:r w:rsidR="00EB1892">
        <w:rPr>
          <w:rFonts w:ascii="Calibri" w:hAnsi="Calibri" w:cs="Calibri"/>
          <w:b/>
          <w:color w:val="13576B"/>
          <w:sz w:val="23"/>
          <w:szCs w:val="23"/>
        </w:rPr>
        <w:t xml:space="preserve"> m</w:t>
      </w:r>
      <w:r w:rsidRPr="00515ECA">
        <w:rPr>
          <w:rFonts w:ascii="Calibri" w:hAnsi="Calibri" w:cs="Calibri"/>
          <w:b/>
          <w:color w:val="13576B"/>
          <w:sz w:val="23"/>
          <w:szCs w:val="23"/>
        </w:rPr>
        <w:t>ěsíční splátk</w:t>
      </w:r>
      <w:r w:rsidR="004B441B">
        <w:rPr>
          <w:rFonts w:ascii="Calibri" w:hAnsi="Calibri" w:cs="Calibri"/>
          <w:b/>
          <w:color w:val="13576B"/>
          <w:sz w:val="23"/>
          <w:szCs w:val="23"/>
        </w:rPr>
        <w:t>y</w:t>
      </w:r>
      <w:r w:rsidRPr="00515ECA">
        <w:rPr>
          <w:rFonts w:ascii="Calibri" w:hAnsi="Calibri" w:cs="Calibri"/>
          <w:b/>
          <w:color w:val="13576B"/>
          <w:sz w:val="23"/>
          <w:szCs w:val="23"/>
        </w:rPr>
        <w:t xml:space="preserve"> průměrné</w:t>
      </w:r>
      <w:r w:rsidR="00D1522E">
        <w:rPr>
          <w:rFonts w:ascii="Calibri" w:hAnsi="Calibri" w:cs="Calibri"/>
          <w:b/>
          <w:color w:val="13576B"/>
          <w:sz w:val="23"/>
          <w:szCs w:val="23"/>
        </w:rPr>
        <w:t xml:space="preserve"> a mediánové</w:t>
      </w:r>
      <w:r w:rsidRPr="00515ECA">
        <w:rPr>
          <w:rFonts w:ascii="Calibri" w:hAnsi="Calibri" w:cs="Calibri"/>
          <w:b/>
          <w:color w:val="13576B"/>
          <w:sz w:val="23"/>
          <w:szCs w:val="23"/>
        </w:rPr>
        <w:t xml:space="preserve"> hypotéky v závislosti na délce splatnosti a úrokové sazbě</w:t>
      </w:r>
    </w:p>
    <w:p w14:paraId="284B4CCF" w14:textId="500F899F" w:rsidR="0025756A" w:rsidRDefault="004226ED" w:rsidP="008569DC">
      <w:pPr>
        <w:overflowPunct/>
        <w:autoSpaceDE/>
        <w:autoSpaceDN/>
        <w:adjustRightInd/>
        <w:spacing w:line="259" w:lineRule="auto"/>
        <w:textAlignment w:val="auto"/>
        <w:rPr>
          <w:rFonts w:ascii="Calibri" w:hAnsi="Calibri" w:cs="Calibri"/>
          <w:b/>
          <w:color w:val="13576B"/>
          <w:sz w:val="23"/>
          <w:szCs w:val="23"/>
        </w:rPr>
      </w:pPr>
      <w:r w:rsidRPr="004226ED">
        <w:rPr>
          <w:noProof/>
        </w:rPr>
        <w:drawing>
          <wp:inline distT="0" distB="0" distL="0" distR="0" wp14:anchorId="04F934C0" wp14:editId="2189CA45">
            <wp:extent cx="6480810" cy="1241425"/>
            <wp:effectExtent l="0" t="0" r="0" b="0"/>
            <wp:docPr id="4468244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0810" cy="1241425"/>
                    </a:xfrm>
                    <a:prstGeom prst="rect">
                      <a:avLst/>
                    </a:prstGeom>
                    <a:noFill/>
                    <a:ln>
                      <a:noFill/>
                    </a:ln>
                  </pic:spPr>
                </pic:pic>
              </a:graphicData>
            </a:graphic>
          </wp:inline>
        </w:drawing>
      </w:r>
    </w:p>
    <w:p w14:paraId="00773F2F" w14:textId="63201822" w:rsidR="00265F3C" w:rsidRPr="00265F3C" w:rsidRDefault="007C411F" w:rsidP="00265F3C">
      <w:pPr>
        <w:overflowPunct/>
        <w:autoSpaceDE/>
        <w:adjustRightInd/>
        <w:rPr>
          <w:rFonts w:ascii="Poppins" w:hAnsi="Poppins" w:cs="Poppins"/>
          <w:color w:val="212529"/>
          <w:sz w:val="27"/>
          <w:szCs w:val="27"/>
        </w:rPr>
      </w:pPr>
      <w:r w:rsidRPr="007C411F">
        <w:rPr>
          <w:rFonts w:ascii="Calibri Light" w:hAnsi="Calibri Light" w:cs="Calibri Light"/>
          <w:color w:val="13576B"/>
          <w:sz w:val="20"/>
        </w:rPr>
        <w:t xml:space="preserve">Pramen: ČBA (tabulka s hodnotami je k dispozici v </w:t>
      </w:r>
      <w:proofErr w:type="spellStart"/>
      <w:r w:rsidRPr="007C411F">
        <w:rPr>
          <w:rFonts w:ascii="Calibri Light" w:hAnsi="Calibri Light" w:cs="Calibri Light"/>
          <w:color w:val="13576B"/>
          <w:sz w:val="20"/>
        </w:rPr>
        <w:t>xls</w:t>
      </w:r>
      <w:proofErr w:type="spellEnd"/>
      <w:r w:rsidRPr="007C411F">
        <w:rPr>
          <w:rFonts w:ascii="Calibri Light" w:hAnsi="Calibri Light" w:cs="Calibri Light"/>
          <w:color w:val="13576B"/>
          <w:sz w:val="20"/>
        </w:rPr>
        <w:t xml:space="preserve"> souboru, který je přílohou této zprávy)</w:t>
      </w:r>
      <w:r w:rsidR="00265F3C">
        <w:rPr>
          <w:rFonts w:ascii="Calibri Light" w:hAnsi="Calibri Light" w:cs="Calibri Light"/>
          <w:color w:val="13576B"/>
          <w:sz w:val="20"/>
        </w:rPr>
        <w:t xml:space="preserve">. </w:t>
      </w:r>
      <w:r w:rsidR="00265F3C" w:rsidRPr="00265F3C">
        <w:rPr>
          <w:rFonts w:ascii="Calibri Light" w:hAnsi="Calibri Light" w:cs="Calibri Light"/>
          <w:color w:val="13576B"/>
          <w:sz w:val="20"/>
        </w:rPr>
        <w:t>Pozn.:</w:t>
      </w:r>
      <w:r w:rsidR="00265F3C">
        <w:rPr>
          <w:rFonts w:ascii="Calibri Light" w:hAnsi="Calibri Light" w:cs="Calibri Light"/>
          <w:color w:val="13576B"/>
          <w:sz w:val="20"/>
        </w:rPr>
        <w:t xml:space="preserve"> </w:t>
      </w:r>
      <w:r w:rsidR="00265F3C" w:rsidRPr="00265F3C">
        <w:rPr>
          <w:rFonts w:ascii="Calibri Light" w:hAnsi="Calibri Light" w:cs="Calibri Light"/>
          <w:color w:val="13576B"/>
          <w:sz w:val="20"/>
        </w:rPr>
        <w:t xml:space="preserve">Barevný sloupec odpovídá úrokové sazbě posledního ČBA </w:t>
      </w:r>
      <w:proofErr w:type="spellStart"/>
      <w:r w:rsidR="00265F3C" w:rsidRPr="00265F3C">
        <w:rPr>
          <w:rFonts w:ascii="Calibri Light" w:hAnsi="Calibri Light" w:cs="Calibri Light"/>
          <w:color w:val="13576B"/>
          <w:sz w:val="20"/>
        </w:rPr>
        <w:t>Hypomonitoru</w:t>
      </w:r>
      <w:proofErr w:type="spellEnd"/>
      <w:r w:rsidR="00265F3C" w:rsidRPr="00265F3C">
        <w:rPr>
          <w:rFonts w:ascii="Calibri Light" w:hAnsi="Calibri Light" w:cs="Calibri Light"/>
          <w:color w:val="13576B"/>
          <w:sz w:val="20"/>
        </w:rPr>
        <w:t xml:space="preserve"> v kombinaci s obvyklou splatností, ostatní sazby jsou ilustrační. Barevný řádek odpovídá průměrné a mediánové splatnosti nových hypoték podle dat ČNB; částky jsou zaokrouhleny na desítky korun. Mediánová výše splátky vychází z mediánové velikosti hypotéky. Ta je dopočtena na základě poměru průměrné a mediánové výše nových hypotečních úvěrů za poslední tři čtvrtletí podle statistik ČNB (118,7 %). Výpočet zároveň předpokládá průměrnou splatnost 30 let (odpovídající mediánu) a průměrnou úrokovou sazbu, protože rozdíl mezi průměrnou a mediánovou sazbou je </w:t>
      </w:r>
      <w:r w:rsidR="00265F3C" w:rsidRPr="00265F3C">
        <w:rPr>
          <w:rFonts w:ascii="Calibri Light" w:hAnsi="Calibri Light" w:cs="Calibri Light"/>
          <w:color w:val="13576B"/>
          <w:sz w:val="20"/>
        </w:rPr>
        <w:lastRenderedPageBreak/>
        <w:t xml:space="preserve">dlouhodobě zanedbatelný (přibližně </w:t>
      </w:r>
      <w:proofErr w:type="gramStart"/>
      <w:r w:rsidR="00265F3C" w:rsidRPr="00265F3C">
        <w:rPr>
          <w:rFonts w:ascii="Calibri Light" w:hAnsi="Calibri Light" w:cs="Calibri Light"/>
          <w:color w:val="13576B"/>
          <w:sz w:val="20"/>
        </w:rPr>
        <w:t>0,045 procentního</w:t>
      </w:r>
      <w:proofErr w:type="gramEnd"/>
      <w:r w:rsidR="00265F3C" w:rsidRPr="00265F3C">
        <w:rPr>
          <w:rFonts w:ascii="Calibri Light" w:hAnsi="Calibri Light" w:cs="Calibri Light"/>
          <w:color w:val="13576B"/>
          <w:sz w:val="20"/>
        </w:rPr>
        <w:t xml:space="preserve"> bodu). Medián na rozdíl od průměru představuje ´typickou´ hodnotu – polovina úvěrů je nižší a polovina vyšší – a není ovlivněn extrémními hodnotami. </w:t>
      </w:r>
      <w:r w:rsidR="00265F3C" w:rsidRPr="00265F3C">
        <w:rPr>
          <w:rFonts w:ascii="Calibri Light" w:hAnsi="Calibri Light" w:cs="Calibri Light"/>
          <w:color w:val="13576B"/>
          <w:sz w:val="20"/>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r w:rsidR="00265F3C" w:rsidRPr="00265F3C">
        <w:rPr>
          <w:rFonts w:ascii="Poppins" w:hAnsi="Poppins" w:cs="Poppins"/>
          <w:color w:val="212529"/>
          <w:sz w:val="27"/>
          <w:szCs w:val="27"/>
        </w:rPr>
        <w:tab/>
      </w:r>
    </w:p>
    <w:p w14:paraId="79BF9A21" w14:textId="77777777" w:rsidR="00265F3C" w:rsidRPr="00265F3C" w:rsidRDefault="00265F3C" w:rsidP="00265F3C">
      <w:pPr>
        <w:overflowPunct/>
        <w:autoSpaceDE/>
        <w:adjustRightInd/>
        <w:rPr>
          <w:rFonts w:ascii="Poppins" w:hAnsi="Poppins" w:cs="Poppins"/>
          <w:color w:val="212529"/>
          <w:sz w:val="27"/>
          <w:szCs w:val="27"/>
        </w:rPr>
      </w:pP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p>
    <w:p w14:paraId="4688DCB3" w14:textId="77777777" w:rsidR="00265F3C" w:rsidRPr="00265F3C" w:rsidRDefault="00265F3C" w:rsidP="00265F3C">
      <w:pPr>
        <w:overflowPunct/>
        <w:autoSpaceDE/>
        <w:adjustRightInd/>
        <w:rPr>
          <w:rFonts w:ascii="Poppins" w:hAnsi="Poppins" w:cs="Poppins"/>
          <w:color w:val="212529"/>
          <w:sz w:val="27"/>
          <w:szCs w:val="27"/>
        </w:rPr>
      </w:pP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p>
    <w:p w14:paraId="0B879606" w14:textId="77777777" w:rsidR="00265F3C" w:rsidRPr="00265F3C" w:rsidRDefault="00265F3C" w:rsidP="00265F3C">
      <w:pPr>
        <w:overflowPunct/>
        <w:autoSpaceDE/>
        <w:adjustRightInd/>
        <w:rPr>
          <w:rFonts w:ascii="Poppins" w:hAnsi="Poppins" w:cs="Poppins"/>
          <w:color w:val="212529"/>
          <w:sz w:val="27"/>
          <w:szCs w:val="27"/>
        </w:rPr>
      </w:pP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p>
    <w:p w14:paraId="6B93133B" w14:textId="77777777" w:rsidR="00265F3C" w:rsidRPr="00265F3C" w:rsidRDefault="00265F3C" w:rsidP="00265F3C">
      <w:pPr>
        <w:overflowPunct/>
        <w:autoSpaceDE/>
        <w:adjustRightInd/>
        <w:rPr>
          <w:rFonts w:ascii="Poppins" w:hAnsi="Poppins" w:cs="Poppins"/>
          <w:color w:val="212529"/>
          <w:sz w:val="27"/>
          <w:szCs w:val="27"/>
        </w:rPr>
      </w:pP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p>
    <w:p w14:paraId="147D1458" w14:textId="0455C156" w:rsidR="007C411F" w:rsidRPr="007C411F" w:rsidRDefault="00265F3C" w:rsidP="00265F3C">
      <w:pPr>
        <w:overflowPunct/>
        <w:autoSpaceDE/>
        <w:adjustRightInd/>
        <w:rPr>
          <w:rFonts w:ascii="Poppins" w:hAnsi="Poppins" w:cs="Poppins"/>
          <w:color w:val="212529"/>
          <w:sz w:val="24"/>
          <w:szCs w:val="24"/>
        </w:rPr>
      </w:pP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Pr="00265F3C">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r w:rsidR="007C411F" w:rsidRPr="007C411F">
        <w:rPr>
          <w:rFonts w:ascii="Poppins" w:hAnsi="Poppins" w:cs="Poppins"/>
          <w:color w:val="212529"/>
          <w:sz w:val="27"/>
          <w:szCs w:val="27"/>
        </w:rPr>
        <w:tab/>
      </w:r>
    </w:p>
    <w:p w14:paraId="3F1ACB94" w14:textId="560D4FC0" w:rsidR="00D1522E" w:rsidRDefault="00AE7732" w:rsidP="00D1522E">
      <w:pPr>
        <w:rPr>
          <w:rFonts w:ascii="Calibri" w:hAnsi="Calibri" w:cs="Calibri"/>
          <w:b/>
          <w:color w:val="13576B"/>
          <w:sz w:val="24"/>
          <w:szCs w:val="24"/>
        </w:rPr>
      </w:pPr>
      <w:r>
        <w:rPr>
          <w:rFonts w:ascii="Calibri" w:hAnsi="Calibri" w:cs="Calibri"/>
          <w:b/>
          <w:color w:val="13576B"/>
          <w:sz w:val="24"/>
          <w:szCs w:val="24"/>
        </w:rPr>
        <w:t xml:space="preserve">… a to díky </w:t>
      </w:r>
      <w:r w:rsidR="007420E1">
        <w:rPr>
          <w:rFonts w:ascii="Calibri" w:hAnsi="Calibri" w:cs="Calibri"/>
          <w:b/>
          <w:color w:val="13576B"/>
          <w:sz w:val="24"/>
          <w:szCs w:val="24"/>
        </w:rPr>
        <w:t xml:space="preserve">srpnovému ustálení </w:t>
      </w:r>
      <w:r>
        <w:rPr>
          <w:rFonts w:ascii="Calibri" w:hAnsi="Calibri" w:cs="Calibri"/>
          <w:b/>
          <w:color w:val="13576B"/>
          <w:sz w:val="24"/>
          <w:szCs w:val="24"/>
        </w:rPr>
        <w:t>p</w:t>
      </w:r>
      <w:r w:rsidR="00D1522E" w:rsidRPr="00D03B38">
        <w:rPr>
          <w:rFonts w:ascii="Calibri" w:hAnsi="Calibri" w:cs="Calibri"/>
          <w:b/>
          <w:color w:val="13576B"/>
          <w:sz w:val="24"/>
          <w:szCs w:val="24"/>
        </w:rPr>
        <w:t>růměrn</w:t>
      </w:r>
      <w:r w:rsidR="00150AA5">
        <w:rPr>
          <w:rFonts w:ascii="Calibri" w:hAnsi="Calibri" w:cs="Calibri"/>
          <w:b/>
          <w:color w:val="13576B"/>
          <w:sz w:val="24"/>
          <w:szCs w:val="24"/>
        </w:rPr>
        <w:t xml:space="preserve">é </w:t>
      </w:r>
      <w:r w:rsidR="00D1522E" w:rsidRPr="00D03B38">
        <w:rPr>
          <w:rFonts w:ascii="Calibri" w:hAnsi="Calibri" w:cs="Calibri"/>
          <w:b/>
          <w:color w:val="13576B"/>
          <w:sz w:val="24"/>
          <w:szCs w:val="24"/>
        </w:rPr>
        <w:t>velikost</w:t>
      </w:r>
      <w:r>
        <w:rPr>
          <w:rFonts w:ascii="Calibri" w:hAnsi="Calibri" w:cs="Calibri"/>
          <w:b/>
          <w:color w:val="13576B"/>
          <w:sz w:val="24"/>
          <w:szCs w:val="24"/>
        </w:rPr>
        <w:t>i</w:t>
      </w:r>
      <w:r w:rsidR="00D1522E" w:rsidRPr="00D03B38">
        <w:rPr>
          <w:rFonts w:ascii="Calibri" w:hAnsi="Calibri" w:cs="Calibri"/>
          <w:b/>
          <w:color w:val="13576B"/>
          <w:sz w:val="24"/>
          <w:szCs w:val="24"/>
        </w:rPr>
        <w:t xml:space="preserve"> nově poskytnuté </w:t>
      </w:r>
      <w:r>
        <w:rPr>
          <w:rFonts w:ascii="Calibri" w:hAnsi="Calibri" w:cs="Calibri"/>
          <w:b/>
          <w:color w:val="13576B"/>
          <w:sz w:val="24"/>
          <w:szCs w:val="24"/>
        </w:rPr>
        <w:t>hypotéky</w:t>
      </w:r>
      <w:r w:rsidR="00F6412C">
        <w:rPr>
          <w:rFonts w:ascii="Calibri" w:hAnsi="Calibri" w:cs="Calibri"/>
          <w:b/>
          <w:color w:val="13576B"/>
          <w:sz w:val="24"/>
          <w:szCs w:val="24"/>
        </w:rPr>
        <w:t xml:space="preserve"> pod </w:t>
      </w:r>
      <w:r w:rsidR="00D1522E" w:rsidRPr="00D03B38">
        <w:rPr>
          <w:rFonts w:ascii="Calibri" w:hAnsi="Calibri" w:cs="Calibri"/>
          <w:b/>
          <w:color w:val="13576B"/>
          <w:sz w:val="24"/>
          <w:szCs w:val="24"/>
        </w:rPr>
        <w:t>4,</w:t>
      </w:r>
      <w:r>
        <w:rPr>
          <w:rFonts w:ascii="Calibri" w:hAnsi="Calibri" w:cs="Calibri"/>
          <w:b/>
          <w:color w:val="13576B"/>
          <w:sz w:val="24"/>
          <w:szCs w:val="24"/>
        </w:rPr>
        <w:t>6</w:t>
      </w:r>
      <w:r w:rsidR="00D1522E" w:rsidRPr="00D03B38">
        <w:rPr>
          <w:rFonts w:ascii="Calibri" w:hAnsi="Calibri" w:cs="Calibri"/>
          <w:b/>
          <w:color w:val="13576B"/>
          <w:sz w:val="24"/>
          <w:szCs w:val="24"/>
        </w:rPr>
        <w:t xml:space="preserve"> mil. Kč</w:t>
      </w:r>
      <w:r w:rsidR="00D1522E">
        <w:rPr>
          <w:rFonts w:ascii="Calibri" w:hAnsi="Calibri" w:cs="Calibri"/>
          <w:b/>
          <w:color w:val="13576B"/>
          <w:sz w:val="24"/>
          <w:szCs w:val="24"/>
        </w:rPr>
        <w:t xml:space="preserve"> </w:t>
      </w:r>
    </w:p>
    <w:p w14:paraId="0200B3F4" w14:textId="77777777" w:rsidR="00D1522E" w:rsidRDefault="00D1522E" w:rsidP="00D1522E">
      <w:pPr>
        <w:overflowPunct/>
        <w:autoSpaceDE/>
        <w:autoSpaceDN/>
        <w:adjustRightInd/>
        <w:textAlignment w:val="auto"/>
        <w:rPr>
          <w:rFonts w:ascii="Calibri" w:hAnsi="Calibri" w:cs="Calibri"/>
          <w:color w:val="000000"/>
          <w:sz w:val="22"/>
          <w:szCs w:val="22"/>
        </w:rPr>
      </w:pPr>
    </w:p>
    <w:p w14:paraId="518E5EE0" w14:textId="78E543F0" w:rsidR="00150AA5" w:rsidRDefault="007420E1" w:rsidP="00150AA5">
      <w:pPr>
        <w:rPr>
          <w:rFonts w:ascii="Calibri" w:hAnsi="Calibri" w:cs="Calibri"/>
          <w:color w:val="000000"/>
          <w:sz w:val="22"/>
          <w:szCs w:val="22"/>
        </w:rPr>
      </w:pPr>
      <w:r w:rsidRPr="007420E1">
        <w:rPr>
          <w:rFonts w:ascii="Calibri" w:hAnsi="Calibri" w:cs="Calibri"/>
          <w:b/>
          <w:bCs/>
          <w:color w:val="000000"/>
          <w:sz w:val="22"/>
          <w:szCs w:val="22"/>
        </w:rPr>
        <w:t xml:space="preserve">Její velikost </w:t>
      </w:r>
      <w:r w:rsidR="00150AA5" w:rsidRPr="007420E1">
        <w:rPr>
          <w:rFonts w:ascii="Calibri" w:hAnsi="Calibri" w:cs="Calibri"/>
          <w:b/>
          <w:bCs/>
          <w:color w:val="000000"/>
          <w:sz w:val="22"/>
          <w:szCs w:val="22"/>
        </w:rPr>
        <w:t xml:space="preserve">však stále </w:t>
      </w:r>
      <w:r w:rsidRPr="007420E1">
        <w:rPr>
          <w:rFonts w:ascii="Calibri" w:hAnsi="Calibri" w:cs="Calibri"/>
          <w:b/>
          <w:bCs/>
          <w:color w:val="000000"/>
          <w:sz w:val="22"/>
          <w:szCs w:val="22"/>
        </w:rPr>
        <w:t xml:space="preserve">byla </w:t>
      </w:r>
      <w:r w:rsidR="00150AA5" w:rsidRPr="007420E1">
        <w:rPr>
          <w:rFonts w:ascii="Calibri" w:hAnsi="Calibri" w:cs="Calibri"/>
          <w:b/>
          <w:bCs/>
          <w:color w:val="000000"/>
          <w:sz w:val="22"/>
          <w:szCs w:val="22"/>
        </w:rPr>
        <w:t xml:space="preserve">o </w:t>
      </w:r>
      <w:r w:rsidRPr="007420E1">
        <w:rPr>
          <w:rFonts w:ascii="Calibri" w:hAnsi="Calibri" w:cs="Calibri"/>
          <w:b/>
          <w:bCs/>
          <w:color w:val="000000"/>
          <w:sz w:val="22"/>
          <w:szCs w:val="22"/>
        </w:rPr>
        <w:t>8</w:t>
      </w:r>
      <w:r w:rsidR="00150AA5" w:rsidRPr="007420E1">
        <w:rPr>
          <w:rFonts w:ascii="Calibri" w:hAnsi="Calibri" w:cs="Calibri"/>
          <w:b/>
          <w:bCs/>
          <w:color w:val="000000"/>
          <w:sz w:val="22"/>
          <w:szCs w:val="22"/>
        </w:rPr>
        <w:t xml:space="preserve"> % vyšší</w:t>
      </w:r>
      <w:r w:rsidRPr="007420E1">
        <w:rPr>
          <w:rFonts w:ascii="Calibri" w:hAnsi="Calibri" w:cs="Calibri"/>
          <w:b/>
          <w:bCs/>
          <w:color w:val="000000"/>
          <w:sz w:val="22"/>
          <w:szCs w:val="22"/>
        </w:rPr>
        <w:t xml:space="preserve"> než před rokem.</w:t>
      </w:r>
      <w:r w:rsidR="00150AA5" w:rsidRPr="007420E1">
        <w:rPr>
          <w:rFonts w:ascii="Calibri" w:hAnsi="Calibri" w:cs="Calibri"/>
          <w:b/>
          <w:bCs/>
          <w:color w:val="000000"/>
          <w:sz w:val="22"/>
          <w:szCs w:val="22"/>
        </w:rPr>
        <w:t xml:space="preserve"> </w:t>
      </w:r>
      <w:r w:rsidR="00150AA5" w:rsidRPr="00D83A6D">
        <w:rPr>
          <w:rFonts w:ascii="Calibri" w:hAnsi="Calibri" w:cs="Calibri"/>
          <w:color w:val="000000"/>
          <w:sz w:val="22"/>
          <w:szCs w:val="22"/>
        </w:rPr>
        <w:t xml:space="preserve">Vyšší </w:t>
      </w:r>
      <w:r w:rsidR="00150AA5">
        <w:rPr>
          <w:rFonts w:ascii="Calibri" w:hAnsi="Calibri" w:cs="Calibri"/>
          <w:color w:val="000000"/>
          <w:sz w:val="22"/>
          <w:szCs w:val="22"/>
        </w:rPr>
        <w:t xml:space="preserve">průměrná velikost hypotéky na začátku letošního roku, kdy v období březen až květen dosahovala 4,85 mil. Kč, pravděpodobně odrážela doznívající efekt předzásobení u tzv. investičních hypoték. U nich ČNB od dubna </w:t>
      </w:r>
      <w:hyperlink r:id="rId27" w:history="1">
        <w:r w:rsidR="00150AA5">
          <w:rPr>
            <w:rStyle w:val="Hypertextovodkaz"/>
            <w:rFonts w:ascii="Calibri" w:hAnsi="Calibri" w:cs="Calibri"/>
            <w:sz w:val="22"/>
            <w:szCs w:val="22"/>
          </w:rPr>
          <w:t>zpřísnila požadavky</w:t>
        </w:r>
      </w:hyperlink>
      <w:r w:rsidR="00150AA5">
        <w:rPr>
          <w:rFonts w:ascii="Calibri" w:hAnsi="Calibri" w:cs="Calibri"/>
          <w:color w:val="000000"/>
          <w:sz w:val="22"/>
          <w:szCs w:val="22"/>
        </w:rPr>
        <w:t>, konkrétně LTV na 70 % a DTI na sedminásobek ročního příjmu. Na základě dat ČNB ze Zprávy o finanční stabilitě odhadujeme, že průměrná výše investiční hypotéky, tedy hypotéky na další vlastní bydlení či pronájem, byla v loňském roce a v prvním čtvrtletí letošního roku zhruba o 29 % vyšší než u hypoték na vlastní bydlení a ostatních skutečně nových hypoték.</w:t>
      </w:r>
    </w:p>
    <w:p w14:paraId="10823FFD" w14:textId="3CFD30FA" w:rsidR="00AE7732" w:rsidRDefault="00AE7732" w:rsidP="00F6412C">
      <w:pPr>
        <w:overflowPunct/>
        <w:autoSpaceDE/>
        <w:autoSpaceDN/>
        <w:adjustRightInd/>
        <w:textAlignment w:val="auto"/>
        <w:rPr>
          <w:rFonts w:ascii="Calibri" w:hAnsi="Calibri" w:cs="Calibri"/>
          <w:color w:val="000000"/>
          <w:sz w:val="22"/>
          <w:szCs w:val="22"/>
        </w:rPr>
      </w:pPr>
    </w:p>
    <w:p w14:paraId="777FC14F" w14:textId="404F8497" w:rsidR="00150AA5" w:rsidRDefault="00150AA5" w:rsidP="00150AA5">
      <w:pPr>
        <w:rPr>
          <w:kern w:val="2"/>
          <w:szCs w:val="18"/>
          <w14:ligatures w14:val="standardContextual"/>
        </w:rPr>
      </w:pPr>
      <w:r>
        <w:rPr>
          <w:rFonts w:ascii="Calibri" w:hAnsi="Calibri" w:cs="Calibri"/>
          <w:b/>
          <w:bCs/>
          <w:color w:val="000000"/>
          <w:sz w:val="22"/>
          <w:szCs w:val="22"/>
        </w:rPr>
        <w:t xml:space="preserve">Průměrná výše hypotéky úzce souvisí také s vývojem cen nemovitostí. </w:t>
      </w:r>
      <w:r>
        <w:rPr>
          <w:rFonts w:ascii="Calibri" w:hAnsi="Calibri" w:cs="Calibri"/>
          <w:color w:val="000000"/>
          <w:sz w:val="22"/>
          <w:szCs w:val="22"/>
        </w:rPr>
        <w:t xml:space="preserve">Ty i </w:t>
      </w:r>
      <w:hyperlink r:id="rId28" w:history="1">
        <w:r>
          <w:rPr>
            <w:rStyle w:val="Hypertextovodkaz"/>
            <w:rFonts w:ascii="Calibri" w:hAnsi="Calibri" w:cs="Calibri"/>
            <w:sz w:val="22"/>
            <w:szCs w:val="22"/>
          </w:rPr>
          <w:t>v prvním čtvrtletí pouze mírně zpomalily</w:t>
        </w:r>
      </w:hyperlink>
      <w:r>
        <w:rPr>
          <w:rFonts w:ascii="Calibri" w:hAnsi="Calibri" w:cs="Calibri"/>
          <w:color w:val="000000"/>
          <w:sz w:val="22"/>
          <w:szCs w:val="22"/>
        </w:rPr>
        <w:t xml:space="preserve"> svůj meziroční růst k 10 %. </w:t>
      </w:r>
      <w:hyperlink r:id="rId29" w:history="1">
        <w:r w:rsidR="007420E1" w:rsidRPr="007420E1">
          <w:rPr>
            <w:rStyle w:val="Hypertextovodkaz"/>
            <w:rFonts w:ascii="Calibri" w:hAnsi="Calibri" w:cs="Calibri"/>
            <w:sz w:val="22"/>
            <w:szCs w:val="22"/>
          </w:rPr>
          <w:t>Ceny bytů v druhém čtvrtletí</w:t>
        </w:r>
      </w:hyperlink>
      <w:r w:rsidR="007420E1">
        <w:rPr>
          <w:rFonts w:ascii="Calibri" w:hAnsi="Calibri" w:cs="Calibri"/>
          <w:color w:val="000000"/>
          <w:sz w:val="22"/>
          <w:szCs w:val="22"/>
        </w:rPr>
        <w:t xml:space="preserve"> zpomalily růst v případě nabídkových cen na 1,4 % mezičtvrtletně z 2,7 % v prvním čtvrtletí a dostaly se tak pod jejich dlouhodobé průměrné navýšení o 1,8 %. Ovšem růst realizovaných cen zůstal na 2,5 % </w:t>
      </w:r>
      <w:r w:rsidR="005F3D30">
        <w:rPr>
          <w:rFonts w:ascii="Calibri" w:hAnsi="Calibri" w:cs="Calibri"/>
          <w:color w:val="000000"/>
          <w:sz w:val="22"/>
          <w:szCs w:val="22"/>
        </w:rPr>
        <w:t>mezičtvrtletně</w:t>
      </w:r>
      <w:r w:rsidR="007420E1">
        <w:rPr>
          <w:rFonts w:ascii="Calibri" w:hAnsi="Calibri" w:cs="Calibri"/>
          <w:color w:val="000000"/>
          <w:sz w:val="22"/>
          <w:szCs w:val="22"/>
        </w:rPr>
        <w:t xml:space="preserve">, což </w:t>
      </w:r>
      <w:r w:rsidR="005F3D30">
        <w:rPr>
          <w:rFonts w:ascii="Calibri" w:hAnsi="Calibri" w:cs="Calibri"/>
          <w:color w:val="000000"/>
          <w:sz w:val="22"/>
          <w:szCs w:val="22"/>
        </w:rPr>
        <w:t>signalizuje</w:t>
      </w:r>
      <w:r w:rsidR="007420E1">
        <w:rPr>
          <w:rFonts w:ascii="Calibri" w:hAnsi="Calibri" w:cs="Calibri"/>
          <w:color w:val="000000"/>
          <w:sz w:val="22"/>
          <w:szCs w:val="22"/>
        </w:rPr>
        <w:t xml:space="preserve"> možné budoucí zpomalení k 10 % meziročně z 12,3 % v</w:t>
      </w:r>
      <w:r w:rsidR="005F3D30">
        <w:rPr>
          <w:rFonts w:ascii="Calibri" w:hAnsi="Calibri" w:cs="Calibri"/>
          <w:color w:val="000000"/>
          <w:sz w:val="22"/>
          <w:szCs w:val="22"/>
        </w:rPr>
        <w:t>e druhém</w:t>
      </w:r>
      <w:r w:rsidR="007420E1">
        <w:rPr>
          <w:rFonts w:ascii="Calibri" w:hAnsi="Calibri" w:cs="Calibri"/>
          <w:color w:val="000000"/>
          <w:sz w:val="22"/>
          <w:szCs w:val="22"/>
        </w:rPr>
        <w:t xml:space="preserve"> čtvrtletí</w:t>
      </w:r>
      <w:r>
        <w:rPr>
          <w:rFonts w:ascii="Calibri" w:hAnsi="Calibri" w:cs="Calibri"/>
          <w:color w:val="000000"/>
          <w:sz w:val="22"/>
          <w:szCs w:val="22"/>
        </w:rPr>
        <w:t xml:space="preserve">. Podle dat společnosti </w:t>
      </w:r>
      <w:proofErr w:type="spellStart"/>
      <w:r>
        <w:rPr>
          <w:rFonts w:ascii="Calibri" w:hAnsi="Calibri" w:cs="Calibri"/>
          <w:color w:val="000000"/>
          <w:sz w:val="22"/>
          <w:szCs w:val="22"/>
        </w:rPr>
        <w:t>Flat</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Zone</w:t>
      </w:r>
      <w:proofErr w:type="spellEnd"/>
      <w:r>
        <w:rPr>
          <w:rFonts w:ascii="Calibri" w:hAnsi="Calibri" w:cs="Calibri"/>
          <w:color w:val="000000"/>
          <w:sz w:val="22"/>
          <w:szCs w:val="22"/>
        </w:rPr>
        <w:t xml:space="preserve"> </w:t>
      </w:r>
      <w:r w:rsidR="005F3D30">
        <w:rPr>
          <w:rFonts w:ascii="Calibri" w:hAnsi="Calibri" w:cs="Calibri"/>
          <w:color w:val="000000"/>
          <w:sz w:val="22"/>
          <w:szCs w:val="22"/>
        </w:rPr>
        <w:t>stoupla</w:t>
      </w:r>
      <w:r>
        <w:rPr>
          <w:rFonts w:ascii="Calibri" w:hAnsi="Calibri" w:cs="Calibri"/>
          <w:color w:val="000000"/>
          <w:sz w:val="22"/>
          <w:szCs w:val="22"/>
        </w:rPr>
        <w:t xml:space="preserve"> </w:t>
      </w:r>
      <w:r w:rsidR="005F3D30">
        <w:rPr>
          <w:rFonts w:ascii="Calibri" w:hAnsi="Calibri" w:cs="Calibri"/>
          <w:color w:val="000000"/>
          <w:sz w:val="22"/>
          <w:szCs w:val="22"/>
        </w:rPr>
        <w:t>t</w:t>
      </w:r>
      <w:r w:rsidR="005F3D30" w:rsidRPr="005F3D30">
        <w:rPr>
          <w:rFonts w:ascii="Calibri" w:hAnsi="Calibri" w:cs="Calibri"/>
          <w:color w:val="000000"/>
          <w:sz w:val="22"/>
          <w:szCs w:val="22"/>
        </w:rPr>
        <w:t xml:space="preserve">ransakční cena prodaných bytů </w:t>
      </w:r>
      <w:hyperlink r:id="rId30" w:history="1">
        <w:r w:rsidR="005F3D30" w:rsidRPr="005F3D30">
          <w:rPr>
            <w:rStyle w:val="Hypertextovodkaz"/>
            <w:rFonts w:ascii="Calibri" w:hAnsi="Calibri" w:cs="Calibri"/>
            <w:sz w:val="22"/>
            <w:szCs w:val="22"/>
          </w:rPr>
          <w:t>ve druhém čtvrtletí</w:t>
        </w:r>
      </w:hyperlink>
      <w:r w:rsidR="005F3D30" w:rsidRPr="005F3D30">
        <w:rPr>
          <w:rFonts w:ascii="Calibri" w:hAnsi="Calibri" w:cs="Calibri"/>
          <w:color w:val="000000"/>
          <w:sz w:val="22"/>
          <w:szCs w:val="22"/>
        </w:rPr>
        <w:t xml:space="preserve"> téměř ke 100 tisícům korun za metr čtvereční, přičemž v Praze přesáhla 165 tisíc. To je o 8,3 %, respektive 9,7 % více než před rokem</w:t>
      </w:r>
      <w:r w:rsidR="005F3D30">
        <w:rPr>
          <w:rFonts w:ascii="Calibri" w:hAnsi="Calibri" w:cs="Calibri"/>
          <w:color w:val="000000"/>
          <w:sz w:val="22"/>
          <w:szCs w:val="22"/>
        </w:rPr>
        <w:t xml:space="preserve"> (</w:t>
      </w:r>
      <w:r>
        <w:rPr>
          <w:rFonts w:ascii="Calibri" w:hAnsi="Calibri" w:cs="Calibri"/>
          <w:color w:val="000000"/>
          <w:sz w:val="22"/>
          <w:szCs w:val="22"/>
        </w:rPr>
        <w:t xml:space="preserve">viz grafy na </w:t>
      </w:r>
      <w:hyperlink r:id="rId31" w:history="1">
        <w:r>
          <w:rPr>
            <w:rStyle w:val="Hypertextovodkaz"/>
            <w:rFonts w:ascii="Calibri" w:hAnsi="Calibri" w:cs="Calibri"/>
            <w:sz w:val="22"/>
            <w:szCs w:val="22"/>
          </w:rPr>
          <w:t>ČBA Monitor</w:t>
        </w:r>
      </w:hyperlink>
      <w:r>
        <w:rPr>
          <w:rFonts w:ascii="Calibri" w:hAnsi="Calibri" w:cs="Calibri"/>
          <w:color w:val="000000"/>
          <w:sz w:val="22"/>
          <w:szCs w:val="22"/>
        </w:rPr>
        <w:t xml:space="preserve">). </w:t>
      </w:r>
      <w:r w:rsidR="005F3D30" w:rsidRPr="005F3D30">
        <w:rPr>
          <w:rFonts w:ascii="Calibri" w:hAnsi="Calibri" w:cs="Calibri"/>
          <w:color w:val="000000"/>
          <w:sz w:val="22"/>
          <w:szCs w:val="22"/>
        </w:rPr>
        <w:t xml:space="preserve">Výraznější ústup cenové dynamiky však bude dál brzdit souběh omezení na </w:t>
      </w:r>
      <w:hyperlink r:id="rId32" w:history="1">
        <w:r w:rsidR="005F3D30" w:rsidRPr="006F129E">
          <w:rPr>
            <w:rStyle w:val="Hypertextovodkaz"/>
            <w:rFonts w:ascii="Calibri" w:hAnsi="Calibri" w:cs="Calibri"/>
            <w:sz w:val="22"/>
            <w:szCs w:val="22"/>
          </w:rPr>
          <w:t>nabídkové straně</w:t>
        </w:r>
      </w:hyperlink>
      <w:r w:rsidR="005F3D30" w:rsidRPr="005F3D30">
        <w:rPr>
          <w:rFonts w:ascii="Calibri" w:hAnsi="Calibri" w:cs="Calibri"/>
          <w:color w:val="000000"/>
          <w:sz w:val="22"/>
          <w:szCs w:val="22"/>
        </w:rPr>
        <w:t xml:space="preserve"> a silnější předzásobení hypotékami</w:t>
      </w:r>
      <w:r w:rsidR="005F3D30">
        <w:rPr>
          <w:rFonts w:ascii="Calibri" w:hAnsi="Calibri" w:cs="Calibri"/>
          <w:color w:val="000000"/>
          <w:sz w:val="22"/>
          <w:szCs w:val="22"/>
        </w:rPr>
        <w:t xml:space="preserve">, ale i stále solidní </w:t>
      </w:r>
      <w:r>
        <w:rPr>
          <w:rFonts w:ascii="Calibri" w:hAnsi="Calibri" w:cs="Calibri"/>
          <w:color w:val="000000"/>
          <w:sz w:val="22"/>
          <w:szCs w:val="22"/>
        </w:rPr>
        <w:t>reálných mezd domácností (</w:t>
      </w:r>
      <w:r w:rsidR="005F3D30">
        <w:rPr>
          <w:rFonts w:ascii="Calibri" w:hAnsi="Calibri" w:cs="Calibri"/>
          <w:color w:val="000000"/>
          <w:sz w:val="22"/>
          <w:szCs w:val="22"/>
        </w:rPr>
        <w:t>4,3</w:t>
      </w:r>
      <w:r>
        <w:rPr>
          <w:rFonts w:ascii="Calibri" w:hAnsi="Calibri" w:cs="Calibri"/>
          <w:color w:val="000000"/>
          <w:sz w:val="22"/>
          <w:szCs w:val="22"/>
        </w:rPr>
        <w:t xml:space="preserve"> % meziročně v</w:t>
      </w:r>
      <w:r w:rsidR="005F3D30">
        <w:rPr>
          <w:rFonts w:ascii="Calibri" w:hAnsi="Calibri" w:cs="Calibri"/>
          <w:color w:val="000000"/>
          <w:sz w:val="22"/>
          <w:szCs w:val="22"/>
        </w:rPr>
        <w:t> </w:t>
      </w:r>
      <w:hyperlink r:id="rId33" w:history="1">
        <w:r>
          <w:rPr>
            <w:rStyle w:val="Hypertextovodkaz"/>
            <w:rFonts w:ascii="Calibri" w:hAnsi="Calibri" w:cs="Calibri"/>
            <w:sz w:val="22"/>
            <w:szCs w:val="22"/>
          </w:rPr>
          <w:t>Q</w:t>
        </w:r>
        <w:r w:rsidR="005F3D30">
          <w:rPr>
            <w:rStyle w:val="Hypertextovodkaz"/>
            <w:rFonts w:ascii="Calibri" w:hAnsi="Calibri" w:cs="Calibri"/>
            <w:sz w:val="22"/>
            <w:szCs w:val="22"/>
          </w:rPr>
          <w:t>2</w:t>
        </w:r>
        <w:r>
          <w:rPr>
            <w:rStyle w:val="Hypertextovodkaz"/>
            <w:rFonts w:ascii="Calibri" w:hAnsi="Calibri" w:cs="Calibri"/>
            <w:sz w:val="22"/>
            <w:szCs w:val="22"/>
          </w:rPr>
          <w:t>-2026</w:t>
        </w:r>
      </w:hyperlink>
      <w:r>
        <w:rPr>
          <w:rFonts w:ascii="Calibri" w:hAnsi="Calibri" w:cs="Calibri"/>
          <w:sz w:val="22"/>
          <w:szCs w:val="22"/>
        </w:rPr>
        <w:t xml:space="preserve">; graficky </w:t>
      </w:r>
      <w:hyperlink r:id="rId34" w:history="1">
        <w:r>
          <w:rPr>
            <w:rStyle w:val="Hypertextovodkaz"/>
            <w:rFonts w:ascii="Calibri" w:hAnsi="Calibri" w:cs="Calibri"/>
            <w:sz w:val="22"/>
            <w:szCs w:val="22"/>
          </w:rPr>
          <w:t>zde</w:t>
        </w:r>
      </w:hyperlink>
      <w:r>
        <w:rPr>
          <w:rFonts w:ascii="Calibri" w:hAnsi="Calibri" w:cs="Calibri"/>
          <w:color w:val="000000"/>
          <w:sz w:val="22"/>
          <w:szCs w:val="22"/>
        </w:rPr>
        <w:t>).</w:t>
      </w:r>
    </w:p>
    <w:p w14:paraId="36769E17" w14:textId="77777777" w:rsidR="00C802D7" w:rsidRDefault="00C802D7" w:rsidP="00C802D7">
      <w:pPr>
        <w:overflowPunct/>
        <w:autoSpaceDE/>
        <w:autoSpaceDN/>
        <w:adjustRightInd/>
        <w:textAlignment w:val="auto"/>
        <w:rPr>
          <w:rFonts w:ascii="Calibri" w:hAnsi="Calibri" w:cs="Calibri"/>
          <w:color w:val="000000"/>
          <w:sz w:val="22"/>
          <w:szCs w:val="22"/>
        </w:rPr>
      </w:pPr>
    </w:p>
    <w:p w14:paraId="37433820" w14:textId="3A27D52D" w:rsidR="00573D34" w:rsidRDefault="00EB1892" w:rsidP="00573D34">
      <w:pPr>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6</w:t>
      </w:r>
      <w:r w:rsidRPr="005B4653">
        <w:rPr>
          <w:rFonts w:ascii="Calibri" w:hAnsi="Calibri" w:cs="Calibri"/>
          <w:b/>
          <w:color w:val="13576B"/>
          <w:sz w:val="23"/>
          <w:szCs w:val="23"/>
        </w:rPr>
        <w:t xml:space="preserve">: </w:t>
      </w:r>
      <w:r w:rsidR="009D5F35">
        <w:rPr>
          <w:rFonts w:ascii="Calibri" w:hAnsi="Calibri" w:cs="Calibri"/>
          <w:b/>
          <w:color w:val="13576B"/>
          <w:sz w:val="23"/>
          <w:szCs w:val="23"/>
        </w:rPr>
        <w:t xml:space="preserve">Ilustrativní srovnání výše měsíční splátky </w:t>
      </w:r>
      <w:r w:rsidR="00EA163C">
        <w:rPr>
          <w:rFonts w:ascii="Calibri" w:hAnsi="Calibri" w:cs="Calibri"/>
          <w:b/>
          <w:color w:val="13576B"/>
          <w:sz w:val="23"/>
          <w:szCs w:val="23"/>
        </w:rPr>
        <w:t xml:space="preserve">u aktuální </w:t>
      </w:r>
      <w:r w:rsidR="009D5F35">
        <w:rPr>
          <w:rFonts w:ascii="Calibri" w:hAnsi="Calibri" w:cs="Calibri"/>
          <w:b/>
          <w:color w:val="13576B"/>
          <w:sz w:val="23"/>
          <w:szCs w:val="23"/>
        </w:rPr>
        <w:t xml:space="preserve">průměrné </w:t>
      </w:r>
      <w:r w:rsidR="00490E04">
        <w:rPr>
          <w:rFonts w:ascii="Calibri" w:hAnsi="Calibri" w:cs="Calibri"/>
          <w:b/>
          <w:color w:val="13576B"/>
          <w:sz w:val="23"/>
          <w:szCs w:val="23"/>
        </w:rPr>
        <w:t xml:space="preserve">nově poskytnuté </w:t>
      </w:r>
      <w:r w:rsidR="009D5F35">
        <w:rPr>
          <w:rFonts w:ascii="Calibri" w:hAnsi="Calibri" w:cs="Calibri"/>
          <w:b/>
          <w:color w:val="13576B"/>
          <w:sz w:val="23"/>
          <w:szCs w:val="23"/>
        </w:rPr>
        <w:t>hypotéky s obdobím před rokem v závislosti na výši úroku, velikosti hypotéky a její splatnosti v</w:t>
      </w:r>
      <w:r w:rsidR="00573D34">
        <w:rPr>
          <w:rFonts w:ascii="Calibri" w:hAnsi="Calibri" w:cs="Calibri"/>
          <w:b/>
          <w:color w:val="13576B"/>
          <w:sz w:val="23"/>
          <w:szCs w:val="23"/>
        </w:rPr>
        <w:t> </w:t>
      </w:r>
      <w:r w:rsidR="009D5F35">
        <w:rPr>
          <w:rFonts w:ascii="Calibri" w:hAnsi="Calibri" w:cs="Calibri"/>
          <w:b/>
          <w:color w:val="13576B"/>
          <w:sz w:val="23"/>
          <w:szCs w:val="23"/>
        </w:rPr>
        <w:t>letech</w:t>
      </w:r>
    </w:p>
    <w:p w14:paraId="0828FF02" w14:textId="66131605" w:rsidR="00EA163C" w:rsidRDefault="004635CE" w:rsidP="00AA62A7">
      <w:pPr>
        <w:overflowPunct/>
        <w:autoSpaceDE/>
        <w:autoSpaceDN/>
        <w:adjustRightInd/>
        <w:spacing w:line="259" w:lineRule="auto"/>
        <w:jc w:val="left"/>
        <w:textAlignment w:val="auto"/>
        <w:rPr>
          <w:rFonts w:ascii="Calibri" w:hAnsi="Calibri" w:cs="Calibri"/>
          <w:bCs/>
          <w:i/>
          <w:iCs/>
          <w:noProof/>
          <w:color w:val="13576B"/>
          <w:sz w:val="23"/>
          <w:szCs w:val="23"/>
        </w:rPr>
      </w:pPr>
      <w:r w:rsidRPr="004635CE">
        <w:rPr>
          <w:rFonts w:ascii="Calibri" w:hAnsi="Calibri" w:cs="Calibri"/>
          <w:bCs/>
          <w:i/>
          <w:iCs/>
          <w:color w:val="13576B"/>
          <w:sz w:val="23"/>
          <w:szCs w:val="23"/>
        </w:rPr>
        <w:t>V meziročním srovnání přinesl nárůst hypoteční sazby nárůst průměrné měsíční splátky o 1 000 Kč a nárůst průměrné výše hypotéky způsobil její navýšení o 1 750 Kč.</w:t>
      </w:r>
      <w:r>
        <w:rPr>
          <w:rFonts w:ascii="Calibri" w:hAnsi="Calibri" w:cs="Calibri"/>
          <w:bCs/>
          <w:i/>
          <w:iCs/>
          <w:color w:val="13576B"/>
          <w:sz w:val="23"/>
          <w:szCs w:val="23"/>
        </w:rPr>
        <w:t xml:space="preserve"> Výše hypotéky ovšem v posledních dvou měsících klesá, což kompenzovalo dopad vyšší </w:t>
      </w:r>
      <w:r w:rsidRPr="004635CE">
        <w:rPr>
          <w:rFonts w:ascii="Calibri" w:hAnsi="Calibri" w:cs="Calibri"/>
          <w:bCs/>
          <w:i/>
          <w:iCs/>
          <w:color w:val="13576B"/>
          <w:sz w:val="23"/>
          <w:szCs w:val="23"/>
        </w:rPr>
        <w:t>úrokové sazby.</w:t>
      </w:r>
    </w:p>
    <w:p w14:paraId="602AD0DA" w14:textId="7FD6592B" w:rsidR="004635CE" w:rsidRDefault="004226ED" w:rsidP="00AA62A7">
      <w:pPr>
        <w:overflowPunct/>
        <w:autoSpaceDE/>
        <w:autoSpaceDN/>
        <w:adjustRightInd/>
        <w:spacing w:line="259" w:lineRule="auto"/>
        <w:jc w:val="left"/>
        <w:textAlignment w:val="auto"/>
        <w:rPr>
          <w:rFonts w:ascii="Calibri" w:hAnsi="Calibri" w:cs="Calibri"/>
          <w:bCs/>
          <w:i/>
          <w:iCs/>
          <w:noProof/>
          <w:color w:val="13576B"/>
          <w:sz w:val="23"/>
          <w:szCs w:val="23"/>
        </w:rPr>
      </w:pPr>
      <w:r>
        <w:rPr>
          <w:rFonts w:ascii="Calibri" w:hAnsi="Calibri" w:cs="Calibri"/>
          <w:bCs/>
          <w:i/>
          <w:iCs/>
          <w:noProof/>
          <w:color w:val="13576B"/>
          <w:sz w:val="23"/>
          <w:szCs w:val="23"/>
        </w:rPr>
        <w:lastRenderedPageBreak/>
        <w:drawing>
          <wp:inline distT="0" distB="0" distL="0" distR="0" wp14:anchorId="559ACC8E" wp14:editId="379C3CD4">
            <wp:extent cx="6108700" cy="3487420"/>
            <wp:effectExtent l="0" t="0" r="6350" b="0"/>
            <wp:docPr id="13193815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08700" cy="3487420"/>
                    </a:xfrm>
                    <a:prstGeom prst="rect">
                      <a:avLst/>
                    </a:prstGeom>
                    <a:noFill/>
                  </pic:spPr>
                </pic:pic>
              </a:graphicData>
            </a:graphic>
          </wp:inline>
        </w:drawing>
      </w:r>
    </w:p>
    <w:p w14:paraId="2DADE1A7" w14:textId="4B9EF024" w:rsidR="009D5F35" w:rsidRDefault="009D5F35"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sidR="00AA62A7">
        <w:rPr>
          <w:rFonts w:ascii="Calibri Light" w:hAnsi="Calibri Light" w:cs="Calibri Light"/>
          <w:color w:val="13576B"/>
          <w:sz w:val="20"/>
        </w:rPr>
        <w:t xml:space="preserve">. Pozn.: </w:t>
      </w:r>
      <w:r w:rsidR="00AA62A7" w:rsidRPr="00AA62A7">
        <w:rPr>
          <w:rFonts w:ascii="Calibri Light" w:hAnsi="Calibri Light" w:cs="Calibri Light"/>
          <w:color w:val="13576B"/>
          <w:sz w:val="20"/>
        </w:rPr>
        <w:t>částky jsou zaokrouhleny na desítky korun.</w:t>
      </w:r>
    </w:p>
    <w:p w14:paraId="7ECA69B5" w14:textId="77777777" w:rsidR="00173D31" w:rsidRDefault="00173D31" w:rsidP="009D5F35">
      <w:pPr>
        <w:overflowPunct/>
        <w:autoSpaceDE/>
        <w:adjustRightInd/>
        <w:rPr>
          <w:rFonts w:ascii="Calibri Light" w:hAnsi="Calibri Light" w:cs="Calibri Light"/>
          <w:color w:val="13576B"/>
          <w:sz w:val="20"/>
        </w:rPr>
      </w:pPr>
    </w:p>
    <w:p w14:paraId="620D9ACD" w14:textId="77777777" w:rsidR="00BA3140" w:rsidRDefault="00BA3140" w:rsidP="002E4EFD">
      <w:pPr>
        <w:rPr>
          <w:rFonts w:ascii="Calibri" w:hAnsi="Calibri" w:cs="Calibri"/>
          <w:b/>
          <w:color w:val="13576B"/>
          <w:sz w:val="24"/>
          <w:szCs w:val="24"/>
        </w:rPr>
      </w:pPr>
    </w:p>
    <w:p w14:paraId="5A72B105" w14:textId="31FA153D" w:rsidR="002E4EFD" w:rsidRDefault="008723A8" w:rsidP="002E4EFD">
      <w:pPr>
        <w:rPr>
          <w:rFonts w:ascii="Calibri" w:hAnsi="Calibri" w:cs="Calibri"/>
          <w:b/>
          <w:color w:val="13576B"/>
          <w:sz w:val="24"/>
          <w:szCs w:val="24"/>
        </w:rPr>
      </w:pPr>
      <w:r>
        <w:rPr>
          <w:rFonts w:ascii="Calibri" w:hAnsi="Calibri" w:cs="Calibri"/>
          <w:b/>
          <w:color w:val="13576B"/>
          <w:sz w:val="24"/>
          <w:szCs w:val="24"/>
        </w:rPr>
        <w:t>Statistická příloha</w:t>
      </w:r>
    </w:p>
    <w:p w14:paraId="7D8CD8E4" w14:textId="77777777" w:rsidR="00582221" w:rsidRDefault="00582221" w:rsidP="002E4EFD">
      <w:pPr>
        <w:rPr>
          <w:rFonts w:ascii="Calibri" w:hAnsi="Calibri" w:cs="Calibri"/>
          <w:b/>
          <w:color w:val="13576B"/>
          <w:sz w:val="24"/>
          <w:szCs w:val="24"/>
        </w:rPr>
      </w:pPr>
    </w:p>
    <w:p w14:paraId="2FA0BE1C" w14:textId="532A5C10" w:rsidR="00582221" w:rsidRPr="00D24B00" w:rsidRDefault="00582221" w:rsidP="002E4EFD">
      <w:pPr>
        <w:rPr>
          <w:rFonts w:ascii="Calibri" w:hAnsi="Calibri" w:cs="Calibri"/>
          <w:b/>
          <w:color w:val="EE0000"/>
          <w:sz w:val="24"/>
          <w:szCs w:val="24"/>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7</w:t>
      </w:r>
      <w:r w:rsidRPr="005B4653">
        <w:rPr>
          <w:rFonts w:ascii="Calibri" w:hAnsi="Calibri" w:cs="Calibri"/>
          <w:b/>
          <w:color w:val="13576B"/>
          <w:sz w:val="23"/>
          <w:szCs w:val="23"/>
        </w:rPr>
        <w:t xml:space="preserve">: </w:t>
      </w:r>
      <w:r>
        <w:rPr>
          <w:rFonts w:ascii="Calibri" w:hAnsi="Calibri" w:cs="Calibri"/>
          <w:b/>
          <w:color w:val="13576B"/>
          <w:sz w:val="23"/>
          <w:szCs w:val="23"/>
        </w:rPr>
        <w:t>Sezónnost nových hypotečních úvěrů</w:t>
      </w:r>
    </w:p>
    <w:p w14:paraId="384BA2E5" w14:textId="677D40BE" w:rsidR="0033440C" w:rsidRDefault="004226ED"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lastRenderedPageBreak/>
        <w:drawing>
          <wp:inline distT="0" distB="0" distL="0" distR="0" wp14:anchorId="4D10EBB2" wp14:editId="1ACA3E0D">
            <wp:extent cx="6252269" cy="3582670"/>
            <wp:effectExtent l="0" t="0" r="0" b="0"/>
            <wp:docPr id="16315821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57413" cy="3585618"/>
                    </a:xfrm>
                    <a:prstGeom prst="rect">
                      <a:avLst/>
                    </a:prstGeom>
                    <a:noFill/>
                  </pic:spPr>
                </pic:pic>
              </a:graphicData>
            </a:graphic>
          </wp:inline>
        </w:drawing>
      </w:r>
    </w:p>
    <w:p w14:paraId="2543E5F5" w14:textId="68A6E96C" w:rsidR="0033440C" w:rsidRDefault="008723A8"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w:t>
      </w:r>
      <w:proofErr w:type="spellStart"/>
      <w:r>
        <w:rPr>
          <w:rFonts w:ascii="Calibri Light" w:hAnsi="Calibri Light" w:cs="Calibri Light"/>
          <w:color w:val="13576B"/>
          <w:sz w:val="20"/>
        </w:rPr>
        <w:t>Hypomonitor</w:t>
      </w:r>
      <w:proofErr w:type="spellEnd"/>
    </w:p>
    <w:p w14:paraId="03530238" w14:textId="12AD17C8" w:rsidR="008723A8" w:rsidRDefault="008723A8" w:rsidP="009D5F35">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w:t>
      </w:r>
      <w:r w:rsidR="006E2E7E">
        <w:rPr>
          <w:rFonts w:ascii="Calibri Light" w:hAnsi="Calibri Light" w:cs="Calibri Light"/>
          <w:color w:val="13576B"/>
          <w:sz w:val="20"/>
        </w:rPr>
        <w:t xml:space="preserve">Jedná se o skutečně nové hypotéky (tedy </w:t>
      </w:r>
      <w:r w:rsidR="00F50DD0">
        <w:rPr>
          <w:rFonts w:ascii="Calibri Light" w:hAnsi="Calibri Light" w:cs="Calibri Light"/>
          <w:color w:val="13576B"/>
          <w:sz w:val="20"/>
        </w:rPr>
        <w:t xml:space="preserve">bez </w:t>
      </w:r>
      <w:r w:rsidR="006E2E7E">
        <w:rPr>
          <w:rFonts w:ascii="Calibri Light" w:hAnsi="Calibri Light" w:cs="Calibri Light"/>
          <w:color w:val="13576B"/>
          <w:sz w:val="20"/>
        </w:rPr>
        <w:t xml:space="preserve">refinancování a navýšeni). </w:t>
      </w:r>
      <w:r>
        <w:rPr>
          <w:rFonts w:ascii="Calibri Light" w:hAnsi="Calibri Light" w:cs="Calibri Light"/>
          <w:color w:val="13576B"/>
          <w:sz w:val="20"/>
        </w:rPr>
        <w:t xml:space="preserve">Podkladová data jsou </w:t>
      </w:r>
      <w:r w:rsidRPr="008723A8">
        <w:rPr>
          <w:rFonts w:ascii="Calibri Light" w:hAnsi="Calibri Light" w:cs="Calibri Light"/>
          <w:color w:val="13576B"/>
          <w:sz w:val="20"/>
        </w:rPr>
        <w:t xml:space="preserve">k dispozici v souboru </w:t>
      </w:r>
      <w:proofErr w:type="spellStart"/>
      <w:r w:rsidRPr="008723A8">
        <w:rPr>
          <w:rFonts w:ascii="Calibri Light" w:hAnsi="Calibri Light" w:cs="Calibri Light"/>
          <w:color w:val="13576B"/>
          <w:sz w:val="20"/>
        </w:rPr>
        <w:t>xls</w:t>
      </w:r>
      <w:proofErr w:type="spellEnd"/>
      <w:r w:rsidRPr="008723A8">
        <w:rPr>
          <w:rFonts w:ascii="Calibri Light" w:hAnsi="Calibri Light" w:cs="Calibri Light"/>
          <w:color w:val="13576B"/>
          <w:sz w:val="20"/>
        </w:rPr>
        <w:t xml:space="preserve"> přiloženém na webových stránkách ČBA </w:t>
      </w:r>
      <w:proofErr w:type="spellStart"/>
      <w:r w:rsidRPr="008723A8">
        <w:rPr>
          <w:rFonts w:ascii="Calibri Light" w:hAnsi="Calibri Light" w:cs="Calibri Light"/>
          <w:color w:val="13576B"/>
          <w:sz w:val="20"/>
        </w:rPr>
        <w:t>Hypomonitoru</w:t>
      </w:r>
      <w:proofErr w:type="spellEnd"/>
      <w:r w:rsidR="00E16BD3">
        <w:rPr>
          <w:rFonts w:ascii="Calibri Light" w:hAnsi="Calibri Light" w:cs="Calibri Light"/>
          <w:color w:val="13576B"/>
          <w:sz w:val="20"/>
        </w:rPr>
        <w:t>. V</w:t>
      </w:r>
      <w:r w:rsidR="00E16BD3" w:rsidRPr="00E16BD3">
        <w:rPr>
          <w:rFonts w:ascii="Calibri Light" w:hAnsi="Calibri Light" w:cs="Calibri Light"/>
          <w:color w:val="13576B"/>
          <w:sz w:val="20"/>
        </w:rPr>
        <w:t>ýhled do konce roku</w:t>
      </w:r>
      <w:r w:rsidR="00E16BD3">
        <w:rPr>
          <w:rFonts w:ascii="Calibri Light" w:hAnsi="Calibri Light" w:cs="Calibri Light"/>
          <w:color w:val="13576B"/>
          <w:sz w:val="20"/>
        </w:rPr>
        <w:t xml:space="preserve"> (</w:t>
      </w:r>
      <w:proofErr w:type="spellStart"/>
      <w:r w:rsidR="00E16BD3">
        <w:rPr>
          <w:rFonts w:ascii="Calibri Light" w:hAnsi="Calibri Light" w:cs="Calibri Light"/>
          <w:color w:val="13576B"/>
          <w:sz w:val="20"/>
        </w:rPr>
        <w:t>fcst</w:t>
      </w:r>
      <w:proofErr w:type="spellEnd"/>
      <w:r w:rsidR="00E16BD3">
        <w:rPr>
          <w:rFonts w:ascii="Calibri Light" w:hAnsi="Calibri Light" w:cs="Calibri Light"/>
          <w:color w:val="13576B"/>
          <w:sz w:val="20"/>
        </w:rPr>
        <w:t>)</w:t>
      </w:r>
      <w:r w:rsidR="00E16BD3" w:rsidRPr="00E16BD3">
        <w:rPr>
          <w:rFonts w:ascii="Calibri Light" w:hAnsi="Calibri Light" w:cs="Calibri Light"/>
          <w:color w:val="13576B"/>
          <w:sz w:val="20"/>
        </w:rPr>
        <w:t xml:space="preserve"> je momentový – vychází z aktuálního trendu, nikoli z modelové predikce.</w:t>
      </w:r>
      <w:r w:rsidR="0025756A" w:rsidRPr="0025756A">
        <w:t xml:space="preserve"> </w:t>
      </w:r>
      <w:r w:rsidR="0025756A" w:rsidRPr="0025756A">
        <w:rPr>
          <w:rFonts w:ascii="Calibri Light" w:hAnsi="Calibri Light" w:cs="Calibri Light"/>
          <w:color w:val="13576B"/>
          <w:sz w:val="20"/>
        </w:rPr>
        <w:t>Nicméně pro zbytek roku předpokládá 7 % korekci do počtu hypoték</w:t>
      </w:r>
      <w:r w:rsidR="0007456F">
        <w:rPr>
          <w:rFonts w:ascii="Calibri Light" w:hAnsi="Calibri Light" w:cs="Calibri Light"/>
          <w:color w:val="13576B"/>
          <w:sz w:val="20"/>
        </w:rPr>
        <w:t xml:space="preserve"> vůči H2-2025</w:t>
      </w:r>
      <w:r w:rsidR="0025756A" w:rsidRPr="0025756A">
        <w:rPr>
          <w:rFonts w:ascii="Calibri Light" w:hAnsi="Calibri Light" w:cs="Calibri Light"/>
          <w:color w:val="13576B"/>
          <w:sz w:val="20"/>
        </w:rPr>
        <w:t>.</w:t>
      </w:r>
    </w:p>
    <w:p w14:paraId="50F3BD64" w14:textId="77777777" w:rsidR="0033440C" w:rsidRDefault="0033440C" w:rsidP="009D5F35">
      <w:pPr>
        <w:overflowPunct/>
        <w:autoSpaceDE/>
        <w:adjustRightInd/>
        <w:rPr>
          <w:rFonts w:ascii="Calibri Light" w:hAnsi="Calibri Light" w:cs="Calibri Light"/>
          <w:color w:val="13576B"/>
          <w:sz w:val="20"/>
        </w:rPr>
      </w:pPr>
    </w:p>
    <w:p w14:paraId="67028DE4" w14:textId="685D812B" w:rsidR="00582221" w:rsidRDefault="00582221" w:rsidP="009D5F35">
      <w:pPr>
        <w:overflowPunct/>
        <w:autoSpaceDE/>
        <w:adjustRightInd/>
        <w:rPr>
          <w:rFonts w:ascii="Calibri Light" w:hAnsi="Calibri Light" w:cs="Calibri Light"/>
          <w:color w:val="13576B"/>
          <w:sz w:val="20"/>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8</w:t>
      </w:r>
      <w:r w:rsidRPr="005B4653">
        <w:rPr>
          <w:rFonts w:ascii="Calibri" w:hAnsi="Calibri" w:cs="Calibri"/>
          <w:b/>
          <w:color w:val="13576B"/>
          <w:sz w:val="23"/>
          <w:szCs w:val="23"/>
        </w:rPr>
        <w:t xml:space="preserve">: </w:t>
      </w:r>
      <w:r>
        <w:rPr>
          <w:rFonts w:ascii="Calibri" w:hAnsi="Calibri" w:cs="Calibri"/>
          <w:b/>
          <w:color w:val="13576B"/>
          <w:sz w:val="23"/>
          <w:szCs w:val="23"/>
        </w:rPr>
        <w:t>Rozložení nových hypotečních úvěrů podle účelu</w:t>
      </w:r>
    </w:p>
    <w:p w14:paraId="6D87A84C" w14:textId="7E014887" w:rsidR="00582221" w:rsidRDefault="004226ED"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drawing>
          <wp:inline distT="0" distB="0" distL="0" distR="0" wp14:anchorId="276BA262" wp14:editId="667E6A8B">
            <wp:extent cx="6402705" cy="1879704"/>
            <wp:effectExtent l="0" t="0" r="0" b="6350"/>
            <wp:docPr id="10874553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46294" cy="1892501"/>
                    </a:xfrm>
                    <a:prstGeom prst="rect">
                      <a:avLst/>
                    </a:prstGeom>
                    <a:noFill/>
                  </pic:spPr>
                </pic:pic>
              </a:graphicData>
            </a:graphic>
          </wp:inline>
        </w:drawing>
      </w:r>
    </w:p>
    <w:p w14:paraId="56D7AF75" w14:textId="77777777" w:rsidR="00582221" w:rsidRDefault="00582221" w:rsidP="00582221">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w:t>
      </w:r>
      <w:proofErr w:type="spellStart"/>
      <w:r>
        <w:rPr>
          <w:rFonts w:ascii="Calibri Light" w:hAnsi="Calibri Light" w:cs="Calibri Light"/>
          <w:color w:val="13576B"/>
          <w:sz w:val="20"/>
        </w:rPr>
        <w:t>Hypomonitor</w:t>
      </w:r>
      <w:proofErr w:type="spellEnd"/>
    </w:p>
    <w:p w14:paraId="5303965F" w14:textId="2A25A408" w:rsidR="0033440C" w:rsidRPr="00616069" w:rsidRDefault="00582221" w:rsidP="00582221">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Poslední údaj představuje průměr za posledních 12 měsíců. </w:t>
      </w:r>
      <w:r w:rsidR="00867322">
        <w:rPr>
          <w:rFonts w:ascii="Calibri Light" w:hAnsi="Calibri Light" w:cs="Calibri Light"/>
          <w:color w:val="13576B"/>
          <w:sz w:val="20"/>
        </w:rPr>
        <w:t>Intepretace segmentu ostatních může být zkreslena zařazením tz</w:t>
      </w:r>
      <w:r w:rsidR="0007456F">
        <w:rPr>
          <w:rFonts w:ascii="Calibri Light" w:hAnsi="Calibri Light" w:cs="Calibri Light"/>
          <w:color w:val="13576B"/>
          <w:sz w:val="20"/>
        </w:rPr>
        <w:t>v</w:t>
      </w:r>
      <w:r w:rsidR="00867322">
        <w:rPr>
          <w:rFonts w:ascii="Calibri Light" w:hAnsi="Calibri Light" w:cs="Calibri Light"/>
          <w:color w:val="13576B"/>
          <w:sz w:val="20"/>
        </w:rPr>
        <w:t xml:space="preserve">. hypoték bez nemovitosti </w:t>
      </w:r>
      <w:r w:rsidR="00867322" w:rsidRPr="00867322">
        <w:rPr>
          <w:rFonts w:ascii="Calibri Light" w:hAnsi="Calibri Light" w:cs="Calibri Light"/>
          <w:color w:val="13576B"/>
          <w:sz w:val="20"/>
        </w:rPr>
        <w:t>sjednané bez účelu</w:t>
      </w:r>
      <w:r w:rsidR="00867322">
        <w:rPr>
          <w:rFonts w:ascii="Calibri Light" w:hAnsi="Calibri Light" w:cs="Calibri Light"/>
          <w:color w:val="13576B"/>
          <w:sz w:val="20"/>
        </w:rPr>
        <w:t xml:space="preserve">. Blíže viz metodická poznámka níže. </w:t>
      </w:r>
    </w:p>
    <w:bookmarkEnd w:id="7"/>
    <w:p w14:paraId="045825E8" w14:textId="77777777" w:rsidR="00801B60" w:rsidRDefault="00801B60" w:rsidP="002A5D11">
      <w:pPr>
        <w:rPr>
          <w:rFonts w:ascii="Calibri" w:hAnsi="Calibri" w:cs="Calibri"/>
          <w:b/>
          <w:color w:val="13576B"/>
          <w:sz w:val="24"/>
          <w:szCs w:val="24"/>
        </w:rPr>
      </w:pPr>
    </w:p>
    <w:p w14:paraId="38F7CB3F" w14:textId="2FEEAD4C" w:rsidR="00BA3140" w:rsidRPr="002A5D11" w:rsidRDefault="00BA3140" w:rsidP="00BA3140">
      <w:pPr>
        <w:rPr>
          <w:rFonts w:ascii="Calibri" w:hAnsi="Calibri" w:cs="Calibri"/>
          <w:b/>
          <w:color w:val="13576B"/>
          <w:sz w:val="24"/>
          <w:szCs w:val="24"/>
        </w:rPr>
      </w:pPr>
      <w:r w:rsidRPr="002A5D11">
        <w:rPr>
          <w:rFonts w:ascii="Calibri" w:hAnsi="Calibri" w:cs="Calibri"/>
          <w:b/>
          <w:color w:val="13576B"/>
          <w:sz w:val="24"/>
          <w:szCs w:val="24"/>
        </w:rPr>
        <w:t>Hypoteční trh v roce 202</w:t>
      </w:r>
      <w:r>
        <w:rPr>
          <w:rFonts w:ascii="Calibri" w:hAnsi="Calibri" w:cs="Calibri"/>
          <w:b/>
          <w:color w:val="13576B"/>
          <w:sz w:val="24"/>
          <w:szCs w:val="24"/>
        </w:rPr>
        <w:t>5</w:t>
      </w:r>
      <w:r w:rsidR="00356A6D">
        <w:rPr>
          <w:rFonts w:ascii="Calibri" w:hAnsi="Calibri" w:cs="Calibri"/>
          <w:b/>
          <w:color w:val="13576B"/>
          <w:sz w:val="24"/>
          <w:szCs w:val="24"/>
        </w:rPr>
        <w:t xml:space="preserve"> přinesl </w:t>
      </w:r>
      <w:r>
        <w:rPr>
          <w:rFonts w:ascii="Calibri" w:hAnsi="Calibri" w:cs="Calibri"/>
          <w:b/>
          <w:color w:val="13576B"/>
          <w:sz w:val="24"/>
          <w:szCs w:val="24"/>
        </w:rPr>
        <w:t>silný</w:t>
      </w:r>
      <w:r w:rsidRPr="002A5D11">
        <w:rPr>
          <w:rFonts w:ascii="Calibri" w:hAnsi="Calibri" w:cs="Calibri"/>
          <w:b/>
          <w:color w:val="13576B"/>
          <w:sz w:val="24"/>
          <w:szCs w:val="24"/>
        </w:rPr>
        <w:t xml:space="preserve"> </w:t>
      </w:r>
      <w:r>
        <w:rPr>
          <w:rFonts w:ascii="Calibri" w:hAnsi="Calibri" w:cs="Calibri"/>
          <w:b/>
          <w:color w:val="13576B"/>
          <w:sz w:val="24"/>
          <w:szCs w:val="24"/>
        </w:rPr>
        <w:t xml:space="preserve">objemový </w:t>
      </w:r>
      <w:r w:rsidRPr="002A5D11">
        <w:rPr>
          <w:rFonts w:ascii="Calibri" w:hAnsi="Calibri" w:cs="Calibri"/>
          <w:b/>
          <w:color w:val="13576B"/>
          <w:sz w:val="24"/>
          <w:szCs w:val="24"/>
        </w:rPr>
        <w:t xml:space="preserve">růst o </w:t>
      </w:r>
      <w:r>
        <w:rPr>
          <w:rFonts w:ascii="Calibri" w:hAnsi="Calibri" w:cs="Calibri"/>
          <w:b/>
          <w:color w:val="13576B"/>
          <w:sz w:val="24"/>
          <w:szCs w:val="24"/>
        </w:rPr>
        <w:t>41</w:t>
      </w:r>
      <w:r w:rsidRPr="002A5D11">
        <w:rPr>
          <w:rFonts w:ascii="Calibri" w:hAnsi="Calibri" w:cs="Calibri"/>
          <w:b/>
          <w:color w:val="13576B"/>
          <w:sz w:val="24"/>
          <w:szCs w:val="24"/>
        </w:rPr>
        <w:t xml:space="preserve"> %</w:t>
      </w:r>
      <w:r>
        <w:rPr>
          <w:rFonts w:ascii="Calibri" w:hAnsi="Calibri" w:cs="Calibri"/>
          <w:b/>
          <w:color w:val="13576B"/>
          <w:sz w:val="24"/>
          <w:szCs w:val="24"/>
        </w:rPr>
        <w:t xml:space="preserve"> a o téměř čtvrtinu v počtech</w:t>
      </w:r>
    </w:p>
    <w:p w14:paraId="153D0109" w14:textId="77777777" w:rsidR="00BA3140" w:rsidRPr="00840F7C" w:rsidRDefault="00BA3140" w:rsidP="00BA3140">
      <w:pPr>
        <w:rPr>
          <w:rFonts w:ascii="Calibri" w:hAnsi="Calibri" w:cs="Calibri"/>
          <w:b/>
          <w:bCs/>
          <w:sz w:val="22"/>
          <w:szCs w:val="22"/>
        </w:rPr>
      </w:pPr>
    </w:p>
    <w:p w14:paraId="605D853E" w14:textId="77777777" w:rsidR="00BA3140" w:rsidRDefault="00BA3140" w:rsidP="00BA3140">
      <w:pPr>
        <w:rPr>
          <w:rFonts w:ascii="Calibri" w:hAnsi="Calibri" w:cs="Calibri"/>
          <w:color w:val="000000" w:themeColor="text1"/>
          <w:sz w:val="22"/>
          <w:szCs w:val="22"/>
        </w:rPr>
      </w:pPr>
      <w:r w:rsidRPr="00840F7C">
        <w:rPr>
          <w:rFonts w:ascii="Calibri" w:hAnsi="Calibri" w:cs="Calibri"/>
          <w:b/>
          <w:bCs/>
          <w:color w:val="000000" w:themeColor="text1"/>
          <w:sz w:val="22"/>
          <w:szCs w:val="22"/>
        </w:rPr>
        <w:t>Za celý rok 202</w:t>
      </w:r>
      <w:r>
        <w:rPr>
          <w:rFonts w:ascii="Calibri" w:hAnsi="Calibri" w:cs="Calibri"/>
          <w:b/>
          <w:bCs/>
          <w:color w:val="000000" w:themeColor="text1"/>
          <w:sz w:val="22"/>
          <w:szCs w:val="22"/>
        </w:rPr>
        <w:t>5</w:t>
      </w:r>
      <w:r w:rsidRPr="00840F7C">
        <w:rPr>
          <w:rFonts w:ascii="Calibri" w:hAnsi="Calibri" w:cs="Calibri"/>
          <w:b/>
          <w:bCs/>
          <w:color w:val="000000" w:themeColor="text1"/>
          <w:sz w:val="22"/>
          <w:szCs w:val="22"/>
        </w:rPr>
        <w:t xml:space="preserve"> poskytly banky a stavební spořitelny nové hypoteční úvěry v objemu </w:t>
      </w:r>
      <w:r>
        <w:rPr>
          <w:rFonts w:ascii="Calibri" w:hAnsi="Calibri" w:cs="Calibri"/>
          <w:b/>
          <w:bCs/>
          <w:color w:val="000000" w:themeColor="text1"/>
          <w:sz w:val="22"/>
          <w:szCs w:val="22"/>
        </w:rPr>
        <w:t>321</w:t>
      </w:r>
      <w:r w:rsidRPr="00840F7C">
        <w:rPr>
          <w:rFonts w:ascii="Calibri" w:hAnsi="Calibri" w:cs="Calibri"/>
          <w:b/>
          <w:bCs/>
          <w:color w:val="000000" w:themeColor="text1"/>
          <w:sz w:val="22"/>
          <w:szCs w:val="22"/>
        </w:rPr>
        <w:t xml:space="preserve"> miliard Kč.</w:t>
      </w:r>
      <w:r>
        <w:rPr>
          <w:rFonts w:ascii="Calibri" w:hAnsi="Calibri" w:cs="Calibri"/>
          <w:b/>
          <w:bCs/>
          <w:color w:val="000000" w:themeColor="text1"/>
          <w:sz w:val="22"/>
          <w:szCs w:val="22"/>
        </w:rPr>
        <w:t xml:space="preserve"> </w:t>
      </w:r>
      <w:r w:rsidRPr="00840F7C">
        <w:rPr>
          <w:rFonts w:ascii="Calibri" w:hAnsi="Calibri" w:cs="Calibri"/>
          <w:color w:val="000000" w:themeColor="text1"/>
          <w:sz w:val="22"/>
          <w:szCs w:val="22"/>
        </w:rPr>
        <w:t>To je</w:t>
      </w:r>
      <w:r>
        <w:rPr>
          <w:rFonts w:ascii="Calibri" w:hAnsi="Calibri" w:cs="Calibri"/>
          <w:color w:val="000000" w:themeColor="text1"/>
          <w:sz w:val="22"/>
          <w:szCs w:val="22"/>
        </w:rPr>
        <w:t xml:space="preserve"> o</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93 miliard korun</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více než 228 miliard vytvořených v roce 2024. Tento meziroční skok odpovídá 41% nárůstu. </w:t>
      </w:r>
      <w:r w:rsidRPr="00840F7C">
        <w:rPr>
          <w:rFonts w:ascii="Calibri" w:hAnsi="Calibri" w:cs="Calibri"/>
          <w:color w:val="000000" w:themeColor="text1"/>
          <w:sz w:val="22"/>
          <w:szCs w:val="22"/>
        </w:rPr>
        <w:t xml:space="preserve">K tomu se navíc refinancovaly hypotéky v rozsahu </w:t>
      </w:r>
      <w:r>
        <w:rPr>
          <w:rFonts w:ascii="Calibri" w:hAnsi="Calibri" w:cs="Calibri"/>
          <w:color w:val="000000" w:themeColor="text1"/>
          <w:sz w:val="22"/>
          <w:szCs w:val="22"/>
        </w:rPr>
        <w:t xml:space="preserve">85 </w:t>
      </w:r>
      <w:r w:rsidRPr="00840F7C">
        <w:rPr>
          <w:rFonts w:ascii="Calibri" w:hAnsi="Calibri" w:cs="Calibri"/>
          <w:color w:val="000000" w:themeColor="text1"/>
          <w:sz w:val="22"/>
          <w:szCs w:val="22"/>
        </w:rPr>
        <w:t>miliard Kč a celý hypoteční trh tak v roce 202</w:t>
      </w:r>
      <w:r>
        <w:rPr>
          <w:rFonts w:ascii="Calibri" w:hAnsi="Calibri" w:cs="Calibri"/>
          <w:color w:val="000000" w:themeColor="text1"/>
          <w:sz w:val="22"/>
          <w:szCs w:val="22"/>
        </w:rPr>
        <w:t>5</w:t>
      </w:r>
      <w:r w:rsidRPr="00840F7C">
        <w:rPr>
          <w:rFonts w:ascii="Calibri" w:hAnsi="Calibri" w:cs="Calibri"/>
          <w:color w:val="000000" w:themeColor="text1"/>
          <w:sz w:val="22"/>
          <w:szCs w:val="22"/>
        </w:rPr>
        <w:t xml:space="preserve"> narostl na </w:t>
      </w:r>
      <w:r>
        <w:rPr>
          <w:rFonts w:ascii="Calibri" w:hAnsi="Calibri" w:cs="Calibri"/>
          <w:color w:val="000000" w:themeColor="text1"/>
          <w:sz w:val="22"/>
          <w:szCs w:val="22"/>
        </w:rPr>
        <w:t>406</w:t>
      </w:r>
      <w:r w:rsidRPr="00840F7C">
        <w:rPr>
          <w:rFonts w:ascii="Calibri" w:hAnsi="Calibri" w:cs="Calibri"/>
          <w:color w:val="000000" w:themeColor="text1"/>
          <w:sz w:val="22"/>
          <w:szCs w:val="22"/>
        </w:rPr>
        <w:t xml:space="preserve"> miliard </w:t>
      </w:r>
      <w:r w:rsidRPr="00840F7C">
        <w:rPr>
          <w:rFonts w:ascii="Calibri" w:hAnsi="Calibri" w:cs="Calibri"/>
          <w:color w:val="000000" w:themeColor="text1"/>
          <w:sz w:val="22"/>
          <w:szCs w:val="22"/>
        </w:rPr>
        <w:lastRenderedPageBreak/>
        <w:t>Kč z</w:t>
      </w:r>
      <w:r>
        <w:rPr>
          <w:rFonts w:ascii="Calibri" w:hAnsi="Calibri" w:cs="Calibri"/>
          <w:color w:val="000000" w:themeColor="text1"/>
          <w:sz w:val="22"/>
          <w:szCs w:val="22"/>
        </w:rPr>
        <w:t xml:space="preserve"> 275 </w:t>
      </w:r>
      <w:r w:rsidRPr="00840F7C">
        <w:rPr>
          <w:rFonts w:ascii="Calibri" w:hAnsi="Calibri" w:cs="Calibri"/>
          <w:color w:val="000000" w:themeColor="text1"/>
          <w:sz w:val="22"/>
          <w:szCs w:val="22"/>
        </w:rPr>
        <w:t>miliard v roce 202</w:t>
      </w:r>
      <w:r>
        <w:rPr>
          <w:rFonts w:ascii="Calibri" w:hAnsi="Calibri" w:cs="Calibri"/>
          <w:color w:val="000000" w:themeColor="text1"/>
          <w:sz w:val="22"/>
          <w:szCs w:val="22"/>
        </w:rPr>
        <w:t>4</w:t>
      </w:r>
      <w:r w:rsidRPr="00840F7C">
        <w:rPr>
          <w:rFonts w:ascii="Calibri" w:hAnsi="Calibri" w:cs="Calibri"/>
          <w:color w:val="000000" w:themeColor="text1"/>
          <w:sz w:val="22"/>
          <w:szCs w:val="22"/>
        </w:rPr>
        <w:t xml:space="preserve">. Pokud upravíme objemy o nárůst cen </w:t>
      </w:r>
      <w:r>
        <w:rPr>
          <w:rFonts w:ascii="Calibri" w:hAnsi="Calibri" w:cs="Calibri"/>
          <w:color w:val="000000" w:themeColor="text1"/>
          <w:sz w:val="22"/>
          <w:szCs w:val="22"/>
        </w:rPr>
        <w:t>bytů okolo 15-16</w:t>
      </w:r>
      <w:r w:rsidRPr="00840F7C">
        <w:rPr>
          <w:rFonts w:ascii="Calibri" w:hAnsi="Calibri" w:cs="Calibri"/>
          <w:color w:val="000000" w:themeColor="text1"/>
          <w:sz w:val="22"/>
          <w:szCs w:val="22"/>
        </w:rPr>
        <w:t xml:space="preserve"> % (dle různých statistik), objem nových hypoték vzrostl reálně o něco méně. To odpovídá i mírnějšímu nárůstu počtu nových hypoték v roce 202</w:t>
      </w:r>
      <w:r>
        <w:rPr>
          <w:rFonts w:ascii="Calibri" w:hAnsi="Calibri" w:cs="Calibri"/>
          <w:color w:val="000000" w:themeColor="text1"/>
          <w:sz w:val="22"/>
          <w:szCs w:val="22"/>
        </w:rPr>
        <w:t>5, o necelou čtvrtinu na více než 76,11</w:t>
      </w:r>
      <w:r w:rsidRPr="00872E78">
        <w:rPr>
          <w:rFonts w:ascii="Calibri" w:hAnsi="Calibri" w:cs="Calibri"/>
          <w:color w:val="000000" w:themeColor="text1"/>
          <w:sz w:val="22"/>
          <w:szCs w:val="22"/>
        </w:rPr>
        <w:t xml:space="preserve"> tisíc</w:t>
      </w:r>
      <w:r>
        <w:rPr>
          <w:rFonts w:ascii="Calibri" w:hAnsi="Calibri" w:cs="Calibri"/>
          <w:color w:val="000000" w:themeColor="text1"/>
          <w:sz w:val="22"/>
          <w:szCs w:val="22"/>
        </w:rPr>
        <w:t>,</w:t>
      </w:r>
      <w:r w:rsidRPr="00872E78">
        <w:rPr>
          <w:rFonts w:ascii="Calibri" w:hAnsi="Calibri" w:cs="Calibri"/>
          <w:color w:val="000000" w:themeColor="text1"/>
          <w:sz w:val="22"/>
          <w:szCs w:val="22"/>
        </w:rPr>
        <w:t xml:space="preserve"> a téměř </w:t>
      </w:r>
      <w:r>
        <w:rPr>
          <w:rFonts w:ascii="Calibri" w:hAnsi="Calibri" w:cs="Calibri"/>
          <w:color w:val="000000" w:themeColor="text1"/>
          <w:sz w:val="22"/>
          <w:szCs w:val="22"/>
        </w:rPr>
        <w:t>15</w:t>
      </w:r>
      <w:r w:rsidRPr="00872E78">
        <w:rPr>
          <w:rFonts w:ascii="Calibri" w:hAnsi="Calibri" w:cs="Calibri"/>
          <w:color w:val="000000" w:themeColor="text1"/>
          <w:sz w:val="22"/>
          <w:szCs w:val="22"/>
        </w:rPr>
        <w:t>% nárůstu průměrné výše poskytnuté nové hypotéky na</w:t>
      </w:r>
      <w:r>
        <w:rPr>
          <w:rFonts w:ascii="Calibri" w:hAnsi="Calibri" w:cs="Calibri"/>
          <w:color w:val="000000" w:themeColor="text1"/>
          <w:sz w:val="22"/>
          <w:szCs w:val="22"/>
        </w:rPr>
        <w:t xml:space="preserve"> 4,21</w:t>
      </w:r>
      <w:r w:rsidRPr="00872E78">
        <w:rPr>
          <w:rFonts w:ascii="Calibri" w:hAnsi="Calibri" w:cs="Calibri"/>
          <w:color w:val="000000" w:themeColor="text1"/>
          <w:sz w:val="22"/>
          <w:szCs w:val="22"/>
        </w:rPr>
        <w:t xml:space="preserve"> milion</w:t>
      </w:r>
      <w:r>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 </w:t>
      </w:r>
    </w:p>
    <w:p w14:paraId="7ECD8698" w14:textId="77777777" w:rsidR="00BA3140" w:rsidRDefault="00BA3140" w:rsidP="00BA3140">
      <w:pPr>
        <w:rPr>
          <w:rFonts w:ascii="Calibri" w:hAnsi="Calibri" w:cs="Calibri"/>
          <w:color w:val="000000" w:themeColor="text1"/>
          <w:sz w:val="22"/>
          <w:szCs w:val="22"/>
        </w:rPr>
      </w:pPr>
    </w:p>
    <w:p w14:paraId="2DB164B7" w14:textId="77777777" w:rsidR="00BA3140" w:rsidRPr="009C5D66" w:rsidRDefault="00BA3140" w:rsidP="00BA3140">
      <w:pPr>
        <w:rPr>
          <w:rFonts w:ascii="Calibri" w:hAnsi="Calibri" w:cs="Calibri"/>
          <w:color w:val="000000" w:themeColor="text1"/>
          <w:sz w:val="22"/>
          <w:szCs w:val="22"/>
        </w:rPr>
      </w:pPr>
      <w:r w:rsidRPr="009C5D66">
        <w:rPr>
          <w:rFonts w:ascii="Calibri" w:hAnsi="Calibri" w:cs="Calibri"/>
          <w:color w:val="000000" w:themeColor="text1"/>
          <w:sz w:val="22"/>
          <w:szCs w:val="22"/>
        </w:rPr>
        <w:t xml:space="preserve">Nové hypotéky se v roce 2025 financovaly průměrnou úrokovou sazbu 4,58 %, což bylo o půl procentního bodu méně než v roce 2024, přičemž spread vůči tržní swapové </w:t>
      </w:r>
      <w:r>
        <w:rPr>
          <w:rFonts w:ascii="Calibri" w:hAnsi="Calibri" w:cs="Calibri"/>
          <w:color w:val="000000" w:themeColor="text1"/>
          <w:sz w:val="22"/>
          <w:szCs w:val="22"/>
        </w:rPr>
        <w:t xml:space="preserve">úrokové </w:t>
      </w:r>
      <w:r w:rsidRPr="009C5D66">
        <w:rPr>
          <w:rFonts w:ascii="Calibri" w:hAnsi="Calibri" w:cs="Calibri"/>
          <w:color w:val="000000" w:themeColor="text1"/>
          <w:sz w:val="22"/>
          <w:szCs w:val="22"/>
        </w:rPr>
        <w:t>křivce dosáhl necelého jednoho procentního bodu, což je mírně pod dlouhodobým průměrem. Průměrná měsíční výše hypoteční splátky v roce 2025 dosáhla necelých 22,8 tisíc</w:t>
      </w:r>
      <w:r>
        <w:rPr>
          <w:rFonts w:ascii="Calibri" w:hAnsi="Calibri" w:cs="Calibri"/>
          <w:color w:val="000000" w:themeColor="text1"/>
          <w:sz w:val="22"/>
          <w:szCs w:val="22"/>
        </w:rPr>
        <w:t>e</w:t>
      </w:r>
      <w:r w:rsidRPr="009C5D66">
        <w:rPr>
          <w:rFonts w:ascii="Calibri" w:hAnsi="Calibri" w:cs="Calibri"/>
          <w:color w:val="000000" w:themeColor="text1"/>
          <w:sz w:val="22"/>
          <w:szCs w:val="22"/>
        </w:rPr>
        <w:t xml:space="preserve"> Kč, což je o 8,6</w:t>
      </w:r>
      <w:r>
        <w:rPr>
          <w:rFonts w:ascii="Calibri" w:hAnsi="Calibri" w:cs="Calibri"/>
          <w:color w:val="000000" w:themeColor="text1"/>
          <w:sz w:val="22"/>
          <w:szCs w:val="22"/>
        </w:rPr>
        <w:t xml:space="preserve"> %</w:t>
      </w:r>
      <w:r w:rsidRPr="009C5D66">
        <w:rPr>
          <w:rFonts w:ascii="Calibri" w:hAnsi="Calibri" w:cs="Calibri"/>
          <w:color w:val="000000" w:themeColor="text1"/>
          <w:sz w:val="22"/>
          <w:szCs w:val="22"/>
        </w:rPr>
        <w:t xml:space="preserve"> více než v roce 2024, </w:t>
      </w:r>
      <w:r>
        <w:rPr>
          <w:rFonts w:ascii="Calibri" w:hAnsi="Calibri" w:cs="Calibri"/>
          <w:color w:val="000000" w:themeColor="text1"/>
          <w:sz w:val="22"/>
          <w:szCs w:val="22"/>
        </w:rPr>
        <w:t>a mírně překonalo pravděpodobně více než 7% loňský nárůst</w:t>
      </w:r>
      <w:r w:rsidRPr="009C5D66">
        <w:rPr>
          <w:rFonts w:ascii="Calibri" w:hAnsi="Calibri" w:cs="Calibri"/>
          <w:color w:val="000000" w:themeColor="text1"/>
          <w:sz w:val="22"/>
          <w:szCs w:val="22"/>
        </w:rPr>
        <w:t xml:space="preserve"> </w:t>
      </w:r>
      <w:hyperlink r:id="rId38" w:history="1">
        <w:r w:rsidRPr="009C5D66">
          <w:rPr>
            <w:rStyle w:val="Hypertextovodkaz"/>
            <w:rFonts w:ascii="Calibri" w:hAnsi="Calibri" w:cs="Calibri"/>
            <w:sz w:val="22"/>
            <w:szCs w:val="22"/>
          </w:rPr>
          <w:t>průměrn</w:t>
        </w:r>
        <w:r>
          <w:rPr>
            <w:rStyle w:val="Hypertextovodkaz"/>
            <w:rFonts w:ascii="Calibri" w:hAnsi="Calibri" w:cs="Calibri"/>
            <w:sz w:val="22"/>
            <w:szCs w:val="22"/>
          </w:rPr>
          <w:t>é</w:t>
        </w:r>
        <w:r w:rsidRPr="009C5D66">
          <w:rPr>
            <w:rStyle w:val="Hypertextovodkaz"/>
            <w:rFonts w:ascii="Calibri" w:hAnsi="Calibri" w:cs="Calibri"/>
            <w:sz w:val="22"/>
            <w:szCs w:val="22"/>
          </w:rPr>
          <w:t xml:space="preserve"> nominální mzdy</w:t>
        </w:r>
      </w:hyperlink>
      <w:r w:rsidRPr="009C5D66">
        <w:rPr>
          <w:rFonts w:ascii="Calibri" w:hAnsi="Calibri" w:cs="Calibri"/>
          <w:color w:val="000000" w:themeColor="text1"/>
          <w:sz w:val="22"/>
          <w:szCs w:val="22"/>
        </w:rPr>
        <w:t xml:space="preserve">. </w:t>
      </w:r>
      <w:r>
        <w:rPr>
          <w:rFonts w:ascii="Calibri" w:hAnsi="Calibri" w:cs="Calibri"/>
          <w:color w:val="000000" w:themeColor="text1"/>
          <w:sz w:val="22"/>
          <w:szCs w:val="22"/>
        </w:rPr>
        <w:t>P</w:t>
      </w:r>
      <w:r w:rsidRPr="009C5D66">
        <w:rPr>
          <w:rFonts w:ascii="Calibri" w:hAnsi="Calibri" w:cs="Calibri"/>
          <w:color w:val="000000" w:themeColor="text1"/>
          <w:sz w:val="22"/>
          <w:szCs w:val="22"/>
        </w:rPr>
        <w:t xml:space="preserve">růměrný meziroční nárůst měsíční </w:t>
      </w:r>
      <w:r>
        <w:rPr>
          <w:rFonts w:ascii="Calibri" w:hAnsi="Calibri" w:cs="Calibri"/>
          <w:color w:val="000000" w:themeColor="text1"/>
          <w:sz w:val="22"/>
          <w:szCs w:val="22"/>
        </w:rPr>
        <w:t xml:space="preserve">hypoteční </w:t>
      </w:r>
      <w:r w:rsidRPr="009C5D66">
        <w:rPr>
          <w:rFonts w:ascii="Calibri" w:hAnsi="Calibri" w:cs="Calibri"/>
          <w:color w:val="000000" w:themeColor="text1"/>
          <w:sz w:val="22"/>
          <w:szCs w:val="22"/>
        </w:rPr>
        <w:t>splátky přibližně o 1 800 korun</w:t>
      </w:r>
      <w:r>
        <w:rPr>
          <w:rFonts w:ascii="Calibri" w:hAnsi="Calibri" w:cs="Calibri"/>
          <w:color w:val="000000" w:themeColor="text1"/>
          <w:sz w:val="22"/>
          <w:szCs w:val="22"/>
        </w:rPr>
        <w:t xml:space="preserve"> v roce 2025</w:t>
      </w:r>
      <w:r w:rsidRPr="009C5D66">
        <w:rPr>
          <w:rFonts w:ascii="Calibri" w:hAnsi="Calibri" w:cs="Calibri"/>
          <w:color w:val="000000" w:themeColor="text1"/>
          <w:sz w:val="22"/>
          <w:szCs w:val="22"/>
        </w:rPr>
        <w:t xml:space="preserve"> především odrážel vyšší průměrnou </w:t>
      </w:r>
      <w:r>
        <w:rPr>
          <w:rFonts w:ascii="Calibri" w:hAnsi="Calibri" w:cs="Calibri"/>
          <w:color w:val="000000" w:themeColor="text1"/>
          <w:sz w:val="22"/>
          <w:szCs w:val="22"/>
        </w:rPr>
        <w:t>úroveň</w:t>
      </w:r>
      <w:r w:rsidRPr="009C5D66">
        <w:rPr>
          <w:rFonts w:ascii="Calibri" w:hAnsi="Calibri" w:cs="Calibri"/>
          <w:color w:val="000000" w:themeColor="text1"/>
          <w:sz w:val="22"/>
          <w:szCs w:val="22"/>
        </w:rPr>
        <w:t xml:space="preserve"> hypotéky s navýšením splátky téměř o 2,9 tis. Kč, zatímco nižší hypoteční úroková sazba snížila průměrnou měsíční splátku o více než 1,2 tis. Kč. </w:t>
      </w:r>
    </w:p>
    <w:p w14:paraId="09717EC0" w14:textId="77777777" w:rsidR="00BA3140" w:rsidRDefault="00BA3140" w:rsidP="00BA3140">
      <w:pPr>
        <w:rPr>
          <w:rFonts w:ascii="Calibri" w:hAnsi="Calibri" w:cs="Calibri"/>
          <w:b/>
          <w:color w:val="13576B"/>
          <w:sz w:val="23"/>
          <w:szCs w:val="23"/>
          <w:highlight w:val="yellow"/>
        </w:rPr>
      </w:pPr>
    </w:p>
    <w:p w14:paraId="62183D0D" w14:textId="77777777" w:rsidR="00BA3140" w:rsidRPr="002F4CBD" w:rsidRDefault="00BA3140" w:rsidP="00BA3140">
      <w:pPr>
        <w:rPr>
          <w:rFonts w:ascii="Calibri" w:hAnsi="Calibri" w:cs="Calibri"/>
          <w:sz w:val="22"/>
          <w:szCs w:val="22"/>
        </w:rPr>
      </w:pPr>
      <w:r w:rsidRPr="002F4CBD">
        <w:rPr>
          <w:rFonts w:ascii="Calibri" w:hAnsi="Calibri" w:cs="Calibri"/>
          <w:b/>
          <w:color w:val="13576B"/>
          <w:sz w:val="23"/>
          <w:szCs w:val="23"/>
        </w:rPr>
        <w:t xml:space="preserve">Graf č. </w:t>
      </w:r>
      <w:r>
        <w:rPr>
          <w:rFonts w:ascii="Calibri" w:hAnsi="Calibri" w:cs="Calibri"/>
          <w:b/>
          <w:color w:val="13576B"/>
          <w:sz w:val="23"/>
          <w:szCs w:val="23"/>
        </w:rPr>
        <w:t>1</w:t>
      </w:r>
      <w:r w:rsidRPr="002F4CBD">
        <w:rPr>
          <w:rFonts w:ascii="Calibri" w:hAnsi="Calibri" w:cs="Calibri"/>
          <w:b/>
          <w:color w:val="13576B"/>
          <w:sz w:val="23"/>
          <w:szCs w:val="23"/>
        </w:rPr>
        <w:t>: Celoroční objem</w:t>
      </w:r>
      <w:r>
        <w:rPr>
          <w:rFonts w:ascii="Calibri" w:hAnsi="Calibri" w:cs="Calibri"/>
          <w:b/>
          <w:color w:val="13576B"/>
          <w:sz w:val="23"/>
          <w:szCs w:val="23"/>
        </w:rPr>
        <w:t xml:space="preserve">, </w:t>
      </w:r>
      <w:r w:rsidRPr="002F4CBD">
        <w:rPr>
          <w:rFonts w:ascii="Calibri" w:hAnsi="Calibri" w:cs="Calibri"/>
          <w:b/>
          <w:color w:val="13576B"/>
          <w:sz w:val="23"/>
          <w:szCs w:val="23"/>
        </w:rPr>
        <w:t xml:space="preserve">počet </w:t>
      </w:r>
      <w:r>
        <w:rPr>
          <w:rFonts w:ascii="Calibri" w:hAnsi="Calibri" w:cs="Calibri"/>
          <w:b/>
          <w:color w:val="13576B"/>
          <w:sz w:val="23"/>
          <w:szCs w:val="23"/>
        </w:rPr>
        <w:t xml:space="preserve">a průměrná výše </w:t>
      </w:r>
      <w:r w:rsidRPr="002F4CBD">
        <w:rPr>
          <w:rFonts w:ascii="Calibri" w:hAnsi="Calibri" w:cs="Calibri"/>
          <w:b/>
          <w:color w:val="13576B"/>
          <w:sz w:val="23"/>
          <w:szCs w:val="23"/>
        </w:rPr>
        <w:t>poskytnutých hypoték v letech 202</w:t>
      </w:r>
      <w:r>
        <w:rPr>
          <w:rFonts w:ascii="Calibri" w:hAnsi="Calibri" w:cs="Calibri"/>
          <w:b/>
          <w:color w:val="13576B"/>
          <w:sz w:val="23"/>
          <w:szCs w:val="23"/>
        </w:rPr>
        <w:t>0</w:t>
      </w:r>
      <w:r w:rsidRPr="002F4CBD">
        <w:rPr>
          <w:rFonts w:ascii="Calibri" w:hAnsi="Calibri" w:cs="Calibri"/>
          <w:b/>
          <w:color w:val="13576B"/>
          <w:sz w:val="23"/>
          <w:szCs w:val="23"/>
        </w:rPr>
        <w:t xml:space="preserve"> až 202</w:t>
      </w:r>
      <w:r>
        <w:rPr>
          <w:rFonts w:ascii="Calibri" w:hAnsi="Calibri" w:cs="Calibri"/>
          <w:b/>
          <w:color w:val="13576B"/>
          <w:sz w:val="23"/>
          <w:szCs w:val="23"/>
        </w:rPr>
        <w:t>5</w:t>
      </w:r>
    </w:p>
    <w:p w14:paraId="56EB097E" w14:textId="77777777" w:rsidR="00BA3140" w:rsidRPr="002F4CBD" w:rsidRDefault="00BA3140" w:rsidP="00BA3140">
      <w:pPr>
        <w:rPr>
          <w:rFonts w:ascii="Calibri" w:hAnsi="Calibri" w:cs="Calibri"/>
          <w:sz w:val="22"/>
          <w:szCs w:val="22"/>
        </w:rPr>
      </w:pPr>
    </w:p>
    <w:p w14:paraId="11D80496" w14:textId="77777777" w:rsidR="00BA3140" w:rsidRPr="002F4CBD" w:rsidRDefault="00BA3140" w:rsidP="00BA3140">
      <w:pPr>
        <w:rPr>
          <w:rFonts w:ascii="Calibri" w:hAnsi="Calibri" w:cs="Calibri"/>
          <w:sz w:val="22"/>
          <w:szCs w:val="22"/>
        </w:rPr>
      </w:pPr>
      <w:r w:rsidRPr="00E77326">
        <w:rPr>
          <w:noProof/>
        </w:rPr>
        <w:drawing>
          <wp:inline distT="0" distB="0" distL="0" distR="0" wp14:anchorId="2B97DD5A" wp14:editId="7C138169">
            <wp:extent cx="6480810" cy="2125345"/>
            <wp:effectExtent l="0" t="0" r="0" b="8255"/>
            <wp:docPr id="3917590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80810" cy="2125345"/>
                    </a:xfrm>
                    <a:prstGeom prst="rect">
                      <a:avLst/>
                    </a:prstGeom>
                    <a:noFill/>
                    <a:ln>
                      <a:noFill/>
                    </a:ln>
                  </pic:spPr>
                </pic:pic>
              </a:graphicData>
            </a:graphic>
          </wp:inline>
        </w:drawing>
      </w:r>
    </w:p>
    <w:p w14:paraId="2734B1DB" w14:textId="77777777" w:rsidR="00BA3140" w:rsidRPr="00616069" w:rsidRDefault="00BA3140" w:rsidP="00BA3140">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ČBA </w:t>
      </w:r>
      <w:proofErr w:type="spellStart"/>
      <w:r w:rsidRPr="002F4CBD">
        <w:rPr>
          <w:rFonts w:ascii="Calibri Light" w:hAnsi="Calibri Light" w:cs="Calibri Light"/>
          <w:color w:val="13576B"/>
          <w:sz w:val="20"/>
        </w:rPr>
        <w:t>Hypomonitor</w:t>
      </w:r>
      <w:proofErr w:type="spellEnd"/>
    </w:p>
    <w:p w14:paraId="22ED378A" w14:textId="017879D6" w:rsidR="006C53A0" w:rsidRDefault="006C53A0" w:rsidP="007F41A0">
      <w:pPr>
        <w:rPr>
          <w:rFonts w:ascii="Calibri" w:hAnsi="Calibri" w:cs="Calibri"/>
          <w:b/>
          <w:color w:val="13576B"/>
          <w:sz w:val="23"/>
          <w:szCs w:val="23"/>
        </w:rPr>
      </w:pPr>
    </w:p>
    <w:p w14:paraId="628239FF" w14:textId="77777777" w:rsidR="00BA3140" w:rsidRPr="00616069" w:rsidRDefault="00BA314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019F3D7D"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40"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41"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3347843E">
                <wp:simplePos x="0" y="0"/>
                <wp:positionH relativeFrom="margin">
                  <wp:align>center</wp:align>
                </wp:positionH>
                <wp:positionV relativeFrom="paragraph">
                  <wp:posOffset>282527</wp:posOffset>
                </wp:positionV>
                <wp:extent cx="6574790" cy="489585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895850"/>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3151AB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w:t>
                            </w:r>
                            <w:r w:rsidR="006B00D0">
                              <w:rPr>
                                <w:rFonts w:ascii="Calibri" w:hAnsi="Calibri" w:cs="Calibri"/>
                                <w:color w:val="FFFFFF" w:themeColor="background1"/>
                              </w:rPr>
                              <w:t xml:space="preserve"> (</w:t>
                            </w:r>
                            <w:r w:rsidR="006B00D0" w:rsidRPr="006B00D0">
                              <w:rPr>
                                <w:rFonts w:ascii="Calibri" w:hAnsi="Calibri" w:cs="Calibri"/>
                                <w:color w:val="FFFFFF" w:themeColor="background1"/>
                              </w:rPr>
                              <w:t>což neplatí v případě tzv. hypotéky bez nemovitosti sjedn</w:t>
                            </w:r>
                            <w:r w:rsidR="006B00D0">
                              <w:rPr>
                                <w:rFonts w:ascii="Calibri" w:hAnsi="Calibri" w:cs="Calibri"/>
                                <w:color w:val="FFFFFF" w:themeColor="background1"/>
                              </w:rPr>
                              <w:t>a</w:t>
                            </w:r>
                            <w:r w:rsidR="006B00D0" w:rsidRPr="006B00D0">
                              <w:rPr>
                                <w:rFonts w:ascii="Calibri" w:hAnsi="Calibri" w:cs="Calibri"/>
                                <w:color w:val="FFFFFF" w:themeColor="background1"/>
                              </w:rPr>
                              <w:t>né bez účelu</w:t>
                            </w:r>
                            <w:r w:rsidR="006B00D0">
                              <w:rPr>
                                <w:rFonts w:ascii="Calibri" w:hAnsi="Calibri" w:cs="Calibri"/>
                                <w:color w:val="FFFFFF" w:themeColor="background1"/>
                              </w:rPr>
                              <w:t>), tedy</w:t>
                            </w:r>
                            <w:r w:rsidRPr="00616069">
                              <w:rPr>
                                <w:rFonts w:ascii="Calibri" w:hAnsi="Calibri" w:cs="Calibri"/>
                                <w:color w:val="FFFFFF" w:themeColor="background1"/>
                              </w:rPr>
                              <w:t xml:space="preserve">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63D05C51"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w:t>
                            </w:r>
                            <w:r w:rsidR="00752310">
                              <w:rPr>
                                <w:rFonts w:ascii="Calibri" w:hAnsi="Calibri" w:cs="Calibri"/>
                                <w:color w:val="FFFFFF" w:themeColor="background1"/>
                              </w:rPr>
                              <w:t xml:space="preserve"> ČSOB</w:t>
                            </w:r>
                            <w:r w:rsidRPr="00616069">
                              <w:rPr>
                                <w:rFonts w:ascii="Calibri" w:hAnsi="Calibri" w:cs="Calibri"/>
                                <w:color w:val="FFFFFF" w:themeColor="background1"/>
                              </w:rPr>
                              <w:t xml:space="preserve"> Hypoteční banka, Komerční banka, mBank, Modrá pyramida, MONETA Bank,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003E1AAB">
                              <w:rPr>
                                <w:rFonts w:ascii="Calibri" w:hAnsi="Calibri" w:cs="Calibri"/>
                                <w:color w:val="FFFFFF" w:themeColor="background1"/>
                              </w:rPr>
                              <w:t>Partners</w:t>
                            </w:r>
                            <w:proofErr w:type="spellEnd"/>
                            <w:r w:rsidR="003E1AAB">
                              <w:rPr>
                                <w:rFonts w:ascii="Calibri" w:hAnsi="Calibri" w:cs="Calibri"/>
                                <w:color w:val="FFFFFF" w:themeColor="background1"/>
                              </w:rPr>
                              <w:t xml:space="preserve"> Banka,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25DA650" id="_x0000_s1027" type="#_x0000_t202" style="position:absolute;left:0;text-align:left;margin-left:0;margin-top:22.25pt;width:517.7pt;height:385.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3151ABF"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w:t>
                      </w:r>
                      <w:r w:rsidR="006B00D0">
                        <w:rPr>
                          <w:rFonts w:ascii="Calibri" w:hAnsi="Calibri" w:cs="Calibri"/>
                          <w:color w:val="FFFFFF" w:themeColor="background1"/>
                        </w:rPr>
                        <w:t xml:space="preserve"> (</w:t>
                      </w:r>
                      <w:r w:rsidR="006B00D0" w:rsidRPr="006B00D0">
                        <w:rPr>
                          <w:rFonts w:ascii="Calibri" w:hAnsi="Calibri" w:cs="Calibri"/>
                          <w:color w:val="FFFFFF" w:themeColor="background1"/>
                        </w:rPr>
                        <w:t>což neplatí v případě tzv. hypotéky bez nemovitosti sjedn</w:t>
                      </w:r>
                      <w:r w:rsidR="006B00D0">
                        <w:rPr>
                          <w:rFonts w:ascii="Calibri" w:hAnsi="Calibri" w:cs="Calibri"/>
                          <w:color w:val="FFFFFF" w:themeColor="background1"/>
                        </w:rPr>
                        <w:t>a</w:t>
                      </w:r>
                      <w:r w:rsidR="006B00D0" w:rsidRPr="006B00D0">
                        <w:rPr>
                          <w:rFonts w:ascii="Calibri" w:hAnsi="Calibri" w:cs="Calibri"/>
                          <w:color w:val="FFFFFF" w:themeColor="background1"/>
                        </w:rPr>
                        <w:t>né bez účelu</w:t>
                      </w:r>
                      <w:r w:rsidR="006B00D0">
                        <w:rPr>
                          <w:rFonts w:ascii="Calibri" w:hAnsi="Calibri" w:cs="Calibri"/>
                          <w:color w:val="FFFFFF" w:themeColor="background1"/>
                        </w:rPr>
                        <w:t>), tedy</w:t>
                      </w:r>
                      <w:r w:rsidRPr="00616069">
                        <w:rPr>
                          <w:rFonts w:ascii="Calibri" w:hAnsi="Calibri" w:cs="Calibri"/>
                          <w:color w:val="FFFFFF" w:themeColor="background1"/>
                        </w:rPr>
                        <w:t xml:space="preserve">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63D05C51"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w:t>
                      </w:r>
                      <w:r w:rsidR="00752310">
                        <w:rPr>
                          <w:rFonts w:ascii="Calibri" w:hAnsi="Calibri" w:cs="Calibri"/>
                          <w:color w:val="FFFFFF" w:themeColor="background1"/>
                        </w:rPr>
                        <w:t xml:space="preserve"> ČSOB</w:t>
                      </w:r>
                      <w:r w:rsidRPr="00616069">
                        <w:rPr>
                          <w:rFonts w:ascii="Calibri" w:hAnsi="Calibri" w:cs="Calibri"/>
                          <w:color w:val="FFFFFF" w:themeColor="background1"/>
                        </w:rPr>
                        <w:t xml:space="preserve"> Hypoteční banka, Komerční banka, mBank, Modrá pyramida, MONETA Bank, Oberbank, </w:t>
                      </w:r>
                      <w:r w:rsidR="003E1AAB">
                        <w:rPr>
                          <w:rFonts w:ascii="Calibri" w:hAnsi="Calibri" w:cs="Calibri"/>
                          <w:color w:val="FFFFFF" w:themeColor="background1"/>
                        </w:rPr>
                        <w:t xml:space="preserve">Partners Banka, </w:t>
                      </w:r>
                      <w:r w:rsidRPr="00616069">
                        <w:rPr>
                          <w:rFonts w:ascii="Calibri" w:hAnsi="Calibri" w:cs="Calibri"/>
                          <w:color w:val="FFFFFF" w:themeColor="background1"/>
                        </w:rPr>
                        <w:t>Raiffeisen stavební spořitelna, Raiffeisenbank, Stavební spořitelna České spořitelny, UniCredit Bank.</w:t>
                      </w:r>
                    </w:p>
                  </w:txbxContent>
                </v:textbox>
                <w10:wrap type="square" anchorx="margin"/>
              </v:shape>
            </w:pict>
          </mc:Fallback>
        </mc:AlternateContent>
      </w:r>
    </w:p>
    <w:tbl>
      <w:tblPr>
        <w:tblStyle w:val="Mkatabul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423A1391"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sidR="00BA1D00">
              <w:rPr>
                <w:rFonts w:cs="Arial"/>
                <w:color w:val="FFFFFF" w:themeColor="background1"/>
              </w:rPr>
              <w:t>4</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A3B41">
      <w:pPr>
        <w:rPr>
          <w:rFonts w:ascii="Calibri" w:hAnsi="Calibri" w:cs="Calibri"/>
          <w:sz w:val="22"/>
          <w:szCs w:val="22"/>
        </w:rPr>
      </w:pPr>
    </w:p>
    <w:sectPr w:rsidR="00C42F00" w:rsidRPr="00B04FE2" w:rsidSect="00606031">
      <w:type w:val="continuous"/>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1703E" w14:textId="77777777" w:rsidR="00F911A7" w:rsidRPr="00616069" w:rsidRDefault="00F911A7" w:rsidP="00F573F1">
      <w:r w:rsidRPr="00616069">
        <w:separator/>
      </w:r>
    </w:p>
  </w:endnote>
  <w:endnote w:type="continuationSeparator" w:id="0">
    <w:p w14:paraId="412AB2AA" w14:textId="77777777" w:rsidR="00F911A7" w:rsidRPr="00616069" w:rsidRDefault="00F911A7"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45246224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BB45" w14:textId="77777777" w:rsidR="00F911A7" w:rsidRPr="00616069" w:rsidRDefault="00F911A7" w:rsidP="00F573F1">
      <w:r w:rsidRPr="00616069">
        <w:separator/>
      </w:r>
    </w:p>
  </w:footnote>
  <w:footnote w:type="continuationSeparator" w:id="0">
    <w:p w14:paraId="050BE14A" w14:textId="77777777" w:rsidR="00F911A7" w:rsidRPr="00616069" w:rsidRDefault="00F911A7" w:rsidP="00F573F1">
      <w:r w:rsidRPr="00616069">
        <w:continuationSeparator/>
      </w:r>
    </w:p>
  </w:footnote>
  <w:footnote w:id="1">
    <w:p w14:paraId="3CB3CFE9" w14:textId="77777777" w:rsidR="00F86368" w:rsidRPr="00616069" w:rsidRDefault="00F86368" w:rsidP="00F86368">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Jedná se především o dlouholeté úrokové swapy (</w:t>
      </w:r>
      <w:proofErr w:type="spellStart"/>
      <w:r w:rsidRPr="00616069">
        <w:rPr>
          <w:rFonts w:asciiTheme="majorHAnsi" w:hAnsiTheme="majorHAnsi" w:cstheme="majorHAnsi"/>
          <w:sz w:val="17"/>
          <w:szCs w:val="17"/>
        </w:rPr>
        <w:t>interest</w:t>
      </w:r>
      <w:proofErr w:type="spellEnd"/>
      <w:r w:rsidRPr="00616069">
        <w:rPr>
          <w:rFonts w:asciiTheme="majorHAnsi" w:hAnsiTheme="majorHAnsi" w:cstheme="majorHAnsi"/>
          <w:sz w:val="17"/>
          <w:szCs w:val="17"/>
        </w:rPr>
        <w:t xml:space="preserve"> </w:t>
      </w:r>
      <w:proofErr w:type="spellStart"/>
      <w:r w:rsidRPr="00616069">
        <w:rPr>
          <w:rFonts w:asciiTheme="majorHAnsi" w:hAnsiTheme="majorHAnsi" w:cstheme="majorHAnsi"/>
          <w:sz w:val="17"/>
          <w:szCs w:val="17"/>
        </w:rPr>
        <w:t>rate</w:t>
      </w:r>
      <w:proofErr w:type="spellEnd"/>
      <w:r w:rsidRPr="00616069">
        <w:rPr>
          <w:rFonts w:asciiTheme="majorHAnsi" w:hAnsiTheme="majorHAnsi" w:cstheme="majorHAnsi"/>
          <w:sz w:val="17"/>
          <w:szCs w:val="17"/>
        </w:rPr>
        <w:t xml:space="preserve"> swap, IRS), které odráží cenu peněz v delších splatnostech, </w:t>
      </w:r>
      <w:r>
        <w:rPr>
          <w:rFonts w:asciiTheme="majorHAnsi" w:hAnsiTheme="majorHAnsi" w:cstheme="majorHAnsi"/>
          <w:sz w:val="17"/>
          <w:szCs w:val="17"/>
        </w:rPr>
        <w:t>a to v posledních letech okolo 3 až 5 let, ale relevantní zůstává celá křivka 2</w:t>
      </w:r>
      <w:r w:rsidRPr="00616069">
        <w:rPr>
          <w:rFonts w:asciiTheme="majorHAnsi" w:hAnsiTheme="majorHAnsi" w:cstheme="majorHAnsi"/>
          <w:sz w:val="17"/>
          <w:szCs w:val="17"/>
        </w:rPr>
        <w:t xml:space="preserve"> až 10 let</w:t>
      </w:r>
      <w:r>
        <w:rPr>
          <w:rFonts w:asciiTheme="majorHAnsi" w:hAnsiTheme="majorHAnsi" w:cstheme="majorHAnsi"/>
          <w:sz w:val="17"/>
          <w:szCs w:val="17"/>
        </w:rPr>
        <w:t xml:space="preserve">, i když </w:t>
      </w:r>
      <w:proofErr w:type="gramStart"/>
      <w:r>
        <w:rPr>
          <w:rFonts w:asciiTheme="majorHAnsi" w:hAnsiTheme="majorHAnsi" w:cstheme="majorHAnsi"/>
          <w:sz w:val="17"/>
          <w:szCs w:val="17"/>
        </w:rPr>
        <w:t>10 leté</w:t>
      </w:r>
      <w:proofErr w:type="gramEnd"/>
      <w:r>
        <w:rPr>
          <w:rFonts w:asciiTheme="majorHAnsi" w:hAnsiTheme="majorHAnsi" w:cstheme="majorHAnsi"/>
          <w:sz w:val="17"/>
          <w:szCs w:val="17"/>
        </w:rPr>
        <w:t xml:space="preserve"> splatnosti jsou méně relevantní kvůli vyšším sazbám centrálních bank v porovnání s předchozí dekádou, ale i kvůli ú</w:t>
      </w:r>
      <w:r w:rsidRPr="00EA163C">
        <w:rPr>
          <w:rFonts w:asciiTheme="majorHAnsi" w:hAnsiTheme="majorHAnsi" w:cstheme="majorHAnsi"/>
          <w:sz w:val="17"/>
          <w:szCs w:val="17"/>
        </w:rPr>
        <w:t>čelně vynaložený</w:t>
      </w:r>
      <w:r>
        <w:rPr>
          <w:rFonts w:asciiTheme="majorHAnsi" w:hAnsiTheme="majorHAnsi" w:cstheme="majorHAnsi"/>
          <w:sz w:val="17"/>
          <w:szCs w:val="17"/>
        </w:rPr>
        <w:t>m</w:t>
      </w:r>
      <w:r w:rsidRPr="00EA163C">
        <w:rPr>
          <w:rFonts w:asciiTheme="majorHAnsi" w:hAnsiTheme="majorHAnsi" w:cstheme="majorHAnsi"/>
          <w:sz w:val="17"/>
          <w:szCs w:val="17"/>
        </w:rPr>
        <w:t xml:space="preserve"> nákladů</w:t>
      </w:r>
      <w:r>
        <w:rPr>
          <w:rFonts w:asciiTheme="majorHAnsi" w:hAnsiTheme="majorHAnsi" w:cstheme="majorHAnsi"/>
          <w:sz w:val="17"/>
          <w:szCs w:val="17"/>
        </w:rPr>
        <w:t xml:space="preserve">m </w:t>
      </w:r>
      <w:r w:rsidRPr="00EA163C">
        <w:rPr>
          <w:rFonts w:asciiTheme="majorHAnsi" w:hAnsiTheme="majorHAnsi" w:cstheme="majorHAnsi"/>
          <w:sz w:val="17"/>
          <w:szCs w:val="17"/>
        </w:rPr>
        <w:t>při předčasném splacení hypoték</w:t>
      </w:r>
      <w:r>
        <w:rPr>
          <w:rFonts w:asciiTheme="majorHAnsi" w:hAnsiTheme="majorHAnsi" w:cstheme="majorHAnsi"/>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1DCC7344" id="_x0000_t202" coordsize="21600,21600" o:spt="202" path="m,l,21600r21600,l21600,xe">
              <v:stroke joinstyle="miter"/>
              <v:path gradientshapeok="t" o:connecttype="rect"/>
            </v:shapetype>
            <v:shape id="_x0000_s1028"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95798242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935712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6B669858" w:rsidR="002D4720" w:rsidRPr="00616069" w:rsidRDefault="002D4720" w:rsidP="000B7D19">
                          <w:pPr>
                            <w:spacing w:line="276" w:lineRule="auto"/>
                            <w:jc w:val="center"/>
                            <w:rPr>
                              <w:rFonts w:ascii="Calibri" w:hAnsi="Calibri" w:cs="Calibri"/>
                              <w:b/>
                              <w:color w:val="13576B"/>
                              <w:sz w:val="20"/>
                              <w:szCs w:val="22"/>
                            </w:rPr>
                          </w:pPr>
                        </w:p>
                        <w:p w14:paraId="0A69756F" w14:textId="701DF7A3"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126DE097" id="_x0000_s1029"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6B669858" w:rsidR="002D4720" w:rsidRPr="00616069" w:rsidRDefault="002D4720" w:rsidP="000B7D19">
                    <w:pPr>
                      <w:spacing w:line="276" w:lineRule="auto"/>
                      <w:jc w:val="center"/>
                      <w:rPr>
                        <w:rFonts w:ascii="Calibri" w:hAnsi="Calibri" w:cs="Calibri"/>
                        <w:b/>
                        <w:color w:val="13576B"/>
                        <w:sz w:val="20"/>
                        <w:szCs w:val="22"/>
                      </w:rPr>
                    </w:pPr>
                  </w:p>
                  <w:p w14:paraId="0A69756F" w14:textId="701DF7A3"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A48A1"/>
    <w:multiLevelType w:val="hybridMultilevel"/>
    <w:tmpl w:val="6E121294"/>
    <w:lvl w:ilvl="0" w:tplc="BEC0709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20"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3"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5"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3"/>
  </w:num>
  <w:num w:numId="2" w16cid:durableId="1910113698">
    <w:abstractNumId w:val="9"/>
  </w:num>
  <w:num w:numId="3" w16cid:durableId="405613309">
    <w:abstractNumId w:val="26"/>
  </w:num>
  <w:num w:numId="4" w16cid:durableId="240213499">
    <w:abstractNumId w:val="15"/>
  </w:num>
  <w:num w:numId="5" w16cid:durableId="740492638">
    <w:abstractNumId w:val="5"/>
  </w:num>
  <w:num w:numId="6" w16cid:durableId="211576891">
    <w:abstractNumId w:val="24"/>
  </w:num>
  <w:num w:numId="7" w16cid:durableId="1918248069">
    <w:abstractNumId w:val="7"/>
  </w:num>
  <w:num w:numId="8" w16cid:durableId="1159419045">
    <w:abstractNumId w:val="29"/>
  </w:num>
  <w:num w:numId="9" w16cid:durableId="1798374138">
    <w:abstractNumId w:val="6"/>
  </w:num>
  <w:num w:numId="10" w16cid:durableId="1530677457">
    <w:abstractNumId w:val="25"/>
  </w:num>
  <w:num w:numId="11" w16cid:durableId="984315201">
    <w:abstractNumId w:val="2"/>
  </w:num>
  <w:num w:numId="12" w16cid:durableId="776219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6"/>
  </w:num>
  <w:num w:numId="15" w16cid:durableId="1323195451">
    <w:abstractNumId w:val="13"/>
  </w:num>
  <w:num w:numId="16" w16cid:durableId="467165265">
    <w:abstractNumId w:val="10"/>
  </w:num>
  <w:num w:numId="17" w16cid:durableId="676033370">
    <w:abstractNumId w:val="12"/>
  </w:num>
  <w:num w:numId="18" w16cid:durableId="1742554342">
    <w:abstractNumId w:val="18"/>
  </w:num>
  <w:num w:numId="19" w16cid:durableId="613287013">
    <w:abstractNumId w:val="21"/>
  </w:num>
  <w:num w:numId="20" w16cid:durableId="8067070">
    <w:abstractNumId w:val="11"/>
  </w:num>
  <w:num w:numId="21" w16cid:durableId="825434180">
    <w:abstractNumId w:val="0"/>
  </w:num>
  <w:num w:numId="22" w16cid:durableId="1082681076">
    <w:abstractNumId w:val="23"/>
  </w:num>
  <w:num w:numId="23" w16cid:durableId="1901165520">
    <w:abstractNumId w:val="28"/>
  </w:num>
  <w:num w:numId="24" w16cid:durableId="1991010767">
    <w:abstractNumId w:val="22"/>
  </w:num>
  <w:num w:numId="25" w16cid:durableId="1542282676">
    <w:abstractNumId w:val="17"/>
  </w:num>
  <w:num w:numId="26" w16cid:durableId="986973659">
    <w:abstractNumId w:val="14"/>
  </w:num>
  <w:num w:numId="27" w16cid:durableId="815336034">
    <w:abstractNumId w:val="27"/>
  </w:num>
  <w:num w:numId="28" w16cid:durableId="1895651473">
    <w:abstractNumId w:val="8"/>
  </w:num>
  <w:num w:numId="29" w16cid:durableId="1858687908">
    <w:abstractNumId w:val="4"/>
  </w:num>
  <w:num w:numId="30" w16cid:durableId="1758164458">
    <w:abstractNumId w:val="20"/>
  </w:num>
  <w:num w:numId="31" w16cid:durableId="142554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4B72"/>
    <w:rsid w:val="00005419"/>
    <w:rsid w:val="000054D2"/>
    <w:rsid w:val="00005B3F"/>
    <w:rsid w:val="00005DB1"/>
    <w:rsid w:val="00006511"/>
    <w:rsid w:val="00006C79"/>
    <w:rsid w:val="000070E2"/>
    <w:rsid w:val="00010564"/>
    <w:rsid w:val="000118C2"/>
    <w:rsid w:val="00011AF5"/>
    <w:rsid w:val="0001227F"/>
    <w:rsid w:val="00012832"/>
    <w:rsid w:val="00013D8A"/>
    <w:rsid w:val="00015933"/>
    <w:rsid w:val="000159E5"/>
    <w:rsid w:val="0001656C"/>
    <w:rsid w:val="000175B3"/>
    <w:rsid w:val="000176E6"/>
    <w:rsid w:val="000202BA"/>
    <w:rsid w:val="00020581"/>
    <w:rsid w:val="00020ED0"/>
    <w:rsid w:val="00020FE5"/>
    <w:rsid w:val="000213CC"/>
    <w:rsid w:val="000221E0"/>
    <w:rsid w:val="00023E9F"/>
    <w:rsid w:val="00024480"/>
    <w:rsid w:val="0002473E"/>
    <w:rsid w:val="00025805"/>
    <w:rsid w:val="000264B4"/>
    <w:rsid w:val="000265A3"/>
    <w:rsid w:val="00027099"/>
    <w:rsid w:val="00027B22"/>
    <w:rsid w:val="00027BAD"/>
    <w:rsid w:val="00031418"/>
    <w:rsid w:val="00031478"/>
    <w:rsid w:val="00035040"/>
    <w:rsid w:val="00036FAB"/>
    <w:rsid w:val="00037707"/>
    <w:rsid w:val="00037C17"/>
    <w:rsid w:val="00040FA4"/>
    <w:rsid w:val="00041985"/>
    <w:rsid w:val="000427B8"/>
    <w:rsid w:val="00043889"/>
    <w:rsid w:val="00043DB1"/>
    <w:rsid w:val="00044002"/>
    <w:rsid w:val="000444EA"/>
    <w:rsid w:val="000447C5"/>
    <w:rsid w:val="000458CD"/>
    <w:rsid w:val="0004612A"/>
    <w:rsid w:val="00047DF1"/>
    <w:rsid w:val="000509DD"/>
    <w:rsid w:val="00050AF7"/>
    <w:rsid w:val="00051022"/>
    <w:rsid w:val="00051A5B"/>
    <w:rsid w:val="00052C6A"/>
    <w:rsid w:val="00053780"/>
    <w:rsid w:val="00053EE4"/>
    <w:rsid w:val="00055000"/>
    <w:rsid w:val="000559DE"/>
    <w:rsid w:val="00055CBC"/>
    <w:rsid w:val="000563EB"/>
    <w:rsid w:val="00056A4F"/>
    <w:rsid w:val="00057396"/>
    <w:rsid w:val="000606C6"/>
    <w:rsid w:val="00060D7F"/>
    <w:rsid w:val="00063DEB"/>
    <w:rsid w:val="00066F52"/>
    <w:rsid w:val="0006711A"/>
    <w:rsid w:val="00072447"/>
    <w:rsid w:val="00072DB9"/>
    <w:rsid w:val="00072DE6"/>
    <w:rsid w:val="000733AD"/>
    <w:rsid w:val="0007445A"/>
    <w:rsid w:val="0007456F"/>
    <w:rsid w:val="00074C45"/>
    <w:rsid w:val="000752D6"/>
    <w:rsid w:val="00075932"/>
    <w:rsid w:val="0007638A"/>
    <w:rsid w:val="00076C37"/>
    <w:rsid w:val="000770D8"/>
    <w:rsid w:val="00080102"/>
    <w:rsid w:val="00081E35"/>
    <w:rsid w:val="0008300C"/>
    <w:rsid w:val="00083D1A"/>
    <w:rsid w:val="000841C2"/>
    <w:rsid w:val="000842AE"/>
    <w:rsid w:val="00084CF9"/>
    <w:rsid w:val="00086094"/>
    <w:rsid w:val="00086BE0"/>
    <w:rsid w:val="0008743D"/>
    <w:rsid w:val="000900C9"/>
    <w:rsid w:val="0009101B"/>
    <w:rsid w:val="00091B3B"/>
    <w:rsid w:val="00093324"/>
    <w:rsid w:val="0009491E"/>
    <w:rsid w:val="00095055"/>
    <w:rsid w:val="0009562F"/>
    <w:rsid w:val="00097293"/>
    <w:rsid w:val="000976B9"/>
    <w:rsid w:val="00097716"/>
    <w:rsid w:val="00097B42"/>
    <w:rsid w:val="000A019A"/>
    <w:rsid w:val="000A0285"/>
    <w:rsid w:val="000A0ECE"/>
    <w:rsid w:val="000A16EA"/>
    <w:rsid w:val="000A2779"/>
    <w:rsid w:val="000A29DE"/>
    <w:rsid w:val="000A2C3B"/>
    <w:rsid w:val="000A3ECF"/>
    <w:rsid w:val="000A4D59"/>
    <w:rsid w:val="000A5220"/>
    <w:rsid w:val="000A549A"/>
    <w:rsid w:val="000A6481"/>
    <w:rsid w:val="000A664C"/>
    <w:rsid w:val="000B064D"/>
    <w:rsid w:val="000B083D"/>
    <w:rsid w:val="000B0992"/>
    <w:rsid w:val="000B2005"/>
    <w:rsid w:val="000B32E2"/>
    <w:rsid w:val="000B3BFA"/>
    <w:rsid w:val="000B4C8F"/>
    <w:rsid w:val="000B510F"/>
    <w:rsid w:val="000B51A4"/>
    <w:rsid w:val="000B70C8"/>
    <w:rsid w:val="000B79A4"/>
    <w:rsid w:val="000B7D19"/>
    <w:rsid w:val="000C045B"/>
    <w:rsid w:val="000C11CC"/>
    <w:rsid w:val="000C12D3"/>
    <w:rsid w:val="000C12F1"/>
    <w:rsid w:val="000C1E4E"/>
    <w:rsid w:val="000C234E"/>
    <w:rsid w:val="000C3211"/>
    <w:rsid w:val="000C4910"/>
    <w:rsid w:val="000C502F"/>
    <w:rsid w:val="000C5651"/>
    <w:rsid w:val="000C6349"/>
    <w:rsid w:val="000C6834"/>
    <w:rsid w:val="000C78A3"/>
    <w:rsid w:val="000D011A"/>
    <w:rsid w:val="000D02A4"/>
    <w:rsid w:val="000D06FE"/>
    <w:rsid w:val="000D0E54"/>
    <w:rsid w:val="000D1749"/>
    <w:rsid w:val="000D1D61"/>
    <w:rsid w:val="000D2F41"/>
    <w:rsid w:val="000D32BB"/>
    <w:rsid w:val="000D49D0"/>
    <w:rsid w:val="000D4A3C"/>
    <w:rsid w:val="000D4F26"/>
    <w:rsid w:val="000D56F1"/>
    <w:rsid w:val="000D5D2B"/>
    <w:rsid w:val="000D684D"/>
    <w:rsid w:val="000D6EF9"/>
    <w:rsid w:val="000E087A"/>
    <w:rsid w:val="000E0B50"/>
    <w:rsid w:val="000E0C43"/>
    <w:rsid w:val="000E1975"/>
    <w:rsid w:val="000E2B4E"/>
    <w:rsid w:val="000E2FCE"/>
    <w:rsid w:val="000E3B1C"/>
    <w:rsid w:val="000E42A4"/>
    <w:rsid w:val="000E4810"/>
    <w:rsid w:val="000E4ABC"/>
    <w:rsid w:val="000E55F2"/>
    <w:rsid w:val="000E563F"/>
    <w:rsid w:val="000E59CE"/>
    <w:rsid w:val="000E5F43"/>
    <w:rsid w:val="000E7D75"/>
    <w:rsid w:val="000F02C1"/>
    <w:rsid w:val="000F02FD"/>
    <w:rsid w:val="000F0342"/>
    <w:rsid w:val="000F0636"/>
    <w:rsid w:val="000F0A03"/>
    <w:rsid w:val="000F0B04"/>
    <w:rsid w:val="000F30E9"/>
    <w:rsid w:val="000F3195"/>
    <w:rsid w:val="000F426C"/>
    <w:rsid w:val="000F4318"/>
    <w:rsid w:val="000F617D"/>
    <w:rsid w:val="000F61F5"/>
    <w:rsid w:val="000F680C"/>
    <w:rsid w:val="000F6C58"/>
    <w:rsid w:val="000F70CA"/>
    <w:rsid w:val="00100269"/>
    <w:rsid w:val="001002CD"/>
    <w:rsid w:val="00100394"/>
    <w:rsid w:val="00100FC3"/>
    <w:rsid w:val="0010159F"/>
    <w:rsid w:val="00102262"/>
    <w:rsid w:val="0010268F"/>
    <w:rsid w:val="0010277A"/>
    <w:rsid w:val="00102D9A"/>
    <w:rsid w:val="00103662"/>
    <w:rsid w:val="0010371D"/>
    <w:rsid w:val="00105514"/>
    <w:rsid w:val="00105918"/>
    <w:rsid w:val="00105ACC"/>
    <w:rsid w:val="00105BE4"/>
    <w:rsid w:val="00105DB5"/>
    <w:rsid w:val="00106451"/>
    <w:rsid w:val="00106D78"/>
    <w:rsid w:val="00106F70"/>
    <w:rsid w:val="00107915"/>
    <w:rsid w:val="001102C6"/>
    <w:rsid w:val="001104C5"/>
    <w:rsid w:val="001106DD"/>
    <w:rsid w:val="00110C31"/>
    <w:rsid w:val="00110E3B"/>
    <w:rsid w:val="0011113B"/>
    <w:rsid w:val="001126B2"/>
    <w:rsid w:val="00112AA1"/>
    <w:rsid w:val="00112C5A"/>
    <w:rsid w:val="00112D3E"/>
    <w:rsid w:val="00112E70"/>
    <w:rsid w:val="0011443F"/>
    <w:rsid w:val="0011553C"/>
    <w:rsid w:val="00115D53"/>
    <w:rsid w:val="00115DDC"/>
    <w:rsid w:val="00116003"/>
    <w:rsid w:val="00116F4B"/>
    <w:rsid w:val="001177C9"/>
    <w:rsid w:val="00117860"/>
    <w:rsid w:val="001209DC"/>
    <w:rsid w:val="00120FB7"/>
    <w:rsid w:val="001226BC"/>
    <w:rsid w:val="00122810"/>
    <w:rsid w:val="00122CC4"/>
    <w:rsid w:val="0012351B"/>
    <w:rsid w:val="00123FF9"/>
    <w:rsid w:val="00124EF9"/>
    <w:rsid w:val="001253CC"/>
    <w:rsid w:val="001259D2"/>
    <w:rsid w:val="00126A7F"/>
    <w:rsid w:val="001271C2"/>
    <w:rsid w:val="00130063"/>
    <w:rsid w:val="00130359"/>
    <w:rsid w:val="001306A2"/>
    <w:rsid w:val="00131D36"/>
    <w:rsid w:val="00131E24"/>
    <w:rsid w:val="00131E94"/>
    <w:rsid w:val="00132159"/>
    <w:rsid w:val="00132EE9"/>
    <w:rsid w:val="0013407D"/>
    <w:rsid w:val="00134227"/>
    <w:rsid w:val="001348D9"/>
    <w:rsid w:val="00134A41"/>
    <w:rsid w:val="00134F6E"/>
    <w:rsid w:val="001361CA"/>
    <w:rsid w:val="00136519"/>
    <w:rsid w:val="0013679D"/>
    <w:rsid w:val="00136825"/>
    <w:rsid w:val="00136D3A"/>
    <w:rsid w:val="00136EC9"/>
    <w:rsid w:val="00136FC5"/>
    <w:rsid w:val="00136FC7"/>
    <w:rsid w:val="00137050"/>
    <w:rsid w:val="0013716D"/>
    <w:rsid w:val="00137560"/>
    <w:rsid w:val="00137659"/>
    <w:rsid w:val="00140854"/>
    <w:rsid w:val="00140E10"/>
    <w:rsid w:val="00142116"/>
    <w:rsid w:val="001438F4"/>
    <w:rsid w:val="00143BF5"/>
    <w:rsid w:val="00143DCC"/>
    <w:rsid w:val="00144794"/>
    <w:rsid w:val="00144D53"/>
    <w:rsid w:val="00144D9A"/>
    <w:rsid w:val="00145506"/>
    <w:rsid w:val="001457AA"/>
    <w:rsid w:val="00145E7A"/>
    <w:rsid w:val="00146F46"/>
    <w:rsid w:val="00150AA5"/>
    <w:rsid w:val="0015125A"/>
    <w:rsid w:val="00151A74"/>
    <w:rsid w:val="001526EE"/>
    <w:rsid w:val="0015278B"/>
    <w:rsid w:val="0015295E"/>
    <w:rsid w:val="00152A73"/>
    <w:rsid w:val="001534F6"/>
    <w:rsid w:val="00153692"/>
    <w:rsid w:val="00154B70"/>
    <w:rsid w:val="00154EE2"/>
    <w:rsid w:val="001553F8"/>
    <w:rsid w:val="00155A3F"/>
    <w:rsid w:val="00157080"/>
    <w:rsid w:val="001570E1"/>
    <w:rsid w:val="00157C6A"/>
    <w:rsid w:val="00157F91"/>
    <w:rsid w:val="001605B3"/>
    <w:rsid w:val="001622C2"/>
    <w:rsid w:val="00162D23"/>
    <w:rsid w:val="001633ED"/>
    <w:rsid w:val="00163F5F"/>
    <w:rsid w:val="00165DDC"/>
    <w:rsid w:val="0016769F"/>
    <w:rsid w:val="00170298"/>
    <w:rsid w:val="00170CF6"/>
    <w:rsid w:val="001715A2"/>
    <w:rsid w:val="0017388B"/>
    <w:rsid w:val="00173D31"/>
    <w:rsid w:val="0017441E"/>
    <w:rsid w:val="0017486D"/>
    <w:rsid w:val="00175839"/>
    <w:rsid w:val="00175A85"/>
    <w:rsid w:val="00175E6C"/>
    <w:rsid w:val="00175FBC"/>
    <w:rsid w:val="00176669"/>
    <w:rsid w:val="001766FF"/>
    <w:rsid w:val="00176C20"/>
    <w:rsid w:val="00176DFC"/>
    <w:rsid w:val="00177598"/>
    <w:rsid w:val="00180856"/>
    <w:rsid w:val="001808FE"/>
    <w:rsid w:val="0018097B"/>
    <w:rsid w:val="00180A13"/>
    <w:rsid w:val="00182C97"/>
    <w:rsid w:val="00183066"/>
    <w:rsid w:val="001833C7"/>
    <w:rsid w:val="00183FB4"/>
    <w:rsid w:val="00184412"/>
    <w:rsid w:val="0018579C"/>
    <w:rsid w:val="00186A72"/>
    <w:rsid w:val="001903B2"/>
    <w:rsid w:val="001906F3"/>
    <w:rsid w:val="00192933"/>
    <w:rsid w:val="001929FC"/>
    <w:rsid w:val="00195C6D"/>
    <w:rsid w:val="001961C5"/>
    <w:rsid w:val="00196F95"/>
    <w:rsid w:val="00197315"/>
    <w:rsid w:val="0019772B"/>
    <w:rsid w:val="001A05A9"/>
    <w:rsid w:val="001A0C9F"/>
    <w:rsid w:val="001A2614"/>
    <w:rsid w:val="001A2623"/>
    <w:rsid w:val="001A463E"/>
    <w:rsid w:val="001A46CC"/>
    <w:rsid w:val="001A6304"/>
    <w:rsid w:val="001B1060"/>
    <w:rsid w:val="001B11F1"/>
    <w:rsid w:val="001B1467"/>
    <w:rsid w:val="001B1C5E"/>
    <w:rsid w:val="001B2B23"/>
    <w:rsid w:val="001B2E5E"/>
    <w:rsid w:val="001B3197"/>
    <w:rsid w:val="001B39D3"/>
    <w:rsid w:val="001B4DA8"/>
    <w:rsid w:val="001B59D5"/>
    <w:rsid w:val="001B59D9"/>
    <w:rsid w:val="001B5F14"/>
    <w:rsid w:val="001B6935"/>
    <w:rsid w:val="001B7154"/>
    <w:rsid w:val="001B76C3"/>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4A3B"/>
    <w:rsid w:val="001D5BB9"/>
    <w:rsid w:val="001D6B1A"/>
    <w:rsid w:val="001D7365"/>
    <w:rsid w:val="001D7DA5"/>
    <w:rsid w:val="001E15FD"/>
    <w:rsid w:val="001E1AED"/>
    <w:rsid w:val="001E27B8"/>
    <w:rsid w:val="001E31AB"/>
    <w:rsid w:val="001E3706"/>
    <w:rsid w:val="001E3B01"/>
    <w:rsid w:val="001E4032"/>
    <w:rsid w:val="001E432A"/>
    <w:rsid w:val="001E4370"/>
    <w:rsid w:val="001E4D27"/>
    <w:rsid w:val="001E5169"/>
    <w:rsid w:val="001E5571"/>
    <w:rsid w:val="001E60C5"/>
    <w:rsid w:val="001E66E9"/>
    <w:rsid w:val="001E6F5D"/>
    <w:rsid w:val="001E71FE"/>
    <w:rsid w:val="001F0819"/>
    <w:rsid w:val="001F1677"/>
    <w:rsid w:val="001F1C52"/>
    <w:rsid w:val="001F2A1F"/>
    <w:rsid w:val="001F3DF4"/>
    <w:rsid w:val="001F49EA"/>
    <w:rsid w:val="001F5CF7"/>
    <w:rsid w:val="001F64C3"/>
    <w:rsid w:val="001F6A78"/>
    <w:rsid w:val="001F6E8A"/>
    <w:rsid w:val="001F72D8"/>
    <w:rsid w:val="001F7B28"/>
    <w:rsid w:val="002010C8"/>
    <w:rsid w:val="0020111C"/>
    <w:rsid w:val="0020121A"/>
    <w:rsid w:val="00201DDA"/>
    <w:rsid w:val="002027D4"/>
    <w:rsid w:val="0020296D"/>
    <w:rsid w:val="00203021"/>
    <w:rsid w:val="00203302"/>
    <w:rsid w:val="00203A7B"/>
    <w:rsid w:val="00203F87"/>
    <w:rsid w:val="002045A5"/>
    <w:rsid w:val="00204637"/>
    <w:rsid w:val="0020488B"/>
    <w:rsid w:val="00204F09"/>
    <w:rsid w:val="0020667A"/>
    <w:rsid w:val="0020698C"/>
    <w:rsid w:val="00206F7E"/>
    <w:rsid w:val="00207AE7"/>
    <w:rsid w:val="00207BE5"/>
    <w:rsid w:val="00207CB1"/>
    <w:rsid w:val="002105A2"/>
    <w:rsid w:val="00210A9C"/>
    <w:rsid w:val="00211E6F"/>
    <w:rsid w:val="002128AF"/>
    <w:rsid w:val="00212996"/>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8A9"/>
    <w:rsid w:val="00226AB8"/>
    <w:rsid w:val="00226F32"/>
    <w:rsid w:val="00227ACD"/>
    <w:rsid w:val="00227C82"/>
    <w:rsid w:val="002307C1"/>
    <w:rsid w:val="0023165F"/>
    <w:rsid w:val="00231F3A"/>
    <w:rsid w:val="002328F4"/>
    <w:rsid w:val="0023390F"/>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5756A"/>
    <w:rsid w:val="00260219"/>
    <w:rsid w:val="00260B2C"/>
    <w:rsid w:val="00260E9F"/>
    <w:rsid w:val="0026106F"/>
    <w:rsid w:val="0026210C"/>
    <w:rsid w:val="0026268C"/>
    <w:rsid w:val="00262B7F"/>
    <w:rsid w:val="00263207"/>
    <w:rsid w:val="00264741"/>
    <w:rsid w:val="00264C92"/>
    <w:rsid w:val="00265F3C"/>
    <w:rsid w:val="0026639E"/>
    <w:rsid w:val="00266980"/>
    <w:rsid w:val="00266ACC"/>
    <w:rsid w:val="00267ACA"/>
    <w:rsid w:val="002707C5"/>
    <w:rsid w:val="00270A4E"/>
    <w:rsid w:val="00270E60"/>
    <w:rsid w:val="00270F52"/>
    <w:rsid w:val="00271563"/>
    <w:rsid w:val="00271569"/>
    <w:rsid w:val="00272177"/>
    <w:rsid w:val="002725DA"/>
    <w:rsid w:val="00274645"/>
    <w:rsid w:val="00274844"/>
    <w:rsid w:val="002748F6"/>
    <w:rsid w:val="00274D15"/>
    <w:rsid w:val="00275209"/>
    <w:rsid w:val="00277397"/>
    <w:rsid w:val="00277D90"/>
    <w:rsid w:val="0028055F"/>
    <w:rsid w:val="002808DB"/>
    <w:rsid w:val="00280AB4"/>
    <w:rsid w:val="00280D31"/>
    <w:rsid w:val="00280F92"/>
    <w:rsid w:val="002817B5"/>
    <w:rsid w:val="00282256"/>
    <w:rsid w:val="00282BE6"/>
    <w:rsid w:val="00283681"/>
    <w:rsid w:val="00284721"/>
    <w:rsid w:val="0028530F"/>
    <w:rsid w:val="002853A9"/>
    <w:rsid w:val="00285A75"/>
    <w:rsid w:val="00287580"/>
    <w:rsid w:val="00290498"/>
    <w:rsid w:val="0029071C"/>
    <w:rsid w:val="00291656"/>
    <w:rsid w:val="0029179B"/>
    <w:rsid w:val="00291BE8"/>
    <w:rsid w:val="00293122"/>
    <w:rsid w:val="00293873"/>
    <w:rsid w:val="0029502E"/>
    <w:rsid w:val="00295F01"/>
    <w:rsid w:val="00296021"/>
    <w:rsid w:val="0029774E"/>
    <w:rsid w:val="00297B85"/>
    <w:rsid w:val="002A0002"/>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B1743"/>
    <w:rsid w:val="002B1996"/>
    <w:rsid w:val="002B35B7"/>
    <w:rsid w:val="002B3AB2"/>
    <w:rsid w:val="002B4617"/>
    <w:rsid w:val="002B4641"/>
    <w:rsid w:val="002B5069"/>
    <w:rsid w:val="002B52C8"/>
    <w:rsid w:val="002B58A5"/>
    <w:rsid w:val="002B724C"/>
    <w:rsid w:val="002C02A9"/>
    <w:rsid w:val="002C0719"/>
    <w:rsid w:val="002C179D"/>
    <w:rsid w:val="002C18CD"/>
    <w:rsid w:val="002C2C2B"/>
    <w:rsid w:val="002C30D4"/>
    <w:rsid w:val="002C47FE"/>
    <w:rsid w:val="002C513E"/>
    <w:rsid w:val="002C5B51"/>
    <w:rsid w:val="002D1376"/>
    <w:rsid w:val="002D238E"/>
    <w:rsid w:val="002D2A30"/>
    <w:rsid w:val="002D2DC7"/>
    <w:rsid w:val="002D3F94"/>
    <w:rsid w:val="002D4720"/>
    <w:rsid w:val="002D49FB"/>
    <w:rsid w:val="002D4A25"/>
    <w:rsid w:val="002D4DF8"/>
    <w:rsid w:val="002D6038"/>
    <w:rsid w:val="002D7231"/>
    <w:rsid w:val="002E0041"/>
    <w:rsid w:val="002E1390"/>
    <w:rsid w:val="002E1AEB"/>
    <w:rsid w:val="002E1DBF"/>
    <w:rsid w:val="002E2498"/>
    <w:rsid w:val="002E3105"/>
    <w:rsid w:val="002E320D"/>
    <w:rsid w:val="002E3E1D"/>
    <w:rsid w:val="002E4CA1"/>
    <w:rsid w:val="002E4EFD"/>
    <w:rsid w:val="002E5E57"/>
    <w:rsid w:val="002E6192"/>
    <w:rsid w:val="002E6312"/>
    <w:rsid w:val="002E6C7C"/>
    <w:rsid w:val="002F0118"/>
    <w:rsid w:val="002F0F08"/>
    <w:rsid w:val="002F1752"/>
    <w:rsid w:val="002F1AFD"/>
    <w:rsid w:val="002F20C7"/>
    <w:rsid w:val="002F2F90"/>
    <w:rsid w:val="002F2FAA"/>
    <w:rsid w:val="002F416F"/>
    <w:rsid w:val="002F4373"/>
    <w:rsid w:val="002F43DE"/>
    <w:rsid w:val="002F477C"/>
    <w:rsid w:val="002F4A74"/>
    <w:rsid w:val="002F4CBD"/>
    <w:rsid w:val="002F4CDA"/>
    <w:rsid w:val="002F506A"/>
    <w:rsid w:val="002F52DA"/>
    <w:rsid w:val="002F557F"/>
    <w:rsid w:val="002F58FE"/>
    <w:rsid w:val="002F6432"/>
    <w:rsid w:val="002F6A6D"/>
    <w:rsid w:val="003008A7"/>
    <w:rsid w:val="003012B9"/>
    <w:rsid w:val="0030161E"/>
    <w:rsid w:val="00301915"/>
    <w:rsid w:val="003028DC"/>
    <w:rsid w:val="003029D1"/>
    <w:rsid w:val="0030348A"/>
    <w:rsid w:val="00303B0E"/>
    <w:rsid w:val="003045DD"/>
    <w:rsid w:val="00304727"/>
    <w:rsid w:val="0030613B"/>
    <w:rsid w:val="00306844"/>
    <w:rsid w:val="003077DD"/>
    <w:rsid w:val="003111F3"/>
    <w:rsid w:val="00311B21"/>
    <w:rsid w:val="003131EC"/>
    <w:rsid w:val="003134AE"/>
    <w:rsid w:val="00313DD8"/>
    <w:rsid w:val="003142AD"/>
    <w:rsid w:val="003143A4"/>
    <w:rsid w:val="00314AB6"/>
    <w:rsid w:val="00314CF6"/>
    <w:rsid w:val="00315F32"/>
    <w:rsid w:val="003160C2"/>
    <w:rsid w:val="00316BAA"/>
    <w:rsid w:val="00317242"/>
    <w:rsid w:val="00320236"/>
    <w:rsid w:val="00320811"/>
    <w:rsid w:val="00322BF9"/>
    <w:rsid w:val="00324743"/>
    <w:rsid w:val="00324769"/>
    <w:rsid w:val="00324B27"/>
    <w:rsid w:val="003253AF"/>
    <w:rsid w:val="003258C4"/>
    <w:rsid w:val="00327407"/>
    <w:rsid w:val="00327CB6"/>
    <w:rsid w:val="00330A92"/>
    <w:rsid w:val="003315E9"/>
    <w:rsid w:val="0033298A"/>
    <w:rsid w:val="00333B31"/>
    <w:rsid w:val="00334257"/>
    <w:rsid w:val="0033440C"/>
    <w:rsid w:val="00335341"/>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A6D"/>
    <w:rsid w:val="00356C7A"/>
    <w:rsid w:val="00356FF7"/>
    <w:rsid w:val="0035718C"/>
    <w:rsid w:val="003600A2"/>
    <w:rsid w:val="003608A1"/>
    <w:rsid w:val="003608FD"/>
    <w:rsid w:val="0036420C"/>
    <w:rsid w:val="00364A11"/>
    <w:rsid w:val="00366057"/>
    <w:rsid w:val="00366A68"/>
    <w:rsid w:val="003677E2"/>
    <w:rsid w:val="0037051F"/>
    <w:rsid w:val="003707E0"/>
    <w:rsid w:val="00370F35"/>
    <w:rsid w:val="003725F0"/>
    <w:rsid w:val="003732C7"/>
    <w:rsid w:val="0037346E"/>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5683"/>
    <w:rsid w:val="00386E7F"/>
    <w:rsid w:val="00387749"/>
    <w:rsid w:val="00387CB8"/>
    <w:rsid w:val="0039010C"/>
    <w:rsid w:val="00390C7F"/>
    <w:rsid w:val="00390E5C"/>
    <w:rsid w:val="00391AED"/>
    <w:rsid w:val="00391C4B"/>
    <w:rsid w:val="00391FA6"/>
    <w:rsid w:val="00393046"/>
    <w:rsid w:val="00394F6F"/>
    <w:rsid w:val="00395026"/>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281"/>
    <w:rsid w:val="003B0433"/>
    <w:rsid w:val="003B04C1"/>
    <w:rsid w:val="003B2C84"/>
    <w:rsid w:val="003B4E23"/>
    <w:rsid w:val="003B4F01"/>
    <w:rsid w:val="003B505C"/>
    <w:rsid w:val="003B519E"/>
    <w:rsid w:val="003B5E6F"/>
    <w:rsid w:val="003B7AE1"/>
    <w:rsid w:val="003C0B1B"/>
    <w:rsid w:val="003C1195"/>
    <w:rsid w:val="003C12B6"/>
    <w:rsid w:val="003C185F"/>
    <w:rsid w:val="003C2D27"/>
    <w:rsid w:val="003C3451"/>
    <w:rsid w:val="003C373E"/>
    <w:rsid w:val="003C392F"/>
    <w:rsid w:val="003C3D7F"/>
    <w:rsid w:val="003C41DD"/>
    <w:rsid w:val="003C4DE7"/>
    <w:rsid w:val="003C5F2E"/>
    <w:rsid w:val="003C6326"/>
    <w:rsid w:val="003C6710"/>
    <w:rsid w:val="003C6D87"/>
    <w:rsid w:val="003C7600"/>
    <w:rsid w:val="003D079C"/>
    <w:rsid w:val="003D0D7D"/>
    <w:rsid w:val="003D164F"/>
    <w:rsid w:val="003D18F0"/>
    <w:rsid w:val="003D224C"/>
    <w:rsid w:val="003D2390"/>
    <w:rsid w:val="003D2EFA"/>
    <w:rsid w:val="003D3759"/>
    <w:rsid w:val="003D45D4"/>
    <w:rsid w:val="003D472E"/>
    <w:rsid w:val="003D57E2"/>
    <w:rsid w:val="003D613B"/>
    <w:rsid w:val="003D684B"/>
    <w:rsid w:val="003D749F"/>
    <w:rsid w:val="003D7D9E"/>
    <w:rsid w:val="003E0FC6"/>
    <w:rsid w:val="003E14DF"/>
    <w:rsid w:val="003E1AAB"/>
    <w:rsid w:val="003E1F42"/>
    <w:rsid w:val="003E3584"/>
    <w:rsid w:val="003E382B"/>
    <w:rsid w:val="003E393C"/>
    <w:rsid w:val="003E3ACA"/>
    <w:rsid w:val="003E3DCB"/>
    <w:rsid w:val="003E4312"/>
    <w:rsid w:val="003E434F"/>
    <w:rsid w:val="003E4820"/>
    <w:rsid w:val="003E48FA"/>
    <w:rsid w:val="003E4ADE"/>
    <w:rsid w:val="003E5891"/>
    <w:rsid w:val="003E6245"/>
    <w:rsid w:val="003E7ED0"/>
    <w:rsid w:val="003F021E"/>
    <w:rsid w:val="003F03DF"/>
    <w:rsid w:val="003F1189"/>
    <w:rsid w:val="003F12BC"/>
    <w:rsid w:val="003F12D5"/>
    <w:rsid w:val="003F159E"/>
    <w:rsid w:val="003F1CB9"/>
    <w:rsid w:val="003F2050"/>
    <w:rsid w:val="003F37CA"/>
    <w:rsid w:val="003F3922"/>
    <w:rsid w:val="003F45B7"/>
    <w:rsid w:val="003F470D"/>
    <w:rsid w:val="003F512D"/>
    <w:rsid w:val="003F56AD"/>
    <w:rsid w:val="003F6A8D"/>
    <w:rsid w:val="003F6E69"/>
    <w:rsid w:val="003F7F31"/>
    <w:rsid w:val="004009B6"/>
    <w:rsid w:val="00400E23"/>
    <w:rsid w:val="004015AF"/>
    <w:rsid w:val="00401CD3"/>
    <w:rsid w:val="00401F79"/>
    <w:rsid w:val="00402778"/>
    <w:rsid w:val="00402D75"/>
    <w:rsid w:val="00402E19"/>
    <w:rsid w:val="00402FA1"/>
    <w:rsid w:val="00403744"/>
    <w:rsid w:val="0040474A"/>
    <w:rsid w:val="00404E84"/>
    <w:rsid w:val="00405D7E"/>
    <w:rsid w:val="00406F40"/>
    <w:rsid w:val="0040774B"/>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72D"/>
    <w:rsid w:val="004179B3"/>
    <w:rsid w:val="004207D5"/>
    <w:rsid w:val="00420E6E"/>
    <w:rsid w:val="004226ED"/>
    <w:rsid w:val="00422B81"/>
    <w:rsid w:val="00422E44"/>
    <w:rsid w:val="004231FB"/>
    <w:rsid w:val="00423374"/>
    <w:rsid w:val="00423E0D"/>
    <w:rsid w:val="004257BB"/>
    <w:rsid w:val="00425883"/>
    <w:rsid w:val="00425A84"/>
    <w:rsid w:val="00425B3B"/>
    <w:rsid w:val="0042602B"/>
    <w:rsid w:val="004279BD"/>
    <w:rsid w:val="00430F3C"/>
    <w:rsid w:val="004325D3"/>
    <w:rsid w:val="004332EC"/>
    <w:rsid w:val="00435176"/>
    <w:rsid w:val="00436085"/>
    <w:rsid w:val="00436F5C"/>
    <w:rsid w:val="004371EE"/>
    <w:rsid w:val="00437589"/>
    <w:rsid w:val="0043780A"/>
    <w:rsid w:val="00440896"/>
    <w:rsid w:val="00440A53"/>
    <w:rsid w:val="00441C0D"/>
    <w:rsid w:val="00442170"/>
    <w:rsid w:val="0044352D"/>
    <w:rsid w:val="004444EE"/>
    <w:rsid w:val="004445E7"/>
    <w:rsid w:val="0044491F"/>
    <w:rsid w:val="00444BDA"/>
    <w:rsid w:val="00445609"/>
    <w:rsid w:val="004464CF"/>
    <w:rsid w:val="00446AAD"/>
    <w:rsid w:val="004476C2"/>
    <w:rsid w:val="00451368"/>
    <w:rsid w:val="004522D4"/>
    <w:rsid w:val="00452B0E"/>
    <w:rsid w:val="00453473"/>
    <w:rsid w:val="004555E6"/>
    <w:rsid w:val="00456A9B"/>
    <w:rsid w:val="00460772"/>
    <w:rsid w:val="00461E79"/>
    <w:rsid w:val="00462717"/>
    <w:rsid w:val="00463003"/>
    <w:rsid w:val="004635CE"/>
    <w:rsid w:val="004641CC"/>
    <w:rsid w:val="0046433E"/>
    <w:rsid w:val="00464E64"/>
    <w:rsid w:val="00465403"/>
    <w:rsid w:val="00465526"/>
    <w:rsid w:val="0046651A"/>
    <w:rsid w:val="004674AA"/>
    <w:rsid w:val="004714FB"/>
    <w:rsid w:val="004718BD"/>
    <w:rsid w:val="00471B86"/>
    <w:rsid w:val="00471D6F"/>
    <w:rsid w:val="00472210"/>
    <w:rsid w:val="00473C52"/>
    <w:rsid w:val="00473FF2"/>
    <w:rsid w:val="00474524"/>
    <w:rsid w:val="00475D5E"/>
    <w:rsid w:val="00475F13"/>
    <w:rsid w:val="0047661B"/>
    <w:rsid w:val="00476A2A"/>
    <w:rsid w:val="00477094"/>
    <w:rsid w:val="0047757F"/>
    <w:rsid w:val="00477AF5"/>
    <w:rsid w:val="00477CEB"/>
    <w:rsid w:val="004803D6"/>
    <w:rsid w:val="00480B75"/>
    <w:rsid w:val="004828F3"/>
    <w:rsid w:val="00483136"/>
    <w:rsid w:val="0048354D"/>
    <w:rsid w:val="00483FA6"/>
    <w:rsid w:val="0048489E"/>
    <w:rsid w:val="004852E3"/>
    <w:rsid w:val="00485ADC"/>
    <w:rsid w:val="00486858"/>
    <w:rsid w:val="00486BC4"/>
    <w:rsid w:val="00486C1D"/>
    <w:rsid w:val="004904F6"/>
    <w:rsid w:val="00490505"/>
    <w:rsid w:val="004908DB"/>
    <w:rsid w:val="00490E04"/>
    <w:rsid w:val="00490E1A"/>
    <w:rsid w:val="00491DB6"/>
    <w:rsid w:val="00492636"/>
    <w:rsid w:val="004934D9"/>
    <w:rsid w:val="004935C1"/>
    <w:rsid w:val="00493A20"/>
    <w:rsid w:val="00493C14"/>
    <w:rsid w:val="004951FE"/>
    <w:rsid w:val="00495C6A"/>
    <w:rsid w:val="004969D8"/>
    <w:rsid w:val="00496A0D"/>
    <w:rsid w:val="0049704E"/>
    <w:rsid w:val="004975FD"/>
    <w:rsid w:val="004979BF"/>
    <w:rsid w:val="004A1724"/>
    <w:rsid w:val="004A2349"/>
    <w:rsid w:val="004A31A7"/>
    <w:rsid w:val="004A435C"/>
    <w:rsid w:val="004A44DB"/>
    <w:rsid w:val="004A4D8B"/>
    <w:rsid w:val="004A4E6A"/>
    <w:rsid w:val="004A53BB"/>
    <w:rsid w:val="004A5428"/>
    <w:rsid w:val="004A5819"/>
    <w:rsid w:val="004A5C0E"/>
    <w:rsid w:val="004A5D84"/>
    <w:rsid w:val="004A6CE0"/>
    <w:rsid w:val="004A724B"/>
    <w:rsid w:val="004A74F4"/>
    <w:rsid w:val="004B1175"/>
    <w:rsid w:val="004B1442"/>
    <w:rsid w:val="004B1766"/>
    <w:rsid w:val="004B19DD"/>
    <w:rsid w:val="004B2E1A"/>
    <w:rsid w:val="004B3889"/>
    <w:rsid w:val="004B3E0D"/>
    <w:rsid w:val="004B3F04"/>
    <w:rsid w:val="004B441B"/>
    <w:rsid w:val="004B4571"/>
    <w:rsid w:val="004B4DE5"/>
    <w:rsid w:val="004B51F9"/>
    <w:rsid w:val="004B564F"/>
    <w:rsid w:val="004B61C3"/>
    <w:rsid w:val="004B6A7C"/>
    <w:rsid w:val="004B7ECE"/>
    <w:rsid w:val="004C04EA"/>
    <w:rsid w:val="004C0763"/>
    <w:rsid w:val="004C0A56"/>
    <w:rsid w:val="004C0AC1"/>
    <w:rsid w:val="004C10E7"/>
    <w:rsid w:val="004C23FB"/>
    <w:rsid w:val="004C3997"/>
    <w:rsid w:val="004C423D"/>
    <w:rsid w:val="004C4605"/>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347"/>
    <w:rsid w:val="004D3E58"/>
    <w:rsid w:val="004D4156"/>
    <w:rsid w:val="004D4333"/>
    <w:rsid w:val="004D6531"/>
    <w:rsid w:val="004D6F30"/>
    <w:rsid w:val="004E011D"/>
    <w:rsid w:val="004E0D15"/>
    <w:rsid w:val="004E1AC6"/>
    <w:rsid w:val="004E2434"/>
    <w:rsid w:val="004E26E2"/>
    <w:rsid w:val="004E3070"/>
    <w:rsid w:val="004E32FB"/>
    <w:rsid w:val="004E3F0C"/>
    <w:rsid w:val="004E4B5B"/>
    <w:rsid w:val="004E5779"/>
    <w:rsid w:val="004E5E51"/>
    <w:rsid w:val="004E642B"/>
    <w:rsid w:val="004E668A"/>
    <w:rsid w:val="004E7E07"/>
    <w:rsid w:val="004F22A3"/>
    <w:rsid w:val="004F32E1"/>
    <w:rsid w:val="004F34F2"/>
    <w:rsid w:val="004F3D9B"/>
    <w:rsid w:val="004F4632"/>
    <w:rsid w:val="004F46CE"/>
    <w:rsid w:val="004F46D6"/>
    <w:rsid w:val="004F5C1C"/>
    <w:rsid w:val="004F62FF"/>
    <w:rsid w:val="004F69E2"/>
    <w:rsid w:val="004F6CFB"/>
    <w:rsid w:val="004F6EA8"/>
    <w:rsid w:val="004F70A7"/>
    <w:rsid w:val="005019FE"/>
    <w:rsid w:val="00502072"/>
    <w:rsid w:val="005027C2"/>
    <w:rsid w:val="00502C28"/>
    <w:rsid w:val="00503D06"/>
    <w:rsid w:val="00504229"/>
    <w:rsid w:val="00504370"/>
    <w:rsid w:val="00505434"/>
    <w:rsid w:val="00506126"/>
    <w:rsid w:val="005063FD"/>
    <w:rsid w:val="0050674F"/>
    <w:rsid w:val="005069C2"/>
    <w:rsid w:val="005070EC"/>
    <w:rsid w:val="00507747"/>
    <w:rsid w:val="00510452"/>
    <w:rsid w:val="00510AD7"/>
    <w:rsid w:val="00510EB1"/>
    <w:rsid w:val="0051164C"/>
    <w:rsid w:val="00512176"/>
    <w:rsid w:val="005122E9"/>
    <w:rsid w:val="005137DB"/>
    <w:rsid w:val="005142AC"/>
    <w:rsid w:val="0051437A"/>
    <w:rsid w:val="0051449F"/>
    <w:rsid w:val="00514960"/>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2041"/>
    <w:rsid w:val="005343BA"/>
    <w:rsid w:val="0053589B"/>
    <w:rsid w:val="00535CDB"/>
    <w:rsid w:val="00535E49"/>
    <w:rsid w:val="0053659F"/>
    <w:rsid w:val="00537D18"/>
    <w:rsid w:val="00537D95"/>
    <w:rsid w:val="005417AF"/>
    <w:rsid w:val="00541D7D"/>
    <w:rsid w:val="00543780"/>
    <w:rsid w:val="005442D1"/>
    <w:rsid w:val="005448A4"/>
    <w:rsid w:val="00544E51"/>
    <w:rsid w:val="005450EB"/>
    <w:rsid w:val="0054574A"/>
    <w:rsid w:val="00545AC2"/>
    <w:rsid w:val="00546646"/>
    <w:rsid w:val="0054665C"/>
    <w:rsid w:val="005467C6"/>
    <w:rsid w:val="00547A43"/>
    <w:rsid w:val="00550C47"/>
    <w:rsid w:val="00552694"/>
    <w:rsid w:val="00552D45"/>
    <w:rsid w:val="0055337B"/>
    <w:rsid w:val="0055377C"/>
    <w:rsid w:val="00553860"/>
    <w:rsid w:val="005541F4"/>
    <w:rsid w:val="005545FE"/>
    <w:rsid w:val="00554717"/>
    <w:rsid w:val="00554741"/>
    <w:rsid w:val="00554FF2"/>
    <w:rsid w:val="00555261"/>
    <w:rsid w:val="00555BED"/>
    <w:rsid w:val="00555C70"/>
    <w:rsid w:val="0055674E"/>
    <w:rsid w:val="00556DE6"/>
    <w:rsid w:val="005574AF"/>
    <w:rsid w:val="0055785D"/>
    <w:rsid w:val="005578C6"/>
    <w:rsid w:val="00557A53"/>
    <w:rsid w:val="0056090E"/>
    <w:rsid w:val="005613B3"/>
    <w:rsid w:val="00561ED7"/>
    <w:rsid w:val="00562166"/>
    <w:rsid w:val="0056253E"/>
    <w:rsid w:val="00562995"/>
    <w:rsid w:val="00563855"/>
    <w:rsid w:val="005642DD"/>
    <w:rsid w:val="00564453"/>
    <w:rsid w:val="00566025"/>
    <w:rsid w:val="0056611F"/>
    <w:rsid w:val="005666D7"/>
    <w:rsid w:val="0056769C"/>
    <w:rsid w:val="005676A0"/>
    <w:rsid w:val="00567ADA"/>
    <w:rsid w:val="005718D7"/>
    <w:rsid w:val="00571AFD"/>
    <w:rsid w:val="00571BEE"/>
    <w:rsid w:val="00571C08"/>
    <w:rsid w:val="00571C69"/>
    <w:rsid w:val="00572232"/>
    <w:rsid w:val="005722E9"/>
    <w:rsid w:val="00572D52"/>
    <w:rsid w:val="00573D34"/>
    <w:rsid w:val="00573F62"/>
    <w:rsid w:val="00574588"/>
    <w:rsid w:val="00574592"/>
    <w:rsid w:val="00574619"/>
    <w:rsid w:val="005746F6"/>
    <w:rsid w:val="00574E26"/>
    <w:rsid w:val="00575D36"/>
    <w:rsid w:val="005761EE"/>
    <w:rsid w:val="00576C13"/>
    <w:rsid w:val="00576CB6"/>
    <w:rsid w:val="00576CF4"/>
    <w:rsid w:val="00577164"/>
    <w:rsid w:val="00577D9F"/>
    <w:rsid w:val="00580391"/>
    <w:rsid w:val="0058086E"/>
    <w:rsid w:val="005818DE"/>
    <w:rsid w:val="00581AC8"/>
    <w:rsid w:val="00581CC1"/>
    <w:rsid w:val="00582221"/>
    <w:rsid w:val="00584718"/>
    <w:rsid w:val="005849B1"/>
    <w:rsid w:val="00584D4C"/>
    <w:rsid w:val="005861DC"/>
    <w:rsid w:val="0058622F"/>
    <w:rsid w:val="00586418"/>
    <w:rsid w:val="00586686"/>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90E"/>
    <w:rsid w:val="005A3E34"/>
    <w:rsid w:val="005A44FF"/>
    <w:rsid w:val="005A4638"/>
    <w:rsid w:val="005A4BD9"/>
    <w:rsid w:val="005A4D8E"/>
    <w:rsid w:val="005A51C6"/>
    <w:rsid w:val="005A576D"/>
    <w:rsid w:val="005A5BAB"/>
    <w:rsid w:val="005A5CB3"/>
    <w:rsid w:val="005A6604"/>
    <w:rsid w:val="005A78DE"/>
    <w:rsid w:val="005A7E09"/>
    <w:rsid w:val="005B08A6"/>
    <w:rsid w:val="005B0F22"/>
    <w:rsid w:val="005B0F27"/>
    <w:rsid w:val="005B1A31"/>
    <w:rsid w:val="005B1B6C"/>
    <w:rsid w:val="005B2B4F"/>
    <w:rsid w:val="005B2CB5"/>
    <w:rsid w:val="005B2CDC"/>
    <w:rsid w:val="005B3025"/>
    <w:rsid w:val="005B3439"/>
    <w:rsid w:val="005B4653"/>
    <w:rsid w:val="005B4E45"/>
    <w:rsid w:val="005B4E85"/>
    <w:rsid w:val="005B5E17"/>
    <w:rsid w:val="005B6419"/>
    <w:rsid w:val="005B6CC1"/>
    <w:rsid w:val="005C1943"/>
    <w:rsid w:val="005C22C2"/>
    <w:rsid w:val="005C2322"/>
    <w:rsid w:val="005C382F"/>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110"/>
    <w:rsid w:val="005E092E"/>
    <w:rsid w:val="005E1DD8"/>
    <w:rsid w:val="005E1EA0"/>
    <w:rsid w:val="005E1F6F"/>
    <w:rsid w:val="005E4132"/>
    <w:rsid w:val="005E58E1"/>
    <w:rsid w:val="005E5F8B"/>
    <w:rsid w:val="005E7C7D"/>
    <w:rsid w:val="005F0A09"/>
    <w:rsid w:val="005F0EC7"/>
    <w:rsid w:val="005F105B"/>
    <w:rsid w:val="005F1295"/>
    <w:rsid w:val="005F2075"/>
    <w:rsid w:val="005F2341"/>
    <w:rsid w:val="005F253A"/>
    <w:rsid w:val="005F2B48"/>
    <w:rsid w:val="005F3ADE"/>
    <w:rsid w:val="005F3D30"/>
    <w:rsid w:val="005F3E92"/>
    <w:rsid w:val="005F432C"/>
    <w:rsid w:val="005F4B41"/>
    <w:rsid w:val="005F4D52"/>
    <w:rsid w:val="005F4F2A"/>
    <w:rsid w:val="005F5099"/>
    <w:rsid w:val="005F73A6"/>
    <w:rsid w:val="006002FC"/>
    <w:rsid w:val="00600D9B"/>
    <w:rsid w:val="0060128D"/>
    <w:rsid w:val="006015EB"/>
    <w:rsid w:val="0060172A"/>
    <w:rsid w:val="006021B4"/>
    <w:rsid w:val="00602BDA"/>
    <w:rsid w:val="0060305B"/>
    <w:rsid w:val="0060308F"/>
    <w:rsid w:val="0060552B"/>
    <w:rsid w:val="00606031"/>
    <w:rsid w:val="00606E04"/>
    <w:rsid w:val="00607B8A"/>
    <w:rsid w:val="006102C4"/>
    <w:rsid w:val="00611A97"/>
    <w:rsid w:val="00611B3C"/>
    <w:rsid w:val="00611C5C"/>
    <w:rsid w:val="00612686"/>
    <w:rsid w:val="00612FFF"/>
    <w:rsid w:val="006131E9"/>
    <w:rsid w:val="0061392C"/>
    <w:rsid w:val="00613C92"/>
    <w:rsid w:val="00615685"/>
    <w:rsid w:val="00615849"/>
    <w:rsid w:val="00616069"/>
    <w:rsid w:val="00616F34"/>
    <w:rsid w:val="00616FDD"/>
    <w:rsid w:val="00617E42"/>
    <w:rsid w:val="00617E6C"/>
    <w:rsid w:val="006203EC"/>
    <w:rsid w:val="00622015"/>
    <w:rsid w:val="00622191"/>
    <w:rsid w:val="006228C3"/>
    <w:rsid w:val="00622D62"/>
    <w:rsid w:val="00622D80"/>
    <w:rsid w:val="0062336F"/>
    <w:rsid w:val="00623D41"/>
    <w:rsid w:val="00624A28"/>
    <w:rsid w:val="00624E5B"/>
    <w:rsid w:val="006264F1"/>
    <w:rsid w:val="00626A29"/>
    <w:rsid w:val="00626AF4"/>
    <w:rsid w:val="00626CB1"/>
    <w:rsid w:val="00626CBB"/>
    <w:rsid w:val="00627894"/>
    <w:rsid w:val="00627FF6"/>
    <w:rsid w:val="00630506"/>
    <w:rsid w:val="00630BC9"/>
    <w:rsid w:val="006320CB"/>
    <w:rsid w:val="0063314F"/>
    <w:rsid w:val="006337E7"/>
    <w:rsid w:val="00634080"/>
    <w:rsid w:val="0063422F"/>
    <w:rsid w:val="006354FF"/>
    <w:rsid w:val="00635832"/>
    <w:rsid w:val="00635AB6"/>
    <w:rsid w:val="006361B1"/>
    <w:rsid w:val="006365E9"/>
    <w:rsid w:val="00636E18"/>
    <w:rsid w:val="0063705B"/>
    <w:rsid w:val="00637228"/>
    <w:rsid w:val="006406FA"/>
    <w:rsid w:val="00641532"/>
    <w:rsid w:val="00641E0B"/>
    <w:rsid w:val="0064225E"/>
    <w:rsid w:val="0064298D"/>
    <w:rsid w:val="0064364F"/>
    <w:rsid w:val="006445A3"/>
    <w:rsid w:val="00645115"/>
    <w:rsid w:val="006462F1"/>
    <w:rsid w:val="006464CF"/>
    <w:rsid w:val="00646CB6"/>
    <w:rsid w:val="00646DB1"/>
    <w:rsid w:val="00647A7A"/>
    <w:rsid w:val="00650088"/>
    <w:rsid w:val="00650724"/>
    <w:rsid w:val="0065124E"/>
    <w:rsid w:val="006513A0"/>
    <w:rsid w:val="00652484"/>
    <w:rsid w:val="00652C4F"/>
    <w:rsid w:val="0065308E"/>
    <w:rsid w:val="006534DC"/>
    <w:rsid w:val="006541D1"/>
    <w:rsid w:val="00654860"/>
    <w:rsid w:val="00654F37"/>
    <w:rsid w:val="00655662"/>
    <w:rsid w:val="00656ABE"/>
    <w:rsid w:val="00657521"/>
    <w:rsid w:val="0066000B"/>
    <w:rsid w:val="0066030A"/>
    <w:rsid w:val="00660931"/>
    <w:rsid w:val="00660DB9"/>
    <w:rsid w:val="00661956"/>
    <w:rsid w:val="00661C43"/>
    <w:rsid w:val="00662C23"/>
    <w:rsid w:val="00663A53"/>
    <w:rsid w:val="0066473E"/>
    <w:rsid w:val="00664F66"/>
    <w:rsid w:val="00665069"/>
    <w:rsid w:val="0066537B"/>
    <w:rsid w:val="00665718"/>
    <w:rsid w:val="00665E8C"/>
    <w:rsid w:val="00665F6E"/>
    <w:rsid w:val="0066692E"/>
    <w:rsid w:val="00666CC6"/>
    <w:rsid w:val="006677D7"/>
    <w:rsid w:val="00667828"/>
    <w:rsid w:val="00667AF6"/>
    <w:rsid w:val="00670CDD"/>
    <w:rsid w:val="00670F37"/>
    <w:rsid w:val="00672277"/>
    <w:rsid w:val="00674930"/>
    <w:rsid w:val="00676079"/>
    <w:rsid w:val="00676326"/>
    <w:rsid w:val="006777C7"/>
    <w:rsid w:val="00677FE7"/>
    <w:rsid w:val="006830CE"/>
    <w:rsid w:val="006839E8"/>
    <w:rsid w:val="00683D65"/>
    <w:rsid w:val="00684AB4"/>
    <w:rsid w:val="00684FDE"/>
    <w:rsid w:val="006851CB"/>
    <w:rsid w:val="00685F12"/>
    <w:rsid w:val="00686618"/>
    <w:rsid w:val="00687672"/>
    <w:rsid w:val="00690239"/>
    <w:rsid w:val="00690FB6"/>
    <w:rsid w:val="00691287"/>
    <w:rsid w:val="006919FC"/>
    <w:rsid w:val="00693034"/>
    <w:rsid w:val="0069373F"/>
    <w:rsid w:val="00693FDC"/>
    <w:rsid w:val="006963D2"/>
    <w:rsid w:val="00696748"/>
    <w:rsid w:val="00697FEB"/>
    <w:rsid w:val="006A02C9"/>
    <w:rsid w:val="006A0A19"/>
    <w:rsid w:val="006A0B4A"/>
    <w:rsid w:val="006A0D71"/>
    <w:rsid w:val="006A0E7E"/>
    <w:rsid w:val="006A0F4A"/>
    <w:rsid w:val="006A1D16"/>
    <w:rsid w:val="006A1EA8"/>
    <w:rsid w:val="006A4300"/>
    <w:rsid w:val="006A4428"/>
    <w:rsid w:val="006A4CF3"/>
    <w:rsid w:val="006A70CC"/>
    <w:rsid w:val="006A7BEA"/>
    <w:rsid w:val="006A7D62"/>
    <w:rsid w:val="006B00D0"/>
    <w:rsid w:val="006B120F"/>
    <w:rsid w:val="006B1FE2"/>
    <w:rsid w:val="006B2EBD"/>
    <w:rsid w:val="006B2F86"/>
    <w:rsid w:val="006B3690"/>
    <w:rsid w:val="006B37A6"/>
    <w:rsid w:val="006B3C0D"/>
    <w:rsid w:val="006B4649"/>
    <w:rsid w:val="006B4CAC"/>
    <w:rsid w:val="006C0355"/>
    <w:rsid w:val="006C090C"/>
    <w:rsid w:val="006C13D5"/>
    <w:rsid w:val="006C3A40"/>
    <w:rsid w:val="006C3F79"/>
    <w:rsid w:val="006C4E8E"/>
    <w:rsid w:val="006C53A0"/>
    <w:rsid w:val="006C5E9B"/>
    <w:rsid w:val="006C61BD"/>
    <w:rsid w:val="006C6628"/>
    <w:rsid w:val="006C6D77"/>
    <w:rsid w:val="006C7240"/>
    <w:rsid w:val="006C74D6"/>
    <w:rsid w:val="006C7663"/>
    <w:rsid w:val="006D0EE8"/>
    <w:rsid w:val="006D12C7"/>
    <w:rsid w:val="006D175B"/>
    <w:rsid w:val="006D1BF7"/>
    <w:rsid w:val="006D23EF"/>
    <w:rsid w:val="006D457D"/>
    <w:rsid w:val="006D49D0"/>
    <w:rsid w:val="006D5361"/>
    <w:rsid w:val="006D59F8"/>
    <w:rsid w:val="006D61DA"/>
    <w:rsid w:val="006D6AF7"/>
    <w:rsid w:val="006D6EBB"/>
    <w:rsid w:val="006D781E"/>
    <w:rsid w:val="006D7F80"/>
    <w:rsid w:val="006D7FC7"/>
    <w:rsid w:val="006E00DA"/>
    <w:rsid w:val="006E04F7"/>
    <w:rsid w:val="006E0941"/>
    <w:rsid w:val="006E0B68"/>
    <w:rsid w:val="006E0EAD"/>
    <w:rsid w:val="006E1DC5"/>
    <w:rsid w:val="006E2E7E"/>
    <w:rsid w:val="006E2EFD"/>
    <w:rsid w:val="006E3420"/>
    <w:rsid w:val="006E381D"/>
    <w:rsid w:val="006E39D7"/>
    <w:rsid w:val="006E3BD0"/>
    <w:rsid w:val="006E3FA9"/>
    <w:rsid w:val="006E4444"/>
    <w:rsid w:val="006E4D14"/>
    <w:rsid w:val="006E6866"/>
    <w:rsid w:val="006E6C7D"/>
    <w:rsid w:val="006E702B"/>
    <w:rsid w:val="006E7DC6"/>
    <w:rsid w:val="006F01FC"/>
    <w:rsid w:val="006F0349"/>
    <w:rsid w:val="006F08E1"/>
    <w:rsid w:val="006F0E10"/>
    <w:rsid w:val="006F129E"/>
    <w:rsid w:val="006F13D2"/>
    <w:rsid w:val="006F1A53"/>
    <w:rsid w:val="006F2196"/>
    <w:rsid w:val="006F2B29"/>
    <w:rsid w:val="006F3240"/>
    <w:rsid w:val="006F3620"/>
    <w:rsid w:val="006F3D73"/>
    <w:rsid w:val="006F5A87"/>
    <w:rsid w:val="006F747C"/>
    <w:rsid w:val="006F74BF"/>
    <w:rsid w:val="006F7BDA"/>
    <w:rsid w:val="00700C93"/>
    <w:rsid w:val="00701FC8"/>
    <w:rsid w:val="0070288A"/>
    <w:rsid w:val="00702D07"/>
    <w:rsid w:val="00703676"/>
    <w:rsid w:val="00706655"/>
    <w:rsid w:val="007078D6"/>
    <w:rsid w:val="00707B85"/>
    <w:rsid w:val="007106DD"/>
    <w:rsid w:val="00710F87"/>
    <w:rsid w:val="00711217"/>
    <w:rsid w:val="007116F8"/>
    <w:rsid w:val="00712900"/>
    <w:rsid w:val="007133E9"/>
    <w:rsid w:val="007137B3"/>
    <w:rsid w:val="00713BD4"/>
    <w:rsid w:val="00714542"/>
    <w:rsid w:val="007146AA"/>
    <w:rsid w:val="00714837"/>
    <w:rsid w:val="007149B8"/>
    <w:rsid w:val="00714EF0"/>
    <w:rsid w:val="00714F04"/>
    <w:rsid w:val="00715087"/>
    <w:rsid w:val="00715712"/>
    <w:rsid w:val="007158C7"/>
    <w:rsid w:val="00715D0C"/>
    <w:rsid w:val="0071628B"/>
    <w:rsid w:val="00716F27"/>
    <w:rsid w:val="00717727"/>
    <w:rsid w:val="00717B00"/>
    <w:rsid w:val="007208AB"/>
    <w:rsid w:val="00720B68"/>
    <w:rsid w:val="00720DE3"/>
    <w:rsid w:val="00721C6A"/>
    <w:rsid w:val="007222B0"/>
    <w:rsid w:val="007227EC"/>
    <w:rsid w:val="00722F2C"/>
    <w:rsid w:val="00723293"/>
    <w:rsid w:val="00723439"/>
    <w:rsid w:val="00723CB3"/>
    <w:rsid w:val="00724D46"/>
    <w:rsid w:val="007252D4"/>
    <w:rsid w:val="007263EF"/>
    <w:rsid w:val="00727012"/>
    <w:rsid w:val="0072723A"/>
    <w:rsid w:val="007279EC"/>
    <w:rsid w:val="00727D29"/>
    <w:rsid w:val="00730818"/>
    <w:rsid w:val="00730E2D"/>
    <w:rsid w:val="0073142D"/>
    <w:rsid w:val="0073237F"/>
    <w:rsid w:val="007323B9"/>
    <w:rsid w:val="007330A4"/>
    <w:rsid w:val="00733C05"/>
    <w:rsid w:val="00734198"/>
    <w:rsid w:val="00734568"/>
    <w:rsid w:val="0073460E"/>
    <w:rsid w:val="007349F9"/>
    <w:rsid w:val="00734A12"/>
    <w:rsid w:val="00735CDE"/>
    <w:rsid w:val="00736EAE"/>
    <w:rsid w:val="00737F9B"/>
    <w:rsid w:val="007402C2"/>
    <w:rsid w:val="0074044C"/>
    <w:rsid w:val="007405B1"/>
    <w:rsid w:val="00740AF0"/>
    <w:rsid w:val="007419ED"/>
    <w:rsid w:val="007420E1"/>
    <w:rsid w:val="00742174"/>
    <w:rsid w:val="00742C4C"/>
    <w:rsid w:val="007431F0"/>
    <w:rsid w:val="00743537"/>
    <w:rsid w:val="00743577"/>
    <w:rsid w:val="007435D3"/>
    <w:rsid w:val="00744220"/>
    <w:rsid w:val="00744C66"/>
    <w:rsid w:val="00746161"/>
    <w:rsid w:val="007464CC"/>
    <w:rsid w:val="00747238"/>
    <w:rsid w:val="00747B4B"/>
    <w:rsid w:val="00747D5E"/>
    <w:rsid w:val="00750679"/>
    <w:rsid w:val="00751D79"/>
    <w:rsid w:val="00751EDA"/>
    <w:rsid w:val="00752310"/>
    <w:rsid w:val="007524A7"/>
    <w:rsid w:val="00754003"/>
    <w:rsid w:val="00754851"/>
    <w:rsid w:val="007575D0"/>
    <w:rsid w:val="00757649"/>
    <w:rsid w:val="007602B9"/>
    <w:rsid w:val="00760944"/>
    <w:rsid w:val="007609D5"/>
    <w:rsid w:val="00760C75"/>
    <w:rsid w:val="007611AD"/>
    <w:rsid w:val="0076126B"/>
    <w:rsid w:val="007613B3"/>
    <w:rsid w:val="00762FBA"/>
    <w:rsid w:val="0076316D"/>
    <w:rsid w:val="00763FB6"/>
    <w:rsid w:val="0076410A"/>
    <w:rsid w:val="0076473F"/>
    <w:rsid w:val="00764748"/>
    <w:rsid w:val="00765515"/>
    <w:rsid w:val="00765F2A"/>
    <w:rsid w:val="00766906"/>
    <w:rsid w:val="00766F28"/>
    <w:rsid w:val="00770E5B"/>
    <w:rsid w:val="007713E8"/>
    <w:rsid w:val="00771967"/>
    <w:rsid w:val="00771AA1"/>
    <w:rsid w:val="00772FC8"/>
    <w:rsid w:val="0077322C"/>
    <w:rsid w:val="00773DE7"/>
    <w:rsid w:val="00774715"/>
    <w:rsid w:val="007747EE"/>
    <w:rsid w:val="00774999"/>
    <w:rsid w:val="00774F98"/>
    <w:rsid w:val="00776623"/>
    <w:rsid w:val="007768F5"/>
    <w:rsid w:val="0077735A"/>
    <w:rsid w:val="0078095B"/>
    <w:rsid w:val="00780D10"/>
    <w:rsid w:val="007813D1"/>
    <w:rsid w:val="00782158"/>
    <w:rsid w:val="007821A2"/>
    <w:rsid w:val="007821BC"/>
    <w:rsid w:val="007826E0"/>
    <w:rsid w:val="0078271A"/>
    <w:rsid w:val="00783194"/>
    <w:rsid w:val="00783455"/>
    <w:rsid w:val="007835D5"/>
    <w:rsid w:val="0078383A"/>
    <w:rsid w:val="00783BA7"/>
    <w:rsid w:val="007853F8"/>
    <w:rsid w:val="0078687A"/>
    <w:rsid w:val="00786AA2"/>
    <w:rsid w:val="00786BB9"/>
    <w:rsid w:val="00786FE5"/>
    <w:rsid w:val="007870B3"/>
    <w:rsid w:val="00787297"/>
    <w:rsid w:val="007877DC"/>
    <w:rsid w:val="0079039B"/>
    <w:rsid w:val="007908E2"/>
    <w:rsid w:val="00792C45"/>
    <w:rsid w:val="00793842"/>
    <w:rsid w:val="00794379"/>
    <w:rsid w:val="007953B5"/>
    <w:rsid w:val="00795550"/>
    <w:rsid w:val="00795F3C"/>
    <w:rsid w:val="00796271"/>
    <w:rsid w:val="00796431"/>
    <w:rsid w:val="007964DC"/>
    <w:rsid w:val="007967E6"/>
    <w:rsid w:val="00797D07"/>
    <w:rsid w:val="00797EC1"/>
    <w:rsid w:val="007A03B9"/>
    <w:rsid w:val="007A06C5"/>
    <w:rsid w:val="007A0B4E"/>
    <w:rsid w:val="007A117C"/>
    <w:rsid w:val="007A19E3"/>
    <w:rsid w:val="007A2635"/>
    <w:rsid w:val="007A3BFB"/>
    <w:rsid w:val="007A4230"/>
    <w:rsid w:val="007A5DE7"/>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0E2D"/>
    <w:rsid w:val="007C1271"/>
    <w:rsid w:val="007C12F0"/>
    <w:rsid w:val="007C15B2"/>
    <w:rsid w:val="007C1E59"/>
    <w:rsid w:val="007C411F"/>
    <w:rsid w:val="007C4747"/>
    <w:rsid w:val="007C4C83"/>
    <w:rsid w:val="007C525A"/>
    <w:rsid w:val="007C533A"/>
    <w:rsid w:val="007C591A"/>
    <w:rsid w:val="007C6206"/>
    <w:rsid w:val="007C6225"/>
    <w:rsid w:val="007C64E2"/>
    <w:rsid w:val="007C7C72"/>
    <w:rsid w:val="007D065D"/>
    <w:rsid w:val="007D1196"/>
    <w:rsid w:val="007D1E88"/>
    <w:rsid w:val="007D275E"/>
    <w:rsid w:val="007D2928"/>
    <w:rsid w:val="007D37BA"/>
    <w:rsid w:val="007D3850"/>
    <w:rsid w:val="007D3F75"/>
    <w:rsid w:val="007D4025"/>
    <w:rsid w:val="007D66F0"/>
    <w:rsid w:val="007D73E5"/>
    <w:rsid w:val="007D750A"/>
    <w:rsid w:val="007D7523"/>
    <w:rsid w:val="007D77FB"/>
    <w:rsid w:val="007E0084"/>
    <w:rsid w:val="007E0678"/>
    <w:rsid w:val="007E0A18"/>
    <w:rsid w:val="007E0EF4"/>
    <w:rsid w:val="007E1035"/>
    <w:rsid w:val="007E1421"/>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690B"/>
    <w:rsid w:val="007F6FBE"/>
    <w:rsid w:val="007F742B"/>
    <w:rsid w:val="007F7CBC"/>
    <w:rsid w:val="00800C45"/>
    <w:rsid w:val="0080130F"/>
    <w:rsid w:val="00801B60"/>
    <w:rsid w:val="008026FE"/>
    <w:rsid w:val="00802F9F"/>
    <w:rsid w:val="0080372E"/>
    <w:rsid w:val="00803E55"/>
    <w:rsid w:val="00804358"/>
    <w:rsid w:val="00804F92"/>
    <w:rsid w:val="00807F19"/>
    <w:rsid w:val="00807F85"/>
    <w:rsid w:val="0081060D"/>
    <w:rsid w:val="00810A52"/>
    <w:rsid w:val="00810DCF"/>
    <w:rsid w:val="008110C4"/>
    <w:rsid w:val="00811527"/>
    <w:rsid w:val="00811F2C"/>
    <w:rsid w:val="00811FE2"/>
    <w:rsid w:val="008134F5"/>
    <w:rsid w:val="00813D03"/>
    <w:rsid w:val="00814399"/>
    <w:rsid w:val="00815A51"/>
    <w:rsid w:val="00817CF6"/>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4FF"/>
    <w:rsid w:val="00840749"/>
    <w:rsid w:val="00840F7C"/>
    <w:rsid w:val="008412E1"/>
    <w:rsid w:val="008413A8"/>
    <w:rsid w:val="00842443"/>
    <w:rsid w:val="00843285"/>
    <w:rsid w:val="00843286"/>
    <w:rsid w:val="00843386"/>
    <w:rsid w:val="00844479"/>
    <w:rsid w:val="00844C79"/>
    <w:rsid w:val="00845107"/>
    <w:rsid w:val="00846122"/>
    <w:rsid w:val="008466C4"/>
    <w:rsid w:val="00850FDB"/>
    <w:rsid w:val="008510D6"/>
    <w:rsid w:val="008522B5"/>
    <w:rsid w:val="0085346F"/>
    <w:rsid w:val="00853C4A"/>
    <w:rsid w:val="00854190"/>
    <w:rsid w:val="00854682"/>
    <w:rsid w:val="00855DA1"/>
    <w:rsid w:val="00856359"/>
    <w:rsid w:val="0085657D"/>
    <w:rsid w:val="008569DC"/>
    <w:rsid w:val="00856DA4"/>
    <w:rsid w:val="00857078"/>
    <w:rsid w:val="00857A3C"/>
    <w:rsid w:val="00860613"/>
    <w:rsid w:val="00861279"/>
    <w:rsid w:val="008612B4"/>
    <w:rsid w:val="00862A90"/>
    <w:rsid w:val="00863D31"/>
    <w:rsid w:val="00863D50"/>
    <w:rsid w:val="0086454A"/>
    <w:rsid w:val="00866E95"/>
    <w:rsid w:val="00867322"/>
    <w:rsid w:val="00867E88"/>
    <w:rsid w:val="00870102"/>
    <w:rsid w:val="00870456"/>
    <w:rsid w:val="00871E82"/>
    <w:rsid w:val="008721A5"/>
    <w:rsid w:val="008723A8"/>
    <w:rsid w:val="00872847"/>
    <w:rsid w:val="00872C9B"/>
    <w:rsid w:val="00872E78"/>
    <w:rsid w:val="00872FDB"/>
    <w:rsid w:val="00873451"/>
    <w:rsid w:val="00873471"/>
    <w:rsid w:val="00873C14"/>
    <w:rsid w:val="0087619E"/>
    <w:rsid w:val="0087627E"/>
    <w:rsid w:val="00876A48"/>
    <w:rsid w:val="00877706"/>
    <w:rsid w:val="00877F7D"/>
    <w:rsid w:val="008811FC"/>
    <w:rsid w:val="00881D54"/>
    <w:rsid w:val="008825CE"/>
    <w:rsid w:val="00882EFB"/>
    <w:rsid w:val="00882F4A"/>
    <w:rsid w:val="0088366A"/>
    <w:rsid w:val="00883A3C"/>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0C"/>
    <w:rsid w:val="00893E72"/>
    <w:rsid w:val="00894ED3"/>
    <w:rsid w:val="00896BC2"/>
    <w:rsid w:val="00896C06"/>
    <w:rsid w:val="00897C3A"/>
    <w:rsid w:val="008A072D"/>
    <w:rsid w:val="008A1815"/>
    <w:rsid w:val="008A1C42"/>
    <w:rsid w:val="008A2D63"/>
    <w:rsid w:val="008A2FA0"/>
    <w:rsid w:val="008A3348"/>
    <w:rsid w:val="008A3666"/>
    <w:rsid w:val="008A3889"/>
    <w:rsid w:val="008A4BAF"/>
    <w:rsid w:val="008A56CE"/>
    <w:rsid w:val="008A5CE1"/>
    <w:rsid w:val="008A5EE6"/>
    <w:rsid w:val="008A6398"/>
    <w:rsid w:val="008B048B"/>
    <w:rsid w:val="008B08D3"/>
    <w:rsid w:val="008B19B7"/>
    <w:rsid w:val="008B19E5"/>
    <w:rsid w:val="008B1C16"/>
    <w:rsid w:val="008B2AC1"/>
    <w:rsid w:val="008B2D32"/>
    <w:rsid w:val="008B2D3F"/>
    <w:rsid w:val="008B2E9A"/>
    <w:rsid w:val="008B2EB5"/>
    <w:rsid w:val="008B3ADE"/>
    <w:rsid w:val="008B44C3"/>
    <w:rsid w:val="008B5255"/>
    <w:rsid w:val="008B5613"/>
    <w:rsid w:val="008B62E9"/>
    <w:rsid w:val="008B7050"/>
    <w:rsid w:val="008B7162"/>
    <w:rsid w:val="008C1507"/>
    <w:rsid w:val="008C19A3"/>
    <w:rsid w:val="008C2501"/>
    <w:rsid w:val="008C383B"/>
    <w:rsid w:val="008C3A5F"/>
    <w:rsid w:val="008C44A7"/>
    <w:rsid w:val="008C551C"/>
    <w:rsid w:val="008C5671"/>
    <w:rsid w:val="008C59BA"/>
    <w:rsid w:val="008C5D4D"/>
    <w:rsid w:val="008C6671"/>
    <w:rsid w:val="008C739D"/>
    <w:rsid w:val="008C7707"/>
    <w:rsid w:val="008D1695"/>
    <w:rsid w:val="008D22DA"/>
    <w:rsid w:val="008D25B5"/>
    <w:rsid w:val="008D3273"/>
    <w:rsid w:val="008D3CA0"/>
    <w:rsid w:val="008D4696"/>
    <w:rsid w:val="008D6805"/>
    <w:rsid w:val="008D6CA8"/>
    <w:rsid w:val="008D733D"/>
    <w:rsid w:val="008E0A95"/>
    <w:rsid w:val="008E136A"/>
    <w:rsid w:val="008E14A5"/>
    <w:rsid w:val="008E2213"/>
    <w:rsid w:val="008E2336"/>
    <w:rsid w:val="008E27A7"/>
    <w:rsid w:val="008E33F9"/>
    <w:rsid w:val="008E34A2"/>
    <w:rsid w:val="008E34AE"/>
    <w:rsid w:val="008E3BA7"/>
    <w:rsid w:val="008E3D1C"/>
    <w:rsid w:val="008E4D1F"/>
    <w:rsid w:val="008E694D"/>
    <w:rsid w:val="008E78B4"/>
    <w:rsid w:val="008F047E"/>
    <w:rsid w:val="008F2841"/>
    <w:rsid w:val="008F2959"/>
    <w:rsid w:val="008F399F"/>
    <w:rsid w:val="008F39F1"/>
    <w:rsid w:val="008F432C"/>
    <w:rsid w:val="008F4916"/>
    <w:rsid w:val="008F6034"/>
    <w:rsid w:val="008F7859"/>
    <w:rsid w:val="008F7ADB"/>
    <w:rsid w:val="008F7CC9"/>
    <w:rsid w:val="009001B0"/>
    <w:rsid w:val="00900940"/>
    <w:rsid w:val="00900CC0"/>
    <w:rsid w:val="0090288E"/>
    <w:rsid w:val="009038F9"/>
    <w:rsid w:val="00905028"/>
    <w:rsid w:val="009055D6"/>
    <w:rsid w:val="00905AAB"/>
    <w:rsid w:val="009068C3"/>
    <w:rsid w:val="00906F53"/>
    <w:rsid w:val="0090775D"/>
    <w:rsid w:val="00910432"/>
    <w:rsid w:val="0091050C"/>
    <w:rsid w:val="00911865"/>
    <w:rsid w:val="00911A8D"/>
    <w:rsid w:val="00912D34"/>
    <w:rsid w:val="009139AF"/>
    <w:rsid w:val="009148EC"/>
    <w:rsid w:val="00914BFD"/>
    <w:rsid w:val="00914CD2"/>
    <w:rsid w:val="00915EF9"/>
    <w:rsid w:val="00916FF9"/>
    <w:rsid w:val="009174DB"/>
    <w:rsid w:val="009174F6"/>
    <w:rsid w:val="00917A99"/>
    <w:rsid w:val="00920831"/>
    <w:rsid w:val="00921BFB"/>
    <w:rsid w:val="00921EF9"/>
    <w:rsid w:val="00922AFA"/>
    <w:rsid w:val="00922BF2"/>
    <w:rsid w:val="009234FD"/>
    <w:rsid w:val="00923665"/>
    <w:rsid w:val="00924258"/>
    <w:rsid w:val="00924973"/>
    <w:rsid w:val="00924ED5"/>
    <w:rsid w:val="0092631A"/>
    <w:rsid w:val="009272E3"/>
    <w:rsid w:val="009311DF"/>
    <w:rsid w:val="009314B6"/>
    <w:rsid w:val="0093152E"/>
    <w:rsid w:val="009315A3"/>
    <w:rsid w:val="00931779"/>
    <w:rsid w:val="00931E42"/>
    <w:rsid w:val="0093252C"/>
    <w:rsid w:val="0093283A"/>
    <w:rsid w:val="0093430F"/>
    <w:rsid w:val="009356B3"/>
    <w:rsid w:val="00935AC3"/>
    <w:rsid w:val="00935EAC"/>
    <w:rsid w:val="00937529"/>
    <w:rsid w:val="0093758A"/>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0DF"/>
    <w:rsid w:val="00946929"/>
    <w:rsid w:val="00946D29"/>
    <w:rsid w:val="00946EEE"/>
    <w:rsid w:val="009474F2"/>
    <w:rsid w:val="00950E7E"/>
    <w:rsid w:val="00952AEF"/>
    <w:rsid w:val="009533C7"/>
    <w:rsid w:val="00955C33"/>
    <w:rsid w:val="0095625A"/>
    <w:rsid w:val="00956446"/>
    <w:rsid w:val="00957B4C"/>
    <w:rsid w:val="009603BF"/>
    <w:rsid w:val="00960B5B"/>
    <w:rsid w:val="00960F24"/>
    <w:rsid w:val="00960FAF"/>
    <w:rsid w:val="00960FBE"/>
    <w:rsid w:val="0096172B"/>
    <w:rsid w:val="00961C91"/>
    <w:rsid w:val="009628F6"/>
    <w:rsid w:val="00962AB8"/>
    <w:rsid w:val="00962CB7"/>
    <w:rsid w:val="00962E64"/>
    <w:rsid w:val="00963AA3"/>
    <w:rsid w:val="00963B80"/>
    <w:rsid w:val="00964478"/>
    <w:rsid w:val="009651FA"/>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6F97"/>
    <w:rsid w:val="00977317"/>
    <w:rsid w:val="009802E6"/>
    <w:rsid w:val="009804C2"/>
    <w:rsid w:val="00980AFA"/>
    <w:rsid w:val="00980C11"/>
    <w:rsid w:val="00981086"/>
    <w:rsid w:val="0098257D"/>
    <w:rsid w:val="0098302F"/>
    <w:rsid w:val="009831C8"/>
    <w:rsid w:val="00983D28"/>
    <w:rsid w:val="0098474E"/>
    <w:rsid w:val="009857EB"/>
    <w:rsid w:val="00986110"/>
    <w:rsid w:val="009869D5"/>
    <w:rsid w:val="00987232"/>
    <w:rsid w:val="009877E3"/>
    <w:rsid w:val="00990104"/>
    <w:rsid w:val="0099047A"/>
    <w:rsid w:val="009905A0"/>
    <w:rsid w:val="00990EC7"/>
    <w:rsid w:val="00991B95"/>
    <w:rsid w:val="00991D3E"/>
    <w:rsid w:val="00992630"/>
    <w:rsid w:val="00992840"/>
    <w:rsid w:val="00993064"/>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40E"/>
    <w:rsid w:val="009C0544"/>
    <w:rsid w:val="009C0DD6"/>
    <w:rsid w:val="009C1B29"/>
    <w:rsid w:val="009C1C07"/>
    <w:rsid w:val="009C1F84"/>
    <w:rsid w:val="009C38A8"/>
    <w:rsid w:val="009C38DF"/>
    <w:rsid w:val="009C40F8"/>
    <w:rsid w:val="009C5A3E"/>
    <w:rsid w:val="009C5D66"/>
    <w:rsid w:val="009C6CC1"/>
    <w:rsid w:val="009C73E9"/>
    <w:rsid w:val="009D05F1"/>
    <w:rsid w:val="009D089E"/>
    <w:rsid w:val="009D094F"/>
    <w:rsid w:val="009D0BF3"/>
    <w:rsid w:val="009D0E88"/>
    <w:rsid w:val="009D0EB6"/>
    <w:rsid w:val="009D1003"/>
    <w:rsid w:val="009D24D7"/>
    <w:rsid w:val="009D256E"/>
    <w:rsid w:val="009D2DB6"/>
    <w:rsid w:val="009D2EAF"/>
    <w:rsid w:val="009D2F47"/>
    <w:rsid w:val="009D2FB9"/>
    <w:rsid w:val="009D3067"/>
    <w:rsid w:val="009D39EE"/>
    <w:rsid w:val="009D3B45"/>
    <w:rsid w:val="009D4E78"/>
    <w:rsid w:val="009D5487"/>
    <w:rsid w:val="009D55B8"/>
    <w:rsid w:val="009D5F35"/>
    <w:rsid w:val="009D674E"/>
    <w:rsid w:val="009D6791"/>
    <w:rsid w:val="009D7835"/>
    <w:rsid w:val="009D7CDF"/>
    <w:rsid w:val="009D7EFC"/>
    <w:rsid w:val="009E05AC"/>
    <w:rsid w:val="009E1548"/>
    <w:rsid w:val="009E1649"/>
    <w:rsid w:val="009E172B"/>
    <w:rsid w:val="009E1B55"/>
    <w:rsid w:val="009E204D"/>
    <w:rsid w:val="009E253A"/>
    <w:rsid w:val="009E25F5"/>
    <w:rsid w:val="009E3555"/>
    <w:rsid w:val="009E39C0"/>
    <w:rsid w:val="009E4CE0"/>
    <w:rsid w:val="009E523E"/>
    <w:rsid w:val="009E5367"/>
    <w:rsid w:val="009E7B93"/>
    <w:rsid w:val="009F0062"/>
    <w:rsid w:val="009F0349"/>
    <w:rsid w:val="009F1CE1"/>
    <w:rsid w:val="009F1E76"/>
    <w:rsid w:val="009F2D48"/>
    <w:rsid w:val="009F2FEB"/>
    <w:rsid w:val="009F3268"/>
    <w:rsid w:val="009F4230"/>
    <w:rsid w:val="009F4860"/>
    <w:rsid w:val="009F58F4"/>
    <w:rsid w:val="009F5F2C"/>
    <w:rsid w:val="009F6749"/>
    <w:rsid w:val="009F6A7F"/>
    <w:rsid w:val="009F6C56"/>
    <w:rsid w:val="00A0021A"/>
    <w:rsid w:val="00A0178C"/>
    <w:rsid w:val="00A01D67"/>
    <w:rsid w:val="00A01EAA"/>
    <w:rsid w:val="00A0206E"/>
    <w:rsid w:val="00A02A33"/>
    <w:rsid w:val="00A02F5D"/>
    <w:rsid w:val="00A031CC"/>
    <w:rsid w:val="00A0323B"/>
    <w:rsid w:val="00A04192"/>
    <w:rsid w:val="00A04474"/>
    <w:rsid w:val="00A0482C"/>
    <w:rsid w:val="00A06A94"/>
    <w:rsid w:val="00A0762A"/>
    <w:rsid w:val="00A0776D"/>
    <w:rsid w:val="00A0778F"/>
    <w:rsid w:val="00A1004D"/>
    <w:rsid w:val="00A1182A"/>
    <w:rsid w:val="00A12D28"/>
    <w:rsid w:val="00A13922"/>
    <w:rsid w:val="00A13DB8"/>
    <w:rsid w:val="00A13F1D"/>
    <w:rsid w:val="00A1482D"/>
    <w:rsid w:val="00A14AA1"/>
    <w:rsid w:val="00A155ED"/>
    <w:rsid w:val="00A15939"/>
    <w:rsid w:val="00A15F37"/>
    <w:rsid w:val="00A16191"/>
    <w:rsid w:val="00A163E3"/>
    <w:rsid w:val="00A16B96"/>
    <w:rsid w:val="00A16CAF"/>
    <w:rsid w:val="00A217EF"/>
    <w:rsid w:val="00A220C0"/>
    <w:rsid w:val="00A22229"/>
    <w:rsid w:val="00A2239A"/>
    <w:rsid w:val="00A2295F"/>
    <w:rsid w:val="00A22A52"/>
    <w:rsid w:val="00A23246"/>
    <w:rsid w:val="00A24A2E"/>
    <w:rsid w:val="00A25215"/>
    <w:rsid w:val="00A25889"/>
    <w:rsid w:val="00A2710F"/>
    <w:rsid w:val="00A3034C"/>
    <w:rsid w:val="00A30764"/>
    <w:rsid w:val="00A325EE"/>
    <w:rsid w:val="00A338A1"/>
    <w:rsid w:val="00A349CB"/>
    <w:rsid w:val="00A34E5A"/>
    <w:rsid w:val="00A3508F"/>
    <w:rsid w:val="00A35D8A"/>
    <w:rsid w:val="00A364F7"/>
    <w:rsid w:val="00A36CE8"/>
    <w:rsid w:val="00A36DDD"/>
    <w:rsid w:val="00A36EBB"/>
    <w:rsid w:val="00A378ED"/>
    <w:rsid w:val="00A37C13"/>
    <w:rsid w:val="00A425BA"/>
    <w:rsid w:val="00A42D6B"/>
    <w:rsid w:val="00A42EEB"/>
    <w:rsid w:val="00A430E2"/>
    <w:rsid w:val="00A4316F"/>
    <w:rsid w:val="00A447E7"/>
    <w:rsid w:val="00A44A0C"/>
    <w:rsid w:val="00A454B6"/>
    <w:rsid w:val="00A4559F"/>
    <w:rsid w:val="00A45FC0"/>
    <w:rsid w:val="00A46558"/>
    <w:rsid w:val="00A472F8"/>
    <w:rsid w:val="00A50571"/>
    <w:rsid w:val="00A50AEA"/>
    <w:rsid w:val="00A5314F"/>
    <w:rsid w:val="00A53F81"/>
    <w:rsid w:val="00A54055"/>
    <w:rsid w:val="00A54B25"/>
    <w:rsid w:val="00A54D53"/>
    <w:rsid w:val="00A55882"/>
    <w:rsid w:val="00A5590F"/>
    <w:rsid w:val="00A569E0"/>
    <w:rsid w:val="00A56B6B"/>
    <w:rsid w:val="00A60311"/>
    <w:rsid w:val="00A60546"/>
    <w:rsid w:val="00A61107"/>
    <w:rsid w:val="00A63272"/>
    <w:rsid w:val="00A63EEE"/>
    <w:rsid w:val="00A6445C"/>
    <w:rsid w:val="00A66054"/>
    <w:rsid w:val="00A66F1E"/>
    <w:rsid w:val="00A6760A"/>
    <w:rsid w:val="00A676D3"/>
    <w:rsid w:val="00A679AD"/>
    <w:rsid w:val="00A71142"/>
    <w:rsid w:val="00A711B7"/>
    <w:rsid w:val="00A7149F"/>
    <w:rsid w:val="00A71689"/>
    <w:rsid w:val="00A72C93"/>
    <w:rsid w:val="00A72DB7"/>
    <w:rsid w:val="00A72FF3"/>
    <w:rsid w:val="00A7410C"/>
    <w:rsid w:val="00A754A0"/>
    <w:rsid w:val="00A76082"/>
    <w:rsid w:val="00A7784F"/>
    <w:rsid w:val="00A77DE1"/>
    <w:rsid w:val="00A80A07"/>
    <w:rsid w:val="00A811D6"/>
    <w:rsid w:val="00A81F02"/>
    <w:rsid w:val="00A82860"/>
    <w:rsid w:val="00A82B36"/>
    <w:rsid w:val="00A82F07"/>
    <w:rsid w:val="00A832BA"/>
    <w:rsid w:val="00A8331B"/>
    <w:rsid w:val="00A83BF6"/>
    <w:rsid w:val="00A84963"/>
    <w:rsid w:val="00A84D9C"/>
    <w:rsid w:val="00A85048"/>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0D5A"/>
    <w:rsid w:val="00AA17F7"/>
    <w:rsid w:val="00AA253F"/>
    <w:rsid w:val="00AA25AC"/>
    <w:rsid w:val="00AA28D2"/>
    <w:rsid w:val="00AA2D58"/>
    <w:rsid w:val="00AA4A27"/>
    <w:rsid w:val="00AA4C06"/>
    <w:rsid w:val="00AA5C1F"/>
    <w:rsid w:val="00AA62A7"/>
    <w:rsid w:val="00AA7E5F"/>
    <w:rsid w:val="00AB0ED1"/>
    <w:rsid w:val="00AB16F3"/>
    <w:rsid w:val="00AB1ED1"/>
    <w:rsid w:val="00AB23B0"/>
    <w:rsid w:val="00AB2567"/>
    <w:rsid w:val="00AB3273"/>
    <w:rsid w:val="00AB3537"/>
    <w:rsid w:val="00AB365A"/>
    <w:rsid w:val="00AB3A63"/>
    <w:rsid w:val="00AB4201"/>
    <w:rsid w:val="00AB453D"/>
    <w:rsid w:val="00AB48D1"/>
    <w:rsid w:val="00AB4CFC"/>
    <w:rsid w:val="00AB5363"/>
    <w:rsid w:val="00AB58F2"/>
    <w:rsid w:val="00AB5E9F"/>
    <w:rsid w:val="00AB61EF"/>
    <w:rsid w:val="00AB689B"/>
    <w:rsid w:val="00AB747A"/>
    <w:rsid w:val="00AB7541"/>
    <w:rsid w:val="00AB7CDE"/>
    <w:rsid w:val="00AC0AAA"/>
    <w:rsid w:val="00AC0D62"/>
    <w:rsid w:val="00AC1771"/>
    <w:rsid w:val="00AC1934"/>
    <w:rsid w:val="00AC277A"/>
    <w:rsid w:val="00AC41F9"/>
    <w:rsid w:val="00AC4EEC"/>
    <w:rsid w:val="00AC5B51"/>
    <w:rsid w:val="00AC6C46"/>
    <w:rsid w:val="00AC6D5D"/>
    <w:rsid w:val="00AC6F64"/>
    <w:rsid w:val="00AC706B"/>
    <w:rsid w:val="00AC7487"/>
    <w:rsid w:val="00AC7B00"/>
    <w:rsid w:val="00AD03D9"/>
    <w:rsid w:val="00AD0FFE"/>
    <w:rsid w:val="00AD20AF"/>
    <w:rsid w:val="00AD25AD"/>
    <w:rsid w:val="00AD3A59"/>
    <w:rsid w:val="00AD3BBF"/>
    <w:rsid w:val="00AD4353"/>
    <w:rsid w:val="00AD485D"/>
    <w:rsid w:val="00AD613B"/>
    <w:rsid w:val="00AE079E"/>
    <w:rsid w:val="00AE0D0C"/>
    <w:rsid w:val="00AE1BA9"/>
    <w:rsid w:val="00AE2387"/>
    <w:rsid w:val="00AE266B"/>
    <w:rsid w:val="00AE4002"/>
    <w:rsid w:val="00AE6E19"/>
    <w:rsid w:val="00AE724E"/>
    <w:rsid w:val="00AE76A8"/>
    <w:rsid w:val="00AE7732"/>
    <w:rsid w:val="00AF09A0"/>
    <w:rsid w:val="00AF1091"/>
    <w:rsid w:val="00AF153A"/>
    <w:rsid w:val="00AF18A6"/>
    <w:rsid w:val="00AF18CA"/>
    <w:rsid w:val="00AF1CFD"/>
    <w:rsid w:val="00AF2306"/>
    <w:rsid w:val="00AF2617"/>
    <w:rsid w:val="00AF2AE5"/>
    <w:rsid w:val="00AF2B00"/>
    <w:rsid w:val="00AF3AD9"/>
    <w:rsid w:val="00AF4640"/>
    <w:rsid w:val="00AF5145"/>
    <w:rsid w:val="00AF52CD"/>
    <w:rsid w:val="00AF58F3"/>
    <w:rsid w:val="00AF5ABA"/>
    <w:rsid w:val="00AF6D5C"/>
    <w:rsid w:val="00AF6D94"/>
    <w:rsid w:val="00B00317"/>
    <w:rsid w:val="00B0149D"/>
    <w:rsid w:val="00B014EC"/>
    <w:rsid w:val="00B04FE2"/>
    <w:rsid w:val="00B05126"/>
    <w:rsid w:val="00B05277"/>
    <w:rsid w:val="00B05777"/>
    <w:rsid w:val="00B05B5E"/>
    <w:rsid w:val="00B06527"/>
    <w:rsid w:val="00B07EE5"/>
    <w:rsid w:val="00B10C3C"/>
    <w:rsid w:val="00B11271"/>
    <w:rsid w:val="00B112A5"/>
    <w:rsid w:val="00B116FF"/>
    <w:rsid w:val="00B118CF"/>
    <w:rsid w:val="00B12833"/>
    <w:rsid w:val="00B12AAF"/>
    <w:rsid w:val="00B12D4B"/>
    <w:rsid w:val="00B140E9"/>
    <w:rsid w:val="00B14557"/>
    <w:rsid w:val="00B1471D"/>
    <w:rsid w:val="00B15438"/>
    <w:rsid w:val="00B17281"/>
    <w:rsid w:val="00B17A43"/>
    <w:rsid w:val="00B2131B"/>
    <w:rsid w:val="00B21BF3"/>
    <w:rsid w:val="00B222E2"/>
    <w:rsid w:val="00B230A8"/>
    <w:rsid w:val="00B2310C"/>
    <w:rsid w:val="00B23328"/>
    <w:rsid w:val="00B233EC"/>
    <w:rsid w:val="00B23B81"/>
    <w:rsid w:val="00B242B1"/>
    <w:rsid w:val="00B24E54"/>
    <w:rsid w:val="00B25994"/>
    <w:rsid w:val="00B27646"/>
    <w:rsid w:val="00B301CC"/>
    <w:rsid w:val="00B30A4E"/>
    <w:rsid w:val="00B31A01"/>
    <w:rsid w:val="00B31E3C"/>
    <w:rsid w:val="00B32C18"/>
    <w:rsid w:val="00B33037"/>
    <w:rsid w:val="00B33732"/>
    <w:rsid w:val="00B3483B"/>
    <w:rsid w:val="00B35C7E"/>
    <w:rsid w:val="00B35D32"/>
    <w:rsid w:val="00B36448"/>
    <w:rsid w:val="00B369F2"/>
    <w:rsid w:val="00B377F6"/>
    <w:rsid w:val="00B40FEB"/>
    <w:rsid w:val="00B416B1"/>
    <w:rsid w:val="00B418F4"/>
    <w:rsid w:val="00B426A2"/>
    <w:rsid w:val="00B42D4E"/>
    <w:rsid w:val="00B43376"/>
    <w:rsid w:val="00B43E68"/>
    <w:rsid w:val="00B44209"/>
    <w:rsid w:val="00B44CCC"/>
    <w:rsid w:val="00B44EAC"/>
    <w:rsid w:val="00B465C8"/>
    <w:rsid w:val="00B472C9"/>
    <w:rsid w:val="00B47636"/>
    <w:rsid w:val="00B47C1C"/>
    <w:rsid w:val="00B47F43"/>
    <w:rsid w:val="00B506AC"/>
    <w:rsid w:val="00B50773"/>
    <w:rsid w:val="00B50D1B"/>
    <w:rsid w:val="00B50E2C"/>
    <w:rsid w:val="00B51364"/>
    <w:rsid w:val="00B517ED"/>
    <w:rsid w:val="00B51F08"/>
    <w:rsid w:val="00B52041"/>
    <w:rsid w:val="00B52A2C"/>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2D75"/>
    <w:rsid w:val="00B63850"/>
    <w:rsid w:val="00B6475C"/>
    <w:rsid w:val="00B649F7"/>
    <w:rsid w:val="00B667C6"/>
    <w:rsid w:val="00B66DB7"/>
    <w:rsid w:val="00B67ADB"/>
    <w:rsid w:val="00B70A7F"/>
    <w:rsid w:val="00B716B3"/>
    <w:rsid w:val="00B719C9"/>
    <w:rsid w:val="00B71C25"/>
    <w:rsid w:val="00B71D4B"/>
    <w:rsid w:val="00B7214B"/>
    <w:rsid w:val="00B72A9B"/>
    <w:rsid w:val="00B73636"/>
    <w:rsid w:val="00B7370E"/>
    <w:rsid w:val="00B7381A"/>
    <w:rsid w:val="00B73C08"/>
    <w:rsid w:val="00B7439C"/>
    <w:rsid w:val="00B743D7"/>
    <w:rsid w:val="00B7534C"/>
    <w:rsid w:val="00B7657E"/>
    <w:rsid w:val="00B76793"/>
    <w:rsid w:val="00B76C42"/>
    <w:rsid w:val="00B76CBC"/>
    <w:rsid w:val="00B770C9"/>
    <w:rsid w:val="00B80C63"/>
    <w:rsid w:val="00B819ED"/>
    <w:rsid w:val="00B8390E"/>
    <w:rsid w:val="00B83CA3"/>
    <w:rsid w:val="00B84219"/>
    <w:rsid w:val="00B84275"/>
    <w:rsid w:val="00B84382"/>
    <w:rsid w:val="00B8495C"/>
    <w:rsid w:val="00B85068"/>
    <w:rsid w:val="00B85154"/>
    <w:rsid w:val="00B85546"/>
    <w:rsid w:val="00B85D8E"/>
    <w:rsid w:val="00B87377"/>
    <w:rsid w:val="00B87EA2"/>
    <w:rsid w:val="00B90139"/>
    <w:rsid w:val="00B913AA"/>
    <w:rsid w:val="00B91481"/>
    <w:rsid w:val="00B91B01"/>
    <w:rsid w:val="00B9205C"/>
    <w:rsid w:val="00B925BA"/>
    <w:rsid w:val="00B93031"/>
    <w:rsid w:val="00B9335D"/>
    <w:rsid w:val="00B94400"/>
    <w:rsid w:val="00B95673"/>
    <w:rsid w:val="00B961C8"/>
    <w:rsid w:val="00B96C2A"/>
    <w:rsid w:val="00B96FD4"/>
    <w:rsid w:val="00B97971"/>
    <w:rsid w:val="00B97D8D"/>
    <w:rsid w:val="00BA04E1"/>
    <w:rsid w:val="00BA18D1"/>
    <w:rsid w:val="00BA19E0"/>
    <w:rsid w:val="00BA1D00"/>
    <w:rsid w:val="00BA1F8A"/>
    <w:rsid w:val="00BA258C"/>
    <w:rsid w:val="00BA280D"/>
    <w:rsid w:val="00BA3140"/>
    <w:rsid w:val="00BA321E"/>
    <w:rsid w:val="00BA3EDB"/>
    <w:rsid w:val="00BA4441"/>
    <w:rsid w:val="00BA46B0"/>
    <w:rsid w:val="00BA47DA"/>
    <w:rsid w:val="00BA4E91"/>
    <w:rsid w:val="00BA5E59"/>
    <w:rsid w:val="00BA62A1"/>
    <w:rsid w:val="00BA6D0B"/>
    <w:rsid w:val="00BA75F2"/>
    <w:rsid w:val="00BB0F17"/>
    <w:rsid w:val="00BB1A4D"/>
    <w:rsid w:val="00BB1A9F"/>
    <w:rsid w:val="00BB228F"/>
    <w:rsid w:val="00BB304B"/>
    <w:rsid w:val="00BB347F"/>
    <w:rsid w:val="00BB36ED"/>
    <w:rsid w:val="00BB50DE"/>
    <w:rsid w:val="00BB641A"/>
    <w:rsid w:val="00BB6D16"/>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C63D5"/>
    <w:rsid w:val="00BC6876"/>
    <w:rsid w:val="00BD0100"/>
    <w:rsid w:val="00BD297C"/>
    <w:rsid w:val="00BD2BB6"/>
    <w:rsid w:val="00BD4509"/>
    <w:rsid w:val="00BD483C"/>
    <w:rsid w:val="00BD4931"/>
    <w:rsid w:val="00BD499A"/>
    <w:rsid w:val="00BD532D"/>
    <w:rsid w:val="00BD6018"/>
    <w:rsid w:val="00BD6F03"/>
    <w:rsid w:val="00BD6FDA"/>
    <w:rsid w:val="00BD77B5"/>
    <w:rsid w:val="00BD7A55"/>
    <w:rsid w:val="00BE00E4"/>
    <w:rsid w:val="00BE0270"/>
    <w:rsid w:val="00BE0809"/>
    <w:rsid w:val="00BE0965"/>
    <w:rsid w:val="00BE0D73"/>
    <w:rsid w:val="00BE0DD9"/>
    <w:rsid w:val="00BE180E"/>
    <w:rsid w:val="00BE19CD"/>
    <w:rsid w:val="00BE21A8"/>
    <w:rsid w:val="00BE2556"/>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BF77A4"/>
    <w:rsid w:val="00C00471"/>
    <w:rsid w:val="00C011B3"/>
    <w:rsid w:val="00C014C6"/>
    <w:rsid w:val="00C016C1"/>
    <w:rsid w:val="00C01839"/>
    <w:rsid w:val="00C01BF8"/>
    <w:rsid w:val="00C02043"/>
    <w:rsid w:val="00C048AE"/>
    <w:rsid w:val="00C04A40"/>
    <w:rsid w:val="00C04F50"/>
    <w:rsid w:val="00C05E06"/>
    <w:rsid w:val="00C06FED"/>
    <w:rsid w:val="00C0702F"/>
    <w:rsid w:val="00C076D3"/>
    <w:rsid w:val="00C1041E"/>
    <w:rsid w:val="00C1044E"/>
    <w:rsid w:val="00C10EB9"/>
    <w:rsid w:val="00C11E3B"/>
    <w:rsid w:val="00C1233D"/>
    <w:rsid w:val="00C12AFA"/>
    <w:rsid w:val="00C12E9A"/>
    <w:rsid w:val="00C1363D"/>
    <w:rsid w:val="00C1412B"/>
    <w:rsid w:val="00C15578"/>
    <w:rsid w:val="00C15648"/>
    <w:rsid w:val="00C16E21"/>
    <w:rsid w:val="00C17244"/>
    <w:rsid w:val="00C2000C"/>
    <w:rsid w:val="00C2020E"/>
    <w:rsid w:val="00C20265"/>
    <w:rsid w:val="00C2049A"/>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973"/>
    <w:rsid w:val="00C30F85"/>
    <w:rsid w:val="00C31129"/>
    <w:rsid w:val="00C313E7"/>
    <w:rsid w:val="00C3210B"/>
    <w:rsid w:val="00C326A9"/>
    <w:rsid w:val="00C34EEE"/>
    <w:rsid w:val="00C3561D"/>
    <w:rsid w:val="00C3654D"/>
    <w:rsid w:val="00C369FE"/>
    <w:rsid w:val="00C410EB"/>
    <w:rsid w:val="00C4196A"/>
    <w:rsid w:val="00C41CF2"/>
    <w:rsid w:val="00C41E47"/>
    <w:rsid w:val="00C42E87"/>
    <w:rsid w:val="00C42F00"/>
    <w:rsid w:val="00C43453"/>
    <w:rsid w:val="00C44924"/>
    <w:rsid w:val="00C45097"/>
    <w:rsid w:val="00C45C93"/>
    <w:rsid w:val="00C461EB"/>
    <w:rsid w:val="00C47D3E"/>
    <w:rsid w:val="00C50077"/>
    <w:rsid w:val="00C51720"/>
    <w:rsid w:val="00C51E03"/>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2BF"/>
    <w:rsid w:val="00C6749F"/>
    <w:rsid w:val="00C676D3"/>
    <w:rsid w:val="00C7054B"/>
    <w:rsid w:val="00C70598"/>
    <w:rsid w:val="00C71439"/>
    <w:rsid w:val="00C72AE9"/>
    <w:rsid w:val="00C7375A"/>
    <w:rsid w:val="00C74048"/>
    <w:rsid w:val="00C74654"/>
    <w:rsid w:val="00C74775"/>
    <w:rsid w:val="00C74F0F"/>
    <w:rsid w:val="00C754A8"/>
    <w:rsid w:val="00C7556D"/>
    <w:rsid w:val="00C75F55"/>
    <w:rsid w:val="00C76725"/>
    <w:rsid w:val="00C77FDD"/>
    <w:rsid w:val="00C802D7"/>
    <w:rsid w:val="00C81867"/>
    <w:rsid w:val="00C81AAE"/>
    <w:rsid w:val="00C81EBC"/>
    <w:rsid w:val="00C82FE1"/>
    <w:rsid w:val="00C847AA"/>
    <w:rsid w:val="00C84C3A"/>
    <w:rsid w:val="00C86300"/>
    <w:rsid w:val="00C8679C"/>
    <w:rsid w:val="00C8685C"/>
    <w:rsid w:val="00C873BE"/>
    <w:rsid w:val="00C87645"/>
    <w:rsid w:val="00C87795"/>
    <w:rsid w:val="00C8784D"/>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2E21"/>
    <w:rsid w:val="00CA3B1F"/>
    <w:rsid w:val="00CA3B41"/>
    <w:rsid w:val="00CA3BA7"/>
    <w:rsid w:val="00CA3D0C"/>
    <w:rsid w:val="00CA7866"/>
    <w:rsid w:val="00CA7F24"/>
    <w:rsid w:val="00CB0C31"/>
    <w:rsid w:val="00CB0D84"/>
    <w:rsid w:val="00CB1580"/>
    <w:rsid w:val="00CB1A38"/>
    <w:rsid w:val="00CB21B3"/>
    <w:rsid w:val="00CB2E9C"/>
    <w:rsid w:val="00CB3460"/>
    <w:rsid w:val="00CB4072"/>
    <w:rsid w:val="00CB484D"/>
    <w:rsid w:val="00CB517A"/>
    <w:rsid w:val="00CB5E18"/>
    <w:rsid w:val="00CB61C9"/>
    <w:rsid w:val="00CB62EE"/>
    <w:rsid w:val="00CB7176"/>
    <w:rsid w:val="00CB730C"/>
    <w:rsid w:val="00CC0F4A"/>
    <w:rsid w:val="00CC0F68"/>
    <w:rsid w:val="00CC1C2A"/>
    <w:rsid w:val="00CC22B1"/>
    <w:rsid w:val="00CC2A03"/>
    <w:rsid w:val="00CC2C93"/>
    <w:rsid w:val="00CC2DC4"/>
    <w:rsid w:val="00CC384C"/>
    <w:rsid w:val="00CC38CF"/>
    <w:rsid w:val="00CC3988"/>
    <w:rsid w:val="00CC4F63"/>
    <w:rsid w:val="00CC5202"/>
    <w:rsid w:val="00CC52C9"/>
    <w:rsid w:val="00CC53F4"/>
    <w:rsid w:val="00CC5AF3"/>
    <w:rsid w:val="00CC68BF"/>
    <w:rsid w:val="00CC6958"/>
    <w:rsid w:val="00CC7C45"/>
    <w:rsid w:val="00CD13B1"/>
    <w:rsid w:val="00CD2107"/>
    <w:rsid w:val="00CD28EC"/>
    <w:rsid w:val="00CD2DC8"/>
    <w:rsid w:val="00CD3D23"/>
    <w:rsid w:val="00CD3FDF"/>
    <w:rsid w:val="00CD561D"/>
    <w:rsid w:val="00CD6EF5"/>
    <w:rsid w:val="00CD755A"/>
    <w:rsid w:val="00CE052C"/>
    <w:rsid w:val="00CE0CE1"/>
    <w:rsid w:val="00CE20E9"/>
    <w:rsid w:val="00CE3DD3"/>
    <w:rsid w:val="00CE4053"/>
    <w:rsid w:val="00CE4954"/>
    <w:rsid w:val="00CE5016"/>
    <w:rsid w:val="00CE596E"/>
    <w:rsid w:val="00CE5FEF"/>
    <w:rsid w:val="00CF1160"/>
    <w:rsid w:val="00CF3482"/>
    <w:rsid w:val="00CF4940"/>
    <w:rsid w:val="00CF4CD4"/>
    <w:rsid w:val="00CF507C"/>
    <w:rsid w:val="00CF5293"/>
    <w:rsid w:val="00CF72AC"/>
    <w:rsid w:val="00D0011E"/>
    <w:rsid w:val="00D004E5"/>
    <w:rsid w:val="00D0136A"/>
    <w:rsid w:val="00D0142A"/>
    <w:rsid w:val="00D0150B"/>
    <w:rsid w:val="00D02111"/>
    <w:rsid w:val="00D0280B"/>
    <w:rsid w:val="00D038D7"/>
    <w:rsid w:val="00D03B38"/>
    <w:rsid w:val="00D052E6"/>
    <w:rsid w:val="00D05DDB"/>
    <w:rsid w:val="00D073F9"/>
    <w:rsid w:val="00D07DD7"/>
    <w:rsid w:val="00D10717"/>
    <w:rsid w:val="00D1147F"/>
    <w:rsid w:val="00D13DF1"/>
    <w:rsid w:val="00D13EDA"/>
    <w:rsid w:val="00D15061"/>
    <w:rsid w:val="00D1522E"/>
    <w:rsid w:val="00D15D74"/>
    <w:rsid w:val="00D16D8E"/>
    <w:rsid w:val="00D16FB5"/>
    <w:rsid w:val="00D1722E"/>
    <w:rsid w:val="00D176B7"/>
    <w:rsid w:val="00D17F2A"/>
    <w:rsid w:val="00D20B08"/>
    <w:rsid w:val="00D211A5"/>
    <w:rsid w:val="00D21C7E"/>
    <w:rsid w:val="00D2261D"/>
    <w:rsid w:val="00D228B8"/>
    <w:rsid w:val="00D2301A"/>
    <w:rsid w:val="00D24515"/>
    <w:rsid w:val="00D24B00"/>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30F"/>
    <w:rsid w:val="00D357A4"/>
    <w:rsid w:val="00D36238"/>
    <w:rsid w:val="00D36EB1"/>
    <w:rsid w:val="00D375AE"/>
    <w:rsid w:val="00D4029D"/>
    <w:rsid w:val="00D43642"/>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38E"/>
    <w:rsid w:val="00D56E84"/>
    <w:rsid w:val="00D60759"/>
    <w:rsid w:val="00D6293F"/>
    <w:rsid w:val="00D662E4"/>
    <w:rsid w:val="00D66D1C"/>
    <w:rsid w:val="00D66E1F"/>
    <w:rsid w:val="00D670D3"/>
    <w:rsid w:val="00D67470"/>
    <w:rsid w:val="00D6792F"/>
    <w:rsid w:val="00D67B99"/>
    <w:rsid w:val="00D67FC9"/>
    <w:rsid w:val="00D709B5"/>
    <w:rsid w:val="00D729D1"/>
    <w:rsid w:val="00D72B2A"/>
    <w:rsid w:val="00D736FB"/>
    <w:rsid w:val="00D73AAF"/>
    <w:rsid w:val="00D73B35"/>
    <w:rsid w:val="00D74B08"/>
    <w:rsid w:val="00D75461"/>
    <w:rsid w:val="00D75B0B"/>
    <w:rsid w:val="00D76233"/>
    <w:rsid w:val="00D76E6B"/>
    <w:rsid w:val="00D77388"/>
    <w:rsid w:val="00D775D2"/>
    <w:rsid w:val="00D77855"/>
    <w:rsid w:val="00D8078E"/>
    <w:rsid w:val="00D80D94"/>
    <w:rsid w:val="00D8118D"/>
    <w:rsid w:val="00D82637"/>
    <w:rsid w:val="00D83283"/>
    <w:rsid w:val="00D83860"/>
    <w:rsid w:val="00D83A6D"/>
    <w:rsid w:val="00D83B8A"/>
    <w:rsid w:val="00D83D34"/>
    <w:rsid w:val="00D85155"/>
    <w:rsid w:val="00D85F3F"/>
    <w:rsid w:val="00D85F85"/>
    <w:rsid w:val="00D86169"/>
    <w:rsid w:val="00D8652F"/>
    <w:rsid w:val="00D86BF7"/>
    <w:rsid w:val="00D86C18"/>
    <w:rsid w:val="00D8747A"/>
    <w:rsid w:val="00D875E3"/>
    <w:rsid w:val="00D91421"/>
    <w:rsid w:val="00D91CBD"/>
    <w:rsid w:val="00D926E9"/>
    <w:rsid w:val="00D92B66"/>
    <w:rsid w:val="00D9348C"/>
    <w:rsid w:val="00D93CC1"/>
    <w:rsid w:val="00D93EB9"/>
    <w:rsid w:val="00D942A3"/>
    <w:rsid w:val="00D94A5C"/>
    <w:rsid w:val="00D95384"/>
    <w:rsid w:val="00D9583F"/>
    <w:rsid w:val="00D96C34"/>
    <w:rsid w:val="00D970E9"/>
    <w:rsid w:val="00D97E49"/>
    <w:rsid w:val="00DA073F"/>
    <w:rsid w:val="00DA08BF"/>
    <w:rsid w:val="00DA12F6"/>
    <w:rsid w:val="00DA1419"/>
    <w:rsid w:val="00DA2603"/>
    <w:rsid w:val="00DA2818"/>
    <w:rsid w:val="00DA2876"/>
    <w:rsid w:val="00DA2CF3"/>
    <w:rsid w:val="00DA40F8"/>
    <w:rsid w:val="00DA47F0"/>
    <w:rsid w:val="00DA4875"/>
    <w:rsid w:val="00DA4917"/>
    <w:rsid w:val="00DA4E73"/>
    <w:rsid w:val="00DA5117"/>
    <w:rsid w:val="00DA61B6"/>
    <w:rsid w:val="00DA68C1"/>
    <w:rsid w:val="00DA71E0"/>
    <w:rsid w:val="00DA7808"/>
    <w:rsid w:val="00DB2CB5"/>
    <w:rsid w:val="00DB2F25"/>
    <w:rsid w:val="00DB35F8"/>
    <w:rsid w:val="00DB57B7"/>
    <w:rsid w:val="00DB67E5"/>
    <w:rsid w:val="00DB68CD"/>
    <w:rsid w:val="00DB73AB"/>
    <w:rsid w:val="00DB746B"/>
    <w:rsid w:val="00DB761D"/>
    <w:rsid w:val="00DB7C28"/>
    <w:rsid w:val="00DC13F9"/>
    <w:rsid w:val="00DC1D72"/>
    <w:rsid w:val="00DC2A04"/>
    <w:rsid w:val="00DC2E2C"/>
    <w:rsid w:val="00DC46D1"/>
    <w:rsid w:val="00DC4E8F"/>
    <w:rsid w:val="00DC545A"/>
    <w:rsid w:val="00DC585F"/>
    <w:rsid w:val="00DC77F2"/>
    <w:rsid w:val="00DC78DB"/>
    <w:rsid w:val="00DC7F7D"/>
    <w:rsid w:val="00DD028A"/>
    <w:rsid w:val="00DD08C1"/>
    <w:rsid w:val="00DD19C8"/>
    <w:rsid w:val="00DD1BFF"/>
    <w:rsid w:val="00DD2278"/>
    <w:rsid w:val="00DD2ADC"/>
    <w:rsid w:val="00DD4F3E"/>
    <w:rsid w:val="00DD5FFB"/>
    <w:rsid w:val="00DD67A9"/>
    <w:rsid w:val="00DD6EA5"/>
    <w:rsid w:val="00DD75C0"/>
    <w:rsid w:val="00DD7C85"/>
    <w:rsid w:val="00DE2574"/>
    <w:rsid w:val="00DE2C5D"/>
    <w:rsid w:val="00DE36B6"/>
    <w:rsid w:val="00DE43B5"/>
    <w:rsid w:val="00DE4BD0"/>
    <w:rsid w:val="00DE58C9"/>
    <w:rsid w:val="00DE58D7"/>
    <w:rsid w:val="00DE5D98"/>
    <w:rsid w:val="00DE62BC"/>
    <w:rsid w:val="00DE7572"/>
    <w:rsid w:val="00DE7BEA"/>
    <w:rsid w:val="00DE7DAF"/>
    <w:rsid w:val="00DF08BB"/>
    <w:rsid w:val="00DF154D"/>
    <w:rsid w:val="00DF16FC"/>
    <w:rsid w:val="00DF19F6"/>
    <w:rsid w:val="00DF376E"/>
    <w:rsid w:val="00DF431A"/>
    <w:rsid w:val="00DF5CAF"/>
    <w:rsid w:val="00DF62C6"/>
    <w:rsid w:val="00DF6D21"/>
    <w:rsid w:val="00DF75FB"/>
    <w:rsid w:val="00DF7C00"/>
    <w:rsid w:val="00E00BBD"/>
    <w:rsid w:val="00E00C89"/>
    <w:rsid w:val="00E013E3"/>
    <w:rsid w:val="00E01F2F"/>
    <w:rsid w:val="00E02136"/>
    <w:rsid w:val="00E02157"/>
    <w:rsid w:val="00E0219A"/>
    <w:rsid w:val="00E02370"/>
    <w:rsid w:val="00E02392"/>
    <w:rsid w:val="00E02F84"/>
    <w:rsid w:val="00E03E17"/>
    <w:rsid w:val="00E042FF"/>
    <w:rsid w:val="00E04850"/>
    <w:rsid w:val="00E04A38"/>
    <w:rsid w:val="00E05C13"/>
    <w:rsid w:val="00E05C1A"/>
    <w:rsid w:val="00E064CA"/>
    <w:rsid w:val="00E065B2"/>
    <w:rsid w:val="00E06813"/>
    <w:rsid w:val="00E10053"/>
    <w:rsid w:val="00E111E4"/>
    <w:rsid w:val="00E11521"/>
    <w:rsid w:val="00E127AF"/>
    <w:rsid w:val="00E13B47"/>
    <w:rsid w:val="00E15933"/>
    <w:rsid w:val="00E15B99"/>
    <w:rsid w:val="00E1657C"/>
    <w:rsid w:val="00E16BD3"/>
    <w:rsid w:val="00E16FAA"/>
    <w:rsid w:val="00E171C2"/>
    <w:rsid w:val="00E20598"/>
    <w:rsid w:val="00E20664"/>
    <w:rsid w:val="00E2148E"/>
    <w:rsid w:val="00E21C56"/>
    <w:rsid w:val="00E22425"/>
    <w:rsid w:val="00E2267B"/>
    <w:rsid w:val="00E22996"/>
    <w:rsid w:val="00E23F67"/>
    <w:rsid w:val="00E24926"/>
    <w:rsid w:val="00E24E04"/>
    <w:rsid w:val="00E2580D"/>
    <w:rsid w:val="00E2583C"/>
    <w:rsid w:val="00E2789E"/>
    <w:rsid w:val="00E27948"/>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350"/>
    <w:rsid w:val="00E407AC"/>
    <w:rsid w:val="00E413A5"/>
    <w:rsid w:val="00E41AF8"/>
    <w:rsid w:val="00E422BE"/>
    <w:rsid w:val="00E4296A"/>
    <w:rsid w:val="00E43380"/>
    <w:rsid w:val="00E44274"/>
    <w:rsid w:val="00E44603"/>
    <w:rsid w:val="00E44F24"/>
    <w:rsid w:val="00E455B4"/>
    <w:rsid w:val="00E46FA7"/>
    <w:rsid w:val="00E46FBA"/>
    <w:rsid w:val="00E47328"/>
    <w:rsid w:val="00E476DD"/>
    <w:rsid w:val="00E479DF"/>
    <w:rsid w:val="00E505D8"/>
    <w:rsid w:val="00E50B83"/>
    <w:rsid w:val="00E51530"/>
    <w:rsid w:val="00E5252F"/>
    <w:rsid w:val="00E528C6"/>
    <w:rsid w:val="00E52B26"/>
    <w:rsid w:val="00E535BD"/>
    <w:rsid w:val="00E54596"/>
    <w:rsid w:val="00E55578"/>
    <w:rsid w:val="00E56000"/>
    <w:rsid w:val="00E5632A"/>
    <w:rsid w:val="00E56378"/>
    <w:rsid w:val="00E57208"/>
    <w:rsid w:val="00E57457"/>
    <w:rsid w:val="00E60175"/>
    <w:rsid w:val="00E6160E"/>
    <w:rsid w:val="00E63B64"/>
    <w:rsid w:val="00E63F00"/>
    <w:rsid w:val="00E642DC"/>
    <w:rsid w:val="00E64ABC"/>
    <w:rsid w:val="00E64E57"/>
    <w:rsid w:val="00E64F71"/>
    <w:rsid w:val="00E64FC2"/>
    <w:rsid w:val="00E65240"/>
    <w:rsid w:val="00E66FD1"/>
    <w:rsid w:val="00E67590"/>
    <w:rsid w:val="00E67A1A"/>
    <w:rsid w:val="00E703B1"/>
    <w:rsid w:val="00E7045C"/>
    <w:rsid w:val="00E718EA"/>
    <w:rsid w:val="00E71A6E"/>
    <w:rsid w:val="00E720A0"/>
    <w:rsid w:val="00E72E55"/>
    <w:rsid w:val="00E733D4"/>
    <w:rsid w:val="00E74228"/>
    <w:rsid w:val="00E74759"/>
    <w:rsid w:val="00E74A24"/>
    <w:rsid w:val="00E74E48"/>
    <w:rsid w:val="00E769EA"/>
    <w:rsid w:val="00E76B64"/>
    <w:rsid w:val="00E76BBE"/>
    <w:rsid w:val="00E77101"/>
    <w:rsid w:val="00E77326"/>
    <w:rsid w:val="00E808C9"/>
    <w:rsid w:val="00E80943"/>
    <w:rsid w:val="00E8112D"/>
    <w:rsid w:val="00E81135"/>
    <w:rsid w:val="00E8148D"/>
    <w:rsid w:val="00E818C3"/>
    <w:rsid w:val="00E82DCF"/>
    <w:rsid w:val="00E84DC4"/>
    <w:rsid w:val="00E84E21"/>
    <w:rsid w:val="00E8561A"/>
    <w:rsid w:val="00E8589E"/>
    <w:rsid w:val="00E85DE8"/>
    <w:rsid w:val="00E86672"/>
    <w:rsid w:val="00E86705"/>
    <w:rsid w:val="00E86E0C"/>
    <w:rsid w:val="00E87FB1"/>
    <w:rsid w:val="00E900CF"/>
    <w:rsid w:val="00E908C6"/>
    <w:rsid w:val="00E924A8"/>
    <w:rsid w:val="00E93450"/>
    <w:rsid w:val="00E9372A"/>
    <w:rsid w:val="00E93AFD"/>
    <w:rsid w:val="00E95441"/>
    <w:rsid w:val="00E96618"/>
    <w:rsid w:val="00E97970"/>
    <w:rsid w:val="00E979A5"/>
    <w:rsid w:val="00E97C50"/>
    <w:rsid w:val="00EA03D8"/>
    <w:rsid w:val="00EA0DB1"/>
    <w:rsid w:val="00EA163C"/>
    <w:rsid w:val="00EA507E"/>
    <w:rsid w:val="00EA5747"/>
    <w:rsid w:val="00EA6103"/>
    <w:rsid w:val="00EA73BA"/>
    <w:rsid w:val="00EA743C"/>
    <w:rsid w:val="00EA7745"/>
    <w:rsid w:val="00EB0F28"/>
    <w:rsid w:val="00EB1892"/>
    <w:rsid w:val="00EB2336"/>
    <w:rsid w:val="00EB3B2C"/>
    <w:rsid w:val="00EB3F96"/>
    <w:rsid w:val="00EB3FA2"/>
    <w:rsid w:val="00EB4281"/>
    <w:rsid w:val="00EB4A81"/>
    <w:rsid w:val="00EB5264"/>
    <w:rsid w:val="00EB52AE"/>
    <w:rsid w:val="00EB60D0"/>
    <w:rsid w:val="00EC03D2"/>
    <w:rsid w:val="00EC0719"/>
    <w:rsid w:val="00EC09D5"/>
    <w:rsid w:val="00EC1FA6"/>
    <w:rsid w:val="00EC202F"/>
    <w:rsid w:val="00EC25AB"/>
    <w:rsid w:val="00EC3DF9"/>
    <w:rsid w:val="00EC4F93"/>
    <w:rsid w:val="00EC515F"/>
    <w:rsid w:val="00EC5679"/>
    <w:rsid w:val="00EC5764"/>
    <w:rsid w:val="00EC5DBE"/>
    <w:rsid w:val="00EC5DE6"/>
    <w:rsid w:val="00EC6263"/>
    <w:rsid w:val="00EC6C65"/>
    <w:rsid w:val="00ED0FC6"/>
    <w:rsid w:val="00ED1C3D"/>
    <w:rsid w:val="00ED2264"/>
    <w:rsid w:val="00ED23A2"/>
    <w:rsid w:val="00ED2B1D"/>
    <w:rsid w:val="00ED412E"/>
    <w:rsid w:val="00ED41A8"/>
    <w:rsid w:val="00ED44D2"/>
    <w:rsid w:val="00ED452D"/>
    <w:rsid w:val="00ED5035"/>
    <w:rsid w:val="00ED5703"/>
    <w:rsid w:val="00ED5DD6"/>
    <w:rsid w:val="00ED65DB"/>
    <w:rsid w:val="00ED6AF2"/>
    <w:rsid w:val="00ED7BC1"/>
    <w:rsid w:val="00EE04D4"/>
    <w:rsid w:val="00EE0C34"/>
    <w:rsid w:val="00EE0C71"/>
    <w:rsid w:val="00EE29BE"/>
    <w:rsid w:val="00EE3C34"/>
    <w:rsid w:val="00EE3CDA"/>
    <w:rsid w:val="00EE4C9E"/>
    <w:rsid w:val="00EE5884"/>
    <w:rsid w:val="00EE64D0"/>
    <w:rsid w:val="00EE7261"/>
    <w:rsid w:val="00EF038F"/>
    <w:rsid w:val="00EF07C3"/>
    <w:rsid w:val="00EF1944"/>
    <w:rsid w:val="00EF26AE"/>
    <w:rsid w:val="00EF27B5"/>
    <w:rsid w:val="00EF43EA"/>
    <w:rsid w:val="00EF46B1"/>
    <w:rsid w:val="00EF493E"/>
    <w:rsid w:val="00EF5D73"/>
    <w:rsid w:val="00EF607A"/>
    <w:rsid w:val="00EF6331"/>
    <w:rsid w:val="00EF6482"/>
    <w:rsid w:val="00EF7136"/>
    <w:rsid w:val="00EF71FF"/>
    <w:rsid w:val="00EF7662"/>
    <w:rsid w:val="00EF773B"/>
    <w:rsid w:val="00F00241"/>
    <w:rsid w:val="00F00777"/>
    <w:rsid w:val="00F00887"/>
    <w:rsid w:val="00F0147C"/>
    <w:rsid w:val="00F01AED"/>
    <w:rsid w:val="00F02876"/>
    <w:rsid w:val="00F03CD8"/>
    <w:rsid w:val="00F06185"/>
    <w:rsid w:val="00F064C3"/>
    <w:rsid w:val="00F06A82"/>
    <w:rsid w:val="00F109A7"/>
    <w:rsid w:val="00F10BFD"/>
    <w:rsid w:val="00F10D7E"/>
    <w:rsid w:val="00F11D60"/>
    <w:rsid w:val="00F11FF2"/>
    <w:rsid w:val="00F12451"/>
    <w:rsid w:val="00F12C44"/>
    <w:rsid w:val="00F12F74"/>
    <w:rsid w:val="00F1303C"/>
    <w:rsid w:val="00F132E8"/>
    <w:rsid w:val="00F14FD4"/>
    <w:rsid w:val="00F15550"/>
    <w:rsid w:val="00F15E8D"/>
    <w:rsid w:val="00F175AF"/>
    <w:rsid w:val="00F205FB"/>
    <w:rsid w:val="00F20967"/>
    <w:rsid w:val="00F20DD7"/>
    <w:rsid w:val="00F20F27"/>
    <w:rsid w:val="00F21CF8"/>
    <w:rsid w:val="00F22A61"/>
    <w:rsid w:val="00F2357B"/>
    <w:rsid w:val="00F23602"/>
    <w:rsid w:val="00F236DC"/>
    <w:rsid w:val="00F243CB"/>
    <w:rsid w:val="00F2464A"/>
    <w:rsid w:val="00F247BC"/>
    <w:rsid w:val="00F2482C"/>
    <w:rsid w:val="00F24A8F"/>
    <w:rsid w:val="00F25233"/>
    <w:rsid w:val="00F25CBC"/>
    <w:rsid w:val="00F25EAF"/>
    <w:rsid w:val="00F26AC0"/>
    <w:rsid w:val="00F2719D"/>
    <w:rsid w:val="00F27940"/>
    <w:rsid w:val="00F27A13"/>
    <w:rsid w:val="00F27FA1"/>
    <w:rsid w:val="00F3032E"/>
    <w:rsid w:val="00F3124A"/>
    <w:rsid w:val="00F313E8"/>
    <w:rsid w:val="00F31596"/>
    <w:rsid w:val="00F31EFE"/>
    <w:rsid w:val="00F3277D"/>
    <w:rsid w:val="00F32822"/>
    <w:rsid w:val="00F32EC1"/>
    <w:rsid w:val="00F3329B"/>
    <w:rsid w:val="00F33D35"/>
    <w:rsid w:val="00F340F0"/>
    <w:rsid w:val="00F343CC"/>
    <w:rsid w:val="00F34F38"/>
    <w:rsid w:val="00F350F7"/>
    <w:rsid w:val="00F35253"/>
    <w:rsid w:val="00F36405"/>
    <w:rsid w:val="00F36809"/>
    <w:rsid w:val="00F36950"/>
    <w:rsid w:val="00F371E7"/>
    <w:rsid w:val="00F3733F"/>
    <w:rsid w:val="00F3738F"/>
    <w:rsid w:val="00F37625"/>
    <w:rsid w:val="00F37CB3"/>
    <w:rsid w:val="00F40055"/>
    <w:rsid w:val="00F41E87"/>
    <w:rsid w:val="00F42120"/>
    <w:rsid w:val="00F428F8"/>
    <w:rsid w:val="00F43B83"/>
    <w:rsid w:val="00F44EBF"/>
    <w:rsid w:val="00F45EB3"/>
    <w:rsid w:val="00F463BF"/>
    <w:rsid w:val="00F47502"/>
    <w:rsid w:val="00F47697"/>
    <w:rsid w:val="00F50AFE"/>
    <w:rsid w:val="00F50DD0"/>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12C"/>
    <w:rsid w:val="00F644AD"/>
    <w:rsid w:val="00F646BE"/>
    <w:rsid w:val="00F64FF5"/>
    <w:rsid w:val="00F66320"/>
    <w:rsid w:val="00F663A8"/>
    <w:rsid w:val="00F66A76"/>
    <w:rsid w:val="00F674BA"/>
    <w:rsid w:val="00F6767A"/>
    <w:rsid w:val="00F67E6A"/>
    <w:rsid w:val="00F70A48"/>
    <w:rsid w:val="00F70BAD"/>
    <w:rsid w:val="00F713ED"/>
    <w:rsid w:val="00F71668"/>
    <w:rsid w:val="00F73140"/>
    <w:rsid w:val="00F74364"/>
    <w:rsid w:val="00F74666"/>
    <w:rsid w:val="00F7492D"/>
    <w:rsid w:val="00F751A4"/>
    <w:rsid w:val="00F7568A"/>
    <w:rsid w:val="00F77C1A"/>
    <w:rsid w:val="00F77E91"/>
    <w:rsid w:val="00F81073"/>
    <w:rsid w:val="00F812E4"/>
    <w:rsid w:val="00F815BB"/>
    <w:rsid w:val="00F825C9"/>
    <w:rsid w:val="00F8344B"/>
    <w:rsid w:val="00F83C40"/>
    <w:rsid w:val="00F83EEA"/>
    <w:rsid w:val="00F844DC"/>
    <w:rsid w:val="00F8461A"/>
    <w:rsid w:val="00F84BEC"/>
    <w:rsid w:val="00F852BE"/>
    <w:rsid w:val="00F86368"/>
    <w:rsid w:val="00F8731D"/>
    <w:rsid w:val="00F879C5"/>
    <w:rsid w:val="00F87CAF"/>
    <w:rsid w:val="00F87FA4"/>
    <w:rsid w:val="00F90063"/>
    <w:rsid w:val="00F90A3D"/>
    <w:rsid w:val="00F90EC0"/>
    <w:rsid w:val="00F911A7"/>
    <w:rsid w:val="00F91222"/>
    <w:rsid w:val="00F91EB5"/>
    <w:rsid w:val="00F92352"/>
    <w:rsid w:val="00F9267B"/>
    <w:rsid w:val="00F93469"/>
    <w:rsid w:val="00F93B7A"/>
    <w:rsid w:val="00F94ACE"/>
    <w:rsid w:val="00F94AE5"/>
    <w:rsid w:val="00F94C20"/>
    <w:rsid w:val="00F94EAF"/>
    <w:rsid w:val="00F96581"/>
    <w:rsid w:val="00F96AF2"/>
    <w:rsid w:val="00F96D11"/>
    <w:rsid w:val="00F96F50"/>
    <w:rsid w:val="00F970A7"/>
    <w:rsid w:val="00F9731E"/>
    <w:rsid w:val="00F9738D"/>
    <w:rsid w:val="00FA1622"/>
    <w:rsid w:val="00FA1A3F"/>
    <w:rsid w:val="00FA2228"/>
    <w:rsid w:val="00FA2A03"/>
    <w:rsid w:val="00FA36A5"/>
    <w:rsid w:val="00FA57BD"/>
    <w:rsid w:val="00FA59C4"/>
    <w:rsid w:val="00FA59C6"/>
    <w:rsid w:val="00FA5A3F"/>
    <w:rsid w:val="00FA5B04"/>
    <w:rsid w:val="00FA5F7E"/>
    <w:rsid w:val="00FA6140"/>
    <w:rsid w:val="00FA6AEF"/>
    <w:rsid w:val="00FB0167"/>
    <w:rsid w:val="00FB0EBB"/>
    <w:rsid w:val="00FB10F6"/>
    <w:rsid w:val="00FB13A2"/>
    <w:rsid w:val="00FB1402"/>
    <w:rsid w:val="00FB15EB"/>
    <w:rsid w:val="00FB19EB"/>
    <w:rsid w:val="00FB3A29"/>
    <w:rsid w:val="00FB41AF"/>
    <w:rsid w:val="00FB47DE"/>
    <w:rsid w:val="00FB492C"/>
    <w:rsid w:val="00FB4A1C"/>
    <w:rsid w:val="00FB4CA7"/>
    <w:rsid w:val="00FB60CC"/>
    <w:rsid w:val="00FB60FB"/>
    <w:rsid w:val="00FB612E"/>
    <w:rsid w:val="00FB6635"/>
    <w:rsid w:val="00FB6B37"/>
    <w:rsid w:val="00FB7510"/>
    <w:rsid w:val="00FC08D8"/>
    <w:rsid w:val="00FC111B"/>
    <w:rsid w:val="00FC1DE5"/>
    <w:rsid w:val="00FC206B"/>
    <w:rsid w:val="00FC23C7"/>
    <w:rsid w:val="00FC2710"/>
    <w:rsid w:val="00FC27DC"/>
    <w:rsid w:val="00FC3E40"/>
    <w:rsid w:val="00FC3FB7"/>
    <w:rsid w:val="00FC4378"/>
    <w:rsid w:val="00FC52C1"/>
    <w:rsid w:val="00FC5A6D"/>
    <w:rsid w:val="00FC5B2A"/>
    <w:rsid w:val="00FC623B"/>
    <w:rsid w:val="00FC6281"/>
    <w:rsid w:val="00FC65D0"/>
    <w:rsid w:val="00FC772C"/>
    <w:rsid w:val="00FC7DB1"/>
    <w:rsid w:val="00FD0284"/>
    <w:rsid w:val="00FD0BC0"/>
    <w:rsid w:val="00FD1078"/>
    <w:rsid w:val="00FD12DB"/>
    <w:rsid w:val="00FD1306"/>
    <w:rsid w:val="00FD3713"/>
    <w:rsid w:val="00FD434E"/>
    <w:rsid w:val="00FD4587"/>
    <w:rsid w:val="00FD47F8"/>
    <w:rsid w:val="00FD57E2"/>
    <w:rsid w:val="00FD5B9B"/>
    <w:rsid w:val="00FD66DD"/>
    <w:rsid w:val="00FD6921"/>
    <w:rsid w:val="00FD77C2"/>
    <w:rsid w:val="00FE175F"/>
    <w:rsid w:val="00FE1F8E"/>
    <w:rsid w:val="00FE26DD"/>
    <w:rsid w:val="00FE2EB3"/>
    <w:rsid w:val="00FE2ED7"/>
    <w:rsid w:val="00FE329D"/>
    <w:rsid w:val="00FE34B0"/>
    <w:rsid w:val="00FE371B"/>
    <w:rsid w:val="00FE379B"/>
    <w:rsid w:val="00FE3AFB"/>
    <w:rsid w:val="00FE3E6F"/>
    <w:rsid w:val="00FE400F"/>
    <w:rsid w:val="00FE4187"/>
    <w:rsid w:val="00FE4697"/>
    <w:rsid w:val="00FE58C5"/>
    <w:rsid w:val="00FE5ADE"/>
    <w:rsid w:val="00FE5C0B"/>
    <w:rsid w:val="00FE5E79"/>
    <w:rsid w:val="00FE788D"/>
    <w:rsid w:val="00FE797F"/>
    <w:rsid w:val="00FF052C"/>
    <w:rsid w:val="00FF05CB"/>
    <w:rsid w:val="00FF1B26"/>
    <w:rsid w:val="00FF211E"/>
    <w:rsid w:val="00FF22E1"/>
    <w:rsid w:val="00FF27FB"/>
    <w:rsid w:val="00FF31B0"/>
    <w:rsid w:val="00FF3215"/>
    <w:rsid w:val="00FF3E5C"/>
    <w:rsid w:val="00FF4658"/>
    <w:rsid w:val="00FF473D"/>
    <w:rsid w:val="00FF4E8A"/>
    <w:rsid w:val="00FF556A"/>
    <w:rsid w:val="00FF5D50"/>
    <w:rsid w:val="00FF5E33"/>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F85"/>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 w:type="paragraph" w:customStyle="1" w:styleId="CBANadpisvTABULCE">
    <w:name w:val="CBA Nadpis v TABULCE"/>
    <w:basedOn w:val="Normln"/>
    <w:qFormat/>
    <w:rsid w:val="0028530F"/>
    <w:pPr>
      <w:spacing w:before="120" w:after="120"/>
      <w:jc w:val="left"/>
    </w:pPr>
    <w:rPr>
      <w:b/>
      <w:bCs/>
      <w:color w:val="13576B"/>
    </w:rPr>
  </w:style>
  <w:style w:type="paragraph" w:customStyle="1" w:styleId="CBAodstavecvTABULCE">
    <w:name w:val="CBA odstavec v TABULCE"/>
    <w:basedOn w:val="Normln"/>
    <w:qFormat/>
    <w:rsid w:val="0028530F"/>
    <w:pPr>
      <w:spacing w:before="120" w:after="120"/>
      <w:jc w:val="left"/>
    </w:pPr>
    <w:rPr>
      <w:color w:val="13576B"/>
    </w:rPr>
  </w:style>
  <w:style w:type="paragraph" w:styleId="Prosttext">
    <w:name w:val="Plain Text"/>
    <w:basedOn w:val="Normln"/>
    <w:link w:val="ProsttextChar"/>
    <w:uiPriority w:val="99"/>
    <w:semiHidden/>
    <w:unhideWhenUsed/>
    <w:rsid w:val="001177C9"/>
    <w:rPr>
      <w:rFonts w:ascii="Consolas" w:hAnsi="Consolas"/>
      <w:sz w:val="21"/>
      <w:szCs w:val="21"/>
    </w:rPr>
  </w:style>
  <w:style w:type="character" w:customStyle="1" w:styleId="ProsttextChar">
    <w:name w:val="Prostý text Char"/>
    <w:basedOn w:val="Standardnpsmoodstavce"/>
    <w:link w:val="Prost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0507864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6385367">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11973544">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46793459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29345210">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34119866">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45289396">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1301086">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20621603">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35484086">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60342913">
      <w:bodyDiv w:val="1"/>
      <w:marLeft w:val="0"/>
      <w:marRight w:val="0"/>
      <w:marTop w:val="0"/>
      <w:marBottom w:val="0"/>
      <w:divBdr>
        <w:top w:val="none" w:sz="0" w:space="0" w:color="auto"/>
        <w:left w:val="none" w:sz="0" w:space="0" w:color="auto"/>
        <w:bottom w:val="none" w:sz="0" w:space="0" w:color="auto"/>
        <w:right w:val="none" w:sz="0" w:space="0" w:color="auto"/>
      </w:divBdr>
    </w:div>
    <w:div w:id="1471360023">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40383861">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140906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18692839">
      <w:bodyDiv w:val="1"/>
      <w:marLeft w:val="0"/>
      <w:marRight w:val="0"/>
      <w:marTop w:val="0"/>
      <w:marBottom w:val="0"/>
      <w:divBdr>
        <w:top w:val="none" w:sz="0" w:space="0" w:color="auto"/>
        <w:left w:val="none" w:sz="0" w:space="0" w:color="auto"/>
        <w:bottom w:val="none" w:sz="0" w:space="0" w:color="auto"/>
        <w:right w:val="none" w:sz="0" w:space="0" w:color="auto"/>
      </w:divBdr>
    </w:div>
    <w:div w:id="1829785376">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3412806">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46520279">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087460467">
      <w:bodyDiv w:val="1"/>
      <w:marLeft w:val="0"/>
      <w:marRight w:val="0"/>
      <w:marTop w:val="0"/>
      <w:marBottom w:val="0"/>
      <w:divBdr>
        <w:top w:val="none" w:sz="0" w:space="0" w:color="auto"/>
        <w:left w:val="none" w:sz="0" w:space="0" w:color="auto"/>
        <w:bottom w:val="none" w:sz="0" w:space="0" w:color="auto"/>
        <w:right w:val="none" w:sz="0" w:space="0" w:color="auto"/>
      </w:divBdr>
    </w:div>
    <w:div w:id="2089568533">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35901973">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amonitor.cz/aktuality/vlna-refixaci-hypotek-sili-urokovy-sok-ale-slabne-rizikem-zustava-vyssi-inflace" TargetMode="External"/><Relationship Id="rId26" Type="http://schemas.openxmlformats.org/officeDocument/2006/relationships/image" Target="media/image9.emf"/><Relationship Id="rId39" Type="http://schemas.openxmlformats.org/officeDocument/2006/relationships/image" Target="media/image13.emf"/><Relationship Id="rId21" Type="http://schemas.openxmlformats.org/officeDocument/2006/relationships/hyperlink" Target="https://www.cbamonitor.cz/aktuality/cnb-ceka-na-novy-impuls" TargetMode="External"/><Relationship Id="rId34" Type="http://schemas.openxmlformats.org/officeDocument/2006/relationships/hyperlink" Target="https://www.cbamonitor.cz/statistika/dynamika-mezd"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cbamonitor.cz/aktuality/hypotecni-standardy-se-zprisnily-silna-poptavka-ale-tlumila-dopad-do-uverovych-podminek" TargetMode="External"/><Relationship Id="rId29" Type="http://schemas.openxmlformats.org/officeDocument/2006/relationships/hyperlink" Target="https://www.cbamonitor.cz/aktuality/zpomaleni-rustu-cen-novych-prazskych-bytu-se-do-cen-starsich-bytu-nepromitlo" TargetMode="External"/><Relationship Id="rId41" Type="http://schemas.openxmlformats.org/officeDocument/2006/relationships/hyperlink" Target="https://www.cbamonitor.cz/kategorie/cba-hypomonit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amonitor.cz/aktuality/cnb-zvysuje-kapitalovou-rezervu-bank-reaguje-na-rychlejsi-rust-uveru-i-nova-rizika" TargetMode="External"/><Relationship Id="rId24" Type="http://schemas.openxmlformats.org/officeDocument/2006/relationships/image" Target="media/image8.png"/><Relationship Id="rId32" Type="http://schemas.openxmlformats.org/officeDocument/2006/relationships/hyperlink" Target="https://www.cbamonitor.cz/aktuality/cervencovy-prumysl-neotevrel-treti-ctvrtleti-rustem-stavebnictvi-vsak-roste" TargetMode="External"/><Relationship Id="rId37" Type="http://schemas.openxmlformats.org/officeDocument/2006/relationships/image" Target="media/image12.png"/><Relationship Id="rId40" Type="http://schemas.openxmlformats.org/officeDocument/2006/relationships/hyperlink" Target="http://www.cbaonline.cz"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www.cbamonitor.cz/aktuality/uspory-domacnosti-zustavaji-vysoko-a-ceny-nemovitosti-dal-rostou-a-silnejsi-produktivita-prilis-ulevy-cnb-neprinese" TargetMode="External"/><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hyperlink" Target="https://www.cbamonitor.cz/aktuality/trzni-sily-v-hypotecnich-sazbach-rust-trznich-uroku-se-do-hypotek-promitl-jen-castecne-pomaha-silna-konkurence-na-trhu" TargetMode="External"/><Relationship Id="rId31" Type="http://schemas.openxmlformats.org/officeDocument/2006/relationships/hyperlink" Target="https://www.cbamonitor.cz/kategorie/ceny-nemovitost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cbamonitor.cz/aktuality/ctyri-pribehy-cervnovych-dat-energetika-export-mzdy-a-zahajene-byty" TargetMode="External"/><Relationship Id="rId27" Type="http://schemas.openxmlformats.org/officeDocument/2006/relationships/hyperlink" Target="https://www.cbamonitor.cz/aktuality/cnb-zprisnuje-podminky-pro-investicni-hypoteky-9-dopad-nebo-potrebna-redistribuce-poptavky" TargetMode="External"/><Relationship Id="rId30" Type="http://schemas.openxmlformats.org/officeDocument/2006/relationships/hyperlink" Target="https://www.cbamonitor.cz/aktuality/transakcni-ceny-bytu-nepolevuji-v-rustu_prilis-nepolevily" TargetMode="External"/><Relationship Id="rId35" Type="http://schemas.openxmlformats.org/officeDocument/2006/relationships/image" Target="media/image1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cbamonitor.cz/aktuality/vlna-refixaci-hypotek-sili-urokovy-sok-ale-slabne-rizikem-zustava-vyssi-inflace" TargetMode="External"/><Relationship Id="rId33" Type="http://schemas.openxmlformats.org/officeDocument/2006/relationships/hyperlink" Target="https://www.cbamonitor.cz/aktuality/pomalejsi-rust-mezd-si-ovsem-i-ve-druhem-ctvrtleti-udrzel-silne-momentum" TargetMode="External"/><Relationship Id="rId38" Type="http://schemas.openxmlformats.org/officeDocument/2006/relationships/hyperlink" Target="https://www.cbamonitor.cz/statistika/prognoza-prumerna-mzd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customXml/itemProps3.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customXml/itemProps4.xml><?xml version="1.0" encoding="utf-8"?>
<ds:datastoreItem xmlns:ds="http://schemas.openxmlformats.org/officeDocument/2006/customXml" ds:itemID="{90F695EA-D77D-4F66-A87E-5245D7A92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3143</Words>
  <Characters>18548</Characters>
  <Application>Microsoft Office Word</Application>
  <DocSecurity>0</DocSecurity>
  <Lines>154</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3</cp:revision>
  <cp:lastPrinted>2025-08-14T09:13:00Z</cp:lastPrinted>
  <dcterms:created xsi:type="dcterms:W3CDTF">2026-09-15T13:26:00Z</dcterms:created>
  <dcterms:modified xsi:type="dcterms:W3CDTF">2026-09-15T13:54:00Z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