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245D2" w14:textId="56BE3B77" w:rsidR="00266E32" w:rsidRPr="00906FDC" w:rsidRDefault="00266E32" w:rsidP="002B1A4A">
      <w:pPr>
        <w:spacing w:after="120"/>
        <w:rPr>
          <w:rFonts w:ascii="Calibri" w:hAnsi="Calibri" w:cs="Arial"/>
          <w:b/>
          <w:color w:val="13576B"/>
          <w:sz w:val="36"/>
          <w:szCs w:val="36"/>
        </w:rPr>
      </w:pPr>
      <w:bookmarkStart w:id="0" w:name="_Hlk198644776"/>
      <w:bookmarkEnd w:id="0"/>
      <w:r w:rsidRPr="00906FDC">
        <w:rPr>
          <w:rFonts w:ascii="Calibri" w:hAnsi="Calibri" w:cs="Arial"/>
          <w:b/>
          <w:color w:val="13576B"/>
          <w:sz w:val="36"/>
          <w:szCs w:val="36"/>
        </w:rPr>
        <w:t>MAKROEKONOMICKÁ PROGNÓZA ČBA</w:t>
      </w:r>
      <w:r w:rsidR="009A464E">
        <w:rPr>
          <w:rFonts w:ascii="Calibri" w:hAnsi="Calibri" w:cs="Arial"/>
          <w:b/>
          <w:color w:val="13576B"/>
          <w:sz w:val="36"/>
          <w:szCs w:val="36"/>
        </w:rPr>
        <w:t xml:space="preserve"> 3Q 2026</w:t>
      </w:r>
    </w:p>
    <w:p w14:paraId="3719106D" w14:textId="40ACAAF3" w:rsidR="00B22E78" w:rsidRPr="00FE14E0" w:rsidRDefault="00DB104D" w:rsidP="00526818">
      <w:pPr>
        <w:jc w:val="left"/>
        <w:rPr>
          <w:rFonts w:ascii="Calibri" w:hAnsi="Calibri" w:cs="Arial"/>
          <w:b/>
          <w:color w:val="EE0000"/>
          <w:sz w:val="32"/>
          <w:szCs w:val="32"/>
        </w:rPr>
      </w:pPr>
      <w:r>
        <w:rPr>
          <w:rFonts w:ascii="Calibri" w:hAnsi="Calibri" w:cs="Arial"/>
          <w:b/>
          <w:color w:val="13576B"/>
          <w:sz w:val="32"/>
          <w:szCs w:val="32"/>
        </w:rPr>
        <w:t>Srpen</w:t>
      </w:r>
      <w:r w:rsidR="00FF1673">
        <w:rPr>
          <w:rFonts w:ascii="Calibri" w:hAnsi="Calibri" w:cs="Arial"/>
          <w:b/>
          <w:color w:val="13576B"/>
          <w:sz w:val="32"/>
          <w:szCs w:val="32"/>
        </w:rPr>
        <w:t xml:space="preserve"> </w:t>
      </w:r>
      <w:r w:rsidR="000366C2" w:rsidRPr="00906FDC">
        <w:rPr>
          <w:rFonts w:ascii="Calibri" w:hAnsi="Calibri" w:cs="Arial"/>
          <w:b/>
          <w:color w:val="13576B"/>
          <w:sz w:val="32"/>
          <w:szCs w:val="32"/>
        </w:rPr>
        <w:t>20</w:t>
      </w:r>
      <w:r w:rsidR="00335332" w:rsidRPr="00906FDC">
        <w:rPr>
          <w:rFonts w:ascii="Calibri" w:hAnsi="Calibri" w:cs="Arial"/>
          <w:b/>
          <w:color w:val="13576B"/>
          <w:sz w:val="32"/>
          <w:szCs w:val="32"/>
        </w:rPr>
        <w:t>2</w:t>
      </w:r>
      <w:r w:rsidR="000F64C9">
        <w:rPr>
          <w:rFonts w:ascii="Calibri" w:hAnsi="Calibri" w:cs="Arial"/>
          <w:b/>
          <w:color w:val="13576B"/>
          <w:sz w:val="32"/>
          <w:szCs w:val="32"/>
        </w:rPr>
        <w:t>6</w:t>
      </w:r>
      <w:r w:rsidR="000366C2" w:rsidRPr="00906FDC">
        <w:rPr>
          <w:rFonts w:ascii="Calibri" w:hAnsi="Calibri" w:cs="Arial"/>
          <w:b/>
          <w:color w:val="13576B"/>
          <w:sz w:val="32"/>
          <w:szCs w:val="32"/>
        </w:rPr>
        <w:t xml:space="preserve">: </w:t>
      </w:r>
      <w:r w:rsidR="008965E9" w:rsidRPr="008965E9">
        <w:rPr>
          <w:rFonts w:ascii="Calibri" w:hAnsi="Calibri" w:cs="Arial"/>
          <w:b/>
          <w:color w:val="13576B"/>
          <w:sz w:val="32"/>
          <w:szCs w:val="32"/>
        </w:rPr>
        <w:t xml:space="preserve">Růst české ekonomiky zůstává stabilní, jádrové cenové tlaky však </w:t>
      </w:r>
      <w:r w:rsidR="00021AC6">
        <w:rPr>
          <w:rFonts w:ascii="Calibri" w:hAnsi="Calibri" w:cs="Arial"/>
          <w:b/>
          <w:color w:val="13576B"/>
          <w:sz w:val="32"/>
          <w:szCs w:val="32"/>
        </w:rPr>
        <w:t>po</w:t>
      </w:r>
      <w:r w:rsidR="008965E9" w:rsidRPr="008965E9">
        <w:rPr>
          <w:rFonts w:ascii="Calibri" w:hAnsi="Calibri" w:cs="Arial"/>
          <w:b/>
          <w:color w:val="13576B"/>
          <w:sz w:val="32"/>
          <w:szCs w:val="32"/>
        </w:rPr>
        <w:t>drží sazby výše</w:t>
      </w:r>
    </w:p>
    <w:p w14:paraId="39991056" w14:textId="02BEAFB4" w:rsidR="008965E9" w:rsidRDefault="00266E32" w:rsidP="00684D52">
      <w:pPr>
        <w:spacing w:after="120"/>
        <w:rPr>
          <w:rFonts w:ascii="Calibri" w:hAnsi="Calibri" w:cs="Calibri"/>
          <w:b/>
          <w:color w:val="13576B"/>
          <w:sz w:val="20"/>
        </w:rPr>
      </w:pPr>
      <w:r w:rsidRPr="0028378F">
        <w:rPr>
          <w:rFonts w:ascii="Calibri" w:hAnsi="Calibri" w:cs="Calibri"/>
          <w:b/>
          <w:color w:val="13576B"/>
          <w:sz w:val="20"/>
        </w:rPr>
        <w:t xml:space="preserve">Praha, </w:t>
      </w:r>
      <w:r w:rsidR="00DB104D">
        <w:rPr>
          <w:rFonts w:ascii="Calibri" w:hAnsi="Calibri" w:cs="Calibri"/>
          <w:b/>
          <w:color w:val="13576B"/>
          <w:sz w:val="20"/>
        </w:rPr>
        <w:t>19</w:t>
      </w:r>
      <w:r w:rsidRPr="0028378F">
        <w:rPr>
          <w:rFonts w:ascii="Calibri" w:hAnsi="Calibri" w:cs="Calibri"/>
          <w:b/>
          <w:color w:val="13576B"/>
          <w:sz w:val="20"/>
        </w:rPr>
        <w:t xml:space="preserve">. </w:t>
      </w:r>
      <w:r w:rsidR="00DB104D">
        <w:rPr>
          <w:rFonts w:ascii="Calibri" w:hAnsi="Calibri" w:cs="Calibri"/>
          <w:b/>
          <w:color w:val="13576B"/>
          <w:sz w:val="20"/>
        </w:rPr>
        <w:t>srpen</w:t>
      </w:r>
      <w:r w:rsidR="00FF1673" w:rsidRPr="0028378F">
        <w:rPr>
          <w:rFonts w:ascii="Calibri" w:hAnsi="Calibri" w:cs="Calibri"/>
          <w:b/>
          <w:color w:val="13576B"/>
          <w:sz w:val="20"/>
        </w:rPr>
        <w:t xml:space="preserve"> </w:t>
      </w:r>
      <w:r w:rsidRPr="0028378F">
        <w:rPr>
          <w:rFonts w:ascii="Calibri" w:hAnsi="Calibri" w:cs="Calibri"/>
          <w:b/>
          <w:color w:val="13576B"/>
          <w:sz w:val="20"/>
        </w:rPr>
        <w:t>202</w:t>
      </w:r>
      <w:r w:rsidR="000F64C9">
        <w:rPr>
          <w:rFonts w:ascii="Calibri" w:hAnsi="Calibri" w:cs="Calibri"/>
          <w:b/>
          <w:color w:val="13576B"/>
          <w:sz w:val="20"/>
        </w:rPr>
        <w:t>6</w:t>
      </w:r>
      <w:r w:rsidRPr="0028378F">
        <w:rPr>
          <w:rFonts w:ascii="Calibri" w:hAnsi="Calibri" w:cs="Calibri"/>
          <w:b/>
          <w:color w:val="13576B"/>
          <w:sz w:val="20"/>
        </w:rPr>
        <w:t xml:space="preserve"> –</w:t>
      </w:r>
      <w:bookmarkStart w:id="1" w:name="_Hlk190799464"/>
      <w:r w:rsidR="00B22E78" w:rsidRPr="0028378F">
        <w:rPr>
          <w:rFonts w:ascii="Calibri" w:hAnsi="Calibri" w:cs="Calibri"/>
          <w:b/>
          <w:color w:val="13576B"/>
          <w:sz w:val="20"/>
        </w:rPr>
        <w:t xml:space="preserve"> </w:t>
      </w:r>
      <w:r w:rsidR="00993E8A" w:rsidRPr="00993E8A">
        <w:rPr>
          <w:rFonts w:ascii="Calibri" w:hAnsi="Calibri" w:cs="Calibri"/>
          <w:b/>
          <w:color w:val="13576B"/>
          <w:sz w:val="20"/>
        </w:rPr>
        <w:t>Prognostický panel České bankovní asociace (ČBA), sdružující hlavní ekonomy předních českých bank, nadále očekává</w:t>
      </w:r>
      <w:r w:rsidR="008965E9">
        <w:rPr>
          <w:rFonts w:ascii="Calibri" w:hAnsi="Calibri" w:cs="Calibri"/>
          <w:b/>
          <w:color w:val="13576B"/>
          <w:sz w:val="20"/>
        </w:rPr>
        <w:t>,</w:t>
      </w:r>
      <w:r w:rsidR="008965E9" w:rsidRPr="008965E9">
        <w:rPr>
          <w:rFonts w:ascii="Calibri" w:hAnsi="Calibri" w:cs="Calibri"/>
          <w:b/>
          <w:color w:val="13576B"/>
          <w:sz w:val="20"/>
        </w:rPr>
        <w:t xml:space="preserve"> že česká ekonomika letos vzroste o 2,0 % a v roce 2027 zrychlí na 2,3 %. Celkový růst se proti květnové prognóze prakticky nemění, mění se však jeho struktura: výhled spotřeby domácností, investic i exportu je příznivější a opírá se o silnější mzdy, úvěrovou aktivitu a odolnější zahraniční poptávku. Část tohoto zlepšení však tlumí vyšší dovozní náročnost ekonomiky.</w:t>
      </w:r>
      <w:r w:rsidR="008965E9">
        <w:rPr>
          <w:rFonts w:ascii="Calibri" w:hAnsi="Calibri" w:cs="Calibri"/>
          <w:b/>
          <w:color w:val="13576B"/>
          <w:sz w:val="20"/>
        </w:rPr>
        <w:t xml:space="preserve"> </w:t>
      </w:r>
    </w:p>
    <w:p w14:paraId="21FBBB52" w14:textId="41EE038E" w:rsidR="00115A60" w:rsidRDefault="008965E9" w:rsidP="00684D52">
      <w:pPr>
        <w:spacing w:after="120"/>
        <w:rPr>
          <w:rFonts w:ascii="Calibri" w:hAnsi="Calibri" w:cs="Calibri"/>
          <w:b/>
          <w:color w:val="13576B"/>
          <w:sz w:val="20"/>
        </w:rPr>
      </w:pPr>
      <w:r w:rsidRPr="008965E9">
        <w:rPr>
          <w:rFonts w:ascii="Calibri" w:hAnsi="Calibri" w:cs="Calibri"/>
          <w:b/>
          <w:color w:val="13576B"/>
          <w:sz w:val="20"/>
        </w:rPr>
        <w:t xml:space="preserve">Výrazněji se mění inflační a </w:t>
      </w:r>
      <w:proofErr w:type="spellStart"/>
      <w:r w:rsidRPr="008965E9">
        <w:rPr>
          <w:rFonts w:ascii="Calibri" w:hAnsi="Calibri" w:cs="Calibri"/>
          <w:b/>
          <w:color w:val="13576B"/>
          <w:sz w:val="20"/>
        </w:rPr>
        <w:t>měnověpolitický</w:t>
      </w:r>
      <w:proofErr w:type="spellEnd"/>
      <w:r w:rsidRPr="008965E9">
        <w:rPr>
          <w:rFonts w:ascii="Calibri" w:hAnsi="Calibri" w:cs="Calibri"/>
          <w:b/>
          <w:color w:val="13576B"/>
          <w:sz w:val="20"/>
        </w:rPr>
        <w:t xml:space="preserve"> příběh prognózy. Letošní průměrná inflace byla snížena na 2,0 %, zejména díky příznivému vývoji cen potravin. Tento efekt však podle panelu nemusí být trvalý</w:t>
      </w:r>
      <w:r>
        <w:rPr>
          <w:rFonts w:ascii="Calibri" w:hAnsi="Calibri" w:cs="Calibri"/>
          <w:b/>
          <w:color w:val="13576B"/>
          <w:sz w:val="20"/>
        </w:rPr>
        <w:t xml:space="preserve"> zejména kvůli prodlouženému konfliktu s Íránem a suchu</w:t>
      </w:r>
      <w:r w:rsidRPr="008965E9">
        <w:rPr>
          <w:rFonts w:ascii="Calibri" w:hAnsi="Calibri" w:cs="Calibri"/>
          <w:b/>
          <w:color w:val="13576B"/>
          <w:sz w:val="20"/>
        </w:rPr>
        <w:t xml:space="preserve">. </w:t>
      </w:r>
      <w:r>
        <w:rPr>
          <w:rFonts w:ascii="Calibri" w:hAnsi="Calibri" w:cs="Calibri"/>
          <w:b/>
          <w:color w:val="13576B"/>
          <w:sz w:val="20"/>
        </w:rPr>
        <w:t>Letošní výhled na j</w:t>
      </w:r>
      <w:r w:rsidRPr="008965E9">
        <w:rPr>
          <w:rFonts w:ascii="Calibri" w:hAnsi="Calibri" w:cs="Calibri"/>
          <w:b/>
          <w:color w:val="13576B"/>
          <w:sz w:val="20"/>
        </w:rPr>
        <w:t>ádrov</w:t>
      </w:r>
      <w:r>
        <w:rPr>
          <w:rFonts w:ascii="Calibri" w:hAnsi="Calibri" w:cs="Calibri"/>
          <w:b/>
          <w:color w:val="13576B"/>
          <w:sz w:val="20"/>
        </w:rPr>
        <w:t>ou</w:t>
      </w:r>
      <w:r w:rsidRPr="008965E9">
        <w:rPr>
          <w:rFonts w:ascii="Calibri" w:hAnsi="Calibri" w:cs="Calibri"/>
          <w:b/>
          <w:color w:val="13576B"/>
          <w:sz w:val="20"/>
        </w:rPr>
        <w:t xml:space="preserve"> inflac</w:t>
      </w:r>
      <w:r>
        <w:rPr>
          <w:rFonts w:ascii="Calibri" w:hAnsi="Calibri" w:cs="Calibri"/>
          <w:b/>
          <w:color w:val="13576B"/>
          <w:sz w:val="20"/>
        </w:rPr>
        <w:t xml:space="preserve">i se posunul blíže </w:t>
      </w:r>
      <w:r w:rsidR="00A03236">
        <w:rPr>
          <w:rFonts w:ascii="Calibri" w:hAnsi="Calibri" w:cs="Calibri"/>
          <w:b/>
          <w:color w:val="13576B"/>
          <w:sz w:val="20"/>
        </w:rPr>
        <w:t xml:space="preserve">ke </w:t>
      </w:r>
      <w:r w:rsidRPr="008965E9">
        <w:rPr>
          <w:rFonts w:ascii="Calibri" w:hAnsi="Calibri" w:cs="Calibri"/>
          <w:b/>
          <w:color w:val="13576B"/>
          <w:sz w:val="20"/>
        </w:rPr>
        <w:t>3 %, růst mezd byl revidován vzhůru a rizika pro rok 2027 jsou spíše proinflační. Medián panelu proto nově počítá s</w:t>
      </w:r>
      <w:r w:rsidR="008F7874">
        <w:rPr>
          <w:rFonts w:ascii="Calibri" w:hAnsi="Calibri" w:cs="Calibri"/>
          <w:b/>
          <w:color w:val="13576B"/>
          <w:sz w:val="20"/>
        </w:rPr>
        <w:t xml:space="preserve"> ponecháním</w:t>
      </w:r>
      <w:r w:rsidRPr="008965E9">
        <w:rPr>
          <w:rFonts w:ascii="Calibri" w:hAnsi="Calibri" w:cs="Calibri"/>
          <w:b/>
          <w:color w:val="13576B"/>
          <w:sz w:val="20"/>
        </w:rPr>
        <w:t xml:space="preserve"> základní </w:t>
      </w:r>
      <w:r w:rsidR="008F7874">
        <w:rPr>
          <w:rFonts w:ascii="Calibri" w:hAnsi="Calibri" w:cs="Calibri"/>
          <w:b/>
          <w:color w:val="13576B"/>
          <w:sz w:val="20"/>
        </w:rPr>
        <w:t>úrokové sazby</w:t>
      </w:r>
      <w:r w:rsidRPr="008965E9">
        <w:rPr>
          <w:rFonts w:ascii="Calibri" w:hAnsi="Calibri" w:cs="Calibri"/>
          <w:b/>
          <w:color w:val="13576B"/>
          <w:sz w:val="20"/>
        </w:rPr>
        <w:t xml:space="preserve"> ČNB na 3,75 %</w:t>
      </w:r>
      <w:r w:rsidR="00765DC1">
        <w:rPr>
          <w:rFonts w:ascii="Calibri" w:hAnsi="Calibri" w:cs="Calibri"/>
          <w:b/>
          <w:color w:val="13576B"/>
          <w:sz w:val="20"/>
        </w:rPr>
        <w:t xml:space="preserve"> po jejím červnovém zvýšení. A to</w:t>
      </w:r>
      <w:r w:rsidRPr="008965E9">
        <w:rPr>
          <w:rFonts w:ascii="Calibri" w:hAnsi="Calibri" w:cs="Calibri"/>
          <w:b/>
          <w:color w:val="13576B"/>
          <w:sz w:val="20"/>
        </w:rPr>
        <w:t xml:space="preserve"> </w:t>
      </w:r>
      <w:r w:rsidR="008F7874">
        <w:rPr>
          <w:rFonts w:ascii="Calibri" w:hAnsi="Calibri" w:cs="Calibri"/>
          <w:b/>
          <w:color w:val="13576B"/>
          <w:sz w:val="20"/>
        </w:rPr>
        <w:t>jak na konci</w:t>
      </w:r>
      <w:r w:rsidRPr="008965E9">
        <w:rPr>
          <w:rFonts w:ascii="Calibri" w:hAnsi="Calibri" w:cs="Calibri"/>
          <w:b/>
          <w:color w:val="13576B"/>
          <w:sz w:val="20"/>
        </w:rPr>
        <w:t xml:space="preserve"> letošního</w:t>
      </w:r>
      <w:r w:rsidR="008F7874">
        <w:rPr>
          <w:rFonts w:ascii="Calibri" w:hAnsi="Calibri" w:cs="Calibri"/>
          <w:b/>
          <w:color w:val="13576B"/>
          <w:sz w:val="20"/>
        </w:rPr>
        <w:t xml:space="preserve">, tak i </w:t>
      </w:r>
      <w:r w:rsidRPr="008965E9">
        <w:rPr>
          <w:rFonts w:ascii="Calibri" w:hAnsi="Calibri" w:cs="Calibri"/>
          <w:b/>
          <w:color w:val="13576B"/>
          <w:sz w:val="20"/>
        </w:rPr>
        <w:t>příštího roku.</w:t>
      </w:r>
      <w:r>
        <w:rPr>
          <w:rFonts w:ascii="Calibri" w:hAnsi="Calibri" w:cs="Calibri"/>
          <w:b/>
          <w:color w:val="13576B"/>
          <w:sz w:val="20"/>
        </w:rPr>
        <w:t xml:space="preserve"> To je o</w:t>
      </w:r>
      <w:r w:rsidR="00993E8A" w:rsidRPr="00993E8A">
        <w:rPr>
          <w:rFonts w:ascii="Calibri" w:hAnsi="Calibri" w:cs="Calibri"/>
          <w:b/>
          <w:color w:val="13576B"/>
          <w:sz w:val="20"/>
        </w:rPr>
        <w:t xml:space="preserve"> čtvrt procentního bodu výše než v</w:t>
      </w:r>
      <w:r w:rsidR="008F7874">
        <w:rPr>
          <w:rFonts w:ascii="Calibri" w:hAnsi="Calibri" w:cs="Calibri"/>
          <w:b/>
          <w:color w:val="13576B"/>
          <w:sz w:val="20"/>
        </w:rPr>
        <w:t> </w:t>
      </w:r>
      <w:r w:rsidR="00993E8A" w:rsidRPr="00993E8A">
        <w:rPr>
          <w:rFonts w:ascii="Calibri" w:hAnsi="Calibri" w:cs="Calibri"/>
          <w:b/>
          <w:color w:val="13576B"/>
          <w:sz w:val="20"/>
        </w:rPr>
        <w:t>květnu</w:t>
      </w:r>
      <w:r w:rsidR="008F7874">
        <w:rPr>
          <w:rFonts w:ascii="Calibri" w:hAnsi="Calibri" w:cs="Calibri"/>
          <w:b/>
          <w:color w:val="13576B"/>
          <w:sz w:val="20"/>
        </w:rPr>
        <w:t xml:space="preserve">, kdy jsme vyšší sazbu ČNB uváděli mezi klíčovým riziky. </w:t>
      </w:r>
      <w:r w:rsidR="007655FC">
        <w:rPr>
          <w:rFonts w:ascii="Calibri" w:hAnsi="Calibri" w:cs="Calibri"/>
          <w:b/>
          <w:color w:val="13576B"/>
          <w:sz w:val="20"/>
        </w:rPr>
        <w:t xml:space="preserve"> </w:t>
      </w:r>
    </w:p>
    <w:p w14:paraId="15E35887" w14:textId="5C73ABFB" w:rsidR="008965E9" w:rsidRDefault="008965E9" w:rsidP="00684D52">
      <w:pPr>
        <w:spacing w:after="120"/>
        <w:rPr>
          <w:rFonts w:ascii="Calibri" w:hAnsi="Calibri" w:cs="Calibri"/>
          <w:b/>
          <w:color w:val="13576B"/>
          <w:sz w:val="20"/>
        </w:rPr>
      </w:pPr>
      <w:r w:rsidRPr="008965E9">
        <w:rPr>
          <w:rFonts w:ascii="Calibri" w:hAnsi="Calibri" w:cs="Calibri"/>
          <w:b/>
          <w:color w:val="13576B"/>
          <w:sz w:val="20"/>
        </w:rPr>
        <w:t>Rizika pro konec letošního roku jsou přitom</w:t>
      </w:r>
      <w:r w:rsidR="00765DC1">
        <w:rPr>
          <w:rFonts w:ascii="Calibri" w:hAnsi="Calibri" w:cs="Calibri"/>
          <w:b/>
          <w:color w:val="13576B"/>
          <w:sz w:val="20"/>
        </w:rPr>
        <w:t xml:space="preserve"> pro téměř polovinu panelu</w:t>
      </w:r>
      <w:r w:rsidRPr="008965E9">
        <w:rPr>
          <w:rFonts w:ascii="Calibri" w:hAnsi="Calibri" w:cs="Calibri"/>
          <w:b/>
          <w:color w:val="13576B"/>
          <w:sz w:val="20"/>
        </w:rPr>
        <w:t xml:space="preserve"> vychýlena směrem k vyšším </w:t>
      </w:r>
      <w:r>
        <w:rPr>
          <w:rFonts w:ascii="Calibri" w:hAnsi="Calibri" w:cs="Calibri"/>
          <w:b/>
          <w:color w:val="13576B"/>
          <w:sz w:val="20"/>
        </w:rPr>
        <w:t xml:space="preserve">úrokovým </w:t>
      </w:r>
      <w:r w:rsidRPr="008965E9">
        <w:rPr>
          <w:rFonts w:ascii="Calibri" w:hAnsi="Calibri" w:cs="Calibri"/>
          <w:b/>
          <w:color w:val="13576B"/>
          <w:sz w:val="20"/>
        </w:rPr>
        <w:t xml:space="preserve">sazbám. Prognózu zatěžuje </w:t>
      </w:r>
      <w:r w:rsidR="00B1407E">
        <w:rPr>
          <w:rFonts w:ascii="Calibri" w:hAnsi="Calibri" w:cs="Calibri"/>
          <w:b/>
          <w:color w:val="13576B"/>
          <w:sz w:val="20"/>
        </w:rPr>
        <w:t xml:space="preserve">zejména setrvalost růstu jádrové inflace, </w:t>
      </w:r>
      <w:r w:rsidRPr="008965E9">
        <w:rPr>
          <w:rFonts w:ascii="Calibri" w:hAnsi="Calibri" w:cs="Calibri"/>
          <w:b/>
          <w:color w:val="13576B"/>
          <w:sz w:val="20"/>
        </w:rPr>
        <w:t>nejistota ohledně nastavení fiskální politiky a delšího napětí v</w:t>
      </w:r>
      <w:r w:rsidR="001A4374">
        <w:rPr>
          <w:rFonts w:ascii="Calibri" w:hAnsi="Calibri" w:cs="Calibri"/>
          <w:b/>
          <w:color w:val="13576B"/>
          <w:sz w:val="20"/>
        </w:rPr>
        <w:t> </w:t>
      </w:r>
      <w:proofErr w:type="spellStart"/>
      <w:r w:rsidRPr="008965E9">
        <w:rPr>
          <w:rFonts w:ascii="Calibri" w:hAnsi="Calibri" w:cs="Calibri"/>
          <w:b/>
          <w:color w:val="13576B"/>
          <w:sz w:val="20"/>
        </w:rPr>
        <w:t>Hormuzském</w:t>
      </w:r>
      <w:proofErr w:type="spellEnd"/>
      <w:r w:rsidRPr="008965E9">
        <w:rPr>
          <w:rFonts w:ascii="Calibri" w:hAnsi="Calibri" w:cs="Calibri"/>
          <w:b/>
          <w:color w:val="13576B"/>
          <w:sz w:val="20"/>
        </w:rPr>
        <w:t xml:space="preserve"> průlivu. </w:t>
      </w:r>
      <w:r w:rsidR="00E20B15">
        <w:rPr>
          <w:rFonts w:ascii="Calibri" w:hAnsi="Calibri" w:cs="Calibri"/>
          <w:b/>
          <w:color w:val="13576B"/>
          <w:sz w:val="20"/>
        </w:rPr>
        <w:t xml:space="preserve">Níže diskutujeme </w:t>
      </w:r>
      <w:r w:rsidR="001237A5">
        <w:rPr>
          <w:rFonts w:ascii="Calibri" w:hAnsi="Calibri" w:cs="Calibri"/>
          <w:b/>
          <w:color w:val="13576B"/>
          <w:sz w:val="20"/>
        </w:rPr>
        <w:t>šest</w:t>
      </w:r>
      <w:r w:rsidR="00E20B15">
        <w:rPr>
          <w:rFonts w:ascii="Calibri" w:hAnsi="Calibri" w:cs="Calibri"/>
          <w:b/>
          <w:color w:val="13576B"/>
          <w:sz w:val="20"/>
        </w:rPr>
        <w:t xml:space="preserve"> hlavních rizik a nejistot ČBA Prognózy</w:t>
      </w:r>
      <w:r w:rsidRPr="008965E9">
        <w:rPr>
          <w:rFonts w:ascii="Calibri" w:hAnsi="Calibri" w:cs="Calibri"/>
          <w:b/>
          <w:color w:val="13576B"/>
          <w:sz w:val="20"/>
        </w:rPr>
        <w:t>.</w:t>
      </w:r>
      <w:r>
        <w:rPr>
          <w:rFonts w:ascii="Calibri" w:hAnsi="Calibri" w:cs="Calibri"/>
          <w:b/>
          <w:color w:val="13576B"/>
          <w:sz w:val="20"/>
        </w:rPr>
        <w:t xml:space="preserve"> </w:t>
      </w:r>
    </w:p>
    <w:p w14:paraId="12BAC9C1" w14:textId="0A4BB820" w:rsidR="00326943" w:rsidRDefault="007655FC" w:rsidP="00684D52">
      <w:pPr>
        <w:spacing w:after="120"/>
        <w:rPr>
          <w:rFonts w:ascii="Calibri" w:hAnsi="Calibri" w:cs="Calibri"/>
          <w:b/>
          <w:color w:val="13576B"/>
          <w:sz w:val="20"/>
        </w:rPr>
      </w:pPr>
      <w:r>
        <w:rPr>
          <w:rFonts w:ascii="Calibri" w:hAnsi="Calibri" w:cs="Calibri"/>
          <w:b/>
          <w:color w:val="13576B"/>
          <w:sz w:val="20"/>
        </w:rPr>
        <w:t xml:space="preserve">Podle Ankety ČBA české domácnosti během příštího roku pouze zmírní svou míru úspor na 18-19 %. Ta tak bude nadále silně převyšovat nad 12% úroveň z </w:t>
      </w:r>
      <w:proofErr w:type="spellStart"/>
      <w:r>
        <w:rPr>
          <w:rFonts w:ascii="Calibri" w:hAnsi="Calibri" w:cs="Calibri"/>
          <w:b/>
          <w:color w:val="13576B"/>
          <w:sz w:val="20"/>
        </w:rPr>
        <w:t>předcovidového</w:t>
      </w:r>
      <w:proofErr w:type="spellEnd"/>
      <w:r>
        <w:rPr>
          <w:rFonts w:ascii="Calibri" w:hAnsi="Calibri" w:cs="Calibri"/>
          <w:b/>
          <w:color w:val="13576B"/>
          <w:sz w:val="20"/>
        </w:rPr>
        <w:t xml:space="preserve"> období, převážně kvůli strukturálním faktorům.  </w:t>
      </w:r>
    </w:p>
    <w:p w14:paraId="39DDD0F1" w14:textId="77777777" w:rsidR="00E8515A" w:rsidRPr="007835A4" w:rsidRDefault="00E8515A" w:rsidP="00684D52">
      <w:pPr>
        <w:spacing w:after="120"/>
        <w:rPr>
          <w:rFonts w:ascii="Calibri" w:hAnsi="Calibri" w:cs="Calibri"/>
          <w:b/>
          <w:color w:val="13576B"/>
          <w:sz w:val="20"/>
        </w:rPr>
      </w:pPr>
    </w:p>
    <w:p w14:paraId="2C843EAE" w14:textId="5602096D" w:rsidR="0090041E" w:rsidRDefault="0054076E" w:rsidP="00684D52">
      <w:pPr>
        <w:spacing w:after="120"/>
        <w:rPr>
          <w:rFonts w:ascii="Calibri" w:hAnsi="Calibri" w:cs="Calibri"/>
          <w:bCs/>
          <w:color w:val="13576B"/>
          <w:sz w:val="20"/>
        </w:rPr>
      </w:pPr>
      <w:r w:rsidRPr="007575D7">
        <w:rPr>
          <w:rFonts w:ascii="Calibri" w:hAnsi="Calibri" w:cs="Calibri"/>
          <w:b/>
          <w:noProof/>
          <w:color w:val="EE0000"/>
          <w:sz w:val="22"/>
          <w:szCs w:val="28"/>
        </w:rPr>
        <w:drawing>
          <wp:inline distT="0" distB="0" distL="0" distR="0" wp14:anchorId="27307171" wp14:editId="2C8135FA">
            <wp:extent cx="6479540" cy="2801620"/>
            <wp:effectExtent l="0" t="0" r="0" b="0"/>
            <wp:docPr id="864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B4DAA" w14:textId="77777777" w:rsidR="0090041E" w:rsidRDefault="0090041E" w:rsidP="009004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Jaromír Šindel</w:t>
      </w:r>
      <w:r w:rsidRPr="00222AA1">
        <w:rPr>
          <w:rFonts w:ascii="Calibri" w:hAnsi="Calibri" w:cs="Calibri"/>
          <w:b/>
          <w:bCs/>
          <w:sz w:val="20"/>
        </w:rPr>
        <w:t xml:space="preserve">, </w:t>
      </w:r>
      <w:r>
        <w:rPr>
          <w:rFonts w:ascii="Calibri" w:hAnsi="Calibri" w:cs="Calibri"/>
          <w:b/>
          <w:bCs/>
          <w:sz w:val="20"/>
        </w:rPr>
        <w:t xml:space="preserve">hlavní ekonom České bankovní asociace:  </w:t>
      </w:r>
    </w:p>
    <w:p w14:paraId="11B2D9A4" w14:textId="08321BDE" w:rsidR="0090041E" w:rsidRDefault="0090041E" w:rsidP="00CF0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color w:val="EE0000"/>
          <w:sz w:val="22"/>
          <w:szCs w:val="28"/>
        </w:rPr>
      </w:pPr>
      <w:r w:rsidRPr="0035113B">
        <w:rPr>
          <w:rFonts w:ascii="Calibri" w:hAnsi="Calibri" w:cs="Calibri"/>
          <w:i/>
          <w:iCs/>
          <w:color w:val="000000" w:themeColor="text1"/>
          <w:sz w:val="20"/>
        </w:rPr>
        <w:t>„</w:t>
      </w:r>
      <w:r w:rsidR="008965E9" w:rsidRPr="008965E9">
        <w:rPr>
          <w:rFonts w:ascii="Calibri" w:hAnsi="Calibri" w:cs="Calibri"/>
          <w:i/>
          <w:iCs/>
          <w:color w:val="000000" w:themeColor="text1"/>
          <w:sz w:val="20"/>
        </w:rPr>
        <w:t xml:space="preserve">Srpnová prognóza nemění celkové tempo růstu ekonomiky, ale výrazně mění jeho strukturu. Spotřeba, investice, úvěrová aktivita i mzdy jsou silnější, zatímco letošní celkovou inflaci tlumí hlavně příznivý vývoj cen potravin. Tento efekt však nemusí vydržet. Jádrová inflace, rychlejší růst mezd a riziko dražších energií proto vyžadují opatrnost ČNB. I proto panel </w:t>
      </w:r>
      <w:r w:rsidR="008D09E3">
        <w:rPr>
          <w:rFonts w:ascii="Calibri" w:hAnsi="Calibri" w:cs="Calibri"/>
          <w:i/>
          <w:iCs/>
          <w:color w:val="000000" w:themeColor="text1"/>
          <w:sz w:val="20"/>
        </w:rPr>
        <w:t>změnil</w:t>
      </w:r>
      <w:r w:rsidR="008965E9" w:rsidRPr="008965E9">
        <w:rPr>
          <w:rFonts w:ascii="Calibri" w:hAnsi="Calibri" w:cs="Calibri"/>
          <w:i/>
          <w:iCs/>
          <w:color w:val="000000" w:themeColor="text1"/>
          <w:sz w:val="20"/>
        </w:rPr>
        <w:t xml:space="preserve"> výhled</w:t>
      </w:r>
      <w:r w:rsidR="008D09E3">
        <w:rPr>
          <w:rFonts w:ascii="Calibri" w:hAnsi="Calibri" w:cs="Calibri"/>
          <w:i/>
          <w:iCs/>
          <w:color w:val="000000" w:themeColor="text1"/>
          <w:sz w:val="20"/>
        </w:rPr>
        <w:t xml:space="preserve"> na ponechání úrokové sazby ČNB </w:t>
      </w:r>
      <w:r w:rsidR="008965E9" w:rsidRPr="008965E9">
        <w:rPr>
          <w:rFonts w:ascii="Calibri" w:hAnsi="Calibri" w:cs="Calibri"/>
          <w:i/>
          <w:iCs/>
          <w:color w:val="000000" w:themeColor="text1"/>
          <w:sz w:val="20"/>
        </w:rPr>
        <w:t>na 3,75 %</w:t>
      </w:r>
      <w:r w:rsidR="00A03236">
        <w:rPr>
          <w:rFonts w:ascii="Calibri" w:hAnsi="Calibri" w:cs="Calibri"/>
          <w:i/>
          <w:iCs/>
          <w:color w:val="000000" w:themeColor="text1"/>
          <w:sz w:val="20"/>
        </w:rPr>
        <w:t xml:space="preserve"> na celém horizontu predikce</w:t>
      </w:r>
      <w:r w:rsidR="008965E9" w:rsidRPr="008965E9">
        <w:rPr>
          <w:rFonts w:ascii="Calibri" w:hAnsi="Calibri" w:cs="Calibri"/>
          <w:i/>
          <w:iCs/>
          <w:color w:val="000000" w:themeColor="text1"/>
          <w:sz w:val="20"/>
        </w:rPr>
        <w:t>, s rizikem posunu ke 4 %</w:t>
      </w:r>
      <w:r>
        <w:rPr>
          <w:rFonts w:ascii="Calibri" w:hAnsi="Calibri" w:cs="Calibri"/>
          <w:i/>
          <w:iCs/>
          <w:color w:val="000000" w:themeColor="text1"/>
          <w:sz w:val="20"/>
        </w:rPr>
        <w:t>.“</w:t>
      </w:r>
      <w:bookmarkStart w:id="2" w:name="_Hlk221689304"/>
    </w:p>
    <w:p w14:paraId="029C1979" w14:textId="70AB159F" w:rsidR="0054076E" w:rsidRDefault="0054076E" w:rsidP="0054076E">
      <w:pPr>
        <w:spacing w:after="120"/>
        <w:jc w:val="left"/>
        <w:rPr>
          <w:rFonts w:ascii="Calibri" w:eastAsia="Calibri" w:hAnsi="Calibri" w:cs="Calibri"/>
          <w:b/>
          <w:noProof/>
          <w:color w:val="13576B"/>
          <w:sz w:val="22"/>
          <w:szCs w:val="28"/>
        </w:rPr>
      </w:pPr>
      <w:r w:rsidRPr="00F45B3E">
        <w:rPr>
          <w:b/>
          <w:bCs/>
          <w:noProof/>
          <w:color w:val="EE0000"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E09D437" wp14:editId="28ACB9E8">
                <wp:simplePos x="0" y="0"/>
                <wp:positionH relativeFrom="margin">
                  <wp:posOffset>-8890</wp:posOffset>
                </wp:positionH>
                <wp:positionV relativeFrom="paragraph">
                  <wp:posOffset>292735</wp:posOffset>
                </wp:positionV>
                <wp:extent cx="6461760" cy="914400"/>
                <wp:effectExtent l="0" t="0" r="15240" b="19050"/>
                <wp:wrapSquare wrapText="bothSides"/>
                <wp:docPr id="734092044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9BA24" w14:textId="00EF413A" w:rsidR="00057418" w:rsidRDefault="00DB104D" w:rsidP="0005741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Petr Dufek</w:t>
                            </w:r>
                            <w:r w:rsidR="00057418" w:rsidRPr="00222AA1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, </w:t>
                            </w:r>
                            <w:r w:rsidR="00057418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h</w:t>
                            </w:r>
                            <w:r w:rsidR="00057418" w:rsidRPr="008D706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lavní ekonom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 Banky Creditas</w:t>
                            </w:r>
                            <w:r w:rsidR="00057418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:  </w:t>
                            </w:r>
                          </w:p>
                          <w:p w14:paraId="3866F46F" w14:textId="4DFD9F77" w:rsidR="00057418" w:rsidRPr="0035275E" w:rsidRDefault="00057418" w:rsidP="00057418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</w:pPr>
                            <w:r w:rsidRPr="001764B6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„</w:t>
                            </w:r>
                            <w:r w:rsidR="00CF05D0" w:rsidRPr="00CF05D0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Vyhlídky české ekonomiky jsou vedle sílící zahraniční konkurence v tradičních odvětvích a stále jen pozvolného oživování evropské poptávky stále více ovlivňovány také růstem cen energií. Po předchozím výrazném zdražení pohonných hmot se do ekonomiky začínají promítat i vyšší ceny zemního plynu a návazně také elektřiny. Tyto nákladové tlaky budou mít dopad nejen na hospodaření firem a rozpočty domácností, ale postupně se odrazí také v inflaci a tempu hospodářského růstu</w:t>
                            </w:r>
                            <w:r w:rsidRPr="001764B6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.</w:t>
                            </w:r>
                            <w:r w:rsidRPr="00A1698B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9D437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-.7pt;margin-top:23.05pt;width:508.8pt;height:1in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">
                <v:textbox>
                  <w:txbxContent>
                    <w:p w14:paraId="65F9BA24" w14:textId="00EF413A" w:rsidR="00057418" w:rsidRDefault="00DB104D" w:rsidP="00057418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Petr Dufek</w:t>
                      </w:r>
                      <w:r w:rsidR="00057418" w:rsidRPr="00222AA1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, </w:t>
                      </w:r>
                      <w:r w:rsidR="00057418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h</w:t>
                      </w:r>
                      <w:r w:rsidR="00057418" w:rsidRPr="008D7067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lavní ekonom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 Banky Creditas</w:t>
                      </w:r>
                      <w:r w:rsidR="00057418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:  </w:t>
                      </w:r>
                    </w:p>
                    <w:p w14:paraId="3866F46F" w14:textId="4DFD9F77" w:rsidR="00057418" w:rsidRPr="0035275E" w:rsidRDefault="00057418" w:rsidP="00057418">
                      <w:pPr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</w:pPr>
                      <w:r w:rsidRPr="001764B6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„</w:t>
                      </w:r>
                      <w:r w:rsidR="00CF05D0" w:rsidRPr="00CF05D0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Vyhlídky české ekonomiky jsou vedle sílící zahraniční konkurence v tradičních odvětvích a stále jen pozvolného oživování evropské poptávky stále více ovlivňovány také růstem cen energií. Po předchozím výrazném zdražení pohonných hmot se do ekonomiky začínají promítat i vyšší ceny zemního plynu a návazně také elektřiny. Tyto nákladové tlaky budou mít dopad nejen na hospodaření firem a rozpočty domácností, ale postupně se odrazí také v inflaci a tempu hospodářského růstu</w:t>
                      </w:r>
                      <w:r w:rsidRPr="001764B6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.</w:t>
                      </w:r>
                      <w:r w:rsidRPr="00A1698B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“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ABA8A9" w14:textId="328C7D8D" w:rsidR="00057418" w:rsidRPr="007B70F3" w:rsidRDefault="001237A5" w:rsidP="00057418">
      <w:pPr>
        <w:spacing w:after="120"/>
        <w:rPr>
          <w:rFonts w:ascii="Calibri" w:eastAsia="Calibri" w:hAnsi="Calibri" w:cs="Calibri"/>
          <w:b/>
          <w:color w:val="13576B"/>
          <w:sz w:val="22"/>
          <w:szCs w:val="28"/>
        </w:rPr>
      </w:pPr>
      <w:r>
        <w:rPr>
          <w:rFonts w:ascii="Calibri" w:eastAsia="Calibri" w:hAnsi="Calibri" w:cs="Calibri"/>
          <w:b/>
          <w:color w:val="13576B"/>
          <w:sz w:val="22"/>
          <w:szCs w:val="28"/>
        </w:rPr>
        <w:t>Šest</w:t>
      </w:r>
      <w:r w:rsidR="00115A60">
        <w:rPr>
          <w:rFonts w:ascii="Calibri" w:eastAsia="Calibri" w:hAnsi="Calibri" w:cs="Calibri"/>
          <w:b/>
          <w:color w:val="13576B"/>
          <w:sz w:val="22"/>
          <w:szCs w:val="28"/>
        </w:rPr>
        <w:t xml:space="preserve"> k</w:t>
      </w:r>
      <w:r w:rsidR="00057418" w:rsidRPr="007B70F3">
        <w:rPr>
          <w:rFonts w:ascii="Calibri" w:eastAsia="Calibri" w:hAnsi="Calibri" w:cs="Calibri"/>
          <w:b/>
          <w:color w:val="13576B"/>
          <w:sz w:val="22"/>
          <w:szCs w:val="28"/>
        </w:rPr>
        <w:t>líčov</w:t>
      </w:r>
      <w:r w:rsidR="00115A60">
        <w:rPr>
          <w:rFonts w:ascii="Calibri" w:eastAsia="Calibri" w:hAnsi="Calibri" w:cs="Calibri"/>
          <w:b/>
          <w:color w:val="13576B"/>
          <w:sz w:val="22"/>
          <w:szCs w:val="28"/>
        </w:rPr>
        <w:t>ých</w:t>
      </w:r>
      <w:r w:rsidR="00057418">
        <w:rPr>
          <w:rFonts w:ascii="Calibri" w:eastAsia="Calibri" w:hAnsi="Calibri" w:cs="Calibri"/>
          <w:b/>
          <w:color w:val="13576B"/>
          <w:sz w:val="22"/>
          <w:szCs w:val="28"/>
        </w:rPr>
        <w:t xml:space="preserve"> rizik a nejistot</w:t>
      </w:r>
      <w:r w:rsidR="00057418" w:rsidRPr="007B70F3">
        <w:rPr>
          <w:rFonts w:ascii="Calibri" w:eastAsia="Calibri" w:hAnsi="Calibri" w:cs="Calibri"/>
          <w:b/>
          <w:color w:val="13576B"/>
          <w:sz w:val="22"/>
          <w:szCs w:val="28"/>
        </w:rPr>
        <w:t xml:space="preserve"> Prognózy ČBA</w:t>
      </w:r>
    </w:p>
    <w:p w14:paraId="2E0F354C" w14:textId="7A1E5A37" w:rsidR="008D61A3" w:rsidRPr="008D61A3" w:rsidRDefault="007655FC" w:rsidP="00D34B0F">
      <w:pPr>
        <w:pStyle w:val="Normlnweb"/>
        <w:numPr>
          <w:ilvl w:val="0"/>
          <w:numId w:val="14"/>
        </w:numPr>
        <w:spacing w:before="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8D61A3">
        <w:rPr>
          <w:rFonts w:ascii="Calibri" w:hAnsi="Calibri" w:cs="Calibri"/>
          <w:b/>
          <w:color w:val="000000" w:themeColor="text1"/>
          <w:sz w:val="20"/>
        </w:rPr>
        <w:t xml:space="preserve">Jak dlouho vydrží současná nízká celková inflace? </w:t>
      </w:r>
      <w:r w:rsidR="00057418" w:rsidRPr="008D61A3">
        <w:rPr>
          <w:rFonts w:ascii="Calibri" w:hAnsi="Calibri" w:cs="Calibri"/>
          <w:bCs/>
          <w:color w:val="000000" w:themeColor="text1"/>
          <w:sz w:val="20"/>
        </w:rPr>
        <w:t xml:space="preserve">– </w:t>
      </w:r>
      <w:r w:rsidR="008D61A3" w:rsidRPr="008D61A3">
        <w:rPr>
          <w:rFonts w:ascii="Calibri" w:hAnsi="Calibri" w:cs="Calibri"/>
          <w:bCs/>
          <w:color w:val="000000" w:themeColor="text1"/>
          <w:sz w:val="20"/>
        </w:rPr>
        <w:t xml:space="preserve">Letošní 2% inflace je mezi členy panelu poměrně pevný výhled. Její nízkou úroveň však významně podporuje příznivý vývoj cen potravin od loňského podzimu. Většina </w:t>
      </w:r>
      <w:proofErr w:type="spellStart"/>
      <w:r w:rsidR="008D61A3" w:rsidRPr="008D61A3">
        <w:rPr>
          <w:rFonts w:ascii="Calibri" w:hAnsi="Calibri" w:cs="Calibri"/>
          <w:bCs/>
          <w:color w:val="000000" w:themeColor="text1"/>
          <w:sz w:val="20"/>
        </w:rPr>
        <w:t>panelistů</w:t>
      </w:r>
      <w:proofErr w:type="spellEnd"/>
      <w:r w:rsidR="008D61A3" w:rsidRPr="008D61A3">
        <w:rPr>
          <w:rFonts w:ascii="Calibri" w:hAnsi="Calibri" w:cs="Calibri"/>
          <w:bCs/>
          <w:color w:val="000000" w:themeColor="text1"/>
          <w:sz w:val="20"/>
        </w:rPr>
        <w:t xml:space="preserve"> nicméně počítá s obratem cen potravin přibližně od podzimu, mimo jiné kvůli slabší sklizni v</w:t>
      </w:r>
      <w:r w:rsidR="00A03236">
        <w:rPr>
          <w:rFonts w:ascii="Calibri" w:hAnsi="Calibri" w:cs="Calibri"/>
          <w:bCs/>
          <w:color w:val="000000" w:themeColor="text1"/>
          <w:sz w:val="20"/>
        </w:rPr>
        <w:t> </w:t>
      </w:r>
      <w:r w:rsidR="008D61A3" w:rsidRPr="008D61A3">
        <w:rPr>
          <w:rFonts w:ascii="Calibri" w:hAnsi="Calibri" w:cs="Calibri"/>
          <w:bCs/>
          <w:color w:val="000000" w:themeColor="text1"/>
          <w:sz w:val="20"/>
        </w:rPr>
        <w:t>Evropě</w:t>
      </w:r>
      <w:r w:rsidR="00A03236">
        <w:rPr>
          <w:rFonts w:ascii="Calibri" w:hAnsi="Calibri" w:cs="Calibri"/>
          <w:bCs/>
          <w:color w:val="000000" w:themeColor="text1"/>
          <w:sz w:val="20"/>
        </w:rPr>
        <w:t xml:space="preserve"> a vyšším cenám energií a hnojiv</w:t>
      </w:r>
      <w:r w:rsidR="008D61A3" w:rsidRPr="008D61A3">
        <w:rPr>
          <w:rFonts w:ascii="Calibri" w:hAnsi="Calibri" w:cs="Calibri"/>
          <w:bCs/>
          <w:color w:val="000000" w:themeColor="text1"/>
          <w:sz w:val="20"/>
        </w:rPr>
        <w:t>. Proinflačně může působit také postupné promítání vyšších cen zemního plynu a elektřiny souvisejících s konfliktem s Íránem. Pro rok 2027 je proto rozptyl inflačních odhadů podstatně větší a riziko je více vychýleno směrem nahoru.</w:t>
      </w:r>
    </w:p>
    <w:p w14:paraId="308B5B7D" w14:textId="534623E0" w:rsidR="007655FC" w:rsidRDefault="007655FC" w:rsidP="00057418">
      <w:pPr>
        <w:pStyle w:val="Normlnweb"/>
        <w:numPr>
          <w:ilvl w:val="0"/>
          <w:numId w:val="14"/>
        </w:numPr>
        <w:spacing w:before="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7655FC">
        <w:rPr>
          <w:rFonts w:ascii="Calibri" w:hAnsi="Calibri" w:cs="Calibri"/>
          <w:b/>
          <w:color w:val="000000" w:themeColor="text1"/>
          <w:sz w:val="20"/>
        </w:rPr>
        <w:t xml:space="preserve">Silné mzdy a jádrová inflace mohou držet sazby výše déle – </w:t>
      </w:r>
      <w:r w:rsidR="008D61A3" w:rsidRPr="008D61A3">
        <w:rPr>
          <w:rFonts w:ascii="Calibri" w:hAnsi="Calibri" w:cs="Calibri"/>
          <w:bCs/>
          <w:color w:val="000000" w:themeColor="text1"/>
          <w:sz w:val="20"/>
        </w:rPr>
        <w:t>Jádrová inflace se letos podle panelu udrží poblíž 3 % a výhled růstu nominálních mezd byl zvýšen na 7,1 %. Pokud růst produktivity nebude držet krok s růstem mezd, mohou silnější mzdové náklady dál podporovat domácí cenové tlaky, zejména ve službách. Prostor pro uvolnění měnové politiky tak zůstává omezený.</w:t>
      </w:r>
      <w:r w:rsidR="008D61A3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115A60">
        <w:rPr>
          <w:rFonts w:ascii="Calibri" w:hAnsi="Calibri" w:cs="Calibri"/>
          <w:bCs/>
          <w:color w:val="000000" w:themeColor="text1"/>
          <w:sz w:val="20"/>
        </w:rPr>
        <w:t xml:space="preserve">Na odolný růst jádrové inflace také působí fiskální politika, ale i riziko vyššího růstu cen zboží kvůli vyšším cenám energií a dopravy. </w:t>
      </w:r>
      <w:r w:rsidRPr="007655FC">
        <w:rPr>
          <w:rFonts w:ascii="Calibri" w:hAnsi="Calibri" w:cs="Calibri"/>
          <w:bCs/>
          <w:color w:val="000000" w:themeColor="text1"/>
          <w:sz w:val="20"/>
        </w:rPr>
        <w:t>Medián panelu proto nově očekává</w:t>
      </w:r>
      <w:r w:rsidR="00765DC1">
        <w:rPr>
          <w:rFonts w:ascii="Calibri" w:hAnsi="Calibri" w:cs="Calibri"/>
          <w:bCs/>
          <w:color w:val="000000" w:themeColor="text1"/>
          <w:sz w:val="20"/>
        </w:rPr>
        <w:t xml:space="preserve"> ponechání</w:t>
      </w:r>
      <w:r w:rsidRPr="007655FC">
        <w:rPr>
          <w:rFonts w:ascii="Calibri" w:hAnsi="Calibri" w:cs="Calibri"/>
          <w:bCs/>
          <w:color w:val="000000" w:themeColor="text1"/>
          <w:sz w:val="20"/>
        </w:rPr>
        <w:t xml:space="preserve"> sazb</w:t>
      </w:r>
      <w:r w:rsidR="00765DC1">
        <w:rPr>
          <w:rFonts w:ascii="Calibri" w:hAnsi="Calibri" w:cs="Calibri"/>
          <w:bCs/>
          <w:color w:val="000000" w:themeColor="text1"/>
          <w:sz w:val="20"/>
        </w:rPr>
        <w:t>y</w:t>
      </w:r>
      <w:r w:rsidRPr="007655FC">
        <w:rPr>
          <w:rFonts w:ascii="Calibri" w:hAnsi="Calibri" w:cs="Calibri"/>
          <w:bCs/>
          <w:color w:val="000000" w:themeColor="text1"/>
          <w:sz w:val="20"/>
        </w:rPr>
        <w:t xml:space="preserve"> ČNB 3,75 % na konci letošního i příštího roku. Riziko vyšších sazeb tak není spojeno primárně s cenou ropy, ale</w:t>
      </w:r>
      <w:r w:rsidR="00115A60">
        <w:rPr>
          <w:rFonts w:ascii="Calibri" w:hAnsi="Calibri" w:cs="Calibri"/>
          <w:bCs/>
          <w:color w:val="000000" w:themeColor="text1"/>
          <w:sz w:val="20"/>
        </w:rPr>
        <w:t xml:space="preserve"> spíše převážně s </w:t>
      </w:r>
      <w:r w:rsidRPr="007655FC">
        <w:rPr>
          <w:rFonts w:ascii="Calibri" w:hAnsi="Calibri" w:cs="Calibri"/>
          <w:bCs/>
          <w:color w:val="000000" w:themeColor="text1"/>
          <w:sz w:val="20"/>
        </w:rPr>
        <w:t xml:space="preserve">domácím mzdovým a cenovým vývojem. </w:t>
      </w:r>
      <w:r w:rsidR="00765DC1" w:rsidRPr="007655FC">
        <w:rPr>
          <w:rFonts w:ascii="Calibri" w:hAnsi="Calibri" w:cs="Calibri"/>
          <w:bCs/>
          <w:color w:val="000000" w:themeColor="text1"/>
          <w:sz w:val="20"/>
        </w:rPr>
        <w:t>Pro</w:t>
      </w:r>
      <w:r w:rsidR="00765DC1">
        <w:rPr>
          <w:rFonts w:ascii="Calibri" w:hAnsi="Calibri" w:cs="Calibri"/>
          <w:bCs/>
          <w:color w:val="000000" w:themeColor="text1"/>
          <w:sz w:val="20"/>
        </w:rPr>
        <w:t>to pro letošní rok</w:t>
      </w:r>
      <w:r w:rsidR="00765DC1" w:rsidRPr="007655FC">
        <w:rPr>
          <w:rFonts w:ascii="Calibri" w:hAnsi="Calibri" w:cs="Calibri"/>
          <w:bCs/>
          <w:color w:val="000000" w:themeColor="text1"/>
          <w:sz w:val="20"/>
        </w:rPr>
        <w:t xml:space="preserve"> žádný respondent nečeká </w:t>
      </w:r>
      <w:r w:rsidR="00765DC1">
        <w:rPr>
          <w:rFonts w:ascii="Calibri" w:hAnsi="Calibri" w:cs="Calibri"/>
          <w:bCs/>
          <w:color w:val="000000" w:themeColor="text1"/>
          <w:sz w:val="20"/>
        </w:rPr>
        <w:t>návrat sazby ČNB</w:t>
      </w:r>
      <w:r w:rsidR="00765DC1" w:rsidRPr="007655FC">
        <w:rPr>
          <w:rFonts w:ascii="Calibri" w:hAnsi="Calibri" w:cs="Calibri"/>
          <w:bCs/>
          <w:color w:val="000000" w:themeColor="text1"/>
          <w:sz w:val="20"/>
        </w:rPr>
        <w:t xml:space="preserve"> pod tuto úrov</w:t>
      </w:r>
      <w:r w:rsidR="00765DC1">
        <w:rPr>
          <w:rFonts w:ascii="Calibri" w:hAnsi="Calibri" w:cs="Calibri"/>
          <w:bCs/>
          <w:color w:val="000000" w:themeColor="text1"/>
          <w:sz w:val="20"/>
        </w:rPr>
        <w:t>eň a necel</w:t>
      </w:r>
      <w:r w:rsidR="009423B8">
        <w:rPr>
          <w:rFonts w:ascii="Calibri" w:hAnsi="Calibri" w:cs="Calibri"/>
          <w:bCs/>
          <w:color w:val="000000" w:themeColor="text1"/>
          <w:sz w:val="20"/>
        </w:rPr>
        <w:t>á</w:t>
      </w:r>
      <w:r w:rsidR="00765DC1">
        <w:rPr>
          <w:rFonts w:ascii="Calibri" w:hAnsi="Calibri" w:cs="Calibri"/>
          <w:bCs/>
          <w:color w:val="000000" w:themeColor="text1"/>
          <w:sz w:val="20"/>
        </w:rPr>
        <w:t xml:space="preserve"> polovina respondentů ve skutečnosti počítá</w:t>
      </w:r>
      <w:r w:rsidR="00765DC1" w:rsidRPr="007655FC">
        <w:rPr>
          <w:rFonts w:ascii="Calibri" w:hAnsi="Calibri" w:cs="Calibri"/>
          <w:bCs/>
          <w:color w:val="000000" w:themeColor="text1"/>
          <w:sz w:val="20"/>
        </w:rPr>
        <w:t xml:space="preserve"> se 4 %.</w:t>
      </w:r>
    </w:p>
    <w:p w14:paraId="04A00289" w14:textId="0A3A63BD" w:rsidR="001237A5" w:rsidRDefault="001237A5" w:rsidP="00057418">
      <w:pPr>
        <w:pStyle w:val="Normlnweb"/>
        <w:numPr>
          <w:ilvl w:val="0"/>
          <w:numId w:val="14"/>
        </w:numPr>
        <w:spacing w:before="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1237A5">
        <w:rPr>
          <w:rFonts w:ascii="Calibri" w:hAnsi="Calibri" w:cs="Calibri"/>
          <w:b/>
          <w:color w:val="000000" w:themeColor="text1"/>
          <w:sz w:val="20"/>
        </w:rPr>
        <w:t>Riziko slabší koruny –</w:t>
      </w:r>
      <w:r>
        <w:rPr>
          <w:rFonts w:ascii="Calibri" w:hAnsi="Calibri" w:cs="Calibri"/>
          <w:bCs/>
          <w:color w:val="000000" w:themeColor="text1"/>
          <w:sz w:val="20"/>
        </w:rPr>
        <w:t xml:space="preserve"> To odráží možné </w:t>
      </w:r>
      <w:r w:rsidRPr="001237A5">
        <w:rPr>
          <w:rFonts w:ascii="Calibri" w:hAnsi="Calibri" w:cs="Calibri"/>
          <w:bCs/>
          <w:color w:val="000000" w:themeColor="text1"/>
          <w:sz w:val="20"/>
        </w:rPr>
        <w:t>asymetrické nenaplnění tržních očekávání ohledně vývoje úrokových sazeb ČNB a ECB, neboť tržní trajektorie implikuje vyšší sazby, než předpokládá naše predikce, zejména u ČNB.</w:t>
      </w:r>
    </w:p>
    <w:p w14:paraId="1E34EA47" w14:textId="0BBDD418" w:rsidR="007655FC" w:rsidRDefault="007655FC" w:rsidP="00057418">
      <w:pPr>
        <w:pStyle w:val="Normlnweb"/>
        <w:numPr>
          <w:ilvl w:val="0"/>
          <w:numId w:val="14"/>
        </w:numPr>
        <w:spacing w:before="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7655FC">
        <w:rPr>
          <w:rFonts w:ascii="Calibri" w:hAnsi="Calibri" w:cs="Calibri"/>
          <w:b/>
          <w:color w:val="000000" w:themeColor="text1"/>
          <w:sz w:val="20"/>
        </w:rPr>
        <w:t xml:space="preserve">Silnější domácí poptávka automaticky </w:t>
      </w:r>
      <w:r w:rsidR="001237A5">
        <w:rPr>
          <w:rFonts w:ascii="Calibri" w:hAnsi="Calibri" w:cs="Calibri"/>
          <w:b/>
          <w:color w:val="000000" w:themeColor="text1"/>
          <w:sz w:val="20"/>
        </w:rPr>
        <w:t>ne</w:t>
      </w:r>
      <w:r w:rsidRPr="007655FC">
        <w:rPr>
          <w:rFonts w:ascii="Calibri" w:hAnsi="Calibri" w:cs="Calibri"/>
          <w:b/>
          <w:color w:val="000000" w:themeColor="text1"/>
          <w:sz w:val="20"/>
        </w:rPr>
        <w:t>znamen</w:t>
      </w:r>
      <w:r w:rsidR="001237A5">
        <w:rPr>
          <w:rFonts w:ascii="Calibri" w:hAnsi="Calibri" w:cs="Calibri"/>
          <w:b/>
          <w:color w:val="000000" w:themeColor="text1"/>
          <w:sz w:val="20"/>
        </w:rPr>
        <w:t>á</w:t>
      </w:r>
      <w:r w:rsidRPr="007655FC">
        <w:rPr>
          <w:rFonts w:ascii="Calibri" w:hAnsi="Calibri" w:cs="Calibri"/>
          <w:b/>
          <w:color w:val="000000" w:themeColor="text1"/>
          <w:sz w:val="20"/>
        </w:rPr>
        <w:t xml:space="preserve"> rychlejší růst HDP</w:t>
      </w:r>
      <w:r w:rsidRPr="007655FC">
        <w:rPr>
          <w:rFonts w:ascii="Calibri" w:hAnsi="Calibri" w:cs="Calibri"/>
          <w:bCs/>
          <w:color w:val="000000" w:themeColor="text1"/>
          <w:sz w:val="20"/>
        </w:rPr>
        <w:t xml:space="preserve"> – Spotřeba domácností, investice i export byly pro letošní rok revidovány vzhůru, avšak současně výrazně roste dovoz. Část silnější domácí poptávky tak podporuje zahraniční produkci a nepromítá se do vyššího českého HDP. Pro rok 2027 navíc roste nejistota výhledu – polovina panelu očekává růst mezi 2,2 a 2,6 %</w:t>
      </w:r>
      <w:r w:rsidR="008126A6">
        <w:rPr>
          <w:rFonts w:ascii="Calibri" w:hAnsi="Calibri" w:cs="Calibri"/>
          <w:bCs/>
          <w:color w:val="000000" w:themeColor="text1"/>
          <w:sz w:val="20"/>
        </w:rPr>
        <w:t xml:space="preserve"> (s mediánovým výhledem 2,3 %)</w:t>
      </w:r>
      <w:r w:rsidRPr="007655FC">
        <w:rPr>
          <w:rFonts w:ascii="Calibri" w:hAnsi="Calibri" w:cs="Calibri"/>
          <w:bCs/>
          <w:color w:val="000000" w:themeColor="text1"/>
          <w:sz w:val="20"/>
        </w:rPr>
        <w:t xml:space="preserve">, přičemž ČNB </w:t>
      </w:r>
      <w:r w:rsidR="008126A6">
        <w:rPr>
          <w:rFonts w:ascii="Calibri" w:hAnsi="Calibri" w:cs="Calibri"/>
          <w:bCs/>
          <w:color w:val="000000" w:themeColor="text1"/>
          <w:sz w:val="20"/>
        </w:rPr>
        <w:t xml:space="preserve">se </w:t>
      </w:r>
      <w:r w:rsidRPr="007655FC">
        <w:rPr>
          <w:rFonts w:ascii="Calibri" w:hAnsi="Calibri" w:cs="Calibri"/>
          <w:bCs/>
          <w:color w:val="000000" w:themeColor="text1"/>
          <w:sz w:val="20"/>
        </w:rPr>
        <w:t xml:space="preserve">se 2,7 % </w:t>
      </w:r>
      <w:r w:rsidR="008126A6">
        <w:rPr>
          <w:rFonts w:ascii="Calibri" w:hAnsi="Calibri" w:cs="Calibri"/>
          <w:bCs/>
          <w:color w:val="000000" w:themeColor="text1"/>
          <w:sz w:val="20"/>
        </w:rPr>
        <w:t xml:space="preserve">nachází </w:t>
      </w:r>
      <w:r w:rsidRPr="007655FC">
        <w:rPr>
          <w:rFonts w:ascii="Calibri" w:hAnsi="Calibri" w:cs="Calibri"/>
          <w:bCs/>
          <w:color w:val="000000" w:themeColor="text1"/>
          <w:sz w:val="20"/>
        </w:rPr>
        <w:t>na optimistickém okraji panelu. Rizikem zůstává slabší evropská poptávka, zatímco pozitivně mohou působit investice, silnější úvěrová aktivita a postupný pokles mimořádně vysoké míry úspor domácností.</w:t>
      </w:r>
    </w:p>
    <w:p w14:paraId="56AAE4A6" w14:textId="57F8AB71" w:rsidR="00115A60" w:rsidRPr="007655FC" w:rsidRDefault="008D61A3" w:rsidP="00057418">
      <w:pPr>
        <w:pStyle w:val="Normlnweb"/>
        <w:numPr>
          <w:ilvl w:val="0"/>
          <w:numId w:val="14"/>
        </w:numPr>
        <w:spacing w:before="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8D61A3">
        <w:rPr>
          <w:rFonts w:ascii="Calibri" w:hAnsi="Calibri" w:cs="Calibri"/>
          <w:b/>
          <w:color w:val="000000" w:themeColor="text1"/>
          <w:sz w:val="20"/>
        </w:rPr>
        <w:t xml:space="preserve">Delší napětí v </w:t>
      </w:r>
      <w:proofErr w:type="spellStart"/>
      <w:r w:rsidRPr="008D61A3">
        <w:rPr>
          <w:rFonts w:ascii="Calibri" w:hAnsi="Calibri" w:cs="Calibri"/>
          <w:b/>
          <w:color w:val="000000" w:themeColor="text1"/>
          <w:sz w:val="20"/>
        </w:rPr>
        <w:t>Hormuzském</w:t>
      </w:r>
      <w:proofErr w:type="spellEnd"/>
      <w:r w:rsidRPr="008D61A3">
        <w:rPr>
          <w:rFonts w:ascii="Calibri" w:hAnsi="Calibri" w:cs="Calibri"/>
          <w:b/>
          <w:color w:val="000000" w:themeColor="text1"/>
          <w:sz w:val="20"/>
        </w:rPr>
        <w:t xml:space="preserve"> průlivu představuje významné vnější riziko prognózy</w:t>
      </w:r>
      <w:r>
        <w:rPr>
          <w:rFonts w:ascii="Calibri" w:hAnsi="Calibri" w:cs="Calibri"/>
          <w:b/>
          <w:color w:val="000000" w:themeColor="text1"/>
          <w:sz w:val="20"/>
        </w:rPr>
        <w:t xml:space="preserve"> </w:t>
      </w:r>
      <w:r w:rsidR="00115A60" w:rsidRPr="0054076E">
        <w:rPr>
          <w:rFonts w:ascii="Calibri" w:hAnsi="Calibri" w:cs="Calibri"/>
          <w:bCs/>
          <w:color w:val="000000" w:themeColor="text1"/>
          <w:sz w:val="20"/>
        </w:rPr>
        <w:t>–</w:t>
      </w:r>
      <w:r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Pr="008D61A3">
        <w:rPr>
          <w:rFonts w:ascii="Calibri" w:hAnsi="Calibri" w:cs="Calibri"/>
          <w:bCs/>
          <w:color w:val="000000" w:themeColor="text1"/>
          <w:sz w:val="20"/>
        </w:rPr>
        <w:t xml:space="preserve">Podle </w:t>
      </w:r>
      <w:hyperlink r:id="rId9" w:history="1">
        <w:r w:rsidRPr="008D61A3">
          <w:rPr>
            <w:rStyle w:val="Hypertextovodkaz"/>
            <w:rFonts w:ascii="Calibri" w:hAnsi="Calibri" w:cs="Calibri"/>
            <w:bCs/>
            <w:sz w:val="20"/>
          </w:rPr>
          <w:t>květnové citlivostní analýzy</w:t>
        </w:r>
      </w:hyperlink>
      <w:r w:rsidRPr="008D61A3">
        <w:rPr>
          <w:rFonts w:ascii="Calibri" w:hAnsi="Calibri" w:cs="Calibri"/>
          <w:bCs/>
          <w:color w:val="000000" w:themeColor="text1"/>
          <w:sz w:val="20"/>
        </w:rPr>
        <w:t xml:space="preserve"> by návrat cen ropy ke 100 USD za barel mohl snížit</w:t>
      </w:r>
      <w:r>
        <w:rPr>
          <w:rFonts w:ascii="Calibri" w:hAnsi="Calibri" w:cs="Calibri"/>
          <w:bCs/>
          <w:color w:val="000000" w:themeColor="text1"/>
          <w:sz w:val="20"/>
        </w:rPr>
        <w:t xml:space="preserve"> na dvouletém horizontu</w:t>
      </w:r>
      <w:r w:rsidRPr="008D61A3">
        <w:rPr>
          <w:rFonts w:ascii="Calibri" w:hAnsi="Calibri" w:cs="Calibri"/>
          <w:bCs/>
          <w:color w:val="000000" w:themeColor="text1"/>
          <w:sz w:val="20"/>
        </w:rPr>
        <w:t xml:space="preserve"> růst české ekonomiky a zvýšit inflaci o více než půl procentního bodu. V takovém scénáři by reakce měnové politiky mohla znamenat sazbu ČNB kolem 4 %, případně až 4,25 %</w:t>
      </w:r>
      <w:r>
        <w:rPr>
          <w:rFonts w:ascii="Calibri" w:hAnsi="Calibri" w:cs="Calibri"/>
          <w:bCs/>
          <w:color w:val="000000" w:themeColor="text1"/>
          <w:sz w:val="20"/>
        </w:rPr>
        <w:t>, pokud vezmeme v úvahu riziko vyšší úrokové sazby v základním scénáři.</w:t>
      </w:r>
    </w:p>
    <w:p w14:paraId="1DB407DA" w14:textId="52EA19F5" w:rsidR="00057418" w:rsidRPr="001764B6" w:rsidRDefault="0054076E" w:rsidP="00057418">
      <w:pPr>
        <w:pStyle w:val="Normlnweb"/>
        <w:numPr>
          <w:ilvl w:val="0"/>
          <w:numId w:val="14"/>
        </w:numPr>
        <w:spacing w:before="0" w:beforeAutospacing="0" w:after="120" w:afterAutospacing="0"/>
        <w:jc w:val="both"/>
        <w:rPr>
          <w:rFonts w:ascii="Calibri" w:hAnsi="Calibri" w:cs="Calibri"/>
          <w:b/>
          <w:color w:val="000000" w:themeColor="text1"/>
          <w:sz w:val="20"/>
        </w:rPr>
      </w:pPr>
      <w:r w:rsidRPr="0054076E">
        <w:rPr>
          <w:b/>
          <w:noProof/>
          <w:color w:val="EE0000"/>
          <w:sz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E9B9E01" wp14:editId="5A86C59D">
                <wp:simplePos x="0" y="0"/>
                <wp:positionH relativeFrom="margin">
                  <wp:posOffset>12065</wp:posOffset>
                </wp:positionH>
                <wp:positionV relativeFrom="paragraph">
                  <wp:posOffset>836930</wp:posOffset>
                </wp:positionV>
                <wp:extent cx="6461760" cy="1047750"/>
                <wp:effectExtent l="0" t="0" r="15240" b="19050"/>
                <wp:wrapSquare wrapText="bothSides"/>
                <wp:docPr id="3385519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47594" w14:textId="2931C3AA" w:rsidR="00603693" w:rsidRDefault="00DB104D" w:rsidP="0060369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Adam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Ruschka</w:t>
                            </w:r>
                            <w:proofErr w:type="spellEnd"/>
                            <w:r w:rsidR="00603693" w:rsidRPr="00222AA1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, </w:t>
                            </w:r>
                            <w:r w:rsidR="00603693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ekonom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J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T Bank</w:t>
                            </w:r>
                            <w:r w:rsidR="00A03236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y</w:t>
                            </w:r>
                            <w:r w:rsidR="00603693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:  </w:t>
                            </w:r>
                          </w:p>
                          <w:p w14:paraId="74AF944A" w14:textId="042C0E6B" w:rsidR="00603693" w:rsidRPr="0035275E" w:rsidRDefault="009D0908" w:rsidP="00603693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</w:pPr>
                            <w:r w:rsidRPr="009D0908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„</w:t>
                            </w:r>
                            <w:r w:rsidR="00A03236" w:rsidRPr="00A03236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Česká ekonomika si i přes mimořádné události prvního pololetí udržela solidní kondici. Spotřebitelský apetit i nadále zůstává robustní, což se odráží v rychlém cenovém růstu, především optikou jádrové inflace a cen služeb. Byť tak celková inflace nevykazuje žádné alarmující hodnoty, fundamentální cenové tlaky zůstávají v ekonomice citelně zvýšené. Úrokové sazby tak pravděpodobně zůstanou taktéž zvýšené.</w:t>
                            </w:r>
                            <w:r w:rsidR="00A03236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B9E0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.95pt;margin-top:65.9pt;width:508.8pt;height:82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">
                <v:textbox>
                  <w:txbxContent>
                    <w:p w14:paraId="5FD47594" w14:textId="2931C3AA" w:rsidR="00603693" w:rsidRDefault="00DB104D" w:rsidP="00603693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Adam Ruschka</w:t>
                      </w:r>
                      <w:r w:rsidR="00603693" w:rsidRPr="00222AA1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, </w:t>
                      </w:r>
                      <w:r w:rsidR="00603693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ekonom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J</w:t>
                      </w:r>
                      <w:r>
                        <w:rPr>
                          <w:rFonts w:ascii="Poppins" w:hAnsi="Poppins" w:cs="Poppins"/>
                          <w:b/>
                          <w:bCs/>
                          <w:sz w:val="20"/>
                        </w:rPr>
                        <w:t>&amp;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T Bank</w:t>
                      </w:r>
                      <w:r w:rsidR="00A03236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y</w:t>
                      </w:r>
                      <w:r w:rsidR="00603693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:  </w:t>
                      </w:r>
                    </w:p>
                    <w:p w14:paraId="74AF944A" w14:textId="042C0E6B" w:rsidR="00603693" w:rsidRPr="0035275E" w:rsidRDefault="009D0908" w:rsidP="00603693">
                      <w:pPr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</w:pPr>
                      <w:r w:rsidRPr="009D0908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„</w:t>
                      </w:r>
                      <w:r w:rsidR="00A03236" w:rsidRPr="00A03236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Česká ekonomika si i přes mimořádné události prvního pololetí udržela solidní kondici. Spotřebitelský apetit i nadále zůstává robustní, což se odráží v rychlém cenovém růstu, především optikou jádrové inflace a cen služeb. Byť tak celková inflace nevykazuje žádné alarmující hodnoty, fundamentální cenové tlaky zůstávají v ekonomice citelně zvýšené. Úrokové sazby tak pravděpodobně zůstanou taktéž zvýšené.</w:t>
                      </w:r>
                      <w:r w:rsidR="00A03236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“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4076E">
        <w:rPr>
          <w:rFonts w:ascii="Calibri" w:hAnsi="Calibri" w:cs="Calibri"/>
          <w:b/>
          <w:color w:val="000000" w:themeColor="text1"/>
          <w:sz w:val="20"/>
        </w:rPr>
        <w:t>Fiskální politika zůstává zdrojem nejistoty pro rok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Pr="0054076E">
        <w:rPr>
          <w:rFonts w:ascii="Calibri" w:hAnsi="Calibri" w:cs="Calibri"/>
          <w:b/>
          <w:color w:val="000000" w:themeColor="text1"/>
          <w:sz w:val="20"/>
        </w:rPr>
        <w:t>2027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– Medián prognózy počítá v roce 2027 s deficitem veřejných financí kolem 3 % HDP, přičemž polovina panelu se pohybuje přibližně mezi 2,9 a 3,1 % HDP. Případné další uvolnění fiskální politiky by mohlo podpořit domácí poptávku a růst, současně by ale zvyšovalo riziko déle přetrvávajících inflačních tlaků a vyšších úrokových sazeb.</w:t>
      </w:r>
    </w:p>
    <w:bookmarkEnd w:id="2"/>
    <w:p w14:paraId="556EEC72" w14:textId="77777777" w:rsidR="008F7874" w:rsidRDefault="008F7874" w:rsidP="008F7874">
      <w:pPr>
        <w:pStyle w:val="Normlnweb"/>
        <w:spacing w:before="0" w:beforeAutospacing="0" w:after="0" w:afterAutospacing="0"/>
        <w:ind w:left="360"/>
        <w:jc w:val="both"/>
        <w:rPr>
          <w:rFonts w:ascii="Calibri" w:hAnsi="Calibri" w:cs="Calibri"/>
          <w:bCs/>
          <w:color w:val="13576B"/>
          <w:sz w:val="22"/>
          <w:szCs w:val="28"/>
        </w:rPr>
      </w:pPr>
      <w:r w:rsidRPr="003F762E">
        <w:rPr>
          <w:rFonts w:ascii="Calibri" w:hAnsi="Calibri" w:cs="Calibri"/>
          <w:b/>
          <w:color w:val="EE0000"/>
          <w:sz w:val="22"/>
          <w:szCs w:val="28"/>
        </w:rPr>
        <w:lastRenderedPageBreak/>
        <w:t>Anketa ČBA</w:t>
      </w:r>
      <w:r w:rsidRPr="003F762E">
        <w:rPr>
          <w:rFonts w:ascii="Calibri" w:hAnsi="Calibri" w:cs="Calibri"/>
          <w:b/>
          <w:color w:val="13576B"/>
          <w:sz w:val="22"/>
          <w:szCs w:val="28"/>
        </w:rPr>
        <w:t xml:space="preserve">: </w:t>
      </w:r>
      <w:r w:rsidRPr="00DB104D">
        <w:rPr>
          <w:rFonts w:ascii="Calibri" w:hAnsi="Calibri" w:cs="Calibri"/>
          <w:b/>
          <w:color w:val="13576B"/>
          <w:sz w:val="22"/>
          <w:szCs w:val="28"/>
        </w:rPr>
        <w:t>Kdy Češi začnou méně spořit?</w:t>
      </w:r>
      <w:r w:rsidRPr="003F762E">
        <w:rPr>
          <w:rFonts w:ascii="Calibri" w:hAnsi="Calibri" w:cs="Calibri"/>
          <w:b/>
          <w:color w:val="13576B"/>
          <w:sz w:val="22"/>
          <w:szCs w:val="28"/>
        </w:rPr>
        <w:t xml:space="preserve"> </w:t>
      </w:r>
      <w:r w:rsidRPr="002F1609">
        <w:rPr>
          <w:rFonts w:ascii="Calibri" w:hAnsi="Calibri" w:cs="Calibri"/>
          <w:bCs/>
          <w:color w:val="13576B"/>
          <w:sz w:val="22"/>
          <w:szCs w:val="28"/>
        </w:rPr>
        <w:t xml:space="preserve">Výsledky ankety naznačují, že mimořádně vysoká míra úspor českých domácností </w:t>
      </w:r>
      <w:r>
        <w:rPr>
          <w:rFonts w:ascii="Calibri" w:hAnsi="Calibri" w:cs="Calibri"/>
          <w:bCs/>
          <w:color w:val="13576B"/>
          <w:sz w:val="22"/>
          <w:szCs w:val="28"/>
        </w:rPr>
        <w:t>není</w:t>
      </w:r>
      <w:r w:rsidRPr="002F1609">
        <w:rPr>
          <w:rFonts w:ascii="Calibri" w:hAnsi="Calibri" w:cs="Calibri"/>
          <w:bCs/>
          <w:color w:val="13576B"/>
          <w:sz w:val="22"/>
          <w:szCs w:val="28"/>
        </w:rPr>
        <w:t xml:space="preserve"> pouze přechodným pocovidovým jevem a její návrat k dřívějším hodnotám panel neočekává ani v</w:t>
      </w:r>
      <w:r>
        <w:rPr>
          <w:rFonts w:ascii="Calibri" w:hAnsi="Calibri" w:cs="Calibri"/>
          <w:bCs/>
          <w:color w:val="13576B"/>
          <w:sz w:val="22"/>
          <w:szCs w:val="28"/>
        </w:rPr>
        <w:t> </w:t>
      </w:r>
      <w:r w:rsidRPr="002F1609">
        <w:rPr>
          <w:rFonts w:ascii="Calibri" w:hAnsi="Calibri" w:cs="Calibri"/>
          <w:bCs/>
          <w:color w:val="13576B"/>
          <w:sz w:val="22"/>
          <w:szCs w:val="28"/>
        </w:rPr>
        <w:t xml:space="preserve">příštích letech. </w:t>
      </w:r>
    </w:p>
    <w:p w14:paraId="1B71BA3E" w14:textId="77777777" w:rsidR="008F7874" w:rsidRDefault="008F7874" w:rsidP="008F7874">
      <w:pPr>
        <w:pStyle w:val="Normlnweb"/>
        <w:spacing w:before="0" w:beforeAutospacing="0" w:after="0" w:afterAutospacing="0"/>
        <w:ind w:left="360"/>
        <w:jc w:val="both"/>
        <w:rPr>
          <w:rFonts w:ascii="Calibri" w:hAnsi="Calibri" w:cs="Calibri"/>
          <w:bCs/>
          <w:color w:val="13576B"/>
          <w:sz w:val="22"/>
          <w:szCs w:val="28"/>
        </w:rPr>
      </w:pPr>
    </w:p>
    <w:p w14:paraId="7502946B" w14:textId="77777777" w:rsidR="008F7874" w:rsidRDefault="008F7874" w:rsidP="008F7874">
      <w:pPr>
        <w:pStyle w:val="Normlnweb"/>
        <w:spacing w:before="0" w:beforeAutospacing="0" w:after="0" w:afterAutospacing="0"/>
        <w:ind w:left="360"/>
        <w:jc w:val="both"/>
        <w:rPr>
          <w:rFonts w:ascii="Calibri" w:hAnsi="Calibri" w:cs="Calibri"/>
          <w:bCs/>
          <w:color w:val="13576B"/>
          <w:sz w:val="22"/>
          <w:szCs w:val="28"/>
        </w:rPr>
      </w:pPr>
      <w:r w:rsidRPr="002F1609">
        <w:rPr>
          <w:rFonts w:ascii="Calibri" w:hAnsi="Calibri" w:cs="Calibri"/>
          <w:bCs/>
          <w:color w:val="13576B"/>
          <w:sz w:val="22"/>
          <w:szCs w:val="28"/>
        </w:rPr>
        <w:t>Zatímco v letech 2005–2019 domácnosti v průměru odkládaly 11,9 % disponibilních příjmů, od roku 2020 činí průměrná míra úspor 19,6 %, stejné hodnoty dosáhla v roce 2025 a v prvním čtvrtletí letošního roku dále vzrostla na 20 %. Pro konec roku 2027 panel očekává pouze mírný pokles – medián odhadů činí 18,5 %, přičemž polovina odpovědí se pohybuje mezi 18 a 19 %. Tomu odpovídá i hodnocení charakteru současné vysoké spořivosti: na</w:t>
      </w:r>
      <w:r>
        <w:rPr>
          <w:rFonts w:ascii="Calibri" w:hAnsi="Calibri" w:cs="Calibri"/>
          <w:bCs/>
          <w:color w:val="13576B"/>
          <w:sz w:val="22"/>
          <w:szCs w:val="28"/>
        </w:rPr>
        <w:t xml:space="preserve"> subjektivní </w:t>
      </w:r>
      <w:r w:rsidRPr="002F1609">
        <w:rPr>
          <w:rFonts w:ascii="Calibri" w:hAnsi="Calibri" w:cs="Calibri"/>
          <w:bCs/>
          <w:color w:val="13576B"/>
          <w:sz w:val="22"/>
          <w:szCs w:val="28"/>
        </w:rPr>
        <w:t xml:space="preserve">škále od 0, tedy zcela dočasného jevu, do 100, tedy zcela strukturálního, dosáhl medián 75 </w:t>
      </w:r>
      <w:r>
        <w:rPr>
          <w:rFonts w:ascii="Calibri" w:hAnsi="Calibri" w:cs="Calibri"/>
          <w:bCs/>
          <w:color w:val="13576B"/>
          <w:sz w:val="22"/>
          <w:szCs w:val="28"/>
        </w:rPr>
        <w:t xml:space="preserve">a polovina odpovědí se pohybovala mezi 70 a 90 body. </w:t>
      </w:r>
    </w:p>
    <w:p w14:paraId="7F04BA0A" w14:textId="77777777" w:rsidR="008F7874" w:rsidRDefault="008F7874" w:rsidP="008F7874">
      <w:pPr>
        <w:pStyle w:val="Normlnweb"/>
        <w:spacing w:before="0" w:beforeAutospacing="0" w:after="0" w:afterAutospacing="0"/>
        <w:ind w:left="360"/>
        <w:jc w:val="both"/>
        <w:rPr>
          <w:rFonts w:ascii="Calibri" w:hAnsi="Calibri" w:cs="Calibri"/>
          <w:bCs/>
          <w:color w:val="13576B"/>
          <w:sz w:val="22"/>
          <w:szCs w:val="28"/>
        </w:rPr>
      </w:pPr>
    </w:p>
    <w:p w14:paraId="7362047F" w14:textId="041A7BAD" w:rsidR="008F7874" w:rsidRDefault="008F7874" w:rsidP="008F7874">
      <w:pPr>
        <w:pStyle w:val="Normlnweb"/>
        <w:spacing w:before="0" w:beforeAutospacing="0" w:after="0" w:afterAutospacing="0"/>
        <w:ind w:left="360"/>
        <w:jc w:val="both"/>
        <w:rPr>
          <w:rFonts w:ascii="Calibri" w:hAnsi="Calibri" w:cs="Calibri"/>
          <w:bCs/>
          <w:color w:val="13576B"/>
          <w:sz w:val="22"/>
          <w:szCs w:val="28"/>
        </w:rPr>
      </w:pPr>
      <w:r w:rsidRPr="008D61A3">
        <w:rPr>
          <w:rFonts w:ascii="Calibri" w:hAnsi="Calibri" w:cs="Calibri"/>
          <w:bCs/>
          <w:color w:val="13576B"/>
          <w:sz w:val="22"/>
          <w:szCs w:val="28"/>
        </w:rPr>
        <w:t xml:space="preserve">Za vysokou mírou úspor </w:t>
      </w:r>
      <w:proofErr w:type="spellStart"/>
      <w:r w:rsidRPr="008D61A3">
        <w:rPr>
          <w:rFonts w:ascii="Calibri" w:hAnsi="Calibri" w:cs="Calibri"/>
          <w:bCs/>
          <w:color w:val="13576B"/>
          <w:sz w:val="22"/>
          <w:szCs w:val="28"/>
        </w:rPr>
        <w:t>panelisté</w:t>
      </w:r>
      <w:proofErr w:type="spellEnd"/>
      <w:r w:rsidRPr="008D61A3">
        <w:rPr>
          <w:rFonts w:ascii="Calibri" w:hAnsi="Calibri" w:cs="Calibri"/>
          <w:bCs/>
          <w:color w:val="13576B"/>
          <w:sz w:val="22"/>
          <w:szCs w:val="28"/>
        </w:rPr>
        <w:t xml:space="preserve"> vidí kombinaci několika faktorů. Patří mezi ně silnější růst příjmů</w:t>
      </w:r>
      <w:r>
        <w:rPr>
          <w:rFonts w:ascii="Calibri" w:hAnsi="Calibri" w:cs="Calibri"/>
          <w:bCs/>
          <w:color w:val="13576B"/>
          <w:sz w:val="22"/>
          <w:szCs w:val="28"/>
        </w:rPr>
        <w:t xml:space="preserve"> vč. dopadu </w:t>
      </w:r>
      <w:r w:rsidRPr="008D61A3">
        <w:rPr>
          <w:rFonts w:ascii="Calibri" w:hAnsi="Calibri" w:cs="Calibri"/>
          <w:bCs/>
          <w:color w:val="13576B"/>
          <w:sz w:val="22"/>
          <w:szCs w:val="28"/>
        </w:rPr>
        <w:t xml:space="preserve">zrušení superhrubé mzdy, </w:t>
      </w:r>
      <w:r w:rsidR="008126A6" w:rsidRPr="008126A6">
        <w:rPr>
          <w:rFonts w:ascii="Calibri" w:hAnsi="Calibri" w:cs="Calibri"/>
          <w:bCs/>
          <w:color w:val="13576B"/>
          <w:sz w:val="22"/>
          <w:szCs w:val="28"/>
        </w:rPr>
        <w:t>vyšší koncentrace úspor u domácností s vyššími příjmy, u nichž je sklon ke spotřebě zpravidla nižší</w:t>
      </w:r>
      <w:r w:rsidRPr="008D61A3">
        <w:rPr>
          <w:rFonts w:ascii="Calibri" w:hAnsi="Calibri" w:cs="Calibri"/>
          <w:bCs/>
          <w:color w:val="13576B"/>
          <w:sz w:val="22"/>
          <w:szCs w:val="28"/>
        </w:rPr>
        <w:t>, atraktivní zhodnocení úspor i přesun části prostředků od tradičních vkladů k</w:t>
      </w:r>
      <w:r>
        <w:rPr>
          <w:rFonts w:ascii="Calibri" w:hAnsi="Calibri" w:cs="Calibri"/>
          <w:bCs/>
          <w:color w:val="13576B"/>
          <w:sz w:val="22"/>
          <w:szCs w:val="28"/>
        </w:rPr>
        <w:t> </w:t>
      </w:r>
      <w:r w:rsidRPr="008D61A3">
        <w:rPr>
          <w:rFonts w:ascii="Calibri" w:hAnsi="Calibri" w:cs="Calibri"/>
          <w:bCs/>
          <w:color w:val="13576B"/>
          <w:sz w:val="22"/>
          <w:szCs w:val="28"/>
        </w:rPr>
        <w:t>investicím</w:t>
      </w:r>
      <w:r>
        <w:rPr>
          <w:rFonts w:ascii="Calibri" w:hAnsi="Calibri" w:cs="Calibri"/>
          <w:bCs/>
          <w:color w:val="13576B"/>
          <w:sz w:val="22"/>
          <w:szCs w:val="28"/>
        </w:rPr>
        <w:t>, vč. vládních dluhopisů pro domácnosti.</w:t>
      </w:r>
      <w:r w:rsidRPr="008D61A3">
        <w:rPr>
          <w:rFonts w:ascii="Calibri" w:hAnsi="Calibri" w:cs="Calibri"/>
          <w:bCs/>
          <w:color w:val="13576B"/>
          <w:sz w:val="22"/>
          <w:szCs w:val="28"/>
        </w:rPr>
        <w:t xml:space="preserve"> Významnou roli hraje také opatrnost domácností po sérii ekonomických šoků a dlouhodobější motivy spojené s drahým bydlením, zabezpečením na stáří a nastavením důchodového systému.</w:t>
      </w:r>
    </w:p>
    <w:p w14:paraId="12536783" w14:textId="77777777" w:rsidR="008F7874" w:rsidRPr="007835A4" w:rsidRDefault="008F7874" w:rsidP="008F7874">
      <w:pPr>
        <w:pStyle w:val="Normlnweb"/>
        <w:spacing w:before="0" w:beforeAutospacing="0" w:after="0" w:afterAutospacing="0"/>
        <w:ind w:left="360"/>
        <w:jc w:val="both"/>
        <w:rPr>
          <w:rFonts w:ascii="Calibri" w:hAnsi="Calibri" w:cs="Calibri"/>
          <w:bCs/>
          <w:color w:val="13576B"/>
          <w:sz w:val="22"/>
          <w:szCs w:val="28"/>
        </w:rPr>
      </w:pPr>
    </w:p>
    <w:p w14:paraId="24B6CB4F" w14:textId="77777777" w:rsidR="008F7874" w:rsidRPr="008F7874" w:rsidRDefault="008F7874" w:rsidP="008F7874">
      <w:pPr>
        <w:spacing w:after="120"/>
        <w:ind w:left="360"/>
        <w:jc w:val="left"/>
        <w:rPr>
          <w:rFonts w:ascii="Calibri" w:eastAsia="Calibri" w:hAnsi="Calibri" w:cs="Calibri"/>
          <w:b/>
          <w:noProof/>
          <w:color w:val="13576B"/>
          <w:sz w:val="22"/>
          <w:szCs w:val="28"/>
        </w:rPr>
      </w:pPr>
      <w:r>
        <w:rPr>
          <w:rFonts w:eastAsia="Calibri"/>
          <w:noProof/>
        </w:rPr>
        <w:drawing>
          <wp:inline distT="0" distB="0" distL="0" distR="0" wp14:anchorId="13A24A74" wp14:editId="540EF2D2">
            <wp:extent cx="3331210" cy="2224661"/>
            <wp:effectExtent l="0" t="0" r="2540" b="4445"/>
            <wp:docPr id="12851035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699" cy="2229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F7874">
        <w:rPr>
          <w:rFonts w:ascii="Calibri" w:eastAsia="Calibri" w:hAnsi="Calibri" w:cs="Calibri"/>
          <w:b/>
          <w:noProof/>
          <w:color w:val="13576B"/>
          <w:sz w:val="22"/>
          <w:szCs w:val="28"/>
        </w:rPr>
        <w:t xml:space="preserve">         </w:t>
      </w:r>
      <w:r>
        <w:rPr>
          <w:rFonts w:eastAsia="Calibri"/>
          <w:noProof/>
        </w:rPr>
        <w:drawing>
          <wp:inline distT="0" distB="0" distL="0" distR="0" wp14:anchorId="5C864259" wp14:editId="25AC24EE">
            <wp:extent cx="2488758" cy="2179004"/>
            <wp:effectExtent l="0" t="0" r="6985" b="0"/>
            <wp:docPr id="36199057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90577" name="Picture 3619905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1" cy="219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1D41C" w14:textId="35F93CD4" w:rsidR="008F7874" w:rsidRDefault="00012092" w:rsidP="00A1698B">
      <w:pPr>
        <w:spacing w:after="120"/>
        <w:rPr>
          <w:rFonts w:ascii="Calibri" w:eastAsia="Calibri" w:hAnsi="Calibri" w:cs="Calibri"/>
          <w:b/>
          <w:color w:val="13576B"/>
          <w:sz w:val="22"/>
          <w:szCs w:val="28"/>
        </w:rPr>
      </w:pPr>
      <w:r>
        <w:rPr>
          <w:rFonts w:ascii="Calibri" w:hAnsi="Calibri" w:cs="Calibri"/>
          <w:bCs/>
          <w:color w:val="13576B"/>
          <w:szCs w:val="18"/>
        </w:rPr>
        <w:t xml:space="preserve">          </w:t>
      </w:r>
      <w:r w:rsidR="008F7874" w:rsidRPr="00806391">
        <w:rPr>
          <w:rFonts w:ascii="Calibri" w:hAnsi="Calibri" w:cs="Calibri"/>
          <w:bCs/>
          <w:color w:val="13576B"/>
          <w:szCs w:val="18"/>
        </w:rPr>
        <w:t>Pramen: Prognóza ČBA</w:t>
      </w:r>
      <w:r w:rsidR="008F7874">
        <w:rPr>
          <w:rFonts w:ascii="Calibri" w:hAnsi="Calibri" w:cs="Calibri"/>
          <w:bCs/>
          <w:color w:val="13576B"/>
          <w:szCs w:val="18"/>
        </w:rPr>
        <w:t>, ČSÚ</w:t>
      </w:r>
    </w:p>
    <w:p w14:paraId="16C66DCC" w14:textId="77777777" w:rsidR="008F7874" w:rsidRDefault="008F7874" w:rsidP="00A1698B">
      <w:pPr>
        <w:spacing w:after="120"/>
        <w:rPr>
          <w:rFonts w:ascii="Calibri" w:eastAsia="Calibri" w:hAnsi="Calibri" w:cs="Calibri"/>
          <w:b/>
          <w:color w:val="13576B"/>
          <w:sz w:val="22"/>
          <w:szCs w:val="28"/>
        </w:rPr>
      </w:pPr>
    </w:p>
    <w:p w14:paraId="332871A7" w14:textId="24F2EEF8" w:rsidR="00A1698B" w:rsidRDefault="00A1698B" w:rsidP="00A1698B">
      <w:pPr>
        <w:spacing w:after="120"/>
        <w:rPr>
          <w:rFonts w:ascii="Calibri" w:eastAsia="Calibri" w:hAnsi="Calibri" w:cs="Calibri"/>
          <w:b/>
          <w:color w:val="13576B"/>
          <w:sz w:val="22"/>
          <w:szCs w:val="28"/>
        </w:rPr>
      </w:pPr>
      <w:r w:rsidRPr="00806391">
        <w:rPr>
          <w:rFonts w:ascii="Calibri" w:eastAsia="Calibri" w:hAnsi="Calibri" w:cs="Calibri"/>
          <w:b/>
          <w:color w:val="13576B"/>
          <w:sz w:val="22"/>
          <w:szCs w:val="28"/>
        </w:rPr>
        <w:t>Makroekonomická Prognóza ČBA v číslech:</w:t>
      </w:r>
    </w:p>
    <w:tbl>
      <w:tblPr>
        <w:tblW w:w="10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4"/>
        <w:gridCol w:w="680"/>
        <w:gridCol w:w="680"/>
        <w:gridCol w:w="680"/>
        <w:gridCol w:w="680"/>
        <w:gridCol w:w="186"/>
        <w:gridCol w:w="720"/>
        <w:gridCol w:w="680"/>
        <w:gridCol w:w="900"/>
      </w:tblGrid>
      <w:tr w:rsidR="003D3DB8" w:rsidRPr="003D3DB8" w14:paraId="4E86638D" w14:textId="77777777" w:rsidTr="009008CB">
        <w:trPr>
          <w:trHeight w:val="250"/>
        </w:trPr>
        <w:tc>
          <w:tcPr>
            <w:tcW w:w="5294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B30660C" w14:textId="15015E50" w:rsidR="003D3DB8" w:rsidRPr="003D3DB8" w:rsidRDefault="009008CB" w:rsidP="003D3DB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Ukazatel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AC7C656" w14:textId="77777777" w:rsidR="003D3DB8" w:rsidRPr="003D3DB8" w:rsidRDefault="003D3DB8" w:rsidP="003D3DB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3D3DB8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D107AFB" w14:textId="77777777" w:rsidR="003D3DB8" w:rsidRPr="003D3DB8" w:rsidRDefault="003D3DB8" w:rsidP="003D3DB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3D3DB8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C4AA953" w14:textId="77777777" w:rsidR="003D3DB8" w:rsidRPr="003D3DB8" w:rsidRDefault="003D3DB8" w:rsidP="003D3DB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3D3DB8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74ED38F" w14:textId="77777777" w:rsidR="003D3DB8" w:rsidRPr="003D3DB8" w:rsidRDefault="003D3DB8" w:rsidP="003D3DB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3D3DB8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616D8E8" w14:textId="77777777" w:rsidR="003D3DB8" w:rsidRPr="003D3DB8" w:rsidRDefault="003D3DB8" w:rsidP="003D3DB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3D3DB8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58C32D1" w14:textId="44C4DF4D" w:rsidR="003D3DB8" w:rsidRPr="003D3DB8" w:rsidRDefault="003D3DB8" w:rsidP="003D3DB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</w:pPr>
            <w:r w:rsidRPr="003D3DB8"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  <w:t xml:space="preserve">vs. </w:t>
            </w:r>
            <w:r w:rsidR="007F08C5"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  <w:t>minulý výhled</w:t>
            </w:r>
          </w:p>
        </w:tc>
      </w:tr>
      <w:tr w:rsidR="003D3DB8" w:rsidRPr="003D3DB8" w14:paraId="4A705D3A" w14:textId="77777777" w:rsidTr="009008CB">
        <w:trPr>
          <w:trHeight w:val="260"/>
        </w:trPr>
        <w:tc>
          <w:tcPr>
            <w:tcW w:w="5294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4A5FA15" w14:textId="77777777" w:rsidR="003D3DB8" w:rsidRPr="003D3DB8" w:rsidRDefault="003D3DB8" w:rsidP="003D3DB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E77B3A6" w14:textId="77777777" w:rsidR="003D3DB8" w:rsidRPr="003D3DB8" w:rsidRDefault="003D3DB8" w:rsidP="003D3DB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3D3DB8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133ADBE" w14:textId="77777777" w:rsidR="003D3DB8" w:rsidRPr="003D3DB8" w:rsidRDefault="003D3DB8" w:rsidP="003D3DB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3D3DB8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69CFB9D" w14:textId="77777777" w:rsidR="003D3DB8" w:rsidRPr="003D3DB8" w:rsidRDefault="003D3DB8" w:rsidP="003D3DB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3D3DB8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F6D623E" w14:textId="77777777" w:rsidR="003D3DB8" w:rsidRPr="003D3DB8" w:rsidRDefault="003D3DB8" w:rsidP="003D3DB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3D3DB8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25EC4CF" w14:textId="77777777" w:rsidR="003D3DB8" w:rsidRPr="003D3DB8" w:rsidRDefault="003D3DB8" w:rsidP="003D3DB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3D3DB8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8B0FC55" w14:textId="77777777" w:rsidR="003D3DB8" w:rsidRPr="003D3DB8" w:rsidRDefault="003D3DB8" w:rsidP="003D3DB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</w:pPr>
            <w:r w:rsidRPr="003D3DB8"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  <w:t>2025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8CD3F7E" w14:textId="77777777" w:rsidR="003D3DB8" w:rsidRPr="003D3DB8" w:rsidRDefault="003D3DB8" w:rsidP="003D3DB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</w:pPr>
            <w:r w:rsidRPr="003D3DB8"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  <w:t>2026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5098CEE" w14:textId="77777777" w:rsidR="003D3DB8" w:rsidRPr="003D3DB8" w:rsidRDefault="003D3DB8" w:rsidP="003D3DB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</w:pPr>
            <w:r w:rsidRPr="003D3DB8"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  <w:t>2027</w:t>
            </w:r>
          </w:p>
        </w:tc>
      </w:tr>
      <w:tr w:rsidR="00CF05D0" w:rsidRPr="003D3DB8" w14:paraId="09F90F10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53B560F2" w14:textId="50FB78DF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reálného HDP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0550CD0" w14:textId="3FAA7A3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9D96CCB" w14:textId="13EF0A15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52F6A81" w14:textId="60EE6E6B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715D0FF" w14:textId="760F0815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5AFFA379" w14:textId="184BD568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C2F34D2" w14:textId="249679C7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A0A2A4A" w14:textId="62D47DBA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3053618" w14:textId="42F26B7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</w:tr>
      <w:tr w:rsidR="00CF05D0" w:rsidRPr="003D3DB8" w14:paraId="5C67DE5D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2C39235" w14:textId="5A13A46F" w:rsidR="00CF05D0" w:rsidRPr="003D3DB8" w:rsidRDefault="00CF05D0" w:rsidP="00CF05D0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spotřeby domácností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3CCDA57" w14:textId="0C6B8C0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4E10257" w14:textId="456228B9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7238911" w14:textId="4782552E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94E1343" w14:textId="2730661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7345D31E" w14:textId="49FF37E1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8C127AC" w14:textId="7290DB6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(-0,4)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51BE268" w14:textId="254A9A91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9C958FF" w14:textId="58DC33E9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(-0,1)</w:t>
            </w:r>
          </w:p>
        </w:tc>
      </w:tr>
      <w:tr w:rsidR="00CF05D0" w:rsidRPr="003D3DB8" w14:paraId="33112D6D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7CA8AAD" w14:textId="48A86F03" w:rsidR="00CF05D0" w:rsidRPr="003D3DB8" w:rsidRDefault="00CF05D0" w:rsidP="00CF05D0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vládní spotřeby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036D01C" w14:textId="773938EA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1DAA407" w14:textId="3C9E9919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BD382ED" w14:textId="3AA4C68A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C528488" w14:textId="5C1181F7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24B3255B" w14:textId="5828E34A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7ACE6A2" w14:textId="440F62A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F188EC6" w14:textId="2C63C62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C2A0511" w14:textId="61EDF789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</w:tr>
      <w:tr w:rsidR="00CF05D0" w:rsidRPr="003D3DB8" w14:paraId="15EB76E6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50876AE" w14:textId="4FBF1C0E" w:rsidR="00CF05D0" w:rsidRPr="003D3DB8" w:rsidRDefault="00CF05D0" w:rsidP="00CF05D0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investic (bez zásob, 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0BDC103" w14:textId="48DEE732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-2,6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AA254BA" w14:textId="15ADCA69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09925BC" w14:textId="367D12F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E495FAE" w14:textId="5AF34AE5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5FE893DD" w14:textId="3839BD9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87D76A6" w14:textId="72B4BCC1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(0,7)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03DB7B1" w14:textId="72F2E57C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ABCBEAA" w14:textId="10CE211B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(0,2)</w:t>
            </w:r>
          </w:p>
        </w:tc>
      </w:tr>
      <w:tr w:rsidR="00CF05D0" w:rsidRPr="003D3DB8" w14:paraId="16559259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53D1014" w14:textId="3CF421A9" w:rsidR="00CF05D0" w:rsidRPr="003D3DB8" w:rsidRDefault="00CF05D0" w:rsidP="00CF05D0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Růst vývozů (%)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29E7D6D" w14:textId="6D42FC9A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53E6DE0" w14:textId="10378CAE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70A1BD1" w14:textId="6D7FD5C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9D9FAEA" w14:textId="7046DB7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4A7BC29E" w14:textId="5106D11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8E5F88D" w14:textId="47A5805E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(-0,7)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97CE1D5" w14:textId="63C77001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(1,5)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6F09374" w14:textId="030EA151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(-0,2)</w:t>
            </w:r>
          </w:p>
        </w:tc>
      </w:tr>
      <w:tr w:rsidR="00CF05D0" w:rsidRPr="003D3DB8" w14:paraId="565E513D" w14:textId="77777777" w:rsidTr="009008CB">
        <w:trPr>
          <w:trHeight w:val="270"/>
        </w:trPr>
        <w:tc>
          <w:tcPr>
            <w:tcW w:w="52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BDC2590" w14:textId="016F603E" w:rsidR="00CF05D0" w:rsidRPr="003D3DB8" w:rsidRDefault="00CF05D0" w:rsidP="00CF05D0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dovozů (%)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799FF38" w14:textId="73476E2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0,6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9E0F590" w14:textId="66DCCAA7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63976A4" w14:textId="15C9B6EC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6,1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5896FE9" w14:textId="6F95535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5496FAB6" w14:textId="388DD598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F1CF361" w14:textId="45E914A2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(-0,5)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4B1B338" w14:textId="60DD6CCE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(2,2)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0354329" w14:textId="1280FBE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(-0,4)</w:t>
            </w:r>
          </w:p>
        </w:tc>
      </w:tr>
      <w:tr w:rsidR="00CF05D0" w:rsidRPr="003D3DB8" w14:paraId="3B5CB993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B5F66BA" w14:textId="3260B619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Míra inflace: CPI (%)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5F4D80C" w14:textId="2C532552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D10FC2E" w14:textId="78CCB943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FA756EA" w14:textId="5FD065F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1BE1F8F" w14:textId="4218EE31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45CD6E8A" w14:textId="5029AED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51689CF" w14:textId="20EA1409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CB1B6B1" w14:textId="1D2E77CE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8BAA51A" w14:textId="7613F803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(-0,1)</w:t>
            </w:r>
          </w:p>
        </w:tc>
      </w:tr>
      <w:tr w:rsidR="00CF05D0" w:rsidRPr="003D3DB8" w14:paraId="5343AD76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F482227" w14:textId="14DBF0DC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Míra inflace: CPI (%) konec roku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D5325A2" w14:textId="66155922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9D78E3F" w14:textId="6BB4EC32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D78CAED" w14:textId="2E70F49C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E0D96E0" w14:textId="3E5FFD45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2A61F2BB" w14:textId="7FB735D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AA9C43B" w14:textId="6FCE0E2E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DD9CC2C" w14:textId="3E7AEAB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77A8B6E" w14:textId="2B4CD3B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(-0,1)</w:t>
            </w:r>
          </w:p>
        </w:tc>
      </w:tr>
      <w:tr w:rsidR="00CF05D0" w:rsidRPr="003D3DB8" w14:paraId="55250B95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662720A" w14:textId="56A834DD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Jádrová inflace CPI (%)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9BDD23B" w14:textId="6A2D9B2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2371127" w14:textId="186D50E9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599D858" w14:textId="1DBE780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A0D4CE8" w14:textId="29FBE8C5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6B4C4F2C" w14:textId="49F471C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9864497" w14:textId="7E1EEF8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F024D90" w14:textId="3FC51101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6667F0D" w14:textId="187CF371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</w:tr>
      <w:tr w:rsidR="00CF05D0" w:rsidRPr="003D3DB8" w14:paraId="29FF540D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93A48B2" w14:textId="5AEAB7B8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Podíl nezaměstnaných osob (MPSV): průměr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C0387EB" w14:textId="20505EC7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E81FF23" w14:textId="24AB9EC2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C25C777" w14:textId="1233E57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06213B3" w14:textId="4C73C53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4,8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4D9A6A0E" w14:textId="3C57B773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7E3857D" w14:textId="16582406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E84CB93" w14:textId="6FD3BDD6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782A4F6" w14:textId="4B048882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(0,1)</w:t>
            </w:r>
          </w:p>
        </w:tc>
      </w:tr>
      <w:tr w:rsidR="00CF05D0" w:rsidRPr="003D3DB8" w14:paraId="06DF794E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34832AA" w14:textId="3F4CA4F8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lastRenderedPageBreak/>
              <w:t>Průměrná nominální mzda (růst v 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3CC8996" w14:textId="7C00C8B6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8C71390" w14:textId="1B27345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8464D83" w14:textId="46E232BA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C185808" w14:textId="7677009E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5,8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3CF602A6" w14:textId="4812390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4D068AE" w14:textId="6AFE226B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(-0,6)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A4CB4E7" w14:textId="404FFBC6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BC4C5A7" w14:textId="18B523E8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(0,5)</w:t>
            </w:r>
          </w:p>
        </w:tc>
      </w:tr>
      <w:tr w:rsidR="00CF05D0" w:rsidRPr="003D3DB8" w14:paraId="70E4CA2F" w14:textId="77777777" w:rsidTr="009008CB">
        <w:trPr>
          <w:trHeight w:val="270"/>
        </w:trPr>
        <w:tc>
          <w:tcPr>
            <w:tcW w:w="52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63D4C73" w14:textId="15A3A19F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Průměrná reálná mzda (%)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8AAAA93" w14:textId="4632ADD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65E983B" w14:textId="66DB5885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602C634" w14:textId="327BDAEC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37AB0A0" w14:textId="5B744FEB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74D6CE27" w14:textId="4061E77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FAF9AD0" w14:textId="54D19501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(-0,6)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ED30616" w14:textId="5DEBFC13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(1,5)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09D62D1" w14:textId="4277EFD9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(0,5)</w:t>
            </w:r>
          </w:p>
        </w:tc>
      </w:tr>
      <w:tr w:rsidR="00CF05D0" w:rsidRPr="003D3DB8" w14:paraId="7BC3DD62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42D5A3F" w14:textId="4F609355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Vládní deficit/přebytek (% HDP)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AEBEF64" w14:textId="417E78D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-2,0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84B9443" w14:textId="578DF523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-2,1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683AC60" w14:textId="7AF98775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478B724" w14:textId="7BAC680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-3,0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6616B8DE" w14:textId="6F4B57D7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0BEFFDB" w14:textId="1B57EE1A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A6A3AEB" w14:textId="5C815A27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863125A" w14:textId="01F727DB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(-0,1)</w:t>
            </w:r>
          </w:p>
        </w:tc>
      </w:tr>
      <w:tr w:rsidR="00CF05D0" w:rsidRPr="003D3DB8" w14:paraId="6007D3C5" w14:textId="77777777" w:rsidTr="009008CB">
        <w:trPr>
          <w:trHeight w:val="270"/>
        </w:trPr>
        <w:tc>
          <w:tcPr>
            <w:tcW w:w="52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410FEE0" w14:textId="141A7F05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Vládní dluh (% HDP)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B0E9E08" w14:textId="5625D25A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43,2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AD17DC3" w14:textId="1A60495E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1D2680D" w14:textId="347870A7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45,4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FEE75C4" w14:textId="455F9185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46,5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0A28BF24" w14:textId="06152FF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83980DF" w14:textId="7892351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(-0,1)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111DF14" w14:textId="32FB571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5A7C39B" w14:textId="0623684A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</w:tr>
      <w:tr w:rsidR="00CF05D0" w:rsidRPr="003D3DB8" w14:paraId="7CC0024D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7540AD4" w14:textId="73EB6C2C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Základní sazba ČNB </w:t>
            </w:r>
            <w:proofErr w:type="gramStart"/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2T</w:t>
            </w:r>
            <w:proofErr w:type="gramEnd"/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 REPO (%): konec období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E302DD2" w14:textId="079D6D1E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7,00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95AC413" w14:textId="02D48AD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3,50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A211799" w14:textId="2EB6CFFB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2930473" w14:textId="0E012A05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3,75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6D1E8EA2" w14:textId="215D146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852DB68" w14:textId="4FAC1941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DB7F6AE" w14:textId="10C78A83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(0,25)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57F3925" w14:textId="3955122E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(0,25)</w:t>
            </w:r>
          </w:p>
        </w:tc>
      </w:tr>
      <w:tr w:rsidR="00CF05D0" w:rsidRPr="003D3DB8" w14:paraId="6EBAA0EB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D253736" w14:textId="55EEF8A0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3M-PRIBOR (%):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7C3FA8B" w14:textId="1ED6839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46F7DF0" w14:textId="605DD0C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43F390E" w14:textId="5E9428C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87C91E6" w14:textId="7872621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2DF5E6CB" w14:textId="302BD59E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DA3C31A" w14:textId="7C21A89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E808F9E" w14:textId="3F906C1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(0,13)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5126BB4" w14:textId="17B0E407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(0,3)</w:t>
            </w:r>
          </w:p>
        </w:tc>
      </w:tr>
      <w:tr w:rsidR="00CF05D0" w:rsidRPr="003D3DB8" w14:paraId="3773FB6A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8BC50FC" w14:textId="3D610B38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Výnos 10letého vládního dluhopisu (%):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B7B7F88" w14:textId="48A0AB88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BD84FCA" w14:textId="1CB2072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479A186" w14:textId="121519A3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9363A71" w14:textId="668F22C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4,7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406CD3B2" w14:textId="02F4C0A7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A023AEB" w14:textId="530EC8FB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29B0863" w14:textId="52BA280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09D8E98" w14:textId="6BCA0539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(0,2)</w:t>
            </w:r>
          </w:p>
        </w:tc>
      </w:tr>
      <w:tr w:rsidR="00CF05D0" w:rsidRPr="003D3DB8" w14:paraId="17750D04" w14:textId="77777777" w:rsidTr="009008CB">
        <w:trPr>
          <w:trHeight w:val="270"/>
        </w:trPr>
        <w:tc>
          <w:tcPr>
            <w:tcW w:w="52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780F310" w14:textId="3C9E1525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Depozitní sazba ECB (%): konec období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8F9A526" w14:textId="21D184D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4,50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C4171DC" w14:textId="3A065F0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5B9AA3C" w14:textId="0EC0D47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EC4AB2A" w14:textId="4888C505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2,38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59E775A0" w14:textId="5A081311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F984F46" w14:textId="0D8BD418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125E33B" w14:textId="63ACCCD3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58B2E1F" w14:textId="1D73968B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(0,13)</w:t>
            </w:r>
          </w:p>
        </w:tc>
      </w:tr>
      <w:tr w:rsidR="00692FE3" w:rsidRPr="003D3DB8" w14:paraId="3C355910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0811D50" w14:textId="0E99FFF4" w:rsidR="00692FE3" w:rsidRPr="00692FE3" w:rsidRDefault="00692FE3" w:rsidP="00692FE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692FE3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Kurz EUR/CZK (Kč za 1 EUR):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44E24C8" w14:textId="5147A35A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4E5F8A0" w14:textId="2D601A34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5801420" w14:textId="78653B1B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D90EF29" w14:textId="41DFEA86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24,1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0C33C214" w14:textId="7A7CF325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8A92600" w14:textId="6A36B36A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C239256" w14:textId="0D7A9446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BB1B9E6" w14:textId="64A8952B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(-0,2)</w:t>
            </w:r>
          </w:p>
        </w:tc>
      </w:tr>
      <w:tr w:rsidR="00692FE3" w:rsidRPr="003D3DB8" w14:paraId="260E5A70" w14:textId="77777777" w:rsidTr="009008CB">
        <w:trPr>
          <w:trHeight w:val="270"/>
        </w:trPr>
        <w:tc>
          <w:tcPr>
            <w:tcW w:w="52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5A6909A" w14:textId="33DF6B38" w:rsidR="00692FE3" w:rsidRPr="00692FE3" w:rsidRDefault="00692FE3" w:rsidP="00692FE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692FE3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Kurz EUR/CZK (Kč za 1 EUR): konec roku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2066353" w14:textId="77B4DBA1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25,2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A1D38E7" w14:textId="636EBB53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E1CAFEA" w14:textId="0B2CBA77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D956E1D" w14:textId="114687C1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24,1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78AE1AA9" w14:textId="01E73488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A41B437" w14:textId="5B05888D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5AB6E55" w14:textId="07BF3F19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CB4903E" w14:textId="29E3D2EA" w:rsidR="00692FE3" w:rsidRPr="003D3DB8" w:rsidRDefault="00692FE3" w:rsidP="00692F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(-0,1)</w:t>
            </w:r>
          </w:p>
        </w:tc>
      </w:tr>
      <w:tr w:rsidR="00CF05D0" w:rsidRPr="003D3DB8" w14:paraId="4B422EE7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FB05235" w14:textId="0576681D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reálného HDP v eurozóně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A4E74B8" w14:textId="59F0D4E3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EE0C343" w14:textId="061DE27A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FAFA419" w14:textId="0C0FECF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0374D38" w14:textId="4ED0ADE5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1,2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349A13D1" w14:textId="7EA809A5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5F714CA" w14:textId="49EE3511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2E55762" w14:textId="2C8D7AA7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35627CF" w14:textId="09D6A796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(-0,1)</w:t>
            </w:r>
          </w:p>
        </w:tc>
      </w:tr>
      <w:tr w:rsidR="00CF05D0" w:rsidRPr="003D3DB8" w14:paraId="00BBC270" w14:textId="77777777" w:rsidTr="009008CB">
        <w:trPr>
          <w:trHeight w:val="270"/>
        </w:trPr>
        <w:tc>
          <w:tcPr>
            <w:tcW w:w="52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50E33C0" w14:textId="69089DA2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Ceny ropy (USD za barel): brent průměr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CE432CD" w14:textId="7A985DFB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97DCB72" w14:textId="1E11789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9F2C09D" w14:textId="2EE420C6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0D4059A" w14:textId="6254D39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75</w:t>
            </w:r>
          </w:p>
        </w:tc>
        <w:tc>
          <w:tcPr>
            <w:tcW w:w="186" w:type="dxa"/>
            <w:tcBorders>
              <w:top w:val="nil"/>
              <w:left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30E7B21F" w14:textId="5423F7FC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3A92C8C" w14:textId="676D13B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(-0,2)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C1ED62B" w14:textId="7EE3373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(-2,2)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60B0B42" w14:textId="597A84A2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(-0,3)</w:t>
            </w:r>
          </w:p>
        </w:tc>
      </w:tr>
      <w:tr w:rsidR="00CF05D0" w:rsidRPr="003D3DB8" w14:paraId="2AF2465A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E1F05E6" w14:textId="46398239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klientských (%)</w:t>
            </w:r>
          </w:p>
        </w:tc>
        <w:tc>
          <w:tcPr>
            <w:tcW w:w="680" w:type="dxa"/>
            <w:tcBorders>
              <w:top w:val="nil"/>
              <w:left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7321FC6" w14:textId="2B431963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6,1</w:t>
            </w:r>
          </w:p>
        </w:tc>
        <w:tc>
          <w:tcPr>
            <w:tcW w:w="680" w:type="dxa"/>
            <w:tcBorders>
              <w:top w:val="nil"/>
              <w:left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8F9BE5A" w14:textId="376C2F1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5,9</w:t>
            </w:r>
          </w:p>
        </w:tc>
        <w:tc>
          <w:tcPr>
            <w:tcW w:w="680" w:type="dxa"/>
            <w:tcBorders>
              <w:top w:val="nil"/>
              <w:left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0087137" w14:textId="703F52FE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7,6</w:t>
            </w:r>
          </w:p>
        </w:tc>
        <w:tc>
          <w:tcPr>
            <w:tcW w:w="680" w:type="dxa"/>
            <w:tcBorders>
              <w:top w:val="nil"/>
              <w:left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EEC21BF" w14:textId="21390177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6,3</w:t>
            </w:r>
          </w:p>
        </w:tc>
        <w:tc>
          <w:tcPr>
            <w:tcW w:w="186" w:type="dxa"/>
            <w:tcBorders>
              <w:top w:val="nil"/>
              <w:left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73D78343" w14:textId="6A01EA8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DD38A51" w14:textId="72D915A5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left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76E0B56" w14:textId="2B52E34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(0,4)</w:t>
            </w:r>
          </w:p>
        </w:tc>
        <w:tc>
          <w:tcPr>
            <w:tcW w:w="900" w:type="dxa"/>
            <w:tcBorders>
              <w:top w:val="nil"/>
              <w:left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3B5A7C7" w14:textId="6C26D706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(0,3)</w:t>
            </w:r>
          </w:p>
        </w:tc>
      </w:tr>
      <w:tr w:rsidR="00CF05D0" w:rsidRPr="003D3DB8" w14:paraId="40034C47" w14:textId="77777777" w:rsidTr="009008CB">
        <w:trPr>
          <w:trHeight w:val="260"/>
        </w:trPr>
        <w:tc>
          <w:tcPr>
            <w:tcW w:w="529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13576B"/>
            <w:vAlign w:val="center"/>
            <w:hideMark/>
          </w:tcPr>
          <w:p w14:paraId="2B81A1FE" w14:textId="28395005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domácnostem (%)</w:t>
            </w:r>
          </w:p>
        </w:tc>
        <w:tc>
          <w:tcPr>
            <w:tcW w:w="680" w:type="dxa"/>
            <w:tcBorders>
              <w:top w:val="nil"/>
              <w:left w:val="single" w:sz="4" w:space="0" w:color="FFFFFF"/>
              <w:bottom w:val="nil"/>
            </w:tcBorders>
            <w:shd w:val="clear" w:color="000000" w:fill="D9D9D9"/>
            <w:noWrap/>
            <w:vAlign w:val="center"/>
            <w:hideMark/>
          </w:tcPr>
          <w:p w14:paraId="27306910" w14:textId="7FE4BA01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4,9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073B51D9" w14:textId="6D42295A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7,2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09BFACCE" w14:textId="1A3CA89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9,0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9550C71" w14:textId="5ED5556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7,5</w:t>
            </w:r>
          </w:p>
        </w:tc>
        <w:tc>
          <w:tcPr>
            <w:tcW w:w="186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6ECB07F7" w14:textId="2B2BBC4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FFFFFF"/>
              <w:bottom w:val="nil"/>
            </w:tcBorders>
            <w:shd w:val="clear" w:color="000000" w:fill="D9D9D9"/>
            <w:noWrap/>
            <w:vAlign w:val="center"/>
            <w:hideMark/>
          </w:tcPr>
          <w:p w14:paraId="7DFD826B" w14:textId="4CFA33E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01812E19" w14:textId="28C6E97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(0,8)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53D225DC" w14:textId="6387B736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</w:tr>
      <w:tr w:rsidR="00CF05D0" w:rsidRPr="003D3DB8" w14:paraId="09C5A4DC" w14:textId="77777777" w:rsidTr="009008CB">
        <w:trPr>
          <w:trHeight w:val="295"/>
        </w:trPr>
        <w:tc>
          <w:tcPr>
            <w:tcW w:w="529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13576B"/>
            <w:vAlign w:val="center"/>
            <w:hideMark/>
          </w:tcPr>
          <w:p w14:paraId="59921F8D" w14:textId="0C8C01A0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(nefinančním) podnikům (%)</w:t>
            </w:r>
          </w:p>
        </w:tc>
        <w:tc>
          <w:tcPr>
            <w:tcW w:w="680" w:type="dxa"/>
            <w:tcBorders>
              <w:top w:val="nil"/>
              <w:left w:val="single" w:sz="4" w:space="0" w:color="FFFFFF"/>
              <w:bottom w:val="nil"/>
            </w:tcBorders>
            <w:shd w:val="clear" w:color="000000" w:fill="D9D9D9"/>
            <w:noWrap/>
            <w:vAlign w:val="center"/>
            <w:hideMark/>
          </w:tcPr>
          <w:p w14:paraId="55D1434E" w14:textId="6F20CB0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7,6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580FF46E" w14:textId="11B8B367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4,1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77210BC8" w14:textId="74292D2A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6,4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9CDE01B" w14:textId="7854FCB4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5,5</w:t>
            </w:r>
          </w:p>
        </w:tc>
        <w:tc>
          <w:tcPr>
            <w:tcW w:w="186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7A1B4DBD" w14:textId="2159ECF1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FFFFFF"/>
              <w:bottom w:val="nil"/>
            </w:tcBorders>
            <w:shd w:val="clear" w:color="000000" w:fill="D9D9D9"/>
            <w:noWrap/>
            <w:vAlign w:val="center"/>
            <w:hideMark/>
          </w:tcPr>
          <w:p w14:paraId="04823503" w14:textId="623B907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1238768E" w14:textId="3211BF48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(0,4)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1B28DD7C" w14:textId="5F1E3F9E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(-0,1)</w:t>
            </w:r>
          </w:p>
        </w:tc>
      </w:tr>
      <w:tr w:rsidR="00CF05D0" w:rsidRPr="003D3DB8" w14:paraId="76FA1331" w14:textId="77777777" w:rsidTr="009008CB">
        <w:trPr>
          <w:trHeight w:val="270"/>
        </w:trPr>
        <w:tc>
          <w:tcPr>
            <w:tcW w:w="529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E5231FB" w14:textId="23AC11E9" w:rsidR="00CF05D0" w:rsidRPr="003D3DB8" w:rsidRDefault="00CF05D0" w:rsidP="00CF05D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vkladů klientských celkem (%)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25474E1" w14:textId="6BD4C7B8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7,4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D14979B" w14:textId="38C1824C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A08F42B" w14:textId="74F7BE9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48BEDF6" w14:textId="14C3B61F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5,0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noWrap/>
            <w:vAlign w:val="center"/>
            <w:hideMark/>
          </w:tcPr>
          <w:p w14:paraId="1734D621" w14:textId="1AE10790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10768B5" w14:textId="07550F45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448D4D9" w14:textId="1AB8C79D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91A74A8" w14:textId="389110FE" w:rsidR="00CF05D0" w:rsidRPr="003D3DB8" w:rsidRDefault="00CF05D0" w:rsidP="00CF05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i/>
                <w:iCs/>
                <w:color w:val="FF0000"/>
                <w:sz w:val="20"/>
              </w:rPr>
              <w:t>(0)</w:t>
            </w:r>
          </w:p>
        </w:tc>
      </w:tr>
    </w:tbl>
    <w:p w14:paraId="7A8F8D0A" w14:textId="77777777" w:rsidR="00E61E2B" w:rsidRDefault="00A1698B" w:rsidP="00E61E2B">
      <w:pPr>
        <w:spacing w:after="120"/>
        <w:rPr>
          <w:rFonts w:ascii="Calibri" w:hAnsi="Calibri" w:cs="Calibri"/>
          <w:bCs/>
          <w:color w:val="13576B"/>
          <w:szCs w:val="18"/>
        </w:rPr>
      </w:pPr>
      <w:r w:rsidRPr="00806391">
        <w:rPr>
          <w:rFonts w:ascii="Calibri" w:hAnsi="Calibri" w:cs="Calibri"/>
          <w:bCs/>
          <w:color w:val="13576B"/>
          <w:szCs w:val="18"/>
        </w:rPr>
        <w:t>Pramen: Prognóza ČBA</w:t>
      </w:r>
      <w:r>
        <w:rPr>
          <w:rFonts w:ascii="Calibri" w:hAnsi="Calibri" w:cs="Calibri"/>
          <w:bCs/>
          <w:color w:val="13576B"/>
          <w:szCs w:val="18"/>
        </w:rPr>
        <w:t xml:space="preserve">, </w:t>
      </w:r>
      <w:r w:rsidRPr="00806391">
        <w:rPr>
          <w:rFonts w:ascii="Calibri" w:hAnsi="Calibri" w:cs="Calibri"/>
          <w:bCs/>
          <w:color w:val="13576B"/>
          <w:szCs w:val="18"/>
        </w:rPr>
        <w:t xml:space="preserve">ČSÚ, ČNB, Úřad práce, </w:t>
      </w:r>
      <w:proofErr w:type="spellStart"/>
      <w:r>
        <w:rPr>
          <w:rFonts w:ascii="Calibri" w:hAnsi="Calibri" w:cs="Calibri"/>
          <w:bCs/>
          <w:color w:val="13576B"/>
          <w:szCs w:val="18"/>
        </w:rPr>
        <w:t>Macrobond</w:t>
      </w:r>
      <w:proofErr w:type="spellEnd"/>
      <w:r w:rsidR="00E61E2B">
        <w:rPr>
          <w:rFonts w:ascii="Calibri" w:hAnsi="Calibri" w:cs="Calibri"/>
          <w:bCs/>
          <w:color w:val="13576B"/>
          <w:szCs w:val="18"/>
        </w:rPr>
        <w:t xml:space="preserve">. </w:t>
      </w:r>
      <w:r w:rsidR="00E61E2B" w:rsidRPr="00E61E2B">
        <w:rPr>
          <w:rFonts w:ascii="Calibri" w:hAnsi="Calibri" w:cs="Calibri"/>
          <w:bCs/>
          <w:color w:val="13576B"/>
          <w:szCs w:val="18"/>
        </w:rPr>
        <w:t>Poznámka: Případné nesrovnalosti ve změnách oproti předchozí prognóze jsou způsobeny zaokrouhlením.</w:t>
      </w:r>
    </w:p>
    <w:p w14:paraId="5439452B" w14:textId="25F67266" w:rsidR="0054076E" w:rsidRDefault="0054076E" w:rsidP="00E61E2B">
      <w:pPr>
        <w:spacing w:after="120"/>
        <w:rPr>
          <w:rFonts w:ascii="Calibri" w:hAnsi="Calibri" w:cs="Calibri"/>
          <w:b/>
          <w:color w:val="13576B"/>
          <w:sz w:val="22"/>
          <w:szCs w:val="28"/>
        </w:rPr>
      </w:pPr>
      <w:r w:rsidRPr="0054076E">
        <w:rPr>
          <w:rFonts w:ascii="Calibri" w:hAnsi="Calibri" w:cs="Calibri"/>
          <w:b/>
          <w:color w:val="13576B"/>
          <w:sz w:val="22"/>
          <w:szCs w:val="28"/>
        </w:rPr>
        <w:t>Silnější domácí ekonomika při nezměněném celkovém růstu</w:t>
      </w:r>
    </w:p>
    <w:p w14:paraId="3163A5D4" w14:textId="075E83FD" w:rsidR="0054076E" w:rsidRPr="0054076E" w:rsidRDefault="0054076E" w:rsidP="001A4374">
      <w:pPr>
        <w:pStyle w:val="Normlnweb"/>
        <w:spacing w:before="12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3A4ACC">
        <w:rPr>
          <w:rFonts w:ascii="Calibri" w:hAnsi="Calibri" w:cs="Calibri"/>
          <w:b/>
          <w:color w:val="000000" w:themeColor="text1"/>
          <w:sz w:val="20"/>
        </w:rPr>
        <w:t>Růst české ekonomiky by měl v letošním roce dosáhnout 2,0 % a v roce 2027 zrychlit na 2,3 %. Přestože se tato čísla proti květnové prognóze</w:t>
      </w:r>
      <w:r w:rsidR="008126A6">
        <w:rPr>
          <w:rFonts w:ascii="Calibri" w:hAnsi="Calibri" w:cs="Calibri"/>
          <w:b/>
          <w:color w:val="000000" w:themeColor="text1"/>
          <w:sz w:val="20"/>
        </w:rPr>
        <w:t xml:space="preserve"> v podstatě</w:t>
      </w:r>
      <w:r w:rsidRPr="003A4ACC">
        <w:rPr>
          <w:rFonts w:ascii="Calibri" w:hAnsi="Calibri" w:cs="Calibri"/>
          <w:b/>
          <w:color w:val="000000" w:themeColor="text1"/>
          <w:sz w:val="20"/>
        </w:rPr>
        <w:t xml:space="preserve"> nemění, pohled na jednotlivé zdroje růstu j</w:t>
      </w:r>
      <w:r w:rsidR="009423B8">
        <w:rPr>
          <w:rFonts w:ascii="Calibri" w:hAnsi="Calibri" w:cs="Calibri"/>
          <w:b/>
          <w:color w:val="000000" w:themeColor="text1"/>
          <w:sz w:val="20"/>
        </w:rPr>
        <w:t>sou</w:t>
      </w:r>
      <w:r w:rsidRPr="003A4ACC">
        <w:rPr>
          <w:rFonts w:ascii="Calibri" w:hAnsi="Calibri" w:cs="Calibri"/>
          <w:b/>
          <w:color w:val="000000" w:themeColor="text1"/>
          <w:sz w:val="20"/>
        </w:rPr>
        <w:t xml:space="preserve"> příznivější.</w:t>
      </w:r>
      <w:r w:rsidR="003A4ACC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Spotřeba domácností by měla letos vzrůst o 3,0 %, tedy o </w:t>
      </w:r>
      <w:proofErr w:type="gramStart"/>
      <w:r w:rsidRPr="0054076E">
        <w:rPr>
          <w:rFonts w:ascii="Calibri" w:hAnsi="Calibri" w:cs="Calibri"/>
          <w:bCs/>
          <w:color w:val="000000" w:themeColor="text1"/>
          <w:sz w:val="20"/>
        </w:rPr>
        <w:t>0,3 procentního</w:t>
      </w:r>
      <w:proofErr w:type="gramEnd"/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bodu rychleji než v květnovém výhledu. Významnou podporou je výraznější růst reálných mezd, který prognóza</w:t>
      </w:r>
      <w:r w:rsidR="003A4ACC">
        <w:rPr>
          <w:rFonts w:ascii="Calibri" w:hAnsi="Calibri" w:cs="Calibri"/>
          <w:bCs/>
          <w:color w:val="000000" w:themeColor="text1"/>
          <w:sz w:val="20"/>
        </w:rPr>
        <w:t xml:space="preserve"> pro letošní rok navy</w:t>
      </w:r>
      <w:r w:rsidRPr="0054076E">
        <w:rPr>
          <w:rFonts w:ascii="Calibri" w:hAnsi="Calibri" w:cs="Calibri"/>
          <w:bCs/>
          <w:color w:val="000000" w:themeColor="text1"/>
          <w:sz w:val="20"/>
        </w:rPr>
        <w:t>šuje o 1,5 p. b. na 5 %. K růstu spotřeby přispívá také pokračující silná úvěrová aktivita</w:t>
      </w:r>
      <w:r w:rsidR="003A4ACC">
        <w:rPr>
          <w:rFonts w:ascii="Calibri" w:hAnsi="Calibri" w:cs="Calibri"/>
          <w:bCs/>
          <w:color w:val="000000" w:themeColor="text1"/>
          <w:sz w:val="20"/>
        </w:rPr>
        <w:t>, ale i uvolněnější fiskální politika</w:t>
      </w:r>
      <w:r w:rsidRPr="0054076E">
        <w:rPr>
          <w:rFonts w:ascii="Calibri" w:hAnsi="Calibri" w:cs="Calibri"/>
          <w:bCs/>
          <w:color w:val="000000" w:themeColor="text1"/>
          <w:sz w:val="20"/>
        </w:rPr>
        <w:t>. Na druhé straně výsledky ankety ČBA naznačují, že mimořádně vysoká míra úspor domácností bude klesat pouze pozvolna</w:t>
      </w:r>
      <w:r w:rsidR="00E6047F">
        <w:rPr>
          <w:rFonts w:ascii="Calibri" w:hAnsi="Calibri" w:cs="Calibri"/>
          <w:bCs/>
          <w:color w:val="000000" w:themeColor="text1"/>
          <w:sz w:val="20"/>
        </w:rPr>
        <w:t>,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a ještě na konci roku 2027 zůstane výrazně nad </w:t>
      </w:r>
      <w:proofErr w:type="spellStart"/>
      <w:r w:rsidRPr="0054076E">
        <w:rPr>
          <w:rFonts w:ascii="Calibri" w:hAnsi="Calibri" w:cs="Calibri"/>
          <w:bCs/>
          <w:color w:val="000000" w:themeColor="text1"/>
          <w:sz w:val="20"/>
        </w:rPr>
        <w:t>předcovidovým</w:t>
      </w:r>
      <w:proofErr w:type="spellEnd"/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průměrem.</w:t>
      </w:r>
    </w:p>
    <w:p w14:paraId="0A4BA12E" w14:textId="5F3C1533" w:rsidR="00EE1F14" w:rsidRDefault="0054076E" w:rsidP="001A4374">
      <w:pPr>
        <w:pStyle w:val="Normlnweb"/>
        <w:spacing w:before="12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EE1F14">
        <w:rPr>
          <w:rFonts w:ascii="Calibri" w:hAnsi="Calibri" w:cs="Calibri"/>
          <w:b/>
          <w:color w:val="000000" w:themeColor="text1"/>
          <w:sz w:val="20"/>
        </w:rPr>
        <w:t>Výraznější zlepšení přináší investiční aktivita</w:t>
      </w:r>
      <w:r w:rsidR="00EE1F14" w:rsidRPr="00EE1F14">
        <w:rPr>
          <w:rFonts w:ascii="Calibri" w:hAnsi="Calibri" w:cs="Calibri"/>
          <w:b/>
          <w:color w:val="000000" w:themeColor="text1"/>
          <w:sz w:val="20"/>
        </w:rPr>
        <w:t>, což částečně kompenzují mírnější výhled na vládní spotřebu</w:t>
      </w:r>
      <w:r w:rsidRPr="0054076E">
        <w:rPr>
          <w:rFonts w:ascii="Calibri" w:hAnsi="Calibri" w:cs="Calibri"/>
          <w:bCs/>
          <w:color w:val="000000" w:themeColor="text1"/>
          <w:sz w:val="20"/>
        </w:rPr>
        <w:t>. Investice bez zásob by letos měly vzrůst o 4,1 %, což je o 0,6 p. b. více než v květnu, a v roce 2027 o 2,9 %. Silnější výhled je konzistentní s</w:t>
      </w:r>
      <w:r w:rsidR="001A4374">
        <w:rPr>
          <w:rFonts w:ascii="Calibri" w:hAnsi="Calibri" w:cs="Calibri"/>
          <w:b/>
          <w:color w:val="13576B"/>
          <w:sz w:val="20"/>
        </w:rPr>
        <w:t> </w:t>
      </w:r>
      <w:r w:rsidRPr="0054076E">
        <w:rPr>
          <w:rFonts w:ascii="Calibri" w:hAnsi="Calibri" w:cs="Calibri"/>
          <w:bCs/>
          <w:color w:val="000000" w:themeColor="text1"/>
          <w:sz w:val="20"/>
        </w:rPr>
        <w:t>pokračujícím oživením úvěrové aktivity podniků i s dosavadním vývojem investic.</w:t>
      </w:r>
      <w:r w:rsidR="00EE1F14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F405AC" w:rsidRPr="00F405AC">
        <w:rPr>
          <w:rFonts w:ascii="Calibri" w:hAnsi="Calibri" w:cs="Calibri"/>
          <w:bCs/>
          <w:color w:val="000000" w:themeColor="text1"/>
          <w:sz w:val="20"/>
        </w:rPr>
        <w:t xml:space="preserve">Vývoz české ekonomiky by měl letos vzrůst o 4,7 %, tedy o </w:t>
      </w:r>
      <w:proofErr w:type="gramStart"/>
      <w:r w:rsidR="00F405AC" w:rsidRPr="00F405AC">
        <w:rPr>
          <w:rFonts w:ascii="Calibri" w:hAnsi="Calibri" w:cs="Calibri"/>
          <w:bCs/>
          <w:color w:val="000000" w:themeColor="text1"/>
          <w:sz w:val="20"/>
        </w:rPr>
        <w:t>1,5 procentního</w:t>
      </w:r>
      <w:proofErr w:type="gramEnd"/>
      <w:r w:rsidR="00F405AC" w:rsidRPr="00F405AC">
        <w:rPr>
          <w:rFonts w:ascii="Calibri" w:hAnsi="Calibri" w:cs="Calibri"/>
          <w:bCs/>
          <w:color w:val="000000" w:themeColor="text1"/>
          <w:sz w:val="20"/>
        </w:rPr>
        <w:t xml:space="preserve"> bodu více než v květnu. Zároveň však prognóza výrazně zvyšuje růst dovozu na 6,1 %. Vyšší dovozní náročnost tak část pozitivního dopadu silnější domácí poptávky i exportu tlumí a brání </w:t>
      </w:r>
      <w:r w:rsidR="00F405AC">
        <w:rPr>
          <w:rFonts w:ascii="Calibri" w:hAnsi="Calibri" w:cs="Calibri"/>
          <w:bCs/>
          <w:color w:val="000000" w:themeColor="text1"/>
          <w:sz w:val="20"/>
        </w:rPr>
        <w:t>silnějšímu výhledu na růst</w:t>
      </w:r>
      <w:r w:rsidR="00F405AC" w:rsidRPr="00F405AC">
        <w:rPr>
          <w:rFonts w:ascii="Calibri" w:hAnsi="Calibri" w:cs="Calibri"/>
          <w:bCs/>
          <w:color w:val="000000" w:themeColor="text1"/>
          <w:sz w:val="20"/>
        </w:rPr>
        <w:t xml:space="preserve"> HDP.</w:t>
      </w:r>
      <w:r w:rsidR="00F405AC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EE1F14" w:rsidRPr="0054076E">
        <w:rPr>
          <w:rFonts w:ascii="Calibri" w:hAnsi="Calibri" w:cs="Calibri"/>
          <w:bCs/>
          <w:color w:val="000000" w:themeColor="text1"/>
          <w:sz w:val="20"/>
        </w:rPr>
        <w:t>Mezičtvrtletní růst české ekonomiky by měl po 0,2 % v prvním a přibližně 0,4 % ve druhém čtvrtletí ve druhé polovině roku zrychlit poblíž 0,6 %. Obdobná tempa panel v průměru očekává také v roce 2027.</w:t>
      </w:r>
      <w:r w:rsidR="00EE1F14">
        <w:rPr>
          <w:rFonts w:ascii="Calibri" w:hAnsi="Calibri" w:cs="Calibri"/>
          <w:bCs/>
          <w:color w:val="000000" w:themeColor="text1"/>
          <w:sz w:val="20"/>
        </w:rPr>
        <w:t xml:space="preserve"> </w:t>
      </w:r>
    </w:p>
    <w:p w14:paraId="3096C915" w14:textId="277C1B9D" w:rsidR="0054076E" w:rsidRPr="0054076E" w:rsidRDefault="0054076E" w:rsidP="001A4374">
      <w:pPr>
        <w:pStyle w:val="Normlnweb"/>
        <w:spacing w:before="12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EE1F14">
        <w:rPr>
          <w:rFonts w:ascii="Calibri" w:hAnsi="Calibri" w:cs="Calibri"/>
          <w:b/>
          <w:color w:val="000000" w:themeColor="text1"/>
          <w:sz w:val="20"/>
        </w:rPr>
        <w:t>Zahraniční prostředí zůstává relativně slabou částí výhledu.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Růst eurozóny panel očekává pouze kolem 0,8 % letos a 1,2 % v</w:t>
      </w:r>
      <w:r w:rsidR="001A4374">
        <w:rPr>
          <w:rFonts w:ascii="Calibri" w:hAnsi="Calibri" w:cs="Calibri"/>
          <w:b/>
          <w:color w:val="13576B"/>
          <w:sz w:val="20"/>
        </w:rPr>
        <w:t> </w:t>
      </w:r>
      <w:r w:rsidRPr="0054076E">
        <w:rPr>
          <w:rFonts w:ascii="Calibri" w:hAnsi="Calibri" w:cs="Calibri"/>
          <w:bCs/>
          <w:color w:val="000000" w:themeColor="text1"/>
          <w:sz w:val="20"/>
        </w:rPr>
        <w:t>roce 2027. Z tohoto pohledu zůstává hlavním vnějším rizikem síla evropského oživení a zejména schopnost českého exp</w:t>
      </w:r>
      <w:r>
        <w:rPr>
          <w:rFonts w:ascii="Calibri" w:hAnsi="Calibri" w:cs="Calibri"/>
          <w:bCs/>
          <w:color w:val="000000" w:themeColor="text1"/>
          <w:sz w:val="20"/>
        </w:rPr>
        <w:t>o</w:t>
      </w:r>
      <w:r w:rsidRPr="0054076E">
        <w:rPr>
          <w:rFonts w:ascii="Calibri" w:hAnsi="Calibri" w:cs="Calibri"/>
          <w:bCs/>
          <w:color w:val="000000" w:themeColor="text1"/>
          <w:sz w:val="20"/>
        </w:rPr>
        <w:t>rtního sektoru pokračovat v diverzifikaci odbytišť mimo tradiční evropské trhy.</w:t>
      </w:r>
    </w:p>
    <w:p w14:paraId="05AFDB3B" w14:textId="350EF02D" w:rsidR="00481E81" w:rsidRPr="00AB6E06" w:rsidRDefault="0054076E" w:rsidP="00BF45B5">
      <w:pPr>
        <w:pStyle w:val="Normlnweb"/>
        <w:spacing w:before="120" w:beforeAutospacing="0" w:after="120" w:afterAutospacing="0"/>
        <w:jc w:val="both"/>
        <w:rPr>
          <w:rFonts w:ascii="Calibri" w:hAnsi="Calibri" w:cs="Calibri"/>
          <w:b/>
          <w:color w:val="13576B"/>
          <w:sz w:val="22"/>
          <w:szCs w:val="28"/>
        </w:rPr>
      </w:pPr>
      <w:r w:rsidRPr="0054076E">
        <w:rPr>
          <w:rFonts w:ascii="Calibri" w:hAnsi="Calibri" w:cs="Calibri"/>
          <w:b/>
          <w:color w:val="13576B"/>
          <w:sz w:val="22"/>
          <w:szCs w:val="28"/>
        </w:rPr>
        <w:t>Celkovou inflaci tlumí potraviny, jádrové cenové tlaky však zůstávají</w:t>
      </w:r>
    </w:p>
    <w:p w14:paraId="034CDBF0" w14:textId="3F09C6F3" w:rsidR="00BF45B5" w:rsidRDefault="0054076E" w:rsidP="001A4374">
      <w:pPr>
        <w:pStyle w:val="Normlnweb"/>
        <w:spacing w:before="12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EE1F14">
        <w:rPr>
          <w:rFonts w:ascii="Calibri" w:hAnsi="Calibri" w:cs="Calibri"/>
          <w:b/>
          <w:color w:val="000000" w:themeColor="text1"/>
          <w:sz w:val="20"/>
        </w:rPr>
        <w:t>Významnou změnou srpnové prognózy je snížení očekávané průměrné spotřebitelské inflace pro letošní rok o půl procentního bodu na 2,0 %</w:t>
      </w:r>
      <w:r w:rsidR="00BF45B5">
        <w:rPr>
          <w:rFonts w:ascii="Calibri" w:hAnsi="Calibri" w:cs="Calibri"/>
          <w:b/>
          <w:color w:val="000000" w:themeColor="text1"/>
          <w:sz w:val="20"/>
        </w:rPr>
        <w:t>, ale při vyšší jádrové inflaci</w:t>
      </w:r>
      <w:r w:rsidRPr="00EE1F14">
        <w:rPr>
          <w:rFonts w:ascii="Calibri" w:hAnsi="Calibri" w:cs="Calibri"/>
          <w:b/>
          <w:color w:val="000000" w:themeColor="text1"/>
          <w:sz w:val="20"/>
        </w:rPr>
        <w:t>.</w:t>
      </w:r>
      <w:r w:rsidR="00EE1F14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F405AC" w:rsidRPr="00F405AC">
        <w:rPr>
          <w:rFonts w:ascii="Calibri" w:hAnsi="Calibri" w:cs="Calibri"/>
          <w:bCs/>
          <w:color w:val="000000" w:themeColor="text1"/>
          <w:sz w:val="20"/>
        </w:rPr>
        <w:t xml:space="preserve">Na konci roku by se však </w:t>
      </w:r>
      <w:r w:rsidR="00F405AC">
        <w:rPr>
          <w:rFonts w:ascii="Calibri" w:hAnsi="Calibri" w:cs="Calibri"/>
          <w:bCs/>
          <w:color w:val="000000" w:themeColor="text1"/>
          <w:sz w:val="20"/>
        </w:rPr>
        <w:t xml:space="preserve">i celková </w:t>
      </w:r>
      <w:r w:rsidR="00F405AC" w:rsidRPr="00F405AC">
        <w:rPr>
          <w:rFonts w:ascii="Calibri" w:hAnsi="Calibri" w:cs="Calibri"/>
          <w:bCs/>
          <w:color w:val="000000" w:themeColor="text1"/>
          <w:sz w:val="20"/>
        </w:rPr>
        <w:t>inflace měla pohybovat kolem 2,8 % a v roce 2027 panel očekává její průměrné zvýšení na 2,6 %</w:t>
      </w:r>
      <w:r w:rsidR="00F405AC">
        <w:rPr>
          <w:rFonts w:ascii="Calibri" w:hAnsi="Calibri" w:cs="Calibri"/>
          <w:bCs/>
          <w:color w:val="000000" w:themeColor="text1"/>
          <w:sz w:val="20"/>
        </w:rPr>
        <w:t xml:space="preserve"> meziročně</w:t>
      </w:r>
      <w:r w:rsidR="00F405AC" w:rsidRPr="00F405AC">
        <w:rPr>
          <w:rFonts w:ascii="Calibri" w:hAnsi="Calibri" w:cs="Calibri"/>
          <w:bCs/>
          <w:color w:val="000000" w:themeColor="text1"/>
          <w:sz w:val="20"/>
        </w:rPr>
        <w:t>. Za nižším letošním výhledem stojí především příznivější vývoj cen potravin, patrný již od loňského podzimu.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A03236" w:rsidRPr="00A03236">
        <w:rPr>
          <w:rFonts w:ascii="Calibri" w:hAnsi="Calibri" w:cs="Calibri"/>
          <w:bCs/>
          <w:color w:val="000000" w:themeColor="text1"/>
          <w:sz w:val="20"/>
        </w:rPr>
        <w:t xml:space="preserve">Po celý </w:t>
      </w:r>
      <w:r w:rsidR="00A03236">
        <w:rPr>
          <w:rFonts w:ascii="Calibri" w:hAnsi="Calibri" w:cs="Calibri"/>
          <w:bCs/>
          <w:color w:val="000000" w:themeColor="text1"/>
          <w:sz w:val="20"/>
        </w:rPr>
        <w:t xml:space="preserve">letošní rok </w:t>
      </w:r>
      <w:r w:rsidR="00A03236" w:rsidRPr="00A03236">
        <w:rPr>
          <w:rFonts w:ascii="Calibri" w:hAnsi="Calibri" w:cs="Calibri"/>
          <w:bCs/>
          <w:color w:val="000000" w:themeColor="text1"/>
          <w:sz w:val="20"/>
        </w:rPr>
        <w:t xml:space="preserve">se navíc </w:t>
      </w:r>
      <w:r w:rsidR="00A03236">
        <w:rPr>
          <w:rFonts w:ascii="Calibri" w:hAnsi="Calibri" w:cs="Calibri"/>
          <w:bCs/>
          <w:color w:val="000000" w:themeColor="text1"/>
          <w:sz w:val="20"/>
        </w:rPr>
        <w:t xml:space="preserve">projevuje </w:t>
      </w:r>
      <w:r w:rsidR="00A03236" w:rsidRPr="00A03236">
        <w:rPr>
          <w:rFonts w:ascii="Calibri" w:hAnsi="Calibri" w:cs="Calibri"/>
          <w:bCs/>
          <w:color w:val="000000" w:themeColor="text1"/>
          <w:sz w:val="20"/>
        </w:rPr>
        <w:t>převedení poplatku za obnovitelné zdroje energie</w:t>
      </w:r>
      <w:r w:rsidR="00A03236">
        <w:rPr>
          <w:rFonts w:ascii="Calibri" w:hAnsi="Calibri" w:cs="Calibri"/>
          <w:bCs/>
          <w:color w:val="000000" w:themeColor="text1"/>
          <w:sz w:val="20"/>
        </w:rPr>
        <w:t xml:space="preserve"> z faktoru domácností na bedra státního rozpočtu</w:t>
      </w:r>
      <w:r w:rsidR="00A03236" w:rsidRPr="00A03236">
        <w:rPr>
          <w:rFonts w:ascii="Calibri" w:hAnsi="Calibri" w:cs="Calibri"/>
          <w:bCs/>
          <w:color w:val="000000" w:themeColor="text1"/>
          <w:sz w:val="20"/>
        </w:rPr>
        <w:t>.</w:t>
      </w:r>
      <w:r w:rsidR="00A03236">
        <w:rPr>
          <w:rFonts w:ascii="Calibri" w:hAnsi="Calibri" w:cs="Calibri"/>
          <w:bCs/>
          <w:color w:val="000000" w:themeColor="text1"/>
          <w:sz w:val="20"/>
        </w:rPr>
        <w:t xml:space="preserve"> Tyto faktory tlumí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celkovou inflaci i přes pokračující silné domácí cenové tlaky. </w:t>
      </w:r>
    </w:p>
    <w:p w14:paraId="7C72F5F0" w14:textId="43FBA800" w:rsidR="00F405AC" w:rsidRPr="0054076E" w:rsidRDefault="00F405AC" w:rsidP="001A4374">
      <w:pPr>
        <w:pStyle w:val="Normlnweb"/>
        <w:spacing w:before="12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F405AC">
        <w:rPr>
          <w:rFonts w:ascii="Calibri" w:hAnsi="Calibri" w:cs="Calibri"/>
          <w:b/>
          <w:color w:val="000000" w:themeColor="text1"/>
          <w:sz w:val="20"/>
        </w:rPr>
        <w:t>Silnější poptávkové tlaky se promítají zejména do jádrové inflace. Ta se pro letošní rok zvyšuje o desetinu na 2,9 % a v roce 2027 je očekávána na 2,7 %.</w:t>
      </w:r>
      <w:r w:rsidRPr="00F405AC">
        <w:rPr>
          <w:rFonts w:ascii="Calibri" w:hAnsi="Calibri" w:cs="Calibri"/>
          <w:bCs/>
          <w:color w:val="000000" w:themeColor="text1"/>
          <w:sz w:val="20"/>
        </w:rPr>
        <w:t xml:space="preserve"> Imputované nájemné by sice mělo po silném červencovém růstu zpomalit, výraznější </w:t>
      </w:r>
      <w:r>
        <w:rPr>
          <w:rFonts w:ascii="Calibri" w:hAnsi="Calibri" w:cs="Calibri"/>
          <w:bCs/>
          <w:color w:val="000000" w:themeColor="text1"/>
          <w:sz w:val="20"/>
        </w:rPr>
        <w:t>desinflaci</w:t>
      </w:r>
      <w:r w:rsidRPr="00F405AC">
        <w:rPr>
          <w:rFonts w:ascii="Calibri" w:hAnsi="Calibri" w:cs="Calibri"/>
          <w:bCs/>
          <w:color w:val="000000" w:themeColor="text1"/>
          <w:sz w:val="20"/>
        </w:rPr>
        <w:t xml:space="preserve"> však brzdí</w:t>
      </w:r>
      <w:r>
        <w:rPr>
          <w:rFonts w:ascii="Calibri" w:hAnsi="Calibri" w:cs="Calibri"/>
          <w:bCs/>
          <w:color w:val="000000" w:themeColor="text1"/>
          <w:sz w:val="20"/>
        </w:rPr>
        <w:t xml:space="preserve"> přetrvávající</w:t>
      </w:r>
      <w:r w:rsidRPr="00F405AC">
        <w:rPr>
          <w:rFonts w:ascii="Calibri" w:hAnsi="Calibri" w:cs="Calibri"/>
          <w:bCs/>
          <w:color w:val="000000" w:themeColor="text1"/>
          <w:sz w:val="20"/>
        </w:rPr>
        <w:t xml:space="preserve"> napětí na trhu nemovitostí i vyšší ceny stavebních materiálů</w:t>
      </w:r>
      <w:r>
        <w:rPr>
          <w:rFonts w:ascii="Calibri" w:hAnsi="Calibri" w:cs="Calibri"/>
          <w:bCs/>
          <w:color w:val="000000" w:themeColor="text1"/>
          <w:sz w:val="20"/>
        </w:rPr>
        <w:t xml:space="preserve"> kvůli cenám energií</w:t>
      </w:r>
      <w:r w:rsidRPr="00F405AC">
        <w:rPr>
          <w:rFonts w:ascii="Calibri" w:hAnsi="Calibri" w:cs="Calibri"/>
          <w:bCs/>
          <w:color w:val="000000" w:themeColor="text1"/>
          <w:sz w:val="20"/>
        </w:rPr>
        <w:t>. Ve službách se nadále promítají vyšší mzdové náklady</w:t>
      </w:r>
      <w:r>
        <w:rPr>
          <w:rFonts w:ascii="Calibri" w:hAnsi="Calibri" w:cs="Calibri"/>
          <w:bCs/>
          <w:color w:val="000000" w:themeColor="text1"/>
          <w:sz w:val="20"/>
        </w:rPr>
        <w:t xml:space="preserve">, ale i </w:t>
      </w:r>
      <w:r w:rsidRPr="00F405AC">
        <w:rPr>
          <w:rFonts w:ascii="Calibri" w:hAnsi="Calibri" w:cs="Calibri"/>
          <w:bCs/>
          <w:color w:val="000000" w:themeColor="text1"/>
          <w:sz w:val="20"/>
        </w:rPr>
        <w:t>silnější koupěschopná poptávka. Ceny zboží pak mohou být vystaveny tlaku dražších energií, vyšších dovozních nákladů a případně</w:t>
      </w:r>
      <w:r>
        <w:rPr>
          <w:rFonts w:ascii="Calibri" w:hAnsi="Calibri" w:cs="Calibri"/>
          <w:bCs/>
          <w:color w:val="000000" w:themeColor="text1"/>
          <w:sz w:val="20"/>
        </w:rPr>
        <w:t xml:space="preserve"> riziku</w:t>
      </w:r>
      <w:r w:rsidRPr="00F405AC">
        <w:rPr>
          <w:rFonts w:ascii="Calibri" w:hAnsi="Calibri" w:cs="Calibri"/>
          <w:bCs/>
          <w:color w:val="000000" w:themeColor="text1"/>
          <w:sz w:val="20"/>
        </w:rPr>
        <w:t xml:space="preserve"> slabší koruny.</w:t>
      </w:r>
    </w:p>
    <w:p w14:paraId="3F8F99A6" w14:textId="093F13D1" w:rsidR="00EE1F14" w:rsidRDefault="0054076E" w:rsidP="001A4374">
      <w:pPr>
        <w:pStyle w:val="Normlnweb"/>
        <w:spacing w:before="12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EE1F14">
        <w:rPr>
          <w:rFonts w:ascii="Calibri" w:hAnsi="Calibri" w:cs="Calibri"/>
          <w:b/>
          <w:color w:val="000000" w:themeColor="text1"/>
          <w:sz w:val="20"/>
        </w:rPr>
        <w:lastRenderedPageBreak/>
        <w:t>Otázkou zůstává, jak dlouho příznivý vývoj potravin vydrží</w:t>
      </w:r>
      <w:r w:rsidRPr="0054076E">
        <w:rPr>
          <w:rFonts w:ascii="Calibri" w:hAnsi="Calibri" w:cs="Calibri"/>
          <w:bCs/>
          <w:color w:val="000000" w:themeColor="text1"/>
          <w:sz w:val="20"/>
        </w:rPr>
        <w:t>.</w:t>
      </w:r>
      <w:r w:rsidR="00EE1F14">
        <w:rPr>
          <w:rFonts w:ascii="Calibri" w:hAnsi="Calibri" w:cs="Calibri"/>
          <w:bCs/>
          <w:color w:val="000000" w:themeColor="text1"/>
          <w:sz w:val="20"/>
        </w:rPr>
        <w:t xml:space="preserve"> Prognóza předpokládá </w:t>
      </w:r>
      <w:r w:rsidR="00A03236">
        <w:rPr>
          <w:rFonts w:ascii="Calibri" w:hAnsi="Calibri" w:cs="Calibri"/>
          <w:bCs/>
          <w:color w:val="000000" w:themeColor="text1"/>
          <w:sz w:val="20"/>
        </w:rPr>
        <w:t>obrat</w:t>
      </w:r>
      <w:r w:rsidR="00EE1F14">
        <w:rPr>
          <w:rFonts w:ascii="Calibri" w:hAnsi="Calibri" w:cs="Calibri"/>
          <w:bCs/>
          <w:color w:val="000000" w:themeColor="text1"/>
          <w:sz w:val="20"/>
        </w:rPr>
        <w:t xml:space="preserve"> již během závěru letošního roku. 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Zároveň se bude postupně ukazovat, v jaké míře se do spotřebitelských cen promítnou vyšší ceny zemního plynu a elektrické energie</w:t>
      </w:r>
      <w:r w:rsidR="00EE1F14">
        <w:rPr>
          <w:rFonts w:ascii="Calibri" w:hAnsi="Calibri" w:cs="Calibri"/>
          <w:bCs/>
          <w:color w:val="000000" w:themeColor="text1"/>
          <w:sz w:val="20"/>
        </w:rPr>
        <w:t xml:space="preserve"> při prodlouženém konfliktu s Íránem.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Jejich dopad nemusí přijít pouze přímo prostřednictvím cen energií pro domácnosti. Vyšší energetické náklady se mohou s odstupem přelévat také přes výrobní řetězce do cen potravin, průmyslového zboží a některých služeb.</w:t>
      </w:r>
      <w:r w:rsidR="00EE1F14">
        <w:rPr>
          <w:rFonts w:ascii="Calibri" w:hAnsi="Calibri" w:cs="Calibri"/>
          <w:bCs/>
          <w:color w:val="000000" w:themeColor="text1"/>
          <w:sz w:val="20"/>
        </w:rPr>
        <w:t xml:space="preserve"> </w:t>
      </w:r>
    </w:p>
    <w:p w14:paraId="1DAFB803" w14:textId="18F9BB35" w:rsidR="0054076E" w:rsidRDefault="0054076E" w:rsidP="001A4374">
      <w:pPr>
        <w:pStyle w:val="Normlnweb"/>
        <w:spacing w:before="12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EE1F14">
        <w:rPr>
          <w:rFonts w:ascii="Calibri" w:hAnsi="Calibri" w:cs="Calibri"/>
          <w:b/>
          <w:color w:val="000000" w:themeColor="text1"/>
          <w:sz w:val="20"/>
        </w:rPr>
        <w:t>Právě tím se vysvětluje výraznější nejistota inflačního výhledu pro rok 2027.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Zatímco letošní odhady panelu jsou velmi těsně seskupeny kolem 2 %, pro rok 2027 se polovina prognóz nachází mezi 2,6 a 2,9 % a horní odhad dosahuje 3,2 %. Riziko se tak posouvá spíše směrem k vyšší inflaci.</w:t>
      </w:r>
    </w:p>
    <w:p w14:paraId="229FFE38" w14:textId="1F062417" w:rsidR="0054076E" w:rsidRPr="0054076E" w:rsidRDefault="0054076E" w:rsidP="001A4374">
      <w:pPr>
        <w:pStyle w:val="Normlnweb"/>
        <w:spacing w:before="12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EE1F14">
        <w:rPr>
          <w:rFonts w:ascii="Calibri" w:hAnsi="Calibri" w:cs="Calibri"/>
          <w:b/>
          <w:color w:val="000000" w:themeColor="text1"/>
          <w:sz w:val="20"/>
        </w:rPr>
        <w:t>Domácí cenové tlaky podporuje zejména vývoj mezd.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Průměrná nominální mzda by letos měla vzrůst o 7,1 </w:t>
      </w:r>
      <w:r w:rsidR="00BC1930">
        <w:rPr>
          <w:rFonts w:ascii="Calibri" w:hAnsi="Calibri" w:cs="Calibri"/>
          <w:bCs/>
          <w:color w:val="000000" w:themeColor="text1"/>
          <w:sz w:val="20"/>
        </w:rPr>
        <w:t>% meziročně a p</w:t>
      </w:r>
      <w:r w:rsidRPr="0054076E">
        <w:rPr>
          <w:rFonts w:ascii="Calibri" w:hAnsi="Calibri" w:cs="Calibri"/>
          <w:bCs/>
          <w:color w:val="000000" w:themeColor="text1"/>
          <w:sz w:val="20"/>
        </w:rPr>
        <w:t>ro rok 2027 panel očekává 5,8% růst</w:t>
      </w:r>
      <w:r w:rsidR="00BC1930">
        <w:rPr>
          <w:rFonts w:ascii="Calibri" w:hAnsi="Calibri" w:cs="Calibri"/>
          <w:bCs/>
          <w:color w:val="000000" w:themeColor="text1"/>
          <w:sz w:val="20"/>
        </w:rPr>
        <w:t>. Včetně negativní revize pro loňský rok je výhled na průměrnou mzdu na horizontu predikce přibližně o jeden procentní bod silnější</w:t>
      </w:r>
      <w:r w:rsidRPr="0054076E">
        <w:rPr>
          <w:rFonts w:ascii="Calibri" w:hAnsi="Calibri" w:cs="Calibri"/>
          <w:bCs/>
          <w:color w:val="000000" w:themeColor="text1"/>
          <w:sz w:val="20"/>
        </w:rPr>
        <w:t>. V kombinaci s</w:t>
      </w:r>
      <w:r w:rsidR="00A03236">
        <w:rPr>
          <w:rFonts w:ascii="Calibri" w:hAnsi="Calibri" w:cs="Calibri"/>
          <w:bCs/>
          <w:color w:val="000000" w:themeColor="text1"/>
          <w:sz w:val="20"/>
        </w:rPr>
        <w:t> </w:t>
      </w:r>
      <w:r w:rsidRPr="0054076E">
        <w:rPr>
          <w:rFonts w:ascii="Calibri" w:hAnsi="Calibri" w:cs="Calibri"/>
          <w:bCs/>
          <w:color w:val="000000" w:themeColor="text1"/>
          <w:sz w:val="20"/>
        </w:rPr>
        <w:t>nižší</w:t>
      </w:r>
      <w:r w:rsidR="00A03236">
        <w:rPr>
          <w:rFonts w:ascii="Calibri" w:hAnsi="Calibri" w:cs="Calibri"/>
          <w:bCs/>
          <w:color w:val="000000" w:themeColor="text1"/>
          <w:sz w:val="20"/>
        </w:rPr>
        <w:t xml:space="preserve"> celkovou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inflací to znamená letošní zvýšení reálné mzdy o přibližně 5 % a o 3,1 % v roce 2027.</w:t>
      </w:r>
      <w:r w:rsidR="00A71271">
        <w:rPr>
          <w:rFonts w:ascii="Calibri" w:hAnsi="Calibri" w:cs="Calibri"/>
          <w:bCs/>
          <w:color w:val="000000" w:themeColor="text1"/>
          <w:sz w:val="20"/>
        </w:rPr>
        <w:t xml:space="preserve"> S</w:t>
      </w:r>
      <w:r w:rsidRPr="0054076E">
        <w:rPr>
          <w:rFonts w:ascii="Calibri" w:hAnsi="Calibri" w:cs="Calibri"/>
          <w:bCs/>
          <w:color w:val="000000" w:themeColor="text1"/>
          <w:sz w:val="20"/>
        </w:rPr>
        <w:t>ilnější reálné příjmy</w:t>
      </w:r>
      <w:r w:rsidR="00A71271">
        <w:rPr>
          <w:rFonts w:ascii="Calibri" w:hAnsi="Calibri" w:cs="Calibri"/>
          <w:bCs/>
          <w:color w:val="000000" w:themeColor="text1"/>
          <w:sz w:val="20"/>
        </w:rPr>
        <w:t xml:space="preserve"> včetně dopadů uvolněnější fiskální politiky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jsou důležitou podporou spotřeby domácností. Současně však rychlý nominální růst mezd zvyšuje náklady firem, a zejména v sektoru služeb tak může přispívat k</w:t>
      </w:r>
      <w:r w:rsidR="001A4374">
        <w:rPr>
          <w:rFonts w:ascii="Calibri" w:hAnsi="Calibri" w:cs="Calibri"/>
          <w:b/>
          <w:color w:val="13576B"/>
          <w:sz w:val="20"/>
        </w:rPr>
        <w:t> </w:t>
      </w:r>
      <w:r w:rsidRPr="0054076E">
        <w:rPr>
          <w:rFonts w:ascii="Calibri" w:hAnsi="Calibri" w:cs="Calibri"/>
          <w:bCs/>
          <w:color w:val="000000" w:themeColor="text1"/>
          <w:sz w:val="20"/>
        </w:rPr>
        <w:t>delšímu přetrvávání zvýšené jádrové inflace.</w:t>
      </w:r>
      <w:r w:rsidR="00A71271">
        <w:rPr>
          <w:rFonts w:ascii="Calibri" w:hAnsi="Calibri" w:cs="Calibri"/>
          <w:bCs/>
          <w:color w:val="000000" w:themeColor="text1"/>
          <w:sz w:val="20"/>
        </w:rPr>
        <w:t xml:space="preserve"> </w:t>
      </w:r>
    </w:p>
    <w:p w14:paraId="71CA1D97" w14:textId="500BA595" w:rsidR="00F405AC" w:rsidRDefault="0054076E" w:rsidP="001A4374">
      <w:pPr>
        <w:pStyle w:val="Normlnweb"/>
        <w:spacing w:before="12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A71271">
        <w:rPr>
          <w:rFonts w:ascii="Calibri" w:hAnsi="Calibri" w:cs="Calibri"/>
          <w:b/>
          <w:color w:val="000000" w:themeColor="text1"/>
          <w:sz w:val="20"/>
        </w:rPr>
        <w:t>Trh práce přitom podle prognózy projde jen pozvolným uvolněním.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Průměrná registrovaná nezaměstnanost by letos měla </w:t>
      </w:r>
      <w:r w:rsidR="00F405AC" w:rsidRPr="00F405AC">
        <w:rPr>
          <w:rFonts w:ascii="Calibri" w:hAnsi="Calibri" w:cs="Calibri"/>
          <w:bCs/>
          <w:color w:val="000000" w:themeColor="text1"/>
          <w:sz w:val="20"/>
        </w:rPr>
        <w:t xml:space="preserve">dosáhnout </w:t>
      </w:r>
      <w:r w:rsidRPr="0054076E">
        <w:rPr>
          <w:rFonts w:ascii="Calibri" w:hAnsi="Calibri" w:cs="Calibri"/>
          <w:bCs/>
          <w:color w:val="000000" w:themeColor="text1"/>
          <w:sz w:val="20"/>
        </w:rPr>
        <w:t>4,9 % a v roce 2027</w:t>
      </w:r>
      <w:r w:rsidR="00F405AC">
        <w:rPr>
          <w:rFonts w:ascii="Calibri" w:hAnsi="Calibri" w:cs="Calibri"/>
          <w:bCs/>
          <w:color w:val="000000" w:themeColor="text1"/>
          <w:sz w:val="20"/>
        </w:rPr>
        <w:t xml:space="preserve"> mírně poklesnout na 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4,8 %. </w:t>
      </w:r>
      <w:hyperlink r:id="rId12" w:history="1">
        <w:r w:rsidR="00F405AC">
          <w:rPr>
            <w:rStyle w:val="Hypertextovodkaz"/>
            <w:rFonts w:ascii="Calibri" w:hAnsi="Calibri" w:cs="Calibri"/>
            <w:bCs/>
            <w:sz w:val="20"/>
          </w:rPr>
          <w:t xml:space="preserve">Červencová registrovaná </w:t>
        </w:r>
        <w:r w:rsidRPr="00A71271">
          <w:rPr>
            <w:rStyle w:val="Hypertextovodkaz"/>
            <w:rFonts w:ascii="Calibri" w:hAnsi="Calibri" w:cs="Calibri"/>
            <w:bCs/>
            <w:sz w:val="20"/>
          </w:rPr>
          <w:t>nezaměstnanost</w:t>
        </w:r>
      </w:hyperlink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F405AC">
        <w:rPr>
          <w:rFonts w:ascii="Calibri" w:hAnsi="Calibri" w:cs="Calibri"/>
          <w:bCs/>
          <w:color w:val="000000" w:themeColor="text1"/>
          <w:sz w:val="20"/>
        </w:rPr>
        <w:t xml:space="preserve">se </w:t>
      </w:r>
      <w:r w:rsidR="00F405AC" w:rsidRPr="00F405AC">
        <w:rPr>
          <w:rFonts w:ascii="Calibri" w:hAnsi="Calibri" w:cs="Calibri"/>
          <w:bCs/>
          <w:color w:val="000000" w:themeColor="text1"/>
          <w:sz w:val="20"/>
        </w:rPr>
        <w:t>sezónně očištěn</w:t>
      </w:r>
      <w:r w:rsidR="00F405AC">
        <w:rPr>
          <w:rFonts w:ascii="Calibri" w:hAnsi="Calibri" w:cs="Calibri"/>
          <w:bCs/>
          <w:color w:val="000000" w:themeColor="text1"/>
          <w:sz w:val="20"/>
        </w:rPr>
        <w:t xml:space="preserve">ým podílem </w:t>
      </w:r>
      <w:r w:rsidR="00F405AC" w:rsidRPr="00F405AC">
        <w:rPr>
          <w:rFonts w:ascii="Calibri" w:hAnsi="Calibri" w:cs="Calibri"/>
          <w:bCs/>
          <w:color w:val="000000" w:themeColor="text1"/>
          <w:sz w:val="20"/>
        </w:rPr>
        <w:t>mírně nad 5 % zatím nevede k výraznějšímu zpomalení mzdového růstu, přestože</w:t>
      </w:r>
      <w:r w:rsidR="00F405AC">
        <w:rPr>
          <w:rFonts w:ascii="Calibri" w:hAnsi="Calibri" w:cs="Calibri"/>
          <w:bCs/>
          <w:color w:val="000000" w:themeColor="text1"/>
          <w:sz w:val="20"/>
        </w:rPr>
        <w:t xml:space="preserve"> se</w:t>
      </w:r>
      <w:r w:rsidR="00F405AC" w:rsidRPr="00F405AC">
        <w:rPr>
          <w:rFonts w:ascii="Calibri" w:hAnsi="Calibri" w:cs="Calibri"/>
          <w:bCs/>
          <w:color w:val="000000" w:themeColor="text1"/>
          <w:sz w:val="20"/>
        </w:rPr>
        <w:t xml:space="preserve"> již </w:t>
      </w:r>
      <w:r w:rsidR="00F405AC">
        <w:rPr>
          <w:rFonts w:ascii="Calibri" w:hAnsi="Calibri" w:cs="Calibri"/>
          <w:bCs/>
          <w:color w:val="000000" w:themeColor="text1"/>
          <w:sz w:val="20"/>
        </w:rPr>
        <w:t xml:space="preserve">pohybuje poblíž </w:t>
      </w:r>
      <w:r w:rsidR="00F405AC" w:rsidRPr="00F405AC">
        <w:rPr>
          <w:rFonts w:ascii="Calibri" w:hAnsi="Calibri" w:cs="Calibri"/>
          <w:bCs/>
          <w:color w:val="000000" w:themeColor="text1"/>
          <w:sz w:val="20"/>
        </w:rPr>
        <w:t>inflačně neutrální úrov</w:t>
      </w:r>
      <w:r w:rsidR="00BC1930">
        <w:rPr>
          <w:rFonts w:ascii="Calibri" w:hAnsi="Calibri" w:cs="Calibri"/>
          <w:bCs/>
          <w:color w:val="000000" w:themeColor="text1"/>
          <w:sz w:val="20"/>
        </w:rPr>
        <w:t>ně</w:t>
      </w:r>
      <w:r w:rsidR="00F405AC" w:rsidRPr="00F405AC">
        <w:rPr>
          <w:rFonts w:ascii="Calibri" w:hAnsi="Calibri" w:cs="Calibri"/>
          <w:bCs/>
          <w:color w:val="000000" w:themeColor="text1"/>
          <w:sz w:val="20"/>
        </w:rPr>
        <w:t>.</w:t>
      </w:r>
      <w:r w:rsidR="00F405AC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F405AC" w:rsidRPr="00F405AC">
        <w:rPr>
          <w:rFonts w:ascii="Calibri" w:hAnsi="Calibri" w:cs="Calibri"/>
          <w:bCs/>
          <w:color w:val="000000" w:themeColor="text1"/>
          <w:sz w:val="20"/>
        </w:rPr>
        <w:t>Ke zvolnění mzdové dynamiky by měla přispívat nižší ziskovost firem, výraznější ochlazení však brzdí stále nízká výběrová nezaměstnanost, která v červnu dosáhla 3,3 %, i očekávané zrychlení ekonomického růstu v příštím roce.</w:t>
      </w:r>
    </w:p>
    <w:p w14:paraId="33B340E9" w14:textId="74155D46" w:rsidR="00F405AC" w:rsidRDefault="00F405AC" w:rsidP="001A4374">
      <w:pPr>
        <w:pStyle w:val="Normlnweb"/>
        <w:spacing w:before="120" w:beforeAutospacing="0" w:after="120" w:afterAutospacing="0"/>
        <w:jc w:val="both"/>
        <w:rPr>
          <w:rFonts w:ascii="Calibri" w:hAnsi="Calibri" w:cs="Calibri"/>
          <w:bCs/>
          <w:color w:val="000000" w:themeColor="text1"/>
          <w:sz w:val="20"/>
        </w:rPr>
      </w:pPr>
      <w:r w:rsidRPr="00F405AC">
        <w:rPr>
          <w:rFonts w:ascii="Calibri" w:hAnsi="Calibri" w:cs="Calibri"/>
          <w:b/>
          <w:color w:val="000000" w:themeColor="text1"/>
          <w:sz w:val="20"/>
        </w:rPr>
        <w:t>Aktuální konsensus prognózy zahrnuje možné zrušení koncesionářských poplatků zhruba z poloviny.</w:t>
      </w:r>
      <w:r w:rsidRPr="00F405AC">
        <w:rPr>
          <w:rFonts w:ascii="Calibri" w:hAnsi="Calibri" w:cs="Calibri"/>
          <w:bCs/>
          <w:color w:val="000000" w:themeColor="text1"/>
          <w:sz w:val="20"/>
        </w:rPr>
        <w:t xml:space="preserve"> V plném scénáři by tento krok mohl v příštím roce snížit růst spotřebitelských cen přibližně o </w:t>
      </w:r>
      <w:proofErr w:type="gramStart"/>
      <w:r w:rsidRPr="00F405AC">
        <w:rPr>
          <w:rFonts w:ascii="Calibri" w:hAnsi="Calibri" w:cs="Calibri"/>
          <w:bCs/>
          <w:color w:val="000000" w:themeColor="text1"/>
          <w:sz w:val="20"/>
        </w:rPr>
        <w:t>0,3 procentního</w:t>
      </w:r>
      <w:proofErr w:type="gramEnd"/>
      <w:r w:rsidRPr="00F405AC">
        <w:rPr>
          <w:rFonts w:ascii="Calibri" w:hAnsi="Calibri" w:cs="Calibri"/>
          <w:bCs/>
          <w:color w:val="000000" w:themeColor="text1"/>
          <w:sz w:val="20"/>
        </w:rPr>
        <w:t xml:space="preserve"> bodu. Část tohoto protiinflačního efektu by však mohl kompenzovat fiskální stimul v rozsahu až 10 mld. Kč, tedy lehce přes 0,1 % HDP, který by působil proinflačně zejména prostřednictvím jádrové inflace. Za horizontem prognózy zůstává dalším významným faktorem zavedení ETS2.</w:t>
      </w:r>
    </w:p>
    <w:p w14:paraId="37670778" w14:textId="4E4AA05D" w:rsidR="00A1698B" w:rsidRDefault="00AB6E06" w:rsidP="00BF45B5">
      <w:pPr>
        <w:spacing w:before="120" w:after="120"/>
        <w:rPr>
          <w:rFonts w:ascii="Calibri" w:eastAsia="Calibri" w:hAnsi="Calibri" w:cs="Calibri"/>
          <w:b/>
          <w:color w:val="13576B"/>
          <w:sz w:val="22"/>
          <w:szCs w:val="28"/>
        </w:rPr>
      </w:pPr>
      <w:r w:rsidRPr="003F762E">
        <w:rPr>
          <w:rFonts w:ascii="Calibri" w:eastAsia="Calibri" w:hAnsi="Calibri" w:cs="Calibri"/>
          <w:b/>
          <w:color w:val="13576B"/>
          <w:sz w:val="22"/>
          <w:szCs w:val="28"/>
        </w:rPr>
        <w:t>Vyšší inflace se promítá</w:t>
      </w:r>
      <w:r>
        <w:rPr>
          <w:rFonts w:ascii="Calibri" w:eastAsia="Calibri" w:hAnsi="Calibri" w:cs="Calibri"/>
          <w:b/>
          <w:color w:val="13576B"/>
          <w:sz w:val="22"/>
          <w:szCs w:val="28"/>
        </w:rPr>
        <w:t xml:space="preserve"> do rizika nárůstu úrokové sazby ČNB</w:t>
      </w:r>
    </w:p>
    <w:bookmarkEnd w:id="1"/>
    <w:p w14:paraId="4E1B32BB" w14:textId="7DD3E48A" w:rsidR="00473D57" w:rsidRDefault="00F405AC" w:rsidP="00BF45B5">
      <w:pPr>
        <w:spacing w:before="120" w:after="120"/>
        <w:rPr>
          <w:rFonts w:ascii="Calibri" w:hAnsi="Calibri" w:cs="Calibri"/>
          <w:bCs/>
          <w:color w:val="000000" w:themeColor="text1"/>
          <w:sz w:val="20"/>
        </w:rPr>
      </w:pPr>
      <w:r w:rsidRPr="00F405AC">
        <w:rPr>
          <w:rFonts w:ascii="Calibri" w:hAnsi="Calibri" w:cs="Calibri"/>
          <w:b/>
          <w:color w:val="000000" w:themeColor="text1"/>
          <w:sz w:val="20"/>
        </w:rPr>
        <w:t>Medián prognostického panelu nově očekává</w:t>
      </w:r>
      <w:r w:rsidR="00BC1930">
        <w:rPr>
          <w:rFonts w:ascii="Calibri" w:hAnsi="Calibri" w:cs="Calibri"/>
          <w:b/>
          <w:color w:val="000000" w:themeColor="text1"/>
          <w:sz w:val="20"/>
        </w:rPr>
        <w:t xml:space="preserve"> ponechání</w:t>
      </w:r>
      <w:r w:rsidRPr="00F405AC">
        <w:rPr>
          <w:rFonts w:ascii="Calibri" w:hAnsi="Calibri" w:cs="Calibri"/>
          <w:b/>
          <w:color w:val="000000" w:themeColor="text1"/>
          <w:sz w:val="20"/>
        </w:rPr>
        <w:t xml:space="preserve"> základní sazb</w:t>
      </w:r>
      <w:r w:rsidR="00BC1930">
        <w:rPr>
          <w:rFonts w:ascii="Calibri" w:hAnsi="Calibri" w:cs="Calibri"/>
          <w:b/>
          <w:color w:val="000000" w:themeColor="text1"/>
          <w:sz w:val="20"/>
        </w:rPr>
        <w:t>y</w:t>
      </w:r>
      <w:r w:rsidRPr="00F405AC">
        <w:rPr>
          <w:rFonts w:ascii="Calibri" w:hAnsi="Calibri" w:cs="Calibri"/>
          <w:b/>
          <w:color w:val="000000" w:themeColor="text1"/>
          <w:sz w:val="20"/>
        </w:rPr>
        <w:t xml:space="preserve"> ČNB na 3,75 % na konci roku 2026 i 2027, tedy v obou případech o čtvrt procentního bodu výše než v květnu.</w:t>
      </w:r>
      <w:r w:rsidRPr="00F405AC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BC1930">
        <w:rPr>
          <w:rFonts w:ascii="Calibri" w:hAnsi="Calibri" w:cs="Calibri"/>
          <w:bCs/>
          <w:color w:val="000000" w:themeColor="text1"/>
          <w:sz w:val="20"/>
        </w:rPr>
        <w:t xml:space="preserve">Červnové zvýšení úrokové sazby na 3,75 % přišlo </w:t>
      </w:r>
      <w:r w:rsidRPr="00F405AC">
        <w:rPr>
          <w:rFonts w:ascii="Calibri" w:hAnsi="Calibri" w:cs="Calibri"/>
          <w:bCs/>
          <w:color w:val="000000" w:themeColor="text1"/>
          <w:sz w:val="20"/>
        </w:rPr>
        <w:t>navzdory nižší celkové inflaci a odráž</w:t>
      </w:r>
      <w:r w:rsidR="00BC1930">
        <w:rPr>
          <w:rFonts w:ascii="Calibri" w:hAnsi="Calibri" w:cs="Calibri"/>
          <w:bCs/>
          <w:color w:val="000000" w:themeColor="text1"/>
          <w:sz w:val="20"/>
        </w:rPr>
        <w:t>elo</w:t>
      </w:r>
      <w:r w:rsidRPr="00F405AC">
        <w:rPr>
          <w:rFonts w:ascii="Calibri" w:hAnsi="Calibri" w:cs="Calibri"/>
          <w:bCs/>
          <w:color w:val="000000" w:themeColor="text1"/>
          <w:sz w:val="20"/>
        </w:rPr>
        <w:t xml:space="preserve"> především její strukturu</w:t>
      </w:r>
      <w:r w:rsidR="00BC1930">
        <w:rPr>
          <w:rFonts w:ascii="Calibri" w:hAnsi="Calibri" w:cs="Calibri"/>
          <w:bCs/>
          <w:color w:val="000000" w:themeColor="text1"/>
          <w:sz w:val="20"/>
        </w:rPr>
        <w:t xml:space="preserve"> v podobě zvýšené j</w:t>
      </w:r>
      <w:r w:rsidRPr="00F405AC">
        <w:rPr>
          <w:rFonts w:ascii="Calibri" w:hAnsi="Calibri" w:cs="Calibri"/>
          <w:bCs/>
          <w:color w:val="000000" w:themeColor="text1"/>
          <w:sz w:val="20"/>
        </w:rPr>
        <w:t>ádrov</w:t>
      </w:r>
      <w:r w:rsidR="00BC1930">
        <w:rPr>
          <w:rFonts w:ascii="Calibri" w:hAnsi="Calibri" w:cs="Calibri"/>
          <w:bCs/>
          <w:color w:val="000000" w:themeColor="text1"/>
          <w:sz w:val="20"/>
        </w:rPr>
        <w:t>é</w:t>
      </w:r>
      <w:r w:rsidRPr="00F405AC">
        <w:rPr>
          <w:rFonts w:ascii="Calibri" w:hAnsi="Calibri" w:cs="Calibri"/>
          <w:bCs/>
          <w:color w:val="000000" w:themeColor="text1"/>
          <w:sz w:val="20"/>
        </w:rPr>
        <w:t xml:space="preserve"> inflace</w:t>
      </w:r>
      <w:r w:rsidR="00BC1930">
        <w:rPr>
          <w:rFonts w:ascii="Calibri" w:hAnsi="Calibri" w:cs="Calibri"/>
          <w:bCs/>
          <w:color w:val="000000" w:themeColor="text1"/>
          <w:sz w:val="20"/>
        </w:rPr>
        <w:t xml:space="preserve">. Do ní se propisuje silnější růst </w:t>
      </w:r>
      <w:r w:rsidRPr="00F405AC">
        <w:rPr>
          <w:rFonts w:ascii="Calibri" w:hAnsi="Calibri" w:cs="Calibri"/>
          <w:bCs/>
          <w:color w:val="000000" w:themeColor="text1"/>
          <w:sz w:val="20"/>
        </w:rPr>
        <w:t xml:space="preserve">mezd </w:t>
      </w:r>
      <w:r w:rsidR="00BC1930">
        <w:rPr>
          <w:rFonts w:ascii="Calibri" w:hAnsi="Calibri" w:cs="Calibri"/>
          <w:bCs/>
          <w:color w:val="000000" w:themeColor="text1"/>
          <w:sz w:val="20"/>
        </w:rPr>
        <w:t>a jednotkových mzdových nákladů</w:t>
      </w:r>
      <w:r w:rsidRPr="00F405AC">
        <w:rPr>
          <w:rFonts w:ascii="Calibri" w:hAnsi="Calibri" w:cs="Calibri"/>
          <w:bCs/>
          <w:color w:val="000000" w:themeColor="text1"/>
          <w:sz w:val="20"/>
        </w:rPr>
        <w:t xml:space="preserve"> a </w:t>
      </w:r>
      <w:r w:rsidR="00BC1930">
        <w:rPr>
          <w:rFonts w:ascii="Calibri" w:hAnsi="Calibri" w:cs="Calibri"/>
          <w:bCs/>
          <w:color w:val="000000" w:themeColor="text1"/>
          <w:sz w:val="20"/>
        </w:rPr>
        <w:t xml:space="preserve">silnější </w:t>
      </w:r>
      <w:r w:rsidRPr="00F405AC">
        <w:rPr>
          <w:rFonts w:ascii="Calibri" w:hAnsi="Calibri" w:cs="Calibri"/>
          <w:bCs/>
          <w:color w:val="000000" w:themeColor="text1"/>
          <w:sz w:val="20"/>
        </w:rPr>
        <w:t>domácí poptávka. Pro konec roku 2026 žádný respondent nečeká sazbu pod 3,75 %</w:t>
      </w:r>
      <w:r w:rsidR="008D09E3">
        <w:rPr>
          <w:rFonts w:ascii="Calibri" w:hAnsi="Calibri" w:cs="Calibri"/>
          <w:bCs/>
          <w:color w:val="000000" w:themeColor="text1"/>
          <w:sz w:val="20"/>
        </w:rPr>
        <w:t>. Č</w:t>
      </w:r>
      <w:r w:rsidRPr="00F405AC">
        <w:rPr>
          <w:rFonts w:ascii="Calibri" w:hAnsi="Calibri" w:cs="Calibri"/>
          <w:bCs/>
          <w:color w:val="000000" w:themeColor="text1"/>
          <w:sz w:val="20"/>
        </w:rPr>
        <w:t xml:space="preserve">ást panelu </w:t>
      </w:r>
      <w:r w:rsidR="00473D57">
        <w:rPr>
          <w:rFonts w:ascii="Calibri" w:hAnsi="Calibri" w:cs="Calibri"/>
          <w:bCs/>
          <w:color w:val="000000" w:themeColor="text1"/>
          <w:sz w:val="20"/>
        </w:rPr>
        <w:t xml:space="preserve">ovšem </w:t>
      </w:r>
      <w:r w:rsidRPr="00F405AC">
        <w:rPr>
          <w:rFonts w:ascii="Calibri" w:hAnsi="Calibri" w:cs="Calibri"/>
          <w:bCs/>
          <w:color w:val="000000" w:themeColor="text1"/>
          <w:sz w:val="20"/>
        </w:rPr>
        <w:t xml:space="preserve">počítá se 4 %. </w:t>
      </w:r>
      <w:r w:rsidR="00473D57" w:rsidRPr="0054076E">
        <w:rPr>
          <w:rFonts w:ascii="Calibri" w:hAnsi="Calibri" w:cs="Calibri"/>
          <w:bCs/>
          <w:color w:val="000000" w:themeColor="text1"/>
          <w:sz w:val="20"/>
        </w:rPr>
        <w:t>V roce 2027 se rozpětí názorů rozšiřuje mezi 3,5 a 4 %, ale medián zůstává na 3,75 %.</w:t>
      </w:r>
      <w:r w:rsidR="00473D57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473D57" w:rsidRPr="0054076E">
        <w:rPr>
          <w:rFonts w:ascii="Calibri" w:hAnsi="Calibri" w:cs="Calibri"/>
          <w:bCs/>
          <w:color w:val="000000" w:themeColor="text1"/>
          <w:sz w:val="20"/>
        </w:rPr>
        <w:t xml:space="preserve">Průměrný 3M PRIBOR by měl letos dosahovat přibližně 3,7 % a v roce 2027 vzrůst k 3,9 %. </w:t>
      </w:r>
      <w:r w:rsidR="00473D57">
        <w:rPr>
          <w:rFonts w:ascii="Calibri" w:hAnsi="Calibri" w:cs="Calibri"/>
          <w:bCs/>
          <w:color w:val="000000" w:themeColor="text1"/>
          <w:sz w:val="20"/>
        </w:rPr>
        <w:t>Delší prodloužení konfliktu s Íránem s návratem cen ropy na vyšší úrovně představuje dodatečné riziko vyšší sazby ČNB.</w:t>
      </w:r>
    </w:p>
    <w:p w14:paraId="3F20C4CC" w14:textId="099FD765" w:rsidR="00BC1930" w:rsidRDefault="00473D57" w:rsidP="00BF45B5">
      <w:pPr>
        <w:spacing w:before="120" w:after="120"/>
        <w:rPr>
          <w:rFonts w:ascii="Calibri" w:hAnsi="Calibri" w:cs="Calibri"/>
          <w:bCs/>
          <w:color w:val="000000" w:themeColor="text1"/>
          <w:sz w:val="20"/>
        </w:rPr>
      </w:pPr>
      <w:r w:rsidRPr="00473D57">
        <w:rPr>
          <w:rFonts w:ascii="Calibri" w:hAnsi="Calibri" w:cs="Calibri"/>
          <w:b/>
          <w:color w:val="000000" w:themeColor="text1"/>
          <w:sz w:val="20"/>
        </w:rPr>
        <w:t>Koruna by podle prognózy měla zůstat relativně silná a tlumit dovážené inflační tlaky</w:t>
      </w:r>
      <w:r w:rsidR="00BC1930">
        <w:rPr>
          <w:rFonts w:ascii="Calibri" w:hAnsi="Calibri" w:cs="Calibri"/>
          <w:b/>
          <w:color w:val="000000" w:themeColor="text1"/>
          <w:sz w:val="20"/>
        </w:rPr>
        <w:t xml:space="preserve">. </w:t>
      </w:r>
      <w:r w:rsidRPr="00473D57">
        <w:rPr>
          <w:rFonts w:ascii="Calibri" w:hAnsi="Calibri" w:cs="Calibri"/>
          <w:bCs/>
          <w:color w:val="000000" w:themeColor="text1"/>
          <w:sz w:val="20"/>
        </w:rPr>
        <w:t xml:space="preserve">Průměrný kurz panel letos očekává kolem 24,3 CZK/EUR a 24,1 CZK/EUR v roce 2027, tedy o 10, respektive 20 haléřů silnější než v květnové prognóze. Silnější korunu podporuje mimo jiné úrokový diferenciál vůči eurozóně. Panel </w:t>
      </w:r>
      <w:r w:rsidR="008D09E3">
        <w:rPr>
          <w:rFonts w:ascii="Calibri" w:hAnsi="Calibri" w:cs="Calibri"/>
          <w:bCs/>
          <w:color w:val="000000" w:themeColor="text1"/>
          <w:sz w:val="20"/>
        </w:rPr>
        <w:t>stále předpokládá jedno 25 bodové zvýšení</w:t>
      </w:r>
      <w:r w:rsidRPr="00473D57">
        <w:rPr>
          <w:rFonts w:ascii="Calibri" w:hAnsi="Calibri" w:cs="Calibri"/>
          <w:bCs/>
          <w:color w:val="000000" w:themeColor="text1"/>
          <w:sz w:val="20"/>
        </w:rPr>
        <w:t xml:space="preserve"> depozitní sazb</w:t>
      </w:r>
      <w:r w:rsidR="008D09E3">
        <w:rPr>
          <w:rFonts w:ascii="Calibri" w:hAnsi="Calibri" w:cs="Calibri"/>
          <w:bCs/>
          <w:color w:val="000000" w:themeColor="text1"/>
          <w:sz w:val="20"/>
        </w:rPr>
        <w:t>y</w:t>
      </w:r>
      <w:r w:rsidRPr="00473D57">
        <w:rPr>
          <w:rFonts w:ascii="Calibri" w:hAnsi="Calibri" w:cs="Calibri"/>
          <w:bCs/>
          <w:color w:val="000000" w:themeColor="text1"/>
          <w:sz w:val="20"/>
        </w:rPr>
        <w:t xml:space="preserve"> ECB na 2,50 % na konci roku 2026 a</w:t>
      </w:r>
      <w:r w:rsidR="008D09E3">
        <w:rPr>
          <w:rFonts w:ascii="Calibri" w:hAnsi="Calibri" w:cs="Calibri"/>
          <w:bCs/>
          <w:color w:val="000000" w:themeColor="text1"/>
          <w:sz w:val="20"/>
        </w:rPr>
        <w:t xml:space="preserve"> její pozvolné snížení na</w:t>
      </w:r>
      <w:r w:rsidRPr="00473D57">
        <w:rPr>
          <w:rFonts w:ascii="Calibri" w:hAnsi="Calibri" w:cs="Calibri"/>
          <w:bCs/>
          <w:color w:val="000000" w:themeColor="text1"/>
          <w:sz w:val="20"/>
        </w:rPr>
        <w:t xml:space="preserve"> 2,38 % </w:t>
      </w:r>
      <w:r w:rsidR="00CF05D0">
        <w:rPr>
          <w:rFonts w:ascii="Calibri" w:hAnsi="Calibri" w:cs="Calibri"/>
          <w:bCs/>
          <w:color w:val="000000" w:themeColor="text1"/>
          <w:sz w:val="20"/>
        </w:rPr>
        <w:t>během roku</w:t>
      </w:r>
      <w:r w:rsidRPr="00473D57">
        <w:rPr>
          <w:rFonts w:ascii="Calibri" w:hAnsi="Calibri" w:cs="Calibri"/>
          <w:bCs/>
          <w:color w:val="000000" w:themeColor="text1"/>
          <w:sz w:val="20"/>
        </w:rPr>
        <w:t xml:space="preserve"> 2027. Vyšší výhled českých sazeb </w:t>
      </w:r>
      <w:r>
        <w:rPr>
          <w:rFonts w:ascii="Calibri" w:hAnsi="Calibri" w:cs="Calibri"/>
          <w:bCs/>
          <w:color w:val="000000" w:themeColor="text1"/>
          <w:sz w:val="20"/>
        </w:rPr>
        <w:t>v naší predikci</w:t>
      </w:r>
      <w:r w:rsidRPr="00473D57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8D09E3" w:rsidRPr="008D09E3">
        <w:rPr>
          <w:rFonts w:ascii="Calibri" w:hAnsi="Calibri" w:cs="Calibri"/>
          <w:bCs/>
          <w:color w:val="000000" w:themeColor="text1"/>
          <w:sz w:val="20"/>
        </w:rPr>
        <w:t xml:space="preserve">oproti </w:t>
      </w:r>
      <w:r w:rsidR="00CF05D0">
        <w:rPr>
          <w:rFonts w:ascii="Calibri" w:hAnsi="Calibri" w:cs="Calibri"/>
          <w:bCs/>
          <w:color w:val="000000" w:themeColor="text1"/>
          <w:sz w:val="20"/>
        </w:rPr>
        <w:t>mírněji zvýšenému</w:t>
      </w:r>
      <w:r w:rsidR="008D09E3" w:rsidRPr="008D09E3">
        <w:rPr>
          <w:rFonts w:ascii="Calibri" w:hAnsi="Calibri" w:cs="Calibri"/>
          <w:bCs/>
          <w:color w:val="000000" w:themeColor="text1"/>
          <w:sz w:val="20"/>
        </w:rPr>
        <w:t xml:space="preserve"> výhledu na sazby ECB tak odpovíd</w:t>
      </w:r>
      <w:r w:rsidR="008D09E3">
        <w:rPr>
          <w:rFonts w:ascii="Calibri" w:hAnsi="Calibri" w:cs="Calibri"/>
          <w:bCs/>
          <w:color w:val="000000" w:themeColor="text1"/>
          <w:sz w:val="20"/>
        </w:rPr>
        <w:t xml:space="preserve">á </w:t>
      </w:r>
      <w:r w:rsidR="008D09E3" w:rsidRPr="008D09E3">
        <w:rPr>
          <w:rFonts w:ascii="Calibri" w:hAnsi="Calibri" w:cs="Calibri"/>
          <w:bCs/>
          <w:color w:val="000000" w:themeColor="text1"/>
          <w:sz w:val="20"/>
        </w:rPr>
        <w:t xml:space="preserve">reakci na domácí poptávkové inflační tlaky. </w:t>
      </w:r>
    </w:p>
    <w:p w14:paraId="3F441576" w14:textId="1D24CB39" w:rsidR="00473D57" w:rsidRPr="00BB764D" w:rsidRDefault="00BC1930" w:rsidP="00BF45B5">
      <w:pPr>
        <w:spacing w:before="120" w:after="120"/>
        <w:rPr>
          <w:rFonts w:ascii="Calibri" w:hAnsi="Calibri" w:cs="Calibri"/>
          <w:bCs/>
          <w:color w:val="000000" w:themeColor="text1"/>
          <w:sz w:val="20"/>
        </w:rPr>
      </w:pPr>
      <w:r>
        <w:rPr>
          <w:rFonts w:ascii="Calibri" w:hAnsi="Calibri" w:cs="Calibri"/>
          <w:b/>
          <w:color w:val="000000" w:themeColor="text1"/>
          <w:sz w:val="20"/>
        </w:rPr>
        <w:t>I</w:t>
      </w:r>
      <w:r w:rsidRPr="00473D57">
        <w:rPr>
          <w:rFonts w:ascii="Calibri" w:hAnsi="Calibri" w:cs="Calibri"/>
          <w:b/>
          <w:color w:val="000000" w:themeColor="text1"/>
          <w:sz w:val="20"/>
        </w:rPr>
        <w:t xml:space="preserve"> když výhled přináší i riziko slabší koruny.</w:t>
      </w:r>
      <w:r w:rsidRPr="00473D57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473D57" w:rsidRPr="00473D57">
        <w:rPr>
          <w:rFonts w:ascii="Calibri" w:hAnsi="Calibri" w:cs="Calibri"/>
          <w:bCs/>
          <w:color w:val="000000" w:themeColor="text1"/>
          <w:sz w:val="20"/>
        </w:rPr>
        <w:t>Rizik</w:t>
      </w:r>
      <w:r w:rsidR="0022330E">
        <w:rPr>
          <w:rFonts w:ascii="Calibri" w:hAnsi="Calibri" w:cs="Calibri"/>
          <w:bCs/>
          <w:color w:val="000000" w:themeColor="text1"/>
          <w:sz w:val="20"/>
        </w:rPr>
        <w:t>o</w:t>
      </w:r>
      <w:r w:rsidR="00473D57" w:rsidRPr="00473D57">
        <w:rPr>
          <w:rFonts w:ascii="Calibri" w:hAnsi="Calibri" w:cs="Calibri"/>
          <w:bCs/>
          <w:color w:val="000000" w:themeColor="text1"/>
          <w:sz w:val="20"/>
        </w:rPr>
        <w:t xml:space="preserve"> pro korunu však </w:t>
      </w:r>
      <w:r w:rsidR="00473D57">
        <w:rPr>
          <w:rFonts w:ascii="Calibri" w:hAnsi="Calibri" w:cs="Calibri"/>
          <w:bCs/>
          <w:color w:val="000000" w:themeColor="text1"/>
          <w:sz w:val="20"/>
        </w:rPr>
        <w:t xml:space="preserve">představuje rozdíl mezi naším výhledem a očekáváním trhu. </w:t>
      </w:r>
      <w:r w:rsidR="0022330E">
        <w:rPr>
          <w:rFonts w:ascii="Calibri" w:hAnsi="Calibri" w:cs="Calibri"/>
          <w:bCs/>
          <w:color w:val="000000" w:themeColor="text1"/>
          <w:sz w:val="20"/>
        </w:rPr>
        <w:t>Zatímco náš výhled na ECB se pohybuje necelý čtvrt procentního bodu pod tržním oceněním, tak trh předpokládá ještě vyšší úrokovou sazbu ČNB, až na 4,25 %. Asymetrické n</w:t>
      </w:r>
      <w:r w:rsidR="00473D57">
        <w:rPr>
          <w:rFonts w:ascii="Calibri" w:hAnsi="Calibri" w:cs="Calibri"/>
          <w:bCs/>
          <w:color w:val="000000" w:themeColor="text1"/>
          <w:sz w:val="20"/>
        </w:rPr>
        <w:t>enapln</w:t>
      </w:r>
      <w:r w:rsidR="0022330E">
        <w:rPr>
          <w:rFonts w:ascii="Calibri" w:hAnsi="Calibri" w:cs="Calibri"/>
          <w:bCs/>
          <w:color w:val="000000" w:themeColor="text1"/>
          <w:sz w:val="20"/>
        </w:rPr>
        <w:t>ění tržních očekávání představuje riziko směrem ke slabší koruně</w:t>
      </w:r>
      <w:r w:rsidR="008D09E3">
        <w:rPr>
          <w:rFonts w:ascii="Calibri" w:hAnsi="Calibri" w:cs="Calibri"/>
          <w:bCs/>
          <w:color w:val="000000" w:themeColor="text1"/>
          <w:sz w:val="20"/>
        </w:rPr>
        <w:t xml:space="preserve">. </w:t>
      </w:r>
    </w:p>
    <w:p w14:paraId="5ED4A81C" w14:textId="53F7E443" w:rsidR="007B70F3" w:rsidRDefault="007B70F3" w:rsidP="00BF45B5">
      <w:pPr>
        <w:spacing w:before="120" w:after="120"/>
        <w:rPr>
          <w:rFonts w:ascii="Calibri" w:eastAsia="Calibri" w:hAnsi="Calibri" w:cs="Calibri"/>
          <w:b/>
          <w:color w:val="13576B"/>
          <w:sz w:val="22"/>
          <w:szCs w:val="28"/>
        </w:rPr>
      </w:pPr>
      <w:r w:rsidRPr="007B70F3">
        <w:rPr>
          <w:rFonts w:ascii="Calibri" w:eastAsia="Calibri" w:hAnsi="Calibri" w:cs="Calibri"/>
          <w:b/>
          <w:color w:val="13576B"/>
          <w:sz w:val="22"/>
          <w:szCs w:val="28"/>
        </w:rPr>
        <w:t>Bankovní úvěry a vklady</w:t>
      </w:r>
    </w:p>
    <w:p w14:paraId="4D6852AE" w14:textId="1C5086B2" w:rsidR="0054076E" w:rsidRDefault="0054076E" w:rsidP="001A4374">
      <w:pPr>
        <w:spacing w:before="120" w:after="120"/>
        <w:rPr>
          <w:rFonts w:ascii="Calibri" w:hAnsi="Calibri" w:cs="Calibri"/>
          <w:bCs/>
          <w:color w:val="000000" w:themeColor="text1"/>
          <w:sz w:val="20"/>
        </w:rPr>
      </w:pPr>
      <w:r w:rsidRPr="00EE1F14">
        <w:rPr>
          <w:rFonts w:ascii="Calibri" w:hAnsi="Calibri" w:cs="Calibri"/>
          <w:b/>
          <w:color w:val="000000" w:themeColor="text1"/>
          <w:sz w:val="20"/>
        </w:rPr>
        <w:t>Výhled bankovní úvěrové aktivity byl pro letošní rok dále zvýšen.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473D57" w:rsidRPr="00473D57">
        <w:rPr>
          <w:rFonts w:ascii="Calibri" w:hAnsi="Calibri" w:cs="Calibri"/>
          <w:bCs/>
          <w:color w:val="000000" w:themeColor="text1"/>
          <w:sz w:val="20"/>
        </w:rPr>
        <w:t xml:space="preserve">Celkové klientské úvěry by měly růst o 7,6 %, tedy o </w:t>
      </w:r>
      <w:proofErr w:type="gramStart"/>
      <w:r w:rsidR="00473D57" w:rsidRPr="00473D57">
        <w:rPr>
          <w:rFonts w:ascii="Calibri" w:hAnsi="Calibri" w:cs="Calibri"/>
          <w:bCs/>
          <w:color w:val="000000" w:themeColor="text1"/>
          <w:sz w:val="20"/>
        </w:rPr>
        <w:t>0,4 procentního</w:t>
      </w:r>
      <w:proofErr w:type="gramEnd"/>
      <w:r w:rsidR="00473D57" w:rsidRPr="00473D57">
        <w:rPr>
          <w:rFonts w:ascii="Calibri" w:hAnsi="Calibri" w:cs="Calibri"/>
          <w:bCs/>
          <w:color w:val="000000" w:themeColor="text1"/>
          <w:sz w:val="20"/>
        </w:rPr>
        <w:t xml:space="preserve"> bodu rychleji než v květnu, a v roce 2027 o 6,3 %. Hlavním tahounem zůstávají domácnosti, jejichž úvěry by měly letos vzrůst o 9,0 %. Silná dynamika odráží pokračující aktivitu na hypotečním trhu i růst </w:t>
      </w:r>
      <w:r w:rsidR="00473D57">
        <w:rPr>
          <w:rFonts w:ascii="Calibri" w:hAnsi="Calibri" w:cs="Calibri"/>
          <w:bCs/>
          <w:color w:val="000000" w:themeColor="text1"/>
          <w:sz w:val="20"/>
        </w:rPr>
        <w:t xml:space="preserve">spotřebitelských </w:t>
      </w:r>
      <w:r w:rsidR="00473D57" w:rsidRPr="00473D57">
        <w:rPr>
          <w:rFonts w:ascii="Calibri" w:hAnsi="Calibri" w:cs="Calibri"/>
          <w:bCs/>
          <w:color w:val="000000" w:themeColor="text1"/>
          <w:sz w:val="20"/>
        </w:rPr>
        <w:t xml:space="preserve">úvěrů domácnostem. 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Úvěry nefinančním podnikům by měly letos zrychlit na 6,4 % po 4,1% růstu v roce 2025. To je </w:t>
      </w:r>
      <w:r w:rsidR="00473D57">
        <w:rPr>
          <w:rFonts w:ascii="Calibri" w:hAnsi="Calibri" w:cs="Calibri"/>
          <w:bCs/>
          <w:color w:val="000000" w:themeColor="text1"/>
          <w:sz w:val="20"/>
        </w:rPr>
        <w:t>v souladu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se silnějším výhledem investiční aktivity a pokračujícím oživením nové úvěrové produkce. V roce 2027 by jejich růst měl mírně zpomalit na 5,5 %.</w:t>
      </w:r>
    </w:p>
    <w:p w14:paraId="75195272" w14:textId="68B07C0D" w:rsidR="0054076E" w:rsidRDefault="0054076E" w:rsidP="001A4374">
      <w:pPr>
        <w:spacing w:before="120" w:after="120"/>
        <w:rPr>
          <w:rFonts w:ascii="Calibri" w:hAnsi="Calibri" w:cs="Calibri"/>
          <w:bCs/>
          <w:color w:val="000000" w:themeColor="text1"/>
          <w:sz w:val="20"/>
        </w:rPr>
      </w:pPr>
      <w:r w:rsidRPr="00EE1F14">
        <w:rPr>
          <w:rFonts w:ascii="Calibri" w:hAnsi="Calibri" w:cs="Calibri"/>
          <w:b/>
          <w:color w:val="000000" w:themeColor="text1"/>
          <w:sz w:val="20"/>
        </w:rPr>
        <w:lastRenderedPageBreak/>
        <w:t>Růst klientských vkladů prognóza ponechává beze změny na 5,7 % letos a 5,0 % v roce 2027.</w:t>
      </w:r>
      <w:r w:rsidRPr="0054076E">
        <w:rPr>
          <w:rFonts w:ascii="Calibri" w:hAnsi="Calibri" w:cs="Calibri"/>
          <w:bCs/>
          <w:color w:val="000000" w:themeColor="text1"/>
          <w:sz w:val="20"/>
        </w:rPr>
        <w:t xml:space="preserve"> Rozdíl mezi dynamikou úvěrů a vkladů tak zároveň odpovídá pokračujícímu oživení úvěrové aktivity a postupné změně chování domácností, které vedle klasických vkladů ve větší míře využívají investiční produkty</w:t>
      </w:r>
      <w:r>
        <w:rPr>
          <w:rFonts w:ascii="Calibri" w:hAnsi="Calibri" w:cs="Calibri"/>
          <w:bCs/>
          <w:color w:val="000000" w:themeColor="text1"/>
          <w:sz w:val="20"/>
        </w:rPr>
        <w:t>, včetně retailových vládních dluhopisů.</w:t>
      </w:r>
    </w:p>
    <w:p w14:paraId="19F75569" w14:textId="09C2DA04" w:rsidR="007B70F3" w:rsidRPr="00914F70" w:rsidRDefault="0013126E" w:rsidP="0054076E">
      <w:pPr>
        <w:jc w:val="left"/>
        <w:rPr>
          <w:rFonts w:ascii="Calibri" w:hAnsi="Calibri" w:cs="Calibri"/>
          <w:color w:val="FF0000"/>
          <w:sz w:val="20"/>
        </w:rPr>
      </w:pPr>
      <w:r>
        <w:rPr>
          <w:rFonts w:ascii="Calibri" w:hAnsi="Calibri" w:cs="Calibri"/>
          <w:noProof/>
          <w:color w:val="FF0000"/>
          <w:sz w:val="20"/>
        </w:rPr>
        <w:drawing>
          <wp:inline distT="0" distB="0" distL="0" distR="0" wp14:anchorId="42CB82C6" wp14:editId="00724322">
            <wp:extent cx="3213100" cy="2455650"/>
            <wp:effectExtent l="0" t="0" r="6350" b="1905"/>
            <wp:docPr id="3146824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978" cy="2466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28AD">
        <w:rPr>
          <w:rFonts w:ascii="Calibri" w:hAnsi="Calibri" w:cs="Calibri"/>
          <w:color w:val="FF0000"/>
          <w:sz w:val="20"/>
        </w:rPr>
        <w:t xml:space="preserve">   </w:t>
      </w:r>
      <w:r>
        <w:rPr>
          <w:rFonts w:ascii="Calibri" w:hAnsi="Calibri" w:cs="Calibri"/>
          <w:noProof/>
          <w:color w:val="FF0000"/>
          <w:sz w:val="20"/>
        </w:rPr>
        <w:drawing>
          <wp:inline distT="0" distB="0" distL="0" distR="0" wp14:anchorId="1804D652" wp14:editId="1AF2B1D7">
            <wp:extent cx="3123565" cy="2473451"/>
            <wp:effectExtent l="0" t="0" r="635" b="3175"/>
            <wp:docPr id="137146440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11" cy="248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2DCD">
        <w:rPr>
          <w:rFonts w:ascii="Calibri" w:hAnsi="Calibri" w:cs="Calibri"/>
          <w:color w:val="FF0000"/>
          <w:sz w:val="20"/>
        </w:rPr>
        <w:t xml:space="preserve">    </w:t>
      </w:r>
    </w:p>
    <w:p w14:paraId="4094574A" w14:textId="3336840B" w:rsidR="007B70F3" w:rsidRPr="00806391" w:rsidRDefault="007B70F3" w:rsidP="007B70F3">
      <w:pPr>
        <w:spacing w:after="120"/>
        <w:rPr>
          <w:rFonts w:ascii="Calibri" w:hAnsi="Calibri" w:cs="Calibri"/>
          <w:bCs/>
          <w:color w:val="13576B"/>
          <w:szCs w:val="18"/>
        </w:rPr>
      </w:pPr>
      <w:r>
        <w:rPr>
          <w:rFonts w:ascii="Calibri" w:hAnsi="Calibri" w:cs="Calibri"/>
          <w:bCs/>
          <w:color w:val="13576B"/>
          <w:szCs w:val="18"/>
        </w:rPr>
        <w:t>Pramen</w:t>
      </w:r>
      <w:r w:rsidRPr="00806391">
        <w:rPr>
          <w:rFonts w:ascii="Calibri" w:hAnsi="Calibri" w:cs="Calibri"/>
          <w:bCs/>
          <w:color w:val="13576B"/>
          <w:szCs w:val="18"/>
        </w:rPr>
        <w:t>: Č</w:t>
      </w:r>
      <w:r w:rsidR="00012092">
        <w:rPr>
          <w:rFonts w:ascii="Calibri" w:hAnsi="Calibri" w:cs="Calibri"/>
          <w:bCs/>
          <w:color w:val="13576B"/>
          <w:szCs w:val="18"/>
        </w:rPr>
        <w:t>eská bankovní asociace</w:t>
      </w:r>
      <w:r w:rsidRPr="00806391">
        <w:rPr>
          <w:rFonts w:ascii="Calibri" w:hAnsi="Calibri" w:cs="Calibri"/>
          <w:bCs/>
          <w:color w:val="13576B"/>
          <w:szCs w:val="18"/>
        </w:rPr>
        <w:t xml:space="preserve"> (</w:t>
      </w:r>
      <w:r w:rsidR="00012092">
        <w:rPr>
          <w:rFonts w:ascii="Calibri" w:hAnsi="Calibri" w:cs="Calibri"/>
          <w:bCs/>
          <w:color w:val="13576B"/>
          <w:szCs w:val="18"/>
        </w:rPr>
        <w:t xml:space="preserve">výpočty, </w:t>
      </w:r>
      <w:r w:rsidRPr="00806391">
        <w:rPr>
          <w:rFonts w:ascii="Calibri" w:hAnsi="Calibri" w:cs="Calibri"/>
          <w:bCs/>
          <w:color w:val="13576B"/>
          <w:szCs w:val="18"/>
        </w:rPr>
        <w:t>sezónní očištění)</w:t>
      </w:r>
      <w:r w:rsidR="00012092">
        <w:rPr>
          <w:rFonts w:ascii="Calibri" w:hAnsi="Calibri" w:cs="Calibri"/>
          <w:bCs/>
          <w:color w:val="13576B"/>
          <w:szCs w:val="18"/>
        </w:rPr>
        <w:t>,</w:t>
      </w:r>
      <w:r w:rsidR="00012092" w:rsidRPr="00012092">
        <w:rPr>
          <w:rFonts w:ascii="Calibri" w:hAnsi="Calibri" w:cs="Calibri"/>
          <w:bCs/>
          <w:color w:val="13576B"/>
          <w:szCs w:val="18"/>
        </w:rPr>
        <w:t xml:space="preserve"> </w:t>
      </w:r>
      <w:r w:rsidR="00012092" w:rsidRPr="00806391">
        <w:rPr>
          <w:rFonts w:ascii="Calibri" w:hAnsi="Calibri" w:cs="Calibri"/>
          <w:bCs/>
          <w:color w:val="13576B"/>
          <w:szCs w:val="18"/>
        </w:rPr>
        <w:t>ČNB</w:t>
      </w:r>
    </w:p>
    <w:p w14:paraId="439A8F15" w14:textId="789F280F" w:rsidR="003C7CA9" w:rsidRDefault="00E8515A" w:rsidP="00A1698B">
      <w:pPr>
        <w:spacing w:after="120"/>
        <w:rPr>
          <w:rFonts w:ascii="Calibri" w:eastAsia="Calibri" w:hAnsi="Calibri" w:cs="Calibri"/>
          <w:b/>
          <w:color w:val="13576B"/>
          <w:sz w:val="22"/>
          <w:szCs w:val="28"/>
        </w:rPr>
      </w:pPr>
      <w:r>
        <w:rPr>
          <w:rFonts w:ascii="Calibri" w:eastAsia="Calibri" w:hAnsi="Calibri" w:cs="Calibri"/>
          <w:b/>
          <w:color w:val="13576B"/>
          <w:sz w:val="22"/>
          <w:szCs w:val="28"/>
        </w:rPr>
        <w:t xml:space="preserve">Solidní výhled na českou ekonomiku udržuje, ale netlumí </w:t>
      </w:r>
      <w:r w:rsidR="00DD759F" w:rsidRPr="00DD759F">
        <w:rPr>
          <w:rFonts w:ascii="Calibri" w:eastAsia="Calibri" w:hAnsi="Calibri" w:cs="Calibri"/>
          <w:b/>
          <w:color w:val="13576B"/>
          <w:sz w:val="22"/>
          <w:szCs w:val="28"/>
        </w:rPr>
        <w:t>regionální rozdíly</w:t>
      </w:r>
    </w:p>
    <w:p w14:paraId="5DAAEFA9" w14:textId="0AAEA336" w:rsidR="001202B4" w:rsidRDefault="009D1442" w:rsidP="001202B4">
      <w:pPr>
        <w:rPr>
          <w:rFonts w:ascii="Calibri" w:eastAsia="Calibri" w:hAnsi="Calibri" w:cs="Calibri"/>
          <w:bCs/>
          <w:color w:val="13576B"/>
          <w:sz w:val="20"/>
          <w:szCs w:val="24"/>
        </w:rPr>
      </w:pPr>
      <w:r>
        <w:rPr>
          <w:rFonts w:ascii="Calibri" w:eastAsia="Calibri" w:hAnsi="Calibri" w:cs="Calibri"/>
          <w:bCs/>
          <w:noProof/>
          <w:color w:val="13576B"/>
          <w:sz w:val="20"/>
          <w:szCs w:val="24"/>
        </w:rPr>
        <w:drawing>
          <wp:inline distT="0" distB="0" distL="0" distR="0" wp14:anchorId="7321493C" wp14:editId="6CF8AC30">
            <wp:extent cx="3115988" cy="2172803"/>
            <wp:effectExtent l="0" t="0" r="8255" b="0"/>
            <wp:docPr id="1136721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389" cy="2187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02B4">
        <w:rPr>
          <w:rFonts w:ascii="Calibri" w:eastAsia="Calibri" w:hAnsi="Calibri" w:cs="Calibri"/>
          <w:bCs/>
          <w:color w:val="13576B"/>
          <w:sz w:val="20"/>
          <w:szCs w:val="24"/>
        </w:rPr>
        <w:t xml:space="preserve"> </w:t>
      </w:r>
      <w:r>
        <w:rPr>
          <w:rFonts w:ascii="Calibri" w:eastAsia="Calibri" w:hAnsi="Calibri" w:cs="Calibri"/>
          <w:bCs/>
          <w:color w:val="13576B"/>
          <w:sz w:val="20"/>
          <w:szCs w:val="24"/>
        </w:rPr>
        <w:t xml:space="preserve">  </w:t>
      </w:r>
      <w:r w:rsidR="00E8515A">
        <w:rPr>
          <w:rFonts w:ascii="Calibri" w:eastAsia="Calibri" w:hAnsi="Calibri" w:cs="Calibri"/>
          <w:bCs/>
          <w:color w:val="13576B"/>
          <w:sz w:val="20"/>
          <w:szCs w:val="24"/>
        </w:rPr>
        <w:t xml:space="preserve">  </w:t>
      </w:r>
      <w:r w:rsidR="00E8515A">
        <w:rPr>
          <w:rFonts w:ascii="Calibri" w:eastAsia="Calibri" w:hAnsi="Calibri" w:cs="Calibri"/>
          <w:bCs/>
          <w:noProof/>
          <w:color w:val="13576B"/>
          <w:sz w:val="20"/>
          <w:szCs w:val="24"/>
        </w:rPr>
        <w:drawing>
          <wp:inline distT="0" distB="0" distL="0" distR="0" wp14:anchorId="5F18FDBD" wp14:editId="6E166A4B">
            <wp:extent cx="3086642" cy="2205355"/>
            <wp:effectExtent l="0" t="0" r="0" b="4445"/>
            <wp:docPr id="666898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45" cy="2214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EDE564" w14:textId="3644362E" w:rsidR="001E07DA" w:rsidRDefault="001202B4" w:rsidP="001202B4">
      <w:pPr>
        <w:spacing w:after="120"/>
        <w:rPr>
          <w:rFonts w:ascii="Calibri" w:hAnsi="Calibri" w:cs="Calibri"/>
          <w:bCs/>
          <w:color w:val="13576B"/>
          <w:szCs w:val="18"/>
        </w:rPr>
      </w:pPr>
      <w:r w:rsidRPr="00806391">
        <w:rPr>
          <w:rFonts w:ascii="Calibri" w:hAnsi="Calibri" w:cs="Calibri"/>
          <w:bCs/>
          <w:color w:val="13576B"/>
          <w:szCs w:val="18"/>
        </w:rPr>
        <w:t xml:space="preserve">Pramen: </w:t>
      </w:r>
      <w:proofErr w:type="spellStart"/>
      <w:r>
        <w:rPr>
          <w:rFonts w:ascii="Calibri" w:hAnsi="Calibri" w:cs="Calibri"/>
          <w:bCs/>
          <w:color w:val="13576B"/>
          <w:szCs w:val="18"/>
        </w:rPr>
        <w:t>Macrobond</w:t>
      </w:r>
      <w:proofErr w:type="spellEnd"/>
      <w:r w:rsidRPr="00806391">
        <w:rPr>
          <w:rFonts w:ascii="Calibri" w:hAnsi="Calibri" w:cs="Calibri"/>
          <w:bCs/>
          <w:color w:val="13576B"/>
          <w:szCs w:val="18"/>
        </w:rPr>
        <w:t xml:space="preserve">, </w:t>
      </w:r>
      <w:proofErr w:type="spellStart"/>
      <w:r w:rsidRPr="00806391">
        <w:rPr>
          <w:rFonts w:ascii="Calibri" w:hAnsi="Calibri" w:cs="Calibri"/>
          <w:bCs/>
          <w:color w:val="13576B"/>
          <w:szCs w:val="18"/>
        </w:rPr>
        <w:t>Consensus</w:t>
      </w:r>
      <w:proofErr w:type="spellEnd"/>
      <w:r w:rsidRPr="00806391">
        <w:rPr>
          <w:rFonts w:ascii="Calibri" w:hAnsi="Calibri" w:cs="Calibri"/>
          <w:bCs/>
          <w:color w:val="13576B"/>
          <w:szCs w:val="18"/>
        </w:rPr>
        <w:t xml:space="preserve"> </w:t>
      </w:r>
      <w:proofErr w:type="spellStart"/>
      <w:r w:rsidRPr="00806391">
        <w:rPr>
          <w:rFonts w:ascii="Calibri" w:hAnsi="Calibri" w:cs="Calibri"/>
          <w:bCs/>
          <w:color w:val="13576B"/>
          <w:szCs w:val="18"/>
        </w:rPr>
        <w:t>Economics</w:t>
      </w:r>
      <w:proofErr w:type="spellEnd"/>
      <w:r w:rsidRPr="00806391">
        <w:rPr>
          <w:rFonts w:ascii="Calibri" w:hAnsi="Calibri" w:cs="Calibri"/>
          <w:bCs/>
          <w:color w:val="13576B"/>
          <w:szCs w:val="18"/>
        </w:rPr>
        <w:t xml:space="preserve">, ČNB, Prognóza ČBA </w:t>
      </w:r>
      <w:r w:rsidRPr="00806391">
        <w:rPr>
          <w:rFonts w:ascii="Calibri" w:hAnsi="Calibri" w:cs="Calibri"/>
          <w:bCs/>
          <w:color w:val="13576B"/>
          <w:szCs w:val="18"/>
        </w:rPr>
        <w:tab/>
        <w:t xml:space="preserve">    Pramen: </w:t>
      </w:r>
      <w:proofErr w:type="spellStart"/>
      <w:r>
        <w:rPr>
          <w:rFonts w:ascii="Calibri" w:hAnsi="Calibri" w:cs="Calibri"/>
          <w:bCs/>
          <w:color w:val="13576B"/>
          <w:szCs w:val="18"/>
        </w:rPr>
        <w:t>Macrobond</w:t>
      </w:r>
      <w:proofErr w:type="spellEnd"/>
      <w:r w:rsidRPr="00806391">
        <w:rPr>
          <w:rFonts w:ascii="Calibri" w:hAnsi="Calibri" w:cs="Calibri"/>
          <w:bCs/>
          <w:color w:val="13576B"/>
          <w:szCs w:val="18"/>
        </w:rPr>
        <w:t xml:space="preserve">, </w:t>
      </w:r>
      <w:proofErr w:type="spellStart"/>
      <w:r w:rsidRPr="00806391">
        <w:rPr>
          <w:rFonts w:ascii="Calibri" w:hAnsi="Calibri" w:cs="Calibri"/>
          <w:bCs/>
          <w:color w:val="13576B"/>
          <w:szCs w:val="18"/>
        </w:rPr>
        <w:t>Consensus</w:t>
      </w:r>
      <w:proofErr w:type="spellEnd"/>
      <w:r w:rsidRPr="00806391">
        <w:rPr>
          <w:rFonts w:ascii="Calibri" w:hAnsi="Calibri" w:cs="Calibri"/>
          <w:bCs/>
          <w:color w:val="13576B"/>
          <w:szCs w:val="18"/>
        </w:rPr>
        <w:t xml:space="preserve"> </w:t>
      </w:r>
      <w:proofErr w:type="spellStart"/>
      <w:r w:rsidRPr="00806391">
        <w:rPr>
          <w:rFonts w:ascii="Calibri" w:hAnsi="Calibri" w:cs="Calibri"/>
          <w:bCs/>
          <w:color w:val="13576B"/>
          <w:szCs w:val="18"/>
        </w:rPr>
        <w:t>Economics</w:t>
      </w:r>
      <w:proofErr w:type="spellEnd"/>
      <w:r w:rsidRPr="00806391">
        <w:rPr>
          <w:rFonts w:ascii="Calibri" w:hAnsi="Calibri" w:cs="Calibri"/>
          <w:bCs/>
          <w:color w:val="13576B"/>
          <w:szCs w:val="18"/>
        </w:rPr>
        <w:t>, ČNB, Prognóza ČBA</w:t>
      </w:r>
    </w:p>
    <w:p w14:paraId="0530889D" w14:textId="77777777" w:rsidR="00E8515A" w:rsidRDefault="00E8515A" w:rsidP="00E8515A">
      <w:pPr>
        <w:spacing w:after="120"/>
        <w:rPr>
          <w:rFonts w:ascii="Calibri" w:eastAsia="Calibri" w:hAnsi="Calibri" w:cs="Calibri"/>
          <w:b/>
          <w:color w:val="EE0000"/>
          <w:sz w:val="22"/>
          <w:szCs w:val="28"/>
        </w:rPr>
      </w:pPr>
    </w:p>
    <w:p w14:paraId="60EDBECE" w14:textId="77777777" w:rsidR="00E87CEE" w:rsidRDefault="00E87CEE" w:rsidP="004C5920">
      <w:pPr>
        <w:rPr>
          <w:rFonts w:ascii="Calibri" w:eastAsia="Calibri" w:hAnsi="Calibri" w:cs="Calibri"/>
          <w:b/>
          <w:color w:val="13576B"/>
          <w:sz w:val="22"/>
          <w:szCs w:val="28"/>
        </w:rPr>
      </w:pPr>
    </w:p>
    <w:p w14:paraId="5BB2C8B7" w14:textId="77777777" w:rsidR="00E87CEE" w:rsidRDefault="00E87CEE" w:rsidP="004C5920">
      <w:pPr>
        <w:rPr>
          <w:rFonts w:ascii="Calibri" w:eastAsia="Calibri" w:hAnsi="Calibri" w:cs="Calibri"/>
          <w:b/>
          <w:color w:val="13576B"/>
          <w:sz w:val="22"/>
          <w:szCs w:val="28"/>
        </w:rPr>
      </w:pPr>
    </w:p>
    <w:p w14:paraId="27877893" w14:textId="77777777" w:rsidR="00E87CEE" w:rsidRDefault="00E87CEE" w:rsidP="004C5920">
      <w:pPr>
        <w:rPr>
          <w:rFonts w:ascii="Calibri" w:eastAsia="Calibri" w:hAnsi="Calibri" w:cs="Calibri"/>
          <w:b/>
          <w:color w:val="13576B"/>
          <w:sz w:val="22"/>
          <w:szCs w:val="28"/>
        </w:rPr>
      </w:pPr>
    </w:p>
    <w:p w14:paraId="388797EC" w14:textId="77777777" w:rsidR="00E87CEE" w:rsidRDefault="00E87CEE" w:rsidP="004C5920">
      <w:pPr>
        <w:rPr>
          <w:rFonts w:ascii="Calibri" w:eastAsia="Calibri" w:hAnsi="Calibri" w:cs="Calibri"/>
          <w:b/>
          <w:color w:val="13576B"/>
          <w:sz w:val="22"/>
          <w:szCs w:val="28"/>
        </w:rPr>
      </w:pPr>
    </w:p>
    <w:p w14:paraId="474EBF44" w14:textId="77777777" w:rsidR="00E87CEE" w:rsidRDefault="00E87CEE" w:rsidP="004C5920">
      <w:pPr>
        <w:rPr>
          <w:rFonts w:ascii="Calibri" w:eastAsia="Calibri" w:hAnsi="Calibri" w:cs="Calibri"/>
          <w:b/>
          <w:color w:val="13576B"/>
          <w:sz w:val="22"/>
          <w:szCs w:val="28"/>
        </w:rPr>
      </w:pPr>
    </w:p>
    <w:p w14:paraId="01292446" w14:textId="77777777" w:rsidR="00E87CEE" w:rsidRDefault="00E87CEE" w:rsidP="004C5920">
      <w:pPr>
        <w:rPr>
          <w:rFonts w:ascii="Calibri" w:eastAsia="Calibri" w:hAnsi="Calibri" w:cs="Calibri"/>
          <w:b/>
          <w:color w:val="13576B"/>
          <w:sz w:val="22"/>
          <w:szCs w:val="28"/>
        </w:rPr>
      </w:pPr>
    </w:p>
    <w:p w14:paraId="0692217F" w14:textId="77777777" w:rsidR="00E87CEE" w:rsidRDefault="00E87CEE" w:rsidP="004C5920">
      <w:pPr>
        <w:rPr>
          <w:rFonts w:ascii="Calibri" w:eastAsia="Calibri" w:hAnsi="Calibri" w:cs="Calibri"/>
          <w:b/>
          <w:color w:val="13576B"/>
          <w:sz w:val="22"/>
          <w:szCs w:val="28"/>
        </w:rPr>
      </w:pPr>
    </w:p>
    <w:p w14:paraId="54990B60" w14:textId="77777777" w:rsidR="00E87CEE" w:rsidRDefault="00E87CEE" w:rsidP="004C5920">
      <w:pPr>
        <w:rPr>
          <w:rFonts w:ascii="Calibri" w:eastAsia="Calibri" w:hAnsi="Calibri" w:cs="Calibri"/>
          <w:b/>
          <w:color w:val="13576B"/>
          <w:sz w:val="22"/>
          <w:szCs w:val="28"/>
        </w:rPr>
      </w:pPr>
    </w:p>
    <w:p w14:paraId="1F41A5FA" w14:textId="77777777" w:rsidR="00E87CEE" w:rsidRDefault="00E87CEE" w:rsidP="004C5920">
      <w:pPr>
        <w:rPr>
          <w:rFonts w:ascii="Calibri" w:eastAsia="Calibri" w:hAnsi="Calibri" w:cs="Calibri"/>
          <w:b/>
          <w:color w:val="13576B"/>
          <w:sz w:val="22"/>
          <w:szCs w:val="28"/>
        </w:rPr>
      </w:pPr>
    </w:p>
    <w:p w14:paraId="0F7DCF85" w14:textId="77777777" w:rsidR="00E87CEE" w:rsidRDefault="00E87CEE" w:rsidP="004C5920">
      <w:pPr>
        <w:rPr>
          <w:rFonts w:ascii="Calibri" w:eastAsia="Calibri" w:hAnsi="Calibri" w:cs="Calibri"/>
          <w:b/>
          <w:color w:val="13576B"/>
          <w:sz w:val="22"/>
          <w:szCs w:val="28"/>
        </w:rPr>
      </w:pPr>
    </w:p>
    <w:p w14:paraId="4B71F6D0" w14:textId="77777777" w:rsidR="00E87CEE" w:rsidRDefault="00E87CEE" w:rsidP="004C5920">
      <w:pPr>
        <w:rPr>
          <w:rFonts w:ascii="Calibri" w:eastAsia="Calibri" w:hAnsi="Calibri" w:cs="Calibri"/>
          <w:b/>
          <w:color w:val="13576B"/>
          <w:sz w:val="22"/>
          <w:szCs w:val="28"/>
        </w:rPr>
      </w:pPr>
    </w:p>
    <w:p w14:paraId="74453227" w14:textId="688EDAEF" w:rsidR="004C5920" w:rsidRPr="001E07DA" w:rsidRDefault="004C5920" w:rsidP="004C5920">
      <w:pPr>
        <w:rPr>
          <w:rFonts w:ascii="Calibri" w:eastAsia="Calibri" w:hAnsi="Calibri" w:cs="Calibri"/>
          <w:b/>
          <w:color w:val="13576B"/>
          <w:sz w:val="22"/>
          <w:szCs w:val="28"/>
        </w:rPr>
      </w:pPr>
      <w:r w:rsidRPr="001E07DA">
        <w:rPr>
          <w:rFonts w:ascii="Calibri" w:eastAsia="Calibri" w:hAnsi="Calibri" w:cs="Calibri"/>
          <w:b/>
          <w:color w:val="13576B"/>
          <w:sz w:val="22"/>
          <w:szCs w:val="28"/>
        </w:rPr>
        <w:lastRenderedPageBreak/>
        <w:t xml:space="preserve">Výhled české </w:t>
      </w:r>
      <w:r w:rsidRPr="007022D5">
        <w:rPr>
          <w:rFonts w:ascii="Calibri" w:eastAsia="Calibri" w:hAnsi="Calibri" w:cs="Calibri"/>
          <w:b/>
          <w:color w:val="13576B"/>
          <w:sz w:val="22"/>
          <w:szCs w:val="28"/>
        </w:rPr>
        <w:t>ekonomiky v grafech</w:t>
      </w:r>
      <w:r>
        <w:rPr>
          <w:rFonts w:ascii="Calibri" w:eastAsia="Calibri" w:hAnsi="Calibri" w:cs="Calibri"/>
          <w:b/>
          <w:color w:val="EE0000"/>
          <w:sz w:val="22"/>
          <w:szCs w:val="28"/>
        </w:rPr>
        <w:t xml:space="preserve"> </w:t>
      </w:r>
    </w:p>
    <w:p w14:paraId="1DA1F1D0" w14:textId="19B7C0E5" w:rsidR="004C5920" w:rsidRDefault="00B1407E" w:rsidP="004C5920">
      <w:pPr>
        <w:rPr>
          <w:noProof/>
        </w:rPr>
      </w:pPr>
      <w:r w:rsidRPr="00B1407E">
        <w:rPr>
          <w:noProof/>
        </w:rPr>
        <w:drawing>
          <wp:inline distT="0" distB="0" distL="0" distR="0" wp14:anchorId="161B897E" wp14:editId="06F22452">
            <wp:extent cx="3054057" cy="2051701"/>
            <wp:effectExtent l="0" t="0" r="0" b="5715"/>
            <wp:docPr id="5206621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116" cy="207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5920">
        <w:rPr>
          <w:noProof/>
        </w:rPr>
        <w:t xml:space="preserve"> </w:t>
      </w:r>
      <w:r w:rsidR="002B4AC3">
        <w:rPr>
          <w:noProof/>
        </w:rPr>
        <w:t xml:space="preserve">  </w:t>
      </w:r>
      <w:r w:rsidR="004C5920">
        <w:rPr>
          <w:noProof/>
        </w:rPr>
        <w:t xml:space="preserve">  </w:t>
      </w:r>
      <w:r w:rsidR="00062466" w:rsidRPr="00A80A99">
        <w:rPr>
          <w:noProof/>
        </w:rPr>
        <w:drawing>
          <wp:inline distT="0" distB="0" distL="0" distR="0" wp14:anchorId="396FBE00" wp14:editId="06C1CCB0">
            <wp:extent cx="3096883" cy="1985733"/>
            <wp:effectExtent l="0" t="0" r="8890" b="0"/>
            <wp:docPr id="834138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52" cy="198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684EA" w14:textId="5FF1162B" w:rsidR="004C5920" w:rsidRDefault="004C5920" w:rsidP="002B4AC3">
      <w:pPr>
        <w:jc w:val="left"/>
        <w:rPr>
          <w:noProof/>
        </w:rPr>
      </w:pPr>
      <w:r>
        <w:t xml:space="preserve"> </w:t>
      </w:r>
      <w:r w:rsidR="008B035D" w:rsidRPr="008B035D">
        <w:rPr>
          <w:noProof/>
        </w:rPr>
        <w:drawing>
          <wp:inline distT="0" distB="0" distL="0" distR="0" wp14:anchorId="0428BB5A" wp14:editId="4F122AD4">
            <wp:extent cx="3105150" cy="1970997"/>
            <wp:effectExtent l="0" t="0" r="0" b="0"/>
            <wp:docPr id="149224472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147" cy="198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8B035D" w:rsidRPr="008B035D">
        <w:rPr>
          <w:noProof/>
        </w:rPr>
        <w:drawing>
          <wp:inline distT="0" distB="0" distL="0" distR="0" wp14:anchorId="5A1AB067" wp14:editId="1AB9C0F9">
            <wp:extent cx="3251795" cy="1974850"/>
            <wp:effectExtent l="0" t="0" r="6350" b="6350"/>
            <wp:docPr id="110122256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597" cy="198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2B4AC3">
        <w:rPr>
          <w:noProof/>
        </w:rPr>
        <w:t xml:space="preserve">   </w:t>
      </w:r>
      <w:r w:rsidR="00062466" w:rsidRPr="00A80A99">
        <w:rPr>
          <w:noProof/>
        </w:rPr>
        <w:drawing>
          <wp:inline distT="0" distB="0" distL="0" distR="0" wp14:anchorId="11E93AF7" wp14:editId="4E52A593">
            <wp:extent cx="3053715" cy="2007535"/>
            <wp:effectExtent l="0" t="0" r="0" b="0"/>
            <wp:docPr id="19285376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573" cy="201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466">
        <w:rPr>
          <w:noProof/>
        </w:rPr>
        <w:t xml:space="preserve">     </w:t>
      </w:r>
      <w:r w:rsidR="00B1407E" w:rsidRPr="00B1407E">
        <w:rPr>
          <w:noProof/>
        </w:rPr>
        <w:drawing>
          <wp:inline distT="0" distB="0" distL="0" distR="0" wp14:anchorId="6AE355C2" wp14:editId="513D4D67">
            <wp:extent cx="3053743" cy="2061366"/>
            <wp:effectExtent l="0" t="0" r="0" b="0"/>
            <wp:docPr id="114622129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578" cy="207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A166C" w14:textId="224ED72D" w:rsidR="004C5920" w:rsidRPr="00293952" w:rsidRDefault="004C5920" w:rsidP="004C5920">
      <w:pPr>
        <w:rPr>
          <w:noProof/>
        </w:rPr>
      </w:pPr>
      <w:r>
        <w:lastRenderedPageBreak/>
        <w:t xml:space="preserve"> </w:t>
      </w:r>
      <w:r w:rsidRPr="007B27C0">
        <w:rPr>
          <w:noProof/>
        </w:rPr>
        <w:t xml:space="preserve"> </w:t>
      </w:r>
      <w:r w:rsidR="00B1407E" w:rsidRPr="00B1407E">
        <w:rPr>
          <w:noProof/>
        </w:rPr>
        <w:drawing>
          <wp:inline distT="0" distB="0" distL="0" distR="0" wp14:anchorId="17E44F10" wp14:editId="26D1E626">
            <wp:extent cx="3186017" cy="1997612"/>
            <wp:effectExtent l="0" t="0" r="0" b="3175"/>
            <wp:docPr id="124329110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749" cy="200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07E" w:rsidRPr="00B1407E">
        <w:rPr>
          <w:noProof/>
        </w:rPr>
        <w:drawing>
          <wp:inline distT="0" distB="0" distL="0" distR="0" wp14:anchorId="6F963D09" wp14:editId="2DEDC0A0">
            <wp:extent cx="3144129" cy="2043637"/>
            <wp:effectExtent l="0" t="0" r="0" b="0"/>
            <wp:docPr id="10540973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391" cy="205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61AE5" w14:textId="6BA3C3DA" w:rsidR="004C5920" w:rsidRDefault="00806391" w:rsidP="00806391">
      <w:pPr>
        <w:spacing w:after="120"/>
        <w:rPr>
          <w:rFonts w:ascii="Calibri" w:hAnsi="Calibri" w:cs="Calibri"/>
          <w:bCs/>
          <w:color w:val="13576B"/>
          <w:szCs w:val="18"/>
        </w:rPr>
      </w:pPr>
      <w:r w:rsidRPr="00806391">
        <w:rPr>
          <w:rFonts w:ascii="Calibri" w:hAnsi="Calibri" w:cs="Calibri"/>
          <w:bCs/>
          <w:color w:val="13576B"/>
          <w:szCs w:val="18"/>
        </w:rPr>
        <w:t xml:space="preserve">Pramen: </w:t>
      </w:r>
      <w:r w:rsidR="000D2DCD" w:rsidRPr="00806391">
        <w:rPr>
          <w:rFonts w:ascii="Calibri" w:hAnsi="Calibri" w:cs="Calibri"/>
          <w:bCs/>
          <w:color w:val="13576B"/>
          <w:szCs w:val="18"/>
        </w:rPr>
        <w:t>Prognóza ČBA</w:t>
      </w:r>
      <w:r w:rsidR="000D2DCD">
        <w:rPr>
          <w:rFonts w:ascii="Calibri" w:hAnsi="Calibri" w:cs="Calibri"/>
          <w:bCs/>
          <w:color w:val="13576B"/>
          <w:szCs w:val="18"/>
        </w:rPr>
        <w:t xml:space="preserve">, </w:t>
      </w:r>
      <w:r w:rsidRPr="00806391">
        <w:rPr>
          <w:rFonts w:ascii="Calibri" w:hAnsi="Calibri" w:cs="Calibri"/>
          <w:bCs/>
          <w:color w:val="13576B"/>
          <w:szCs w:val="18"/>
        </w:rPr>
        <w:t xml:space="preserve">ČSÚ, ČNB, Úřad práce, </w:t>
      </w:r>
      <w:proofErr w:type="spellStart"/>
      <w:r w:rsidR="007022D5">
        <w:rPr>
          <w:rFonts w:ascii="Calibri" w:hAnsi="Calibri" w:cs="Calibri"/>
          <w:bCs/>
          <w:color w:val="13576B"/>
          <w:szCs w:val="18"/>
        </w:rPr>
        <w:t>Macrobond</w:t>
      </w:r>
      <w:proofErr w:type="spellEnd"/>
    </w:p>
    <w:p w14:paraId="55BD7BA9" w14:textId="77777777" w:rsidR="004C5920" w:rsidRDefault="004C5920" w:rsidP="00806391">
      <w:pPr>
        <w:spacing w:after="120"/>
        <w:rPr>
          <w:rFonts w:ascii="Calibri" w:hAnsi="Calibri" w:cs="Calibri"/>
          <w:bCs/>
          <w:color w:val="13576B"/>
          <w:szCs w:val="18"/>
        </w:rPr>
      </w:pPr>
    </w:p>
    <w:p w14:paraId="5C22C826" w14:textId="4CFE7661" w:rsidR="002B4AC3" w:rsidRDefault="002B4AC3" w:rsidP="002B4AC3">
      <w:pPr>
        <w:spacing w:after="120"/>
        <w:rPr>
          <w:rFonts w:ascii="Calibri" w:hAnsi="Calibri" w:cs="Calibri"/>
          <w:bCs/>
          <w:color w:val="13576B"/>
          <w:szCs w:val="18"/>
        </w:rPr>
      </w:pPr>
    </w:p>
    <w:p w14:paraId="0EBE9589" w14:textId="77777777" w:rsidR="007575D7" w:rsidRDefault="007575D7" w:rsidP="00806391">
      <w:pPr>
        <w:spacing w:after="120"/>
        <w:rPr>
          <w:rFonts w:ascii="Calibri" w:hAnsi="Calibri" w:cs="Calibri"/>
          <w:bCs/>
          <w:color w:val="13576B"/>
          <w:szCs w:val="18"/>
        </w:rPr>
      </w:pPr>
    </w:p>
    <w:p w14:paraId="56080FAA" w14:textId="77777777" w:rsidR="004C5920" w:rsidRPr="00806391" w:rsidRDefault="004C5920" w:rsidP="00806391">
      <w:pPr>
        <w:spacing w:after="120"/>
        <w:rPr>
          <w:rFonts w:ascii="Calibri" w:hAnsi="Calibri" w:cs="Calibri"/>
          <w:bCs/>
          <w:color w:val="13576B"/>
          <w:szCs w:val="18"/>
        </w:rPr>
      </w:pPr>
    </w:p>
    <w:p w14:paraId="17CF7A7C" w14:textId="3625EAC7" w:rsidR="005547BF" w:rsidRDefault="003161ED" w:rsidP="00B4285D">
      <w:pPr>
        <w:rPr>
          <w:rFonts w:ascii="Calibri" w:eastAsiaTheme="minorEastAsia" w:hAnsi="Calibri" w:cs="Calibri"/>
        </w:rPr>
      </w:pPr>
      <w:r w:rsidRPr="00C9674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1" locked="0" layoutInCell="1" hidden="0" allowOverlap="1" wp14:anchorId="3801A402" wp14:editId="06FB1357">
                <wp:simplePos x="0" y="0"/>
                <wp:positionH relativeFrom="margin">
                  <wp:align>right</wp:align>
                </wp:positionH>
                <wp:positionV relativeFrom="paragraph">
                  <wp:posOffset>16378</wp:posOffset>
                </wp:positionV>
                <wp:extent cx="6476365" cy="1168842"/>
                <wp:effectExtent l="0" t="0" r="635" b="127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365" cy="11688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313D1E" w14:textId="77777777" w:rsidR="00F37DC9" w:rsidRPr="0073410F" w:rsidRDefault="00F37DC9" w:rsidP="00F37DC9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</w:pPr>
                            <w:bookmarkStart w:id="3" w:name="_Hlk190863040"/>
                            <w:r w:rsidRPr="0073410F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  <w:t xml:space="preserve">O prognóze ČBA </w:t>
                            </w:r>
                          </w:p>
                          <w:p w14:paraId="77C1A42D" w14:textId="75A6018B" w:rsidR="00F37DC9" w:rsidRPr="00A55BDD" w:rsidRDefault="00EE7B05" w:rsidP="00DF20C8">
                            <w:pPr>
                              <w:spacing w:line="276" w:lineRule="auto"/>
                              <w:ind w:left="28" w:hanging="28"/>
                              <w:rPr>
                                <w:sz w:val="16"/>
                                <w:szCs w:val="16"/>
                              </w:rPr>
                            </w:pP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Tato prognóza vznikla na základě příspěvků analytiků </w:t>
                            </w:r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10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členských bank ČBA: </w:t>
                            </w:r>
                            <w:bookmarkEnd w:id="3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Petr Dufek (hlavní ekonom, Banka CREDITAS), Jan Bureš (hlavní ekonom</w:t>
                            </w:r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ČSOB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), Petr </w:t>
                            </w:r>
                            <w:proofErr w:type="spellStart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Gapko</w:t>
                            </w:r>
                            <w:proofErr w:type="spellEnd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(hlavní ekonom, MONETA Bank), </w:t>
                            </w:r>
                            <w:r w:rsidR="005736B5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David Havrlant (hlavní ekonom ING)</w:t>
                            </w:r>
                            <w:r w:rsidR="005736B5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, 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Helena Horská a Martin Kron (ekonomický výzkum Raiffeisenbank), </w:t>
                            </w:r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Martin Motl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(hlavní ekonom Citibank), </w:t>
                            </w:r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Adam </w:t>
                            </w:r>
                            <w:proofErr w:type="spellStart"/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Ruschka</w:t>
                            </w:r>
                            <w:proofErr w:type="spellEnd"/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(ekonom J&amp;T banky), 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Michal Skořepa </w:t>
                            </w:r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a Jiří Polanský 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(makroekonomi</w:t>
                            </w:r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čtí 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analyti</w:t>
                            </w:r>
                            <w:r w:rsidR="00453B4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ci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České spořitelny), Pavel Sobíšek (hlavní ekonom, UniCredit Bank) a Jan </w:t>
                            </w:r>
                            <w:proofErr w:type="spellStart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Vejmělek</w:t>
                            </w:r>
                            <w:proofErr w:type="spellEnd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a Martin </w:t>
                            </w:r>
                            <w:proofErr w:type="spellStart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Gürtler</w:t>
                            </w:r>
                            <w:proofErr w:type="spellEnd"/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(ekonomický výzkum Komerční banky</w:t>
                            </w:r>
                            <w:r w:rsidR="005736B5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)</w:t>
                            </w:r>
                            <w:r w:rsidR="00DF20C8" w:rsidRPr="00DF20C8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 Za ČBA se na tvorbě prognózy podílel její hlavní ekonom Jaromír Šindel.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1A402" id="Obdélník 4" o:spid="_x0000_s1028" style="position:absolute;left:0;text-align:left;margin-left:458.75pt;margin-top:1.3pt;width:509.95pt;height:92.0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" fillcolor="#bfbfbf [2412]" stroked="f" strokeweight="1pt">
                <v:textbox inset="3mm,3mm,3mm,3mm">
                  <w:txbxContent>
                    <w:p w14:paraId="7E313D1E" w14:textId="77777777" w:rsidR="00F37DC9" w:rsidRPr="0073410F" w:rsidRDefault="00F37DC9" w:rsidP="00F37DC9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</w:pPr>
                      <w:bookmarkStart w:id="4" w:name="_Hlk190863040"/>
                      <w:r w:rsidRPr="0073410F"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  <w:t xml:space="preserve">O prognóze ČBA </w:t>
                      </w:r>
                    </w:p>
                    <w:p w14:paraId="77C1A42D" w14:textId="75A6018B" w:rsidR="00F37DC9" w:rsidRPr="00A55BDD" w:rsidRDefault="00EE7B05" w:rsidP="00DF20C8">
                      <w:pPr>
                        <w:spacing w:line="276" w:lineRule="auto"/>
                        <w:ind w:left="28" w:hanging="28"/>
                        <w:rPr>
                          <w:sz w:val="16"/>
                          <w:szCs w:val="16"/>
                        </w:rPr>
                      </w:pP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Tato prognóza vznikla na základě příspěvků analytiků </w:t>
                      </w:r>
                      <w:r w:rsidR="00453B4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10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členských bank ČBA: </w:t>
                      </w:r>
                      <w:bookmarkEnd w:id="4"/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Petr Dufek (hlavní ekonom, Banka CREDITAS), Jan Bureš (hlavní ekonom</w:t>
                      </w:r>
                      <w:r w:rsidR="00453B4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ČSOB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), Petr Gapko (hlavní ekonom, MONETA Bank), </w:t>
                      </w:r>
                      <w:r w:rsidR="005736B5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David Havrlant (hlavní ekonom ING)</w:t>
                      </w:r>
                      <w:r w:rsidR="005736B5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, 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Helena Horská a Martin Kron (ekonomický výzkum Raiffeisenbank), </w:t>
                      </w:r>
                      <w:r w:rsidR="00453B4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Martin Motl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(hlavní ekonom Citibank), </w:t>
                      </w:r>
                      <w:r w:rsidR="00453B4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Adam Ruschka (ekonom J&amp;T banky), 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Michal Skořepa </w:t>
                      </w:r>
                      <w:r w:rsidR="00453B4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a Jiří Polanský 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(makroekonomi</w:t>
                      </w:r>
                      <w:r w:rsidR="00453B4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čtí 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analyti</w:t>
                      </w:r>
                      <w:r w:rsidR="00453B4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ci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České spořitelny), Pavel Sobíšek (hlavní ekonom, UniCredit Bank) a Jan Vejmělek a Martin Gürtler (ekonomický výzkum Komerční banky</w:t>
                      </w:r>
                      <w:r w:rsidR="005736B5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)</w:t>
                      </w:r>
                      <w:r w:rsidR="00DF20C8" w:rsidRPr="00DF20C8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 Za ČBA se na tvorbě prognózy podílel její hlavní ekonom Jaromír Šindel.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70CAB7" w14:textId="77777777" w:rsidR="005547BF" w:rsidRDefault="005547BF" w:rsidP="00B4285D">
      <w:pPr>
        <w:rPr>
          <w:rFonts w:ascii="Calibri" w:eastAsiaTheme="minorEastAsia" w:hAnsi="Calibri" w:cs="Calibri"/>
        </w:rPr>
      </w:pPr>
    </w:p>
    <w:p w14:paraId="6DB62AD1" w14:textId="5086AED3" w:rsidR="001642C0" w:rsidRDefault="001642C0" w:rsidP="00B4285D">
      <w:pPr>
        <w:rPr>
          <w:rFonts w:ascii="Calibri" w:eastAsiaTheme="minorEastAsia" w:hAnsi="Calibri" w:cs="Calibri"/>
        </w:rPr>
      </w:pPr>
    </w:p>
    <w:p w14:paraId="52E6141C" w14:textId="16E75886" w:rsidR="00F37DC9" w:rsidRDefault="00F37DC9" w:rsidP="00B4285D">
      <w:pPr>
        <w:rPr>
          <w:rFonts w:ascii="Calibri" w:eastAsiaTheme="minorEastAsia" w:hAnsi="Calibri" w:cs="Calibri"/>
        </w:rPr>
      </w:pPr>
    </w:p>
    <w:p w14:paraId="59DD5F85" w14:textId="14AD5D2F" w:rsidR="00F37DC9" w:rsidRDefault="00F37DC9" w:rsidP="00B4285D">
      <w:pPr>
        <w:rPr>
          <w:rFonts w:ascii="Calibri" w:eastAsiaTheme="minorEastAsia" w:hAnsi="Calibri" w:cs="Calibri"/>
        </w:rPr>
      </w:pPr>
    </w:p>
    <w:p w14:paraId="333F07F6" w14:textId="217C26C9" w:rsidR="00F37DC9" w:rsidRDefault="00F37DC9" w:rsidP="00B4285D">
      <w:pPr>
        <w:rPr>
          <w:rFonts w:ascii="Calibri" w:eastAsiaTheme="minorEastAsia" w:hAnsi="Calibri" w:cs="Calibri"/>
        </w:rPr>
      </w:pPr>
    </w:p>
    <w:p w14:paraId="5ACD7EBC" w14:textId="267566DC" w:rsidR="00F37DC9" w:rsidRDefault="00F37DC9" w:rsidP="00272A8E">
      <w:pPr>
        <w:tabs>
          <w:tab w:val="left" w:pos="2532"/>
        </w:tabs>
        <w:rPr>
          <w:rFonts w:ascii="Calibri" w:eastAsiaTheme="minorEastAsia" w:hAnsi="Calibri" w:cs="Calibri"/>
        </w:rPr>
      </w:pPr>
    </w:p>
    <w:p w14:paraId="1EE8715A" w14:textId="77777777" w:rsidR="002F2215" w:rsidRDefault="002F2215" w:rsidP="00B4285D">
      <w:pPr>
        <w:rPr>
          <w:rFonts w:ascii="Calibri" w:eastAsiaTheme="minorEastAsia" w:hAnsi="Calibri" w:cs="Calibri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6817"/>
        <w:gridCol w:w="3384"/>
      </w:tblGrid>
      <w:tr w:rsidR="0073410F" w:rsidRPr="00635D8B" w14:paraId="2BB4B9D8" w14:textId="77777777" w:rsidTr="001726CC">
        <w:trPr>
          <w:trHeight w:val="1364"/>
        </w:trPr>
        <w:tc>
          <w:tcPr>
            <w:tcW w:w="6817" w:type="dxa"/>
            <w:shd w:val="clear" w:color="auto" w:fill="13576B"/>
          </w:tcPr>
          <w:p w14:paraId="32CA9EB7" w14:textId="77777777" w:rsidR="0073410F" w:rsidRDefault="0073410F" w:rsidP="001726CC">
            <w:pPr>
              <w:pStyle w:val="CBANadpisvTABULCE"/>
              <w:jc w:val="both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color w:val="FFFFFF"/>
                <w:szCs w:val="18"/>
              </w:rPr>
              <w:t>O České bankovní asociaci</w:t>
            </w:r>
          </w:p>
          <w:p w14:paraId="22379D56" w14:textId="04C81A1E" w:rsidR="0073410F" w:rsidRDefault="0073410F" w:rsidP="001726CC">
            <w:pPr>
              <w:rPr>
                <w:rFonts w:ascii="Calibri" w:hAnsi="Calibri"/>
                <w:color w:val="FFFFFF"/>
                <w:sz w:val="22"/>
              </w:rPr>
            </w:pPr>
            <w:bookmarkStart w:id="4" w:name="_Hlk128734138"/>
            <w:r>
              <w:rPr>
                <w:color w:val="FFFFFF"/>
              </w:rPr>
              <w:t>Česká bankovní asociace (ČBA) je dobrovolné sdružení 3</w:t>
            </w:r>
            <w:r w:rsidR="00D83FCD">
              <w:rPr>
                <w:color w:val="FFFFFF"/>
              </w:rPr>
              <w:t>4</w:t>
            </w:r>
            <w:r>
              <w:rPr>
                <w:color w:val="FFFFFF"/>
              </w:rPr>
              <w:t xml:space="preserve"> bank působících v České republice a reprezentuje tak 99 % trhu. Již 30 let podporuje nejen rozvoj bankovního sektoru, ale i celé ekonomiky a všeobecné finanční gramotnosti. ČBA je členem Evropské bankovní federace (EBF).</w:t>
            </w:r>
          </w:p>
          <w:bookmarkEnd w:id="4"/>
          <w:p w14:paraId="4A9BB153" w14:textId="77777777" w:rsidR="0073410F" w:rsidRDefault="0073410F" w:rsidP="001726CC">
            <w:pPr>
              <w:pStyle w:val="CBAodstavecvTABULCE"/>
              <w:jc w:val="both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color w:val="FFFFFF"/>
                <w:szCs w:val="18"/>
              </w:rPr>
              <w:t xml:space="preserve">Více informací na </w:t>
            </w:r>
            <w:r>
              <w:rPr>
                <w:rFonts w:ascii="IBM Plex Sans" w:hAnsi="IBM Plex Sans" w:cs="Poppins"/>
                <w:color w:val="FFFFFF"/>
                <w:szCs w:val="18"/>
                <w:u w:val="single"/>
              </w:rPr>
              <w:t>www.cbaonline.cz.</w:t>
            </w:r>
            <w:r>
              <w:rPr>
                <w:rFonts w:ascii="IBM Plex Sans" w:hAnsi="IBM Plex Sans" w:cs="Poppins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51EEA920" w14:textId="77777777" w:rsidR="0073410F" w:rsidRDefault="0073410F" w:rsidP="001726CC">
            <w:pPr>
              <w:pStyle w:val="CBAodstavecvTABULCE"/>
              <w:rPr>
                <w:rFonts w:ascii="IBM Plex Sans" w:hAnsi="IBM Plex Sans" w:cs="Poppins"/>
                <w:b/>
                <w:bCs/>
                <w:color w:val="FFFFFF"/>
                <w:szCs w:val="18"/>
              </w:rPr>
            </w:pPr>
            <w:r>
              <w:rPr>
                <w:rFonts w:ascii="IBM Plex Sans" w:hAnsi="IBM Plex Sans" w:cs="Poppins"/>
                <w:b/>
                <w:bCs/>
                <w:color w:val="FFFFFF"/>
                <w:szCs w:val="18"/>
              </w:rPr>
              <w:t xml:space="preserve">                Dotazy posílejte na</w:t>
            </w:r>
          </w:p>
          <w:p w14:paraId="4BDB00A6" w14:textId="77777777" w:rsidR="0073410F" w:rsidRDefault="0073410F" w:rsidP="001726CC">
            <w:pPr>
              <w:pStyle w:val="CBAodstavecvTABULCE"/>
              <w:jc w:val="center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b/>
                <w:bCs/>
                <w:color w:val="FFFFFF"/>
                <w:szCs w:val="18"/>
              </w:rPr>
              <w:t>radek.salsa@cbaonline.cz</w:t>
            </w:r>
          </w:p>
        </w:tc>
      </w:tr>
    </w:tbl>
    <w:p w14:paraId="1AE6FC8E" w14:textId="01CA802E" w:rsidR="005C1943" w:rsidRPr="00F37DC9" w:rsidRDefault="005C1943" w:rsidP="0063005B">
      <w:pPr>
        <w:rPr>
          <w:rFonts w:ascii="Calibri" w:eastAsiaTheme="minorEastAsia" w:hAnsi="Calibri" w:cs="Calibri"/>
        </w:rPr>
      </w:pPr>
    </w:p>
    <w:sectPr w:rsidR="005C1943" w:rsidRPr="00F37DC9" w:rsidSect="00524989">
      <w:headerReference w:type="default" r:id="rId25"/>
      <w:footerReference w:type="default" r:id="rId26"/>
      <w:pgSz w:w="11906" w:h="16838"/>
      <w:pgMar w:top="2552" w:right="851" w:bottom="1418" w:left="85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D8F2A" w14:textId="77777777" w:rsidR="00271B79" w:rsidRDefault="00271B79" w:rsidP="00F573F1">
      <w:r>
        <w:separator/>
      </w:r>
    </w:p>
  </w:endnote>
  <w:endnote w:type="continuationSeparator" w:id="0">
    <w:p w14:paraId="409F979C" w14:textId="77777777" w:rsidR="00271B79" w:rsidRDefault="00271B79" w:rsidP="00F573F1">
      <w:r>
        <w:continuationSeparator/>
      </w:r>
    </w:p>
  </w:endnote>
  <w:endnote w:type="continuationNotice" w:id="1">
    <w:p w14:paraId="11A54925" w14:textId="77777777" w:rsidR="00271B79" w:rsidRDefault="00271B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Cs w:val="18"/>
      </w:rPr>
      <w:id w:val="1149944182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54F1F5" w14:textId="19327CD8" w:rsidR="00F37DC9" w:rsidRPr="00F37DC9" w:rsidRDefault="00F37DC9">
            <w:pPr>
              <w:pStyle w:val="Zpat"/>
              <w:jc w:val="right"/>
              <w:rPr>
                <w:rFonts w:ascii="Calibri" w:hAnsi="Calibri" w:cs="Calibri"/>
                <w:szCs w:val="18"/>
              </w:rPr>
            </w:pPr>
            <w:r w:rsidRPr="001E31AB">
              <w:rPr>
                <w:rFonts w:ascii="Calibri" w:hAnsi="Calibri"/>
                <w:noProof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40EC3339" wp14:editId="625B1AC4">
                  <wp:simplePos x="0" y="0"/>
                  <wp:positionH relativeFrom="column">
                    <wp:posOffset>-541020</wp:posOffset>
                  </wp:positionH>
                  <wp:positionV relativeFrom="paragraph">
                    <wp:posOffset>-137160</wp:posOffset>
                  </wp:positionV>
                  <wp:extent cx="3042285" cy="701040"/>
                  <wp:effectExtent l="0" t="0" r="5715" b="0"/>
                  <wp:wrapNone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7DC9">
              <w:rPr>
                <w:rFonts w:ascii="Calibri" w:hAnsi="Calibri" w:cs="Calibri"/>
                <w:szCs w:val="18"/>
              </w:rPr>
              <w:t xml:space="preserve">Stránka 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begin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instrText>PAGE</w:instrTex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t>2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r w:rsidRPr="00F37DC9">
              <w:rPr>
                <w:rFonts w:ascii="Calibri" w:hAnsi="Calibri" w:cs="Calibri"/>
                <w:szCs w:val="18"/>
              </w:rPr>
              <w:t xml:space="preserve"> z 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begin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instrText>NUMPAGES</w:instrTex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t>2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6B2FBE8E" w14:textId="77777777" w:rsidR="00536B9B" w:rsidRPr="00FB4A1C" w:rsidRDefault="00536B9B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B3119" w14:textId="77777777" w:rsidR="00271B79" w:rsidRDefault="00271B79" w:rsidP="00F573F1">
      <w:r>
        <w:separator/>
      </w:r>
    </w:p>
  </w:footnote>
  <w:footnote w:type="continuationSeparator" w:id="0">
    <w:p w14:paraId="367E26E0" w14:textId="77777777" w:rsidR="00271B79" w:rsidRDefault="00271B79" w:rsidP="00F573F1">
      <w:r>
        <w:continuationSeparator/>
      </w:r>
    </w:p>
  </w:footnote>
  <w:footnote w:type="continuationNotice" w:id="1">
    <w:p w14:paraId="203EEF13" w14:textId="77777777" w:rsidR="00271B79" w:rsidRDefault="00271B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D6A72" w14:textId="2B5E0211" w:rsidR="00F37DC9" w:rsidRDefault="00F37DC9" w:rsidP="00F37DC9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F98975" wp14:editId="270559D0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BA7D056" wp14:editId="7FF03F24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17EE12" w14:textId="542B96B9" w:rsidR="00F37DC9" w:rsidRDefault="00F37DC9">
    <w:pPr>
      <w:pStyle w:val="Zhlav"/>
    </w:pPr>
    <w:r w:rsidRPr="00F615BD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5CB3763" wp14:editId="3EAEA50B">
              <wp:simplePos x="0" y="0"/>
              <wp:positionH relativeFrom="margin">
                <wp:posOffset>5289974</wp:posOffset>
              </wp:positionH>
              <wp:positionV relativeFrom="paragraph">
                <wp:posOffset>6985</wp:posOffset>
              </wp:positionV>
              <wp:extent cx="1239520" cy="1404620"/>
              <wp:effectExtent l="0" t="0" r="0" b="0"/>
              <wp:wrapNone/>
              <wp:docPr id="20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D1CFE" w14:textId="77777777" w:rsidR="00F37DC9" w:rsidRPr="00F37DC9" w:rsidRDefault="00F37DC9" w:rsidP="00F37DC9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</w:pPr>
                          <w:r w:rsidRPr="00F37DC9"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  <w:t xml:space="preserve">TISKOVÁ ZPRÁVA </w:t>
                          </w:r>
                        </w:p>
                        <w:p w14:paraId="5CDE064D" w14:textId="4615BE5B" w:rsidR="00F37DC9" w:rsidRPr="00F37DC9" w:rsidRDefault="00DB104D" w:rsidP="00F37DC9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19</w:t>
                          </w:r>
                          <w:r w:rsidR="00F37DC9" w:rsidRPr="00F37DC9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 xml:space="preserve">. </w:t>
                          </w:r>
                          <w:r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8</w:t>
                          </w:r>
                          <w:r w:rsidR="00F37DC9" w:rsidRPr="00F37DC9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. 202</w:t>
                          </w:r>
                          <w:r w:rsidR="000F64C9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CB376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9" type="#_x0000_t202" style="position:absolute;left:0;text-align:left;margin-left:416.55pt;margin-top:.55pt;width:97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" filled="f" stroked="f">
              <v:textbox style="mso-fit-shape-to-text:t">
                <w:txbxContent>
                  <w:p w14:paraId="49CD1CFE" w14:textId="77777777" w:rsidR="00F37DC9" w:rsidRPr="00F37DC9" w:rsidRDefault="00F37DC9" w:rsidP="00F37DC9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</w:pPr>
                    <w:r w:rsidRPr="00F37DC9"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  <w:t xml:space="preserve">TISKOVÁ ZPRÁVA </w:t>
                    </w:r>
                  </w:p>
                  <w:p w14:paraId="5CDE064D" w14:textId="4615BE5B" w:rsidR="00F37DC9" w:rsidRPr="00F37DC9" w:rsidRDefault="00DB104D" w:rsidP="00F37DC9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19</w:t>
                    </w:r>
                    <w:r w:rsidR="00F37DC9" w:rsidRPr="00F37DC9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 xml:space="preserve">. </w:t>
                    </w:r>
                    <w:r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8</w:t>
                    </w:r>
                    <w:r w:rsidR="00F37DC9" w:rsidRPr="00F37DC9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. 202</w:t>
                    </w:r>
                    <w:r w:rsidR="000F64C9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8A7"/>
    <w:multiLevelType w:val="hybridMultilevel"/>
    <w:tmpl w:val="ADD42E08"/>
    <w:lvl w:ilvl="0" w:tplc="9B0CB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2C4DCE"/>
    <w:multiLevelType w:val="hybridMultilevel"/>
    <w:tmpl w:val="D4D47A08"/>
    <w:lvl w:ilvl="0" w:tplc="F062A1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86F60"/>
    <w:multiLevelType w:val="hybridMultilevel"/>
    <w:tmpl w:val="3232EEBE"/>
    <w:lvl w:ilvl="0" w:tplc="491E8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B2CEC"/>
    <w:multiLevelType w:val="hybridMultilevel"/>
    <w:tmpl w:val="FDB00238"/>
    <w:lvl w:ilvl="0" w:tplc="BD9EF86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57BCF"/>
    <w:multiLevelType w:val="hybridMultilevel"/>
    <w:tmpl w:val="3554269C"/>
    <w:lvl w:ilvl="0" w:tplc="F52C1D16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F41FF"/>
    <w:multiLevelType w:val="hybridMultilevel"/>
    <w:tmpl w:val="06ECF1A8"/>
    <w:lvl w:ilvl="0" w:tplc="72161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D69B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A4DA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2E1B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3445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FEB5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A2F4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A686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3A89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FF3628E"/>
    <w:multiLevelType w:val="hybridMultilevel"/>
    <w:tmpl w:val="771602E6"/>
    <w:lvl w:ilvl="0" w:tplc="30548F9A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763A7"/>
    <w:multiLevelType w:val="hybridMultilevel"/>
    <w:tmpl w:val="F904BEEC"/>
    <w:lvl w:ilvl="0" w:tplc="E0A2536E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C074F"/>
    <w:multiLevelType w:val="hybridMultilevel"/>
    <w:tmpl w:val="495E1DFA"/>
    <w:lvl w:ilvl="0" w:tplc="C0109F8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A73130"/>
    <w:multiLevelType w:val="hybridMultilevel"/>
    <w:tmpl w:val="65281904"/>
    <w:lvl w:ilvl="0" w:tplc="DF56ABD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6451B"/>
    <w:multiLevelType w:val="hybridMultilevel"/>
    <w:tmpl w:val="C1DEF65C"/>
    <w:lvl w:ilvl="0" w:tplc="0E7285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76527">
    <w:abstractNumId w:val="1"/>
  </w:num>
  <w:num w:numId="2" w16cid:durableId="433785663">
    <w:abstractNumId w:val="2"/>
  </w:num>
  <w:num w:numId="3" w16cid:durableId="1729918350">
    <w:abstractNumId w:val="11"/>
  </w:num>
  <w:num w:numId="4" w16cid:durableId="253903565">
    <w:abstractNumId w:val="7"/>
  </w:num>
  <w:num w:numId="5" w16cid:durableId="802504195">
    <w:abstractNumId w:val="3"/>
  </w:num>
  <w:num w:numId="6" w16cid:durableId="197862842">
    <w:abstractNumId w:val="4"/>
  </w:num>
  <w:num w:numId="7" w16cid:durableId="1431047350">
    <w:abstractNumId w:val="6"/>
  </w:num>
  <w:num w:numId="8" w16cid:durableId="1469476053">
    <w:abstractNumId w:val="13"/>
  </w:num>
  <w:num w:numId="9" w16cid:durableId="1848516986">
    <w:abstractNumId w:val="0"/>
  </w:num>
  <w:num w:numId="10" w16cid:durableId="2118717874">
    <w:abstractNumId w:val="9"/>
  </w:num>
  <w:num w:numId="11" w16cid:durableId="185876810">
    <w:abstractNumId w:val="8"/>
  </w:num>
  <w:num w:numId="12" w16cid:durableId="2013485861">
    <w:abstractNumId w:val="5"/>
  </w:num>
  <w:num w:numId="13" w16cid:durableId="754328487">
    <w:abstractNumId w:val="12"/>
  </w:num>
  <w:num w:numId="14" w16cid:durableId="950361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email"/>
    <w:dataType w:val="textFile"/>
    <w:activeRecord w:val="-1"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169"/>
    <w:rsid w:val="00001E30"/>
    <w:rsid w:val="00004650"/>
    <w:rsid w:val="00004B58"/>
    <w:rsid w:val="00005244"/>
    <w:rsid w:val="00006087"/>
    <w:rsid w:val="00006860"/>
    <w:rsid w:val="00012092"/>
    <w:rsid w:val="00014977"/>
    <w:rsid w:val="0001513F"/>
    <w:rsid w:val="000158F1"/>
    <w:rsid w:val="00016072"/>
    <w:rsid w:val="000162B2"/>
    <w:rsid w:val="000171EA"/>
    <w:rsid w:val="00017461"/>
    <w:rsid w:val="00017F00"/>
    <w:rsid w:val="00021AC6"/>
    <w:rsid w:val="000221D6"/>
    <w:rsid w:val="00023000"/>
    <w:rsid w:val="00026596"/>
    <w:rsid w:val="00032B41"/>
    <w:rsid w:val="00032EF8"/>
    <w:rsid w:val="00033084"/>
    <w:rsid w:val="00033B04"/>
    <w:rsid w:val="00034035"/>
    <w:rsid w:val="000349D8"/>
    <w:rsid w:val="00034F87"/>
    <w:rsid w:val="000366C2"/>
    <w:rsid w:val="00036DD3"/>
    <w:rsid w:val="000419CA"/>
    <w:rsid w:val="00044002"/>
    <w:rsid w:val="00044266"/>
    <w:rsid w:val="0005001B"/>
    <w:rsid w:val="0005108F"/>
    <w:rsid w:val="00053A1A"/>
    <w:rsid w:val="000544C4"/>
    <w:rsid w:val="0005493C"/>
    <w:rsid w:val="00054E8F"/>
    <w:rsid w:val="00055376"/>
    <w:rsid w:val="00055B74"/>
    <w:rsid w:val="00057418"/>
    <w:rsid w:val="00062466"/>
    <w:rsid w:val="00062A8A"/>
    <w:rsid w:val="00062D67"/>
    <w:rsid w:val="00062DC6"/>
    <w:rsid w:val="000650ED"/>
    <w:rsid w:val="00065AA0"/>
    <w:rsid w:val="00066333"/>
    <w:rsid w:val="00067197"/>
    <w:rsid w:val="00067501"/>
    <w:rsid w:val="0006786A"/>
    <w:rsid w:val="000679D7"/>
    <w:rsid w:val="0007096D"/>
    <w:rsid w:val="00071B9F"/>
    <w:rsid w:val="0007438C"/>
    <w:rsid w:val="000766D5"/>
    <w:rsid w:val="00076970"/>
    <w:rsid w:val="0007755C"/>
    <w:rsid w:val="0008071A"/>
    <w:rsid w:val="00080ADA"/>
    <w:rsid w:val="0008238B"/>
    <w:rsid w:val="00082CD7"/>
    <w:rsid w:val="00082E1D"/>
    <w:rsid w:val="000831A0"/>
    <w:rsid w:val="0008323B"/>
    <w:rsid w:val="00086563"/>
    <w:rsid w:val="00087711"/>
    <w:rsid w:val="00087849"/>
    <w:rsid w:val="00087A3D"/>
    <w:rsid w:val="00092245"/>
    <w:rsid w:val="00092ACE"/>
    <w:rsid w:val="00093C64"/>
    <w:rsid w:val="00095A11"/>
    <w:rsid w:val="00097B97"/>
    <w:rsid w:val="000A00DE"/>
    <w:rsid w:val="000A086B"/>
    <w:rsid w:val="000A1677"/>
    <w:rsid w:val="000A1D30"/>
    <w:rsid w:val="000A1E1A"/>
    <w:rsid w:val="000A1EA1"/>
    <w:rsid w:val="000A2025"/>
    <w:rsid w:val="000A2144"/>
    <w:rsid w:val="000A2EC0"/>
    <w:rsid w:val="000A337A"/>
    <w:rsid w:val="000A34D4"/>
    <w:rsid w:val="000A39EF"/>
    <w:rsid w:val="000A5EDA"/>
    <w:rsid w:val="000A6730"/>
    <w:rsid w:val="000A72B8"/>
    <w:rsid w:val="000A7E0A"/>
    <w:rsid w:val="000B1B0C"/>
    <w:rsid w:val="000B25EB"/>
    <w:rsid w:val="000B27C5"/>
    <w:rsid w:val="000B47BE"/>
    <w:rsid w:val="000B4814"/>
    <w:rsid w:val="000B6BEC"/>
    <w:rsid w:val="000C0D2C"/>
    <w:rsid w:val="000C1155"/>
    <w:rsid w:val="000C1D98"/>
    <w:rsid w:val="000C2287"/>
    <w:rsid w:val="000C52E7"/>
    <w:rsid w:val="000C552C"/>
    <w:rsid w:val="000C6B0C"/>
    <w:rsid w:val="000C779F"/>
    <w:rsid w:val="000C77D3"/>
    <w:rsid w:val="000D0BFE"/>
    <w:rsid w:val="000D12F8"/>
    <w:rsid w:val="000D1977"/>
    <w:rsid w:val="000D2B81"/>
    <w:rsid w:val="000D2DCD"/>
    <w:rsid w:val="000D314F"/>
    <w:rsid w:val="000D5D2B"/>
    <w:rsid w:val="000D70E4"/>
    <w:rsid w:val="000D7C38"/>
    <w:rsid w:val="000E1A02"/>
    <w:rsid w:val="000E1DF8"/>
    <w:rsid w:val="000E3A69"/>
    <w:rsid w:val="000E5E2A"/>
    <w:rsid w:val="000E7086"/>
    <w:rsid w:val="000F34A7"/>
    <w:rsid w:val="000F39C3"/>
    <w:rsid w:val="000F4797"/>
    <w:rsid w:val="000F60B1"/>
    <w:rsid w:val="000F64C9"/>
    <w:rsid w:val="000F790F"/>
    <w:rsid w:val="00100481"/>
    <w:rsid w:val="00100B73"/>
    <w:rsid w:val="00102126"/>
    <w:rsid w:val="0010372D"/>
    <w:rsid w:val="001045A6"/>
    <w:rsid w:val="00104C8C"/>
    <w:rsid w:val="00104E9B"/>
    <w:rsid w:val="001058E0"/>
    <w:rsid w:val="00105C84"/>
    <w:rsid w:val="0010643C"/>
    <w:rsid w:val="001064A7"/>
    <w:rsid w:val="0011316F"/>
    <w:rsid w:val="00114049"/>
    <w:rsid w:val="0011443F"/>
    <w:rsid w:val="0011497E"/>
    <w:rsid w:val="00114D42"/>
    <w:rsid w:val="00115103"/>
    <w:rsid w:val="00115379"/>
    <w:rsid w:val="00115462"/>
    <w:rsid w:val="00115A60"/>
    <w:rsid w:val="00116565"/>
    <w:rsid w:val="001202B4"/>
    <w:rsid w:val="00120A0D"/>
    <w:rsid w:val="0012304F"/>
    <w:rsid w:val="001230C1"/>
    <w:rsid w:val="001237A5"/>
    <w:rsid w:val="001246BC"/>
    <w:rsid w:val="00124A05"/>
    <w:rsid w:val="00124FA1"/>
    <w:rsid w:val="00125474"/>
    <w:rsid w:val="0012566F"/>
    <w:rsid w:val="001262D3"/>
    <w:rsid w:val="00126D6F"/>
    <w:rsid w:val="00127A07"/>
    <w:rsid w:val="001309A9"/>
    <w:rsid w:val="0013126E"/>
    <w:rsid w:val="00131552"/>
    <w:rsid w:val="0013241A"/>
    <w:rsid w:val="0013261F"/>
    <w:rsid w:val="001329EB"/>
    <w:rsid w:val="00134800"/>
    <w:rsid w:val="00135CBF"/>
    <w:rsid w:val="00135CD7"/>
    <w:rsid w:val="001362D6"/>
    <w:rsid w:val="001369C7"/>
    <w:rsid w:val="00141F10"/>
    <w:rsid w:val="001422DD"/>
    <w:rsid w:val="00142834"/>
    <w:rsid w:val="00142FD3"/>
    <w:rsid w:val="00144F4C"/>
    <w:rsid w:val="00146670"/>
    <w:rsid w:val="00146F24"/>
    <w:rsid w:val="0014795B"/>
    <w:rsid w:val="00147E43"/>
    <w:rsid w:val="0015008F"/>
    <w:rsid w:val="00150BD1"/>
    <w:rsid w:val="00151610"/>
    <w:rsid w:val="0015167E"/>
    <w:rsid w:val="00153984"/>
    <w:rsid w:val="00153D1F"/>
    <w:rsid w:val="00154824"/>
    <w:rsid w:val="00156D1E"/>
    <w:rsid w:val="00156EF2"/>
    <w:rsid w:val="00157F91"/>
    <w:rsid w:val="001607D6"/>
    <w:rsid w:val="001610CA"/>
    <w:rsid w:val="001613CA"/>
    <w:rsid w:val="00161A57"/>
    <w:rsid w:val="00161E9D"/>
    <w:rsid w:val="001642C0"/>
    <w:rsid w:val="001645F1"/>
    <w:rsid w:val="00164D55"/>
    <w:rsid w:val="00165709"/>
    <w:rsid w:val="00165D62"/>
    <w:rsid w:val="00166404"/>
    <w:rsid w:val="0016743F"/>
    <w:rsid w:val="00174667"/>
    <w:rsid w:val="001764B6"/>
    <w:rsid w:val="001766F5"/>
    <w:rsid w:val="001768A6"/>
    <w:rsid w:val="00176DAE"/>
    <w:rsid w:val="001802DE"/>
    <w:rsid w:val="001828E8"/>
    <w:rsid w:val="0018297A"/>
    <w:rsid w:val="001855FF"/>
    <w:rsid w:val="001869EE"/>
    <w:rsid w:val="00186E9F"/>
    <w:rsid w:val="00187BEF"/>
    <w:rsid w:val="00190861"/>
    <w:rsid w:val="001914C2"/>
    <w:rsid w:val="00191CB2"/>
    <w:rsid w:val="00193933"/>
    <w:rsid w:val="00194F73"/>
    <w:rsid w:val="001951E8"/>
    <w:rsid w:val="00195399"/>
    <w:rsid w:val="00195C6D"/>
    <w:rsid w:val="001960B2"/>
    <w:rsid w:val="0019625C"/>
    <w:rsid w:val="0019764B"/>
    <w:rsid w:val="001A19BA"/>
    <w:rsid w:val="001A2765"/>
    <w:rsid w:val="001A3800"/>
    <w:rsid w:val="001A4374"/>
    <w:rsid w:val="001A7447"/>
    <w:rsid w:val="001A7E43"/>
    <w:rsid w:val="001A7F7D"/>
    <w:rsid w:val="001B33B0"/>
    <w:rsid w:val="001B35D7"/>
    <w:rsid w:val="001B44EF"/>
    <w:rsid w:val="001B4FA1"/>
    <w:rsid w:val="001B5613"/>
    <w:rsid w:val="001B5FE5"/>
    <w:rsid w:val="001B69C3"/>
    <w:rsid w:val="001B79B9"/>
    <w:rsid w:val="001B7A61"/>
    <w:rsid w:val="001B7FB3"/>
    <w:rsid w:val="001C03DD"/>
    <w:rsid w:val="001C0D28"/>
    <w:rsid w:val="001C0DF4"/>
    <w:rsid w:val="001C1C00"/>
    <w:rsid w:val="001C1FEF"/>
    <w:rsid w:val="001C25B6"/>
    <w:rsid w:val="001C297A"/>
    <w:rsid w:val="001C2A36"/>
    <w:rsid w:val="001C333D"/>
    <w:rsid w:val="001C3443"/>
    <w:rsid w:val="001C48A4"/>
    <w:rsid w:val="001C576C"/>
    <w:rsid w:val="001C7F27"/>
    <w:rsid w:val="001D20AB"/>
    <w:rsid w:val="001D245F"/>
    <w:rsid w:val="001D5BB9"/>
    <w:rsid w:val="001E07DA"/>
    <w:rsid w:val="001E0921"/>
    <w:rsid w:val="001E0DB9"/>
    <w:rsid w:val="001E1D50"/>
    <w:rsid w:val="001E3643"/>
    <w:rsid w:val="001E4A94"/>
    <w:rsid w:val="001E4E51"/>
    <w:rsid w:val="001E5577"/>
    <w:rsid w:val="001E5D51"/>
    <w:rsid w:val="001E6405"/>
    <w:rsid w:val="001E6A1E"/>
    <w:rsid w:val="001F5756"/>
    <w:rsid w:val="001F64CB"/>
    <w:rsid w:val="001F6807"/>
    <w:rsid w:val="001F783F"/>
    <w:rsid w:val="001F7C24"/>
    <w:rsid w:val="00202169"/>
    <w:rsid w:val="00202BDA"/>
    <w:rsid w:val="00203F12"/>
    <w:rsid w:val="002050D0"/>
    <w:rsid w:val="00205254"/>
    <w:rsid w:val="002057D4"/>
    <w:rsid w:val="00212C61"/>
    <w:rsid w:val="00213F46"/>
    <w:rsid w:val="00213FC6"/>
    <w:rsid w:val="00214FAB"/>
    <w:rsid w:val="002165FE"/>
    <w:rsid w:val="00217AD4"/>
    <w:rsid w:val="00217E6B"/>
    <w:rsid w:val="002207A6"/>
    <w:rsid w:val="00221E42"/>
    <w:rsid w:val="00222AA1"/>
    <w:rsid w:val="0022330E"/>
    <w:rsid w:val="0022377B"/>
    <w:rsid w:val="00224038"/>
    <w:rsid w:val="00224284"/>
    <w:rsid w:val="00224F0E"/>
    <w:rsid w:val="00230D4D"/>
    <w:rsid w:val="002401B0"/>
    <w:rsid w:val="002418DB"/>
    <w:rsid w:val="00242192"/>
    <w:rsid w:val="00244B0F"/>
    <w:rsid w:val="00245099"/>
    <w:rsid w:val="0024553D"/>
    <w:rsid w:val="00246F10"/>
    <w:rsid w:val="00247943"/>
    <w:rsid w:val="0025106C"/>
    <w:rsid w:val="002511A0"/>
    <w:rsid w:val="00251963"/>
    <w:rsid w:val="00252997"/>
    <w:rsid w:val="00253ECD"/>
    <w:rsid w:val="00254030"/>
    <w:rsid w:val="00254EB5"/>
    <w:rsid w:val="00261296"/>
    <w:rsid w:val="00261512"/>
    <w:rsid w:val="002624E9"/>
    <w:rsid w:val="002636B5"/>
    <w:rsid w:val="00263F96"/>
    <w:rsid w:val="00264CED"/>
    <w:rsid w:val="00264F1B"/>
    <w:rsid w:val="00266E32"/>
    <w:rsid w:val="00267813"/>
    <w:rsid w:val="00267ACA"/>
    <w:rsid w:val="0027007C"/>
    <w:rsid w:val="00270C46"/>
    <w:rsid w:val="00271B79"/>
    <w:rsid w:val="002728A8"/>
    <w:rsid w:val="00272A8E"/>
    <w:rsid w:val="00272AB0"/>
    <w:rsid w:val="00273B83"/>
    <w:rsid w:val="00273C29"/>
    <w:rsid w:val="0027402B"/>
    <w:rsid w:val="00275509"/>
    <w:rsid w:val="00275FB5"/>
    <w:rsid w:val="0027655E"/>
    <w:rsid w:val="0028253D"/>
    <w:rsid w:val="00282A5F"/>
    <w:rsid w:val="0028378F"/>
    <w:rsid w:val="00284DD5"/>
    <w:rsid w:val="002858AE"/>
    <w:rsid w:val="002878FD"/>
    <w:rsid w:val="00292C2B"/>
    <w:rsid w:val="002930C9"/>
    <w:rsid w:val="0029614D"/>
    <w:rsid w:val="002A2B40"/>
    <w:rsid w:val="002A2D5A"/>
    <w:rsid w:val="002A2ED6"/>
    <w:rsid w:val="002A3E47"/>
    <w:rsid w:val="002A60DC"/>
    <w:rsid w:val="002A7837"/>
    <w:rsid w:val="002B1A4A"/>
    <w:rsid w:val="002B273C"/>
    <w:rsid w:val="002B3725"/>
    <w:rsid w:val="002B4AC3"/>
    <w:rsid w:val="002B5D56"/>
    <w:rsid w:val="002C063C"/>
    <w:rsid w:val="002C0B36"/>
    <w:rsid w:val="002C1004"/>
    <w:rsid w:val="002C1871"/>
    <w:rsid w:val="002C2AE2"/>
    <w:rsid w:val="002C4547"/>
    <w:rsid w:val="002C4F14"/>
    <w:rsid w:val="002C51A7"/>
    <w:rsid w:val="002C5839"/>
    <w:rsid w:val="002C6B6A"/>
    <w:rsid w:val="002C752B"/>
    <w:rsid w:val="002D12BD"/>
    <w:rsid w:val="002D1376"/>
    <w:rsid w:val="002D2DEC"/>
    <w:rsid w:val="002D34FC"/>
    <w:rsid w:val="002D3F33"/>
    <w:rsid w:val="002D4C1A"/>
    <w:rsid w:val="002D57C2"/>
    <w:rsid w:val="002D6131"/>
    <w:rsid w:val="002D615E"/>
    <w:rsid w:val="002D6B03"/>
    <w:rsid w:val="002E1078"/>
    <w:rsid w:val="002E18D7"/>
    <w:rsid w:val="002E1F2F"/>
    <w:rsid w:val="002E39FF"/>
    <w:rsid w:val="002E3DF7"/>
    <w:rsid w:val="002E4322"/>
    <w:rsid w:val="002E4A51"/>
    <w:rsid w:val="002E5008"/>
    <w:rsid w:val="002E732D"/>
    <w:rsid w:val="002E7CA6"/>
    <w:rsid w:val="002F076C"/>
    <w:rsid w:val="002F1609"/>
    <w:rsid w:val="002F1A0F"/>
    <w:rsid w:val="002F2215"/>
    <w:rsid w:val="002F3D6C"/>
    <w:rsid w:val="002F477C"/>
    <w:rsid w:val="002F6016"/>
    <w:rsid w:val="00302451"/>
    <w:rsid w:val="00302716"/>
    <w:rsid w:val="00303B8A"/>
    <w:rsid w:val="00303D8D"/>
    <w:rsid w:val="00303DD6"/>
    <w:rsid w:val="00304E17"/>
    <w:rsid w:val="00310201"/>
    <w:rsid w:val="00310D0B"/>
    <w:rsid w:val="00310ECE"/>
    <w:rsid w:val="003123D0"/>
    <w:rsid w:val="00312467"/>
    <w:rsid w:val="0031389C"/>
    <w:rsid w:val="003152F5"/>
    <w:rsid w:val="00315BAC"/>
    <w:rsid w:val="00315F30"/>
    <w:rsid w:val="003161ED"/>
    <w:rsid w:val="00316A23"/>
    <w:rsid w:val="003172F8"/>
    <w:rsid w:val="00320075"/>
    <w:rsid w:val="00320A31"/>
    <w:rsid w:val="00320A3F"/>
    <w:rsid w:val="003215CA"/>
    <w:rsid w:val="0032171F"/>
    <w:rsid w:val="0032297D"/>
    <w:rsid w:val="0032343F"/>
    <w:rsid w:val="003239D9"/>
    <w:rsid w:val="00324583"/>
    <w:rsid w:val="00325C91"/>
    <w:rsid w:val="00326943"/>
    <w:rsid w:val="00327407"/>
    <w:rsid w:val="00327E59"/>
    <w:rsid w:val="003305B2"/>
    <w:rsid w:val="003306A1"/>
    <w:rsid w:val="00332DA4"/>
    <w:rsid w:val="003334FA"/>
    <w:rsid w:val="00334A50"/>
    <w:rsid w:val="00335332"/>
    <w:rsid w:val="00335638"/>
    <w:rsid w:val="003366D7"/>
    <w:rsid w:val="0033687A"/>
    <w:rsid w:val="00336B96"/>
    <w:rsid w:val="00337931"/>
    <w:rsid w:val="003401BC"/>
    <w:rsid w:val="00342579"/>
    <w:rsid w:val="00343CB8"/>
    <w:rsid w:val="00345D5D"/>
    <w:rsid w:val="003464C2"/>
    <w:rsid w:val="00346FF6"/>
    <w:rsid w:val="003503ED"/>
    <w:rsid w:val="00351068"/>
    <w:rsid w:val="0035113B"/>
    <w:rsid w:val="0035275E"/>
    <w:rsid w:val="003533C5"/>
    <w:rsid w:val="00355435"/>
    <w:rsid w:val="0035571B"/>
    <w:rsid w:val="00356262"/>
    <w:rsid w:val="0035702D"/>
    <w:rsid w:val="003571AD"/>
    <w:rsid w:val="00357877"/>
    <w:rsid w:val="003603B9"/>
    <w:rsid w:val="00360F61"/>
    <w:rsid w:val="00361426"/>
    <w:rsid w:val="00361DD8"/>
    <w:rsid w:val="00362759"/>
    <w:rsid w:val="00364050"/>
    <w:rsid w:val="00364371"/>
    <w:rsid w:val="0036442C"/>
    <w:rsid w:val="003654CD"/>
    <w:rsid w:val="00365B2D"/>
    <w:rsid w:val="00365D50"/>
    <w:rsid w:val="003660C8"/>
    <w:rsid w:val="003668D4"/>
    <w:rsid w:val="00366C7D"/>
    <w:rsid w:val="00367443"/>
    <w:rsid w:val="00367D3B"/>
    <w:rsid w:val="00367F9E"/>
    <w:rsid w:val="0037051A"/>
    <w:rsid w:val="003707A8"/>
    <w:rsid w:val="00370F35"/>
    <w:rsid w:val="003713E7"/>
    <w:rsid w:val="003716C3"/>
    <w:rsid w:val="003724E9"/>
    <w:rsid w:val="003727EB"/>
    <w:rsid w:val="0037320F"/>
    <w:rsid w:val="0037353B"/>
    <w:rsid w:val="00373AE4"/>
    <w:rsid w:val="00373D9D"/>
    <w:rsid w:val="003745FD"/>
    <w:rsid w:val="00375EA8"/>
    <w:rsid w:val="00380C99"/>
    <w:rsid w:val="00382A30"/>
    <w:rsid w:val="003831B6"/>
    <w:rsid w:val="00383E25"/>
    <w:rsid w:val="003844CD"/>
    <w:rsid w:val="003909E1"/>
    <w:rsid w:val="00391FA6"/>
    <w:rsid w:val="0039301A"/>
    <w:rsid w:val="00393731"/>
    <w:rsid w:val="003947A8"/>
    <w:rsid w:val="003952ED"/>
    <w:rsid w:val="00395434"/>
    <w:rsid w:val="00395A5D"/>
    <w:rsid w:val="00396883"/>
    <w:rsid w:val="00397D2D"/>
    <w:rsid w:val="00397F9F"/>
    <w:rsid w:val="003A0AAE"/>
    <w:rsid w:val="003A1647"/>
    <w:rsid w:val="003A2F89"/>
    <w:rsid w:val="003A30BE"/>
    <w:rsid w:val="003A42C1"/>
    <w:rsid w:val="003A44E4"/>
    <w:rsid w:val="003A4ACC"/>
    <w:rsid w:val="003A5DED"/>
    <w:rsid w:val="003A6E43"/>
    <w:rsid w:val="003A6F74"/>
    <w:rsid w:val="003B0E41"/>
    <w:rsid w:val="003B29C5"/>
    <w:rsid w:val="003B2E15"/>
    <w:rsid w:val="003B2E74"/>
    <w:rsid w:val="003B3F77"/>
    <w:rsid w:val="003B48EF"/>
    <w:rsid w:val="003B61CD"/>
    <w:rsid w:val="003B6752"/>
    <w:rsid w:val="003C04E3"/>
    <w:rsid w:val="003C2522"/>
    <w:rsid w:val="003C2B53"/>
    <w:rsid w:val="003C2DA2"/>
    <w:rsid w:val="003C3D7F"/>
    <w:rsid w:val="003C4F56"/>
    <w:rsid w:val="003C5DC3"/>
    <w:rsid w:val="003C7352"/>
    <w:rsid w:val="003C7394"/>
    <w:rsid w:val="003C7CA9"/>
    <w:rsid w:val="003D104A"/>
    <w:rsid w:val="003D1132"/>
    <w:rsid w:val="003D14D7"/>
    <w:rsid w:val="003D2AB0"/>
    <w:rsid w:val="003D3DB8"/>
    <w:rsid w:val="003D424E"/>
    <w:rsid w:val="003D5446"/>
    <w:rsid w:val="003D6D17"/>
    <w:rsid w:val="003E0BE6"/>
    <w:rsid w:val="003E0E58"/>
    <w:rsid w:val="003E1610"/>
    <w:rsid w:val="003E2BA3"/>
    <w:rsid w:val="003E31EA"/>
    <w:rsid w:val="003E3DCB"/>
    <w:rsid w:val="003E515C"/>
    <w:rsid w:val="003E6581"/>
    <w:rsid w:val="003E6B52"/>
    <w:rsid w:val="003E75D1"/>
    <w:rsid w:val="003F1CB9"/>
    <w:rsid w:val="003F2B91"/>
    <w:rsid w:val="003F3510"/>
    <w:rsid w:val="003F431E"/>
    <w:rsid w:val="003F618A"/>
    <w:rsid w:val="003F762E"/>
    <w:rsid w:val="003F7F31"/>
    <w:rsid w:val="0040072F"/>
    <w:rsid w:val="00401262"/>
    <w:rsid w:val="00401322"/>
    <w:rsid w:val="00402738"/>
    <w:rsid w:val="00404CED"/>
    <w:rsid w:val="00405C26"/>
    <w:rsid w:val="00407468"/>
    <w:rsid w:val="00407F75"/>
    <w:rsid w:val="00410C72"/>
    <w:rsid w:val="00410CB7"/>
    <w:rsid w:val="00411E07"/>
    <w:rsid w:val="00414950"/>
    <w:rsid w:val="00416028"/>
    <w:rsid w:val="00416A62"/>
    <w:rsid w:val="00420888"/>
    <w:rsid w:val="00421049"/>
    <w:rsid w:val="0042113A"/>
    <w:rsid w:val="00422611"/>
    <w:rsid w:val="00423B22"/>
    <w:rsid w:val="00425C7D"/>
    <w:rsid w:val="004300C6"/>
    <w:rsid w:val="00430E68"/>
    <w:rsid w:val="00432B0F"/>
    <w:rsid w:val="004333DE"/>
    <w:rsid w:val="00433E42"/>
    <w:rsid w:val="00435968"/>
    <w:rsid w:val="00435AAD"/>
    <w:rsid w:val="00435C21"/>
    <w:rsid w:val="004366A2"/>
    <w:rsid w:val="00437356"/>
    <w:rsid w:val="00437589"/>
    <w:rsid w:val="004401B1"/>
    <w:rsid w:val="004403EB"/>
    <w:rsid w:val="00442322"/>
    <w:rsid w:val="0044304B"/>
    <w:rsid w:val="004475DD"/>
    <w:rsid w:val="004476CB"/>
    <w:rsid w:val="00447B3F"/>
    <w:rsid w:val="00453B4E"/>
    <w:rsid w:val="00453E1C"/>
    <w:rsid w:val="00454547"/>
    <w:rsid w:val="004551CA"/>
    <w:rsid w:val="00455AD4"/>
    <w:rsid w:val="0045664E"/>
    <w:rsid w:val="00457A66"/>
    <w:rsid w:val="0046134F"/>
    <w:rsid w:val="00462589"/>
    <w:rsid w:val="00463781"/>
    <w:rsid w:val="00463F39"/>
    <w:rsid w:val="0047073B"/>
    <w:rsid w:val="00471FFB"/>
    <w:rsid w:val="004728A5"/>
    <w:rsid w:val="00472906"/>
    <w:rsid w:val="00473D57"/>
    <w:rsid w:val="00474A86"/>
    <w:rsid w:val="0047616B"/>
    <w:rsid w:val="00476BD0"/>
    <w:rsid w:val="00477857"/>
    <w:rsid w:val="00477D22"/>
    <w:rsid w:val="004817D8"/>
    <w:rsid w:val="00481E81"/>
    <w:rsid w:val="00483BB7"/>
    <w:rsid w:val="00484A70"/>
    <w:rsid w:val="00484CE4"/>
    <w:rsid w:val="00484CFC"/>
    <w:rsid w:val="00484DC6"/>
    <w:rsid w:val="00485076"/>
    <w:rsid w:val="004852C9"/>
    <w:rsid w:val="00485870"/>
    <w:rsid w:val="00490B90"/>
    <w:rsid w:val="00490DDA"/>
    <w:rsid w:val="0049113D"/>
    <w:rsid w:val="0049132F"/>
    <w:rsid w:val="00495A30"/>
    <w:rsid w:val="0049605B"/>
    <w:rsid w:val="0049790B"/>
    <w:rsid w:val="004A03FB"/>
    <w:rsid w:val="004A1724"/>
    <w:rsid w:val="004A2FAE"/>
    <w:rsid w:val="004A6401"/>
    <w:rsid w:val="004A6443"/>
    <w:rsid w:val="004A6B15"/>
    <w:rsid w:val="004A7ABD"/>
    <w:rsid w:val="004A7D28"/>
    <w:rsid w:val="004B025B"/>
    <w:rsid w:val="004B1725"/>
    <w:rsid w:val="004B49EC"/>
    <w:rsid w:val="004B4C95"/>
    <w:rsid w:val="004B4D9A"/>
    <w:rsid w:val="004B4E22"/>
    <w:rsid w:val="004C133B"/>
    <w:rsid w:val="004C1B31"/>
    <w:rsid w:val="004C297A"/>
    <w:rsid w:val="004C389E"/>
    <w:rsid w:val="004C3EBA"/>
    <w:rsid w:val="004C4302"/>
    <w:rsid w:val="004C5920"/>
    <w:rsid w:val="004C5DF3"/>
    <w:rsid w:val="004C5ED8"/>
    <w:rsid w:val="004C6901"/>
    <w:rsid w:val="004D12DA"/>
    <w:rsid w:val="004D1CED"/>
    <w:rsid w:val="004D5EDF"/>
    <w:rsid w:val="004D63E3"/>
    <w:rsid w:val="004D6685"/>
    <w:rsid w:val="004D6922"/>
    <w:rsid w:val="004D7651"/>
    <w:rsid w:val="004E1A7D"/>
    <w:rsid w:val="004E1AC6"/>
    <w:rsid w:val="004E27AE"/>
    <w:rsid w:val="004E3A25"/>
    <w:rsid w:val="004E3E95"/>
    <w:rsid w:val="004E4AD6"/>
    <w:rsid w:val="004E6615"/>
    <w:rsid w:val="004E6814"/>
    <w:rsid w:val="004F0729"/>
    <w:rsid w:val="004F09E3"/>
    <w:rsid w:val="004F1275"/>
    <w:rsid w:val="004F196E"/>
    <w:rsid w:val="004F24F2"/>
    <w:rsid w:val="004F29DA"/>
    <w:rsid w:val="004F4A74"/>
    <w:rsid w:val="005024DC"/>
    <w:rsid w:val="00503095"/>
    <w:rsid w:val="00504443"/>
    <w:rsid w:val="005044E1"/>
    <w:rsid w:val="005045E5"/>
    <w:rsid w:val="00504A5F"/>
    <w:rsid w:val="00505601"/>
    <w:rsid w:val="00505850"/>
    <w:rsid w:val="00505C9C"/>
    <w:rsid w:val="005061AA"/>
    <w:rsid w:val="00506DF1"/>
    <w:rsid w:val="00507B3C"/>
    <w:rsid w:val="00512418"/>
    <w:rsid w:val="0051322A"/>
    <w:rsid w:val="005142C0"/>
    <w:rsid w:val="0051446C"/>
    <w:rsid w:val="00514960"/>
    <w:rsid w:val="00516874"/>
    <w:rsid w:val="00517111"/>
    <w:rsid w:val="005208C8"/>
    <w:rsid w:val="00520AEA"/>
    <w:rsid w:val="00520BE6"/>
    <w:rsid w:val="00520C82"/>
    <w:rsid w:val="00521B07"/>
    <w:rsid w:val="005228D2"/>
    <w:rsid w:val="00524989"/>
    <w:rsid w:val="00525ABD"/>
    <w:rsid w:val="00525F88"/>
    <w:rsid w:val="0052644D"/>
    <w:rsid w:val="00526818"/>
    <w:rsid w:val="00527304"/>
    <w:rsid w:val="00527C61"/>
    <w:rsid w:val="00532363"/>
    <w:rsid w:val="005354AE"/>
    <w:rsid w:val="00536B3B"/>
    <w:rsid w:val="00536B9B"/>
    <w:rsid w:val="00537515"/>
    <w:rsid w:val="00537656"/>
    <w:rsid w:val="005376D6"/>
    <w:rsid w:val="00537A4D"/>
    <w:rsid w:val="00537C68"/>
    <w:rsid w:val="0054076E"/>
    <w:rsid w:val="00540AD1"/>
    <w:rsid w:val="00545533"/>
    <w:rsid w:val="00545FBC"/>
    <w:rsid w:val="0054647F"/>
    <w:rsid w:val="0054661B"/>
    <w:rsid w:val="00550C81"/>
    <w:rsid w:val="0055128F"/>
    <w:rsid w:val="00551B4C"/>
    <w:rsid w:val="005531EC"/>
    <w:rsid w:val="00553FBC"/>
    <w:rsid w:val="005547BF"/>
    <w:rsid w:val="00554D9D"/>
    <w:rsid w:val="005552E9"/>
    <w:rsid w:val="00555B26"/>
    <w:rsid w:val="00555B91"/>
    <w:rsid w:val="0055674E"/>
    <w:rsid w:val="00556F82"/>
    <w:rsid w:val="0056197F"/>
    <w:rsid w:val="00561FE2"/>
    <w:rsid w:val="00562D02"/>
    <w:rsid w:val="0056315C"/>
    <w:rsid w:val="00563283"/>
    <w:rsid w:val="0056335A"/>
    <w:rsid w:val="00563E7E"/>
    <w:rsid w:val="005642DD"/>
    <w:rsid w:val="00564C9B"/>
    <w:rsid w:val="00566C95"/>
    <w:rsid w:val="00571449"/>
    <w:rsid w:val="00571647"/>
    <w:rsid w:val="00571819"/>
    <w:rsid w:val="00572DA2"/>
    <w:rsid w:val="005736B5"/>
    <w:rsid w:val="00576028"/>
    <w:rsid w:val="005763DB"/>
    <w:rsid w:val="005775FE"/>
    <w:rsid w:val="00577677"/>
    <w:rsid w:val="00577DED"/>
    <w:rsid w:val="0058017E"/>
    <w:rsid w:val="00580733"/>
    <w:rsid w:val="00581327"/>
    <w:rsid w:val="00581C97"/>
    <w:rsid w:val="0058265B"/>
    <w:rsid w:val="0058388D"/>
    <w:rsid w:val="005839E3"/>
    <w:rsid w:val="005839F2"/>
    <w:rsid w:val="00585A0A"/>
    <w:rsid w:val="005864AD"/>
    <w:rsid w:val="00587061"/>
    <w:rsid w:val="00587D55"/>
    <w:rsid w:val="00587F82"/>
    <w:rsid w:val="00591B8C"/>
    <w:rsid w:val="00593090"/>
    <w:rsid w:val="00594873"/>
    <w:rsid w:val="005949B6"/>
    <w:rsid w:val="00594F62"/>
    <w:rsid w:val="005954B4"/>
    <w:rsid w:val="00595CAD"/>
    <w:rsid w:val="00596CED"/>
    <w:rsid w:val="005A2501"/>
    <w:rsid w:val="005A28E8"/>
    <w:rsid w:val="005A2AF1"/>
    <w:rsid w:val="005A3968"/>
    <w:rsid w:val="005A44FF"/>
    <w:rsid w:val="005A5299"/>
    <w:rsid w:val="005A7A4D"/>
    <w:rsid w:val="005A7E70"/>
    <w:rsid w:val="005B006B"/>
    <w:rsid w:val="005B12FA"/>
    <w:rsid w:val="005B1718"/>
    <w:rsid w:val="005B2A69"/>
    <w:rsid w:val="005B4768"/>
    <w:rsid w:val="005B493E"/>
    <w:rsid w:val="005B7249"/>
    <w:rsid w:val="005C01AE"/>
    <w:rsid w:val="005C11B5"/>
    <w:rsid w:val="005C13B0"/>
    <w:rsid w:val="005C1934"/>
    <w:rsid w:val="005C1943"/>
    <w:rsid w:val="005C3C3C"/>
    <w:rsid w:val="005C41EF"/>
    <w:rsid w:val="005C575F"/>
    <w:rsid w:val="005C60BB"/>
    <w:rsid w:val="005C6A0D"/>
    <w:rsid w:val="005C6BBE"/>
    <w:rsid w:val="005C6D52"/>
    <w:rsid w:val="005C6DB6"/>
    <w:rsid w:val="005C7415"/>
    <w:rsid w:val="005D053D"/>
    <w:rsid w:val="005D0910"/>
    <w:rsid w:val="005D42A6"/>
    <w:rsid w:val="005D42B1"/>
    <w:rsid w:val="005D59CD"/>
    <w:rsid w:val="005D6475"/>
    <w:rsid w:val="005D738B"/>
    <w:rsid w:val="005E0B44"/>
    <w:rsid w:val="005E1864"/>
    <w:rsid w:val="005E236A"/>
    <w:rsid w:val="005E3B90"/>
    <w:rsid w:val="005E419A"/>
    <w:rsid w:val="005E51FF"/>
    <w:rsid w:val="005E58E1"/>
    <w:rsid w:val="005E5B24"/>
    <w:rsid w:val="005E5B52"/>
    <w:rsid w:val="005E5ECB"/>
    <w:rsid w:val="005E7020"/>
    <w:rsid w:val="005F084E"/>
    <w:rsid w:val="005F0A8A"/>
    <w:rsid w:val="005F3FF0"/>
    <w:rsid w:val="005F4524"/>
    <w:rsid w:val="005F4ABC"/>
    <w:rsid w:val="005F5EB0"/>
    <w:rsid w:val="005F772B"/>
    <w:rsid w:val="005F7A84"/>
    <w:rsid w:val="0060060A"/>
    <w:rsid w:val="00601F1A"/>
    <w:rsid w:val="006028B1"/>
    <w:rsid w:val="00602E5F"/>
    <w:rsid w:val="00602FFB"/>
    <w:rsid w:val="00603141"/>
    <w:rsid w:val="00603693"/>
    <w:rsid w:val="00603B79"/>
    <w:rsid w:val="00603B91"/>
    <w:rsid w:val="00604274"/>
    <w:rsid w:val="0060552B"/>
    <w:rsid w:val="00610BEA"/>
    <w:rsid w:val="00611326"/>
    <w:rsid w:val="00611C5C"/>
    <w:rsid w:val="00611EFE"/>
    <w:rsid w:val="00612725"/>
    <w:rsid w:val="006146A8"/>
    <w:rsid w:val="00614E76"/>
    <w:rsid w:val="006155CF"/>
    <w:rsid w:val="006160C8"/>
    <w:rsid w:val="00621963"/>
    <w:rsid w:val="006223AD"/>
    <w:rsid w:val="00623B0C"/>
    <w:rsid w:val="006257D7"/>
    <w:rsid w:val="00626065"/>
    <w:rsid w:val="00626382"/>
    <w:rsid w:val="00627C6F"/>
    <w:rsid w:val="0063005B"/>
    <w:rsid w:val="00632959"/>
    <w:rsid w:val="00632A2F"/>
    <w:rsid w:val="00634862"/>
    <w:rsid w:val="00635DD9"/>
    <w:rsid w:val="00635F63"/>
    <w:rsid w:val="00640878"/>
    <w:rsid w:val="00642A66"/>
    <w:rsid w:val="00643505"/>
    <w:rsid w:val="0064499D"/>
    <w:rsid w:val="006454CC"/>
    <w:rsid w:val="0064654D"/>
    <w:rsid w:val="0064668C"/>
    <w:rsid w:val="006478ED"/>
    <w:rsid w:val="00647974"/>
    <w:rsid w:val="00650A3A"/>
    <w:rsid w:val="00650A73"/>
    <w:rsid w:val="006529D6"/>
    <w:rsid w:val="00652DE8"/>
    <w:rsid w:val="00653FBB"/>
    <w:rsid w:val="0065523B"/>
    <w:rsid w:val="0065675B"/>
    <w:rsid w:val="00660A8C"/>
    <w:rsid w:val="0066376E"/>
    <w:rsid w:val="00663D34"/>
    <w:rsid w:val="006642E5"/>
    <w:rsid w:val="0066436B"/>
    <w:rsid w:val="00664659"/>
    <w:rsid w:val="006648C4"/>
    <w:rsid w:val="0066682C"/>
    <w:rsid w:val="006669D1"/>
    <w:rsid w:val="006674AE"/>
    <w:rsid w:val="0066782D"/>
    <w:rsid w:val="00667BA1"/>
    <w:rsid w:val="0067027E"/>
    <w:rsid w:val="006706DD"/>
    <w:rsid w:val="00670BEE"/>
    <w:rsid w:val="0067115A"/>
    <w:rsid w:val="0067201E"/>
    <w:rsid w:val="006723C7"/>
    <w:rsid w:val="006733E8"/>
    <w:rsid w:val="006756EC"/>
    <w:rsid w:val="006756FC"/>
    <w:rsid w:val="00675820"/>
    <w:rsid w:val="00675D0C"/>
    <w:rsid w:val="00675EBD"/>
    <w:rsid w:val="00676F20"/>
    <w:rsid w:val="00680B54"/>
    <w:rsid w:val="00682D20"/>
    <w:rsid w:val="0068337D"/>
    <w:rsid w:val="00683E88"/>
    <w:rsid w:val="00684D52"/>
    <w:rsid w:val="00685126"/>
    <w:rsid w:val="0068657C"/>
    <w:rsid w:val="0069201F"/>
    <w:rsid w:val="00692FE3"/>
    <w:rsid w:val="006952F0"/>
    <w:rsid w:val="006963D2"/>
    <w:rsid w:val="006973A5"/>
    <w:rsid w:val="00697575"/>
    <w:rsid w:val="006A00DF"/>
    <w:rsid w:val="006A0168"/>
    <w:rsid w:val="006A062A"/>
    <w:rsid w:val="006A1E09"/>
    <w:rsid w:val="006A3419"/>
    <w:rsid w:val="006A3C9A"/>
    <w:rsid w:val="006A4148"/>
    <w:rsid w:val="006A437E"/>
    <w:rsid w:val="006A54C3"/>
    <w:rsid w:val="006A5DB5"/>
    <w:rsid w:val="006A640B"/>
    <w:rsid w:val="006A7A3C"/>
    <w:rsid w:val="006A7ECC"/>
    <w:rsid w:val="006B03F0"/>
    <w:rsid w:val="006B18B6"/>
    <w:rsid w:val="006B19D1"/>
    <w:rsid w:val="006B211F"/>
    <w:rsid w:val="006B2ADD"/>
    <w:rsid w:val="006B2CA3"/>
    <w:rsid w:val="006B2F86"/>
    <w:rsid w:val="006B3936"/>
    <w:rsid w:val="006B3B72"/>
    <w:rsid w:val="006B5123"/>
    <w:rsid w:val="006B5EA5"/>
    <w:rsid w:val="006B60A6"/>
    <w:rsid w:val="006B650F"/>
    <w:rsid w:val="006B68CC"/>
    <w:rsid w:val="006B7DE5"/>
    <w:rsid w:val="006C035F"/>
    <w:rsid w:val="006C362A"/>
    <w:rsid w:val="006C3AF8"/>
    <w:rsid w:val="006C3BE5"/>
    <w:rsid w:val="006C4385"/>
    <w:rsid w:val="006C5A37"/>
    <w:rsid w:val="006C6CFF"/>
    <w:rsid w:val="006C6D8D"/>
    <w:rsid w:val="006C6DCB"/>
    <w:rsid w:val="006C7AFD"/>
    <w:rsid w:val="006D0B7D"/>
    <w:rsid w:val="006D1635"/>
    <w:rsid w:val="006D182D"/>
    <w:rsid w:val="006D23EF"/>
    <w:rsid w:val="006D3D9F"/>
    <w:rsid w:val="006D5E66"/>
    <w:rsid w:val="006D7299"/>
    <w:rsid w:val="006D7467"/>
    <w:rsid w:val="006D74B0"/>
    <w:rsid w:val="006D7A25"/>
    <w:rsid w:val="006E0634"/>
    <w:rsid w:val="006E0B29"/>
    <w:rsid w:val="006E0DB3"/>
    <w:rsid w:val="006E18EC"/>
    <w:rsid w:val="006E1DBB"/>
    <w:rsid w:val="006E27F8"/>
    <w:rsid w:val="006E335A"/>
    <w:rsid w:val="006E3A3B"/>
    <w:rsid w:val="006E6C76"/>
    <w:rsid w:val="006E7261"/>
    <w:rsid w:val="006F0636"/>
    <w:rsid w:val="006F0FDF"/>
    <w:rsid w:val="006F3FD9"/>
    <w:rsid w:val="006F4A34"/>
    <w:rsid w:val="006F5022"/>
    <w:rsid w:val="007000AB"/>
    <w:rsid w:val="0070077F"/>
    <w:rsid w:val="00700BFA"/>
    <w:rsid w:val="00700C4E"/>
    <w:rsid w:val="007022D5"/>
    <w:rsid w:val="00704FBA"/>
    <w:rsid w:val="00705401"/>
    <w:rsid w:val="007068E5"/>
    <w:rsid w:val="007075B3"/>
    <w:rsid w:val="00710350"/>
    <w:rsid w:val="00717EDF"/>
    <w:rsid w:val="00720102"/>
    <w:rsid w:val="007204F9"/>
    <w:rsid w:val="00720B0E"/>
    <w:rsid w:val="00724502"/>
    <w:rsid w:val="00724C77"/>
    <w:rsid w:val="007251C1"/>
    <w:rsid w:val="00725295"/>
    <w:rsid w:val="00725BE6"/>
    <w:rsid w:val="00726439"/>
    <w:rsid w:val="00726664"/>
    <w:rsid w:val="007270C0"/>
    <w:rsid w:val="00730B38"/>
    <w:rsid w:val="00732A91"/>
    <w:rsid w:val="007330DC"/>
    <w:rsid w:val="0073410F"/>
    <w:rsid w:val="00734471"/>
    <w:rsid w:val="007366FE"/>
    <w:rsid w:val="007403DA"/>
    <w:rsid w:val="00742137"/>
    <w:rsid w:val="00742148"/>
    <w:rsid w:val="00742303"/>
    <w:rsid w:val="00742971"/>
    <w:rsid w:val="00742DC1"/>
    <w:rsid w:val="00743530"/>
    <w:rsid w:val="0074441D"/>
    <w:rsid w:val="00744504"/>
    <w:rsid w:val="00746582"/>
    <w:rsid w:val="00747A85"/>
    <w:rsid w:val="00747C2E"/>
    <w:rsid w:val="0075147D"/>
    <w:rsid w:val="00751801"/>
    <w:rsid w:val="00752180"/>
    <w:rsid w:val="0075302C"/>
    <w:rsid w:val="00754744"/>
    <w:rsid w:val="0075587C"/>
    <w:rsid w:val="00755AE7"/>
    <w:rsid w:val="00755B46"/>
    <w:rsid w:val="007575D7"/>
    <w:rsid w:val="00757607"/>
    <w:rsid w:val="00757E86"/>
    <w:rsid w:val="00757EA3"/>
    <w:rsid w:val="00760C39"/>
    <w:rsid w:val="00761A85"/>
    <w:rsid w:val="00761C3F"/>
    <w:rsid w:val="0076384E"/>
    <w:rsid w:val="007642B3"/>
    <w:rsid w:val="007655FC"/>
    <w:rsid w:val="007656CF"/>
    <w:rsid w:val="00765DC1"/>
    <w:rsid w:val="00766022"/>
    <w:rsid w:val="00766D42"/>
    <w:rsid w:val="007673D0"/>
    <w:rsid w:val="0077118A"/>
    <w:rsid w:val="007725F7"/>
    <w:rsid w:val="00772999"/>
    <w:rsid w:val="00772E8C"/>
    <w:rsid w:val="00773BB4"/>
    <w:rsid w:val="00774CF4"/>
    <w:rsid w:val="00777FD3"/>
    <w:rsid w:val="007809DB"/>
    <w:rsid w:val="00781826"/>
    <w:rsid w:val="007835A4"/>
    <w:rsid w:val="007836B5"/>
    <w:rsid w:val="00783B41"/>
    <w:rsid w:val="00785CFA"/>
    <w:rsid w:val="00786866"/>
    <w:rsid w:val="00790AE2"/>
    <w:rsid w:val="007948B6"/>
    <w:rsid w:val="00794DCF"/>
    <w:rsid w:val="00794FB6"/>
    <w:rsid w:val="007951F0"/>
    <w:rsid w:val="0079753B"/>
    <w:rsid w:val="007A1BB8"/>
    <w:rsid w:val="007A35E0"/>
    <w:rsid w:val="007A6FBF"/>
    <w:rsid w:val="007A7909"/>
    <w:rsid w:val="007A7D73"/>
    <w:rsid w:val="007B02A8"/>
    <w:rsid w:val="007B17AD"/>
    <w:rsid w:val="007B27C0"/>
    <w:rsid w:val="007B5891"/>
    <w:rsid w:val="007B5D5A"/>
    <w:rsid w:val="007B5FE5"/>
    <w:rsid w:val="007B657D"/>
    <w:rsid w:val="007B661B"/>
    <w:rsid w:val="007B70F3"/>
    <w:rsid w:val="007C0171"/>
    <w:rsid w:val="007C1FCA"/>
    <w:rsid w:val="007C2872"/>
    <w:rsid w:val="007C2DA0"/>
    <w:rsid w:val="007C2F0D"/>
    <w:rsid w:val="007C4A76"/>
    <w:rsid w:val="007C4C83"/>
    <w:rsid w:val="007C5704"/>
    <w:rsid w:val="007C58D4"/>
    <w:rsid w:val="007C64E9"/>
    <w:rsid w:val="007D02A1"/>
    <w:rsid w:val="007D1A1C"/>
    <w:rsid w:val="007D23A6"/>
    <w:rsid w:val="007D4025"/>
    <w:rsid w:val="007D4AC5"/>
    <w:rsid w:val="007D4EFE"/>
    <w:rsid w:val="007D52B7"/>
    <w:rsid w:val="007D666C"/>
    <w:rsid w:val="007D6C66"/>
    <w:rsid w:val="007E029B"/>
    <w:rsid w:val="007E0BF1"/>
    <w:rsid w:val="007E0CE4"/>
    <w:rsid w:val="007E2C86"/>
    <w:rsid w:val="007E33A6"/>
    <w:rsid w:val="007E37FD"/>
    <w:rsid w:val="007E4E82"/>
    <w:rsid w:val="007E5F13"/>
    <w:rsid w:val="007E78B4"/>
    <w:rsid w:val="007E7B36"/>
    <w:rsid w:val="007F07AB"/>
    <w:rsid w:val="007F08C5"/>
    <w:rsid w:val="007F0A89"/>
    <w:rsid w:val="007F10A4"/>
    <w:rsid w:val="007F16CA"/>
    <w:rsid w:val="007F1F07"/>
    <w:rsid w:val="007F2956"/>
    <w:rsid w:val="007F2D02"/>
    <w:rsid w:val="007F40D6"/>
    <w:rsid w:val="007F45C8"/>
    <w:rsid w:val="007F61C7"/>
    <w:rsid w:val="007F6300"/>
    <w:rsid w:val="00801132"/>
    <w:rsid w:val="008030F5"/>
    <w:rsid w:val="00803E55"/>
    <w:rsid w:val="0080505A"/>
    <w:rsid w:val="00805B5F"/>
    <w:rsid w:val="00805FC0"/>
    <w:rsid w:val="00806205"/>
    <w:rsid w:val="00806391"/>
    <w:rsid w:val="008066BB"/>
    <w:rsid w:val="00806F9C"/>
    <w:rsid w:val="00807F85"/>
    <w:rsid w:val="008102BB"/>
    <w:rsid w:val="00811FE2"/>
    <w:rsid w:val="008126A6"/>
    <w:rsid w:val="00812FD2"/>
    <w:rsid w:val="0081429A"/>
    <w:rsid w:val="00816AF0"/>
    <w:rsid w:val="008175B9"/>
    <w:rsid w:val="00821693"/>
    <w:rsid w:val="0082348D"/>
    <w:rsid w:val="00825060"/>
    <w:rsid w:val="008268CD"/>
    <w:rsid w:val="008270D7"/>
    <w:rsid w:val="008315F2"/>
    <w:rsid w:val="00833844"/>
    <w:rsid w:val="0083413A"/>
    <w:rsid w:val="00835E99"/>
    <w:rsid w:val="00840194"/>
    <w:rsid w:val="008404DA"/>
    <w:rsid w:val="008454CD"/>
    <w:rsid w:val="008456CB"/>
    <w:rsid w:val="008466DF"/>
    <w:rsid w:val="00847E22"/>
    <w:rsid w:val="00847F3A"/>
    <w:rsid w:val="00850043"/>
    <w:rsid w:val="00851A29"/>
    <w:rsid w:val="00851DC6"/>
    <w:rsid w:val="0085398E"/>
    <w:rsid w:val="00853DB1"/>
    <w:rsid w:val="00854190"/>
    <w:rsid w:val="00855C1D"/>
    <w:rsid w:val="00856019"/>
    <w:rsid w:val="008566F9"/>
    <w:rsid w:val="00857D12"/>
    <w:rsid w:val="008611A0"/>
    <w:rsid w:val="008620DC"/>
    <w:rsid w:val="00862465"/>
    <w:rsid w:val="00864495"/>
    <w:rsid w:val="00864784"/>
    <w:rsid w:val="00864AC0"/>
    <w:rsid w:val="008659F5"/>
    <w:rsid w:val="008667B0"/>
    <w:rsid w:val="008676B2"/>
    <w:rsid w:val="00870102"/>
    <w:rsid w:val="00870714"/>
    <w:rsid w:val="00870D1C"/>
    <w:rsid w:val="00871DD4"/>
    <w:rsid w:val="008722D9"/>
    <w:rsid w:val="00872847"/>
    <w:rsid w:val="00872976"/>
    <w:rsid w:val="00873666"/>
    <w:rsid w:val="008743BF"/>
    <w:rsid w:val="0087441A"/>
    <w:rsid w:val="00877D52"/>
    <w:rsid w:val="00881CB5"/>
    <w:rsid w:val="00881D23"/>
    <w:rsid w:val="008820E6"/>
    <w:rsid w:val="00882583"/>
    <w:rsid w:val="008825F4"/>
    <w:rsid w:val="0088279B"/>
    <w:rsid w:val="00884E72"/>
    <w:rsid w:val="008857AA"/>
    <w:rsid w:val="00886491"/>
    <w:rsid w:val="00886D42"/>
    <w:rsid w:val="0089060C"/>
    <w:rsid w:val="00890D45"/>
    <w:rsid w:val="00891074"/>
    <w:rsid w:val="008910AF"/>
    <w:rsid w:val="0089246C"/>
    <w:rsid w:val="00892903"/>
    <w:rsid w:val="00892B10"/>
    <w:rsid w:val="00893782"/>
    <w:rsid w:val="00893FAA"/>
    <w:rsid w:val="00895ED5"/>
    <w:rsid w:val="00895EF3"/>
    <w:rsid w:val="008965E9"/>
    <w:rsid w:val="00897332"/>
    <w:rsid w:val="008A0F96"/>
    <w:rsid w:val="008A1BEE"/>
    <w:rsid w:val="008A21AE"/>
    <w:rsid w:val="008A304A"/>
    <w:rsid w:val="008A389F"/>
    <w:rsid w:val="008A3A35"/>
    <w:rsid w:val="008A531D"/>
    <w:rsid w:val="008A594F"/>
    <w:rsid w:val="008B035D"/>
    <w:rsid w:val="008B0EB9"/>
    <w:rsid w:val="008B1328"/>
    <w:rsid w:val="008B3232"/>
    <w:rsid w:val="008B3FEF"/>
    <w:rsid w:val="008B6D55"/>
    <w:rsid w:val="008C3B72"/>
    <w:rsid w:val="008C3E6D"/>
    <w:rsid w:val="008C4379"/>
    <w:rsid w:val="008C5FB5"/>
    <w:rsid w:val="008C67EB"/>
    <w:rsid w:val="008C782F"/>
    <w:rsid w:val="008C7E08"/>
    <w:rsid w:val="008D09E3"/>
    <w:rsid w:val="008D0F71"/>
    <w:rsid w:val="008D1230"/>
    <w:rsid w:val="008D240C"/>
    <w:rsid w:val="008D2512"/>
    <w:rsid w:val="008D487B"/>
    <w:rsid w:val="008D49F6"/>
    <w:rsid w:val="008D5313"/>
    <w:rsid w:val="008D576F"/>
    <w:rsid w:val="008D61A3"/>
    <w:rsid w:val="008D6C27"/>
    <w:rsid w:val="008D7067"/>
    <w:rsid w:val="008D7CA2"/>
    <w:rsid w:val="008E02B4"/>
    <w:rsid w:val="008E0A13"/>
    <w:rsid w:val="008E1318"/>
    <w:rsid w:val="008E1BD7"/>
    <w:rsid w:val="008E265E"/>
    <w:rsid w:val="008E31EC"/>
    <w:rsid w:val="008E48CE"/>
    <w:rsid w:val="008E56B6"/>
    <w:rsid w:val="008F06AA"/>
    <w:rsid w:val="008F11D5"/>
    <w:rsid w:val="008F11E2"/>
    <w:rsid w:val="008F35E5"/>
    <w:rsid w:val="008F472D"/>
    <w:rsid w:val="008F659D"/>
    <w:rsid w:val="008F69D5"/>
    <w:rsid w:val="008F6F41"/>
    <w:rsid w:val="008F7874"/>
    <w:rsid w:val="0090041E"/>
    <w:rsid w:val="009008CB"/>
    <w:rsid w:val="0090211A"/>
    <w:rsid w:val="009025CC"/>
    <w:rsid w:val="00903A4E"/>
    <w:rsid w:val="009047C8"/>
    <w:rsid w:val="00904D42"/>
    <w:rsid w:val="0090528F"/>
    <w:rsid w:val="009065D8"/>
    <w:rsid w:val="00906FDC"/>
    <w:rsid w:val="00907436"/>
    <w:rsid w:val="00907818"/>
    <w:rsid w:val="009100B7"/>
    <w:rsid w:val="009104D4"/>
    <w:rsid w:val="00910CBA"/>
    <w:rsid w:val="00912FA3"/>
    <w:rsid w:val="00912FEF"/>
    <w:rsid w:val="009139AF"/>
    <w:rsid w:val="00914F70"/>
    <w:rsid w:val="00914FD1"/>
    <w:rsid w:val="00915B01"/>
    <w:rsid w:val="00915CEC"/>
    <w:rsid w:val="00915DC5"/>
    <w:rsid w:val="0091603D"/>
    <w:rsid w:val="009224FC"/>
    <w:rsid w:val="00926110"/>
    <w:rsid w:val="00926293"/>
    <w:rsid w:val="009263C2"/>
    <w:rsid w:val="009308CD"/>
    <w:rsid w:val="00930E42"/>
    <w:rsid w:val="009331BD"/>
    <w:rsid w:val="00934899"/>
    <w:rsid w:val="009358CC"/>
    <w:rsid w:val="00936B8C"/>
    <w:rsid w:val="00937940"/>
    <w:rsid w:val="009420E7"/>
    <w:rsid w:val="009423B8"/>
    <w:rsid w:val="009430BD"/>
    <w:rsid w:val="00943C78"/>
    <w:rsid w:val="00943FFA"/>
    <w:rsid w:val="00944D10"/>
    <w:rsid w:val="00945AF2"/>
    <w:rsid w:val="00945EB2"/>
    <w:rsid w:val="009471C7"/>
    <w:rsid w:val="00947AC8"/>
    <w:rsid w:val="00947BA5"/>
    <w:rsid w:val="00950AD8"/>
    <w:rsid w:val="00951333"/>
    <w:rsid w:val="00951A46"/>
    <w:rsid w:val="00952CDE"/>
    <w:rsid w:val="0095568B"/>
    <w:rsid w:val="009563E8"/>
    <w:rsid w:val="00957974"/>
    <w:rsid w:val="009579A4"/>
    <w:rsid w:val="00957FF9"/>
    <w:rsid w:val="00960232"/>
    <w:rsid w:val="00960259"/>
    <w:rsid w:val="00961386"/>
    <w:rsid w:val="00961843"/>
    <w:rsid w:val="00962A49"/>
    <w:rsid w:val="009638B3"/>
    <w:rsid w:val="00970450"/>
    <w:rsid w:val="00970853"/>
    <w:rsid w:val="0097099D"/>
    <w:rsid w:val="00972535"/>
    <w:rsid w:val="00975546"/>
    <w:rsid w:val="009767A1"/>
    <w:rsid w:val="00976AD3"/>
    <w:rsid w:val="00977317"/>
    <w:rsid w:val="009774DC"/>
    <w:rsid w:val="00977832"/>
    <w:rsid w:val="009808F6"/>
    <w:rsid w:val="0098288C"/>
    <w:rsid w:val="00983579"/>
    <w:rsid w:val="0098366D"/>
    <w:rsid w:val="009836A6"/>
    <w:rsid w:val="00983D2F"/>
    <w:rsid w:val="00984334"/>
    <w:rsid w:val="00984751"/>
    <w:rsid w:val="0098573B"/>
    <w:rsid w:val="00990401"/>
    <w:rsid w:val="00993E8A"/>
    <w:rsid w:val="00996EDA"/>
    <w:rsid w:val="009976E2"/>
    <w:rsid w:val="009977AA"/>
    <w:rsid w:val="009A05A6"/>
    <w:rsid w:val="009A1A97"/>
    <w:rsid w:val="009A1DCA"/>
    <w:rsid w:val="009A24CC"/>
    <w:rsid w:val="009A3086"/>
    <w:rsid w:val="009A4429"/>
    <w:rsid w:val="009A464E"/>
    <w:rsid w:val="009A4D08"/>
    <w:rsid w:val="009A5048"/>
    <w:rsid w:val="009A515B"/>
    <w:rsid w:val="009A6092"/>
    <w:rsid w:val="009A6859"/>
    <w:rsid w:val="009A7905"/>
    <w:rsid w:val="009B0181"/>
    <w:rsid w:val="009B0E09"/>
    <w:rsid w:val="009B1CBB"/>
    <w:rsid w:val="009B4613"/>
    <w:rsid w:val="009B4FEE"/>
    <w:rsid w:val="009B6DA6"/>
    <w:rsid w:val="009B6FB7"/>
    <w:rsid w:val="009B7D7F"/>
    <w:rsid w:val="009C181E"/>
    <w:rsid w:val="009C4DB6"/>
    <w:rsid w:val="009C4DDF"/>
    <w:rsid w:val="009C5136"/>
    <w:rsid w:val="009C5696"/>
    <w:rsid w:val="009C63C2"/>
    <w:rsid w:val="009C6555"/>
    <w:rsid w:val="009D0908"/>
    <w:rsid w:val="009D1442"/>
    <w:rsid w:val="009D150F"/>
    <w:rsid w:val="009D5E6C"/>
    <w:rsid w:val="009D61B8"/>
    <w:rsid w:val="009D6384"/>
    <w:rsid w:val="009D6C75"/>
    <w:rsid w:val="009D73C5"/>
    <w:rsid w:val="009E1728"/>
    <w:rsid w:val="009E2261"/>
    <w:rsid w:val="009E2662"/>
    <w:rsid w:val="009E33F6"/>
    <w:rsid w:val="009E36B5"/>
    <w:rsid w:val="009E3AA1"/>
    <w:rsid w:val="009E7A41"/>
    <w:rsid w:val="009F012D"/>
    <w:rsid w:val="009F0CA8"/>
    <w:rsid w:val="009F1744"/>
    <w:rsid w:val="009F1949"/>
    <w:rsid w:val="009F1A8B"/>
    <w:rsid w:val="009F4198"/>
    <w:rsid w:val="009F569C"/>
    <w:rsid w:val="009F5B5C"/>
    <w:rsid w:val="009F5C2E"/>
    <w:rsid w:val="009F7CC2"/>
    <w:rsid w:val="00A00BF5"/>
    <w:rsid w:val="00A01EB4"/>
    <w:rsid w:val="00A020B8"/>
    <w:rsid w:val="00A02527"/>
    <w:rsid w:val="00A02AC0"/>
    <w:rsid w:val="00A03236"/>
    <w:rsid w:val="00A0532F"/>
    <w:rsid w:val="00A06127"/>
    <w:rsid w:val="00A071F3"/>
    <w:rsid w:val="00A07E80"/>
    <w:rsid w:val="00A1037F"/>
    <w:rsid w:val="00A10A9C"/>
    <w:rsid w:val="00A114A1"/>
    <w:rsid w:val="00A12522"/>
    <w:rsid w:val="00A144A3"/>
    <w:rsid w:val="00A144D8"/>
    <w:rsid w:val="00A14650"/>
    <w:rsid w:val="00A14763"/>
    <w:rsid w:val="00A16762"/>
    <w:rsid w:val="00A1688A"/>
    <w:rsid w:val="00A1698B"/>
    <w:rsid w:val="00A177F0"/>
    <w:rsid w:val="00A22DEF"/>
    <w:rsid w:val="00A22F5D"/>
    <w:rsid w:val="00A2430B"/>
    <w:rsid w:val="00A246E9"/>
    <w:rsid w:val="00A257D9"/>
    <w:rsid w:val="00A25F05"/>
    <w:rsid w:val="00A26182"/>
    <w:rsid w:val="00A26EDB"/>
    <w:rsid w:val="00A2750F"/>
    <w:rsid w:val="00A278C7"/>
    <w:rsid w:val="00A357AF"/>
    <w:rsid w:val="00A414E1"/>
    <w:rsid w:val="00A41BA7"/>
    <w:rsid w:val="00A42EAA"/>
    <w:rsid w:val="00A43387"/>
    <w:rsid w:val="00A4779D"/>
    <w:rsid w:val="00A47C99"/>
    <w:rsid w:val="00A50114"/>
    <w:rsid w:val="00A51840"/>
    <w:rsid w:val="00A52038"/>
    <w:rsid w:val="00A520B1"/>
    <w:rsid w:val="00A55739"/>
    <w:rsid w:val="00A57344"/>
    <w:rsid w:val="00A5767C"/>
    <w:rsid w:val="00A60208"/>
    <w:rsid w:val="00A60B81"/>
    <w:rsid w:val="00A6286E"/>
    <w:rsid w:val="00A6400E"/>
    <w:rsid w:val="00A64535"/>
    <w:rsid w:val="00A666C1"/>
    <w:rsid w:val="00A7019E"/>
    <w:rsid w:val="00A70AFB"/>
    <w:rsid w:val="00A71271"/>
    <w:rsid w:val="00A7149F"/>
    <w:rsid w:val="00A71A8B"/>
    <w:rsid w:val="00A71F9A"/>
    <w:rsid w:val="00A72EC7"/>
    <w:rsid w:val="00A73218"/>
    <w:rsid w:val="00A732A1"/>
    <w:rsid w:val="00A757DD"/>
    <w:rsid w:val="00A76466"/>
    <w:rsid w:val="00A80ECC"/>
    <w:rsid w:val="00A81442"/>
    <w:rsid w:val="00A83A83"/>
    <w:rsid w:val="00A84275"/>
    <w:rsid w:val="00A84C99"/>
    <w:rsid w:val="00A85C43"/>
    <w:rsid w:val="00A85E41"/>
    <w:rsid w:val="00A8617F"/>
    <w:rsid w:val="00A86819"/>
    <w:rsid w:val="00A870FD"/>
    <w:rsid w:val="00A8750A"/>
    <w:rsid w:val="00A87E96"/>
    <w:rsid w:val="00A90878"/>
    <w:rsid w:val="00A908BE"/>
    <w:rsid w:val="00A9273C"/>
    <w:rsid w:val="00A928C2"/>
    <w:rsid w:val="00A929EE"/>
    <w:rsid w:val="00A941CA"/>
    <w:rsid w:val="00A95256"/>
    <w:rsid w:val="00A95C21"/>
    <w:rsid w:val="00A97B14"/>
    <w:rsid w:val="00AA0A43"/>
    <w:rsid w:val="00AA0A59"/>
    <w:rsid w:val="00AA1435"/>
    <w:rsid w:val="00AA16B8"/>
    <w:rsid w:val="00AA24D9"/>
    <w:rsid w:val="00AA2604"/>
    <w:rsid w:val="00AA2D4E"/>
    <w:rsid w:val="00AA3035"/>
    <w:rsid w:val="00AA6103"/>
    <w:rsid w:val="00AA6453"/>
    <w:rsid w:val="00AA66C1"/>
    <w:rsid w:val="00AA6BA4"/>
    <w:rsid w:val="00AB018D"/>
    <w:rsid w:val="00AB0580"/>
    <w:rsid w:val="00AB12AC"/>
    <w:rsid w:val="00AB1947"/>
    <w:rsid w:val="00AB24BA"/>
    <w:rsid w:val="00AB342B"/>
    <w:rsid w:val="00AB352D"/>
    <w:rsid w:val="00AB36AC"/>
    <w:rsid w:val="00AB39A4"/>
    <w:rsid w:val="00AB4419"/>
    <w:rsid w:val="00AB6E06"/>
    <w:rsid w:val="00AB79C8"/>
    <w:rsid w:val="00AC08E3"/>
    <w:rsid w:val="00AC0E0C"/>
    <w:rsid w:val="00AC1037"/>
    <w:rsid w:val="00AC12D8"/>
    <w:rsid w:val="00AC2661"/>
    <w:rsid w:val="00AC35AF"/>
    <w:rsid w:val="00AC3C60"/>
    <w:rsid w:val="00AC4B7C"/>
    <w:rsid w:val="00AC57E5"/>
    <w:rsid w:val="00AC5A00"/>
    <w:rsid w:val="00AC75B5"/>
    <w:rsid w:val="00AD068B"/>
    <w:rsid w:val="00AD0B10"/>
    <w:rsid w:val="00AD1BCC"/>
    <w:rsid w:val="00AD2C6F"/>
    <w:rsid w:val="00AD4CC5"/>
    <w:rsid w:val="00AD5AF2"/>
    <w:rsid w:val="00AD6D13"/>
    <w:rsid w:val="00AE125F"/>
    <w:rsid w:val="00AE1994"/>
    <w:rsid w:val="00AE3164"/>
    <w:rsid w:val="00AE69C7"/>
    <w:rsid w:val="00AE7A72"/>
    <w:rsid w:val="00AF11ED"/>
    <w:rsid w:val="00AF218D"/>
    <w:rsid w:val="00AF28AD"/>
    <w:rsid w:val="00AF36FE"/>
    <w:rsid w:val="00AF38C7"/>
    <w:rsid w:val="00AF3F59"/>
    <w:rsid w:val="00AF4DF3"/>
    <w:rsid w:val="00AF5DC8"/>
    <w:rsid w:val="00B0052C"/>
    <w:rsid w:val="00B03E8F"/>
    <w:rsid w:val="00B04775"/>
    <w:rsid w:val="00B05188"/>
    <w:rsid w:val="00B05DAB"/>
    <w:rsid w:val="00B067AB"/>
    <w:rsid w:val="00B06E15"/>
    <w:rsid w:val="00B07CAE"/>
    <w:rsid w:val="00B10A25"/>
    <w:rsid w:val="00B10C17"/>
    <w:rsid w:val="00B10FE5"/>
    <w:rsid w:val="00B11E30"/>
    <w:rsid w:val="00B1247A"/>
    <w:rsid w:val="00B13428"/>
    <w:rsid w:val="00B13809"/>
    <w:rsid w:val="00B1407E"/>
    <w:rsid w:val="00B141E8"/>
    <w:rsid w:val="00B16925"/>
    <w:rsid w:val="00B16F18"/>
    <w:rsid w:val="00B20BCD"/>
    <w:rsid w:val="00B22E78"/>
    <w:rsid w:val="00B22F63"/>
    <w:rsid w:val="00B235CA"/>
    <w:rsid w:val="00B2588D"/>
    <w:rsid w:val="00B25E96"/>
    <w:rsid w:val="00B2642D"/>
    <w:rsid w:val="00B2642F"/>
    <w:rsid w:val="00B2720B"/>
    <w:rsid w:val="00B27646"/>
    <w:rsid w:val="00B3003D"/>
    <w:rsid w:val="00B30573"/>
    <w:rsid w:val="00B3068D"/>
    <w:rsid w:val="00B32114"/>
    <w:rsid w:val="00B3228D"/>
    <w:rsid w:val="00B33525"/>
    <w:rsid w:val="00B337FB"/>
    <w:rsid w:val="00B34EF4"/>
    <w:rsid w:val="00B36071"/>
    <w:rsid w:val="00B37804"/>
    <w:rsid w:val="00B403E8"/>
    <w:rsid w:val="00B41DCC"/>
    <w:rsid w:val="00B42535"/>
    <w:rsid w:val="00B4285D"/>
    <w:rsid w:val="00B42B24"/>
    <w:rsid w:val="00B4316B"/>
    <w:rsid w:val="00B437B7"/>
    <w:rsid w:val="00B44088"/>
    <w:rsid w:val="00B445A6"/>
    <w:rsid w:val="00B447B3"/>
    <w:rsid w:val="00B45293"/>
    <w:rsid w:val="00B461D8"/>
    <w:rsid w:val="00B4671E"/>
    <w:rsid w:val="00B4716E"/>
    <w:rsid w:val="00B506AC"/>
    <w:rsid w:val="00B5087D"/>
    <w:rsid w:val="00B518BF"/>
    <w:rsid w:val="00B52170"/>
    <w:rsid w:val="00B521E9"/>
    <w:rsid w:val="00B56AE5"/>
    <w:rsid w:val="00B57E29"/>
    <w:rsid w:val="00B639BE"/>
    <w:rsid w:val="00B64423"/>
    <w:rsid w:val="00B64486"/>
    <w:rsid w:val="00B65809"/>
    <w:rsid w:val="00B717E7"/>
    <w:rsid w:val="00B729D5"/>
    <w:rsid w:val="00B7479B"/>
    <w:rsid w:val="00B74A72"/>
    <w:rsid w:val="00B76371"/>
    <w:rsid w:val="00B8098A"/>
    <w:rsid w:val="00B80CC0"/>
    <w:rsid w:val="00B82C4A"/>
    <w:rsid w:val="00B83E9D"/>
    <w:rsid w:val="00B8455A"/>
    <w:rsid w:val="00B84907"/>
    <w:rsid w:val="00B85023"/>
    <w:rsid w:val="00B85767"/>
    <w:rsid w:val="00B858E0"/>
    <w:rsid w:val="00B87B58"/>
    <w:rsid w:val="00B87C49"/>
    <w:rsid w:val="00B90FB3"/>
    <w:rsid w:val="00B91466"/>
    <w:rsid w:val="00B93346"/>
    <w:rsid w:val="00B941DB"/>
    <w:rsid w:val="00B95673"/>
    <w:rsid w:val="00B95686"/>
    <w:rsid w:val="00B960DB"/>
    <w:rsid w:val="00B96CE1"/>
    <w:rsid w:val="00B9723F"/>
    <w:rsid w:val="00B97579"/>
    <w:rsid w:val="00B97D6A"/>
    <w:rsid w:val="00BA172A"/>
    <w:rsid w:val="00BA38A9"/>
    <w:rsid w:val="00BA417F"/>
    <w:rsid w:val="00BA49C9"/>
    <w:rsid w:val="00BA4F26"/>
    <w:rsid w:val="00BA56C8"/>
    <w:rsid w:val="00BA56E2"/>
    <w:rsid w:val="00BA5EDD"/>
    <w:rsid w:val="00BB0033"/>
    <w:rsid w:val="00BB0AF7"/>
    <w:rsid w:val="00BB1FC3"/>
    <w:rsid w:val="00BB2866"/>
    <w:rsid w:val="00BB2FFB"/>
    <w:rsid w:val="00BB3F99"/>
    <w:rsid w:val="00BB5FA5"/>
    <w:rsid w:val="00BB751C"/>
    <w:rsid w:val="00BB764D"/>
    <w:rsid w:val="00BC0374"/>
    <w:rsid w:val="00BC15D2"/>
    <w:rsid w:val="00BC1930"/>
    <w:rsid w:val="00BC203C"/>
    <w:rsid w:val="00BC20BD"/>
    <w:rsid w:val="00BC2E63"/>
    <w:rsid w:val="00BC3556"/>
    <w:rsid w:val="00BC3E1C"/>
    <w:rsid w:val="00BC534D"/>
    <w:rsid w:val="00BC5BC0"/>
    <w:rsid w:val="00BC61FC"/>
    <w:rsid w:val="00BC646D"/>
    <w:rsid w:val="00BD1211"/>
    <w:rsid w:val="00BD42F8"/>
    <w:rsid w:val="00BD4DA9"/>
    <w:rsid w:val="00BD51B7"/>
    <w:rsid w:val="00BD55D6"/>
    <w:rsid w:val="00BD5F64"/>
    <w:rsid w:val="00BD64FB"/>
    <w:rsid w:val="00BD6A3F"/>
    <w:rsid w:val="00BD7B5A"/>
    <w:rsid w:val="00BD7BF3"/>
    <w:rsid w:val="00BE03B5"/>
    <w:rsid w:val="00BE0A36"/>
    <w:rsid w:val="00BE1009"/>
    <w:rsid w:val="00BE4AFD"/>
    <w:rsid w:val="00BF0D5A"/>
    <w:rsid w:val="00BF1E98"/>
    <w:rsid w:val="00BF45B5"/>
    <w:rsid w:val="00BF48A4"/>
    <w:rsid w:val="00BF58BD"/>
    <w:rsid w:val="00BF590E"/>
    <w:rsid w:val="00BF5C5A"/>
    <w:rsid w:val="00BF73F4"/>
    <w:rsid w:val="00C019C0"/>
    <w:rsid w:val="00C01A39"/>
    <w:rsid w:val="00C01CB1"/>
    <w:rsid w:val="00C01FF9"/>
    <w:rsid w:val="00C04531"/>
    <w:rsid w:val="00C05636"/>
    <w:rsid w:val="00C05857"/>
    <w:rsid w:val="00C0609E"/>
    <w:rsid w:val="00C10771"/>
    <w:rsid w:val="00C1402D"/>
    <w:rsid w:val="00C154B0"/>
    <w:rsid w:val="00C15C17"/>
    <w:rsid w:val="00C168B8"/>
    <w:rsid w:val="00C16997"/>
    <w:rsid w:val="00C17244"/>
    <w:rsid w:val="00C212A4"/>
    <w:rsid w:val="00C224C2"/>
    <w:rsid w:val="00C23A88"/>
    <w:rsid w:val="00C253FE"/>
    <w:rsid w:val="00C25EA6"/>
    <w:rsid w:val="00C26803"/>
    <w:rsid w:val="00C311F5"/>
    <w:rsid w:val="00C31BC2"/>
    <w:rsid w:val="00C31CD3"/>
    <w:rsid w:val="00C320FB"/>
    <w:rsid w:val="00C322BF"/>
    <w:rsid w:val="00C331BB"/>
    <w:rsid w:val="00C33B31"/>
    <w:rsid w:val="00C35854"/>
    <w:rsid w:val="00C35F67"/>
    <w:rsid w:val="00C407F3"/>
    <w:rsid w:val="00C408DB"/>
    <w:rsid w:val="00C4207F"/>
    <w:rsid w:val="00C46358"/>
    <w:rsid w:val="00C4653C"/>
    <w:rsid w:val="00C50104"/>
    <w:rsid w:val="00C50233"/>
    <w:rsid w:val="00C50E1A"/>
    <w:rsid w:val="00C53046"/>
    <w:rsid w:val="00C53C29"/>
    <w:rsid w:val="00C552C2"/>
    <w:rsid w:val="00C60A8B"/>
    <w:rsid w:val="00C617BE"/>
    <w:rsid w:val="00C62B5E"/>
    <w:rsid w:val="00C62C4C"/>
    <w:rsid w:val="00C64001"/>
    <w:rsid w:val="00C64546"/>
    <w:rsid w:val="00C65737"/>
    <w:rsid w:val="00C659ED"/>
    <w:rsid w:val="00C65E53"/>
    <w:rsid w:val="00C66678"/>
    <w:rsid w:val="00C66EF2"/>
    <w:rsid w:val="00C6774E"/>
    <w:rsid w:val="00C70439"/>
    <w:rsid w:val="00C71B8F"/>
    <w:rsid w:val="00C720E9"/>
    <w:rsid w:val="00C7355E"/>
    <w:rsid w:val="00C73708"/>
    <w:rsid w:val="00C7383D"/>
    <w:rsid w:val="00C73C02"/>
    <w:rsid w:val="00C74048"/>
    <w:rsid w:val="00C745AE"/>
    <w:rsid w:val="00C74E3F"/>
    <w:rsid w:val="00C77572"/>
    <w:rsid w:val="00C77948"/>
    <w:rsid w:val="00C83793"/>
    <w:rsid w:val="00C84C93"/>
    <w:rsid w:val="00C8570C"/>
    <w:rsid w:val="00C867C8"/>
    <w:rsid w:val="00C90079"/>
    <w:rsid w:val="00C900FE"/>
    <w:rsid w:val="00C90A46"/>
    <w:rsid w:val="00C92683"/>
    <w:rsid w:val="00C92B88"/>
    <w:rsid w:val="00C93158"/>
    <w:rsid w:val="00C9364C"/>
    <w:rsid w:val="00C93EFF"/>
    <w:rsid w:val="00C94438"/>
    <w:rsid w:val="00C94867"/>
    <w:rsid w:val="00C94C33"/>
    <w:rsid w:val="00C94DCE"/>
    <w:rsid w:val="00C94E04"/>
    <w:rsid w:val="00C951E9"/>
    <w:rsid w:val="00C9579A"/>
    <w:rsid w:val="00C9744E"/>
    <w:rsid w:val="00C975C9"/>
    <w:rsid w:val="00C97815"/>
    <w:rsid w:val="00CA0CF8"/>
    <w:rsid w:val="00CA1CBA"/>
    <w:rsid w:val="00CA3DD4"/>
    <w:rsid w:val="00CA69A8"/>
    <w:rsid w:val="00CA6B72"/>
    <w:rsid w:val="00CA7415"/>
    <w:rsid w:val="00CA74FD"/>
    <w:rsid w:val="00CA7866"/>
    <w:rsid w:val="00CB00F0"/>
    <w:rsid w:val="00CB0619"/>
    <w:rsid w:val="00CB0FD3"/>
    <w:rsid w:val="00CB1B94"/>
    <w:rsid w:val="00CB1D5F"/>
    <w:rsid w:val="00CB1D9D"/>
    <w:rsid w:val="00CB28AA"/>
    <w:rsid w:val="00CB2CC6"/>
    <w:rsid w:val="00CB3A76"/>
    <w:rsid w:val="00CB5392"/>
    <w:rsid w:val="00CB5C47"/>
    <w:rsid w:val="00CB608D"/>
    <w:rsid w:val="00CB6D21"/>
    <w:rsid w:val="00CB6D60"/>
    <w:rsid w:val="00CB6EC2"/>
    <w:rsid w:val="00CB79A1"/>
    <w:rsid w:val="00CC02DD"/>
    <w:rsid w:val="00CC0318"/>
    <w:rsid w:val="00CC0530"/>
    <w:rsid w:val="00CC05B2"/>
    <w:rsid w:val="00CC060E"/>
    <w:rsid w:val="00CC2549"/>
    <w:rsid w:val="00CC2DDE"/>
    <w:rsid w:val="00CC3338"/>
    <w:rsid w:val="00CC3C89"/>
    <w:rsid w:val="00CC648C"/>
    <w:rsid w:val="00CC7510"/>
    <w:rsid w:val="00CC7D61"/>
    <w:rsid w:val="00CD149B"/>
    <w:rsid w:val="00CD214E"/>
    <w:rsid w:val="00CD5288"/>
    <w:rsid w:val="00CD67B5"/>
    <w:rsid w:val="00CD7450"/>
    <w:rsid w:val="00CE0212"/>
    <w:rsid w:val="00CE1014"/>
    <w:rsid w:val="00CE165F"/>
    <w:rsid w:val="00CE21CF"/>
    <w:rsid w:val="00CE2F5F"/>
    <w:rsid w:val="00CE5236"/>
    <w:rsid w:val="00CE5BFC"/>
    <w:rsid w:val="00CE5DCA"/>
    <w:rsid w:val="00CE6DF9"/>
    <w:rsid w:val="00CF04CA"/>
    <w:rsid w:val="00CF05D0"/>
    <w:rsid w:val="00CF0E31"/>
    <w:rsid w:val="00CF1CB7"/>
    <w:rsid w:val="00CF2169"/>
    <w:rsid w:val="00CF38A4"/>
    <w:rsid w:val="00CF3E48"/>
    <w:rsid w:val="00CF3F39"/>
    <w:rsid w:val="00CF5488"/>
    <w:rsid w:val="00CF6D15"/>
    <w:rsid w:val="00CF7040"/>
    <w:rsid w:val="00CF750C"/>
    <w:rsid w:val="00D0203A"/>
    <w:rsid w:val="00D021DB"/>
    <w:rsid w:val="00D03D9E"/>
    <w:rsid w:val="00D03EA1"/>
    <w:rsid w:val="00D04098"/>
    <w:rsid w:val="00D04BC7"/>
    <w:rsid w:val="00D071A8"/>
    <w:rsid w:val="00D10717"/>
    <w:rsid w:val="00D108D2"/>
    <w:rsid w:val="00D10FC9"/>
    <w:rsid w:val="00D12935"/>
    <w:rsid w:val="00D13645"/>
    <w:rsid w:val="00D14C65"/>
    <w:rsid w:val="00D15085"/>
    <w:rsid w:val="00D15281"/>
    <w:rsid w:val="00D157A4"/>
    <w:rsid w:val="00D1645E"/>
    <w:rsid w:val="00D168FB"/>
    <w:rsid w:val="00D16D29"/>
    <w:rsid w:val="00D1792F"/>
    <w:rsid w:val="00D17D09"/>
    <w:rsid w:val="00D20916"/>
    <w:rsid w:val="00D20E42"/>
    <w:rsid w:val="00D2261D"/>
    <w:rsid w:val="00D236FC"/>
    <w:rsid w:val="00D242FD"/>
    <w:rsid w:val="00D24ACA"/>
    <w:rsid w:val="00D25D5E"/>
    <w:rsid w:val="00D27F2C"/>
    <w:rsid w:val="00D30A6F"/>
    <w:rsid w:val="00D31368"/>
    <w:rsid w:val="00D32547"/>
    <w:rsid w:val="00D33278"/>
    <w:rsid w:val="00D347D2"/>
    <w:rsid w:val="00D358D2"/>
    <w:rsid w:val="00D36FE1"/>
    <w:rsid w:val="00D40CC6"/>
    <w:rsid w:val="00D414DA"/>
    <w:rsid w:val="00D42B95"/>
    <w:rsid w:val="00D43613"/>
    <w:rsid w:val="00D45BA3"/>
    <w:rsid w:val="00D462C7"/>
    <w:rsid w:val="00D47140"/>
    <w:rsid w:val="00D4786E"/>
    <w:rsid w:val="00D47FD0"/>
    <w:rsid w:val="00D50C16"/>
    <w:rsid w:val="00D517DA"/>
    <w:rsid w:val="00D520B2"/>
    <w:rsid w:val="00D53F73"/>
    <w:rsid w:val="00D546E7"/>
    <w:rsid w:val="00D5614B"/>
    <w:rsid w:val="00D568EE"/>
    <w:rsid w:val="00D56D0F"/>
    <w:rsid w:val="00D57204"/>
    <w:rsid w:val="00D57A51"/>
    <w:rsid w:val="00D61603"/>
    <w:rsid w:val="00D6204C"/>
    <w:rsid w:val="00D62AF6"/>
    <w:rsid w:val="00D6328E"/>
    <w:rsid w:val="00D648BF"/>
    <w:rsid w:val="00D65B0A"/>
    <w:rsid w:val="00D676D5"/>
    <w:rsid w:val="00D67A35"/>
    <w:rsid w:val="00D705D5"/>
    <w:rsid w:val="00D7105D"/>
    <w:rsid w:val="00D72373"/>
    <w:rsid w:val="00D72C77"/>
    <w:rsid w:val="00D734EC"/>
    <w:rsid w:val="00D73A84"/>
    <w:rsid w:val="00D73B30"/>
    <w:rsid w:val="00D7485D"/>
    <w:rsid w:val="00D7566D"/>
    <w:rsid w:val="00D768EB"/>
    <w:rsid w:val="00D7765B"/>
    <w:rsid w:val="00D77C73"/>
    <w:rsid w:val="00D8042C"/>
    <w:rsid w:val="00D80DD5"/>
    <w:rsid w:val="00D81A21"/>
    <w:rsid w:val="00D823C6"/>
    <w:rsid w:val="00D83FCD"/>
    <w:rsid w:val="00D85ED3"/>
    <w:rsid w:val="00D87B97"/>
    <w:rsid w:val="00D90D8D"/>
    <w:rsid w:val="00D9177C"/>
    <w:rsid w:val="00D91982"/>
    <w:rsid w:val="00D92AD0"/>
    <w:rsid w:val="00D9338E"/>
    <w:rsid w:val="00D93419"/>
    <w:rsid w:val="00D93C28"/>
    <w:rsid w:val="00D95BCC"/>
    <w:rsid w:val="00D967BD"/>
    <w:rsid w:val="00D97A26"/>
    <w:rsid w:val="00D97E49"/>
    <w:rsid w:val="00DA1EE9"/>
    <w:rsid w:val="00DA293A"/>
    <w:rsid w:val="00DA2C5D"/>
    <w:rsid w:val="00DA347B"/>
    <w:rsid w:val="00DA4328"/>
    <w:rsid w:val="00DA4796"/>
    <w:rsid w:val="00DA61AD"/>
    <w:rsid w:val="00DA7DB9"/>
    <w:rsid w:val="00DB104D"/>
    <w:rsid w:val="00DB3C8F"/>
    <w:rsid w:val="00DB46CC"/>
    <w:rsid w:val="00DB4B28"/>
    <w:rsid w:val="00DB4EAB"/>
    <w:rsid w:val="00DB5292"/>
    <w:rsid w:val="00DB5DA9"/>
    <w:rsid w:val="00DB7417"/>
    <w:rsid w:val="00DC0C11"/>
    <w:rsid w:val="00DC328A"/>
    <w:rsid w:val="00DC4924"/>
    <w:rsid w:val="00DC556E"/>
    <w:rsid w:val="00DC6426"/>
    <w:rsid w:val="00DC674C"/>
    <w:rsid w:val="00DC7164"/>
    <w:rsid w:val="00DD0F97"/>
    <w:rsid w:val="00DD2360"/>
    <w:rsid w:val="00DD24D1"/>
    <w:rsid w:val="00DD45CD"/>
    <w:rsid w:val="00DD4A8E"/>
    <w:rsid w:val="00DD5178"/>
    <w:rsid w:val="00DD759F"/>
    <w:rsid w:val="00DE07EE"/>
    <w:rsid w:val="00DE0976"/>
    <w:rsid w:val="00DE3055"/>
    <w:rsid w:val="00DE3268"/>
    <w:rsid w:val="00DE5733"/>
    <w:rsid w:val="00DE5952"/>
    <w:rsid w:val="00DE70AE"/>
    <w:rsid w:val="00DF00E0"/>
    <w:rsid w:val="00DF0C5E"/>
    <w:rsid w:val="00DF153D"/>
    <w:rsid w:val="00DF1C2C"/>
    <w:rsid w:val="00DF20C8"/>
    <w:rsid w:val="00DF2C13"/>
    <w:rsid w:val="00DF2CEF"/>
    <w:rsid w:val="00DF4577"/>
    <w:rsid w:val="00DF7A07"/>
    <w:rsid w:val="00E00755"/>
    <w:rsid w:val="00E00EC4"/>
    <w:rsid w:val="00E03E1A"/>
    <w:rsid w:val="00E0427D"/>
    <w:rsid w:val="00E04FC0"/>
    <w:rsid w:val="00E07861"/>
    <w:rsid w:val="00E10053"/>
    <w:rsid w:val="00E10472"/>
    <w:rsid w:val="00E11110"/>
    <w:rsid w:val="00E111EF"/>
    <w:rsid w:val="00E12866"/>
    <w:rsid w:val="00E14498"/>
    <w:rsid w:val="00E15014"/>
    <w:rsid w:val="00E15AEB"/>
    <w:rsid w:val="00E1785E"/>
    <w:rsid w:val="00E20B15"/>
    <w:rsid w:val="00E22F3F"/>
    <w:rsid w:val="00E23BAB"/>
    <w:rsid w:val="00E23E0B"/>
    <w:rsid w:val="00E23F00"/>
    <w:rsid w:val="00E27281"/>
    <w:rsid w:val="00E27B5F"/>
    <w:rsid w:val="00E27F6D"/>
    <w:rsid w:val="00E30032"/>
    <w:rsid w:val="00E3112C"/>
    <w:rsid w:val="00E3213E"/>
    <w:rsid w:val="00E3317B"/>
    <w:rsid w:val="00E3386F"/>
    <w:rsid w:val="00E3424D"/>
    <w:rsid w:val="00E3605A"/>
    <w:rsid w:val="00E37C53"/>
    <w:rsid w:val="00E40B49"/>
    <w:rsid w:val="00E44BCD"/>
    <w:rsid w:val="00E454BA"/>
    <w:rsid w:val="00E463A1"/>
    <w:rsid w:val="00E5038F"/>
    <w:rsid w:val="00E50F70"/>
    <w:rsid w:val="00E516A6"/>
    <w:rsid w:val="00E52382"/>
    <w:rsid w:val="00E52BFC"/>
    <w:rsid w:val="00E52EE1"/>
    <w:rsid w:val="00E55EFC"/>
    <w:rsid w:val="00E6047F"/>
    <w:rsid w:val="00E61E2B"/>
    <w:rsid w:val="00E62677"/>
    <w:rsid w:val="00E63F7F"/>
    <w:rsid w:val="00E63FE0"/>
    <w:rsid w:val="00E643FA"/>
    <w:rsid w:val="00E66594"/>
    <w:rsid w:val="00E708D5"/>
    <w:rsid w:val="00E729C3"/>
    <w:rsid w:val="00E732C9"/>
    <w:rsid w:val="00E74C2F"/>
    <w:rsid w:val="00E7535A"/>
    <w:rsid w:val="00E76C3A"/>
    <w:rsid w:val="00E77101"/>
    <w:rsid w:val="00E77BCA"/>
    <w:rsid w:val="00E77EE7"/>
    <w:rsid w:val="00E81839"/>
    <w:rsid w:val="00E81FB1"/>
    <w:rsid w:val="00E820A2"/>
    <w:rsid w:val="00E8230A"/>
    <w:rsid w:val="00E82950"/>
    <w:rsid w:val="00E82C0C"/>
    <w:rsid w:val="00E83397"/>
    <w:rsid w:val="00E836B3"/>
    <w:rsid w:val="00E8453F"/>
    <w:rsid w:val="00E8486F"/>
    <w:rsid w:val="00E8515A"/>
    <w:rsid w:val="00E858A7"/>
    <w:rsid w:val="00E868F3"/>
    <w:rsid w:val="00E8716B"/>
    <w:rsid w:val="00E8787F"/>
    <w:rsid w:val="00E87CEE"/>
    <w:rsid w:val="00E900AF"/>
    <w:rsid w:val="00E9176D"/>
    <w:rsid w:val="00E91C6C"/>
    <w:rsid w:val="00E92D8C"/>
    <w:rsid w:val="00E95359"/>
    <w:rsid w:val="00E966FD"/>
    <w:rsid w:val="00E96BF7"/>
    <w:rsid w:val="00EA05BA"/>
    <w:rsid w:val="00EA0715"/>
    <w:rsid w:val="00EA0A1C"/>
    <w:rsid w:val="00EA2DCF"/>
    <w:rsid w:val="00EA3EEC"/>
    <w:rsid w:val="00EA57B1"/>
    <w:rsid w:val="00EA5E6A"/>
    <w:rsid w:val="00EA6FE9"/>
    <w:rsid w:val="00EB0399"/>
    <w:rsid w:val="00EB1AD7"/>
    <w:rsid w:val="00EB2C64"/>
    <w:rsid w:val="00EB2EED"/>
    <w:rsid w:val="00EB2F2C"/>
    <w:rsid w:val="00EB36AD"/>
    <w:rsid w:val="00EB3C69"/>
    <w:rsid w:val="00EB3D5F"/>
    <w:rsid w:val="00EB3E5F"/>
    <w:rsid w:val="00EB531D"/>
    <w:rsid w:val="00EB5CBD"/>
    <w:rsid w:val="00EB62D7"/>
    <w:rsid w:val="00EB6C50"/>
    <w:rsid w:val="00EB6F2B"/>
    <w:rsid w:val="00EB708F"/>
    <w:rsid w:val="00EC126D"/>
    <w:rsid w:val="00EC3AAD"/>
    <w:rsid w:val="00EC4A5C"/>
    <w:rsid w:val="00EC5F71"/>
    <w:rsid w:val="00EC720E"/>
    <w:rsid w:val="00ED1237"/>
    <w:rsid w:val="00ED1277"/>
    <w:rsid w:val="00ED2F8C"/>
    <w:rsid w:val="00ED452D"/>
    <w:rsid w:val="00ED488C"/>
    <w:rsid w:val="00ED4B86"/>
    <w:rsid w:val="00ED525B"/>
    <w:rsid w:val="00ED595A"/>
    <w:rsid w:val="00EE0272"/>
    <w:rsid w:val="00EE1F14"/>
    <w:rsid w:val="00EE3BCE"/>
    <w:rsid w:val="00EE53AB"/>
    <w:rsid w:val="00EE5AD9"/>
    <w:rsid w:val="00EE6358"/>
    <w:rsid w:val="00EE6EA2"/>
    <w:rsid w:val="00EE7B05"/>
    <w:rsid w:val="00EE7D8D"/>
    <w:rsid w:val="00EF0D43"/>
    <w:rsid w:val="00EF1FB7"/>
    <w:rsid w:val="00F00B3C"/>
    <w:rsid w:val="00F01005"/>
    <w:rsid w:val="00F0109D"/>
    <w:rsid w:val="00F01F41"/>
    <w:rsid w:val="00F039E2"/>
    <w:rsid w:val="00F0442B"/>
    <w:rsid w:val="00F052DC"/>
    <w:rsid w:val="00F05700"/>
    <w:rsid w:val="00F10CEF"/>
    <w:rsid w:val="00F110B1"/>
    <w:rsid w:val="00F11D98"/>
    <w:rsid w:val="00F120F4"/>
    <w:rsid w:val="00F123D1"/>
    <w:rsid w:val="00F1406D"/>
    <w:rsid w:val="00F14133"/>
    <w:rsid w:val="00F20CC6"/>
    <w:rsid w:val="00F20F0C"/>
    <w:rsid w:val="00F21173"/>
    <w:rsid w:val="00F2136F"/>
    <w:rsid w:val="00F21E02"/>
    <w:rsid w:val="00F21EDB"/>
    <w:rsid w:val="00F21FAB"/>
    <w:rsid w:val="00F23321"/>
    <w:rsid w:val="00F24239"/>
    <w:rsid w:val="00F24AFC"/>
    <w:rsid w:val="00F24D61"/>
    <w:rsid w:val="00F254C7"/>
    <w:rsid w:val="00F32F3A"/>
    <w:rsid w:val="00F331B0"/>
    <w:rsid w:val="00F345FE"/>
    <w:rsid w:val="00F34E21"/>
    <w:rsid w:val="00F35ABF"/>
    <w:rsid w:val="00F35C76"/>
    <w:rsid w:val="00F37CB3"/>
    <w:rsid w:val="00F37DC9"/>
    <w:rsid w:val="00F40053"/>
    <w:rsid w:val="00F405AC"/>
    <w:rsid w:val="00F438E3"/>
    <w:rsid w:val="00F43D1E"/>
    <w:rsid w:val="00F45B3E"/>
    <w:rsid w:val="00F464BF"/>
    <w:rsid w:val="00F46BA9"/>
    <w:rsid w:val="00F471FA"/>
    <w:rsid w:val="00F52243"/>
    <w:rsid w:val="00F52FD1"/>
    <w:rsid w:val="00F531A0"/>
    <w:rsid w:val="00F541E3"/>
    <w:rsid w:val="00F54329"/>
    <w:rsid w:val="00F545AC"/>
    <w:rsid w:val="00F54FF2"/>
    <w:rsid w:val="00F55212"/>
    <w:rsid w:val="00F55301"/>
    <w:rsid w:val="00F554B9"/>
    <w:rsid w:val="00F56999"/>
    <w:rsid w:val="00F573F1"/>
    <w:rsid w:val="00F602AA"/>
    <w:rsid w:val="00F60422"/>
    <w:rsid w:val="00F60644"/>
    <w:rsid w:val="00F60F91"/>
    <w:rsid w:val="00F615BD"/>
    <w:rsid w:val="00F61EA2"/>
    <w:rsid w:val="00F65020"/>
    <w:rsid w:val="00F664D1"/>
    <w:rsid w:val="00F6767A"/>
    <w:rsid w:val="00F67E6A"/>
    <w:rsid w:val="00F71485"/>
    <w:rsid w:val="00F714C4"/>
    <w:rsid w:val="00F71F1F"/>
    <w:rsid w:val="00F72FB2"/>
    <w:rsid w:val="00F73328"/>
    <w:rsid w:val="00F73F74"/>
    <w:rsid w:val="00F7521F"/>
    <w:rsid w:val="00F75A88"/>
    <w:rsid w:val="00F7728A"/>
    <w:rsid w:val="00F80A00"/>
    <w:rsid w:val="00F811EE"/>
    <w:rsid w:val="00F848CC"/>
    <w:rsid w:val="00F854D8"/>
    <w:rsid w:val="00F860E1"/>
    <w:rsid w:val="00F860F7"/>
    <w:rsid w:val="00F8682A"/>
    <w:rsid w:val="00F8777E"/>
    <w:rsid w:val="00F91676"/>
    <w:rsid w:val="00F91687"/>
    <w:rsid w:val="00F916DE"/>
    <w:rsid w:val="00F9181B"/>
    <w:rsid w:val="00F93181"/>
    <w:rsid w:val="00F934FC"/>
    <w:rsid w:val="00F9553E"/>
    <w:rsid w:val="00F961C9"/>
    <w:rsid w:val="00F97C75"/>
    <w:rsid w:val="00FA03BC"/>
    <w:rsid w:val="00FA2AD8"/>
    <w:rsid w:val="00FA2D2A"/>
    <w:rsid w:val="00FA2E41"/>
    <w:rsid w:val="00FA325B"/>
    <w:rsid w:val="00FA3413"/>
    <w:rsid w:val="00FA5F5A"/>
    <w:rsid w:val="00FA65D3"/>
    <w:rsid w:val="00FA68D2"/>
    <w:rsid w:val="00FA7186"/>
    <w:rsid w:val="00FA7D6B"/>
    <w:rsid w:val="00FB115F"/>
    <w:rsid w:val="00FB19F5"/>
    <w:rsid w:val="00FB2B3A"/>
    <w:rsid w:val="00FB355A"/>
    <w:rsid w:val="00FB4A1C"/>
    <w:rsid w:val="00FB504D"/>
    <w:rsid w:val="00FB51DC"/>
    <w:rsid w:val="00FB5BF0"/>
    <w:rsid w:val="00FB5CD9"/>
    <w:rsid w:val="00FB66CC"/>
    <w:rsid w:val="00FB6924"/>
    <w:rsid w:val="00FB795F"/>
    <w:rsid w:val="00FB7C60"/>
    <w:rsid w:val="00FC1601"/>
    <w:rsid w:val="00FC1884"/>
    <w:rsid w:val="00FC2A77"/>
    <w:rsid w:val="00FC2DE4"/>
    <w:rsid w:val="00FC3DEC"/>
    <w:rsid w:val="00FC6275"/>
    <w:rsid w:val="00FC64FB"/>
    <w:rsid w:val="00FC7377"/>
    <w:rsid w:val="00FD0E2D"/>
    <w:rsid w:val="00FD0F4E"/>
    <w:rsid w:val="00FD12DB"/>
    <w:rsid w:val="00FD1A61"/>
    <w:rsid w:val="00FD3C84"/>
    <w:rsid w:val="00FD4088"/>
    <w:rsid w:val="00FD41A6"/>
    <w:rsid w:val="00FD57E2"/>
    <w:rsid w:val="00FD58B6"/>
    <w:rsid w:val="00FD5D61"/>
    <w:rsid w:val="00FD64E5"/>
    <w:rsid w:val="00FE03F5"/>
    <w:rsid w:val="00FE14E0"/>
    <w:rsid w:val="00FE2E40"/>
    <w:rsid w:val="00FE302F"/>
    <w:rsid w:val="00FE493E"/>
    <w:rsid w:val="00FE4E21"/>
    <w:rsid w:val="00FE5DF6"/>
    <w:rsid w:val="00FF07EE"/>
    <w:rsid w:val="00FF1673"/>
    <w:rsid w:val="00FF1D71"/>
    <w:rsid w:val="00FF2AE4"/>
    <w:rsid w:val="00FF3C7C"/>
    <w:rsid w:val="00FF5794"/>
    <w:rsid w:val="00FF69E1"/>
    <w:rsid w:val="00FF6B3D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3594D"/>
  <w15:docId w15:val="{AE278A13-9C2A-4D53-8A14-E27E9B8F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4AC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45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450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44504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45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450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E1D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47C2E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645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6453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A6453"/>
    <w:rPr>
      <w:vertAlign w:val="superscript"/>
    </w:rPr>
  </w:style>
  <w:style w:type="character" w:customStyle="1" w:styleId="cf01">
    <w:name w:val="cf01"/>
    <w:basedOn w:val="Standardnpsmoodstavce"/>
    <w:rsid w:val="00983579"/>
    <w:rPr>
      <w:rFonts w:ascii="Segoe UI" w:hAnsi="Segoe UI" w:cs="Segoe UI" w:hint="default"/>
      <w:sz w:val="18"/>
      <w:szCs w:val="18"/>
    </w:rPr>
  </w:style>
  <w:style w:type="paragraph" w:customStyle="1" w:styleId="CBANadpisvTABULCE">
    <w:name w:val="CBA Nadpis v TABULCE"/>
    <w:basedOn w:val="Normln"/>
    <w:qFormat/>
    <w:rsid w:val="007341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73410F"/>
    <w:pPr>
      <w:spacing w:before="120" w:after="120"/>
      <w:jc w:val="left"/>
    </w:pPr>
    <w:rPr>
      <w:color w:val="13576B"/>
    </w:rPr>
  </w:style>
  <w:style w:type="character" w:styleId="Nevyeenzmnka">
    <w:name w:val="Unresolved Mention"/>
    <w:basedOn w:val="Standardnpsmoodstavce"/>
    <w:uiPriority w:val="99"/>
    <w:semiHidden/>
    <w:unhideWhenUsed/>
    <w:rsid w:val="00E84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4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hyperlink" Target="https://www.cbamonitor.cz/statistika/nezamestnanost" TargetMode="External"/><Relationship Id="rId17" Type="http://schemas.openxmlformats.org/officeDocument/2006/relationships/image" Target="media/image8.e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hyperlink" Target="https://www.cbamonitor.cz/aktuality/makroekonomicka-prognoza-cba-2q-26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emf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jpeg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88650-8B43-417C-931A-06049C16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2693</Words>
  <Characters>15891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UGIS</Company>
  <LinksUpToDate>false</LinksUpToDate>
  <CharactersWithSpaces>18547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Radana Možná</cp:lastModifiedBy>
  <cp:revision>5</cp:revision>
  <cp:lastPrinted>2026-08-19T07:37:00Z</cp:lastPrinted>
  <dcterms:created xsi:type="dcterms:W3CDTF">2026-08-18T10:35:00Z</dcterms:created>
  <dcterms:modified xsi:type="dcterms:W3CDTF">2026-08-19T09:20:00Z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0254f4-34d0-49c5-b888-af4abf762ef7_Enabled">
    <vt:lpwstr>True</vt:lpwstr>
  </property>
  <property fmtid="{D5CDD505-2E9C-101B-9397-08002B2CF9AE}" pid="3" name="MSIP_Label_390254f4-34d0-49c5-b888-af4abf762ef7_SiteId">
    <vt:lpwstr>2cc49ce9-66a1-41ac-a96b-bdc54247696a</vt:lpwstr>
  </property>
  <property fmtid="{D5CDD505-2E9C-101B-9397-08002B2CF9AE}" pid="4" name="MSIP_Label_390254f4-34d0-49c5-b888-af4abf762ef7_Owner">
    <vt:lpwstr>Pavel.Sobisek@unicreditgroup.cz</vt:lpwstr>
  </property>
  <property fmtid="{D5CDD505-2E9C-101B-9397-08002B2CF9AE}" pid="5" name="MSIP_Label_390254f4-34d0-49c5-b888-af4abf762ef7_SetDate">
    <vt:lpwstr>2020-01-15T16:11:29.8787231Z</vt:lpwstr>
  </property>
  <property fmtid="{D5CDD505-2E9C-101B-9397-08002B2CF9AE}" pid="6" name="MSIP_Label_390254f4-34d0-49c5-b888-af4abf762ef7_Name">
    <vt:lpwstr>Internal Use Only</vt:lpwstr>
  </property>
  <property fmtid="{D5CDD505-2E9C-101B-9397-08002B2CF9AE}" pid="7" name="MSIP_Label_390254f4-34d0-49c5-b888-af4abf762ef7_Application">
    <vt:lpwstr>Microsoft Azure Information Protection</vt:lpwstr>
  </property>
  <property fmtid="{D5CDD505-2E9C-101B-9397-08002B2CF9AE}" pid="8" name="MSIP_Label_390254f4-34d0-49c5-b888-af4abf762ef7_ActionId">
    <vt:lpwstr>43f3763f-d3c6-435c-ae50-a4a40081b5fb</vt:lpwstr>
  </property>
  <property fmtid="{D5CDD505-2E9C-101B-9397-08002B2CF9AE}" pid="9" name="MSIP_Label_390254f4-34d0-49c5-b888-af4abf762ef7_Extended_MSFT_Method">
    <vt:lpwstr>Automatic</vt:lpwstr>
  </property>
  <property fmtid="{D5CDD505-2E9C-101B-9397-08002B2CF9AE}" pid="10" name="MSIP_Label_faa92781-1fcb-4da3-a1a2-e534c28a25f3_Enabled">
    <vt:lpwstr>True</vt:lpwstr>
  </property>
  <property fmtid="{D5CDD505-2E9C-101B-9397-08002B2CF9AE}" pid="11" name="MSIP_Label_faa92781-1fcb-4da3-a1a2-e534c28a25f3_SiteId">
    <vt:lpwstr>2cc49ce9-66a1-41ac-a96b-bdc54247696a</vt:lpwstr>
  </property>
  <property fmtid="{D5CDD505-2E9C-101B-9397-08002B2CF9AE}" pid="12" name="MSIP_Label_faa92781-1fcb-4da3-a1a2-e534c28a25f3_Owner">
    <vt:lpwstr>Pavel.Sobisek@unicreditgroup.cz</vt:lpwstr>
  </property>
  <property fmtid="{D5CDD505-2E9C-101B-9397-08002B2CF9AE}" pid="13" name="MSIP_Label_faa92781-1fcb-4da3-a1a2-e534c28a25f3_SetDate">
    <vt:lpwstr>2020-01-15T16:11:29.8787231Z</vt:lpwstr>
  </property>
  <property fmtid="{D5CDD505-2E9C-101B-9397-08002B2CF9AE}" pid="14" name="MSIP_Label_faa92781-1fcb-4da3-a1a2-e534c28a25f3_Name">
    <vt:lpwstr>in UniCredit Group - no visual markings</vt:lpwstr>
  </property>
  <property fmtid="{D5CDD505-2E9C-101B-9397-08002B2CF9AE}" pid="15" name="MSIP_Label_faa92781-1fcb-4da3-a1a2-e534c28a25f3_Application">
    <vt:lpwstr>Microsoft Azure Information Protection</vt:lpwstr>
  </property>
  <property fmtid="{D5CDD505-2E9C-101B-9397-08002B2CF9AE}" pid="16" name="MSIP_Label_faa92781-1fcb-4da3-a1a2-e534c28a25f3_ActionId">
    <vt:lpwstr>43f3763f-d3c6-435c-ae50-a4a40081b5fb</vt:lpwstr>
  </property>
  <property fmtid="{D5CDD505-2E9C-101B-9397-08002B2CF9AE}" pid="17" name="MSIP_Label_faa92781-1fcb-4da3-a1a2-e534c28a25f3_Parent">
    <vt:lpwstr>390254f4-34d0-49c5-b888-af4abf762ef7</vt:lpwstr>
  </property>
  <property fmtid="{D5CDD505-2E9C-101B-9397-08002B2CF9AE}" pid="18" name="MSIP_Label_faa92781-1fcb-4da3-a1a2-e534c28a25f3_Extended_MSFT_Method">
    <vt:lpwstr>Automatic</vt:lpwstr>
  </property>
  <property fmtid="{D5CDD505-2E9C-101B-9397-08002B2CF9AE}" pid="19" name="MSIP_Label_2b3a104e-2916-42dc-a2f6-6210338509ed_Enabled">
    <vt:lpwstr>True</vt:lpwstr>
  </property>
  <property fmtid="{D5CDD505-2E9C-101B-9397-08002B2CF9AE}" pid="20" name="MSIP_Label_2b3a104e-2916-42dc-a2f6-6210338509ed_SiteId">
    <vt:lpwstr>e70aafb3-2e89-46a5-ba50-66803e8a4411</vt:lpwstr>
  </property>
  <property fmtid="{D5CDD505-2E9C-101B-9397-08002B2CF9AE}" pid="21" name="MSIP_Label_2b3a104e-2916-42dc-a2f6-6210338509ed_Owner">
    <vt:lpwstr>cen87316@csin.cz</vt:lpwstr>
  </property>
  <property fmtid="{D5CDD505-2E9C-101B-9397-08002B2CF9AE}" pid="22" name="MSIP_Label_2b3a104e-2916-42dc-a2f6-6210338509ed_SetDate">
    <vt:lpwstr>2020-01-17T08:10:02.3455520Z</vt:lpwstr>
  </property>
  <property fmtid="{D5CDD505-2E9C-101B-9397-08002B2CF9AE}" pid="23" name="MSIP_Label_2b3a104e-2916-42dc-a2f6-6210338509ed_Name">
    <vt:lpwstr>CS Internal</vt:lpwstr>
  </property>
  <property fmtid="{D5CDD505-2E9C-101B-9397-08002B2CF9AE}" pid="24" name="MSIP_Label_2b3a104e-2916-42dc-a2f6-6210338509ed_Application">
    <vt:lpwstr>Microsoft Azure Information Protection</vt:lpwstr>
  </property>
  <property fmtid="{D5CDD505-2E9C-101B-9397-08002B2CF9AE}" pid="25" name="MSIP_Label_2b3a104e-2916-42dc-a2f6-6210338509ed_ActionId">
    <vt:lpwstr>60b9ebe4-46ae-459c-bf59-6a05f328379e</vt:lpwstr>
  </property>
  <property fmtid="{D5CDD505-2E9C-101B-9397-08002B2CF9AE}" pid="26" name="MSIP_Label_2b3a104e-2916-42dc-a2f6-6210338509ed_Extended_MSFT_Method">
    <vt:lpwstr>Automatic</vt:lpwstr>
  </property>
  <property fmtid="{D5CDD505-2E9C-101B-9397-08002B2CF9AE}" pid="27" name="MSIP_Label_2a6524ed-fb1a-49fd-bafe-15c5e5ffd047_Enabled">
    <vt:lpwstr>true</vt:lpwstr>
  </property>
  <property fmtid="{D5CDD505-2E9C-101B-9397-08002B2CF9AE}" pid="28" name="MSIP_Label_2a6524ed-fb1a-49fd-bafe-15c5e5ffd047_SetDate">
    <vt:lpwstr>2021-05-10T05:54:55Z</vt:lpwstr>
  </property>
  <property fmtid="{D5CDD505-2E9C-101B-9397-08002B2CF9AE}" pid="29" name="MSIP_Label_2a6524ed-fb1a-49fd-bafe-15c5e5ffd047_Method">
    <vt:lpwstr>Standard</vt:lpwstr>
  </property>
  <property fmtid="{D5CDD505-2E9C-101B-9397-08002B2CF9AE}" pid="30" name="MSIP_Label_2a6524ed-fb1a-49fd-bafe-15c5e5ffd047_Name">
    <vt:lpwstr>Internal</vt:lpwstr>
  </property>
  <property fmtid="{D5CDD505-2E9C-101B-9397-08002B2CF9AE}" pid="31" name="MSIP_Label_2a6524ed-fb1a-49fd-bafe-15c5e5ffd047_SiteId">
    <vt:lpwstr>9b511fda-f0b1-43a5-b06e-1e720f64520a</vt:lpwstr>
  </property>
  <property fmtid="{D5CDD505-2E9C-101B-9397-08002B2CF9AE}" pid="32" name="MSIP_Label_2a6524ed-fb1a-49fd-bafe-15c5e5ffd047_ActionId">
    <vt:lpwstr>6e16e441-bca8-45fa-8e42-4b14b422a2ce</vt:lpwstr>
  </property>
  <property fmtid="{D5CDD505-2E9C-101B-9397-08002B2CF9AE}" pid="33" name="MSIP_Label_2a6524ed-fb1a-49fd-bafe-15c5e5ffd047_ContentBits">
    <vt:lpwstr>0</vt:lpwstr>
  </property>
  <property fmtid="{D5CDD505-2E9C-101B-9397-08002B2CF9AE}" pid="34" name="MSIP_Label_63f4bb52-bd44-4e71-98c6-b1e43e6be5b6_Enabled">
    <vt:lpwstr>true</vt:lpwstr>
  </property>
  <property fmtid="{D5CDD505-2E9C-101B-9397-08002B2CF9AE}" pid="35" name="MSIP_Label_63f4bb52-bd44-4e71-98c6-b1e43e6be5b6_SetDate">
    <vt:lpwstr>2022-08-10T09:54:41Z</vt:lpwstr>
  </property>
  <property fmtid="{D5CDD505-2E9C-101B-9397-08002B2CF9AE}" pid="36" name="MSIP_Label_63f4bb52-bd44-4e71-98c6-b1e43e6be5b6_Method">
    <vt:lpwstr>Standard</vt:lpwstr>
  </property>
  <property fmtid="{D5CDD505-2E9C-101B-9397-08002B2CF9AE}" pid="37" name="MSIP_Label_63f4bb52-bd44-4e71-98c6-b1e43e6be5b6_Name">
    <vt:lpwstr>Chráněné</vt:lpwstr>
  </property>
  <property fmtid="{D5CDD505-2E9C-101B-9397-08002B2CF9AE}" pid="38" name="MSIP_Label_63f4bb52-bd44-4e71-98c6-b1e43e6be5b6_SiteId">
    <vt:lpwstr>9cca307d-eed7-47e0-a567-a3b37ba0308b</vt:lpwstr>
  </property>
  <property fmtid="{D5CDD505-2E9C-101B-9397-08002B2CF9AE}" pid="39" name="MSIP_Label_63f4bb52-bd44-4e71-98c6-b1e43e6be5b6_ActionId">
    <vt:lpwstr>ca7f3bf3-cf89-4cf9-9bd8-fcbcfa83b433</vt:lpwstr>
  </property>
  <property fmtid="{D5CDD505-2E9C-101B-9397-08002B2CF9AE}" pid="40" name="MSIP_Label_63f4bb52-bd44-4e71-98c6-b1e43e6be5b6_ContentBits">
    <vt:lpwstr>0</vt:lpwstr>
  </property>
  <property fmtid="{D5CDD505-2E9C-101B-9397-08002B2CF9AE}" pid="41" name="MSIP_Label_95047c84-0a67-483c-b79b-e48654b86430_Enabled">
    <vt:lpwstr>true</vt:lpwstr>
  </property>
  <property fmtid="{D5CDD505-2E9C-101B-9397-08002B2CF9AE}" pid="42" name="MSIP_Label_95047c84-0a67-483c-b79b-e48654b86430_SetDate">
    <vt:lpwstr>2022-11-09T11:52:35Z</vt:lpwstr>
  </property>
  <property fmtid="{D5CDD505-2E9C-101B-9397-08002B2CF9AE}" pid="43" name="MSIP_Label_95047c84-0a67-483c-b79b-e48654b86430_Method">
    <vt:lpwstr>Standard</vt:lpwstr>
  </property>
  <property fmtid="{D5CDD505-2E9C-101B-9397-08002B2CF9AE}" pid="44" name="MSIP_Label_95047c84-0a67-483c-b79b-e48654b86430_Name">
    <vt:lpwstr>defa4170-0d19-0005-0004-bc88714345d2</vt:lpwstr>
  </property>
  <property fmtid="{D5CDD505-2E9C-101B-9397-08002B2CF9AE}" pid="45" name="MSIP_Label_95047c84-0a67-483c-b79b-e48654b86430_SiteId">
    <vt:lpwstr>3f20558b-6d29-4505-a3e9-96d02ae92fa1</vt:lpwstr>
  </property>
  <property fmtid="{D5CDD505-2E9C-101B-9397-08002B2CF9AE}" pid="46" name="MSIP_Label_95047c84-0a67-483c-b79b-e48654b86430_ActionId">
    <vt:lpwstr>09b031df-8fbf-4de6-9fcd-b47722a3820f</vt:lpwstr>
  </property>
  <property fmtid="{D5CDD505-2E9C-101B-9397-08002B2CF9AE}" pid="47" name="MSIP_Label_95047c84-0a67-483c-b79b-e48654b86430_ContentBits">
    <vt:lpwstr>0</vt:lpwstr>
  </property>
  <property fmtid="{D5CDD505-2E9C-101B-9397-08002B2CF9AE}" pid="48" name="MSIP_Label_38939b85-7e40-4a1d-91e1-0e84c3b219d7_Enabled">
    <vt:lpwstr>true</vt:lpwstr>
  </property>
  <property fmtid="{D5CDD505-2E9C-101B-9397-08002B2CF9AE}" pid="49" name="MSIP_Label_38939b85-7e40-4a1d-91e1-0e84c3b219d7_SetDate">
    <vt:lpwstr>2023-08-08T13:09:17Z</vt:lpwstr>
  </property>
  <property fmtid="{D5CDD505-2E9C-101B-9397-08002B2CF9AE}" pid="50" name="MSIP_Label_38939b85-7e40-4a1d-91e1-0e84c3b219d7_Method">
    <vt:lpwstr>Standard</vt:lpwstr>
  </property>
  <property fmtid="{D5CDD505-2E9C-101B-9397-08002B2CF9AE}" pid="51" name="MSIP_Label_38939b85-7e40-4a1d-91e1-0e84c3b219d7_Name">
    <vt:lpwstr>38939b85-7e40-4a1d-91e1-0e84c3b219d7</vt:lpwstr>
  </property>
  <property fmtid="{D5CDD505-2E9C-101B-9397-08002B2CF9AE}" pid="52" name="MSIP_Label_38939b85-7e40-4a1d-91e1-0e84c3b219d7_SiteId">
    <vt:lpwstr>3ad0376a-54d3-49a6-9e20-52de0a92fc89</vt:lpwstr>
  </property>
  <property fmtid="{D5CDD505-2E9C-101B-9397-08002B2CF9AE}" pid="53" name="MSIP_Label_38939b85-7e40-4a1d-91e1-0e84c3b219d7_ActionId">
    <vt:lpwstr>a9bfb157-61e9-41a9-8f12-7ab49d163955</vt:lpwstr>
  </property>
  <property fmtid="{D5CDD505-2E9C-101B-9397-08002B2CF9AE}" pid="54" name="MSIP_Label_38939b85-7e40-4a1d-91e1-0e84c3b219d7_ContentBits">
    <vt:lpwstr>0</vt:lpwstr>
  </property>
  <property fmtid="{D5CDD505-2E9C-101B-9397-08002B2CF9AE}" pid="55" name="MSIP_Label_076d9757-80ae-4c87-b4d7-9ffa7a0710d0_Enabled">
    <vt:lpwstr>true</vt:lpwstr>
  </property>
  <property fmtid="{D5CDD505-2E9C-101B-9397-08002B2CF9AE}" pid="56" name="MSIP_Label_076d9757-80ae-4c87-b4d7-9ffa7a0710d0_SetDate">
    <vt:lpwstr>2023-11-08T08:22:38Z</vt:lpwstr>
  </property>
  <property fmtid="{D5CDD505-2E9C-101B-9397-08002B2CF9AE}" pid="57" name="MSIP_Label_076d9757-80ae-4c87-b4d7-9ffa7a0710d0_Method">
    <vt:lpwstr>Standard</vt:lpwstr>
  </property>
  <property fmtid="{D5CDD505-2E9C-101B-9397-08002B2CF9AE}" pid="58" name="MSIP_Label_076d9757-80ae-4c87-b4d7-9ffa7a0710d0_Name">
    <vt:lpwstr>C1 - Internal</vt:lpwstr>
  </property>
  <property fmtid="{D5CDD505-2E9C-101B-9397-08002B2CF9AE}" pid="59" name="MSIP_Label_076d9757-80ae-4c87-b4d7-9ffa7a0710d0_SiteId">
    <vt:lpwstr>c79e7c80-cff5-4503-b468-3702cea89272</vt:lpwstr>
  </property>
  <property fmtid="{D5CDD505-2E9C-101B-9397-08002B2CF9AE}" pid="60" name="MSIP_Label_076d9757-80ae-4c87-b4d7-9ffa7a0710d0_ActionId">
    <vt:lpwstr>e6da5af1-39f2-4f2b-b59b-984e27099740</vt:lpwstr>
  </property>
  <property fmtid="{D5CDD505-2E9C-101B-9397-08002B2CF9AE}" pid="61" name="MSIP_Label_076d9757-80ae-4c87-b4d7-9ffa7a0710d0_ContentBits">
    <vt:lpwstr>0</vt:lpwstr>
  </property>
  <property fmtid="{D5CDD505-2E9C-101B-9397-08002B2CF9AE}" pid="62" name="Kod_Duvernosti">
    <vt:lpwstr>KB_C1_INTERNAL_992521</vt:lpwstr>
  </property>
</Properties>
</file>