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7CFB2" w14:textId="31B562E9" w:rsidR="004332EC" w:rsidRDefault="004C4605" w:rsidP="004332EC">
      <w:pPr>
        <w:rPr>
          <w:rFonts w:ascii="Calibri" w:hAnsi="Calibri" w:cs="Calibri"/>
          <w:b/>
          <w:color w:val="13576B"/>
          <w:sz w:val="32"/>
          <w:szCs w:val="32"/>
        </w:rPr>
      </w:pPr>
      <w:bookmarkStart w:id="0" w:name="_Hlk221885432"/>
      <w:bookmarkStart w:id="1" w:name="_Hlk111121205"/>
      <w:bookmarkStart w:id="2" w:name="_Hlk116472656"/>
      <w:bookmarkEnd w:id="0"/>
      <w:r w:rsidRPr="00616069">
        <w:rPr>
          <w:rFonts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D226F0A" wp14:editId="7C880E22">
                <wp:simplePos x="0" y="0"/>
                <wp:positionH relativeFrom="margin">
                  <wp:posOffset>2228850</wp:posOffset>
                </wp:positionH>
                <wp:positionV relativeFrom="paragraph">
                  <wp:posOffset>-954405</wp:posOffset>
                </wp:positionV>
                <wp:extent cx="2941608" cy="1404620"/>
                <wp:effectExtent l="0" t="0" r="0" b="0"/>
                <wp:wrapNone/>
                <wp:docPr id="26476176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60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97BB3" w14:textId="3E7BCD9E" w:rsidR="004C4605" w:rsidRPr="00616069" w:rsidRDefault="004C4605" w:rsidP="004C4605">
                            <w:pPr>
                              <w:spacing w:line="276" w:lineRule="auto"/>
                              <w:jc w:val="right"/>
                              <w:rPr>
                                <w:rFonts w:ascii="Calibri" w:hAnsi="Calibri" w:cs="Calibri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226F0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75.5pt;margin-top:-75.15pt;width:231.6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DywDHuAAAAALAQAADwAAAAAAAAAA&#10;AAAAAABUBAAAZHJzL2Rvd25yZXYueG1sUEsFBgAAAAAEAAQA8wAAAGEFAAAAAA==&#10;" filled="f" stroked="f">
                <v:textbox style="mso-fit-shape-to-text:t">
                  <w:txbxContent>
                    <w:p w14:paraId="32B97BB3" w14:textId="3E7BCD9E" w:rsidR="004C4605" w:rsidRPr="00616069" w:rsidRDefault="004C4605" w:rsidP="004C4605">
                      <w:pPr>
                        <w:spacing w:line="276" w:lineRule="auto"/>
                        <w:jc w:val="right"/>
                        <w:rPr>
                          <w:rFonts w:ascii="Calibri" w:hAnsi="Calibri" w:cs="Calibri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D3759"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="003D3759" w:rsidRPr="00616069">
        <w:rPr>
          <w:rFonts w:ascii="Calibri" w:hAnsi="Calibri" w:cs="Calibri"/>
          <w:b/>
          <w:color w:val="13576B"/>
          <w:sz w:val="32"/>
          <w:szCs w:val="32"/>
        </w:rPr>
        <w:t>Hypomonito</w:t>
      </w:r>
      <w:r w:rsidR="007C0E2D">
        <w:rPr>
          <w:rFonts w:ascii="Calibri" w:hAnsi="Calibri" w:cs="Calibri"/>
          <w:b/>
          <w:color w:val="13576B"/>
          <w:sz w:val="32"/>
          <w:szCs w:val="32"/>
        </w:rPr>
        <w:t>r</w:t>
      </w:r>
      <w:proofErr w:type="spellEnd"/>
      <w:r w:rsidR="003D3759" w:rsidRPr="00616069">
        <w:rPr>
          <w:rFonts w:ascii="Calibri" w:hAnsi="Calibri" w:cs="Calibri"/>
          <w:b/>
          <w:color w:val="13576B"/>
          <w:sz w:val="32"/>
          <w:szCs w:val="32"/>
        </w:rPr>
        <w:t>:</w:t>
      </w:r>
      <w:r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bookmarkEnd w:id="1"/>
      <w:r w:rsidR="004332EC" w:rsidRPr="004332EC">
        <w:rPr>
          <w:rFonts w:ascii="Calibri" w:hAnsi="Calibri" w:cs="Calibri"/>
          <w:b/>
          <w:color w:val="13576B"/>
          <w:sz w:val="32"/>
          <w:szCs w:val="32"/>
        </w:rPr>
        <w:t>Vyšší sazby ochladily červencový hypoteční trh, nikoli jeho sílu</w:t>
      </w:r>
    </w:p>
    <w:p w14:paraId="428AA3BB" w14:textId="092C5BCA" w:rsidR="00260E9F" w:rsidRDefault="007967E6" w:rsidP="004332EC">
      <w:pPr>
        <w:rPr>
          <w:rFonts w:ascii="Calibri" w:hAnsi="Calibri" w:cs="Calibri"/>
          <w:b/>
          <w:bCs/>
          <w:color w:val="13576B"/>
          <w:sz w:val="22"/>
          <w:szCs w:val="22"/>
        </w:rPr>
      </w:pPr>
      <w:r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Praha, </w:t>
      </w:r>
      <w:r w:rsidR="00C016C1">
        <w:rPr>
          <w:rFonts w:ascii="Calibri" w:hAnsi="Calibri" w:cs="Calibri"/>
          <w:b/>
          <w:bCs/>
          <w:color w:val="13576B"/>
          <w:sz w:val="22"/>
          <w:szCs w:val="22"/>
        </w:rPr>
        <w:t>1</w:t>
      </w:r>
      <w:r w:rsidR="004635CE">
        <w:rPr>
          <w:rFonts w:ascii="Calibri" w:hAnsi="Calibri" w:cs="Calibri"/>
          <w:b/>
          <w:bCs/>
          <w:color w:val="13576B"/>
          <w:sz w:val="22"/>
          <w:szCs w:val="22"/>
        </w:rPr>
        <w:t>4</w:t>
      </w:r>
      <w:r w:rsidRPr="006B4CAC">
        <w:rPr>
          <w:rFonts w:ascii="Calibri" w:hAnsi="Calibri" w:cs="Calibri"/>
          <w:b/>
          <w:bCs/>
          <w:color w:val="13576B"/>
          <w:sz w:val="22"/>
          <w:szCs w:val="22"/>
        </w:rPr>
        <w:t>.</w:t>
      </w:r>
      <w:r w:rsidR="00EE64D0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4635CE">
        <w:rPr>
          <w:rFonts w:ascii="Calibri" w:hAnsi="Calibri" w:cs="Calibri"/>
          <w:b/>
          <w:bCs/>
          <w:color w:val="13576B"/>
          <w:sz w:val="22"/>
          <w:szCs w:val="22"/>
        </w:rPr>
        <w:t>srpen</w:t>
      </w:r>
      <w:r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3C392F" w:rsidRPr="006B4CAC">
        <w:rPr>
          <w:rFonts w:ascii="Calibri" w:hAnsi="Calibri" w:cs="Calibri"/>
          <w:b/>
          <w:bCs/>
          <w:color w:val="13576B"/>
          <w:sz w:val="22"/>
          <w:szCs w:val="22"/>
        </w:rPr>
        <w:t>202</w:t>
      </w:r>
      <w:r w:rsidR="00C016C1">
        <w:rPr>
          <w:rFonts w:ascii="Calibri" w:hAnsi="Calibri" w:cs="Calibri"/>
          <w:b/>
          <w:bCs/>
          <w:color w:val="13576B"/>
          <w:sz w:val="22"/>
          <w:szCs w:val="22"/>
        </w:rPr>
        <w:t>6</w:t>
      </w:r>
      <w:r w:rsidR="003C392F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–</w:t>
      </w:r>
      <w:r w:rsidR="003D472E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4332EC" w:rsidRPr="004332EC">
        <w:rPr>
          <w:rFonts w:ascii="Calibri" w:hAnsi="Calibri" w:cs="Calibri"/>
          <w:b/>
          <w:bCs/>
          <w:color w:val="13576B"/>
          <w:sz w:val="22"/>
          <w:szCs w:val="22"/>
        </w:rPr>
        <w:t xml:space="preserve">Banky a stavební spořitelny poskytly v červenci 2026 skutečně nové hypotéky bez refinancování v objemu 30,8 miliardy Kč. Meziměsíčně šlo o pokles o 16 %, který však odpovídal obvyklému </w:t>
      </w:r>
      <w:r w:rsidR="004332EC">
        <w:rPr>
          <w:rFonts w:ascii="Calibri" w:hAnsi="Calibri" w:cs="Calibri"/>
          <w:b/>
          <w:bCs/>
          <w:color w:val="13576B"/>
          <w:sz w:val="22"/>
          <w:szCs w:val="22"/>
        </w:rPr>
        <w:t>letnímu</w:t>
      </w:r>
      <w:r w:rsidR="004332EC" w:rsidRPr="004332EC">
        <w:rPr>
          <w:rFonts w:ascii="Calibri" w:hAnsi="Calibri" w:cs="Calibri"/>
          <w:b/>
          <w:bCs/>
          <w:color w:val="13576B"/>
          <w:sz w:val="22"/>
          <w:szCs w:val="22"/>
        </w:rPr>
        <w:t xml:space="preserve"> útlumu. Po očištění o sezónní vlivy zůstaly objemy v zásadě na červnové úrovni. Od začátku roku dosáhl objem nových hypoték 247 miliard Kč, tedy o 67 miliard více než ve stejném období loni. Průměrná realizovaná sazba u nových hypoték vzrostla z červnových 4,79 % na 4,9 %</w:t>
      </w:r>
      <w:r w:rsidR="004332EC">
        <w:rPr>
          <w:rFonts w:ascii="Calibri" w:hAnsi="Calibri" w:cs="Calibri"/>
          <w:b/>
          <w:bCs/>
          <w:color w:val="13576B"/>
          <w:sz w:val="22"/>
          <w:szCs w:val="22"/>
        </w:rPr>
        <w:t xml:space="preserve">. Zůstává však </w:t>
      </w:r>
      <w:r w:rsidR="004332EC" w:rsidRPr="004332EC">
        <w:rPr>
          <w:rFonts w:ascii="Calibri" w:hAnsi="Calibri" w:cs="Calibri"/>
          <w:b/>
          <w:bCs/>
          <w:color w:val="13576B"/>
          <w:sz w:val="22"/>
          <w:szCs w:val="22"/>
        </w:rPr>
        <w:t xml:space="preserve">nadále pod úrovní, kterou by naznačovalo </w:t>
      </w:r>
      <w:r w:rsidR="004332EC">
        <w:rPr>
          <w:rFonts w:ascii="Calibri" w:hAnsi="Calibri" w:cs="Calibri"/>
          <w:b/>
          <w:bCs/>
          <w:color w:val="13576B"/>
          <w:sz w:val="22"/>
          <w:szCs w:val="22"/>
        </w:rPr>
        <w:t>obvyklé</w:t>
      </w:r>
      <w:r w:rsidR="004332EC" w:rsidRPr="004332EC">
        <w:rPr>
          <w:rFonts w:ascii="Calibri" w:hAnsi="Calibri" w:cs="Calibri"/>
          <w:b/>
          <w:bCs/>
          <w:color w:val="13576B"/>
          <w:sz w:val="22"/>
          <w:szCs w:val="22"/>
        </w:rPr>
        <w:t xml:space="preserve"> rozpětí</w:t>
      </w:r>
      <w:r w:rsidR="004332EC">
        <w:rPr>
          <w:rFonts w:ascii="Calibri" w:hAnsi="Calibri" w:cs="Calibri"/>
          <w:b/>
          <w:bCs/>
          <w:color w:val="13576B"/>
          <w:sz w:val="22"/>
          <w:szCs w:val="22"/>
        </w:rPr>
        <w:t xml:space="preserve"> vůči tržním úrokům</w:t>
      </w:r>
      <w:r w:rsidR="004332EC" w:rsidRPr="004332EC">
        <w:rPr>
          <w:rFonts w:ascii="Calibri" w:hAnsi="Calibri" w:cs="Calibri"/>
          <w:b/>
          <w:bCs/>
          <w:color w:val="13576B"/>
          <w:sz w:val="22"/>
          <w:szCs w:val="22"/>
        </w:rPr>
        <w:t>. Uvedené informace vycházejí z údajů ČBA Hypomonitoru, který zachycuje data všech tuzemských bank a stavebních spořitelen poskytujících hypoteční úvěry.</w:t>
      </w:r>
      <w:r w:rsidR="00260E9F" w:rsidRPr="00260E9F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</w:p>
    <w:p w14:paraId="23532FC6" w14:textId="755D44C9" w:rsidR="004332EC" w:rsidRDefault="004332EC" w:rsidP="00FC27DC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4332EC">
        <w:rPr>
          <w:rFonts w:ascii="Calibri" w:hAnsi="Calibri" w:cs="Calibri"/>
          <w:b/>
          <w:bCs/>
          <w:color w:val="13576B"/>
          <w:sz w:val="22"/>
          <w:szCs w:val="22"/>
        </w:rPr>
        <w:t xml:space="preserve">Červencová hypoteční čísla ukazují čtyři hlavní tendence. Zaprvé, počty i objemy nových hypoték se stabilizovaly na nižších, ale stále silných úrovních. Zadruhé, růst realizovaných hypotečních sazeb zůstává ve srovnání s tržními sazbami pozvolný. Zatřetí, sazby u refinancovaných hypoték se již neodchylovaly směrem dolů tak výrazně jako v květnu a červnu. A začtvrté,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pravděpodobně </w:t>
      </w:r>
      <w:r w:rsidRPr="004332EC">
        <w:rPr>
          <w:rFonts w:ascii="Calibri" w:hAnsi="Calibri" w:cs="Calibri"/>
          <w:b/>
          <w:bCs/>
          <w:color w:val="13576B"/>
          <w:sz w:val="22"/>
          <w:szCs w:val="22"/>
        </w:rPr>
        <w:t>nižší zastoupení investičních hypoték přispělo k dalšímu poklesu průměrné výše nové hypotéky.</w:t>
      </w:r>
    </w:p>
    <w:p w14:paraId="5D53BBBF" w14:textId="5A265076" w:rsidR="004332EC" w:rsidRDefault="004332EC" w:rsidP="00FC27DC">
      <w:pPr>
        <w:tabs>
          <w:tab w:val="left" w:pos="8080"/>
        </w:tabs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4332EC">
        <w:rPr>
          <w:rFonts w:ascii="Calibri" w:hAnsi="Calibri" w:cs="Calibri"/>
          <w:b/>
          <w:bCs/>
          <w:color w:val="13576B"/>
          <w:sz w:val="22"/>
          <w:szCs w:val="22"/>
        </w:rPr>
        <w:t xml:space="preserve">Slabší červencová čísla, podobně jako v červnu, odrážela odeznění předchozího efektu předzásobení. Část klientů si hypotéku sjednávala dříve ve snaze vyhnout se dopadům vyšších tržních sazeb i dubnovému zpřísnění pravidel ČNB pro tzv. investiční hypotéky. Nižší zastoupení těchto úvěrů se pravděpodobně projevilo také v poklesu průměrné výše nové hypotéky pod 4,6 milionu Kč. Díky tomu zůstala průměrná měsíční splátka nové hypotéky pod 26 tisíci Kč navzdory vyšším úrokovým sazbám. Dopad vyšších sazeb je patrnější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i</w:t>
      </w:r>
      <w:r w:rsidRPr="004332EC">
        <w:rPr>
          <w:rFonts w:ascii="Calibri" w:hAnsi="Calibri" w:cs="Calibri"/>
          <w:b/>
          <w:bCs/>
          <w:color w:val="13576B"/>
          <w:sz w:val="22"/>
          <w:szCs w:val="22"/>
        </w:rPr>
        <w:t xml:space="preserve"> u refinancovaných hypoték, kde sazby sice zůstávají pod úrovní nových úvěrů, rozdíl je však menší než v květnu a červnu.</w:t>
      </w:r>
    </w:p>
    <w:p w14:paraId="543D468B" w14:textId="25BD9B3C" w:rsidR="002B52C8" w:rsidRPr="00C016C1" w:rsidRDefault="004332EC" w:rsidP="00FC27DC">
      <w:pPr>
        <w:tabs>
          <w:tab w:val="left" w:pos="8080"/>
        </w:tabs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4332EC">
        <w:rPr>
          <w:rFonts w:ascii="Calibri" w:hAnsi="Calibri" w:cs="Calibri"/>
          <w:b/>
          <w:bCs/>
          <w:color w:val="13576B"/>
          <w:sz w:val="22"/>
          <w:szCs w:val="22"/>
        </w:rPr>
        <w:t xml:space="preserve">Navzdory slabšímu červencovému výsledku se hypoteční trh ve srovnání s předchozími letošními měsíci neposunul do fáze výraznějšího útlumu. Počty i objemy nových hypoték zůstávají poblíž silných úrovní z druhé poloviny loňského roku. </w:t>
      </w:r>
      <w:r w:rsidR="00555BED">
        <w:rPr>
          <w:rFonts w:ascii="Calibri" w:hAnsi="Calibri" w:cs="Calibri"/>
          <w:b/>
          <w:bCs/>
          <w:color w:val="13576B"/>
          <w:sz w:val="22"/>
          <w:szCs w:val="22"/>
        </w:rPr>
        <w:t>Č</w:t>
      </w:r>
      <w:r w:rsidRPr="004332EC">
        <w:rPr>
          <w:rFonts w:ascii="Calibri" w:hAnsi="Calibri" w:cs="Calibri"/>
          <w:b/>
          <w:bCs/>
          <w:color w:val="13576B"/>
          <w:sz w:val="22"/>
          <w:szCs w:val="22"/>
        </w:rPr>
        <w:t>ervencová čísla by měla podpořit spíše vyčkávací přístup centrální banky</w:t>
      </w:r>
      <w:r w:rsidR="00555BED">
        <w:rPr>
          <w:rFonts w:ascii="Calibri" w:hAnsi="Calibri" w:cs="Calibri"/>
          <w:b/>
          <w:bCs/>
          <w:color w:val="13576B"/>
          <w:sz w:val="22"/>
          <w:szCs w:val="22"/>
        </w:rPr>
        <w:t xml:space="preserve"> při dalším nastavení </w:t>
      </w:r>
      <w:proofErr w:type="spellStart"/>
      <w:r w:rsidR="00555BED" w:rsidRPr="004332EC">
        <w:rPr>
          <w:rFonts w:ascii="Calibri" w:hAnsi="Calibri" w:cs="Calibri"/>
          <w:b/>
          <w:bCs/>
          <w:color w:val="13576B"/>
          <w:sz w:val="22"/>
          <w:szCs w:val="22"/>
        </w:rPr>
        <w:t>makroobezřetnostní</w:t>
      </w:r>
      <w:proofErr w:type="spellEnd"/>
      <w:r w:rsidR="00555BED" w:rsidRPr="004332EC">
        <w:rPr>
          <w:rFonts w:ascii="Calibri" w:hAnsi="Calibri" w:cs="Calibri"/>
          <w:b/>
          <w:bCs/>
          <w:color w:val="13576B"/>
          <w:sz w:val="22"/>
          <w:szCs w:val="22"/>
        </w:rPr>
        <w:t xml:space="preserve"> politiky v oblasti hypoték 10. září</w:t>
      </w:r>
      <w:r w:rsidRPr="004332EC">
        <w:rPr>
          <w:rFonts w:ascii="Calibri" w:hAnsi="Calibri" w:cs="Calibri"/>
          <w:b/>
          <w:bCs/>
          <w:color w:val="13576B"/>
          <w:sz w:val="22"/>
          <w:szCs w:val="22"/>
        </w:rPr>
        <w:t>.</w:t>
      </w:r>
      <w:r w:rsidR="002B52C8"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 Blíže</w:t>
      </w:r>
      <w:r w:rsidR="00555BED">
        <w:rPr>
          <w:rFonts w:ascii="Calibri" w:hAnsi="Calibri" w:cs="Calibri"/>
          <w:b/>
          <w:bCs/>
          <w:color w:val="13576B"/>
          <w:sz w:val="22"/>
          <w:szCs w:val="22"/>
        </w:rPr>
        <w:t xml:space="preserve"> k tomuto</w:t>
      </w:r>
      <w:r w:rsidR="002B52C8"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555BED">
        <w:rPr>
          <w:rFonts w:ascii="Calibri" w:hAnsi="Calibri" w:cs="Calibri"/>
          <w:b/>
          <w:bCs/>
          <w:color w:val="13576B"/>
          <w:sz w:val="22"/>
          <w:szCs w:val="22"/>
        </w:rPr>
        <w:t xml:space="preserve">na </w:t>
      </w:r>
      <w:hyperlink r:id="rId11" w:history="1">
        <w:r w:rsidR="00555BED">
          <w:rPr>
            <w:rStyle w:val="Hypertextovodkaz"/>
            <w:b/>
            <w:bCs/>
          </w:rPr>
          <w:t>ČBA Monitoru</w:t>
        </w:r>
      </w:hyperlink>
      <w:r w:rsidR="00555BED">
        <w:t>.</w:t>
      </w:r>
    </w:p>
    <w:p w14:paraId="4A7C2A28" w14:textId="564676CE" w:rsidR="00425883" w:rsidRDefault="00425883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3F159E">
        <w:rPr>
          <w:rFonts w:ascii="Calibri" w:hAnsi="Calibri" w:cs="Calibri"/>
          <w:b/>
          <w:color w:val="13576B"/>
          <w:sz w:val="23"/>
          <w:szCs w:val="23"/>
        </w:rPr>
        <w:t xml:space="preserve">Tabulka č. 1: Shrnutí objemu poskytnutých hypoték a průměrných úrokových sazeb za </w:t>
      </w:r>
      <w:r w:rsidR="00EA743C">
        <w:rPr>
          <w:rFonts w:ascii="Calibri" w:hAnsi="Calibri" w:cs="Calibri"/>
          <w:b/>
          <w:color w:val="13576B"/>
          <w:sz w:val="23"/>
          <w:szCs w:val="23"/>
        </w:rPr>
        <w:t>červen</w:t>
      </w:r>
      <w:r w:rsidR="004635CE">
        <w:rPr>
          <w:rFonts w:ascii="Calibri" w:hAnsi="Calibri" w:cs="Calibri"/>
          <w:b/>
          <w:color w:val="13576B"/>
          <w:sz w:val="23"/>
          <w:szCs w:val="23"/>
        </w:rPr>
        <w:t>ec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202</w:t>
      </w:r>
      <w:r w:rsidR="00BA3140">
        <w:rPr>
          <w:rFonts w:ascii="Calibri" w:hAnsi="Calibri" w:cs="Calibri"/>
          <w:b/>
          <w:color w:val="13576B"/>
          <w:sz w:val="23"/>
          <w:szCs w:val="23"/>
        </w:rPr>
        <w:t>6</w:t>
      </w:r>
    </w:p>
    <w:tbl>
      <w:tblPr>
        <w:tblW w:w="9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02"/>
        <w:gridCol w:w="960"/>
        <w:gridCol w:w="960"/>
        <w:gridCol w:w="242"/>
        <w:gridCol w:w="993"/>
        <w:gridCol w:w="992"/>
        <w:gridCol w:w="774"/>
      </w:tblGrid>
      <w:tr w:rsidR="003C3451" w:rsidRPr="00A06A94" w14:paraId="23438AFD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3B7281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</w:tcBorders>
            <w:shd w:val="clear" w:color="000000" w:fill="FFFFFF"/>
            <w:vAlign w:val="bottom"/>
          </w:tcPr>
          <w:p w14:paraId="07A4A00D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měsíční hodnoty</w:t>
            </w:r>
          </w:p>
        </w:tc>
        <w:tc>
          <w:tcPr>
            <w:tcW w:w="242" w:type="dxa"/>
            <w:tcBorders>
              <w:top w:val="nil"/>
              <w:right w:val="nil"/>
            </w:tcBorders>
            <w:vAlign w:val="bottom"/>
          </w:tcPr>
          <w:p w14:paraId="519CB663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759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040DDF7E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hodnoty od začátku roku</w:t>
            </w:r>
          </w:p>
        </w:tc>
      </w:tr>
      <w:tr w:rsidR="003C3451" w:rsidRPr="00A06A94" w14:paraId="384D4BC7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7D7CF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 w:val="restar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F207B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DC0F7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F9072A3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  <w:tc>
          <w:tcPr>
            <w:tcW w:w="242" w:type="dxa"/>
            <w:tcBorders>
              <w:left w:val="nil"/>
              <w:right w:val="nil"/>
            </w:tcBorders>
            <w:vAlign w:val="bottom"/>
          </w:tcPr>
          <w:p w14:paraId="538AA5D0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09080B29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Objem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0DB45" w14:textId="77777777" w:rsidR="003C3451" w:rsidRPr="00A06A94" w:rsidRDefault="003C3451" w:rsidP="006E30DB">
            <w:pPr>
              <w:overflowPunct/>
              <w:autoSpaceDE/>
              <w:autoSpaceDN/>
              <w:adjustRightInd/>
              <w:ind w:left="-73" w:firstLine="73"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14:paraId="7A08A275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Sazba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3C3451" w:rsidRPr="00A06A94" w14:paraId="6FF8CBA7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60F314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9FB52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B1CFB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398C1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center"/>
          </w:tcPr>
          <w:p w14:paraId="59E82091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9364FA4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A0ECE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77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836F8EE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</w:tr>
      <w:tr w:rsidR="004635CE" w:rsidRPr="00A06A94" w14:paraId="776CBD73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A9B5FD" w14:textId="77777777" w:rsidR="004635CE" w:rsidRPr="00072DB9" w:rsidRDefault="004635CE" w:rsidP="004635C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7692D" w14:textId="20AE469D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ABB04" w14:textId="64BBD782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9 144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F54FDC" w14:textId="75A7F409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4,88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290588BC" w14:textId="7C62BE91" w:rsidR="004635CE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B57A8" w14:textId="6DE80412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334,5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EAD2F" w14:textId="52D04227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74 518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86C628" w14:textId="3EA67630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4,58</w:t>
            </w:r>
          </w:p>
        </w:tc>
      </w:tr>
      <w:tr w:rsidR="004635CE" w:rsidRPr="00A06A94" w14:paraId="1B1E7FB2" w14:textId="77777777" w:rsidTr="006E30DB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21ACEB93" w14:textId="77777777" w:rsidR="004635CE" w:rsidRPr="00072DB9" w:rsidRDefault="004635CE" w:rsidP="004635CE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01D6378E" w14:textId="0A4DE06B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121DEB33" w14:textId="6D8FD8A8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6 706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20D4C83E" w14:textId="02360A1E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4,90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vAlign w:val="bottom"/>
          </w:tcPr>
          <w:p w14:paraId="1E12AC4C" w14:textId="164590AA" w:rsidR="004635CE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4D6894CF" w14:textId="6AC3F623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246,6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4021A1B1" w14:textId="30CF316C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52 226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solid" w:color="DAF3EA" w:fill="C1F7E9"/>
            <w:vAlign w:val="center"/>
          </w:tcPr>
          <w:p w14:paraId="6544CAA1" w14:textId="1CB5699C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4,60</w:t>
            </w:r>
          </w:p>
        </w:tc>
      </w:tr>
      <w:tr w:rsidR="004635CE" w:rsidRPr="00A06A94" w14:paraId="75B50A3D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59724" w14:textId="77777777" w:rsidR="004635CE" w:rsidRPr="00072DB9" w:rsidRDefault="004635CE" w:rsidP="004635CE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44B38" w14:textId="26F9C05A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68906" w14:textId="15AB0159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37150" w14:textId="51C73294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EE480" w14:textId="3F5FC026" w:rsidR="004635CE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600E58E" w14:textId="6688728E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B73575E" w14:textId="587FE389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2EBA8BD" w14:textId="31E0C55C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</w:tr>
      <w:tr w:rsidR="004635CE" w:rsidRPr="00A06A94" w14:paraId="7625D4E3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6AD1D" w14:textId="77777777" w:rsidR="004635CE" w:rsidRPr="00072DB9" w:rsidRDefault="004635CE" w:rsidP="004635CE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BFB31" w14:textId="79A8F0A3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04F7B" w14:textId="5125CCBE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4 778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602DE" w14:textId="6F8BB019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4,90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8C8AE" w14:textId="71300055" w:rsidR="004635CE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F378060" w14:textId="112DE2BA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177,4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F448916" w14:textId="7873230E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37 618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34C0342" w14:textId="5D67D9FA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4,60</w:t>
            </w:r>
          </w:p>
        </w:tc>
      </w:tr>
      <w:tr w:rsidR="004635CE" w:rsidRPr="00A06A94" w14:paraId="0E99D021" w14:textId="77777777" w:rsidTr="00976966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50778" w14:textId="77777777" w:rsidR="004635CE" w:rsidRPr="00072DB9" w:rsidRDefault="004635CE" w:rsidP="004635CE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C5BF0" w14:textId="5E088AAF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FDBC1" w14:textId="60D0517C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E6596" w14:textId="603E8EA2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4,82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C099B" w14:textId="2E0C6251" w:rsidR="004635CE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0B9382F" w14:textId="10D7B3E2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AD1162" w14:textId="683ECCA5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8 659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68099D2" w14:textId="7908753C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4,55</w:t>
            </w:r>
          </w:p>
        </w:tc>
      </w:tr>
      <w:tr w:rsidR="004635CE" w:rsidRPr="00A06A94" w14:paraId="501771B5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D2365D" w14:textId="77777777" w:rsidR="004635CE" w:rsidRPr="00072DB9" w:rsidRDefault="004635CE" w:rsidP="004635CE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C665A" w14:textId="44F70970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F58FE" w14:textId="1B9A000D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B6015C" w14:textId="7BDA8E57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5,00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0E5EEE48" w14:textId="5B7524CF" w:rsidR="004635CE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7FB0C" w14:textId="24C22B81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6F2B8" w14:textId="0427CEE0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5 949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EA6453" w14:textId="2ECD2D00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4,68</w:t>
            </w:r>
          </w:p>
        </w:tc>
      </w:tr>
      <w:tr w:rsidR="004635CE" w:rsidRPr="00A06A94" w14:paraId="5D723CBB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721761" w14:textId="77777777" w:rsidR="004635CE" w:rsidRPr="00072DB9" w:rsidRDefault="004635CE" w:rsidP="004635CE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7A9EB" w14:textId="2379129E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E99BA" w14:textId="081E03A1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2 126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C49FD" w14:textId="32922414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4,82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17CF4B73" w14:textId="3C922D8F" w:rsidR="004635CE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E3AC5" w14:textId="16A93F47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14FB1" w14:textId="2B28C07D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19 053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0AEEA7" w14:textId="59BABFFB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4,50</w:t>
            </w:r>
          </w:p>
        </w:tc>
      </w:tr>
      <w:tr w:rsidR="004635CE" w:rsidRPr="00A06A94" w14:paraId="2265D080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90B764" w14:textId="77777777" w:rsidR="004635CE" w:rsidRPr="00072DB9" w:rsidRDefault="004635CE" w:rsidP="004635CE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, navýšené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8288F" w14:textId="4D0EF118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8B663" w14:textId="38BB621B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99ECE4" w14:textId="70373234" w:rsidR="004635CE" w:rsidRPr="00072DB9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4,86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6021B7F9" w14:textId="2CC79C18" w:rsidR="004635CE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BC0CC" w14:textId="496662B8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016D1" w14:textId="4F841A3C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3 239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B83F6B" w14:textId="0C5BBEB8" w:rsidR="004635CE" w:rsidRPr="00A06A94" w:rsidRDefault="004635CE" w:rsidP="00463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4,55</w:t>
            </w:r>
          </w:p>
        </w:tc>
      </w:tr>
    </w:tbl>
    <w:p w14:paraId="7749A713" w14:textId="7DA80B2C" w:rsidR="003C3451" w:rsidRPr="007821A2" w:rsidRDefault="007821A2" w:rsidP="0009562F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Cs/>
          <w:color w:val="13576B"/>
          <w:sz w:val="20"/>
        </w:rPr>
      </w:pPr>
      <w:r w:rsidRPr="007821A2">
        <w:rPr>
          <w:rFonts w:asciiTheme="minorHAnsi" w:hAnsiTheme="minorHAnsi" w:cstheme="minorHAnsi"/>
          <w:bCs/>
          <w:color w:val="13576B"/>
          <w:sz w:val="20"/>
        </w:rPr>
        <w:t xml:space="preserve">Pramen: ČBA </w:t>
      </w:r>
      <w:proofErr w:type="spellStart"/>
      <w:r w:rsidRPr="007821A2">
        <w:rPr>
          <w:rFonts w:asciiTheme="minorHAnsi" w:hAnsiTheme="minorHAnsi" w:cstheme="minorHAnsi"/>
          <w:bCs/>
          <w:color w:val="13576B"/>
          <w:sz w:val="20"/>
        </w:rPr>
        <w:t>Hypomonitor</w:t>
      </w:r>
      <w:proofErr w:type="spellEnd"/>
      <w:r w:rsidRPr="007821A2">
        <w:rPr>
          <w:rFonts w:asciiTheme="minorHAnsi" w:hAnsiTheme="minorHAnsi" w:cstheme="minorHAnsi"/>
          <w:bCs/>
          <w:color w:val="13576B"/>
          <w:sz w:val="20"/>
        </w:rPr>
        <w:t>. Poznámka: sezónně neočištěná data</w:t>
      </w:r>
    </w:p>
    <w:p w14:paraId="0A5C07AA" w14:textId="228BDDBC" w:rsidR="006A4CF3" w:rsidRPr="003C3451" w:rsidRDefault="00D16FB5" w:rsidP="006A4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bookmarkStart w:id="3" w:name="_Hlk111121228"/>
      <w:bookmarkStart w:id="4" w:name="_Hlk119308742"/>
      <w:r w:rsidRPr="00FC27DC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4332EC" w:rsidRPr="004332E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Přísnější pravidla centrální banky, růst hypotečních sazeb v návaznosti na vyšší tržní úroky a pokračující zdražování nemovitostí udržely hypoteční trh i v červenci ve </w:t>
      </w:r>
      <w:proofErr w:type="spellStart"/>
      <w:r w:rsidR="004332EC" w:rsidRPr="004332EC">
        <w:rPr>
          <w:rFonts w:ascii="Calibri" w:hAnsi="Calibri" w:cs="Calibri"/>
          <w:i/>
          <w:iCs/>
          <w:color w:val="000000" w:themeColor="text1"/>
          <w:sz w:val="22"/>
          <w:szCs w:val="22"/>
        </w:rPr>
        <w:t>zklidněnějším</w:t>
      </w:r>
      <w:proofErr w:type="spellEnd"/>
      <w:r w:rsidR="004332EC" w:rsidRPr="004332E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režimu. Pokles průměrné výše hypotéky zároveň naznačuje, že se na trhu pravděpodobně snížil podíl investičních hypoték. Celkov</w:t>
      </w:r>
      <w:r w:rsidR="004332E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ě </w:t>
      </w:r>
      <w:r w:rsidR="004332EC" w:rsidRPr="004332E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však </w:t>
      </w:r>
      <w:r w:rsidR="004332E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hypoteční </w:t>
      </w:r>
      <w:r w:rsidR="004332EC" w:rsidRPr="004332EC">
        <w:rPr>
          <w:rFonts w:ascii="Calibri" w:hAnsi="Calibri" w:cs="Calibri"/>
          <w:i/>
          <w:iCs/>
          <w:color w:val="000000" w:themeColor="text1"/>
          <w:sz w:val="22"/>
          <w:szCs w:val="22"/>
        </w:rPr>
        <w:t>aktivita zůstává na silných úrovních, které jsme pozorovali ve druhé polovině loňského roku</w:t>
      </w:r>
      <w:r w:rsidR="000B7D19" w:rsidRPr="00FC27DC">
        <w:rPr>
          <w:rFonts w:ascii="Calibri" w:hAnsi="Calibri" w:cs="Calibri"/>
          <w:i/>
          <w:iCs/>
          <w:color w:val="000000" w:themeColor="text1"/>
          <w:sz w:val="22"/>
          <w:szCs w:val="22"/>
        </w:rPr>
        <w:t>,</w:t>
      </w:r>
      <w:r w:rsidRPr="00FC27DC">
        <w:rPr>
          <w:rFonts w:ascii="Calibri" w:hAnsi="Calibri" w:cs="Calibri"/>
          <w:i/>
          <w:iCs/>
          <w:color w:val="000000" w:themeColor="text1"/>
          <w:sz w:val="22"/>
          <w:szCs w:val="22"/>
        </w:rPr>
        <w:t>“</w:t>
      </w:r>
      <w:r w:rsidR="006A4CF3" w:rsidRPr="00FC27D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FC27DC">
        <w:rPr>
          <w:rFonts w:ascii="Calibri" w:hAnsi="Calibri" w:cs="Calibri"/>
          <w:color w:val="000000" w:themeColor="text1"/>
          <w:sz w:val="22"/>
          <w:szCs w:val="22"/>
        </w:rPr>
        <w:t>poodkrývá</w:t>
      </w:r>
      <w:r w:rsidR="006A4CF3" w:rsidRPr="00882EFB">
        <w:rPr>
          <w:rFonts w:ascii="Calibri" w:hAnsi="Calibri" w:cs="Calibri"/>
          <w:sz w:val="22"/>
          <w:szCs w:val="22"/>
        </w:rPr>
        <w:t xml:space="preserve"> </w:t>
      </w:r>
      <w:r w:rsidR="006A4CF3">
        <w:rPr>
          <w:rFonts w:ascii="Calibri" w:hAnsi="Calibri" w:cs="Calibri"/>
          <w:b/>
          <w:bCs/>
          <w:sz w:val="22"/>
          <w:szCs w:val="22"/>
        </w:rPr>
        <w:t xml:space="preserve">Jaromír Šindel, hlavní ekonom České bankovní asociace. </w:t>
      </w:r>
    </w:p>
    <w:p w14:paraId="5C0445D2" w14:textId="77777777" w:rsidR="00D17F2A" w:rsidRDefault="00D17F2A" w:rsidP="007E142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B7D1662" w14:textId="5C809C0F" w:rsidR="00677FE7" w:rsidRDefault="004635CE" w:rsidP="007E1421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noProof/>
          <w:color w:val="13576B"/>
          <w:sz w:val="23"/>
          <w:szCs w:val="23"/>
        </w:rPr>
        <w:drawing>
          <wp:inline distT="0" distB="0" distL="0" distR="0" wp14:anchorId="1EBFF23E" wp14:editId="062CA9C6">
            <wp:extent cx="6350612" cy="4819401"/>
            <wp:effectExtent l="0" t="0" r="0" b="635"/>
            <wp:docPr id="14734282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051" cy="482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52A9F" w14:textId="49CDABBE" w:rsidR="007E1421" w:rsidRDefault="00E16BD3" w:rsidP="007E1421">
      <w:pPr>
        <w:overflowPunct/>
        <w:autoSpaceDE/>
        <w:autoSpaceDN/>
        <w:adjustRightInd/>
        <w:spacing w:after="120"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E16BD3">
        <w:rPr>
          <w:rFonts w:ascii="Calibri Light" w:hAnsi="Calibri Light" w:cs="Calibri Light"/>
          <w:color w:val="13576B"/>
          <w:sz w:val="20"/>
        </w:rPr>
        <w:t xml:space="preserve">Poznámka: </w:t>
      </w:r>
      <w:r w:rsidR="004332EC" w:rsidRPr="004332EC">
        <w:rPr>
          <w:rFonts w:ascii="Calibri Light" w:hAnsi="Calibri Light" w:cs="Calibri Light"/>
          <w:color w:val="13576B"/>
          <w:sz w:val="20"/>
        </w:rPr>
        <w:t>Výhled do konce roku má indikativní charakter – vychází z aktuálního trendu, nikoli z modelové predikce. Pro zbytek roku předpokládá 7% korekci počtu hypoték vůči tempu zaznamenanému ve druhém pololetí 2025. Ilustrativně viz graf č. 7.</w:t>
      </w:r>
    </w:p>
    <w:p w14:paraId="05D7F9BE" w14:textId="28DC996B" w:rsidR="00795550" w:rsidRDefault="004635CE" w:rsidP="007E1421">
      <w:pPr>
        <w:overflowPunct/>
        <w:autoSpaceDE/>
        <w:autoSpaceDN/>
        <w:adjustRightInd/>
        <w:spacing w:after="120"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lastRenderedPageBreak/>
        <w:drawing>
          <wp:inline distT="0" distB="0" distL="0" distR="0" wp14:anchorId="6A51A888" wp14:editId="44ABDE49">
            <wp:extent cx="6552047" cy="3956271"/>
            <wp:effectExtent l="0" t="0" r="1270" b="6350"/>
            <wp:docPr id="20801736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167" cy="3964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940DD" w14:textId="77777777" w:rsidR="00845107" w:rsidRDefault="00845107" w:rsidP="0009562F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</w:p>
    <w:p w14:paraId="4C222F62" w14:textId="77777777" w:rsidR="004332EC" w:rsidRDefault="004332EC" w:rsidP="00CC1C2A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4332EC">
        <w:rPr>
          <w:rFonts w:ascii="Calibri" w:hAnsi="Calibri" w:cs="Calibri"/>
          <w:b/>
          <w:color w:val="13576B"/>
          <w:sz w:val="23"/>
          <w:szCs w:val="23"/>
        </w:rPr>
        <w:t>Hypoteční aktivita v létě zvolnila, objemy i počty však zůstávají poblíž silných úrovní z druhé poloviny loňského roku</w:t>
      </w:r>
    </w:p>
    <w:p w14:paraId="2AD506BC" w14:textId="7818026E" w:rsidR="00CC1C2A" w:rsidRPr="00CC1C2A" w:rsidRDefault="00CC1C2A" w:rsidP="00CC1C2A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C1C2A">
        <w:rPr>
          <w:rFonts w:ascii="Calibri" w:hAnsi="Calibri" w:cs="Calibri"/>
          <w:b/>
          <w:bCs/>
          <w:color w:val="000000"/>
          <w:sz w:val="22"/>
          <w:szCs w:val="22"/>
        </w:rPr>
        <w:t xml:space="preserve">Celkově banky a stavební spořitelny v červenci vykázaly nový nekonsolidovaný business v podobě nových a refinancovaných hypoték v objemu 40,4 mld. Kč, což je o 17,4 % méně než před měsícem. </w:t>
      </w:r>
      <w:r w:rsidRPr="00CC1C2A">
        <w:rPr>
          <w:rFonts w:ascii="Calibri" w:hAnsi="Calibri" w:cs="Calibri"/>
          <w:color w:val="000000"/>
          <w:sz w:val="22"/>
          <w:szCs w:val="22"/>
        </w:rPr>
        <w:t xml:space="preserve">V meziročním srovnání stoupl o 7 %. Jejich celkový objem v letošním roce prozatím dosáhl 334 mld. Kč, což představuje 50% nárůst ve srovnání s lednem až červencem předcházejícího roku. </w:t>
      </w:r>
    </w:p>
    <w:p w14:paraId="49702394" w14:textId="77777777" w:rsidR="00CC1C2A" w:rsidRPr="00CC1C2A" w:rsidRDefault="00CC1C2A" w:rsidP="00CC1C2A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33F28F8" w14:textId="3C75DC66" w:rsidR="00CC1C2A" w:rsidRPr="0093758A" w:rsidRDefault="00CC1C2A" w:rsidP="00CC1C2A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CC1C2A">
        <w:rPr>
          <w:rFonts w:ascii="Calibri" w:hAnsi="Calibri" w:cs="Calibri"/>
          <w:b/>
          <w:bCs/>
          <w:color w:val="000000"/>
          <w:sz w:val="22"/>
          <w:szCs w:val="22"/>
        </w:rPr>
        <w:t xml:space="preserve">V červenci poskytly banky a stavební spořitelny skutečně nové hypoteční úvěry bez refinancování za 30,8 mld. Kč. </w:t>
      </w:r>
      <w:r w:rsidRPr="0093758A">
        <w:rPr>
          <w:rFonts w:ascii="Calibri" w:hAnsi="Calibri" w:cs="Calibri"/>
          <w:color w:val="000000"/>
          <w:sz w:val="22"/>
          <w:szCs w:val="22"/>
        </w:rPr>
        <w:t>Oproti červnu tak nová hypoteční aktivita objemově klesla přibližně o 16 %, což zhruba odpovídá sezónnímu vlivu</w:t>
      </w:r>
      <w:r w:rsidR="004332EC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4332EC" w:rsidRPr="004332EC">
        <w:rPr>
          <w:rFonts w:ascii="Calibri" w:hAnsi="Calibri" w:cs="Calibri"/>
          <w:color w:val="000000"/>
          <w:sz w:val="22"/>
          <w:szCs w:val="22"/>
        </w:rPr>
        <w:t>V červenci objem nových hypoték standardně meziměsíčně klesá zhruba o 17 %, zatímco v předchozím měsíci pokles činil 4 % proti obvyklým 7 %. Po sezónním očištění se červencový objem nových hypoték zvýšil o 2,3 % na 30,1 mld. Kč z červnových 29,4 mld. Kč. Zůstal však pod průměrem předchozích tří měsíců, který činil 35,1 mld. Kč. Ve srovnání s druhou polovinou loňského roku byl červencový objem nově poskytnutých hypoték přibližně o 3 % vyšší. Meziroční růst objemu poskytnutých hypoték v červenci dále zvolnil na 3 % z červnových 25 %, zatímco v minulém roce činil průměrný meziroční nárůst 41 %.</w:t>
      </w:r>
    </w:p>
    <w:p w14:paraId="10C573BD" w14:textId="77777777" w:rsidR="002B52C8" w:rsidRPr="002B52C8" w:rsidRDefault="002B52C8" w:rsidP="002B52C8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56320F93" w14:textId="1C23A996" w:rsidR="00795550" w:rsidRPr="00A12D28" w:rsidRDefault="00795550" w:rsidP="0079555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000000" w:themeColor="text1"/>
        </w:rPr>
      </w:pPr>
      <w:r w:rsidRPr="00A12D28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D94A5C" w:rsidRPr="00D94A5C">
        <w:rPr>
          <w:rFonts w:ascii="Calibri" w:hAnsi="Calibri" w:cs="Calibri"/>
          <w:i/>
          <w:iCs/>
          <w:color w:val="000000" w:themeColor="text1"/>
          <w:sz w:val="22"/>
          <w:szCs w:val="22"/>
        </w:rPr>
        <w:t>Po období zvýšeného zájmu o hypotéky v souvislosti s nástupem účinnosti nového doporučení ČNB ohledně poskytování investičních hypoték, trh nyní reaguje na rychle se měnící cenu zdrojů ovlivněnou především geopolitickou situací</w:t>
      </w:r>
      <w:r w:rsidRPr="00A12D28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,“ </w:t>
      </w:r>
      <w:r w:rsidR="00A12D28">
        <w:rPr>
          <w:rFonts w:ascii="Calibri" w:hAnsi="Calibri" w:cs="Calibri"/>
          <w:color w:val="000000" w:themeColor="text1"/>
          <w:sz w:val="22"/>
          <w:szCs w:val="22"/>
        </w:rPr>
        <w:t>podotýká</w:t>
      </w:r>
      <w:r w:rsidRPr="006337E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94A5C" w:rsidRPr="00D94A5C">
        <w:rPr>
          <w:rFonts w:ascii="Calibri" w:hAnsi="Calibri" w:cs="Calibri"/>
          <w:b/>
          <w:bCs/>
          <w:color w:val="000000" w:themeColor="text1"/>
          <w:sz w:val="22"/>
          <w:szCs w:val="22"/>
        </w:rPr>
        <w:t>Jakub Vávr</w:t>
      </w:r>
      <w:r w:rsidR="00D94A5C">
        <w:rPr>
          <w:rFonts w:ascii="Calibri" w:hAnsi="Calibri" w:cs="Calibri"/>
          <w:b/>
          <w:bCs/>
          <w:color w:val="000000" w:themeColor="text1"/>
          <w:sz w:val="22"/>
          <w:szCs w:val="22"/>
        </w:rPr>
        <w:t>a,</w:t>
      </w:r>
      <w:r w:rsidR="00D94A5C" w:rsidRPr="00D94A5C">
        <w:t xml:space="preserve"> </w:t>
      </w:r>
      <w:r w:rsidR="00D94A5C" w:rsidRPr="00D94A5C">
        <w:rPr>
          <w:rFonts w:ascii="Calibri" w:hAnsi="Calibri" w:cs="Calibri"/>
          <w:b/>
          <w:bCs/>
          <w:color w:val="000000" w:themeColor="text1"/>
          <w:sz w:val="22"/>
          <w:szCs w:val="22"/>
        </w:rPr>
        <w:t>hypoteční expert Komerční banky</w:t>
      </w:r>
      <w:r w:rsidR="00845107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78E132BE" w14:textId="5AD7C097" w:rsidR="00142116" w:rsidRDefault="00142116" w:rsidP="0014211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95BE716" w14:textId="48D467E9" w:rsidR="0040774B" w:rsidRDefault="004332EC" w:rsidP="001B2E5E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332EC">
        <w:rPr>
          <w:rFonts w:ascii="Calibri" w:hAnsi="Calibri" w:cs="Calibri"/>
          <w:b/>
          <w:bCs/>
          <w:color w:val="000000"/>
          <w:sz w:val="22"/>
          <w:szCs w:val="22"/>
        </w:rPr>
        <w:t xml:space="preserve">Počet nových hypoték v červenci meziměsíčně klesl o 14 % na 6 706, meziročně byl nižší o 4 %. </w:t>
      </w:r>
      <w:r w:rsidRPr="004332EC">
        <w:rPr>
          <w:rFonts w:ascii="Calibri" w:hAnsi="Calibri" w:cs="Calibri"/>
          <w:color w:val="000000"/>
          <w:sz w:val="22"/>
          <w:szCs w:val="22"/>
        </w:rPr>
        <w:t xml:space="preserve">Po sezónním očištění odhadujeme počet nových hypoték okolo 6 669, tedy přibližně 10 % pod průměrem předchozích tří měsíců, </w:t>
      </w:r>
      <w:r w:rsidRPr="004332EC">
        <w:rPr>
          <w:rFonts w:ascii="Calibri" w:hAnsi="Calibri" w:cs="Calibri"/>
          <w:color w:val="000000"/>
          <w:sz w:val="22"/>
          <w:szCs w:val="22"/>
        </w:rPr>
        <w:lastRenderedPageBreak/>
        <w:t>který činil 7 410. Od začátku roku bylo poskytnuto 52,2 tisíce nových hypoték, meziročně o 20 % více. Pokud by pokračovala dynamika z posledních tří měsíců, tedy z období květen až červenec, mohl by celoroční počet nových hypoték dosáhnout zhruba 85,1 tisíce. Po dubnovém zpřísnění podmínek ČNB a v prostředí vyšších tržních úrokových sazeb však lze očekávat slabší počty nových hypoték. Při 7% korekci vůči tempu druhého loňského pololetí by letošní rok mohl skončit okolo 82 tisíc nových hypoték, tedy stále o 8,4 % výše než loni. Takový výsledek by zůstal pod průměrnými počty okolo 92 tisíc z let 2016 až 2018 a výrazně pod 114 tisíci z roku 2021.</w:t>
      </w:r>
    </w:p>
    <w:p w14:paraId="6CA05FDA" w14:textId="77777777" w:rsidR="004332EC" w:rsidRDefault="004332EC" w:rsidP="001B2E5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4296189D" w14:textId="77777777" w:rsidR="0040774B" w:rsidRDefault="0040774B" w:rsidP="001B2E5E">
      <w:pPr>
        <w:rPr>
          <w:rFonts w:ascii="Calibri" w:hAnsi="Calibri" w:cs="Calibri"/>
          <w:b/>
          <w:color w:val="13576B"/>
          <w:sz w:val="23"/>
          <w:szCs w:val="23"/>
        </w:rPr>
        <w:sectPr w:rsidR="0040774B" w:rsidSect="00A06A94">
          <w:headerReference w:type="default" r:id="rId14"/>
          <w:footerReference w:type="default" r:id="rId15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198A354A" w14:textId="40C91A3C" w:rsidR="00A71689" w:rsidRDefault="00616F34" w:rsidP="00C8784D">
      <w:pPr>
        <w:spacing w:after="120"/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F463BF">
        <w:rPr>
          <w:rFonts w:ascii="Calibri" w:hAnsi="Calibri" w:cs="Calibri"/>
          <w:b/>
          <w:color w:val="13576B"/>
          <w:sz w:val="23"/>
          <w:szCs w:val="23"/>
        </w:rPr>
        <w:t xml:space="preserve">Graf </w:t>
      </w:r>
      <w:r w:rsidR="001B2E5E" w:rsidRPr="00F463BF">
        <w:rPr>
          <w:rFonts w:ascii="Calibri" w:hAnsi="Calibri" w:cs="Calibri"/>
          <w:b/>
          <w:color w:val="13576B"/>
          <w:sz w:val="23"/>
          <w:szCs w:val="23"/>
        </w:rPr>
        <w:t xml:space="preserve">č. </w:t>
      </w:r>
      <w:r w:rsidR="00E27948" w:rsidRPr="00F463BF">
        <w:rPr>
          <w:rFonts w:ascii="Calibri" w:hAnsi="Calibri" w:cs="Calibri"/>
          <w:b/>
          <w:color w:val="13576B"/>
          <w:sz w:val="23"/>
          <w:szCs w:val="23"/>
        </w:rPr>
        <w:t>2</w:t>
      </w:r>
      <w:r w:rsidR="001B2E5E" w:rsidRPr="00F463BF">
        <w:rPr>
          <w:rFonts w:ascii="Calibri" w:hAnsi="Calibri" w:cs="Calibri"/>
          <w:b/>
          <w:color w:val="13576B"/>
          <w:sz w:val="23"/>
          <w:szCs w:val="23"/>
        </w:rPr>
        <w:t>: Nov</w:t>
      </w:r>
      <w:r w:rsidR="00D66E1F">
        <w:rPr>
          <w:rFonts w:ascii="Calibri" w:hAnsi="Calibri" w:cs="Calibri"/>
          <w:b/>
          <w:color w:val="13576B"/>
          <w:sz w:val="23"/>
          <w:szCs w:val="23"/>
        </w:rPr>
        <w:t>ě posk</w:t>
      </w:r>
      <w:r w:rsidR="000B7D19">
        <w:rPr>
          <w:rFonts w:ascii="Calibri" w:hAnsi="Calibri" w:cs="Calibri"/>
          <w:b/>
          <w:color w:val="13576B"/>
          <w:sz w:val="23"/>
          <w:szCs w:val="23"/>
        </w:rPr>
        <w:t>y</w:t>
      </w:r>
      <w:r w:rsidR="00D66E1F">
        <w:rPr>
          <w:rFonts w:ascii="Calibri" w:hAnsi="Calibri" w:cs="Calibri"/>
          <w:b/>
          <w:color w:val="13576B"/>
          <w:sz w:val="23"/>
          <w:szCs w:val="23"/>
        </w:rPr>
        <w:t xml:space="preserve">tnuté </w:t>
      </w:r>
      <w:r w:rsidR="001B2E5E" w:rsidRPr="00F463BF">
        <w:rPr>
          <w:rFonts w:ascii="Calibri" w:hAnsi="Calibri" w:cs="Calibri"/>
          <w:b/>
          <w:color w:val="13576B"/>
          <w:sz w:val="23"/>
          <w:szCs w:val="23"/>
        </w:rPr>
        <w:t>hypotéky bez refinancování</w:t>
      </w:r>
      <w:r w:rsidR="00BC63D5" w:rsidRPr="00F463BF">
        <w:rPr>
          <w:rFonts w:ascii="Calibri" w:hAnsi="Calibri" w:cs="Calibri"/>
          <w:b/>
          <w:color w:val="13576B"/>
          <w:sz w:val="23"/>
          <w:szCs w:val="23"/>
        </w:rPr>
        <w:br/>
      </w:r>
      <w:r w:rsidR="00013D8A">
        <w:rPr>
          <w:rFonts w:ascii="Calibri" w:hAnsi="Calibri" w:cs="Calibri"/>
          <w:bCs/>
          <w:i/>
          <w:iCs/>
          <w:color w:val="13576B"/>
          <w:sz w:val="23"/>
          <w:szCs w:val="23"/>
        </w:rPr>
        <w:t>Červen</w:t>
      </w:r>
      <w:r w:rsidR="004635CE">
        <w:rPr>
          <w:rFonts w:ascii="Calibri" w:hAnsi="Calibri" w:cs="Calibri"/>
          <w:bCs/>
          <w:i/>
          <w:iCs/>
          <w:color w:val="13576B"/>
          <w:sz w:val="23"/>
          <w:szCs w:val="23"/>
        </w:rPr>
        <w:t>ec</w:t>
      </w:r>
      <w:r w:rsidR="00013D8A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přinesl</w:t>
      </w:r>
      <w:r w:rsidR="004635C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další</w:t>
      </w:r>
      <w:r w:rsidR="00013D8A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korekci do </w:t>
      </w:r>
      <w:r w:rsidR="00C8784D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vybraných metrik intenzity nových hypotečních úvěrů … </w:t>
      </w:r>
    </w:p>
    <w:p w14:paraId="593F8D50" w14:textId="44DC5604" w:rsidR="001B2E5E" w:rsidRDefault="001B2E5E" w:rsidP="00C8784D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3:</w:t>
      </w: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 Průměrná výše hypotéky podle účelu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133B2338" w14:textId="0563CC01" w:rsidR="001B2E5E" w:rsidRDefault="00C8784D" w:rsidP="00A71689">
      <w:pPr>
        <w:spacing w:after="120"/>
        <w:rPr>
          <w:rFonts w:ascii="Calibri" w:hAnsi="Calibri" w:cs="Calibri"/>
          <w:color w:val="000000"/>
          <w:sz w:val="22"/>
          <w:szCs w:val="22"/>
        </w:rPr>
        <w:sectPr w:rsidR="001B2E5E" w:rsidSect="001B2E5E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… a to i díky návratu průměrné výše hypotéky pod </w:t>
      </w:r>
      <w:r w:rsidR="004635CE">
        <w:rPr>
          <w:rFonts w:ascii="Calibri" w:hAnsi="Calibri" w:cs="Calibri"/>
          <w:bCs/>
          <w:i/>
          <w:iCs/>
          <w:color w:val="13576B"/>
          <w:sz w:val="23"/>
          <w:szCs w:val="23"/>
        </w:rPr>
        <w:t>jarní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hodnoty</w:t>
      </w:r>
      <w:r w:rsidR="00A71689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. </w:t>
      </w:r>
      <w:r w:rsidR="00A71689" w:rsidRPr="00A71689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="00A71689" w:rsidRPr="00A71689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</w:p>
    <w:p w14:paraId="64EBBCB8" w14:textId="22C2D79D" w:rsidR="00686618" w:rsidRDefault="004635CE" w:rsidP="00606031">
      <w:pPr>
        <w:rPr>
          <w:rFonts w:ascii="Calibri Light" w:hAnsi="Calibri Light" w:cs="Calibri Light"/>
          <w:noProof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1FA4944D" wp14:editId="4E4E52C2">
            <wp:extent cx="3061252" cy="1931653"/>
            <wp:effectExtent l="0" t="0" r="6350" b="0"/>
            <wp:docPr id="8875152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639" cy="1951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1F1E51" w14:textId="77777777" w:rsidR="00436085" w:rsidRPr="00606031" w:rsidRDefault="00436085" w:rsidP="00436085">
      <w:pPr>
        <w:rPr>
          <w:rFonts w:ascii="Calibri" w:hAnsi="Calibri" w:cs="Calibri"/>
          <w:bCs/>
          <w:i/>
          <w:iCs/>
          <w:color w:val="EE0000"/>
          <w:sz w:val="23"/>
          <w:szCs w:val="23"/>
        </w:rPr>
      </w:pPr>
      <w:r>
        <w:rPr>
          <w:rFonts w:ascii="Calibri Light" w:hAnsi="Calibri Light" w:cs="Calibri Light"/>
          <w:color w:val="13576B"/>
          <w:sz w:val="20"/>
        </w:rPr>
        <w:t>P</w:t>
      </w:r>
      <w:r w:rsidRPr="00277397">
        <w:rPr>
          <w:rFonts w:ascii="Calibri Light" w:hAnsi="Calibri Light" w:cs="Calibri Light"/>
          <w:color w:val="13576B"/>
          <w:sz w:val="20"/>
        </w:rPr>
        <w:t>ramen:</w:t>
      </w:r>
      <w:r w:rsidRPr="00686618">
        <w:rPr>
          <w:rFonts w:ascii="Calibri Light" w:hAnsi="Calibri Light" w:cs="Calibri Light"/>
          <w:color w:val="13576B"/>
          <w:sz w:val="20"/>
        </w:rPr>
        <w:t xml:space="preserve"> Česká bankovní asociace, ČNB, ČSÚ, </w:t>
      </w:r>
      <w:proofErr w:type="spellStart"/>
      <w:r w:rsidRPr="00686618">
        <w:rPr>
          <w:rFonts w:ascii="Calibri Light" w:hAnsi="Calibri Light" w:cs="Calibri Light"/>
          <w:color w:val="13576B"/>
          <w:sz w:val="20"/>
        </w:rPr>
        <w:t>Flat</w:t>
      </w:r>
      <w:proofErr w:type="spellEnd"/>
      <w:r w:rsidRPr="00686618"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 w:rsidRPr="00686618">
        <w:rPr>
          <w:rFonts w:ascii="Calibri Light" w:hAnsi="Calibri Light" w:cs="Calibri Light"/>
          <w:color w:val="13576B"/>
          <w:sz w:val="20"/>
        </w:rPr>
        <w:t>Zone</w:t>
      </w:r>
      <w:proofErr w:type="spellEnd"/>
      <w:r w:rsidRPr="00277397">
        <w:rPr>
          <w:rFonts w:ascii="Calibri Light" w:hAnsi="Calibri Light" w:cs="Calibri Light"/>
          <w:color w:val="13576B"/>
          <w:sz w:val="20"/>
        </w:rPr>
        <w:t>.</w:t>
      </w:r>
    </w:p>
    <w:p w14:paraId="4DD0766A" w14:textId="3DA542BF" w:rsidR="00D2301A" w:rsidRPr="00D24B00" w:rsidRDefault="004635CE" w:rsidP="004A5428">
      <w:pPr>
        <w:rPr>
          <w:rFonts w:ascii="Calibri" w:hAnsi="Calibri" w:cs="Calibri"/>
          <w:b/>
          <w:bCs/>
          <w:sz w:val="22"/>
          <w:szCs w:val="22"/>
          <w:highlight w:val="yellow"/>
        </w:rPr>
      </w:pPr>
      <w:r>
        <w:rPr>
          <w:rFonts w:ascii="Calibri" w:hAnsi="Calibri" w:cs="Calibri"/>
          <w:b/>
          <w:bCs/>
          <w:noProof/>
          <w:sz w:val="22"/>
          <w:szCs w:val="22"/>
          <w:highlight w:val="yellow"/>
        </w:rPr>
        <w:drawing>
          <wp:inline distT="0" distB="0" distL="0" distR="0" wp14:anchorId="4761A61F" wp14:editId="09330AA9">
            <wp:extent cx="2937730" cy="1852331"/>
            <wp:effectExtent l="0" t="0" r="0" b="0"/>
            <wp:docPr id="12453805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042" cy="1857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F9ABC" w14:textId="77777777" w:rsidR="00606031" w:rsidRDefault="004A5428" w:rsidP="004A5428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bookmarkEnd w:id="2"/>
    <w:bookmarkEnd w:id="3"/>
    <w:bookmarkEnd w:id="4"/>
    <w:p w14:paraId="30A7E302" w14:textId="77777777" w:rsidR="00D94A5C" w:rsidRDefault="00D94A5C" w:rsidP="00845107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AEBB10C" w14:textId="1854903F" w:rsidR="00B8495C" w:rsidRPr="004332EC" w:rsidRDefault="004332EC" w:rsidP="0084510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4332EC">
        <w:rPr>
          <w:rFonts w:ascii="Calibri" w:hAnsi="Calibri" w:cs="Calibri"/>
          <w:b/>
          <w:bCs/>
          <w:color w:val="000000"/>
          <w:sz w:val="22"/>
          <w:szCs w:val="22"/>
        </w:rPr>
        <w:t xml:space="preserve">Objem refinancovaných a navýšených úvěrů, ať již interně nebo z jiné instituce, v červenci klesl na 9,6 mld. Kč. </w:t>
      </w:r>
      <w:r w:rsidRPr="004332EC">
        <w:rPr>
          <w:rFonts w:ascii="Calibri" w:hAnsi="Calibri" w:cs="Calibri"/>
          <w:color w:val="000000"/>
          <w:sz w:val="22"/>
          <w:szCs w:val="22"/>
        </w:rPr>
        <w:t>Stále však šlo o 36 % více než loňský průměrný měsíční objem refinancovaných úvěrů ve výši 7,1 mld. Kč a o 145 % více než v roce 2024, kdy tento objem činil 3,9 mld. Kč. Podíl refinancovaných úvěrů na celkovém objemu poskytnutých hypoték klesl na 23,8 % z červnových 25,4 %. Nadále však zůstává nad loňským průměrem 21 % i nad 17% podílem z let 2022–2023, zároveň však pod téměř 29% podílem z let 2020–2021, kdy domácnosti refinancovaly při sazbě 2,14 %.</w:t>
      </w:r>
    </w:p>
    <w:p w14:paraId="36242F16" w14:textId="77777777" w:rsidR="004332EC" w:rsidRDefault="004332EC" w:rsidP="0084510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7953D2BF" w14:textId="502F0935" w:rsidR="00C47D3E" w:rsidRPr="00845107" w:rsidRDefault="004332EC" w:rsidP="00C47D3E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4332EC">
        <w:rPr>
          <w:rFonts w:ascii="Calibri" w:hAnsi="Calibri" w:cs="Calibri"/>
          <w:color w:val="000000"/>
          <w:sz w:val="22"/>
          <w:szCs w:val="22"/>
        </w:rPr>
        <w:t xml:space="preserve">Průměrná sazba refinancovaných hypoték dosáhla v červenci 2026 úrovně 4,83 %. Zůstala tak pod sazbou nových hypoték ve výši 4,9 %, rozdíl byl však menší než v květnu a červnu, kdy činil zhruba 0,18 procentního bodu. Vyšší objemy refinancování odrážejí souběh končících delších fixací z období nízkých úrokových sazeb a kratších fixací z nedávného období vyšších sazeb. Blíže k sílící vlně refixací viz </w:t>
      </w:r>
      <w:r w:rsidR="00C47D3E" w:rsidRPr="00DA2CF3">
        <w:rPr>
          <w:rFonts w:ascii="Calibri" w:hAnsi="Calibri" w:cs="Calibri"/>
          <w:color w:val="000000"/>
          <w:sz w:val="22"/>
          <w:szCs w:val="22"/>
        </w:rPr>
        <w:t xml:space="preserve">Fokus ČBA: </w:t>
      </w:r>
      <w:hyperlink r:id="rId18" w:history="1">
        <w:r w:rsidR="00C47D3E" w:rsidRPr="00DA2CF3">
          <w:rPr>
            <w:rStyle w:val="Hypertextovodkaz"/>
            <w:rFonts w:ascii="Calibri" w:hAnsi="Calibri" w:cs="Calibri"/>
            <w:sz w:val="22"/>
            <w:szCs w:val="22"/>
          </w:rPr>
          <w:t>Vlna refixací hypoték sílí, úrokový šok ale slábne. Rizikem zůstává vyšší inflace</w:t>
        </w:r>
      </w:hyperlink>
      <w:r w:rsidR="00C47D3E" w:rsidRPr="00DA2CF3">
        <w:rPr>
          <w:rFonts w:ascii="Calibri" w:hAnsi="Calibri" w:cs="Calibri"/>
          <w:sz w:val="22"/>
          <w:szCs w:val="22"/>
        </w:rPr>
        <w:t>.</w:t>
      </w:r>
    </w:p>
    <w:p w14:paraId="3339B245" w14:textId="77777777" w:rsidR="00652484" w:rsidRPr="00FF3215" w:rsidRDefault="00652484" w:rsidP="0043608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8A6516B" w14:textId="0935E000" w:rsidR="00436085" w:rsidRPr="00CC5202" w:rsidRDefault="00436085" w:rsidP="00E72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i/>
          <w:iCs/>
          <w:sz w:val="22"/>
          <w:szCs w:val="22"/>
        </w:rPr>
      </w:pPr>
      <w:r w:rsidRPr="00AB747A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D94A5C" w:rsidRPr="00D94A5C">
        <w:rPr>
          <w:rFonts w:ascii="Calibri" w:hAnsi="Calibri" w:cs="Calibri"/>
          <w:i/>
          <w:iCs/>
          <w:color w:val="000000" w:themeColor="text1"/>
          <w:sz w:val="22"/>
          <w:szCs w:val="22"/>
        </w:rPr>
        <w:t>Červenec přinesl první výraznější reakci hypotečního trhu na růst úrokových sazeb. Průměrná realizovaná sazba nových hypoték vzrostla na 4,9 %, přestože se do ní zatím plně nepromítl předchozí nárůst tržních referenčních sazeb, který eskaloval právě v červenci. Aktuální nabídkové sazby hypotečních úvěrů se u většiny bank pohybují už nad hranicí pěti procent</w:t>
      </w:r>
      <w:r w:rsidR="00586686">
        <w:rPr>
          <w:rFonts w:ascii="Calibri" w:hAnsi="Calibri" w:cs="Calibri"/>
          <w:i/>
          <w:iCs/>
          <w:color w:val="000000" w:themeColor="text1"/>
          <w:sz w:val="22"/>
          <w:szCs w:val="22"/>
        </w:rPr>
        <w:t>,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“ </w:t>
      </w:r>
      <w:r>
        <w:rPr>
          <w:rFonts w:ascii="Calibri" w:hAnsi="Calibri" w:cs="Calibri"/>
          <w:color w:val="000000" w:themeColor="text1"/>
          <w:sz w:val="22"/>
          <w:szCs w:val="22"/>
        </w:rPr>
        <w:t>podotýká</w:t>
      </w:r>
      <w:r w:rsidRPr="002F6A6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94A5C" w:rsidRPr="00D94A5C">
        <w:rPr>
          <w:rFonts w:ascii="Calibri" w:hAnsi="Calibri" w:cs="Calibri"/>
          <w:b/>
          <w:bCs/>
          <w:color w:val="000000" w:themeColor="text1"/>
          <w:sz w:val="22"/>
          <w:szCs w:val="22"/>
        </w:rPr>
        <w:t>Milan Voldřich</w:t>
      </w:r>
      <w:r w:rsidR="00D94A5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="00D94A5C" w:rsidRPr="00D94A5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produktový manažer půjček na bydlení </w:t>
      </w:r>
      <w:proofErr w:type="spellStart"/>
      <w:r w:rsidR="00D94A5C" w:rsidRPr="00D94A5C">
        <w:rPr>
          <w:rFonts w:ascii="Calibri" w:hAnsi="Calibri" w:cs="Calibri"/>
          <w:b/>
          <w:bCs/>
          <w:color w:val="000000" w:themeColor="text1"/>
          <w:sz w:val="22"/>
          <w:szCs w:val="22"/>
        </w:rPr>
        <w:t>Raiffeisen</w:t>
      </w:r>
      <w:proofErr w:type="spellEnd"/>
      <w:r w:rsidR="00D94A5C" w:rsidRPr="00D94A5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Bank</w:t>
      </w:r>
      <w:r w:rsidR="00B8495C" w:rsidRPr="00B8495C">
        <w:rPr>
          <w:rFonts w:ascii="Calibri" w:hAnsi="Calibri" w:cs="Calibri"/>
          <w:color w:val="000000" w:themeColor="text1"/>
          <w:sz w:val="22"/>
          <w:szCs w:val="22"/>
        </w:rPr>
        <w:t>, a přidává: „</w:t>
      </w:r>
      <w:r w:rsidR="00B8495C" w:rsidRPr="00B8495C">
        <w:rPr>
          <w:rFonts w:ascii="Calibri" w:hAnsi="Calibri" w:cs="Calibri"/>
          <w:i/>
          <w:iCs/>
          <w:color w:val="000000" w:themeColor="text1"/>
          <w:sz w:val="22"/>
          <w:szCs w:val="22"/>
        </w:rPr>
        <w:t>Současně je ale potřeba vnímat, že červenec bývá kvůli letním prázdninám tradičně slabším měsíc</w:t>
      </w:r>
      <w:r w:rsidR="00B8495C" w:rsidRPr="00D94A5C">
        <w:rPr>
          <w:rFonts w:ascii="Calibri" w:hAnsi="Calibri" w:cs="Calibri"/>
          <w:i/>
          <w:iCs/>
          <w:color w:val="000000" w:themeColor="text1"/>
          <w:sz w:val="22"/>
          <w:szCs w:val="22"/>
        </w:rPr>
        <w:t>em. I přes sezónní ochlazení tak hypoteční trh vykazuje solidní aktivitu a spíše potvrzuje návrat k dlouhodobě udržitelnému tempu než nástup výraznějšího útlumu</w:t>
      </w:r>
      <w:r w:rsidR="00E720A0">
        <w:rPr>
          <w:rFonts w:ascii="Calibri" w:hAnsi="Calibri" w:cs="Calibri"/>
          <w:i/>
          <w:iCs/>
          <w:color w:val="000000" w:themeColor="text1"/>
          <w:sz w:val="22"/>
          <w:szCs w:val="22"/>
        </w:rPr>
        <w:t>.</w:t>
      </w:r>
      <w:r w:rsidR="00B8495C">
        <w:rPr>
          <w:rFonts w:ascii="Calibri" w:hAnsi="Calibri" w:cs="Calibri"/>
          <w:i/>
          <w:iCs/>
          <w:color w:val="000000" w:themeColor="text1"/>
          <w:sz w:val="22"/>
          <w:szCs w:val="22"/>
        </w:rPr>
        <w:t>“</w:t>
      </w:r>
    </w:p>
    <w:p w14:paraId="0A09737B" w14:textId="77777777" w:rsidR="00652484" w:rsidRDefault="00652484" w:rsidP="00436085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7D6276F" w14:textId="5AAB3241" w:rsidR="00B12AAF" w:rsidRDefault="004332EC" w:rsidP="00436085">
      <w:pPr>
        <w:rPr>
          <w:rFonts w:ascii="Calibri" w:hAnsi="Calibri" w:cs="Calibri"/>
          <w:b/>
          <w:color w:val="13576B"/>
          <w:sz w:val="23"/>
          <w:szCs w:val="23"/>
        </w:rPr>
      </w:pPr>
      <w:r w:rsidRPr="004332EC">
        <w:rPr>
          <w:rFonts w:ascii="Calibri" w:hAnsi="Calibri" w:cs="Calibri"/>
          <w:b/>
          <w:color w:val="13576B"/>
          <w:sz w:val="23"/>
          <w:szCs w:val="23"/>
        </w:rPr>
        <w:t>Průměrná hypoteční sazba dále vzrostla na 4,9 %, do cen hypoték se postupně promítají vyšší tržní úroky</w:t>
      </w:r>
    </w:p>
    <w:p w14:paraId="2F36AF22" w14:textId="77777777" w:rsidR="004332EC" w:rsidRDefault="004332EC" w:rsidP="00436085">
      <w:pPr>
        <w:rPr>
          <w:rFonts w:ascii="Calibri" w:hAnsi="Calibri" w:cs="Calibri"/>
          <w:b/>
          <w:color w:val="000000" w:themeColor="text1"/>
          <w:sz w:val="23"/>
          <w:szCs w:val="23"/>
        </w:rPr>
      </w:pPr>
    </w:p>
    <w:p w14:paraId="2476BF3A" w14:textId="75A2F661" w:rsidR="00C47D3E" w:rsidRDefault="004332EC" w:rsidP="00F86368">
      <w:pPr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332EC">
        <w:rPr>
          <w:rFonts w:ascii="Calibri" w:hAnsi="Calibri" w:cs="Calibri"/>
          <w:b/>
          <w:color w:val="000000" w:themeColor="text1"/>
          <w:sz w:val="23"/>
          <w:szCs w:val="23"/>
        </w:rPr>
        <w:t xml:space="preserve">Průměrná realizovaná úroková sazba u nových hypoték v červenci dále vzrostla na 4,9 % z červnových 4,79 %. </w:t>
      </w:r>
      <w:r w:rsidRPr="004332EC">
        <w:rPr>
          <w:rFonts w:ascii="Calibri" w:hAnsi="Calibri" w:cs="Calibri"/>
          <w:bCs/>
          <w:color w:val="000000" w:themeColor="text1"/>
          <w:sz w:val="23"/>
          <w:szCs w:val="23"/>
        </w:rPr>
        <w:t>Její červencová úroveň je tak o 0,37 procentního bodu výše než 4,53% sazba před rokem, což zvyšuje ilustrativní průměrnou měsíční splátku nové hypotéky o tisíc korun, tedy přibližně o 1 % čistého příjmu žadatele. Pro srovnání průměrná hodnota hypoteční sazby v roce 2025 dosáhla 4,58 % v porovnání se sazbou 5,07 % v roce 2024.</w:t>
      </w:r>
    </w:p>
    <w:p w14:paraId="40C0AEE7" w14:textId="77777777" w:rsidR="004332EC" w:rsidRPr="00C47D3E" w:rsidRDefault="004332EC" w:rsidP="00F86368">
      <w:pPr>
        <w:rPr>
          <w:rFonts w:ascii="Calibri" w:hAnsi="Calibri" w:cs="Calibri"/>
          <w:bCs/>
          <w:color w:val="000000" w:themeColor="text1"/>
          <w:sz w:val="23"/>
          <w:szCs w:val="23"/>
        </w:rPr>
      </w:pPr>
    </w:p>
    <w:p w14:paraId="213EE1DE" w14:textId="58C14D55" w:rsidR="00C47D3E" w:rsidRDefault="00C47D3E" w:rsidP="00C47D3E">
      <w:pPr>
        <w:rPr>
          <w:rFonts w:ascii="Calibri" w:hAnsi="Calibri" w:cs="Calibri"/>
          <w:color w:val="000000" w:themeColor="text1"/>
          <w:sz w:val="23"/>
          <w:szCs w:val="23"/>
        </w:rPr>
      </w:pPr>
      <w:r w:rsidRPr="00C47D3E">
        <w:rPr>
          <w:rFonts w:ascii="Calibri" w:hAnsi="Calibri" w:cs="Calibri"/>
          <w:b/>
          <w:color w:val="000000" w:themeColor="text1"/>
          <w:sz w:val="23"/>
          <w:szCs w:val="23"/>
        </w:rPr>
        <w:t>Červencová úroková hypoteční sazba se se 4,9 % nacházela</w:t>
      </w:r>
      <w:r>
        <w:rPr>
          <w:rFonts w:ascii="Calibri" w:hAnsi="Calibri" w:cs="Calibri"/>
          <w:b/>
          <w:color w:val="000000" w:themeColor="text1"/>
          <w:sz w:val="23"/>
          <w:szCs w:val="23"/>
        </w:rPr>
        <w:t xml:space="preserve"> přibližně 0,6</w:t>
      </w:r>
      <w:r w:rsidRPr="00C47D3E">
        <w:rPr>
          <w:rFonts w:ascii="Calibri" w:hAnsi="Calibri" w:cs="Calibri"/>
          <w:b/>
          <w:color w:val="000000" w:themeColor="text1"/>
          <w:sz w:val="23"/>
          <w:szCs w:val="23"/>
        </w:rPr>
        <w:t xml:space="preserve"> procentního bodu nad průměrnými tržními</w:t>
      </w:r>
      <w:r w:rsidR="00150AA5">
        <w:rPr>
          <w:rFonts w:ascii="Calibri" w:hAnsi="Calibri" w:cs="Calibri"/>
          <w:b/>
          <w:color w:val="000000" w:themeColor="text1"/>
          <w:sz w:val="23"/>
          <w:szCs w:val="23"/>
        </w:rPr>
        <w:t xml:space="preserve"> úrokovými</w:t>
      </w:r>
      <w:r w:rsidRPr="00C47D3E">
        <w:rPr>
          <w:rFonts w:ascii="Calibri" w:hAnsi="Calibri" w:cs="Calibri"/>
          <w:b/>
          <w:color w:val="000000" w:themeColor="text1"/>
          <w:sz w:val="23"/>
          <w:szCs w:val="23"/>
        </w:rPr>
        <w:t xml:space="preserve"> swapovými sazbami</w:t>
      </w:r>
      <w:r>
        <w:rPr>
          <w:rFonts w:ascii="Calibri" w:hAnsi="Calibri" w:cs="Calibri"/>
          <w:b/>
          <w:color w:val="000000" w:themeColor="text1"/>
          <w:sz w:val="23"/>
          <w:szCs w:val="23"/>
        </w:rPr>
        <w:t xml:space="preserve">. </w:t>
      </w:r>
      <w:r w:rsidR="00150AA5" w:rsidRPr="00150AA5">
        <w:rPr>
          <w:rFonts w:ascii="Calibri" w:hAnsi="Calibri" w:cs="Calibri"/>
          <w:bCs/>
          <w:color w:val="000000" w:themeColor="text1"/>
          <w:sz w:val="23"/>
          <w:szCs w:val="23"/>
        </w:rPr>
        <w:t>To je stále necelý půl procentní bod pod dlouhodobým průměrem od roku 2014, který činí 1,04 procentního bodu. Mezi březnem a květnem přitom tento spread vůči tržním sazbám dosahoval</w:t>
      </w:r>
      <w:r w:rsidR="00150AA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dokonce</w:t>
      </w:r>
      <w:r w:rsidR="00150AA5" w:rsidRPr="00150AA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0,37 procentního bodu</w:t>
      </w:r>
      <w:r w:rsidRPr="00F86368">
        <w:rPr>
          <w:rFonts w:ascii="Calibri" w:hAnsi="Calibri" w:cs="Calibri"/>
          <w:bCs/>
          <w:color w:val="000000" w:themeColor="text1"/>
          <w:sz w:val="23"/>
          <w:szCs w:val="23"/>
        </w:rPr>
        <w:t xml:space="preserve">. </w:t>
      </w:r>
      <w:hyperlink r:id="rId19" w:history="1">
        <w:r w:rsidRPr="00F86368">
          <w:rPr>
            <w:rStyle w:val="Hypertextovodkaz"/>
            <w:rFonts w:ascii="Calibri" w:hAnsi="Calibri" w:cs="Calibri"/>
            <w:b/>
            <w:bCs/>
            <w:sz w:val="23"/>
            <w:szCs w:val="23"/>
          </w:rPr>
          <w:t>V naší studii</w:t>
        </w:r>
      </w:hyperlink>
      <w:r w:rsidRPr="00F86368">
        <w:rPr>
          <w:rFonts w:ascii="Calibri" w:hAnsi="Calibri" w:cs="Calibri"/>
          <w:b/>
          <w:bCs/>
          <w:color w:val="13576B"/>
          <w:sz w:val="23"/>
          <w:szCs w:val="23"/>
        </w:rPr>
        <w:t xml:space="preserve"> </w:t>
      </w:r>
      <w:r w:rsidRPr="00F86368">
        <w:rPr>
          <w:rFonts w:ascii="Calibri" w:hAnsi="Calibri" w:cs="Calibri"/>
          <w:color w:val="000000" w:themeColor="text1"/>
          <w:sz w:val="23"/>
          <w:szCs w:val="23"/>
        </w:rPr>
        <w:t xml:space="preserve">jsme poukázali na strukturální faktory, především sílu poptávky na konkurenčním trhu, které ovlivňují </w:t>
      </w:r>
      <w:r w:rsidR="00150AA5" w:rsidRPr="00150AA5">
        <w:rPr>
          <w:rFonts w:ascii="Calibri" w:hAnsi="Calibri" w:cs="Calibri"/>
          <w:color w:val="000000" w:themeColor="text1"/>
          <w:sz w:val="23"/>
          <w:szCs w:val="23"/>
        </w:rPr>
        <w:t>přenos tržních sazeb do sazeb hypotečních úvěrů</w:t>
      </w:r>
      <w:r w:rsidRPr="00F86368">
        <w:rPr>
          <w:rFonts w:ascii="Calibri" w:hAnsi="Calibri" w:cs="Calibri"/>
          <w:color w:val="000000" w:themeColor="text1"/>
          <w:sz w:val="23"/>
          <w:szCs w:val="23"/>
        </w:rPr>
        <w:t>.</w:t>
      </w:r>
      <w:r w:rsidR="001E66E9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150AA5" w:rsidRPr="00150AA5">
        <w:rPr>
          <w:rFonts w:ascii="Calibri" w:hAnsi="Calibri" w:cs="Calibri"/>
          <w:color w:val="000000" w:themeColor="text1"/>
          <w:sz w:val="23"/>
          <w:szCs w:val="23"/>
        </w:rPr>
        <w:t xml:space="preserve">Nové šetření však naznačuje, že ve třetím čtvrtletí může chybět impuls, který by udržel hypoteční sazby výrazněji pod tržními swapovými sazbami. </w:t>
      </w:r>
      <w:r w:rsidR="001E66E9">
        <w:rPr>
          <w:rFonts w:ascii="Calibri" w:hAnsi="Calibri" w:cs="Calibri"/>
          <w:color w:val="000000" w:themeColor="text1"/>
          <w:sz w:val="23"/>
          <w:szCs w:val="23"/>
        </w:rPr>
        <w:t xml:space="preserve">Blíže viz zde: </w:t>
      </w:r>
      <w:hyperlink r:id="rId20" w:history="1">
        <w:r w:rsidR="001E66E9" w:rsidRPr="001E66E9">
          <w:rPr>
            <w:rStyle w:val="Hypertextovodkaz"/>
            <w:rFonts w:asciiTheme="majorHAnsi" w:hAnsiTheme="majorHAnsi" w:cstheme="majorHAnsi"/>
            <w:sz w:val="23"/>
            <w:szCs w:val="23"/>
          </w:rPr>
          <w:t>Hypoteční standardy se zpřísnily, ale nejen silná poptávka tlumila dopad do úvěrových podmínek</w:t>
        </w:r>
      </w:hyperlink>
      <w:r w:rsidR="001E66E9" w:rsidRPr="001E66E9">
        <w:rPr>
          <w:rFonts w:asciiTheme="majorHAnsi" w:hAnsiTheme="majorHAnsi" w:cstheme="majorHAnsi"/>
          <w:sz w:val="23"/>
          <w:szCs w:val="23"/>
        </w:rPr>
        <w:t>.</w:t>
      </w:r>
      <w:r w:rsidR="001E66E9" w:rsidRPr="001E66E9">
        <w:rPr>
          <w:sz w:val="24"/>
          <w:szCs w:val="28"/>
        </w:rPr>
        <w:t xml:space="preserve"> </w:t>
      </w:r>
    </w:p>
    <w:p w14:paraId="0C1EE4EE" w14:textId="046BCF0E" w:rsidR="00F86368" w:rsidRDefault="00F86368" w:rsidP="00F86368">
      <w:pPr>
        <w:rPr>
          <w:rFonts w:ascii="Calibri" w:hAnsi="Calibri" w:cs="Calibri"/>
          <w:bCs/>
          <w:color w:val="000000" w:themeColor="text1"/>
          <w:sz w:val="23"/>
          <w:szCs w:val="23"/>
        </w:rPr>
      </w:pPr>
    </w:p>
    <w:p w14:paraId="2D4E6026" w14:textId="75158913" w:rsidR="00F86368" w:rsidRPr="00B17A43" w:rsidRDefault="00150AA5" w:rsidP="00F86368">
      <w:pPr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150AA5">
        <w:rPr>
          <w:rFonts w:ascii="Calibri" w:hAnsi="Calibri" w:cs="Calibri"/>
          <w:b/>
          <w:color w:val="000000" w:themeColor="text1"/>
          <w:sz w:val="23"/>
          <w:szCs w:val="23"/>
        </w:rPr>
        <w:t xml:space="preserve">Mezi domácí faktory, které ovlivnily vývoj úrokových swapů, patřila především stále zvýšená jádrová inflace. </w:t>
      </w:r>
      <w:r w:rsidRPr="00150AA5">
        <w:rPr>
          <w:rFonts w:ascii="Calibri" w:hAnsi="Calibri" w:cs="Calibri"/>
          <w:bCs/>
          <w:color w:val="000000" w:themeColor="text1"/>
          <w:sz w:val="23"/>
          <w:szCs w:val="23"/>
        </w:rPr>
        <w:t>Ta v červnu přispěla k rozhodnutí České národní banky zvýšit úrokovou sazbu na 3,75 %. Ačkoli ji ČNB v srpnu ponechala beze změny, 3% meziroční růst jádrové inflace v červenci pravděpodobně udrží bankovní radu v opatrnějším, jestřábím nastavení. K tomu se přidává solidní výkon české ekonomiky včetně růstu průmyslových mezd.</w:t>
      </w:r>
      <w:r w:rsidRPr="00150AA5">
        <w:rPr>
          <w:rFonts w:ascii="Calibri" w:hAnsi="Calibri" w:cs="Calibri"/>
          <w:b/>
          <w:color w:val="000000" w:themeColor="text1"/>
          <w:sz w:val="23"/>
          <w:szCs w:val="23"/>
        </w:rPr>
        <w:t xml:space="preserve"> </w:t>
      </w:r>
      <w:r w:rsidR="00F86368" w:rsidRPr="003D472E">
        <w:rPr>
          <w:rFonts w:asciiTheme="majorHAnsi" w:hAnsiTheme="majorHAnsi" w:cstheme="majorHAnsi"/>
          <w:bCs/>
          <w:color w:val="000000" w:themeColor="text1"/>
          <w:sz w:val="23"/>
          <w:szCs w:val="23"/>
        </w:rPr>
        <w:t xml:space="preserve">Blíže k těmto faktorům viz analýzy na ČBA Monitoru: </w:t>
      </w:r>
      <w:hyperlink r:id="rId21" w:history="1">
        <w:r w:rsidR="003D472E" w:rsidRPr="003D472E">
          <w:rPr>
            <w:rStyle w:val="Hypertextovodkaz"/>
            <w:rFonts w:asciiTheme="majorHAnsi" w:hAnsiTheme="majorHAnsi" w:cstheme="majorHAnsi"/>
            <w:sz w:val="23"/>
            <w:szCs w:val="23"/>
          </w:rPr>
          <w:t>ČNB čeká na nový impuls a spoléhá na méně inflační růst ekonomiky</w:t>
        </w:r>
      </w:hyperlink>
      <w:r w:rsidR="003D472E" w:rsidRPr="003D472E">
        <w:rPr>
          <w:rFonts w:asciiTheme="majorHAnsi" w:hAnsiTheme="majorHAnsi" w:cstheme="majorHAnsi"/>
          <w:sz w:val="23"/>
          <w:szCs w:val="23"/>
        </w:rPr>
        <w:t xml:space="preserve">, </w:t>
      </w:r>
      <w:hyperlink r:id="rId22" w:history="1">
        <w:r w:rsidR="003D472E" w:rsidRPr="003D472E">
          <w:rPr>
            <w:rStyle w:val="Hypertextovodkaz"/>
            <w:rFonts w:asciiTheme="majorHAnsi" w:hAnsiTheme="majorHAnsi" w:cstheme="majorHAnsi"/>
            <w:sz w:val="23"/>
            <w:szCs w:val="23"/>
          </w:rPr>
          <w:t>Čtyři příběhy červnových dat: energetika, export, mzdy a zahájené byty</w:t>
        </w:r>
      </w:hyperlink>
      <w:r w:rsidR="003D472E" w:rsidRPr="003D472E">
        <w:rPr>
          <w:rFonts w:asciiTheme="majorHAnsi" w:hAnsiTheme="majorHAnsi" w:cstheme="majorHAnsi"/>
          <w:sz w:val="23"/>
          <w:szCs w:val="23"/>
        </w:rPr>
        <w:t>.</w:t>
      </w:r>
      <w:r w:rsidR="003D472E">
        <w:t xml:space="preserve"> </w:t>
      </w:r>
    </w:p>
    <w:p w14:paraId="32CB4C7A" w14:textId="77777777" w:rsidR="00F86368" w:rsidRDefault="00F86368" w:rsidP="00F86368">
      <w:pPr>
        <w:rPr>
          <w:rFonts w:ascii="Calibri" w:hAnsi="Calibri" w:cs="Calibri"/>
          <w:b/>
          <w:color w:val="000000" w:themeColor="text1"/>
          <w:sz w:val="23"/>
          <w:szCs w:val="23"/>
        </w:rPr>
      </w:pPr>
    </w:p>
    <w:p w14:paraId="482EEE8E" w14:textId="746DD04E" w:rsidR="00C47D3E" w:rsidRDefault="00F86368" w:rsidP="00F86368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 w:rsidRPr="00486BC4">
        <w:rPr>
          <w:rFonts w:ascii="Calibri" w:hAnsi="Calibri" w:cs="Calibri"/>
          <w:b/>
          <w:color w:val="000000" w:themeColor="text1"/>
          <w:sz w:val="23"/>
          <w:szCs w:val="23"/>
        </w:rPr>
        <w:t>České tržní delší úrokové sazby,</w:t>
      </w:r>
      <w:r w:rsidRPr="00486BC4">
        <w:rPr>
          <w:rStyle w:val="Znakapoznpodarou"/>
          <w:rFonts w:ascii="Calibri" w:hAnsi="Calibri" w:cs="Calibri"/>
          <w:b/>
          <w:i/>
          <w:iCs/>
          <w:color w:val="000000" w:themeColor="text1"/>
          <w:sz w:val="22"/>
          <w:szCs w:val="22"/>
        </w:rPr>
        <w:footnoteReference w:id="1"/>
      </w:r>
      <w:r>
        <w:rPr>
          <w:rFonts w:ascii="Calibri" w:hAnsi="Calibri" w:cs="Calibri"/>
          <w:b/>
          <w:color w:val="000000" w:themeColor="text1"/>
          <w:sz w:val="23"/>
          <w:szCs w:val="23"/>
        </w:rPr>
        <w:t xml:space="preserve"> </w:t>
      </w:r>
      <w:r w:rsidRPr="00A71689">
        <w:rPr>
          <w:rFonts w:ascii="Calibri" w:hAnsi="Calibri" w:cs="Calibri"/>
          <w:b/>
          <w:color w:val="000000" w:themeColor="text1"/>
          <w:sz w:val="22"/>
          <w:szCs w:val="22"/>
        </w:rPr>
        <w:t>které mají klíčový vliv na hypoteční sazby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>, kde převládají tříleté fixace</w:t>
      </w:r>
      <w:r w:rsidRPr="00A71689">
        <w:rPr>
          <w:rFonts w:ascii="Calibri" w:hAnsi="Calibri" w:cs="Calibri"/>
          <w:b/>
          <w:color w:val="000000" w:themeColor="text1"/>
          <w:sz w:val="22"/>
          <w:szCs w:val="22"/>
        </w:rPr>
        <w:t xml:space="preserve">, 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 xml:space="preserve">zůstaly </w:t>
      </w:r>
      <w:r w:rsidR="00BE2556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 w:rsidR="00C47D3E">
        <w:rPr>
          <w:rFonts w:ascii="Calibri" w:hAnsi="Calibri" w:cs="Calibri"/>
          <w:b/>
          <w:color w:val="000000" w:themeColor="text1"/>
          <w:sz w:val="22"/>
          <w:szCs w:val="22"/>
        </w:rPr>
        <w:t> červenci i srpnu</w:t>
      </w:r>
      <w:r w:rsidR="000D06FE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BE2556">
        <w:rPr>
          <w:rFonts w:ascii="Calibri" w:hAnsi="Calibri" w:cs="Calibri"/>
          <w:b/>
          <w:color w:val="000000" w:themeColor="text1"/>
          <w:sz w:val="22"/>
          <w:szCs w:val="22"/>
        </w:rPr>
        <w:t xml:space="preserve">na </w:t>
      </w:r>
      <w:r w:rsidR="00150AA5">
        <w:rPr>
          <w:rFonts w:ascii="Calibri" w:hAnsi="Calibri" w:cs="Calibri"/>
          <w:b/>
          <w:color w:val="000000" w:themeColor="text1"/>
          <w:sz w:val="22"/>
          <w:szCs w:val="22"/>
        </w:rPr>
        <w:t>zvýšených</w:t>
      </w:r>
      <w:r w:rsidR="00BE2556">
        <w:rPr>
          <w:rFonts w:ascii="Calibri" w:hAnsi="Calibri" w:cs="Calibri"/>
          <w:b/>
          <w:color w:val="000000" w:themeColor="text1"/>
          <w:sz w:val="22"/>
          <w:szCs w:val="22"/>
        </w:rPr>
        <w:t xml:space="preserve"> úrovn</w:t>
      </w:r>
      <w:r w:rsidR="000D06FE">
        <w:rPr>
          <w:rFonts w:ascii="Calibri" w:hAnsi="Calibri" w:cs="Calibri"/>
          <w:b/>
          <w:color w:val="000000" w:themeColor="text1"/>
          <w:sz w:val="22"/>
          <w:szCs w:val="22"/>
        </w:rPr>
        <w:t>ích.</w:t>
      </w:r>
      <w:r w:rsidR="00BE2556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150AA5" w:rsidRPr="00150AA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České pětileté úrokové swapy v červenci mírně vzrostly o desetinu procentního bodu na 4,35 % z červnových 4,26 %, zůstaly však pod květnovými 4,39 %. Jejich červencová úroveň tak zhruba odpovídala průměru druhého čtvrtletí. V první polovině srpna se </w:t>
      </w:r>
      <w:r w:rsidR="00150AA5">
        <w:rPr>
          <w:rFonts w:ascii="Calibri" w:hAnsi="Calibri" w:cs="Calibri"/>
          <w:bCs/>
          <w:color w:val="000000" w:themeColor="text1"/>
          <w:sz w:val="23"/>
          <w:szCs w:val="23"/>
        </w:rPr>
        <w:t>ovšem navrátil</w:t>
      </w:r>
      <w:r w:rsidR="00E720A0">
        <w:rPr>
          <w:rFonts w:ascii="Calibri" w:hAnsi="Calibri" w:cs="Calibri"/>
          <w:bCs/>
          <w:color w:val="000000" w:themeColor="text1"/>
          <w:sz w:val="23"/>
          <w:szCs w:val="23"/>
        </w:rPr>
        <w:t>y</w:t>
      </w:r>
      <w:r w:rsidR="00150AA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k </w:t>
      </w:r>
      <w:r w:rsidR="00150AA5" w:rsidRPr="00150AA5">
        <w:rPr>
          <w:rFonts w:ascii="Calibri" w:hAnsi="Calibri" w:cs="Calibri"/>
          <w:bCs/>
          <w:color w:val="000000" w:themeColor="text1"/>
          <w:sz w:val="23"/>
          <w:szCs w:val="23"/>
        </w:rPr>
        <w:t>4,4 %. Obdobně v červenci vzrostly americké pětileté swapy na 4,36 %, zatímco na začátku roku nedosahovaly 3,8 %. Rostly také eurové pětileté swapy, a to na 3 % z novoročních úrovní mírně nad 2,5 %. V posledních dvanácti měsících se české pětileté swapy pohybovaly mezi měsíčním průměrem 3,6 % v únoru 2026 a 4,39 % v květnu 2026. Ve srovnání s průměrem roku 2025 byly červencové sazby o 0,7 procentního bodu výše.</w:t>
      </w:r>
    </w:p>
    <w:p w14:paraId="3EDC2E0C" w14:textId="77777777" w:rsidR="00436085" w:rsidRDefault="00436085" w:rsidP="00436085">
      <w:pPr>
        <w:rPr>
          <w:rFonts w:ascii="Calibri" w:hAnsi="Calibri" w:cs="Calibri"/>
          <w:b/>
          <w:color w:val="000000" w:themeColor="text1"/>
          <w:sz w:val="23"/>
          <w:szCs w:val="23"/>
        </w:rPr>
      </w:pPr>
    </w:p>
    <w:p w14:paraId="479EF412" w14:textId="4D40C121" w:rsidR="00616F34" w:rsidRPr="00616F34" w:rsidRDefault="00616F34" w:rsidP="00616F34">
      <w:pPr>
        <w:rPr>
          <w:rFonts w:ascii="Calibri" w:hAnsi="Calibri" w:cs="Calibri"/>
          <w:color w:val="000000" w:themeColor="text1"/>
          <w:sz w:val="22"/>
          <w:szCs w:val="22"/>
        </w:rPr>
        <w:sectPr w:rsidR="00616F34" w:rsidRPr="00616F34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636F55D4" w14:textId="535B8789" w:rsidR="001B2E5E" w:rsidRDefault="001B2E5E" w:rsidP="001B2E5E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Graf 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4</w:t>
      </w:r>
      <w:r>
        <w:rPr>
          <w:rFonts w:ascii="Calibri" w:hAnsi="Calibri" w:cs="Calibri"/>
          <w:b/>
          <w:color w:val="13576B"/>
          <w:sz w:val="23"/>
          <w:szCs w:val="23"/>
        </w:rPr>
        <w:t>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Průměrná hypoteční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úroková 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>sazba – nové obchody</w:t>
      </w:r>
    </w:p>
    <w:p w14:paraId="00505FA7" w14:textId="6521A359" w:rsidR="005A4638" w:rsidRDefault="00150AA5" w:rsidP="008E3BA7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150AA5">
        <w:rPr>
          <w:rFonts w:ascii="Calibri" w:hAnsi="Calibri" w:cs="Calibri"/>
          <w:bCs/>
          <w:i/>
          <w:iCs/>
          <w:color w:val="13576B"/>
          <w:sz w:val="23"/>
          <w:szCs w:val="23"/>
        </w:rPr>
        <w:t>Červencové hypoteční sazby dále reagovaly na předchozí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strmý</w:t>
      </w:r>
      <w:r w:rsidRPr="00150AA5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nárůst tržních sazeb</w:t>
      </w:r>
    </w:p>
    <w:p w14:paraId="45164D8D" w14:textId="32EA83DF" w:rsidR="001B2E5E" w:rsidRDefault="001B2E5E" w:rsidP="00C8784D">
      <w:pPr>
        <w:overflowPunct/>
        <w:autoSpaceDE/>
        <w:adjustRightInd/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5</w:t>
      </w:r>
      <w:r>
        <w:rPr>
          <w:rFonts w:ascii="Calibri" w:hAnsi="Calibri" w:cs="Calibri"/>
          <w:b/>
          <w:color w:val="13576B"/>
          <w:sz w:val="23"/>
          <w:szCs w:val="23"/>
        </w:rPr>
        <w:t>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C8784D">
        <w:rPr>
          <w:rFonts w:ascii="Calibri" w:hAnsi="Calibri" w:cs="Calibri"/>
          <w:b/>
          <w:color w:val="13576B"/>
          <w:sz w:val="23"/>
          <w:szCs w:val="23"/>
        </w:rPr>
        <w:t>Obnovený a</w:t>
      </w:r>
      <w:r w:rsidR="00AD4353">
        <w:rPr>
          <w:rFonts w:ascii="Calibri" w:hAnsi="Calibri" w:cs="Calibri"/>
          <w:b/>
          <w:color w:val="13576B"/>
          <w:sz w:val="23"/>
          <w:szCs w:val="23"/>
        </w:rPr>
        <w:t xml:space="preserve">merický útok na Írán </w:t>
      </w:r>
      <w:r w:rsidR="007602B9">
        <w:rPr>
          <w:rFonts w:ascii="Calibri" w:hAnsi="Calibri" w:cs="Calibri"/>
          <w:b/>
          <w:color w:val="13576B"/>
          <w:sz w:val="23"/>
          <w:szCs w:val="23"/>
        </w:rPr>
        <w:t>drží tržní</w:t>
      </w:r>
      <w:r w:rsidR="00486BC4">
        <w:rPr>
          <w:rFonts w:ascii="Calibri" w:hAnsi="Calibri" w:cs="Calibri"/>
          <w:b/>
          <w:color w:val="13576B"/>
          <w:sz w:val="23"/>
          <w:szCs w:val="23"/>
        </w:rPr>
        <w:t xml:space="preserve"> swapové úrokové sazby</w:t>
      </w:r>
      <w:r w:rsidR="00C8784D">
        <w:rPr>
          <w:rFonts w:ascii="Calibri" w:hAnsi="Calibri" w:cs="Calibri"/>
          <w:b/>
          <w:color w:val="13576B"/>
          <w:sz w:val="23"/>
          <w:szCs w:val="23"/>
        </w:rPr>
        <w:t xml:space="preserve"> výše</w:t>
      </w:r>
    </w:p>
    <w:p w14:paraId="380635EC" w14:textId="59697372" w:rsidR="0025756A" w:rsidRPr="0025756A" w:rsidRDefault="0025756A" w:rsidP="006D5361">
      <w:pPr>
        <w:overflowPunct/>
        <w:autoSpaceDE/>
        <w:adjustRightInd/>
        <w:rPr>
          <w:rFonts w:ascii="Calibri" w:hAnsi="Calibri" w:cs="Calibri"/>
          <w:bCs/>
          <w:color w:val="13576B"/>
          <w:sz w:val="23"/>
          <w:szCs w:val="23"/>
        </w:rPr>
        <w:sectPr w:rsidR="0025756A" w:rsidRPr="0025756A" w:rsidSect="001B2E5E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>
        <w:rPr>
          <w:rFonts w:ascii="Calibri" w:hAnsi="Calibri" w:cs="Calibri"/>
          <w:bCs/>
          <w:color w:val="13576B"/>
          <w:sz w:val="23"/>
          <w:szCs w:val="23"/>
        </w:rPr>
        <w:t xml:space="preserve">… které </w:t>
      </w:r>
      <w:r w:rsidR="00C8784D">
        <w:rPr>
          <w:rFonts w:ascii="Calibri" w:hAnsi="Calibri" w:cs="Calibri"/>
          <w:bCs/>
          <w:color w:val="13576B"/>
          <w:sz w:val="23"/>
          <w:szCs w:val="23"/>
        </w:rPr>
        <w:t>se v </w:t>
      </w:r>
      <w:r w:rsidR="00150AA5">
        <w:rPr>
          <w:rFonts w:ascii="Calibri" w:hAnsi="Calibri" w:cs="Calibri"/>
          <w:bCs/>
          <w:color w:val="13576B"/>
          <w:sz w:val="23"/>
          <w:szCs w:val="23"/>
        </w:rPr>
        <w:t>srpnu</w:t>
      </w:r>
      <w:r w:rsidR="00C8784D">
        <w:rPr>
          <w:rFonts w:ascii="Calibri" w:hAnsi="Calibri" w:cs="Calibri"/>
          <w:bCs/>
          <w:color w:val="13576B"/>
          <w:sz w:val="23"/>
          <w:szCs w:val="23"/>
        </w:rPr>
        <w:t xml:space="preserve"> opět navrátily na</w:t>
      </w:r>
      <w:r w:rsidR="00150AA5">
        <w:rPr>
          <w:rFonts w:ascii="Calibri" w:hAnsi="Calibri" w:cs="Calibri"/>
          <w:bCs/>
          <w:color w:val="13576B"/>
          <w:sz w:val="23"/>
          <w:szCs w:val="23"/>
        </w:rPr>
        <w:t xml:space="preserve"> ještě</w:t>
      </w:r>
      <w:r w:rsidR="00C8784D">
        <w:rPr>
          <w:rFonts w:ascii="Calibri" w:hAnsi="Calibri" w:cs="Calibri"/>
          <w:bCs/>
          <w:color w:val="13576B"/>
          <w:sz w:val="23"/>
          <w:szCs w:val="23"/>
        </w:rPr>
        <w:t xml:space="preserve"> vyšší </w:t>
      </w:r>
      <w:r>
        <w:rPr>
          <w:rFonts w:ascii="Calibri" w:hAnsi="Calibri" w:cs="Calibri"/>
          <w:bCs/>
          <w:color w:val="13576B"/>
          <w:sz w:val="23"/>
          <w:szCs w:val="23"/>
        </w:rPr>
        <w:t>úrovn</w:t>
      </w:r>
      <w:r w:rsidR="00867322">
        <w:rPr>
          <w:rFonts w:ascii="Calibri" w:hAnsi="Calibri" w:cs="Calibri"/>
          <w:bCs/>
          <w:color w:val="13576B"/>
          <w:sz w:val="23"/>
          <w:szCs w:val="23"/>
        </w:rPr>
        <w:t>ě</w:t>
      </w:r>
      <w:r>
        <w:rPr>
          <w:rFonts w:ascii="Calibri" w:hAnsi="Calibri" w:cs="Calibri"/>
          <w:bCs/>
          <w:color w:val="13576B"/>
          <w:sz w:val="23"/>
          <w:szCs w:val="23"/>
        </w:rPr>
        <w:t xml:space="preserve"> </w:t>
      </w:r>
      <w:r w:rsidR="00150AA5">
        <w:rPr>
          <w:rFonts w:ascii="Calibri" w:hAnsi="Calibri" w:cs="Calibri"/>
          <w:bCs/>
          <w:color w:val="13576B"/>
          <w:sz w:val="23"/>
          <w:szCs w:val="23"/>
        </w:rPr>
        <w:t xml:space="preserve">než </w:t>
      </w:r>
      <w:r>
        <w:rPr>
          <w:rFonts w:ascii="Calibri" w:hAnsi="Calibri" w:cs="Calibri"/>
          <w:bCs/>
          <w:color w:val="13576B"/>
          <w:sz w:val="23"/>
          <w:szCs w:val="23"/>
        </w:rPr>
        <w:t xml:space="preserve">z poloviny roku 2024 </w:t>
      </w:r>
    </w:p>
    <w:p w14:paraId="7CBC6B5A" w14:textId="77777777" w:rsidR="001B2E5E" w:rsidRPr="004803D6" w:rsidRDefault="001B2E5E" w:rsidP="00F625CA">
      <w:pPr>
        <w:rPr>
          <w:rFonts w:ascii="Calibri" w:hAnsi="Calibri" w:cs="Calibri"/>
          <w:color w:val="000000"/>
          <w:sz w:val="22"/>
          <w:szCs w:val="22"/>
        </w:rPr>
      </w:pPr>
    </w:p>
    <w:p w14:paraId="0230887A" w14:textId="77777777" w:rsidR="00606031" w:rsidRDefault="00606031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5C054A6D" w14:textId="67C636AE" w:rsidR="00D2301A" w:rsidRPr="002138C0" w:rsidRDefault="00282256" w:rsidP="005874B8">
      <w:pPr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  <w:highlight w:val="yellow"/>
        </w:rPr>
        <w:lastRenderedPageBreak/>
        <w:drawing>
          <wp:inline distT="0" distB="0" distL="0" distR="0" wp14:anchorId="275DAB69" wp14:editId="2C3505FA">
            <wp:extent cx="3226567" cy="1921013"/>
            <wp:effectExtent l="0" t="0" r="0" b="3175"/>
            <wp:docPr id="16880247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264" cy="1928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88724" w14:textId="17255E86" w:rsidR="001B2E5E" w:rsidRDefault="00691287" w:rsidP="001B2E5E">
      <w:pPr>
        <w:overflowPunct/>
        <w:autoSpaceDE/>
        <w:adjustRightInd/>
        <w:rPr>
          <w:rFonts w:ascii="Calibri" w:hAnsi="Calibri" w:cs="Calibri"/>
          <w:b/>
          <w:color w:val="13576B"/>
          <w:sz w:val="23"/>
          <w:szCs w:val="23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bookmarkStart w:id="5" w:name="_Hlk137652102"/>
      <w:proofErr w:type="spellEnd"/>
    </w:p>
    <w:p w14:paraId="53F00851" w14:textId="63F7BFF2" w:rsidR="006337E7" w:rsidRDefault="00282256" w:rsidP="006337E7">
      <w:pPr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60D71CF6" wp14:editId="0ADF1BAA">
            <wp:extent cx="3037844" cy="1906436"/>
            <wp:effectExtent l="0" t="0" r="0" b="0"/>
            <wp:docPr id="3056380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475" cy="1916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50194" w14:textId="5E41D245" w:rsidR="00F20967" w:rsidRDefault="006337E7" w:rsidP="00DD1BFF">
      <w:pPr>
        <w:rPr>
          <w:rFonts w:asciiTheme="minorHAnsi" w:hAnsiTheme="minorHAnsi" w:cstheme="minorHAnsi"/>
          <w:color w:val="13576B"/>
          <w:sz w:val="20"/>
        </w:rPr>
      </w:pPr>
      <w:r w:rsidRPr="00AA62A7">
        <w:rPr>
          <w:rFonts w:asciiTheme="minorHAnsi" w:hAnsiTheme="minorHAnsi" w:cstheme="minorHAnsi"/>
          <w:color w:val="2F5496" w:themeColor="accent5" w:themeShade="BF"/>
          <w:sz w:val="20"/>
        </w:rPr>
        <w:t>Pramen</w:t>
      </w:r>
      <w:r w:rsidRPr="00AA62A7">
        <w:rPr>
          <w:rFonts w:asciiTheme="minorHAnsi" w:hAnsiTheme="minorHAnsi" w:cstheme="minorHAnsi"/>
          <w:color w:val="13576B"/>
          <w:sz w:val="20"/>
        </w:rPr>
        <w:t>:</w:t>
      </w:r>
      <w:r>
        <w:rPr>
          <w:rFonts w:asciiTheme="minorHAnsi" w:hAnsiTheme="minorHAnsi" w:cstheme="minorHAnsi"/>
          <w:color w:val="13576B"/>
          <w:sz w:val="20"/>
        </w:rPr>
        <w:t xml:space="preserve"> Macrobond (</w:t>
      </w:r>
      <w:r w:rsidR="00BA3140">
        <w:rPr>
          <w:rFonts w:asciiTheme="minorHAnsi" w:hAnsiTheme="minorHAnsi" w:cstheme="minorHAnsi"/>
          <w:color w:val="13576B"/>
          <w:sz w:val="20"/>
        </w:rPr>
        <w:t>1</w:t>
      </w:r>
      <w:r w:rsidR="00282256">
        <w:rPr>
          <w:rFonts w:asciiTheme="minorHAnsi" w:hAnsiTheme="minorHAnsi" w:cstheme="minorHAnsi"/>
          <w:color w:val="13576B"/>
          <w:sz w:val="20"/>
        </w:rPr>
        <w:t>2</w:t>
      </w:r>
      <w:r w:rsidR="00C8784D">
        <w:rPr>
          <w:rFonts w:asciiTheme="minorHAnsi" w:hAnsiTheme="minorHAnsi" w:cstheme="minorHAnsi"/>
          <w:color w:val="13576B"/>
          <w:sz w:val="20"/>
        </w:rPr>
        <w:t xml:space="preserve">. </w:t>
      </w:r>
      <w:r w:rsidR="00282256">
        <w:rPr>
          <w:rFonts w:asciiTheme="minorHAnsi" w:hAnsiTheme="minorHAnsi" w:cstheme="minorHAnsi"/>
          <w:color w:val="13576B"/>
          <w:sz w:val="20"/>
        </w:rPr>
        <w:t>srpen</w:t>
      </w:r>
      <w:r w:rsidR="00055000">
        <w:rPr>
          <w:rFonts w:asciiTheme="minorHAnsi" w:hAnsiTheme="minorHAnsi" w:cstheme="minorHAnsi"/>
          <w:color w:val="13576B"/>
          <w:sz w:val="20"/>
        </w:rPr>
        <w:t xml:space="preserve"> </w:t>
      </w:r>
      <w:r>
        <w:rPr>
          <w:rFonts w:asciiTheme="minorHAnsi" w:hAnsiTheme="minorHAnsi" w:cstheme="minorHAnsi"/>
          <w:color w:val="13576B"/>
          <w:sz w:val="20"/>
        </w:rPr>
        <w:t>202</w:t>
      </w:r>
      <w:r w:rsidR="00BA3140">
        <w:rPr>
          <w:rFonts w:asciiTheme="minorHAnsi" w:hAnsiTheme="minorHAnsi" w:cstheme="minorHAnsi"/>
          <w:color w:val="13576B"/>
          <w:sz w:val="20"/>
        </w:rPr>
        <w:t>6</w:t>
      </w:r>
      <w:r>
        <w:rPr>
          <w:rFonts w:asciiTheme="minorHAnsi" w:hAnsiTheme="minorHAnsi" w:cstheme="minorHAnsi"/>
          <w:color w:val="13576B"/>
          <w:sz w:val="20"/>
        </w:rPr>
        <w:t xml:space="preserve">), </w:t>
      </w:r>
      <w:r w:rsidRPr="00AA62A7">
        <w:rPr>
          <w:rFonts w:asciiTheme="minorHAnsi" w:hAnsiTheme="minorHAnsi" w:cstheme="minorHAnsi"/>
          <w:color w:val="13576B"/>
          <w:sz w:val="20"/>
        </w:rPr>
        <w:t>ČB</w:t>
      </w:r>
      <w:r w:rsidR="00F20967">
        <w:rPr>
          <w:rFonts w:asciiTheme="minorHAnsi" w:hAnsiTheme="minorHAnsi" w:cstheme="minorHAnsi"/>
          <w:color w:val="13576B"/>
          <w:sz w:val="20"/>
        </w:rPr>
        <w:t>A</w:t>
      </w:r>
    </w:p>
    <w:p w14:paraId="1AF065D2" w14:textId="464EA7CD" w:rsidR="00F20967" w:rsidRPr="00606031" w:rsidRDefault="00F20967" w:rsidP="00DD1BFF">
      <w:pPr>
        <w:rPr>
          <w:rFonts w:ascii="Calibri" w:hAnsi="Calibri" w:cs="Calibri"/>
          <w:color w:val="000000" w:themeColor="text1"/>
          <w:sz w:val="22"/>
          <w:szCs w:val="22"/>
        </w:rPr>
        <w:sectPr w:rsidR="00F20967" w:rsidRP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</w:p>
    <w:p w14:paraId="602A8F07" w14:textId="77777777" w:rsidR="001B2E5E" w:rsidRDefault="001B2E5E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077932C6" w14:textId="3D7EC16B" w:rsidR="00D1522E" w:rsidRPr="00D1522E" w:rsidRDefault="00BE2556" w:rsidP="009C5D66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6" w:name="_Hlk100672905"/>
      <w:bookmarkEnd w:id="5"/>
      <w:r>
        <w:rPr>
          <w:rFonts w:ascii="Calibri" w:hAnsi="Calibri" w:cs="Calibri"/>
          <w:b/>
          <w:color w:val="13576B"/>
          <w:sz w:val="24"/>
          <w:szCs w:val="24"/>
        </w:rPr>
        <w:t xml:space="preserve">Průměrná měsíční nová </w:t>
      </w:r>
      <w:r w:rsidR="00C802D7" w:rsidRPr="00C802D7">
        <w:rPr>
          <w:rFonts w:ascii="Calibri" w:hAnsi="Calibri" w:cs="Calibri"/>
          <w:b/>
          <w:color w:val="13576B"/>
          <w:sz w:val="24"/>
          <w:szCs w:val="24"/>
        </w:rPr>
        <w:t>hypoteční splát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ka </w:t>
      </w:r>
      <w:r w:rsidR="00AE7732">
        <w:rPr>
          <w:rFonts w:ascii="Calibri" w:hAnsi="Calibri" w:cs="Calibri"/>
          <w:b/>
          <w:color w:val="13576B"/>
          <w:sz w:val="24"/>
          <w:szCs w:val="24"/>
        </w:rPr>
        <w:t xml:space="preserve">zůstala 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pod </w:t>
      </w:r>
      <w:r w:rsidR="00C802D7" w:rsidRPr="00C802D7">
        <w:rPr>
          <w:rFonts w:ascii="Calibri" w:hAnsi="Calibri" w:cs="Calibri"/>
          <w:b/>
          <w:color w:val="13576B"/>
          <w:sz w:val="24"/>
          <w:szCs w:val="24"/>
        </w:rPr>
        <w:t>26 tisíc Kč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 a </w:t>
      </w:r>
      <w:r w:rsidR="00D1522E" w:rsidRPr="00D1522E">
        <w:rPr>
          <w:rFonts w:ascii="Calibri" w:hAnsi="Calibri" w:cs="Calibri"/>
          <w:b/>
          <w:color w:val="13576B"/>
          <w:sz w:val="24"/>
          <w:szCs w:val="24"/>
        </w:rPr>
        <w:t>medián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ová pod </w:t>
      </w:r>
      <w:r w:rsidR="0008300C">
        <w:rPr>
          <w:rFonts w:ascii="Calibri" w:hAnsi="Calibri" w:cs="Calibri"/>
          <w:b/>
          <w:color w:val="13576B"/>
          <w:sz w:val="24"/>
          <w:szCs w:val="24"/>
        </w:rPr>
        <w:t>21</w:t>
      </w:r>
      <w:r w:rsidR="00D1522E" w:rsidRPr="00D1522E">
        <w:rPr>
          <w:rFonts w:ascii="Calibri" w:hAnsi="Calibri" w:cs="Calibri"/>
          <w:b/>
          <w:color w:val="13576B"/>
          <w:sz w:val="24"/>
          <w:szCs w:val="24"/>
        </w:rPr>
        <w:t xml:space="preserve"> tisíc</w:t>
      </w:r>
      <w:r w:rsidR="00150AA5">
        <w:rPr>
          <w:rFonts w:ascii="Calibri" w:hAnsi="Calibri" w:cs="Calibri"/>
          <w:b/>
          <w:color w:val="13576B"/>
          <w:sz w:val="24"/>
          <w:szCs w:val="24"/>
        </w:rPr>
        <w:t>i</w:t>
      </w:r>
      <w:r w:rsidR="00AE7732">
        <w:rPr>
          <w:rFonts w:ascii="Calibri" w:hAnsi="Calibri" w:cs="Calibri"/>
          <w:b/>
          <w:color w:val="13576B"/>
          <w:sz w:val="24"/>
          <w:szCs w:val="24"/>
        </w:rPr>
        <w:t xml:space="preserve"> … </w:t>
      </w:r>
    </w:p>
    <w:p w14:paraId="21211815" w14:textId="77777777" w:rsidR="00D1522E" w:rsidRDefault="00D1522E" w:rsidP="009C5D66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352C3B5B" w14:textId="77777777" w:rsidR="00150AA5" w:rsidRPr="00150AA5" w:rsidRDefault="00150AA5" w:rsidP="00150AA5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150AA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Kombinace vyšší úrokové sazby a vyšší průměrné výše hypotéky v červenci 2026 zvýšila oproti průměrným hodnotám roku 2025 průměrnou měsíční splátku nově poskytnuté hypotéky o 2,9 tis. Kč. </w:t>
      </w:r>
      <w:r w:rsidRPr="00150AA5">
        <w:rPr>
          <w:rFonts w:ascii="Calibri" w:hAnsi="Calibri" w:cs="Calibri"/>
          <w:color w:val="000000" w:themeColor="text1"/>
          <w:sz w:val="22"/>
          <w:szCs w:val="22"/>
        </w:rPr>
        <w:t xml:space="preserve">Scénáře vývoje měsíční splátky pro různé délky splatnosti hypotéky znázorňuje tabulka č. 2. Ta ukazuje, že nárůst hypotečních sazeb o více než </w:t>
      </w:r>
      <w:proofErr w:type="gramStart"/>
      <w:r w:rsidRPr="00150AA5">
        <w:rPr>
          <w:rFonts w:ascii="Calibri" w:hAnsi="Calibri" w:cs="Calibri"/>
          <w:color w:val="000000" w:themeColor="text1"/>
          <w:sz w:val="22"/>
          <w:szCs w:val="22"/>
        </w:rPr>
        <w:t>0,3 procentního</w:t>
      </w:r>
      <w:proofErr w:type="gramEnd"/>
      <w:r w:rsidRPr="00150AA5">
        <w:rPr>
          <w:rFonts w:ascii="Calibri" w:hAnsi="Calibri" w:cs="Calibri"/>
          <w:color w:val="000000" w:themeColor="text1"/>
          <w:sz w:val="22"/>
          <w:szCs w:val="22"/>
        </w:rPr>
        <w:t xml:space="preserve"> bodu vůči jejich průměrné výši 4,58 % v roce 2025 zvýšil měsíční splátku u průměrné hypotéky s obvyklou splatností přibližně 26,9 roku o necelých 800 Kč na zhruba </w:t>
      </w:r>
      <w:r w:rsidRPr="00773DE7">
        <w:rPr>
          <w:rFonts w:ascii="Calibri" w:hAnsi="Calibri" w:cs="Calibri"/>
          <w:b/>
          <w:bCs/>
          <w:color w:val="000000" w:themeColor="text1"/>
          <w:sz w:val="22"/>
          <w:szCs w:val="22"/>
        </w:rPr>
        <w:t>25,6</w:t>
      </w:r>
      <w:r w:rsidRPr="00150AA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150AA5">
        <w:rPr>
          <w:rFonts w:ascii="Calibri" w:hAnsi="Calibri" w:cs="Calibri"/>
          <w:b/>
          <w:bCs/>
          <w:color w:val="000000" w:themeColor="text1"/>
          <w:sz w:val="22"/>
          <w:szCs w:val="22"/>
        </w:rPr>
        <w:t>tis. Kč. To odpovídá přibližně 0,8 % čistého příjmu žadatele ve srovnání s průměrnou splátkou v minulém roce.</w:t>
      </w:r>
    </w:p>
    <w:p w14:paraId="7CEDE573" w14:textId="77777777" w:rsidR="00150AA5" w:rsidRPr="00150AA5" w:rsidRDefault="00150AA5" w:rsidP="00150AA5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36765070" w14:textId="4D887359" w:rsidR="00F6412C" w:rsidRDefault="00150AA5" w:rsidP="00150AA5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150AA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Současná průměrná výše hypotéky byla zároveň o 9 % vyšší než průměr roku 2024, což samo o sobě zvyšuje měsíční splátku o 2,1 tis. Kč. </w:t>
      </w:r>
      <w:r w:rsidRPr="00150AA5">
        <w:rPr>
          <w:rFonts w:ascii="Calibri" w:hAnsi="Calibri" w:cs="Calibri"/>
          <w:color w:val="000000" w:themeColor="text1"/>
          <w:sz w:val="22"/>
          <w:szCs w:val="22"/>
        </w:rPr>
        <w:t>Jde o srovnání se splátkou vypočtenou z loňské průměrné výše hypotéky, avšak při současné úrokové sazbě. Splátka hypotéky ve výši jednoho milionu korun s 30letou splatností se při současných sazbách pohybuje okolo 5,3 tisíce Kč.</w:t>
      </w:r>
    </w:p>
    <w:p w14:paraId="420D95A8" w14:textId="77777777" w:rsidR="00150AA5" w:rsidRDefault="00150AA5" w:rsidP="00150AA5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741BF50" w14:textId="76D3FD7E" w:rsidR="00F6412C" w:rsidRDefault="00150AA5" w:rsidP="00C1363D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150AA5">
        <w:rPr>
          <w:rFonts w:ascii="Calibri" w:hAnsi="Calibri" w:cs="Calibri"/>
          <w:b/>
          <w:bCs/>
          <w:color w:val="000000" w:themeColor="text1"/>
          <w:sz w:val="22"/>
          <w:szCs w:val="22"/>
        </w:rPr>
        <w:t>Ve srovnání s průměrnou hypoteční sazbou 2,33 % u nových hypoték v roce 2021 současná refinanční sazba 4,83 % při zkrácení splatnosti úvěru zvyšuje měsíční splátku u průměrné hypotéky téměř o 3 200 Kč.</w:t>
      </w:r>
      <w:r w:rsidRPr="00150AA5">
        <w:rPr>
          <w:rFonts w:ascii="Calibri" w:hAnsi="Calibri" w:cs="Calibri"/>
          <w:color w:val="000000" w:themeColor="text1"/>
          <w:sz w:val="22"/>
          <w:szCs w:val="22"/>
        </w:rPr>
        <w:t xml:space="preserve"> To odpovídá přibližně 6,2 % současné hrubé průměrné mzdy. Ta však oproti konci roku 2021 vzrostla o 33 %. Dopady a okolnosti jsme diskutovali ve </w:t>
      </w:r>
      <w:r w:rsidR="00F6412C" w:rsidRPr="00DA2CF3">
        <w:rPr>
          <w:rFonts w:ascii="Calibri" w:hAnsi="Calibri" w:cs="Calibri"/>
          <w:color w:val="000000"/>
          <w:sz w:val="22"/>
          <w:szCs w:val="22"/>
        </w:rPr>
        <w:t xml:space="preserve">Fokus ČBA: </w:t>
      </w:r>
      <w:hyperlink r:id="rId25" w:history="1">
        <w:r w:rsidR="00F6412C" w:rsidRPr="00DA2CF3">
          <w:rPr>
            <w:rStyle w:val="Hypertextovodkaz"/>
            <w:rFonts w:ascii="Calibri" w:hAnsi="Calibri" w:cs="Calibri"/>
            <w:sz w:val="22"/>
            <w:szCs w:val="22"/>
          </w:rPr>
          <w:t>Vlna refixací hypoték sílí, úrokový šok ale slábne. Rizikem zůstává vyšší inflace</w:t>
        </w:r>
      </w:hyperlink>
      <w:r w:rsidR="00F6412C" w:rsidRPr="00DA2CF3">
        <w:rPr>
          <w:rFonts w:ascii="Calibri" w:hAnsi="Calibri" w:cs="Calibri"/>
          <w:sz w:val="22"/>
          <w:szCs w:val="22"/>
        </w:rPr>
        <w:t>.</w:t>
      </w:r>
      <w:r w:rsidR="00F6412C">
        <w:t xml:space="preserve"> </w:t>
      </w:r>
      <w:r w:rsidR="00F6412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0787F064" w14:textId="77777777" w:rsidR="00C1363D" w:rsidRDefault="00C1363D" w:rsidP="006D49D0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1A267256" w14:textId="6FC38244" w:rsidR="009D3067" w:rsidRDefault="009D3067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7" w:name="_Hlk190458144"/>
      <w:bookmarkEnd w:id="6"/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</w:t>
      </w:r>
      <w:r w:rsidR="00D1522E">
        <w:rPr>
          <w:rFonts w:ascii="Calibri" w:hAnsi="Calibri" w:cs="Calibri"/>
          <w:b/>
          <w:color w:val="13576B"/>
          <w:sz w:val="23"/>
          <w:szCs w:val="23"/>
        </w:rPr>
        <w:t xml:space="preserve"> a mediánové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hypotéky v závislosti na délce splatnosti a úrokové sazbě</w:t>
      </w:r>
    </w:p>
    <w:p w14:paraId="284B4CCF" w14:textId="4FB89648" w:rsidR="0025756A" w:rsidRDefault="00463003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463003">
        <w:rPr>
          <w:rFonts w:ascii="Calibri" w:hAnsi="Calibri" w:cs="Calibri"/>
          <w:b/>
          <w:noProof/>
          <w:color w:val="13576B"/>
          <w:sz w:val="23"/>
          <w:szCs w:val="23"/>
        </w:rPr>
        <w:drawing>
          <wp:inline distT="0" distB="0" distL="0" distR="0" wp14:anchorId="2F860117" wp14:editId="71ED83A9">
            <wp:extent cx="6480810" cy="1238885"/>
            <wp:effectExtent l="0" t="0" r="0" b="0"/>
            <wp:docPr id="51352983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D1458" w14:textId="77777777" w:rsidR="007C411F" w:rsidRPr="007C411F" w:rsidRDefault="007C411F" w:rsidP="007C411F">
      <w:pPr>
        <w:overflowPunct/>
        <w:autoSpaceDE/>
        <w:adjustRightInd/>
        <w:rPr>
          <w:rFonts w:ascii="Poppins" w:hAnsi="Poppins" w:cs="Poppins"/>
          <w:color w:val="212529"/>
          <w:sz w:val="24"/>
          <w:szCs w:val="24"/>
        </w:rPr>
      </w:pPr>
      <w:r w:rsidRPr="007C411F">
        <w:rPr>
          <w:rFonts w:ascii="Calibri Light" w:hAnsi="Calibri Light" w:cs="Calibri Light"/>
          <w:color w:val="13576B"/>
          <w:sz w:val="20"/>
        </w:rPr>
        <w:t xml:space="preserve">Pramen: ČBA (tabulka s hodnotami je k dispozici v </w:t>
      </w:r>
      <w:proofErr w:type="spellStart"/>
      <w:r w:rsidRPr="007C411F">
        <w:rPr>
          <w:rFonts w:ascii="Calibri Light" w:hAnsi="Calibri Light" w:cs="Calibri Light"/>
          <w:color w:val="13576B"/>
          <w:sz w:val="20"/>
        </w:rPr>
        <w:t>xls</w:t>
      </w:r>
      <w:proofErr w:type="spellEnd"/>
      <w:r w:rsidRPr="007C411F">
        <w:rPr>
          <w:rFonts w:ascii="Calibri Light" w:hAnsi="Calibri Light" w:cs="Calibri Light"/>
          <w:color w:val="13576B"/>
          <w:sz w:val="20"/>
        </w:rPr>
        <w:t xml:space="preserve"> souboru, který je přílohou této zprávy)</w:t>
      </w:r>
      <w:r w:rsidRPr="007C411F">
        <w:rPr>
          <w:rFonts w:ascii="Calibri Light" w:hAnsi="Calibri Light" w:cs="Calibri Light"/>
          <w:color w:val="13576B"/>
          <w:sz w:val="20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</w:p>
    <w:p w14:paraId="3F1ACB94" w14:textId="3B439E96" w:rsidR="00D1522E" w:rsidRDefault="00AE7732" w:rsidP="00D1522E">
      <w:pPr>
        <w:rPr>
          <w:rFonts w:ascii="Calibri" w:hAnsi="Calibri" w:cs="Calibri"/>
          <w:b/>
          <w:color w:val="13576B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… a to díky dalšímu poklesu p</w:t>
      </w:r>
      <w:r w:rsidR="00D1522E" w:rsidRPr="00D03B38">
        <w:rPr>
          <w:rFonts w:ascii="Calibri" w:hAnsi="Calibri" w:cs="Calibri"/>
          <w:b/>
          <w:color w:val="13576B"/>
          <w:sz w:val="24"/>
          <w:szCs w:val="24"/>
        </w:rPr>
        <w:t>růměrn</w:t>
      </w:r>
      <w:r w:rsidR="00150AA5">
        <w:rPr>
          <w:rFonts w:ascii="Calibri" w:hAnsi="Calibri" w:cs="Calibri"/>
          <w:b/>
          <w:color w:val="13576B"/>
          <w:sz w:val="24"/>
          <w:szCs w:val="24"/>
        </w:rPr>
        <w:t xml:space="preserve">é </w:t>
      </w:r>
      <w:r w:rsidR="00D1522E" w:rsidRPr="00D03B38">
        <w:rPr>
          <w:rFonts w:ascii="Calibri" w:hAnsi="Calibri" w:cs="Calibri"/>
          <w:b/>
          <w:color w:val="13576B"/>
          <w:sz w:val="24"/>
          <w:szCs w:val="24"/>
        </w:rPr>
        <w:t>velikost</w:t>
      </w:r>
      <w:r>
        <w:rPr>
          <w:rFonts w:ascii="Calibri" w:hAnsi="Calibri" w:cs="Calibri"/>
          <w:b/>
          <w:color w:val="13576B"/>
          <w:sz w:val="24"/>
          <w:szCs w:val="24"/>
        </w:rPr>
        <w:t>i</w:t>
      </w:r>
      <w:r w:rsidR="00D1522E" w:rsidRPr="00D03B38">
        <w:rPr>
          <w:rFonts w:ascii="Calibri" w:hAnsi="Calibri" w:cs="Calibri"/>
          <w:b/>
          <w:color w:val="13576B"/>
          <w:sz w:val="24"/>
          <w:szCs w:val="24"/>
        </w:rPr>
        <w:t xml:space="preserve"> nově poskytnuté </w:t>
      </w:r>
      <w:r>
        <w:rPr>
          <w:rFonts w:ascii="Calibri" w:hAnsi="Calibri" w:cs="Calibri"/>
          <w:b/>
          <w:color w:val="13576B"/>
          <w:sz w:val="24"/>
          <w:szCs w:val="24"/>
        </w:rPr>
        <w:t>hypotéky</w:t>
      </w:r>
      <w:r w:rsidR="00F6412C">
        <w:rPr>
          <w:rFonts w:ascii="Calibri" w:hAnsi="Calibri" w:cs="Calibri"/>
          <w:b/>
          <w:color w:val="13576B"/>
          <w:sz w:val="24"/>
          <w:szCs w:val="24"/>
        </w:rPr>
        <w:t xml:space="preserve"> pod </w:t>
      </w:r>
      <w:r w:rsidR="00D1522E" w:rsidRPr="00D03B38">
        <w:rPr>
          <w:rFonts w:ascii="Calibri" w:hAnsi="Calibri" w:cs="Calibri"/>
          <w:b/>
          <w:color w:val="13576B"/>
          <w:sz w:val="24"/>
          <w:szCs w:val="24"/>
        </w:rPr>
        <w:t>4,</w:t>
      </w:r>
      <w:r>
        <w:rPr>
          <w:rFonts w:ascii="Calibri" w:hAnsi="Calibri" w:cs="Calibri"/>
          <w:b/>
          <w:color w:val="13576B"/>
          <w:sz w:val="24"/>
          <w:szCs w:val="24"/>
        </w:rPr>
        <w:t>6</w:t>
      </w:r>
      <w:r w:rsidR="00D1522E" w:rsidRPr="00D03B38">
        <w:rPr>
          <w:rFonts w:ascii="Calibri" w:hAnsi="Calibri" w:cs="Calibri"/>
          <w:b/>
          <w:color w:val="13576B"/>
          <w:sz w:val="24"/>
          <w:szCs w:val="24"/>
        </w:rPr>
        <w:t xml:space="preserve"> mil. Kč</w:t>
      </w:r>
      <w:r w:rsidR="00D1522E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</w:p>
    <w:p w14:paraId="0200B3F4" w14:textId="77777777" w:rsidR="00D1522E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518E5EE0" w14:textId="77777777" w:rsidR="00150AA5" w:rsidRDefault="00150AA5" w:rsidP="00150AA5">
      <w:pPr>
        <w:rPr>
          <w:kern w:val="2"/>
          <w:szCs w:val="18"/>
          <w14:ligatures w14:val="standardContextual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 xml:space="preserve">Průměrná velikost skutečně nově poskytnuté hypotéky v červenci mírně klesla na 4,59 mil. Kč, tedy téměř o 2 % meziměsíčně. </w:t>
      </w:r>
      <w:r>
        <w:rPr>
          <w:rFonts w:ascii="Calibri" w:hAnsi="Calibri" w:cs="Calibri"/>
          <w:color w:val="000000"/>
          <w:sz w:val="22"/>
          <w:szCs w:val="22"/>
        </w:rPr>
        <w:t xml:space="preserve">Ve srovnání s červencem loňského roku však byla stále o 7 % vyšší. Vyšší průměrná velikost hypotéky na začátku letošního roku, kdy v období březen až květen dosahovala 4,85 mil. Kč, pravděpodobně odrážela doznívající efekt předzásobení u tzv. investičních hypoték. U nich ČNB od dubna </w:t>
      </w:r>
      <w:hyperlink r:id="rId27" w:history="1">
        <w:r>
          <w:rPr>
            <w:rStyle w:val="Hypertextovodkaz"/>
            <w:rFonts w:ascii="Calibri" w:hAnsi="Calibri" w:cs="Calibri"/>
            <w:sz w:val="22"/>
            <w:szCs w:val="22"/>
          </w:rPr>
          <w:t>zpřísnila požadavky</w:t>
        </w:r>
      </w:hyperlink>
      <w:r>
        <w:rPr>
          <w:rFonts w:ascii="Calibri" w:hAnsi="Calibri" w:cs="Calibri"/>
          <w:color w:val="000000"/>
          <w:sz w:val="22"/>
          <w:szCs w:val="22"/>
        </w:rPr>
        <w:t>, konkrétně LTV na 70 % a DTI na sedminásobek ročního příjmu. Na základě dat ČNB ze Zprávy o finanční stabilitě odhadujeme, že průměrná výše investiční hypotéky, tedy hypotéky na další vlastní bydlení či pronájem, byla v loňském roce a v prvním čtvrtletí letošního roku zhruba o 29 % vyšší než u hypoték na vlastní bydlení a ostatních skutečně nových hypoték.</w:t>
      </w:r>
    </w:p>
    <w:p w14:paraId="10823FFD" w14:textId="3CFD30FA" w:rsidR="00AE7732" w:rsidRDefault="00AE7732" w:rsidP="00F6412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777FC14F" w14:textId="77777777" w:rsidR="00150AA5" w:rsidRDefault="00150AA5" w:rsidP="00150AA5">
      <w:pPr>
        <w:rPr>
          <w:kern w:val="2"/>
          <w:szCs w:val="18"/>
          <w14:ligatures w14:val="standardContextual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Průměrná výše hypotéky úzce souvisí také s vývojem cen nemovitostí. </w:t>
      </w:r>
      <w:r>
        <w:rPr>
          <w:rFonts w:ascii="Calibri" w:hAnsi="Calibri" w:cs="Calibri"/>
          <w:color w:val="000000"/>
          <w:sz w:val="22"/>
          <w:szCs w:val="22"/>
        </w:rPr>
        <w:t xml:space="preserve">Ty i </w:t>
      </w:r>
      <w:hyperlink r:id="rId28" w:history="1">
        <w:r>
          <w:rPr>
            <w:rStyle w:val="Hypertextovodkaz"/>
            <w:rFonts w:ascii="Calibri" w:hAnsi="Calibri" w:cs="Calibri"/>
            <w:sz w:val="22"/>
            <w:szCs w:val="22"/>
          </w:rPr>
          <w:t>v prvním čtvrtletí pouze mírně zpomalily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svůj meziroční růst k 10 %. Nabídkové ceny </w:t>
      </w:r>
      <w:hyperlink r:id="rId29" w:history="1">
        <w:r>
          <w:rPr>
            <w:rStyle w:val="Hypertextovodkaz"/>
            <w:rFonts w:ascii="Calibri" w:hAnsi="Calibri" w:cs="Calibri"/>
            <w:sz w:val="22"/>
            <w:szCs w:val="22"/>
          </w:rPr>
          <w:t>v prvním čtvrtletí 2025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mírně zrychlily na 2,7 % mezičtvrtletně, což stále převyšuje jejich dlouhodobé průměrné navýšení o 1,8 %. </w:t>
      </w:r>
      <w:hyperlink r:id="rId30" w:history="1">
        <w:r>
          <w:rPr>
            <w:rStyle w:val="Hypertextovodkaz"/>
            <w:rFonts w:ascii="Calibri" w:hAnsi="Calibri" w:cs="Calibri"/>
            <w:sz w:val="22"/>
            <w:szCs w:val="22"/>
          </w:rPr>
          <w:t>Realizované ceny bytů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v prvním čtvrtletí zvolnily růst na přibližně 2,5 % mezičtvrtletně, přičemž dynamika se výrazněji lišila mezi Prahou a zbytkem republiky. Podle dat společnosti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Flat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Zone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dosáhla průměrná transakční cena nových i starších bytů v ČR v prvním letošním čtvrtletí 98 tis. Kč/m2 (viz grafy na </w:t>
      </w:r>
      <w:hyperlink r:id="rId31" w:history="1">
        <w:r>
          <w:rPr>
            <w:rStyle w:val="Hypertextovodkaz"/>
            <w:rFonts w:ascii="Calibri" w:hAnsi="Calibri" w:cs="Calibri"/>
            <w:sz w:val="22"/>
            <w:szCs w:val="22"/>
          </w:rPr>
          <w:t>ČBA Monitor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) po 4,7% meziročním nárůstu. Vývoj trhu zároveň podporuje postupný růst reálných mezd domácností (8,1 % meziročně v </w:t>
      </w:r>
      <w:hyperlink r:id="rId32" w:history="1">
        <w:r>
          <w:rPr>
            <w:rStyle w:val="Hypertextovodkaz"/>
            <w:rFonts w:ascii="Calibri" w:hAnsi="Calibri" w:cs="Calibri"/>
            <w:sz w:val="22"/>
            <w:szCs w:val="22"/>
          </w:rPr>
          <w:t>Q1-2026</w:t>
        </w:r>
      </w:hyperlink>
      <w:r>
        <w:rPr>
          <w:rFonts w:ascii="Calibri" w:hAnsi="Calibri" w:cs="Calibri"/>
          <w:sz w:val="22"/>
          <w:szCs w:val="22"/>
        </w:rPr>
        <w:t xml:space="preserve">; graficky </w:t>
      </w:r>
      <w:hyperlink r:id="rId33" w:history="1">
        <w:r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>
        <w:rPr>
          <w:rFonts w:ascii="Calibri" w:hAnsi="Calibri" w:cs="Calibri"/>
          <w:color w:val="000000"/>
          <w:sz w:val="22"/>
          <w:szCs w:val="22"/>
        </w:rPr>
        <w:t>).</w:t>
      </w:r>
    </w:p>
    <w:p w14:paraId="36769E17" w14:textId="77777777" w:rsidR="00C802D7" w:rsidRDefault="00C802D7" w:rsidP="00C802D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37433820" w14:textId="3A27D52D" w:rsidR="00573D34" w:rsidRDefault="00EB1892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0B7D19">
        <w:rPr>
          <w:rFonts w:ascii="Calibri" w:hAnsi="Calibri" w:cs="Calibri"/>
          <w:b/>
          <w:color w:val="13576B"/>
          <w:sz w:val="23"/>
          <w:szCs w:val="23"/>
        </w:rPr>
        <w:t>6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 xml:space="preserve">Ilustrativní srovnání výše měsíční splátky </w:t>
      </w:r>
      <w:r w:rsidR="00EA163C">
        <w:rPr>
          <w:rFonts w:ascii="Calibri" w:hAnsi="Calibri" w:cs="Calibri"/>
          <w:b/>
          <w:color w:val="13576B"/>
          <w:sz w:val="23"/>
          <w:szCs w:val="23"/>
        </w:rPr>
        <w:t xml:space="preserve">u aktuální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 xml:space="preserve">průměrné </w:t>
      </w:r>
      <w:r w:rsidR="00490E04">
        <w:rPr>
          <w:rFonts w:ascii="Calibri" w:hAnsi="Calibri" w:cs="Calibri"/>
          <w:b/>
          <w:color w:val="13576B"/>
          <w:sz w:val="23"/>
          <w:szCs w:val="23"/>
        </w:rPr>
        <w:t xml:space="preserve">nově poskytnuté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hypotéky s obdobím před rokem v závislosti na výši úroku, velikosti hypotéky a její splatnosti v</w:t>
      </w:r>
      <w:r w:rsidR="00573D34">
        <w:rPr>
          <w:rFonts w:ascii="Calibri" w:hAnsi="Calibri" w:cs="Calibri"/>
          <w:b/>
          <w:color w:val="13576B"/>
          <w:sz w:val="23"/>
          <w:szCs w:val="23"/>
        </w:rPr>
        <w:t> 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letech</w:t>
      </w:r>
    </w:p>
    <w:p w14:paraId="0828FF02" w14:textId="66131605" w:rsidR="00EA163C" w:rsidRDefault="004635CE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</w:pPr>
      <w:r w:rsidRPr="004635CE">
        <w:rPr>
          <w:rFonts w:ascii="Calibri" w:hAnsi="Calibri" w:cs="Calibri"/>
          <w:bCs/>
          <w:i/>
          <w:iCs/>
          <w:color w:val="13576B"/>
          <w:sz w:val="23"/>
          <w:szCs w:val="23"/>
        </w:rPr>
        <w:t>V meziročním srovnání přinesl nárůst hypoteční sazby nárůst průměrné měsíční splátky o 1 000 Kč a nárůst průměrné výše hypotéky způsobil její navýšení o 1 750 Kč.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Výše hypotéky ovšem v posledních dvou měsících klesá, což kompenzovalo dopad vyšší </w:t>
      </w:r>
      <w:r w:rsidRPr="004635CE">
        <w:rPr>
          <w:rFonts w:ascii="Calibri" w:hAnsi="Calibri" w:cs="Calibri"/>
          <w:bCs/>
          <w:i/>
          <w:iCs/>
          <w:color w:val="13576B"/>
          <w:sz w:val="23"/>
          <w:szCs w:val="23"/>
        </w:rPr>
        <w:t>úrokové sazby.</w:t>
      </w:r>
    </w:p>
    <w:p w14:paraId="602AD0DA" w14:textId="2366CB53" w:rsidR="004635CE" w:rsidRDefault="004635CE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  <w:drawing>
          <wp:inline distT="0" distB="0" distL="0" distR="0" wp14:anchorId="7F3568F3" wp14:editId="24FD45AD">
            <wp:extent cx="6047740" cy="3834765"/>
            <wp:effectExtent l="0" t="0" r="0" b="0"/>
            <wp:docPr id="3874586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7ECA69B5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620D9ACD" w14:textId="77777777" w:rsidR="00BA3140" w:rsidRDefault="00BA3140" w:rsidP="002E4EFD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5A72B105" w14:textId="31FA153D" w:rsidR="002E4EFD" w:rsidRDefault="008723A8" w:rsidP="002E4EFD">
      <w:pPr>
        <w:rPr>
          <w:rFonts w:ascii="Calibri" w:hAnsi="Calibri" w:cs="Calibri"/>
          <w:b/>
          <w:color w:val="13576B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Statistická příloha</w:t>
      </w:r>
    </w:p>
    <w:p w14:paraId="7D8CD8E4" w14:textId="77777777" w:rsidR="00582221" w:rsidRDefault="00582221" w:rsidP="002E4EFD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2FA0BE1C" w14:textId="532A5C10" w:rsidR="00582221" w:rsidRPr="00D24B00" w:rsidRDefault="00582221" w:rsidP="002E4EFD">
      <w:pPr>
        <w:rPr>
          <w:rFonts w:ascii="Calibri" w:hAnsi="Calibri" w:cs="Calibri"/>
          <w:b/>
          <w:color w:val="EE0000"/>
          <w:sz w:val="24"/>
          <w:szCs w:val="24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0B7D19">
        <w:rPr>
          <w:rFonts w:ascii="Calibri" w:hAnsi="Calibri" w:cs="Calibri"/>
          <w:b/>
          <w:color w:val="13576B"/>
          <w:sz w:val="23"/>
          <w:szCs w:val="23"/>
        </w:rPr>
        <w:t>7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>
        <w:rPr>
          <w:rFonts w:ascii="Calibri" w:hAnsi="Calibri" w:cs="Calibri"/>
          <w:b/>
          <w:color w:val="13576B"/>
          <w:sz w:val="23"/>
          <w:szCs w:val="23"/>
        </w:rPr>
        <w:t>Sezónnost nových hypotečních úvěrů</w:t>
      </w:r>
    </w:p>
    <w:p w14:paraId="384BA2E5" w14:textId="3704100A" w:rsidR="0033440C" w:rsidRDefault="004635CE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02819FD2" wp14:editId="4AC53716">
            <wp:extent cx="6342850" cy="4021871"/>
            <wp:effectExtent l="0" t="0" r="1270" b="0"/>
            <wp:docPr id="8798581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2" cy="4036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3E5F5" w14:textId="68A6E96C" w:rsidR="0033440C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03530238" w14:textId="12AD17C8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</w:t>
      </w:r>
      <w:r w:rsidR="006E2E7E">
        <w:rPr>
          <w:rFonts w:ascii="Calibri Light" w:hAnsi="Calibri Light" w:cs="Calibri Light"/>
          <w:color w:val="13576B"/>
          <w:sz w:val="20"/>
        </w:rPr>
        <w:t xml:space="preserve">Jedná se o skutečně nové hypotéky (tedy </w:t>
      </w:r>
      <w:r w:rsidR="00F50DD0">
        <w:rPr>
          <w:rFonts w:ascii="Calibri Light" w:hAnsi="Calibri Light" w:cs="Calibri Light"/>
          <w:color w:val="13576B"/>
          <w:sz w:val="20"/>
        </w:rPr>
        <w:t xml:space="preserve">bez </w:t>
      </w:r>
      <w:r w:rsidR="006E2E7E">
        <w:rPr>
          <w:rFonts w:ascii="Calibri Light" w:hAnsi="Calibri Light" w:cs="Calibri Light"/>
          <w:color w:val="13576B"/>
          <w:sz w:val="20"/>
        </w:rPr>
        <w:t xml:space="preserve">refinancování a navýšeni). </w:t>
      </w:r>
      <w:r>
        <w:rPr>
          <w:rFonts w:ascii="Calibri Light" w:hAnsi="Calibri Light" w:cs="Calibri Light"/>
          <w:color w:val="13576B"/>
          <w:sz w:val="20"/>
        </w:rPr>
        <w:t xml:space="preserve">Podkladová data jsou </w:t>
      </w:r>
      <w:r w:rsidRPr="008723A8">
        <w:rPr>
          <w:rFonts w:ascii="Calibri Light" w:hAnsi="Calibri Light" w:cs="Calibri Light"/>
          <w:color w:val="13576B"/>
          <w:sz w:val="20"/>
        </w:rPr>
        <w:t xml:space="preserve">k dispozici v souboru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xls</w:t>
      </w:r>
      <w:proofErr w:type="spellEnd"/>
      <w:r w:rsidRPr="008723A8">
        <w:rPr>
          <w:rFonts w:ascii="Calibri Light" w:hAnsi="Calibri Light" w:cs="Calibri Light"/>
          <w:color w:val="13576B"/>
          <w:sz w:val="20"/>
        </w:rPr>
        <w:t xml:space="preserve"> přiloženém na webových stránkách ČBA Hypomonitoru</w:t>
      </w:r>
      <w:r w:rsidR="00E16BD3">
        <w:rPr>
          <w:rFonts w:ascii="Calibri Light" w:hAnsi="Calibri Light" w:cs="Calibri Light"/>
          <w:color w:val="13576B"/>
          <w:sz w:val="20"/>
        </w:rPr>
        <w:t>. V</w:t>
      </w:r>
      <w:r w:rsidR="00E16BD3" w:rsidRPr="00E16BD3">
        <w:rPr>
          <w:rFonts w:ascii="Calibri Light" w:hAnsi="Calibri Light" w:cs="Calibri Light"/>
          <w:color w:val="13576B"/>
          <w:sz w:val="20"/>
        </w:rPr>
        <w:t>ýhled do konce roku</w:t>
      </w:r>
      <w:r w:rsidR="00E16BD3">
        <w:rPr>
          <w:rFonts w:ascii="Calibri Light" w:hAnsi="Calibri Light" w:cs="Calibri Light"/>
          <w:color w:val="13576B"/>
          <w:sz w:val="20"/>
        </w:rPr>
        <w:t xml:space="preserve"> (</w:t>
      </w:r>
      <w:proofErr w:type="spellStart"/>
      <w:r w:rsidR="00E16BD3">
        <w:rPr>
          <w:rFonts w:ascii="Calibri Light" w:hAnsi="Calibri Light" w:cs="Calibri Light"/>
          <w:color w:val="13576B"/>
          <w:sz w:val="20"/>
        </w:rPr>
        <w:t>fcst</w:t>
      </w:r>
      <w:proofErr w:type="spellEnd"/>
      <w:r w:rsidR="00E16BD3">
        <w:rPr>
          <w:rFonts w:ascii="Calibri Light" w:hAnsi="Calibri Light" w:cs="Calibri Light"/>
          <w:color w:val="13576B"/>
          <w:sz w:val="20"/>
        </w:rPr>
        <w:t>)</w:t>
      </w:r>
      <w:r w:rsidR="00E16BD3" w:rsidRPr="00E16BD3">
        <w:rPr>
          <w:rFonts w:ascii="Calibri Light" w:hAnsi="Calibri Light" w:cs="Calibri Light"/>
          <w:color w:val="13576B"/>
          <w:sz w:val="20"/>
        </w:rPr>
        <w:t xml:space="preserve"> je momentový – vychází z aktuálního trendu, nikoli z modelové predikce.</w:t>
      </w:r>
      <w:r w:rsidR="0025756A" w:rsidRPr="0025756A">
        <w:t xml:space="preserve"> </w:t>
      </w:r>
      <w:r w:rsidR="0025756A" w:rsidRPr="0025756A">
        <w:rPr>
          <w:rFonts w:ascii="Calibri Light" w:hAnsi="Calibri Light" w:cs="Calibri Light"/>
          <w:color w:val="13576B"/>
          <w:sz w:val="20"/>
        </w:rPr>
        <w:t>Nicméně pro zbytek roku předpokládá 7 % korekci do počtu hypoték</w:t>
      </w:r>
      <w:r w:rsidR="0007456F">
        <w:rPr>
          <w:rFonts w:ascii="Calibri Light" w:hAnsi="Calibri Light" w:cs="Calibri Light"/>
          <w:color w:val="13576B"/>
          <w:sz w:val="20"/>
        </w:rPr>
        <w:t xml:space="preserve"> vůči H2-2025</w:t>
      </w:r>
      <w:r w:rsidR="0025756A" w:rsidRPr="0025756A">
        <w:rPr>
          <w:rFonts w:ascii="Calibri Light" w:hAnsi="Calibri Light" w:cs="Calibri Light"/>
          <w:color w:val="13576B"/>
          <w:sz w:val="20"/>
        </w:rPr>
        <w:t>.</w:t>
      </w:r>
    </w:p>
    <w:p w14:paraId="50F3BD64" w14:textId="77777777" w:rsidR="0033440C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67028DE4" w14:textId="685D812B" w:rsidR="00582221" w:rsidRDefault="0058222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0B7D19">
        <w:rPr>
          <w:rFonts w:ascii="Calibri" w:hAnsi="Calibri" w:cs="Calibri"/>
          <w:b/>
          <w:color w:val="13576B"/>
          <w:sz w:val="23"/>
          <w:szCs w:val="23"/>
        </w:rPr>
        <w:t>8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>
        <w:rPr>
          <w:rFonts w:ascii="Calibri" w:hAnsi="Calibri" w:cs="Calibri"/>
          <w:b/>
          <w:color w:val="13576B"/>
          <w:sz w:val="23"/>
          <w:szCs w:val="23"/>
        </w:rPr>
        <w:t>Rozložení nových hypotečních úvěrů podle účelu</w:t>
      </w:r>
    </w:p>
    <w:p w14:paraId="6D87A84C" w14:textId="2454751E" w:rsidR="00582221" w:rsidRDefault="00282256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78747C82" wp14:editId="33DD45A2">
            <wp:extent cx="6500428" cy="2075180"/>
            <wp:effectExtent l="0" t="0" r="0" b="1270"/>
            <wp:docPr id="10171955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891" cy="2093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7AF75" w14:textId="77777777" w:rsidR="00582221" w:rsidRDefault="00582221" w:rsidP="00582221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5303965F" w14:textId="2A25A408" w:rsidR="0033440C" w:rsidRPr="00616069" w:rsidRDefault="00582221" w:rsidP="00582221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lastRenderedPageBreak/>
        <w:t xml:space="preserve">Poznámka: Poslední údaj představuje průměr za posledních 12 měsíců. </w:t>
      </w:r>
      <w:r w:rsidR="00867322">
        <w:rPr>
          <w:rFonts w:ascii="Calibri Light" w:hAnsi="Calibri Light" w:cs="Calibri Light"/>
          <w:color w:val="13576B"/>
          <w:sz w:val="20"/>
        </w:rPr>
        <w:t>Intepretace segmentu ostatních může být zkreslena zařazením tz</w:t>
      </w:r>
      <w:r w:rsidR="0007456F">
        <w:rPr>
          <w:rFonts w:ascii="Calibri Light" w:hAnsi="Calibri Light" w:cs="Calibri Light"/>
          <w:color w:val="13576B"/>
          <w:sz w:val="20"/>
        </w:rPr>
        <w:t>v</w:t>
      </w:r>
      <w:r w:rsidR="00867322">
        <w:rPr>
          <w:rFonts w:ascii="Calibri Light" w:hAnsi="Calibri Light" w:cs="Calibri Light"/>
          <w:color w:val="13576B"/>
          <w:sz w:val="20"/>
        </w:rPr>
        <w:t xml:space="preserve">. hypoték bez nemovitosti </w:t>
      </w:r>
      <w:r w:rsidR="00867322" w:rsidRPr="00867322">
        <w:rPr>
          <w:rFonts w:ascii="Calibri Light" w:hAnsi="Calibri Light" w:cs="Calibri Light"/>
          <w:color w:val="13576B"/>
          <w:sz w:val="20"/>
        </w:rPr>
        <w:t>sjednané bez účelu</w:t>
      </w:r>
      <w:r w:rsidR="00867322">
        <w:rPr>
          <w:rFonts w:ascii="Calibri Light" w:hAnsi="Calibri Light" w:cs="Calibri Light"/>
          <w:color w:val="13576B"/>
          <w:sz w:val="20"/>
        </w:rPr>
        <w:t xml:space="preserve">. Blíže viz metodická poznámka níže. </w:t>
      </w:r>
    </w:p>
    <w:bookmarkEnd w:id="7"/>
    <w:p w14:paraId="045825E8" w14:textId="77777777" w:rsidR="00801B60" w:rsidRDefault="00801B60" w:rsidP="002A5D11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38F7CB3F" w14:textId="2FEEAD4C" w:rsidR="00BA3140" w:rsidRPr="002A5D11" w:rsidRDefault="00BA3140" w:rsidP="00BA3140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t>Hypoteční trh v roce 202</w:t>
      </w:r>
      <w:r>
        <w:rPr>
          <w:rFonts w:ascii="Calibri" w:hAnsi="Calibri" w:cs="Calibri"/>
          <w:b/>
          <w:color w:val="13576B"/>
          <w:sz w:val="24"/>
          <w:szCs w:val="24"/>
        </w:rPr>
        <w:t>5</w:t>
      </w:r>
      <w:r w:rsidR="00356A6D">
        <w:rPr>
          <w:rFonts w:ascii="Calibri" w:hAnsi="Calibri" w:cs="Calibri"/>
          <w:b/>
          <w:color w:val="13576B"/>
          <w:sz w:val="24"/>
          <w:szCs w:val="24"/>
        </w:rPr>
        <w:t xml:space="preserve"> přinesl </w:t>
      </w:r>
      <w:r>
        <w:rPr>
          <w:rFonts w:ascii="Calibri" w:hAnsi="Calibri" w:cs="Calibri"/>
          <w:b/>
          <w:color w:val="13576B"/>
          <w:sz w:val="24"/>
          <w:szCs w:val="24"/>
        </w:rPr>
        <w:t>silný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objemový 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růst o </w:t>
      </w:r>
      <w:r>
        <w:rPr>
          <w:rFonts w:ascii="Calibri" w:hAnsi="Calibri" w:cs="Calibri"/>
          <w:b/>
          <w:color w:val="13576B"/>
          <w:sz w:val="24"/>
          <w:szCs w:val="24"/>
        </w:rPr>
        <w:t>41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 %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 a o téměř čtvrtinu v počtech</w:t>
      </w:r>
    </w:p>
    <w:p w14:paraId="153D0109" w14:textId="77777777" w:rsidR="00BA3140" w:rsidRPr="00840F7C" w:rsidRDefault="00BA3140" w:rsidP="00BA3140">
      <w:pPr>
        <w:rPr>
          <w:rFonts w:ascii="Calibri" w:hAnsi="Calibri" w:cs="Calibri"/>
          <w:b/>
          <w:bCs/>
          <w:sz w:val="22"/>
          <w:szCs w:val="22"/>
        </w:rPr>
      </w:pPr>
    </w:p>
    <w:p w14:paraId="605D853E" w14:textId="77777777" w:rsidR="00BA3140" w:rsidRDefault="00BA3140" w:rsidP="00BA314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>Za celý rok 202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poskytly banky a stavební spořitelny nové hypoteční úvěry v objemu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321</w:t>
      </w: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miliard Kč.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o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93 miliard korun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více než 228 miliard vytvořených v roce 2024. Tento meziroční skok odpovídá 41% nárůstu.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K tomu se navíc refinancovaly hypotéky v rozsahu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85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miliard Kč a celý hypoteční trh tak v roce 202</w:t>
      </w:r>
      <w:r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narostl na </w:t>
      </w:r>
      <w:r>
        <w:rPr>
          <w:rFonts w:ascii="Calibri" w:hAnsi="Calibri" w:cs="Calibri"/>
          <w:color w:val="000000" w:themeColor="text1"/>
          <w:sz w:val="22"/>
          <w:szCs w:val="22"/>
        </w:rPr>
        <w:t>406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miliard Kč z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 275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miliard v roce 202</w:t>
      </w:r>
      <w:r>
        <w:rPr>
          <w:rFonts w:ascii="Calibri" w:hAnsi="Calibri" w:cs="Calibri"/>
          <w:color w:val="000000" w:themeColor="text1"/>
          <w:sz w:val="22"/>
          <w:szCs w:val="22"/>
        </w:rPr>
        <w:t>4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. Pokud upravíme objemy o nárůst cen </w:t>
      </w:r>
      <w:r>
        <w:rPr>
          <w:rFonts w:ascii="Calibri" w:hAnsi="Calibri" w:cs="Calibri"/>
          <w:color w:val="000000" w:themeColor="text1"/>
          <w:sz w:val="22"/>
          <w:szCs w:val="22"/>
        </w:rPr>
        <w:t>bytů okolo 15-16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% (dle různých statistik), objem nových hypoték vzrostl reálně o něco méně. To odpovídá i mírnějšímu nárůstu počtu nových hypoték v roce 202</w:t>
      </w:r>
      <w:r>
        <w:rPr>
          <w:rFonts w:ascii="Calibri" w:hAnsi="Calibri" w:cs="Calibri"/>
          <w:color w:val="000000" w:themeColor="text1"/>
          <w:sz w:val="22"/>
          <w:szCs w:val="22"/>
        </w:rPr>
        <w:t>5, o necelou čtvrtinu na více než 76,11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tisíc</w:t>
      </w:r>
      <w:r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a téměř </w:t>
      </w:r>
      <w:r>
        <w:rPr>
          <w:rFonts w:ascii="Calibri" w:hAnsi="Calibri" w:cs="Calibri"/>
          <w:color w:val="000000" w:themeColor="text1"/>
          <w:sz w:val="22"/>
          <w:szCs w:val="22"/>
        </w:rPr>
        <w:t>15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% nárůstu průměrné výše poskytnuté nové hypotéky na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4,21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milion</w:t>
      </w:r>
      <w:r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Kč. </w:t>
      </w:r>
    </w:p>
    <w:p w14:paraId="7ECD8698" w14:textId="77777777" w:rsidR="00BA3140" w:rsidRDefault="00BA3140" w:rsidP="00BA3140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DB164B7" w14:textId="77777777" w:rsidR="00BA3140" w:rsidRPr="009C5D66" w:rsidRDefault="00BA3140" w:rsidP="00BA314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Nové hypotéky se v roce 2025 financovaly průměrnou úrokovou sazbu 4,58 %, což bylo o půl procentního bodu méně než v roce 2024, přičemž spread vůči tržní swapové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úrokové 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>křivce dosáhl necelého jednoho procentního bodu, což je mírně pod dlouhodobým průměrem. Průměrná měsíční výše hypoteční splátky v roce 2025 dosáhla necelých 22,8 tisíc</w:t>
      </w:r>
      <w:r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Kč, což je o 8,6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%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více než v roce 2024, </w:t>
      </w:r>
      <w:r>
        <w:rPr>
          <w:rFonts w:ascii="Calibri" w:hAnsi="Calibri" w:cs="Calibri"/>
          <w:color w:val="000000" w:themeColor="text1"/>
          <w:sz w:val="22"/>
          <w:szCs w:val="22"/>
        </w:rPr>
        <w:t>a mírně překonalo pravděpodobně více než 7% loňský nárůst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37" w:history="1">
        <w:r w:rsidRPr="009C5D66">
          <w:rPr>
            <w:rStyle w:val="Hypertextovodkaz"/>
            <w:rFonts w:ascii="Calibri" w:hAnsi="Calibri" w:cs="Calibri"/>
            <w:sz w:val="22"/>
            <w:szCs w:val="22"/>
          </w:rPr>
          <w:t>průměrn</w:t>
        </w:r>
        <w:r>
          <w:rPr>
            <w:rStyle w:val="Hypertextovodkaz"/>
            <w:rFonts w:ascii="Calibri" w:hAnsi="Calibri" w:cs="Calibri"/>
            <w:sz w:val="22"/>
            <w:szCs w:val="22"/>
          </w:rPr>
          <w:t>é</w:t>
        </w:r>
        <w:r w:rsidRPr="009C5D66">
          <w:rPr>
            <w:rStyle w:val="Hypertextovodkaz"/>
            <w:rFonts w:ascii="Calibri" w:hAnsi="Calibri" w:cs="Calibri"/>
            <w:sz w:val="22"/>
            <w:szCs w:val="22"/>
          </w:rPr>
          <w:t xml:space="preserve"> nominální mzdy</w:t>
        </w:r>
      </w:hyperlink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>
        <w:rPr>
          <w:rFonts w:ascii="Calibri" w:hAnsi="Calibri" w:cs="Calibri"/>
          <w:color w:val="000000" w:themeColor="text1"/>
          <w:sz w:val="22"/>
          <w:szCs w:val="22"/>
        </w:rPr>
        <w:t>P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růměrný meziroční nárůst měsíční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hypoteční 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>splátky přibližně o 1 800 korun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v roce 2025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především odrážel vyšší průměrnou </w:t>
      </w:r>
      <w:r>
        <w:rPr>
          <w:rFonts w:ascii="Calibri" w:hAnsi="Calibri" w:cs="Calibri"/>
          <w:color w:val="000000" w:themeColor="text1"/>
          <w:sz w:val="22"/>
          <w:szCs w:val="22"/>
        </w:rPr>
        <w:t>úroveň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hypotéky s navýšením splátky téměř o 2,9 tis. Kč, zatímco nižší hypoteční úroková sazba snížila průměrnou měsíční splátku o více než 1,2 tis. Kč. </w:t>
      </w:r>
    </w:p>
    <w:p w14:paraId="09717EC0" w14:textId="77777777" w:rsidR="00BA3140" w:rsidRDefault="00BA3140" w:rsidP="00BA3140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62183D0D" w14:textId="77777777" w:rsidR="00BA3140" w:rsidRPr="002F4CBD" w:rsidRDefault="00BA3140" w:rsidP="00BA3140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>
        <w:rPr>
          <w:rFonts w:ascii="Calibri" w:hAnsi="Calibri" w:cs="Calibri"/>
          <w:b/>
          <w:color w:val="13576B"/>
          <w:sz w:val="23"/>
          <w:szCs w:val="23"/>
        </w:rPr>
        <w:t>1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,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počet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a průměrná výše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poskytnutých hypoték v letech 202</w:t>
      </w:r>
      <w:r>
        <w:rPr>
          <w:rFonts w:ascii="Calibri" w:hAnsi="Calibri" w:cs="Calibri"/>
          <w:b/>
          <w:color w:val="13576B"/>
          <w:sz w:val="23"/>
          <w:szCs w:val="23"/>
        </w:rPr>
        <w:t>0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 až 202</w:t>
      </w:r>
      <w:r>
        <w:rPr>
          <w:rFonts w:ascii="Calibri" w:hAnsi="Calibri" w:cs="Calibri"/>
          <w:b/>
          <w:color w:val="13576B"/>
          <w:sz w:val="23"/>
          <w:szCs w:val="23"/>
        </w:rPr>
        <w:t>5</w:t>
      </w:r>
    </w:p>
    <w:p w14:paraId="56EB097E" w14:textId="77777777" w:rsidR="00BA3140" w:rsidRPr="002F4CBD" w:rsidRDefault="00BA3140" w:rsidP="00BA3140">
      <w:pPr>
        <w:rPr>
          <w:rFonts w:ascii="Calibri" w:hAnsi="Calibri" w:cs="Calibri"/>
          <w:sz w:val="22"/>
          <w:szCs w:val="22"/>
        </w:rPr>
      </w:pPr>
    </w:p>
    <w:p w14:paraId="11D80496" w14:textId="77777777" w:rsidR="00BA3140" w:rsidRPr="002F4CBD" w:rsidRDefault="00BA3140" w:rsidP="00BA3140">
      <w:pPr>
        <w:rPr>
          <w:rFonts w:ascii="Calibri" w:hAnsi="Calibri" w:cs="Calibri"/>
          <w:sz w:val="22"/>
          <w:szCs w:val="22"/>
        </w:rPr>
      </w:pPr>
      <w:r w:rsidRPr="00E77326">
        <w:rPr>
          <w:noProof/>
        </w:rPr>
        <w:drawing>
          <wp:inline distT="0" distB="0" distL="0" distR="0" wp14:anchorId="2B97DD5A" wp14:editId="7C138169">
            <wp:extent cx="6480810" cy="2125345"/>
            <wp:effectExtent l="0" t="0" r="0" b="8255"/>
            <wp:docPr id="3917590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4B1DB" w14:textId="77777777" w:rsidR="00BA3140" w:rsidRPr="00616069" w:rsidRDefault="00BA3140" w:rsidP="00BA3140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22ED378A" w14:textId="017879D6" w:rsidR="006C53A0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28239FF" w14:textId="77777777" w:rsidR="00BA3140" w:rsidRPr="00616069" w:rsidRDefault="00BA314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39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40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3347843E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89585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895850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Metodika ČBA Hypomonitoru</w:t>
                            </w:r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3151AB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</w:t>
                            </w:r>
                            <w:r w:rsidR="006B00D0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(</w:t>
                            </w:r>
                            <w:r w:rsidR="006B00D0" w:rsidRPr="006B00D0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což neplatí v případě tzv. hypotéky bez nemovitosti sjedn</w:t>
                            </w:r>
                            <w:r w:rsidR="006B00D0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</w:t>
                            </w:r>
                            <w:r w:rsidR="006B00D0" w:rsidRPr="006B00D0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né bez účelu</w:t>
                            </w:r>
                            <w:r w:rsidR="006B00D0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), tedy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např. tzv. americké hypotéky, vypořádání SJM, zpětná úhrada kupní ceny, vypořádání dědického podílu, vypořádání družstevního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podílu,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63D05C51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</w:t>
                            </w:r>
                            <w:r w:rsidR="00752310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ČSOB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Hypoteční banka, Komerční banka, mBank, Modrá pyramida, MONETA Bank,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Oberbank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Partners</w:t>
                            </w:r>
                            <w:proofErr w:type="spellEnd"/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Banka,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22.25pt;width:517.7pt;height:385.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Metodika ČBA Hypomonitoru</w:t>
                      </w:r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Hypomonitor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3151ABF" w:rsidR="0001227F" w:rsidRPr="00616069" w:rsidRDefault="0001227F" w:rsidP="00E818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</w:t>
                      </w:r>
                      <w:r w:rsidR="006B00D0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(</w:t>
                      </w:r>
                      <w:r w:rsidR="006B00D0" w:rsidRPr="006B00D0">
                        <w:rPr>
                          <w:rFonts w:ascii="Calibri" w:hAnsi="Calibri" w:cs="Calibri"/>
                          <w:color w:val="FFFFFF" w:themeColor="background1"/>
                        </w:rPr>
                        <w:t>což neplatí v případě tzv. hypotéky bez nemovitosti sjedn</w:t>
                      </w:r>
                      <w:r w:rsidR="006B00D0">
                        <w:rPr>
                          <w:rFonts w:ascii="Calibri" w:hAnsi="Calibri" w:cs="Calibri"/>
                          <w:color w:val="FFFFFF" w:themeColor="background1"/>
                        </w:rPr>
                        <w:t>a</w:t>
                      </w:r>
                      <w:r w:rsidR="006B00D0" w:rsidRPr="006B00D0">
                        <w:rPr>
                          <w:rFonts w:ascii="Calibri" w:hAnsi="Calibri" w:cs="Calibri"/>
                          <w:color w:val="FFFFFF" w:themeColor="background1"/>
                        </w:rPr>
                        <w:t>né bez účelu</w:t>
                      </w:r>
                      <w:r w:rsidR="006B00D0">
                        <w:rPr>
                          <w:rFonts w:ascii="Calibri" w:hAnsi="Calibri" w:cs="Calibri"/>
                          <w:color w:val="FFFFFF" w:themeColor="background1"/>
                        </w:rPr>
                        <w:t>), tedy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např. tzv. americké hypotéky, vypořádání SJM, zpětná úhrada kupní ceny, vypořádání dědického podílu, vypořádání družstevního podílu,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63D05C51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Data pro ČBA Hypomonitor poskytují následující banky a stavební spořitelny: Air Bank, Česká spořitelna, ČSOB, ČSOB Stavební spořitelna, Fio banka,</w:t>
                      </w:r>
                      <w:r w:rsidR="00752310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ČSOB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Hypoteční banka, Komerční banka, mBank, Modrá pyramida, MONETA Bank, Oberbank, </w:t>
                      </w:r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Partners Banka,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423A1391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 w:rsidR="00BA1D00">
              <w:rPr>
                <w:rFonts w:cs="Arial"/>
                <w:color w:val="FFFFFF" w:themeColor="background1"/>
              </w:rPr>
              <w:t>4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606031">
      <w:type w:val="continuous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9CB5E" w14:textId="77777777" w:rsidR="00D77FA4" w:rsidRPr="00616069" w:rsidRDefault="00D77FA4" w:rsidP="00F573F1">
      <w:r w:rsidRPr="00616069">
        <w:separator/>
      </w:r>
    </w:p>
  </w:endnote>
  <w:endnote w:type="continuationSeparator" w:id="0">
    <w:p w14:paraId="27EA4140" w14:textId="77777777" w:rsidR="00D77FA4" w:rsidRPr="00616069" w:rsidRDefault="00D77FA4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452462243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D8EA5" w14:textId="77777777" w:rsidR="00D77FA4" w:rsidRPr="00616069" w:rsidRDefault="00D77FA4" w:rsidP="00F573F1">
      <w:r w:rsidRPr="00616069">
        <w:separator/>
      </w:r>
    </w:p>
  </w:footnote>
  <w:footnote w:type="continuationSeparator" w:id="0">
    <w:p w14:paraId="4255D8B6" w14:textId="77777777" w:rsidR="00D77FA4" w:rsidRPr="00616069" w:rsidRDefault="00D77FA4" w:rsidP="00F573F1">
      <w:r w:rsidRPr="00616069">
        <w:continuationSeparator/>
      </w:r>
    </w:p>
  </w:footnote>
  <w:footnote w:id="1">
    <w:p w14:paraId="3CB3CFE9" w14:textId="77777777" w:rsidR="00F86368" w:rsidRPr="00616069" w:rsidRDefault="00F86368" w:rsidP="00F86368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interest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rate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swap, IRS), které odráží cenu peněz v delších splatnostech, </w:t>
      </w:r>
      <w:r>
        <w:rPr>
          <w:rFonts w:asciiTheme="majorHAnsi" w:hAnsiTheme="majorHAnsi" w:cstheme="majorHAnsi"/>
          <w:sz w:val="17"/>
          <w:szCs w:val="17"/>
        </w:rPr>
        <w:t>a to v posledních letech okolo 3 až 5 let, ale relevantní zůstává celá křivka 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</w:t>
      </w:r>
      <w:r>
        <w:rPr>
          <w:rFonts w:asciiTheme="majorHAnsi" w:hAnsiTheme="majorHAnsi" w:cstheme="majorHAnsi"/>
          <w:sz w:val="17"/>
          <w:szCs w:val="17"/>
        </w:rPr>
        <w:t>, i když 10 leté splatnosti jsou méně relevantní kvůli vyšším sazbám centrálních bank v porovnání s předchozí dekádou, ale i kvůli ú</w:t>
      </w:r>
      <w:r w:rsidRPr="00EA163C">
        <w:rPr>
          <w:rFonts w:asciiTheme="majorHAnsi" w:hAnsiTheme="majorHAnsi" w:cstheme="majorHAnsi"/>
          <w:sz w:val="17"/>
          <w:szCs w:val="17"/>
        </w:rPr>
        <w:t>čelně vynaložený</w:t>
      </w:r>
      <w:r>
        <w:rPr>
          <w:rFonts w:asciiTheme="majorHAnsi" w:hAnsiTheme="majorHAnsi" w:cstheme="majorHAnsi"/>
          <w:sz w:val="17"/>
          <w:szCs w:val="17"/>
        </w:rPr>
        <w:t>m</w:t>
      </w:r>
      <w:r w:rsidRPr="00EA163C">
        <w:rPr>
          <w:rFonts w:asciiTheme="majorHAnsi" w:hAnsiTheme="majorHAnsi" w:cstheme="majorHAnsi"/>
          <w:sz w:val="17"/>
          <w:szCs w:val="17"/>
        </w:rPr>
        <w:t xml:space="preserve"> nákladů</w:t>
      </w:r>
      <w:r>
        <w:rPr>
          <w:rFonts w:asciiTheme="majorHAnsi" w:hAnsiTheme="majorHAnsi" w:cstheme="majorHAnsi"/>
          <w:sz w:val="17"/>
          <w:szCs w:val="17"/>
        </w:rPr>
        <w:t xml:space="preserve">m </w:t>
      </w:r>
      <w:r w:rsidRPr="00EA163C">
        <w:rPr>
          <w:rFonts w:asciiTheme="majorHAnsi" w:hAnsiTheme="majorHAnsi" w:cstheme="majorHAnsi"/>
          <w:sz w:val="17"/>
          <w:szCs w:val="17"/>
        </w:rPr>
        <w:t>při předčasném splacení hypoték</w:t>
      </w:r>
      <w:r>
        <w:rPr>
          <w:rFonts w:asciiTheme="majorHAnsi" w:hAnsiTheme="majorHAnsi" w:cstheme="majorHAnsi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1DE8A063" w:rsidR="00A86552" w:rsidRPr="00616069" w:rsidRDefault="00A86552" w:rsidP="00095055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1DE8A063" w:rsidR="00A86552" w:rsidRPr="00616069" w:rsidRDefault="00A86552" w:rsidP="00095055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95798242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79357122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6B669858" w:rsidR="002D4720" w:rsidRPr="00616069" w:rsidRDefault="002D4720" w:rsidP="000B7D19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</w:p>
                        <w:p w14:paraId="0A69756F" w14:textId="701DF7A3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29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6B669858" w:rsidR="002D4720" w:rsidRPr="00616069" w:rsidRDefault="002D4720" w:rsidP="000B7D19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</w:p>
                  <w:p w14:paraId="0A69756F" w14:textId="701DF7A3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3A48A1"/>
    <w:multiLevelType w:val="hybridMultilevel"/>
    <w:tmpl w:val="6E121294"/>
    <w:lvl w:ilvl="0" w:tplc="BEC0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3"/>
  </w:num>
  <w:num w:numId="2" w16cid:durableId="1910113698">
    <w:abstractNumId w:val="9"/>
  </w:num>
  <w:num w:numId="3" w16cid:durableId="405613309">
    <w:abstractNumId w:val="26"/>
  </w:num>
  <w:num w:numId="4" w16cid:durableId="240213499">
    <w:abstractNumId w:val="15"/>
  </w:num>
  <w:num w:numId="5" w16cid:durableId="740492638">
    <w:abstractNumId w:val="5"/>
  </w:num>
  <w:num w:numId="6" w16cid:durableId="211576891">
    <w:abstractNumId w:val="24"/>
  </w:num>
  <w:num w:numId="7" w16cid:durableId="1918248069">
    <w:abstractNumId w:val="7"/>
  </w:num>
  <w:num w:numId="8" w16cid:durableId="1159419045">
    <w:abstractNumId w:val="29"/>
  </w:num>
  <w:num w:numId="9" w16cid:durableId="1798374138">
    <w:abstractNumId w:val="6"/>
  </w:num>
  <w:num w:numId="10" w16cid:durableId="1530677457">
    <w:abstractNumId w:val="25"/>
  </w:num>
  <w:num w:numId="11" w16cid:durableId="984315201">
    <w:abstractNumId w:val="2"/>
  </w:num>
  <w:num w:numId="12" w16cid:durableId="776219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6"/>
  </w:num>
  <w:num w:numId="15" w16cid:durableId="1323195451">
    <w:abstractNumId w:val="13"/>
  </w:num>
  <w:num w:numId="16" w16cid:durableId="467165265">
    <w:abstractNumId w:val="10"/>
  </w:num>
  <w:num w:numId="17" w16cid:durableId="676033370">
    <w:abstractNumId w:val="12"/>
  </w:num>
  <w:num w:numId="18" w16cid:durableId="1742554342">
    <w:abstractNumId w:val="18"/>
  </w:num>
  <w:num w:numId="19" w16cid:durableId="613287013">
    <w:abstractNumId w:val="21"/>
  </w:num>
  <w:num w:numId="20" w16cid:durableId="8067070">
    <w:abstractNumId w:val="11"/>
  </w:num>
  <w:num w:numId="21" w16cid:durableId="825434180">
    <w:abstractNumId w:val="0"/>
  </w:num>
  <w:num w:numId="22" w16cid:durableId="1082681076">
    <w:abstractNumId w:val="23"/>
  </w:num>
  <w:num w:numId="23" w16cid:durableId="1901165520">
    <w:abstractNumId w:val="28"/>
  </w:num>
  <w:num w:numId="24" w16cid:durableId="1991010767">
    <w:abstractNumId w:val="22"/>
  </w:num>
  <w:num w:numId="25" w16cid:durableId="1542282676">
    <w:abstractNumId w:val="17"/>
  </w:num>
  <w:num w:numId="26" w16cid:durableId="986973659">
    <w:abstractNumId w:val="14"/>
  </w:num>
  <w:num w:numId="27" w16cid:durableId="815336034">
    <w:abstractNumId w:val="27"/>
  </w:num>
  <w:num w:numId="28" w16cid:durableId="1895651473">
    <w:abstractNumId w:val="8"/>
  </w:num>
  <w:num w:numId="29" w16cid:durableId="1858687908">
    <w:abstractNumId w:val="4"/>
  </w:num>
  <w:num w:numId="30" w16cid:durableId="1758164458">
    <w:abstractNumId w:val="20"/>
  </w:num>
  <w:num w:numId="31" w16cid:durableId="142554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4B72"/>
    <w:rsid w:val="00005419"/>
    <w:rsid w:val="000054D2"/>
    <w:rsid w:val="00005B3F"/>
    <w:rsid w:val="00005DB1"/>
    <w:rsid w:val="00006511"/>
    <w:rsid w:val="00006C79"/>
    <w:rsid w:val="000070E2"/>
    <w:rsid w:val="00010564"/>
    <w:rsid w:val="000118C2"/>
    <w:rsid w:val="00011AF5"/>
    <w:rsid w:val="0001227F"/>
    <w:rsid w:val="00012832"/>
    <w:rsid w:val="00013D8A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21E0"/>
    <w:rsid w:val="00023E9F"/>
    <w:rsid w:val="00024480"/>
    <w:rsid w:val="0002473E"/>
    <w:rsid w:val="00025805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1985"/>
    <w:rsid w:val="000427B8"/>
    <w:rsid w:val="00043889"/>
    <w:rsid w:val="00043DB1"/>
    <w:rsid w:val="00044002"/>
    <w:rsid w:val="000444EA"/>
    <w:rsid w:val="000447C5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000"/>
    <w:rsid w:val="000559DE"/>
    <w:rsid w:val="00055CBC"/>
    <w:rsid w:val="000563EB"/>
    <w:rsid w:val="00056A4F"/>
    <w:rsid w:val="00057396"/>
    <w:rsid w:val="000606C6"/>
    <w:rsid w:val="00060D7F"/>
    <w:rsid w:val="00063DEB"/>
    <w:rsid w:val="00066F52"/>
    <w:rsid w:val="0006711A"/>
    <w:rsid w:val="00072447"/>
    <w:rsid w:val="00072DB9"/>
    <w:rsid w:val="000733AD"/>
    <w:rsid w:val="0007445A"/>
    <w:rsid w:val="0007456F"/>
    <w:rsid w:val="00074C45"/>
    <w:rsid w:val="000752D6"/>
    <w:rsid w:val="00075932"/>
    <w:rsid w:val="0007638A"/>
    <w:rsid w:val="00076C37"/>
    <w:rsid w:val="000770D8"/>
    <w:rsid w:val="00080102"/>
    <w:rsid w:val="00081E35"/>
    <w:rsid w:val="0008300C"/>
    <w:rsid w:val="00083D1A"/>
    <w:rsid w:val="000841C2"/>
    <w:rsid w:val="000842AE"/>
    <w:rsid w:val="00084CF9"/>
    <w:rsid w:val="00086094"/>
    <w:rsid w:val="00086BE0"/>
    <w:rsid w:val="0008743D"/>
    <w:rsid w:val="000900C9"/>
    <w:rsid w:val="0009101B"/>
    <w:rsid w:val="00091B3B"/>
    <w:rsid w:val="00093324"/>
    <w:rsid w:val="0009491E"/>
    <w:rsid w:val="00095055"/>
    <w:rsid w:val="0009562F"/>
    <w:rsid w:val="00097293"/>
    <w:rsid w:val="000976B9"/>
    <w:rsid w:val="00097716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481"/>
    <w:rsid w:val="000A664C"/>
    <w:rsid w:val="000B064D"/>
    <w:rsid w:val="000B083D"/>
    <w:rsid w:val="000B0992"/>
    <w:rsid w:val="000B2005"/>
    <w:rsid w:val="000B32E2"/>
    <w:rsid w:val="000B3BFA"/>
    <w:rsid w:val="000B4C8F"/>
    <w:rsid w:val="000B510F"/>
    <w:rsid w:val="000B51A4"/>
    <w:rsid w:val="000B70C8"/>
    <w:rsid w:val="000B79A4"/>
    <w:rsid w:val="000B7D19"/>
    <w:rsid w:val="000C045B"/>
    <w:rsid w:val="000C11CC"/>
    <w:rsid w:val="000C12D3"/>
    <w:rsid w:val="000C12F1"/>
    <w:rsid w:val="000C1E4E"/>
    <w:rsid w:val="000C234E"/>
    <w:rsid w:val="000C3211"/>
    <w:rsid w:val="000C4910"/>
    <w:rsid w:val="000C502F"/>
    <w:rsid w:val="000C5651"/>
    <w:rsid w:val="000C6349"/>
    <w:rsid w:val="000C6834"/>
    <w:rsid w:val="000C78A3"/>
    <w:rsid w:val="000D011A"/>
    <w:rsid w:val="000D02A4"/>
    <w:rsid w:val="000D06FE"/>
    <w:rsid w:val="000D0E54"/>
    <w:rsid w:val="000D1749"/>
    <w:rsid w:val="000D1D61"/>
    <w:rsid w:val="000D2F4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2A4"/>
    <w:rsid w:val="000E4810"/>
    <w:rsid w:val="000E4ABC"/>
    <w:rsid w:val="000E55F2"/>
    <w:rsid w:val="000E563F"/>
    <w:rsid w:val="000E59CE"/>
    <w:rsid w:val="000E5F43"/>
    <w:rsid w:val="000E7D75"/>
    <w:rsid w:val="000F02C1"/>
    <w:rsid w:val="000F02FD"/>
    <w:rsid w:val="000F0342"/>
    <w:rsid w:val="000F0636"/>
    <w:rsid w:val="000F0A03"/>
    <w:rsid w:val="000F0B04"/>
    <w:rsid w:val="000F30E9"/>
    <w:rsid w:val="000F3195"/>
    <w:rsid w:val="000F426C"/>
    <w:rsid w:val="000F4318"/>
    <w:rsid w:val="000F617D"/>
    <w:rsid w:val="000F61F5"/>
    <w:rsid w:val="000F680C"/>
    <w:rsid w:val="000F6C58"/>
    <w:rsid w:val="000F70CA"/>
    <w:rsid w:val="00100269"/>
    <w:rsid w:val="001002CD"/>
    <w:rsid w:val="00100394"/>
    <w:rsid w:val="00100FC3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BE4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0E3B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9DC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271C2"/>
    <w:rsid w:val="00130063"/>
    <w:rsid w:val="00130359"/>
    <w:rsid w:val="001306A2"/>
    <w:rsid w:val="00131D36"/>
    <w:rsid w:val="00131E24"/>
    <w:rsid w:val="00131E94"/>
    <w:rsid w:val="00132159"/>
    <w:rsid w:val="00132EE9"/>
    <w:rsid w:val="0013407D"/>
    <w:rsid w:val="001348D9"/>
    <w:rsid w:val="00134A41"/>
    <w:rsid w:val="00134F6E"/>
    <w:rsid w:val="001361CA"/>
    <w:rsid w:val="00136519"/>
    <w:rsid w:val="0013679D"/>
    <w:rsid w:val="00136825"/>
    <w:rsid w:val="00136D3A"/>
    <w:rsid w:val="00136EC9"/>
    <w:rsid w:val="00136FC5"/>
    <w:rsid w:val="00136FC7"/>
    <w:rsid w:val="00137050"/>
    <w:rsid w:val="0013716D"/>
    <w:rsid w:val="00137560"/>
    <w:rsid w:val="00137659"/>
    <w:rsid w:val="00140854"/>
    <w:rsid w:val="00140E10"/>
    <w:rsid w:val="00142116"/>
    <w:rsid w:val="001438F4"/>
    <w:rsid w:val="00143BF5"/>
    <w:rsid w:val="00143DCC"/>
    <w:rsid w:val="00144794"/>
    <w:rsid w:val="00144D53"/>
    <w:rsid w:val="00144D9A"/>
    <w:rsid w:val="00145506"/>
    <w:rsid w:val="001457AA"/>
    <w:rsid w:val="00145E7A"/>
    <w:rsid w:val="00146F46"/>
    <w:rsid w:val="00150AA5"/>
    <w:rsid w:val="0015125A"/>
    <w:rsid w:val="00151A74"/>
    <w:rsid w:val="001526EE"/>
    <w:rsid w:val="0015278B"/>
    <w:rsid w:val="0015295E"/>
    <w:rsid w:val="00152A73"/>
    <w:rsid w:val="001534F6"/>
    <w:rsid w:val="00153692"/>
    <w:rsid w:val="00154B70"/>
    <w:rsid w:val="00154EE2"/>
    <w:rsid w:val="001553F8"/>
    <w:rsid w:val="00155A3F"/>
    <w:rsid w:val="00157080"/>
    <w:rsid w:val="001570E1"/>
    <w:rsid w:val="00157C6A"/>
    <w:rsid w:val="00157F91"/>
    <w:rsid w:val="001605B3"/>
    <w:rsid w:val="001622C2"/>
    <w:rsid w:val="00162D23"/>
    <w:rsid w:val="001633ED"/>
    <w:rsid w:val="00163F5F"/>
    <w:rsid w:val="00165DDC"/>
    <w:rsid w:val="0016769F"/>
    <w:rsid w:val="00170298"/>
    <w:rsid w:val="00170CF6"/>
    <w:rsid w:val="001715A2"/>
    <w:rsid w:val="0017388B"/>
    <w:rsid w:val="00173D31"/>
    <w:rsid w:val="0017441E"/>
    <w:rsid w:val="0017486D"/>
    <w:rsid w:val="00175839"/>
    <w:rsid w:val="00175A85"/>
    <w:rsid w:val="00175E6C"/>
    <w:rsid w:val="00175FBC"/>
    <w:rsid w:val="00176669"/>
    <w:rsid w:val="001766FF"/>
    <w:rsid w:val="00176C20"/>
    <w:rsid w:val="00176DFC"/>
    <w:rsid w:val="00177598"/>
    <w:rsid w:val="00180856"/>
    <w:rsid w:val="001808FE"/>
    <w:rsid w:val="0018097B"/>
    <w:rsid w:val="00180A13"/>
    <w:rsid w:val="00182C97"/>
    <w:rsid w:val="00183066"/>
    <w:rsid w:val="001833C7"/>
    <w:rsid w:val="00183FB4"/>
    <w:rsid w:val="00184412"/>
    <w:rsid w:val="0018579C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0C9F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2B23"/>
    <w:rsid w:val="001B2E5E"/>
    <w:rsid w:val="001B3197"/>
    <w:rsid w:val="001B39D3"/>
    <w:rsid w:val="001B4DA8"/>
    <w:rsid w:val="001B59D5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4A3B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3B01"/>
    <w:rsid w:val="001E4032"/>
    <w:rsid w:val="001E432A"/>
    <w:rsid w:val="001E4370"/>
    <w:rsid w:val="001E4D27"/>
    <w:rsid w:val="001E5169"/>
    <w:rsid w:val="001E5571"/>
    <w:rsid w:val="001E60C5"/>
    <w:rsid w:val="001E66E9"/>
    <w:rsid w:val="001E6F5D"/>
    <w:rsid w:val="001E71FE"/>
    <w:rsid w:val="001F0819"/>
    <w:rsid w:val="001F1677"/>
    <w:rsid w:val="001F1C52"/>
    <w:rsid w:val="001F2A1F"/>
    <w:rsid w:val="001F3DF4"/>
    <w:rsid w:val="001F49EA"/>
    <w:rsid w:val="001F5CF7"/>
    <w:rsid w:val="001F64C3"/>
    <w:rsid w:val="001F6A78"/>
    <w:rsid w:val="001F6E8A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3F87"/>
    <w:rsid w:val="002045A5"/>
    <w:rsid w:val="00204637"/>
    <w:rsid w:val="0020488B"/>
    <w:rsid w:val="00204F09"/>
    <w:rsid w:val="0020667A"/>
    <w:rsid w:val="0020698C"/>
    <w:rsid w:val="00206F7E"/>
    <w:rsid w:val="00207AE7"/>
    <w:rsid w:val="00207BE5"/>
    <w:rsid w:val="00207CB1"/>
    <w:rsid w:val="002105A2"/>
    <w:rsid w:val="00210A9C"/>
    <w:rsid w:val="00211E6F"/>
    <w:rsid w:val="002128AF"/>
    <w:rsid w:val="00212996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8A9"/>
    <w:rsid w:val="00226AB8"/>
    <w:rsid w:val="00226F32"/>
    <w:rsid w:val="00227ACD"/>
    <w:rsid w:val="00227C82"/>
    <w:rsid w:val="002307C1"/>
    <w:rsid w:val="0023165F"/>
    <w:rsid w:val="00231F3A"/>
    <w:rsid w:val="002328F4"/>
    <w:rsid w:val="0023390F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5756A"/>
    <w:rsid w:val="00260219"/>
    <w:rsid w:val="00260B2C"/>
    <w:rsid w:val="00260E9F"/>
    <w:rsid w:val="0026106F"/>
    <w:rsid w:val="0026210C"/>
    <w:rsid w:val="0026268C"/>
    <w:rsid w:val="00262B7F"/>
    <w:rsid w:val="00263207"/>
    <w:rsid w:val="00264741"/>
    <w:rsid w:val="00264C92"/>
    <w:rsid w:val="0026639E"/>
    <w:rsid w:val="00266980"/>
    <w:rsid w:val="00266ACC"/>
    <w:rsid w:val="00267ACA"/>
    <w:rsid w:val="002707C5"/>
    <w:rsid w:val="00270A4E"/>
    <w:rsid w:val="00270E60"/>
    <w:rsid w:val="00270F52"/>
    <w:rsid w:val="00271563"/>
    <w:rsid w:val="00271569"/>
    <w:rsid w:val="00272177"/>
    <w:rsid w:val="002725DA"/>
    <w:rsid w:val="00274645"/>
    <w:rsid w:val="00274844"/>
    <w:rsid w:val="002748F6"/>
    <w:rsid w:val="00274D15"/>
    <w:rsid w:val="00275209"/>
    <w:rsid w:val="00277397"/>
    <w:rsid w:val="00277D90"/>
    <w:rsid w:val="0028055F"/>
    <w:rsid w:val="002808DB"/>
    <w:rsid w:val="00280AB4"/>
    <w:rsid w:val="00280D31"/>
    <w:rsid w:val="00280F92"/>
    <w:rsid w:val="002817B5"/>
    <w:rsid w:val="00282256"/>
    <w:rsid w:val="00282BE6"/>
    <w:rsid w:val="00283681"/>
    <w:rsid w:val="00284721"/>
    <w:rsid w:val="0028530F"/>
    <w:rsid w:val="002853A9"/>
    <w:rsid w:val="00285A75"/>
    <w:rsid w:val="00287580"/>
    <w:rsid w:val="00290498"/>
    <w:rsid w:val="0029071C"/>
    <w:rsid w:val="00291656"/>
    <w:rsid w:val="0029179B"/>
    <w:rsid w:val="00291BE8"/>
    <w:rsid w:val="00293122"/>
    <w:rsid w:val="00293873"/>
    <w:rsid w:val="0029502E"/>
    <w:rsid w:val="00295F01"/>
    <w:rsid w:val="00296021"/>
    <w:rsid w:val="0029774E"/>
    <w:rsid w:val="00297B85"/>
    <w:rsid w:val="002A0002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5B7"/>
    <w:rsid w:val="002B3AB2"/>
    <w:rsid w:val="002B4617"/>
    <w:rsid w:val="002B4641"/>
    <w:rsid w:val="002B5069"/>
    <w:rsid w:val="002B52C8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C5B51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D7231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4EFD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16F"/>
    <w:rsid w:val="002F4373"/>
    <w:rsid w:val="002F43DE"/>
    <w:rsid w:val="002F477C"/>
    <w:rsid w:val="002F4A74"/>
    <w:rsid w:val="002F4CBD"/>
    <w:rsid w:val="002F4CDA"/>
    <w:rsid w:val="002F506A"/>
    <w:rsid w:val="002F52DA"/>
    <w:rsid w:val="002F557F"/>
    <w:rsid w:val="002F58FE"/>
    <w:rsid w:val="002F6432"/>
    <w:rsid w:val="002F6A6D"/>
    <w:rsid w:val="003008A7"/>
    <w:rsid w:val="003012B9"/>
    <w:rsid w:val="0030161E"/>
    <w:rsid w:val="00301915"/>
    <w:rsid w:val="003028DC"/>
    <w:rsid w:val="003029D1"/>
    <w:rsid w:val="0030348A"/>
    <w:rsid w:val="00303B0E"/>
    <w:rsid w:val="003045DD"/>
    <w:rsid w:val="00304727"/>
    <w:rsid w:val="0030613B"/>
    <w:rsid w:val="00306844"/>
    <w:rsid w:val="003077DD"/>
    <w:rsid w:val="003111F3"/>
    <w:rsid w:val="003131EC"/>
    <w:rsid w:val="003134AE"/>
    <w:rsid w:val="00313DD8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58C4"/>
    <w:rsid w:val="00327407"/>
    <w:rsid w:val="00327CB6"/>
    <w:rsid w:val="00330A92"/>
    <w:rsid w:val="003315E9"/>
    <w:rsid w:val="0033298A"/>
    <w:rsid w:val="00333B31"/>
    <w:rsid w:val="00334257"/>
    <w:rsid w:val="0033440C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A6D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46E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026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B7AE1"/>
    <w:rsid w:val="003C0B1B"/>
    <w:rsid w:val="003C1195"/>
    <w:rsid w:val="003C12B6"/>
    <w:rsid w:val="003C185F"/>
    <w:rsid w:val="003C2D27"/>
    <w:rsid w:val="003C3451"/>
    <w:rsid w:val="003C373E"/>
    <w:rsid w:val="003C392F"/>
    <w:rsid w:val="003C3D7F"/>
    <w:rsid w:val="003C41DD"/>
    <w:rsid w:val="003C4DE7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2390"/>
    <w:rsid w:val="003D2EFA"/>
    <w:rsid w:val="003D3759"/>
    <w:rsid w:val="003D45D4"/>
    <w:rsid w:val="003D472E"/>
    <w:rsid w:val="003D57E2"/>
    <w:rsid w:val="003D613B"/>
    <w:rsid w:val="003D684B"/>
    <w:rsid w:val="003D749F"/>
    <w:rsid w:val="003D7D9E"/>
    <w:rsid w:val="003E0FC6"/>
    <w:rsid w:val="003E14DF"/>
    <w:rsid w:val="003E1AAB"/>
    <w:rsid w:val="003E1F42"/>
    <w:rsid w:val="003E3584"/>
    <w:rsid w:val="003E382B"/>
    <w:rsid w:val="003E393C"/>
    <w:rsid w:val="003E3ACA"/>
    <w:rsid w:val="003E3DCB"/>
    <w:rsid w:val="003E4312"/>
    <w:rsid w:val="003E434F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3922"/>
    <w:rsid w:val="003F45B7"/>
    <w:rsid w:val="003F470D"/>
    <w:rsid w:val="003F512D"/>
    <w:rsid w:val="003F56A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E19"/>
    <w:rsid w:val="00402FA1"/>
    <w:rsid w:val="00403744"/>
    <w:rsid w:val="0040474A"/>
    <w:rsid w:val="00404E84"/>
    <w:rsid w:val="00405D7E"/>
    <w:rsid w:val="00406F40"/>
    <w:rsid w:val="0040774B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72D"/>
    <w:rsid w:val="004179B3"/>
    <w:rsid w:val="004207D5"/>
    <w:rsid w:val="00420E6E"/>
    <w:rsid w:val="00422B81"/>
    <w:rsid w:val="00422E44"/>
    <w:rsid w:val="004231FB"/>
    <w:rsid w:val="00423374"/>
    <w:rsid w:val="00423E0D"/>
    <w:rsid w:val="004257BB"/>
    <w:rsid w:val="00425883"/>
    <w:rsid w:val="00425A84"/>
    <w:rsid w:val="00425B3B"/>
    <w:rsid w:val="0042602B"/>
    <w:rsid w:val="004279BD"/>
    <w:rsid w:val="00430F3C"/>
    <w:rsid w:val="004325D3"/>
    <w:rsid w:val="004332EC"/>
    <w:rsid w:val="00435176"/>
    <w:rsid w:val="00436085"/>
    <w:rsid w:val="00436F5C"/>
    <w:rsid w:val="004371EE"/>
    <w:rsid w:val="00437589"/>
    <w:rsid w:val="0043780A"/>
    <w:rsid w:val="00440A53"/>
    <w:rsid w:val="00441C0D"/>
    <w:rsid w:val="00442170"/>
    <w:rsid w:val="0044352D"/>
    <w:rsid w:val="004444EE"/>
    <w:rsid w:val="004445E7"/>
    <w:rsid w:val="0044491F"/>
    <w:rsid w:val="00444BDA"/>
    <w:rsid w:val="00445609"/>
    <w:rsid w:val="004464CF"/>
    <w:rsid w:val="00446AAD"/>
    <w:rsid w:val="004476C2"/>
    <w:rsid w:val="00451368"/>
    <w:rsid w:val="004522D4"/>
    <w:rsid w:val="00452B0E"/>
    <w:rsid w:val="00453473"/>
    <w:rsid w:val="004555E6"/>
    <w:rsid w:val="00456A9B"/>
    <w:rsid w:val="00460772"/>
    <w:rsid w:val="00461E79"/>
    <w:rsid w:val="00462717"/>
    <w:rsid w:val="00463003"/>
    <w:rsid w:val="004635CE"/>
    <w:rsid w:val="004641CC"/>
    <w:rsid w:val="0046433E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03D6"/>
    <w:rsid w:val="00480B75"/>
    <w:rsid w:val="004828F3"/>
    <w:rsid w:val="00483136"/>
    <w:rsid w:val="0048354D"/>
    <w:rsid w:val="00483FA6"/>
    <w:rsid w:val="0048489E"/>
    <w:rsid w:val="004852E3"/>
    <w:rsid w:val="00485ADC"/>
    <w:rsid w:val="00486858"/>
    <w:rsid w:val="00486BC4"/>
    <w:rsid w:val="00486C1D"/>
    <w:rsid w:val="004904F6"/>
    <w:rsid w:val="00490505"/>
    <w:rsid w:val="004908DB"/>
    <w:rsid w:val="00490E04"/>
    <w:rsid w:val="00490E1A"/>
    <w:rsid w:val="00491DB6"/>
    <w:rsid w:val="00492636"/>
    <w:rsid w:val="004934D9"/>
    <w:rsid w:val="004935C1"/>
    <w:rsid w:val="00493A20"/>
    <w:rsid w:val="00493C14"/>
    <w:rsid w:val="004951FE"/>
    <w:rsid w:val="00495C6A"/>
    <w:rsid w:val="004969D8"/>
    <w:rsid w:val="00496A0D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428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2E1A"/>
    <w:rsid w:val="004B3889"/>
    <w:rsid w:val="004B3E0D"/>
    <w:rsid w:val="004B3F04"/>
    <w:rsid w:val="004B441B"/>
    <w:rsid w:val="004B4571"/>
    <w:rsid w:val="004B4DE5"/>
    <w:rsid w:val="004B51F9"/>
    <w:rsid w:val="004B564F"/>
    <w:rsid w:val="004B61C3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605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347"/>
    <w:rsid w:val="004D3E58"/>
    <w:rsid w:val="004D4156"/>
    <w:rsid w:val="004D4333"/>
    <w:rsid w:val="004D6531"/>
    <w:rsid w:val="004D6F30"/>
    <w:rsid w:val="004E011D"/>
    <w:rsid w:val="004E0D15"/>
    <w:rsid w:val="004E1AC6"/>
    <w:rsid w:val="004E2434"/>
    <w:rsid w:val="004E26E2"/>
    <w:rsid w:val="004E3070"/>
    <w:rsid w:val="004E32FB"/>
    <w:rsid w:val="004E3F0C"/>
    <w:rsid w:val="004E4B5B"/>
    <w:rsid w:val="004E5779"/>
    <w:rsid w:val="004E5E51"/>
    <w:rsid w:val="004E642B"/>
    <w:rsid w:val="004E668A"/>
    <w:rsid w:val="004E7E07"/>
    <w:rsid w:val="004F22A3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072"/>
    <w:rsid w:val="005027C2"/>
    <w:rsid w:val="00502C28"/>
    <w:rsid w:val="00503D06"/>
    <w:rsid w:val="00504229"/>
    <w:rsid w:val="00504370"/>
    <w:rsid w:val="00505434"/>
    <w:rsid w:val="00506126"/>
    <w:rsid w:val="005063FD"/>
    <w:rsid w:val="0050674F"/>
    <w:rsid w:val="005069C2"/>
    <w:rsid w:val="005070EC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4960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2041"/>
    <w:rsid w:val="005343BA"/>
    <w:rsid w:val="0053589B"/>
    <w:rsid w:val="00535CDB"/>
    <w:rsid w:val="00535E49"/>
    <w:rsid w:val="0053659F"/>
    <w:rsid w:val="00537D18"/>
    <w:rsid w:val="00537D95"/>
    <w:rsid w:val="005417AF"/>
    <w:rsid w:val="00541D7D"/>
    <w:rsid w:val="00543780"/>
    <w:rsid w:val="005442D1"/>
    <w:rsid w:val="005448A4"/>
    <w:rsid w:val="00544E51"/>
    <w:rsid w:val="005450EB"/>
    <w:rsid w:val="0054574A"/>
    <w:rsid w:val="00545AC2"/>
    <w:rsid w:val="00546646"/>
    <w:rsid w:val="0054665C"/>
    <w:rsid w:val="005467C6"/>
    <w:rsid w:val="00547A43"/>
    <w:rsid w:val="00550C47"/>
    <w:rsid w:val="00552694"/>
    <w:rsid w:val="00552D45"/>
    <w:rsid w:val="0055337B"/>
    <w:rsid w:val="0055377C"/>
    <w:rsid w:val="00553860"/>
    <w:rsid w:val="005541F4"/>
    <w:rsid w:val="005545FE"/>
    <w:rsid w:val="00554717"/>
    <w:rsid w:val="00554741"/>
    <w:rsid w:val="00554FF2"/>
    <w:rsid w:val="00555261"/>
    <w:rsid w:val="00555BED"/>
    <w:rsid w:val="00555C70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53E"/>
    <w:rsid w:val="00562995"/>
    <w:rsid w:val="00563855"/>
    <w:rsid w:val="005642DD"/>
    <w:rsid w:val="00564453"/>
    <w:rsid w:val="00566025"/>
    <w:rsid w:val="0056611F"/>
    <w:rsid w:val="005666D7"/>
    <w:rsid w:val="0056769C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D34"/>
    <w:rsid w:val="00573F62"/>
    <w:rsid w:val="00574588"/>
    <w:rsid w:val="00574592"/>
    <w:rsid w:val="00574619"/>
    <w:rsid w:val="005746F6"/>
    <w:rsid w:val="00574E2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2221"/>
    <w:rsid w:val="00584718"/>
    <w:rsid w:val="00584D4C"/>
    <w:rsid w:val="005861DC"/>
    <w:rsid w:val="0058622F"/>
    <w:rsid w:val="00586418"/>
    <w:rsid w:val="00586686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90E"/>
    <w:rsid w:val="005A3E34"/>
    <w:rsid w:val="005A44FF"/>
    <w:rsid w:val="005A4638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1B6C"/>
    <w:rsid w:val="005B2B4F"/>
    <w:rsid w:val="005B2CB5"/>
    <w:rsid w:val="005B2CDC"/>
    <w:rsid w:val="005B3025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2322"/>
    <w:rsid w:val="005C382F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110"/>
    <w:rsid w:val="005E092E"/>
    <w:rsid w:val="005E1DD8"/>
    <w:rsid w:val="005E1EA0"/>
    <w:rsid w:val="005E1F6F"/>
    <w:rsid w:val="005E4132"/>
    <w:rsid w:val="005E58E1"/>
    <w:rsid w:val="005E5F8B"/>
    <w:rsid w:val="005E7C7D"/>
    <w:rsid w:val="005F0A09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D52"/>
    <w:rsid w:val="005F4F2A"/>
    <w:rsid w:val="005F5099"/>
    <w:rsid w:val="005F73A6"/>
    <w:rsid w:val="006002FC"/>
    <w:rsid w:val="00600D9B"/>
    <w:rsid w:val="0060128D"/>
    <w:rsid w:val="006015EB"/>
    <w:rsid w:val="0060172A"/>
    <w:rsid w:val="006021B4"/>
    <w:rsid w:val="00602BDA"/>
    <w:rsid w:val="0060305B"/>
    <w:rsid w:val="0060308F"/>
    <w:rsid w:val="0060552B"/>
    <w:rsid w:val="00606031"/>
    <w:rsid w:val="00606E04"/>
    <w:rsid w:val="00607B8A"/>
    <w:rsid w:val="006102C4"/>
    <w:rsid w:val="00611A97"/>
    <w:rsid w:val="00611B3C"/>
    <w:rsid w:val="00611C5C"/>
    <w:rsid w:val="00612686"/>
    <w:rsid w:val="00612FFF"/>
    <w:rsid w:val="006131E9"/>
    <w:rsid w:val="0061392C"/>
    <w:rsid w:val="00613C92"/>
    <w:rsid w:val="00615685"/>
    <w:rsid w:val="00615849"/>
    <w:rsid w:val="00616069"/>
    <w:rsid w:val="00616F34"/>
    <w:rsid w:val="00616FDD"/>
    <w:rsid w:val="00617E42"/>
    <w:rsid w:val="00617E6C"/>
    <w:rsid w:val="006203EC"/>
    <w:rsid w:val="00622015"/>
    <w:rsid w:val="00622191"/>
    <w:rsid w:val="006228C3"/>
    <w:rsid w:val="00622D62"/>
    <w:rsid w:val="00622D80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20CB"/>
    <w:rsid w:val="0063314F"/>
    <w:rsid w:val="006337E7"/>
    <w:rsid w:val="00634080"/>
    <w:rsid w:val="0063422F"/>
    <w:rsid w:val="006354FF"/>
    <w:rsid w:val="00635832"/>
    <w:rsid w:val="00635AB6"/>
    <w:rsid w:val="006361B1"/>
    <w:rsid w:val="006365E9"/>
    <w:rsid w:val="00636E18"/>
    <w:rsid w:val="0063705B"/>
    <w:rsid w:val="00637228"/>
    <w:rsid w:val="006406FA"/>
    <w:rsid w:val="00641532"/>
    <w:rsid w:val="00641E0B"/>
    <w:rsid w:val="0064225E"/>
    <w:rsid w:val="0064298D"/>
    <w:rsid w:val="0064364F"/>
    <w:rsid w:val="006445A3"/>
    <w:rsid w:val="00645115"/>
    <w:rsid w:val="006462F1"/>
    <w:rsid w:val="006464CF"/>
    <w:rsid w:val="00646CB6"/>
    <w:rsid w:val="00646DB1"/>
    <w:rsid w:val="00647A7A"/>
    <w:rsid w:val="00650088"/>
    <w:rsid w:val="00650724"/>
    <w:rsid w:val="0065124E"/>
    <w:rsid w:val="006513A0"/>
    <w:rsid w:val="00652484"/>
    <w:rsid w:val="00652C4F"/>
    <w:rsid w:val="0065308E"/>
    <w:rsid w:val="006534DC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0DB9"/>
    <w:rsid w:val="00661956"/>
    <w:rsid w:val="00661C43"/>
    <w:rsid w:val="00662C23"/>
    <w:rsid w:val="00663A53"/>
    <w:rsid w:val="0066473E"/>
    <w:rsid w:val="00664F66"/>
    <w:rsid w:val="00665069"/>
    <w:rsid w:val="0066537B"/>
    <w:rsid w:val="00665718"/>
    <w:rsid w:val="00665E8C"/>
    <w:rsid w:val="00665F6E"/>
    <w:rsid w:val="0066692E"/>
    <w:rsid w:val="00666CC6"/>
    <w:rsid w:val="006677D7"/>
    <w:rsid w:val="00667828"/>
    <w:rsid w:val="00667AF6"/>
    <w:rsid w:val="00670CDD"/>
    <w:rsid w:val="00670F37"/>
    <w:rsid w:val="00672277"/>
    <w:rsid w:val="00674930"/>
    <w:rsid w:val="00676079"/>
    <w:rsid w:val="00676326"/>
    <w:rsid w:val="006777C7"/>
    <w:rsid w:val="00677FE7"/>
    <w:rsid w:val="006830CE"/>
    <w:rsid w:val="006839E8"/>
    <w:rsid w:val="00683D65"/>
    <w:rsid w:val="00684AB4"/>
    <w:rsid w:val="00684FDE"/>
    <w:rsid w:val="006851CB"/>
    <w:rsid w:val="00685F12"/>
    <w:rsid w:val="00686618"/>
    <w:rsid w:val="00687672"/>
    <w:rsid w:val="00690239"/>
    <w:rsid w:val="00690FB6"/>
    <w:rsid w:val="00691287"/>
    <w:rsid w:val="006919FC"/>
    <w:rsid w:val="00693034"/>
    <w:rsid w:val="0069373F"/>
    <w:rsid w:val="00693FDC"/>
    <w:rsid w:val="006963D2"/>
    <w:rsid w:val="00696748"/>
    <w:rsid w:val="00697FEB"/>
    <w:rsid w:val="006A02C9"/>
    <w:rsid w:val="006A0A19"/>
    <w:rsid w:val="006A0B4A"/>
    <w:rsid w:val="006A0D71"/>
    <w:rsid w:val="006A0E7E"/>
    <w:rsid w:val="006A0F4A"/>
    <w:rsid w:val="006A1D16"/>
    <w:rsid w:val="006A1EA8"/>
    <w:rsid w:val="006A4300"/>
    <w:rsid w:val="006A4428"/>
    <w:rsid w:val="006A4CF3"/>
    <w:rsid w:val="006A70CC"/>
    <w:rsid w:val="006A7BEA"/>
    <w:rsid w:val="006A7D62"/>
    <w:rsid w:val="006B00D0"/>
    <w:rsid w:val="006B120F"/>
    <w:rsid w:val="006B1FE2"/>
    <w:rsid w:val="006B2EBD"/>
    <w:rsid w:val="006B2F86"/>
    <w:rsid w:val="006B3690"/>
    <w:rsid w:val="006B37A6"/>
    <w:rsid w:val="006B3C0D"/>
    <w:rsid w:val="006B4649"/>
    <w:rsid w:val="006B4CAC"/>
    <w:rsid w:val="006C0355"/>
    <w:rsid w:val="006C090C"/>
    <w:rsid w:val="006C13D5"/>
    <w:rsid w:val="006C3A40"/>
    <w:rsid w:val="006C3F79"/>
    <w:rsid w:val="006C4E8E"/>
    <w:rsid w:val="006C53A0"/>
    <w:rsid w:val="006C5E9B"/>
    <w:rsid w:val="006C6628"/>
    <w:rsid w:val="006C6D77"/>
    <w:rsid w:val="006C7240"/>
    <w:rsid w:val="006C74D6"/>
    <w:rsid w:val="006C7663"/>
    <w:rsid w:val="006D0EE8"/>
    <w:rsid w:val="006D12C7"/>
    <w:rsid w:val="006D175B"/>
    <w:rsid w:val="006D1BF7"/>
    <w:rsid w:val="006D23EF"/>
    <w:rsid w:val="006D457D"/>
    <w:rsid w:val="006D49D0"/>
    <w:rsid w:val="006D5361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7E"/>
    <w:rsid w:val="006E2EFD"/>
    <w:rsid w:val="006E3420"/>
    <w:rsid w:val="006E381D"/>
    <w:rsid w:val="006E39D7"/>
    <w:rsid w:val="006E3BD0"/>
    <w:rsid w:val="006E3FA9"/>
    <w:rsid w:val="006E4444"/>
    <w:rsid w:val="006E4D14"/>
    <w:rsid w:val="006E6866"/>
    <w:rsid w:val="006E6C7D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240"/>
    <w:rsid w:val="006F3620"/>
    <w:rsid w:val="006F3D73"/>
    <w:rsid w:val="006F5A87"/>
    <w:rsid w:val="006F747C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07B85"/>
    <w:rsid w:val="007106DD"/>
    <w:rsid w:val="00710F87"/>
    <w:rsid w:val="00711217"/>
    <w:rsid w:val="007116F8"/>
    <w:rsid w:val="00712900"/>
    <w:rsid w:val="007133E9"/>
    <w:rsid w:val="007137B3"/>
    <w:rsid w:val="00713BD4"/>
    <w:rsid w:val="00714542"/>
    <w:rsid w:val="007146AA"/>
    <w:rsid w:val="00714837"/>
    <w:rsid w:val="007149B8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8AB"/>
    <w:rsid w:val="00720B68"/>
    <w:rsid w:val="00720DE3"/>
    <w:rsid w:val="00721C6A"/>
    <w:rsid w:val="007222B0"/>
    <w:rsid w:val="007227EC"/>
    <w:rsid w:val="00722F2C"/>
    <w:rsid w:val="00723293"/>
    <w:rsid w:val="00723439"/>
    <w:rsid w:val="00723CB3"/>
    <w:rsid w:val="00724D46"/>
    <w:rsid w:val="007252D4"/>
    <w:rsid w:val="007263EF"/>
    <w:rsid w:val="00727012"/>
    <w:rsid w:val="0072723A"/>
    <w:rsid w:val="007279EC"/>
    <w:rsid w:val="00727D29"/>
    <w:rsid w:val="00730818"/>
    <w:rsid w:val="00730E2D"/>
    <w:rsid w:val="0073142D"/>
    <w:rsid w:val="0073237F"/>
    <w:rsid w:val="007323B9"/>
    <w:rsid w:val="007330A4"/>
    <w:rsid w:val="00733C05"/>
    <w:rsid w:val="00734198"/>
    <w:rsid w:val="00734568"/>
    <w:rsid w:val="0073460E"/>
    <w:rsid w:val="007349F9"/>
    <w:rsid w:val="00734A12"/>
    <w:rsid w:val="00735CDE"/>
    <w:rsid w:val="00736EAE"/>
    <w:rsid w:val="00737F9B"/>
    <w:rsid w:val="007402C2"/>
    <w:rsid w:val="0074044C"/>
    <w:rsid w:val="007405B1"/>
    <w:rsid w:val="00740AF0"/>
    <w:rsid w:val="007419ED"/>
    <w:rsid w:val="00742174"/>
    <w:rsid w:val="00742C4C"/>
    <w:rsid w:val="007431F0"/>
    <w:rsid w:val="00743537"/>
    <w:rsid w:val="00743577"/>
    <w:rsid w:val="007435D3"/>
    <w:rsid w:val="00744220"/>
    <w:rsid w:val="00744C66"/>
    <w:rsid w:val="007464CC"/>
    <w:rsid w:val="00747238"/>
    <w:rsid w:val="00747B4B"/>
    <w:rsid w:val="00747D5E"/>
    <w:rsid w:val="00750679"/>
    <w:rsid w:val="00751D79"/>
    <w:rsid w:val="00751EDA"/>
    <w:rsid w:val="00752310"/>
    <w:rsid w:val="007524A7"/>
    <w:rsid w:val="00754003"/>
    <w:rsid w:val="00754851"/>
    <w:rsid w:val="007575D0"/>
    <w:rsid w:val="00757649"/>
    <w:rsid w:val="007602B9"/>
    <w:rsid w:val="00760944"/>
    <w:rsid w:val="007609D5"/>
    <w:rsid w:val="00760C75"/>
    <w:rsid w:val="007611AD"/>
    <w:rsid w:val="0076126B"/>
    <w:rsid w:val="007613B3"/>
    <w:rsid w:val="00762FBA"/>
    <w:rsid w:val="0076316D"/>
    <w:rsid w:val="00763FB6"/>
    <w:rsid w:val="0076410A"/>
    <w:rsid w:val="0076473F"/>
    <w:rsid w:val="00764748"/>
    <w:rsid w:val="00765515"/>
    <w:rsid w:val="00765F2A"/>
    <w:rsid w:val="00766906"/>
    <w:rsid w:val="00766F28"/>
    <w:rsid w:val="00770E5B"/>
    <w:rsid w:val="007713E8"/>
    <w:rsid w:val="00771967"/>
    <w:rsid w:val="00771AA1"/>
    <w:rsid w:val="00772FC8"/>
    <w:rsid w:val="0077322C"/>
    <w:rsid w:val="00773DE7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A2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2C45"/>
    <w:rsid w:val="00793842"/>
    <w:rsid w:val="00794379"/>
    <w:rsid w:val="007953B5"/>
    <w:rsid w:val="00795550"/>
    <w:rsid w:val="00795F3C"/>
    <w:rsid w:val="00796271"/>
    <w:rsid w:val="00796431"/>
    <w:rsid w:val="007964DC"/>
    <w:rsid w:val="007967E6"/>
    <w:rsid w:val="00797D07"/>
    <w:rsid w:val="00797EC1"/>
    <w:rsid w:val="007A03B9"/>
    <w:rsid w:val="007A06C5"/>
    <w:rsid w:val="007A0B4E"/>
    <w:rsid w:val="007A117C"/>
    <w:rsid w:val="007A19E3"/>
    <w:rsid w:val="007A2635"/>
    <w:rsid w:val="007A3BFB"/>
    <w:rsid w:val="007A4230"/>
    <w:rsid w:val="007A5DE7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0E2D"/>
    <w:rsid w:val="007C1271"/>
    <w:rsid w:val="007C12F0"/>
    <w:rsid w:val="007C15B2"/>
    <w:rsid w:val="007C1E59"/>
    <w:rsid w:val="007C411F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D77FB"/>
    <w:rsid w:val="007E0084"/>
    <w:rsid w:val="007E0678"/>
    <w:rsid w:val="007E0A18"/>
    <w:rsid w:val="007E0EF4"/>
    <w:rsid w:val="007E1035"/>
    <w:rsid w:val="007E1421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690B"/>
    <w:rsid w:val="007F6FBE"/>
    <w:rsid w:val="007F742B"/>
    <w:rsid w:val="007F7CBC"/>
    <w:rsid w:val="00800C45"/>
    <w:rsid w:val="0080130F"/>
    <w:rsid w:val="00801B60"/>
    <w:rsid w:val="008026FE"/>
    <w:rsid w:val="00802F9F"/>
    <w:rsid w:val="0080372E"/>
    <w:rsid w:val="00803E55"/>
    <w:rsid w:val="00804358"/>
    <w:rsid w:val="00804F92"/>
    <w:rsid w:val="00807F19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3D03"/>
    <w:rsid w:val="00814399"/>
    <w:rsid w:val="00815A51"/>
    <w:rsid w:val="00817CF6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4FF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5107"/>
    <w:rsid w:val="00846122"/>
    <w:rsid w:val="008466C4"/>
    <w:rsid w:val="00850FDB"/>
    <w:rsid w:val="008510D6"/>
    <w:rsid w:val="008522B5"/>
    <w:rsid w:val="0085346F"/>
    <w:rsid w:val="00853C4A"/>
    <w:rsid w:val="00854190"/>
    <w:rsid w:val="00854682"/>
    <w:rsid w:val="00855DA1"/>
    <w:rsid w:val="00856359"/>
    <w:rsid w:val="0085657D"/>
    <w:rsid w:val="008569DC"/>
    <w:rsid w:val="00856DA4"/>
    <w:rsid w:val="00857078"/>
    <w:rsid w:val="00857A3C"/>
    <w:rsid w:val="00860613"/>
    <w:rsid w:val="00861279"/>
    <w:rsid w:val="008612B4"/>
    <w:rsid w:val="00862A90"/>
    <w:rsid w:val="00863D31"/>
    <w:rsid w:val="00863D50"/>
    <w:rsid w:val="0086454A"/>
    <w:rsid w:val="00866E95"/>
    <w:rsid w:val="00867322"/>
    <w:rsid w:val="00867E88"/>
    <w:rsid w:val="00870102"/>
    <w:rsid w:val="00870456"/>
    <w:rsid w:val="00871E82"/>
    <w:rsid w:val="008721A5"/>
    <w:rsid w:val="008723A8"/>
    <w:rsid w:val="00872847"/>
    <w:rsid w:val="00872C9B"/>
    <w:rsid w:val="00872E78"/>
    <w:rsid w:val="00872FDB"/>
    <w:rsid w:val="00873451"/>
    <w:rsid w:val="00873471"/>
    <w:rsid w:val="00873C14"/>
    <w:rsid w:val="0087619E"/>
    <w:rsid w:val="0087627E"/>
    <w:rsid w:val="00876A48"/>
    <w:rsid w:val="00877706"/>
    <w:rsid w:val="00877F7D"/>
    <w:rsid w:val="008811FC"/>
    <w:rsid w:val="00881D54"/>
    <w:rsid w:val="008825CE"/>
    <w:rsid w:val="00882EFB"/>
    <w:rsid w:val="00882F4A"/>
    <w:rsid w:val="0088366A"/>
    <w:rsid w:val="00883A3C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0C"/>
    <w:rsid w:val="00893E72"/>
    <w:rsid w:val="00896BC2"/>
    <w:rsid w:val="00896C06"/>
    <w:rsid w:val="00897C3A"/>
    <w:rsid w:val="008A072D"/>
    <w:rsid w:val="008A1815"/>
    <w:rsid w:val="008A1C42"/>
    <w:rsid w:val="008A2D63"/>
    <w:rsid w:val="008A2FA0"/>
    <w:rsid w:val="008A3348"/>
    <w:rsid w:val="008A3666"/>
    <w:rsid w:val="008A3889"/>
    <w:rsid w:val="008A4BAF"/>
    <w:rsid w:val="008A56CE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D3F"/>
    <w:rsid w:val="008B2E9A"/>
    <w:rsid w:val="008B2EB5"/>
    <w:rsid w:val="008B3ADE"/>
    <w:rsid w:val="008B44C3"/>
    <w:rsid w:val="008B5255"/>
    <w:rsid w:val="008B5613"/>
    <w:rsid w:val="008B62E9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22DA"/>
    <w:rsid w:val="008D25B5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213"/>
    <w:rsid w:val="008E2336"/>
    <w:rsid w:val="008E27A7"/>
    <w:rsid w:val="008E33F9"/>
    <w:rsid w:val="008E34A2"/>
    <w:rsid w:val="008E34AE"/>
    <w:rsid w:val="008E3BA7"/>
    <w:rsid w:val="008E3D1C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4916"/>
    <w:rsid w:val="008F6034"/>
    <w:rsid w:val="008F7859"/>
    <w:rsid w:val="008F7ADB"/>
    <w:rsid w:val="008F7CC9"/>
    <w:rsid w:val="009001B0"/>
    <w:rsid w:val="00900940"/>
    <w:rsid w:val="00900CC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2D34"/>
    <w:rsid w:val="009139AF"/>
    <w:rsid w:val="009148EC"/>
    <w:rsid w:val="00914BFD"/>
    <w:rsid w:val="00914CD2"/>
    <w:rsid w:val="00915EF9"/>
    <w:rsid w:val="00916FF9"/>
    <w:rsid w:val="009174DB"/>
    <w:rsid w:val="009174F6"/>
    <w:rsid w:val="00917A99"/>
    <w:rsid w:val="00920831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272E3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6B3"/>
    <w:rsid w:val="00935AC3"/>
    <w:rsid w:val="00935EAC"/>
    <w:rsid w:val="00937529"/>
    <w:rsid w:val="0093758A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0DF"/>
    <w:rsid w:val="00946929"/>
    <w:rsid w:val="00946D29"/>
    <w:rsid w:val="00946EEE"/>
    <w:rsid w:val="009474F2"/>
    <w:rsid w:val="00950E7E"/>
    <w:rsid w:val="00952AEF"/>
    <w:rsid w:val="009533C7"/>
    <w:rsid w:val="00955C33"/>
    <w:rsid w:val="0095625A"/>
    <w:rsid w:val="00956446"/>
    <w:rsid w:val="00957B4C"/>
    <w:rsid w:val="009603BF"/>
    <w:rsid w:val="00960B5B"/>
    <w:rsid w:val="00960F24"/>
    <w:rsid w:val="00960FAF"/>
    <w:rsid w:val="00960FBE"/>
    <w:rsid w:val="0096172B"/>
    <w:rsid w:val="00961C91"/>
    <w:rsid w:val="009628F6"/>
    <w:rsid w:val="00962AB8"/>
    <w:rsid w:val="00962CB7"/>
    <w:rsid w:val="00962E64"/>
    <w:rsid w:val="00963AA3"/>
    <w:rsid w:val="00963B80"/>
    <w:rsid w:val="00964478"/>
    <w:rsid w:val="009651FA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6F97"/>
    <w:rsid w:val="00977317"/>
    <w:rsid w:val="009802E6"/>
    <w:rsid w:val="009804C2"/>
    <w:rsid w:val="00980AFA"/>
    <w:rsid w:val="00980C11"/>
    <w:rsid w:val="00981086"/>
    <w:rsid w:val="0098257D"/>
    <w:rsid w:val="0098302F"/>
    <w:rsid w:val="009831C8"/>
    <w:rsid w:val="00983D28"/>
    <w:rsid w:val="0098474E"/>
    <w:rsid w:val="009857EB"/>
    <w:rsid w:val="00986110"/>
    <w:rsid w:val="009869D5"/>
    <w:rsid w:val="00987232"/>
    <w:rsid w:val="009877E3"/>
    <w:rsid w:val="00990104"/>
    <w:rsid w:val="0099047A"/>
    <w:rsid w:val="009905A0"/>
    <w:rsid w:val="00990EC7"/>
    <w:rsid w:val="00991B95"/>
    <w:rsid w:val="00991D3E"/>
    <w:rsid w:val="00992630"/>
    <w:rsid w:val="00992840"/>
    <w:rsid w:val="00993064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40E"/>
    <w:rsid w:val="009C0544"/>
    <w:rsid w:val="009C0DD6"/>
    <w:rsid w:val="009C1B29"/>
    <w:rsid w:val="009C1C07"/>
    <w:rsid w:val="009C1F84"/>
    <w:rsid w:val="009C38A8"/>
    <w:rsid w:val="009C38DF"/>
    <w:rsid w:val="009C40F8"/>
    <w:rsid w:val="009C5A3E"/>
    <w:rsid w:val="009C5D66"/>
    <w:rsid w:val="009C6CC1"/>
    <w:rsid w:val="009C73E9"/>
    <w:rsid w:val="009D05F1"/>
    <w:rsid w:val="009D089E"/>
    <w:rsid w:val="009D094F"/>
    <w:rsid w:val="009D0BF3"/>
    <w:rsid w:val="009D0E88"/>
    <w:rsid w:val="009D0EB6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548"/>
    <w:rsid w:val="009E1649"/>
    <w:rsid w:val="009E172B"/>
    <w:rsid w:val="009E1B55"/>
    <w:rsid w:val="009E204D"/>
    <w:rsid w:val="009E253A"/>
    <w:rsid w:val="009E25F5"/>
    <w:rsid w:val="009E3555"/>
    <w:rsid w:val="009E39C0"/>
    <w:rsid w:val="009E4CE0"/>
    <w:rsid w:val="009E523E"/>
    <w:rsid w:val="009E5367"/>
    <w:rsid w:val="009E7B93"/>
    <w:rsid w:val="009F0062"/>
    <w:rsid w:val="009F0349"/>
    <w:rsid w:val="009F1CE1"/>
    <w:rsid w:val="009F1E76"/>
    <w:rsid w:val="009F2D48"/>
    <w:rsid w:val="009F2FEB"/>
    <w:rsid w:val="009F3268"/>
    <w:rsid w:val="009F4230"/>
    <w:rsid w:val="009F4860"/>
    <w:rsid w:val="009F58F4"/>
    <w:rsid w:val="009F5F2C"/>
    <w:rsid w:val="009F6749"/>
    <w:rsid w:val="009F6A7F"/>
    <w:rsid w:val="009F6C56"/>
    <w:rsid w:val="00A0021A"/>
    <w:rsid w:val="00A0178C"/>
    <w:rsid w:val="00A01D67"/>
    <w:rsid w:val="00A01EAA"/>
    <w:rsid w:val="00A0206E"/>
    <w:rsid w:val="00A02A33"/>
    <w:rsid w:val="00A02F5D"/>
    <w:rsid w:val="00A031CC"/>
    <w:rsid w:val="00A0323B"/>
    <w:rsid w:val="00A04192"/>
    <w:rsid w:val="00A04474"/>
    <w:rsid w:val="00A0482C"/>
    <w:rsid w:val="00A06A94"/>
    <w:rsid w:val="00A0762A"/>
    <w:rsid w:val="00A0776D"/>
    <w:rsid w:val="00A0778F"/>
    <w:rsid w:val="00A1004D"/>
    <w:rsid w:val="00A1182A"/>
    <w:rsid w:val="00A12D28"/>
    <w:rsid w:val="00A13922"/>
    <w:rsid w:val="00A13DB8"/>
    <w:rsid w:val="00A13F1D"/>
    <w:rsid w:val="00A1482D"/>
    <w:rsid w:val="00A14AA1"/>
    <w:rsid w:val="00A155ED"/>
    <w:rsid w:val="00A15939"/>
    <w:rsid w:val="00A15F37"/>
    <w:rsid w:val="00A16191"/>
    <w:rsid w:val="00A163E3"/>
    <w:rsid w:val="00A16B96"/>
    <w:rsid w:val="00A16CAF"/>
    <w:rsid w:val="00A220C0"/>
    <w:rsid w:val="00A22229"/>
    <w:rsid w:val="00A2239A"/>
    <w:rsid w:val="00A2295F"/>
    <w:rsid w:val="00A22A52"/>
    <w:rsid w:val="00A23246"/>
    <w:rsid w:val="00A24A2E"/>
    <w:rsid w:val="00A25215"/>
    <w:rsid w:val="00A25889"/>
    <w:rsid w:val="00A2710F"/>
    <w:rsid w:val="00A3034C"/>
    <w:rsid w:val="00A30764"/>
    <w:rsid w:val="00A325EE"/>
    <w:rsid w:val="00A338A1"/>
    <w:rsid w:val="00A349CB"/>
    <w:rsid w:val="00A34E5A"/>
    <w:rsid w:val="00A3508F"/>
    <w:rsid w:val="00A35D8A"/>
    <w:rsid w:val="00A364F7"/>
    <w:rsid w:val="00A36CE8"/>
    <w:rsid w:val="00A36DDD"/>
    <w:rsid w:val="00A36EBB"/>
    <w:rsid w:val="00A378ED"/>
    <w:rsid w:val="00A37C13"/>
    <w:rsid w:val="00A425BA"/>
    <w:rsid w:val="00A42D6B"/>
    <w:rsid w:val="00A42EEB"/>
    <w:rsid w:val="00A430E2"/>
    <w:rsid w:val="00A4316F"/>
    <w:rsid w:val="00A447E7"/>
    <w:rsid w:val="00A44A0C"/>
    <w:rsid w:val="00A454B6"/>
    <w:rsid w:val="00A4559F"/>
    <w:rsid w:val="00A45FC0"/>
    <w:rsid w:val="00A46558"/>
    <w:rsid w:val="00A472F8"/>
    <w:rsid w:val="00A50571"/>
    <w:rsid w:val="00A50AEA"/>
    <w:rsid w:val="00A5314F"/>
    <w:rsid w:val="00A53F81"/>
    <w:rsid w:val="00A54055"/>
    <w:rsid w:val="00A54B25"/>
    <w:rsid w:val="00A54D53"/>
    <w:rsid w:val="00A55882"/>
    <w:rsid w:val="00A5590F"/>
    <w:rsid w:val="00A569E0"/>
    <w:rsid w:val="00A56B6B"/>
    <w:rsid w:val="00A60311"/>
    <w:rsid w:val="00A60546"/>
    <w:rsid w:val="00A61107"/>
    <w:rsid w:val="00A63272"/>
    <w:rsid w:val="00A63EEE"/>
    <w:rsid w:val="00A6445C"/>
    <w:rsid w:val="00A66054"/>
    <w:rsid w:val="00A66F1E"/>
    <w:rsid w:val="00A6760A"/>
    <w:rsid w:val="00A676D3"/>
    <w:rsid w:val="00A679AD"/>
    <w:rsid w:val="00A71142"/>
    <w:rsid w:val="00A711B7"/>
    <w:rsid w:val="00A7149F"/>
    <w:rsid w:val="00A71689"/>
    <w:rsid w:val="00A72C93"/>
    <w:rsid w:val="00A72DB7"/>
    <w:rsid w:val="00A72FF3"/>
    <w:rsid w:val="00A7410C"/>
    <w:rsid w:val="00A754A0"/>
    <w:rsid w:val="00A76082"/>
    <w:rsid w:val="00A7784F"/>
    <w:rsid w:val="00A77DE1"/>
    <w:rsid w:val="00A80A07"/>
    <w:rsid w:val="00A811D6"/>
    <w:rsid w:val="00A81F02"/>
    <w:rsid w:val="00A82860"/>
    <w:rsid w:val="00A82B36"/>
    <w:rsid w:val="00A82F07"/>
    <w:rsid w:val="00A832BA"/>
    <w:rsid w:val="00A8331B"/>
    <w:rsid w:val="00A83BF6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0D5A"/>
    <w:rsid w:val="00AA17F7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1ED1"/>
    <w:rsid w:val="00AB23B0"/>
    <w:rsid w:val="00AB2567"/>
    <w:rsid w:val="00AB3273"/>
    <w:rsid w:val="00AB3537"/>
    <w:rsid w:val="00AB365A"/>
    <w:rsid w:val="00AB3A63"/>
    <w:rsid w:val="00AB4201"/>
    <w:rsid w:val="00AB453D"/>
    <w:rsid w:val="00AB48D1"/>
    <w:rsid w:val="00AB4CFC"/>
    <w:rsid w:val="00AB5363"/>
    <w:rsid w:val="00AB58F2"/>
    <w:rsid w:val="00AB5E9F"/>
    <w:rsid w:val="00AB61EF"/>
    <w:rsid w:val="00AB689B"/>
    <w:rsid w:val="00AB747A"/>
    <w:rsid w:val="00AB7541"/>
    <w:rsid w:val="00AB7CDE"/>
    <w:rsid w:val="00AC0AAA"/>
    <w:rsid w:val="00AC0D62"/>
    <w:rsid w:val="00AC1771"/>
    <w:rsid w:val="00AC1934"/>
    <w:rsid w:val="00AC277A"/>
    <w:rsid w:val="00AC41F9"/>
    <w:rsid w:val="00AC4EEC"/>
    <w:rsid w:val="00AC5B51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4353"/>
    <w:rsid w:val="00AD485D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E7732"/>
    <w:rsid w:val="00AF09A0"/>
    <w:rsid w:val="00AF1091"/>
    <w:rsid w:val="00AF153A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2CD"/>
    <w:rsid w:val="00AF58F3"/>
    <w:rsid w:val="00AF5ABA"/>
    <w:rsid w:val="00AF6D5C"/>
    <w:rsid w:val="00AF6D94"/>
    <w:rsid w:val="00B00317"/>
    <w:rsid w:val="00B0149D"/>
    <w:rsid w:val="00B014EC"/>
    <w:rsid w:val="00B04FE2"/>
    <w:rsid w:val="00B05126"/>
    <w:rsid w:val="00B05277"/>
    <w:rsid w:val="00B05777"/>
    <w:rsid w:val="00B05B5E"/>
    <w:rsid w:val="00B06527"/>
    <w:rsid w:val="00B07EE5"/>
    <w:rsid w:val="00B10C3C"/>
    <w:rsid w:val="00B11271"/>
    <w:rsid w:val="00B112A5"/>
    <w:rsid w:val="00B116FF"/>
    <w:rsid w:val="00B118CF"/>
    <w:rsid w:val="00B12833"/>
    <w:rsid w:val="00B12AAF"/>
    <w:rsid w:val="00B12D4B"/>
    <w:rsid w:val="00B140E9"/>
    <w:rsid w:val="00B14557"/>
    <w:rsid w:val="00B1471D"/>
    <w:rsid w:val="00B15438"/>
    <w:rsid w:val="00B17281"/>
    <w:rsid w:val="00B17A43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01CC"/>
    <w:rsid w:val="00B30A4E"/>
    <w:rsid w:val="00B31A01"/>
    <w:rsid w:val="00B31E3C"/>
    <w:rsid w:val="00B32C18"/>
    <w:rsid w:val="00B33037"/>
    <w:rsid w:val="00B33732"/>
    <w:rsid w:val="00B3483B"/>
    <w:rsid w:val="00B35C7E"/>
    <w:rsid w:val="00B35D32"/>
    <w:rsid w:val="00B36448"/>
    <w:rsid w:val="00B377F6"/>
    <w:rsid w:val="00B40FEB"/>
    <w:rsid w:val="00B416B1"/>
    <w:rsid w:val="00B418F4"/>
    <w:rsid w:val="00B426A2"/>
    <w:rsid w:val="00B42D4E"/>
    <w:rsid w:val="00B43376"/>
    <w:rsid w:val="00B43E68"/>
    <w:rsid w:val="00B44209"/>
    <w:rsid w:val="00B44CCC"/>
    <w:rsid w:val="00B44EAC"/>
    <w:rsid w:val="00B465C8"/>
    <w:rsid w:val="00B472C9"/>
    <w:rsid w:val="00B47636"/>
    <w:rsid w:val="00B47C1C"/>
    <w:rsid w:val="00B47F43"/>
    <w:rsid w:val="00B506AC"/>
    <w:rsid w:val="00B50773"/>
    <w:rsid w:val="00B50D1B"/>
    <w:rsid w:val="00B50E2C"/>
    <w:rsid w:val="00B51364"/>
    <w:rsid w:val="00B517ED"/>
    <w:rsid w:val="00B51F08"/>
    <w:rsid w:val="00B52041"/>
    <w:rsid w:val="00B52A2C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2D75"/>
    <w:rsid w:val="00B63850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2A9B"/>
    <w:rsid w:val="00B73636"/>
    <w:rsid w:val="00B7370E"/>
    <w:rsid w:val="00B7381A"/>
    <w:rsid w:val="00B73C08"/>
    <w:rsid w:val="00B7439C"/>
    <w:rsid w:val="00B743D7"/>
    <w:rsid w:val="00B7534C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495C"/>
    <w:rsid w:val="00B85068"/>
    <w:rsid w:val="00B85154"/>
    <w:rsid w:val="00B85546"/>
    <w:rsid w:val="00B85D8E"/>
    <w:rsid w:val="00B87377"/>
    <w:rsid w:val="00B87EA2"/>
    <w:rsid w:val="00B90139"/>
    <w:rsid w:val="00B913AA"/>
    <w:rsid w:val="00B91481"/>
    <w:rsid w:val="00B91B01"/>
    <w:rsid w:val="00B9205C"/>
    <w:rsid w:val="00B925BA"/>
    <w:rsid w:val="00B93031"/>
    <w:rsid w:val="00B9335D"/>
    <w:rsid w:val="00B94400"/>
    <w:rsid w:val="00B95673"/>
    <w:rsid w:val="00B961C8"/>
    <w:rsid w:val="00B96C2A"/>
    <w:rsid w:val="00B96FD4"/>
    <w:rsid w:val="00B97971"/>
    <w:rsid w:val="00B97D8D"/>
    <w:rsid w:val="00BA04E1"/>
    <w:rsid w:val="00BA18D1"/>
    <w:rsid w:val="00BA19E0"/>
    <w:rsid w:val="00BA1D00"/>
    <w:rsid w:val="00BA1F8A"/>
    <w:rsid w:val="00BA258C"/>
    <w:rsid w:val="00BA280D"/>
    <w:rsid w:val="00BA3140"/>
    <w:rsid w:val="00BA321E"/>
    <w:rsid w:val="00BA3EDB"/>
    <w:rsid w:val="00BA4441"/>
    <w:rsid w:val="00BA46B0"/>
    <w:rsid w:val="00BA47DA"/>
    <w:rsid w:val="00BA4E91"/>
    <w:rsid w:val="00BA5E59"/>
    <w:rsid w:val="00BA62A1"/>
    <w:rsid w:val="00BA6D0B"/>
    <w:rsid w:val="00BA75F2"/>
    <w:rsid w:val="00BB0F17"/>
    <w:rsid w:val="00BB1A4D"/>
    <w:rsid w:val="00BB1A9F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C63D5"/>
    <w:rsid w:val="00BC6876"/>
    <w:rsid w:val="00BD0100"/>
    <w:rsid w:val="00BD1A50"/>
    <w:rsid w:val="00BD297C"/>
    <w:rsid w:val="00BD2BB6"/>
    <w:rsid w:val="00BD4509"/>
    <w:rsid w:val="00BD483C"/>
    <w:rsid w:val="00BD4931"/>
    <w:rsid w:val="00BD499A"/>
    <w:rsid w:val="00BD532D"/>
    <w:rsid w:val="00BD6018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556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BF77A4"/>
    <w:rsid w:val="00C00471"/>
    <w:rsid w:val="00C011B3"/>
    <w:rsid w:val="00C014C6"/>
    <w:rsid w:val="00C016C1"/>
    <w:rsid w:val="00C01839"/>
    <w:rsid w:val="00C01BF8"/>
    <w:rsid w:val="00C02043"/>
    <w:rsid w:val="00C048AE"/>
    <w:rsid w:val="00C04A40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363D"/>
    <w:rsid w:val="00C1412B"/>
    <w:rsid w:val="00C15578"/>
    <w:rsid w:val="00C15648"/>
    <w:rsid w:val="00C16E21"/>
    <w:rsid w:val="00C17244"/>
    <w:rsid w:val="00C2000C"/>
    <w:rsid w:val="00C2020E"/>
    <w:rsid w:val="00C20265"/>
    <w:rsid w:val="00C2049A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973"/>
    <w:rsid w:val="00C30F85"/>
    <w:rsid w:val="00C31129"/>
    <w:rsid w:val="00C313E7"/>
    <w:rsid w:val="00C3210B"/>
    <w:rsid w:val="00C326A9"/>
    <w:rsid w:val="00C34EEE"/>
    <w:rsid w:val="00C3561D"/>
    <w:rsid w:val="00C3654D"/>
    <w:rsid w:val="00C369FE"/>
    <w:rsid w:val="00C410EB"/>
    <w:rsid w:val="00C4196A"/>
    <w:rsid w:val="00C41CF2"/>
    <w:rsid w:val="00C41E47"/>
    <w:rsid w:val="00C42E87"/>
    <w:rsid w:val="00C42F00"/>
    <w:rsid w:val="00C43453"/>
    <w:rsid w:val="00C44924"/>
    <w:rsid w:val="00C45097"/>
    <w:rsid w:val="00C45C93"/>
    <w:rsid w:val="00C461EB"/>
    <w:rsid w:val="00C47D3E"/>
    <w:rsid w:val="00C50077"/>
    <w:rsid w:val="00C51720"/>
    <w:rsid w:val="00C51E03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2BF"/>
    <w:rsid w:val="00C6749F"/>
    <w:rsid w:val="00C676D3"/>
    <w:rsid w:val="00C7054B"/>
    <w:rsid w:val="00C70598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77FDD"/>
    <w:rsid w:val="00C802D7"/>
    <w:rsid w:val="00C81867"/>
    <w:rsid w:val="00C81AAE"/>
    <w:rsid w:val="00C81EBC"/>
    <w:rsid w:val="00C82FE1"/>
    <w:rsid w:val="00C847AA"/>
    <w:rsid w:val="00C84C3A"/>
    <w:rsid w:val="00C86300"/>
    <w:rsid w:val="00C8679C"/>
    <w:rsid w:val="00C8685C"/>
    <w:rsid w:val="00C873BE"/>
    <w:rsid w:val="00C87645"/>
    <w:rsid w:val="00C87795"/>
    <w:rsid w:val="00C8784D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2E9C"/>
    <w:rsid w:val="00CB3460"/>
    <w:rsid w:val="00CB4072"/>
    <w:rsid w:val="00CB484D"/>
    <w:rsid w:val="00CB517A"/>
    <w:rsid w:val="00CB5E18"/>
    <w:rsid w:val="00CB61C9"/>
    <w:rsid w:val="00CB62EE"/>
    <w:rsid w:val="00CB7176"/>
    <w:rsid w:val="00CB730C"/>
    <w:rsid w:val="00CC0F4A"/>
    <w:rsid w:val="00CC0F68"/>
    <w:rsid w:val="00CC1C2A"/>
    <w:rsid w:val="00CC22B1"/>
    <w:rsid w:val="00CC2A03"/>
    <w:rsid w:val="00CC2C93"/>
    <w:rsid w:val="00CC2DC4"/>
    <w:rsid w:val="00CC384C"/>
    <w:rsid w:val="00CC38CF"/>
    <w:rsid w:val="00CC3988"/>
    <w:rsid w:val="00CC4F63"/>
    <w:rsid w:val="00CC5202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3D23"/>
    <w:rsid w:val="00CD3FDF"/>
    <w:rsid w:val="00CD561D"/>
    <w:rsid w:val="00CD6EF5"/>
    <w:rsid w:val="00CD755A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07C"/>
    <w:rsid w:val="00CF5293"/>
    <w:rsid w:val="00CF72AC"/>
    <w:rsid w:val="00D0011E"/>
    <w:rsid w:val="00D004E5"/>
    <w:rsid w:val="00D0136A"/>
    <w:rsid w:val="00D0142A"/>
    <w:rsid w:val="00D0150B"/>
    <w:rsid w:val="00D02111"/>
    <w:rsid w:val="00D0280B"/>
    <w:rsid w:val="00D038D7"/>
    <w:rsid w:val="00D03B38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22E"/>
    <w:rsid w:val="00D15D74"/>
    <w:rsid w:val="00D16D8E"/>
    <w:rsid w:val="00D16FB5"/>
    <w:rsid w:val="00D1722E"/>
    <w:rsid w:val="00D176B7"/>
    <w:rsid w:val="00D17F2A"/>
    <w:rsid w:val="00D20B08"/>
    <w:rsid w:val="00D211A5"/>
    <w:rsid w:val="00D21C7E"/>
    <w:rsid w:val="00D2261D"/>
    <w:rsid w:val="00D228B8"/>
    <w:rsid w:val="00D2301A"/>
    <w:rsid w:val="00D24515"/>
    <w:rsid w:val="00D24B00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3642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38E"/>
    <w:rsid w:val="00D56E84"/>
    <w:rsid w:val="00D60759"/>
    <w:rsid w:val="00D6293F"/>
    <w:rsid w:val="00D662E4"/>
    <w:rsid w:val="00D66E1F"/>
    <w:rsid w:val="00D670D3"/>
    <w:rsid w:val="00D67470"/>
    <w:rsid w:val="00D6792F"/>
    <w:rsid w:val="00D67B99"/>
    <w:rsid w:val="00D67FC9"/>
    <w:rsid w:val="00D709B5"/>
    <w:rsid w:val="00D729D1"/>
    <w:rsid w:val="00D72B2A"/>
    <w:rsid w:val="00D736FB"/>
    <w:rsid w:val="00D73AAF"/>
    <w:rsid w:val="00D73B35"/>
    <w:rsid w:val="00D74B08"/>
    <w:rsid w:val="00D75461"/>
    <w:rsid w:val="00D75B0B"/>
    <w:rsid w:val="00D76233"/>
    <w:rsid w:val="00D77388"/>
    <w:rsid w:val="00D775D2"/>
    <w:rsid w:val="00D77855"/>
    <w:rsid w:val="00D77FA4"/>
    <w:rsid w:val="00D8078E"/>
    <w:rsid w:val="00D80D94"/>
    <w:rsid w:val="00D8118D"/>
    <w:rsid w:val="00D82637"/>
    <w:rsid w:val="00D83283"/>
    <w:rsid w:val="00D83860"/>
    <w:rsid w:val="00D83B8A"/>
    <w:rsid w:val="00D83D34"/>
    <w:rsid w:val="00D85155"/>
    <w:rsid w:val="00D85F3F"/>
    <w:rsid w:val="00D86169"/>
    <w:rsid w:val="00D8652F"/>
    <w:rsid w:val="00D86BF7"/>
    <w:rsid w:val="00D86C18"/>
    <w:rsid w:val="00D8747A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4A5C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2CF3"/>
    <w:rsid w:val="00DA40F8"/>
    <w:rsid w:val="00DA47F0"/>
    <w:rsid w:val="00DA4875"/>
    <w:rsid w:val="00DA4917"/>
    <w:rsid w:val="00DA4E73"/>
    <w:rsid w:val="00DA5117"/>
    <w:rsid w:val="00DA61B6"/>
    <w:rsid w:val="00DA68C1"/>
    <w:rsid w:val="00DA71E0"/>
    <w:rsid w:val="00DA7808"/>
    <w:rsid w:val="00DB2CB5"/>
    <w:rsid w:val="00DB2F25"/>
    <w:rsid w:val="00DB35F8"/>
    <w:rsid w:val="00DB57B7"/>
    <w:rsid w:val="00DB67E5"/>
    <w:rsid w:val="00DB68CD"/>
    <w:rsid w:val="00DB73AB"/>
    <w:rsid w:val="00DB746B"/>
    <w:rsid w:val="00DB761D"/>
    <w:rsid w:val="00DB7C28"/>
    <w:rsid w:val="00DC13F9"/>
    <w:rsid w:val="00DC1D72"/>
    <w:rsid w:val="00DC2A04"/>
    <w:rsid w:val="00DC2E2C"/>
    <w:rsid w:val="00DC46D1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1BFF"/>
    <w:rsid w:val="00DD2278"/>
    <w:rsid w:val="00DD2ADC"/>
    <w:rsid w:val="00DD4F3E"/>
    <w:rsid w:val="00DD5FFB"/>
    <w:rsid w:val="00DD67A9"/>
    <w:rsid w:val="00DD6EA5"/>
    <w:rsid w:val="00DD75C0"/>
    <w:rsid w:val="00DD7C85"/>
    <w:rsid w:val="00DE2574"/>
    <w:rsid w:val="00DE2C5D"/>
    <w:rsid w:val="00DE36B6"/>
    <w:rsid w:val="00DE43B5"/>
    <w:rsid w:val="00DE4BD0"/>
    <w:rsid w:val="00DE58C9"/>
    <w:rsid w:val="00DE58D7"/>
    <w:rsid w:val="00DE5D98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5CAF"/>
    <w:rsid w:val="00DF62C6"/>
    <w:rsid w:val="00DF6D21"/>
    <w:rsid w:val="00DF75FB"/>
    <w:rsid w:val="00DF7C00"/>
    <w:rsid w:val="00E00BBD"/>
    <w:rsid w:val="00E00C89"/>
    <w:rsid w:val="00E013E3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4850"/>
    <w:rsid w:val="00E04A38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57C"/>
    <w:rsid w:val="00E16BD3"/>
    <w:rsid w:val="00E16FAA"/>
    <w:rsid w:val="00E171C2"/>
    <w:rsid w:val="00E20598"/>
    <w:rsid w:val="00E20664"/>
    <w:rsid w:val="00E2148E"/>
    <w:rsid w:val="00E21C56"/>
    <w:rsid w:val="00E22425"/>
    <w:rsid w:val="00E2267B"/>
    <w:rsid w:val="00E22996"/>
    <w:rsid w:val="00E23F67"/>
    <w:rsid w:val="00E24926"/>
    <w:rsid w:val="00E24E04"/>
    <w:rsid w:val="00E2580D"/>
    <w:rsid w:val="00E2583C"/>
    <w:rsid w:val="00E2789E"/>
    <w:rsid w:val="00E27948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350"/>
    <w:rsid w:val="00E407AC"/>
    <w:rsid w:val="00E413A5"/>
    <w:rsid w:val="00E41AF8"/>
    <w:rsid w:val="00E422BE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6DD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2A"/>
    <w:rsid w:val="00E56378"/>
    <w:rsid w:val="00E57208"/>
    <w:rsid w:val="00E57457"/>
    <w:rsid w:val="00E60175"/>
    <w:rsid w:val="00E6160E"/>
    <w:rsid w:val="00E63B64"/>
    <w:rsid w:val="00E63F00"/>
    <w:rsid w:val="00E642DC"/>
    <w:rsid w:val="00E64ABC"/>
    <w:rsid w:val="00E64E57"/>
    <w:rsid w:val="00E64F71"/>
    <w:rsid w:val="00E64FC2"/>
    <w:rsid w:val="00E65240"/>
    <w:rsid w:val="00E66FD1"/>
    <w:rsid w:val="00E67590"/>
    <w:rsid w:val="00E67A1A"/>
    <w:rsid w:val="00E703B1"/>
    <w:rsid w:val="00E7045C"/>
    <w:rsid w:val="00E718EA"/>
    <w:rsid w:val="00E71A6E"/>
    <w:rsid w:val="00E720A0"/>
    <w:rsid w:val="00E72E55"/>
    <w:rsid w:val="00E733D4"/>
    <w:rsid w:val="00E74228"/>
    <w:rsid w:val="00E74759"/>
    <w:rsid w:val="00E74A24"/>
    <w:rsid w:val="00E74E48"/>
    <w:rsid w:val="00E769EA"/>
    <w:rsid w:val="00E76B64"/>
    <w:rsid w:val="00E76BBE"/>
    <w:rsid w:val="00E77101"/>
    <w:rsid w:val="00E77326"/>
    <w:rsid w:val="00E808C9"/>
    <w:rsid w:val="00E80943"/>
    <w:rsid w:val="00E8112D"/>
    <w:rsid w:val="00E81135"/>
    <w:rsid w:val="00E8148D"/>
    <w:rsid w:val="00E818C3"/>
    <w:rsid w:val="00E82DCF"/>
    <w:rsid w:val="00E84DC4"/>
    <w:rsid w:val="00E84E21"/>
    <w:rsid w:val="00E8561A"/>
    <w:rsid w:val="00E8589E"/>
    <w:rsid w:val="00E85DE8"/>
    <w:rsid w:val="00E86672"/>
    <w:rsid w:val="00E86705"/>
    <w:rsid w:val="00E86E0C"/>
    <w:rsid w:val="00E87FB1"/>
    <w:rsid w:val="00E900CF"/>
    <w:rsid w:val="00E908C6"/>
    <w:rsid w:val="00E924A8"/>
    <w:rsid w:val="00E93450"/>
    <w:rsid w:val="00E9372A"/>
    <w:rsid w:val="00E93AFD"/>
    <w:rsid w:val="00E95441"/>
    <w:rsid w:val="00E96618"/>
    <w:rsid w:val="00E97970"/>
    <w:rsid w:val="00E979A5"/>
    <w:rsid w:val="00E97C50"/>
    <w:rsid w:val="00EA03D8"/>
    <w:rsid w:val="00EA0DB1"/>
    <w:rsid w:val="00EA163C"/>
    <w:rsid w:val="00EA507E"/>
    <w:rsid w:val="00EA5747"/>
    <w:rsid w:val="00EA6103"/>
    <w:rsid w:val="00EA73BA"/>
    <w:rsid w:val="00EA743C"/>
    <w:rsid w:val="00EA7745"/>
    <w:rsid w:val="00EB0F28"/>
    <w:rsid w:val="00EB1892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1FA6"/>
    <w:rsid w:val="00EC202F"/>
    <w:rsid w:val="00EC25AB"/>
    <w:rsid w:val="00EC3DF9"/>
    <w:rsid w:val="00EC4F93"/>
    <w:rsid w:val="00EC515F"/>
    <w:rsid w:val="00EC5679"/>
    <w:rsid w:val="00EC5764"/>
    <w:rsid w:val="00EC5DBE"/>
    <w:rsid w:val="00EC5DE6"/>
    <w:rsid w:val="00EC6263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5DB"/>
    <w:rsid w:val="00ED6AF2"/>
    <w:rsid w:val="00ED7BC1"/>
    <w:rsid w:val="00EE04D4"/>
    <w:rsid w:val="00EE0C34"/>
    <w:rsid w:val="00EE0C71"/>
    <w:rsid w:val="00EE29BE"/>
    <w:rsid w:val="00EE3C34"/>
    <w:rsid w:val="00EE3CDA"/>
    <w:rsid w:val="00EE4C9E"/>
    <w:rsid w:val="00EE5884"/>
    <w:rsid w:val="00EE64D0"/>
    <w:rsid w:val="00EE7261"/>
    <w:rsid w:val="00EF038F"/>
    <w:rsid w:val="00EF07C3"/>
    <w:rsid w:val="00EF1944"/>
    <w:rsid w:val="00EF26AE"/>
    <w:rsid w:val="00EF27B5"/>
    <w:rsid w:val="00EF43EA"/>
    <w:rsid w:val="00EF46B1"/>
    <w:rsid w:val="00EF493E"/>
    <w:rsid w:val="00EF5D73"/>
    <w:rsid w:val="00EF607A"/>
    <w:rsid w:val="00EF6331"/>
    <w:rsid w:val="00EF6482"/>
    <w:rsid w:val="00EF7136"/>
    <w:rsid w:val="00EF71FF"/>
    <w:rsid w:val="00EF7662"/>
    <w:rsid w:val="00EF773B"/>
    <w:rsid w:val="00F00241"/>
    <w:rsid w:val="00F00777"/>
    <w:rsid w:val="00F00887"/>
    <w:rsid w:val="00F0147C"/>
    <w:rsid w:val="00F01AED"/>
    <w:rsid w:val="00F02876"/>
    <w:rsid w:val="00F03CD8"/>
    <w:rsid w:val="00F06185"/>
    <w:rsid w:val="00F064C3"/>
    <w:rsid w:val="00F06A82"/>
    <w:rsid w:val="00F109A7"/>
    <w:rsid w:val="00F10BFD"/>
    <w:rsid w:val="00F10D7E"/>
    <w:rsid w:val="00F11D60"/>
    <w:rsid w:val="00F11FF2"/>
    <w:rsid w:val="00F12451"/>
    <w:rsid w:val="00F12C44"/>
    <w:rsid w:val="00F12F74"/>
    <w:rsid w:val="00F1303C"/>
    <w:rsid w:val="00F132E8"/>
    <w:rsid w:val="00F14FD4"/>
    <w:rsid w:val="00F15550"/>
    <w:rsid w:val="00F15E8D"/>
    <w:rsid w:val="00F175AF"/>
    <w:rsid w:val="00F205FB"/>
    <w:rsid w:val="00F20967"/>
    <w:rsid w:val="00F20DD7"/>
    <w:rsid w:val="00F20F27"/>
    <w:rsid w:val="00F21CF8"/>
    <w:rsid w:val="00F22A61"/>
    <w:rsid w:val="00F2357B"/>
    <w:rsid w:val="00F23602"/>
    <w:rsid w:val="00F236DC"/>
    <w:rsid w:val="00F243CB"/>
    <w:rsid w:val="00F2464A"/>
    <w:rsid w:val="00F247BC"/>
    <w:rsid w:val="00F2482C"/>
    <w:rsid w:val="00F24A8F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596"/>
    <w:rsid w:val="00F31EFE"/>
    <w:rsid w:val="00F3277D"/>
    <w:rsid w:val="00F32822"/>
    <w:rsid w:val="00F32EC1"/>
    <w:rsid w:val="00F3329B"/>
    <w:rsid w:val="00F33D35"/>
    <w:rsid w:val="00F340F0"/>
    <w:rsid w:val="00F343CC"/>
    <w:rsid w:val="00F34F38"/>
    <w:rsid w:val="00F350F7"/>
    <w:rsid w:val="00F35253"/>
    <w:rsid w:val="00F36405"/>
    <w:rsid w:val="00F36809"/>
    <w:rsid w:val="00F36950"/>
    <w:rsid w:val="00F371E7"/>
    <w:rsid w:val="00F3733F"/>
    <w:rsid w:val="00F3738F"/>
    <w:rsid w:val="00F37625"/>
    <w:rsid w:val="00F37CB3"/>
    <w:rsid w:val="00F40055"/>
    <w:rsid w:val="00F41E87"/>
    <w:rsid w:val="00F42120"/>
    <w:rsid w:val="00F428F8"/>
    <w:rsid w:val="00F43B83"/>
    <w:rsid w:val="00F44EBF"/>
    <w:rsid w:val="00F45EB3"/>
    <w:rsid w:val="00F463BF"/>
    <w:rsid w:val="00F47502"/>
    <w:rsid w:val="00F47697"/>
    <w:rsid w:val="00F50AFE"/>
    <w:rsid w:val="00F50DD0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12C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3ED"/>
    <w:rsid w:val="00F71668"/>
    <w:rsid w:val="00F73140"/>
    <w:rsid w:val="00F74364"/>
    <w:rsid w:val="00F74666"/>
    <w:rsid w:val="00F7492D"/>
    <w:rsid w:val="00F751A4"/>
    <w:rsid w:val="00F7568A"/>
    <w:rsid w:val="00F77C1A"/>
    <w:rsid w:val="00F77E91"/>
    <w:rsid w:val="00F81073"/>
    <w:rsid w:val="00F812E4"/>
    <w:rsid w:val="00F815BB"/>
    <w:rsid w:val="00F825C9"/>
    <w:rsid w:val="00F8344B"/>
    <w:rsid w:val="00F83C40"/>
    <w:rsid w:val="00F83EEA"/>
    <w:rsid w:val="00F844DC"/>
    <w:rsid w:val="00F8461A"/>
    <w:rsid w:val="00F84BEC"/>
    <w:rsid w:val="00F852BE"/>
    <w:rsid w:val="00F86368"/>
    <w:rsid w:val="00F8731D"/>
    <w:rsid w:val="00F879C5"/>
    <w:rsid w:val="00F87CAF"/>
    <w:rsid w:val="00F87FA4"/>
    <w:rsid w:val="00F90063"/>
    <w:rsid w:val="00F90A3D"/>
    <w:rsid w:val="00F90EC0"/>
    <w:rsid w:val="00F91222"/>
    <w:rsid w:val="00F92352"/>
    <w:rsid w:val="00F9267B"/>
    <w:rsid w:val="00F93469"/>
    <w:rsid w:val="00F93B7A"/>
    <w:rsid w:val="00F94ACE"/>
    <w:rsid w:val="00F94AE5"/>
    <w:rsid w:val="00F94C20"/>
    <w:rsid w:val="00F94EAF"/>
    <w:rsid w:val="00F96581"/>
    <w:rsid w:val="00F96AF2"/>
    <w:rsid w:val="00F96D11"/>
    <w:rsid w:val="00F96F50"/>
    <w:rsid w:val="00F970A7"/>
    <w:rsid w:val="00F9731E"/>
    <w:rsid w:val="00F9738D"/>
    <w:rsid w:val="00FA1622"/>
    <w:rsid w:val="00FA1A3F"/>
    <w:rsid w:val="00FA2228"/>
    <w:rsid w:val="00FA2A03"/>
    <w:rsid w:val="00FA36A5"/>
    <w:rsid w:val="00FA57BD"/>
    <w:rsid w:val="00FA59C4"/>
    <w:rsid w:val="00FA59C6"/>
    <w:rsid w:val="00FA5A3F"/>
    <w:rsid w:val="00FA5B04"/>
    <w:rsid w:val="00FA5F7E"/>
    <w:rsid w:val="00FA6140"/>
    <w:rsid w:val="00FA6AEF"/>
    <w:rsid w:val="00FB0167"/>
    <w:rsid w:val="00FB0EBB"/>
    <w:rsid w:val="00FB10F6"/>
    <w:rsid w:val="00FB13A2"/>
    <w:rsid w:val="00FB1402"/>
    <w:rsid w:val="00FB15EB"/>
    <w:rsid w:val="00FB19EB"/>
    <w:rsid w:val="00FB3A29"/>
    <w:rsid w:val="00FB41AF"/>
    <w:rsid w:val="00FB47DE"/>
    <w:rsid w:val="00FB492C"/>
    <w:rsid w:val="00FB4A1C"/>
    <w:rsid w:val="00FB4CA7"/>
    <w:rsid w:val="00FB60CC"/>
    <w:rsid w:val="00FB60FB"/>
    <w:rsid w:val="00FB612E"/>
    <w:rsid w:val="00FB6635"/>
    <w:rsid w:val="00FB6B37"/>
    <w:rsid w:val="00FB7510"/>
    <w:rsid w:val="00FC08D8"/>
    <w:rsid w:val="00FC111B"/>
    <w:rsid w:val="00FC1DE5"/>
    <w:rsid w:val="00FC206B"/>
    <w:rsid w:val="00FC23C7"/>
    <w:rsid w:val="00FC2710"/>
    <w:rsid w:val="00FC27DC"/>
    <w:rsid w:val="00FC3E40"/>
    <w:rsid w:val="00FC3FB7"/>
    <w:rsid w:val="00FC4378"/>
    <w:rsid w:val="00FC52C1"/>
    <w:rsid w:val="00FC5A6D"/>
    <w:rsid w:val="00FC5B2A"/>
    <w:rsid w:val="00FC623B"/>
    <w:rsid w:val="00FC6281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34E"/>
    <w:rsid w:val="00FD4587"/>
    <w:rsid w:val="00FD47F8"/>
    <w:rsid w:val="00FD57E2"/>
    <w:rsid w:val="00FD5B9B"/>
    <w:rsid w:val="00FD66DD"/>
    <w:rsid w:val="00FD6921"/>
    <w:rsid w:val="00FD77C2"/>
    <w:rsid w:val="00FE175F"/>
    <w:rsid w:val="00FE1F8E"/>
    <w:rsid w:val="00FE26DD"/>
    <w:rsid w:val="00FE2ED7"/>
    <w:rsid w:val="00FE329D"/>
    <w:rsid w:val="00FE34B0"/>
    <w:rsid w:val="00FE371B"/>
    <w:rsid w:val="00FE379B"/>
    <w:rsid w:val="00FE3AFB"/>
    <w:rsid w:val="00FE3E6F"/>
    <w:rsid w:val="00FE400F"/>
    <w:rsid w:val="00FE4187"/>
    <w:rsid w:val="00FE469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215"/>
    <w:rsid w:val="00FF3E5C"/>
    <w:rsid w:val="00FF4658"/>
    <w:rsid w:val="00FF473D"/>
    <w:rsid w:val="00FF4E8A"/>
    <w:rsid w:val="00FF556A"/>
    <w:rsid w:val="00FF5D50"/>
    <w:rsid w:val="00FF5E33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D3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www.cbamonitor.cz/aktuality/vlna-refixaci-hypotek-sili-urokovy-sok-ale-slabne-rizikem-zustava-vyssi-inflace" TargetMode="External"/><Relationship Id="rId26" Type="http://schemas.openxmlformats.org/officeDocument/2006/relationships/image" Target="media/image9.emf"/><Relationship Id="rId39" Type="http://schemas.openxmlformats.org/officeDocument/2006/relationships/hyperlink" Target="http://www.cbaonline.cz" TargetMode="External"/><Relationship Id="rId21" Type="http://schemas.openxmlformats.org/officeDocument/2006/relationships/hyperlink" Target="https://www.cbamonitor.cz/aktuality/cnb-ceka-na-novy-impuls" TargetMode="External"/><Relationship Id="rId34" Type="http://schemas.openxmlformats.org/officeDocument/2006/relationships/image" Target="media/image10.pn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www.cbamonitor.cz/aktuality/hypotecni-standardy-se-zprisnily-silna-poptavka-ale-tlumila-dopad-do-uverovych-podminek" TargetMode="External"/><Relationship Id="rId29" Type="http://schemas.openxmlformats.org/officeDocument/2006/relationships/hyperlink" Target="https://www.cbamonitor.cz/aktuality/silne-tempo-rustu-nabidkovych-cen-bytu-i-na-zacatku-roku-2026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bamonitor.cz/aktuality/cnb-zvysuje-kapitalovou-rezervu-bank-reaguje-na-rychlejsi-rust-uveru-i-nova-rizika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s://www.cbamonitor.cz/aktuality/nizsi-kvetnova-inflace-pri-silnejsim-rustu-mezd-predstavuje-pro-cnb-troji-dilema" TargetMode="External"/><Relationship Id="rId37" Type="http://schemas.openxmlformats.org/officeDocument/2006/relationships/hyperlink" Target="https://www.cbamonitor.cz/statistika/prognoza-prumerna-mzda" TargetMode="External"/><Relationship Id="rId40" Type="http://schemas.openxmlformats.org/officeDocument/2006/relationships/hyperlink" Target="https://www.cbamonitor.cz/kategorie/cba-hypomonito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www.cbamonitor.cz/aktuality/uspory-domacnosti-zustavaji-vysoko-a-ceny-nemovitosti-dal-rostou-a-silnejsi-produktivita-prilis-ulevy-cnb-neprinese" TargetMode="External"/><Relationship Id="rId36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hyperlink" Target="https://www.cbamonitor.cz/aktuality/trzni-sily-v-hypotecnich-sazbach-rust-trznich-uroku-se-do-hypotek-promitl-jen-castecne-pomaha-silna-konkurence-na-trhu" TargetMode="External"/><Relationship Id="rId31" Type="http://schemas.openxmlformats.org/officeDocument/2006/relationships/hyperlink" Target="https://www.cbamonitor.cz/kategorie/ceny-nemovitost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cbamonitor.cz/aktuality/ctyri-pribehy-cervnovych-dat-energetika-export-mzdy-a-zahajene-byty" TargetMode="External"/><Relationship Id="rId27" Type="http://schemas.openxmlformats.org/officeDocument/2006/relationships/hyperlink" Target="https://www.cbamonitor.cz/aktuality/cnb-zprisnuje-podminky-pro-investicni-hypoteky-9-dopad-nebo-potrebna-redistribuce-poptavky" TargetMode="External"/><Relationship Id="rId30" Type="http://schemas.openxmlformats.org/officeDocument/2006/relationships/hyperlink" Target="https://www.cbamonitor.cz/aktuality/realizovane-ceny-bytu-zdrazuji-pomaleji-ale-regiony-zatim-neochlazuji" TargetMode="External"/><Relationship Id="rId35" Type="http://schemas.openxmlformats.org/officeDocument/2006/relationships/image" Target="media/image11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s://www.cbamonitor.cz/aktuality/vlna-refixaci-hypotek-sili-urokovy-sok-ale-slabne-rizikem-zustava-vyssi-inflace" TargetMode="External"/><Relationship Id="rId33" Type="http://schemas.openxmlformats.org/officeDocument/2006/relationships/hyperlink" Target="https://www.cbamonitor.cz/statistika/dynamika-mezd" TargetMode="External"/><Relationship Id="rId38" Type="http://schemas.openxmlformats.org/officeDocument/2006/relationships/image" Target="media/image1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3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3026</Words>
  <Characters>17860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3</cp:revision>
  <cp:lastPrinted>2025-08-14T09:13:00Z</cp:lastPrinted>
  <dcterms:created xsi:type="dcterms:W3CDTF">2026-08-13T12:35:00Z</dcterms:created>
  <dcterms:modified xsi:type="dcterms:W3CDTF">2026-08-13T13:02:00Z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