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7D8102" w14:textId="4B9EC9C7" w:rsidR="00FB4CA7" w:rsidRDefault="004C4605" w:rsidP="00FB4CA7">
      <w:pPr>
        <w:rPr>
          <w:rFonts w:ascii="Calibri" w:hAnsi="Calibri" w:cs="Calibri"/>
          <w:b/>
          <w:color w:val="13576B"/>
          <w:sz w:val="32"/>
          <w:szCs w:val="32"/>
        </w:rPr>
      </w:pPr>
      <w:bookmarkStart w:id="0" w:name="_Hlk221885432"/>
      <w:bookmarkStart w:id="1" w:name="_Hlk111121205"/>
      <w:bookmarkStart w:id="2" w:name="_Hlk116472656"/>
      <w:bookmarkEnd w:id="0"/>
      <w:r w:rsidRPr="00616069">
        <w:rPr>
          <w:rFonts w:cs="Arial"/>
          <w:noProof/>
          <w:lang w:eastAsia="en-GB"/>
        </w:rPr>
        <mc:AlternateContent>
          <mc:Choice Requires="wps">
            <w:drawing>
              <wp:anchor distT="45720" distB="45720" distL="114300" distR="114300" simplePos="0" relativeHeight="251670528" behindDoc="0" locked="0" layoutInCell="1" allowOverlap="1" wp14:anchorId="2D226F0A" wp14:editId="7C880E22">
                <wp:simplePos x="0" y="0"/>
                <wp:positionH relativeFrom="margin">
                  <wp:posOffset>2228850</wp:posOffset>
                </wp:positionH>
                <wp:positionV relativeFrom="paragraph">
                  <wp:posOffset>-954405</wp:posOffset>
                </wp:positionV>
                <wp:extent cx="2941608" cy="1404620"/>
                <wp:effectExtent l="0" t="0" r="0" b="0"/>
                <wp:wrapNone/>
                <wp:docPr id="264761764"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41608" cy="1404620"/>
                        </a:xfrm>
                        <a:prstGeom prst="rect">
                          <a:avLst/>
                        </a:prstGeom>
                        <a:noFill/>
                        <a:ln w="9525">
                          <a:noFill/>
                          <a:miter lim="800000"/>
                          <a:headEnd/>
                          <a:tailEnd/>
                        </a:ln>
                      </wps:spPr>
                      <wps:txbx>
                        <w:txbxContent>
                          <w:p w14:paraId="32B97BB3" w14:textId="00A04093" w:rsidR="004C4605" w:rsidRPr="00616069" w:rsidRDefault="004C4605" w:rsidP="004C4605">
                            <w:pPr>
                              <w:spacing w:line="276" w:lineRule="auto"/>
                              <w:jc w:val="right"/>
                              <w:rPr>
                                <w:rFonts w:ascii="Calibri" w:hAnsi="Calibri" w:cs="Calibri"/>
                                <w:b/>
                                <w:color w:val="FF0000"/>
                                <w:sz w:val="40"/>
                                <w:szCs w:val="40"/>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D226F0A" id="_x0000_t202" coordsize="21600,21600" o:spt="202" path="m,l,21600r21600,l21600,xe">
                <v:stroke joinstyle="miter"/>
                <v:path gradientshapeok="t" o:connecttype="rect"/>
              </v:shapetype>
              <v:shape id="Textové pole 2" o:spid="_x0000_s1026" type="#_x0000_t202" style="position:absolute;left:0;text-align:left;margin-left:175.5pt;margin-top:-75.15pt;width:231.6pt;height:110.6pt;z-index:25167052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" filled="f" stroked="f">
                <v:textbox style="mso-fit-shape-to-text:t">
                  <w:txbxContent>
                    <w:p w14:paraId="32B97BB3" w14:textId="00A04093" w:rsidR="004C4605" w:rsidRPr="00616069" w:rsidRDefault="004C4605" w:rsidP="004C4605">
                      <w:pPr>
                        <w:spacing w:line="276" w:lineRule="auto"/>
                        <w:jc w:val="right"/>
                        <w:rPr>
                          <w:rFonts w:ascii="Calibri" w:hAnsi="Calibri" w:cs="Calibri"/>
                          <w:b/>
                          <w:color w:val="FF0000"/>
                          <w:sz w:val="40"/>
                          <w:szCs w:val="40"/>
                        </w:rPr>
                      </w:pPr>
                    </w:p>
                  </w:txbxContent>
                </v:textbox>
                <w10:wrap anchorx="margin"/>
              </v:shape>
            </w:pict>
          </mc:Fallback>
        </mc:AlternateContent>
      </w:r>
      <w:r w:rsidR="003D3759" w:rsidRPr="00616069">
        <w:rPr>
          <w:rFonts w:ascii="Calibri" w:hAnsi="Calibri" w:cs="Calibri"/>
          <w:b/>
          <w:color w:val="13576B"/>
          <w:sz w:val="32"/>
          <w:szCs w:val="32"/>
        </w:rPr>
        <w:t>ČBA Hypomonito</w:t>
      </w:r>
      <w:r w:rsidR="007C0E2D">
        <w:rPr>
          <w:rFonts w:ascii="Calibri" w:hAnsi="Calibri" w:cs="Calibri"/>
          <w:b/>
          <w:color w:val="13576B"/>
          <w:sz w:val="32"/>
          <w:szCs w:val="32"/>
        </w:rPr>
        <w:t>r</w:t>
      </w:r>
      <w:r w:rsidR="003D3759" w:rsidRPr="00616069">
        <w:rPr>
          <w:rFonts w:ascii="Calibri" w:hAnsi="Calibri" w:cs="Calibri"/>
          <w:b/>
          <w:color w:val="13576B"/>
          <w:sz w:val="32"/>
          <w:szCs w:val="32"/>
        </w:rPr>
        <w:t>:</w:t>
      </w:r>
      <w:r>
        <w:rPr>
          <w:rFonts w:ascii="Calibri" w:hAnsi="Calibri" w:cs="Calibri"/>
          <w:b/>
          <w:color w:val="13576B"/>
          <w:sz w:val="32"/>
          <w:szCs w:val="32"/>
        </w:rPr>
        <w:t xml:space="preserve"> </w:t>
      </w:r>
      <w:bookmarkEnd w:id="1"/>
      <w:r w:rsidR="00FB4CA7" w:rsidRPr="00FB4CA7">
        <w:rPr>
          <w:rFonts w:ascii="Calibri" w:hAnsi="Calibri" w:cs="Calibri"/>
          <w:b/>
          <w:color w:val="13576B"/>
          <w:sz w:val="32"/>
          <w:szCs w:val="32"/>
        </w:rPr>
        <w:t xml:space="preserve">Vyšší sazby a regulace přibrzdily hypotéky, trh však i v červnu zůstal silný </w:t>
      </w:r>
    </w:p>
    <w:p w14:paraId="5B823ECB" w14:textId="4B13D859" w:rsidR="0071405B" w:rsidRDefault="007967E6" w:rsidP="0071405B">
      <w:pPr>
        <w:rPr>
          <w:rFonts w:ascii="Calibri" w:hAnsi="Calibri" w:cs="Calibri"/>
          <w:b/>
          <w:bCs/>
          <w:color w:val="13576B"/>
          <w:sz w:val="22"/>
          <w:szCs w:val="22"/>
        </w:rPr>
      </w:pPr>
      <w:r w:rsidRPr="006B4CAC">
        <w:rPr>
          <w:rFonts w:ascii="Calibri" w:hAnsi="Calibri" w:cs="Calibri"/>
          <w:b/>
          <w:bCs/>
          <w:color w:val="13576B"/>
          <w:sz w:val="22"/>
          <w:szCs w:val="22"/>
        </w:rPr>
        <w:t xml:space="preserve">Praha, </w:t>
      </w:r>
      <w:r w:rsidR="00C016C1">
        <w:rPr>
          <w:rFonts w:ascii="Calibri" w:hAnsi="Calibri" w:cs="Calibri"/>
          <w:b/>
          <w:bCs/>
          <w:color w:val="13576B"/>
          <w:sz w:val="22"/>
          <w:szCs w:val="22"/>
        </w:rPr>
        <w:t>1</w:t>
      </w:r>
      <w:r w:rsidR="00FB4CA7">
        <w:rPr>
          <w:rFonts w:ascii="Calibri" w:hAnsi="Calibri" w:cs="Calibri"/>
          <w:b/>
          <w:bCs/>
          <w:color w:val="13576B"/>
          <w:sz w:val="22"/>
          <w:szCs w:val="22"/>
        </w:rPr>
        <w:t>7</w:t>
      </w:r>
      <w:r w:rsidRPr="006B4CAC">
        <w:rPr>
          <w:rFonts w:ascii="Calibri" w:hAnsi="Calibri" w:cs="Calibri"/>
          <w:b/>
          <w:bCs/>
          <w:color w:val="13576B"/>
          <w:sz w:val="22"/>
          <w:szCs w:val="22"/>
        </w:rPr>
        <w:t>.</w:t>
      </w:r>
      <w:r w:rsidR="00EE64D0">
        <w:rPr>
          <w:rFonts w:ascii="Calibri" w:hAnsi="Calibri" w:cs="Calibri"/>
          <w:b/>
          <w:bCs/>
          <w:color w:val="13576B"/>
          <w:sz w:val="22"/>
          <w:szCs w:val="22"/>
        </w:rPr>
        <w:t xml:space="preserve"> </w:t>
      </w:r>
      <w:r w:rsidR="00C016C1">
        <w:rPr>
          <w:rFonts w:ascii="Calibri" w:hAnsi="Calibri" w:cs="Calibri"/>
          <w:b/>
          <w:bCs/>
          <w:color w:val="13576B"/>
          <w:sz w:val="22"/>
          <w:szCs w:val="22"/>
        </w:rPr>
        <w:t>červen</w:t>
      </w:r>
      <w:r w:rsidR="00FB4CA7">
        <w:rPr>
          <w:rFonts w:ascii="Calibri" w:hAnsi="Calibri" w:cs="Calibri"/>
          <w:b/>
          <w:bCs/>
          <w:color w:val="13576B"/>
          <w:sz w:val="22"/>
          <w:szCs w:val="22"/>
        </w:rPr>
        <w:t>ec</w:t>
      </w:r>
      <w:r w:rsidRPr="006B4CAC">
        <w:rPr>
          <w:rFonts w:ascii="Calibri" w:hAnsi="Calibri" w:cs="Calibri"/>
          <w:b/>
          <w:bCs/>
          <w:color w:val="13576B"/>
          <w:sz w:val="22"/>
          <w:szCs w:val="22"/>
        </w:rPr>
        <w:t xml:space="preserve"> </w:t>
      </w:r>
      <w:r w:rsidR="003C392F" w:rsidRPr="006B4CAC">
        <w:rPr>
          <w:rFonts w:ascii="Calibri" w:hAnsi="Calibri" w:cs="Calibri"/>
          <w:b/>
          <w:bCs/>
          <w:color w:val="13576B"/>
          <w:sz w:val="22"/>
          <w:szCs w:val="22"/>
        </w:rPr>
        <w:t>202</w:t>
      </w:r>
      <w:r w:rsidR="00C016C1">
        <w:rPr>
          <w:rFonts w:ascii="Calibri" w:hAnsi="Calibri" w:cs="Calibri"/>
          <w:b/>
          <w:bCs/>
          <w:color w:val="13576B"/>
          <w:sz w:val="22"/>
          <w:szCs w:val="22"/>
        </w:rPr>
        <w:t>6</w:t>
      </w:r>
      <w:r w:rsidR="003C392F" w:rsidRPr="006B4CAC">
        <w:rPr>
          <w:rFonts w:ascii="Calibri" w:hAnsi="Calibri" w:cs="Calibri"/>
          <w:b/>
          <w:bCs/>
          <w:color w:val="13576B"/>
          <w:sz w:val="22"/>
          <w:szCs w:val="22"/>
        </w:rPr>
        <w:t xml:space="preserve"> –</w:t>
      </w:r>
      <w:r w:rsidR="0071405B" w:rsidRPr="0071405B">
        <w:rPr>
          <w:rFonts w:ascii="Calibri" w:hAnsi="Calibri" w:cs="Calibri"/>
          <w:b/>
          <w:bCs/>
          <w:color w:val="13576B"/>
          <w:sz w:val="22"/>
          <w:szCs w:val="22"/>
        </w:rPr>
        <w:t xml:space="preserve"> Hypoteční trh po velmi silném jaru v červnu poprvé výrazněji zvolnil kvůli přísnější regulaci a vyšším tržním úrokovým sazbám. Banky a stavební spořitelny poskytly skutečně nové hypotéky bez refinancování za 36,5 miliardy korun, meziměsíčně o 4 % méně. Červnová čísla tak přináší korekci spíše než slabý měsíc. Od začátku roku objem nových hypoték dosáhl 216 miliard korun, tedy o 66 miliard více než loni. Průměrná realizovaná sazba u nových hypoték dál vzrostla na 4,79 % z květnových 4,67 %, protože se do cen hypoték částečně promítl dřívější silnější nárůst tržních úrokových sazeb. Růst sazeb byl silnější u nových hypoték ke koupi, zatímco mírnější v případě refinancování. </w:t>
      </w:r>
    </w:p>
    <w:p w14:paraId="19B79B28" w14:textId="77777777" w:rsidR="0071405B" w:rsidRPr="0071405B" w:rsidRDefault="0071405B" w:rsidP="0071405B">
      <w:pPr>
        <w:rPr>
          <w:rFonts w:ascii="Calibri" w:hAnsi="Calibri" w:cs="Calibri"/>
          <w:b/>
          <w:bCs/>
          <w:color w:val="13576B"/>
          <w:sz w:val="22"/>
          <w:szCs w:val="22"/>
        </w:rPr>
      </w:pPr>
    </w:p>
    <w:p w14:paraId="2EAFDADF" w14:textId="77777777" w:rsidR="0071405B" w:rsidRDefault="0071405B" w:rsidP="0071405B">
      <w:pPr>
        <w:rPr>
          <w:rFonts w:ascii="Calibri" w:hAnsi="Calibri" w:cs="Calibri"/>
          <w:b/>
          <w:bCs/>
          <w:color w:val="13576B"/>
          <w:sz w:val="22"/>
          <w:szCs w:val="22"/>
        </w:rPr>
      </w:pPr>
      <w:r w:rsidRPr="0071405B">
        <w:rPr>
          <w:rFonts w:ascii="Calibri" w:hAnsi="Calibri" w:cs="Calibri"/>
          <w:b/>
          <w:bCs/>
          <w:color w:val="13576B"/>
          <w:sz w:val="22"/>
          <w:szCs w:val="22"/>
        </w:rPr>
        <w:t>Do červnového zvolnění se promítl konec předchozího předzásobení, kdy část zájemců o hypotéku uspíšila rozhodnutí kvůli očekávanému dopadu vyšších tržních sazeb a dubnovému zpřísnění podmínek ČNB pro tzv. investiční hypotéky. Slabší momentum se projevilo i návratem průměrné výše hypotéky pod 4,7 milionu korun, což snížilo ilustrativní splátku nové průměrné hypotéky zpět pod 26 tisíc korun měsíčně.</w:t>
      </w:r>
    </w:p>
    <w:p w14:paraId="1C9067BE" w14:textId="77777777" w:rsidR="0071405B" w:rsidRPr="0071405B" w:rsidRDefault="0071405B" w:rsidP="0071405B">
      <w:pPr>
        <w:rPr>
          <w:rFonts w:ascii="Calibri" w:hAnsi="Calibri" w:cs="Calibri"/>
          <w:b/>
          <w:bCs/>
          <w:color w:val="13576B"/>
          <w:sz w:val="22"/>
          <w:szCs w:val="22"/>
        </w:rPr>
      </w:pPr>
    </w:p>
    <w:p w14:paraId="543D468B" w14:textId="2B6C70C8" w:rsidR="002B52C8" w:rsidRPr="00C016C1" w:rsidRDefault="0071405B" w:rsidP="0071405B">
      <w:pPr>
        <w:rPr>
          <w:rFonts w:ascii="Calibri" w:hAnsi="Calibri" w:cs="Calibri"/>
          <w:b/>
          <w:bCs/>
          <w:color w:val="13576B"/>
          <w:sz w:val="22"/>
          <w:szCs w:val="22"/>
        </w:rPr>
      </w:pPr>
      <w:r w:rsidRPr="0071405B">
        <w:rPr>
          <w:rFonts w:ascii="Calibri" w:hAnsi="Calibri" w:cs="Calibri"/>
          <w:b/>
          <w:bCs/>
          <w:color w:val="13576B"/>
          <w:sz w:val="22"/>
          <w:szCs w:val="22"/>
        </w:rPr>
        <w:t>Základní obrázek trhu se ale nemění: objemy i počty nových hypoték zůstávají poblíž silných úrovní z druhého pololetí loňského roku. Červnová data proto spíše potvrzují zklidnění po mimořádně silných měsících než nástup slabší fáze trhu. Další zasedání ČNB k nastavení makroobezřetnostní politiky hypoték proběhne 10. září a aktuální čísla by měla centrální banku ponechat ve vyčkávacím módu. Regulace hypoték zůstala v červnu beze změny, bankovní rada však zvýšila proticyklickou kapitálovou rezervu o 0,25 p. b. na 1,5 % od července 2027.</w:t>
      </w:r>
      <w:r w:rsidR="002B52C8" w:rsidRPr="00C016C1">
        <w:rPr>
          <w:rFonts w:ascii="Calibri" w:hAnsi="Calibri" w:cs="Calibri"/>
          <w:b/>
          <w:bCs/>
          <w:color w:val="13576B"/>
          <w:sz w:val="22"/>
          <w:szCs w:val="22"/>
        </w:rPr>
        <w:t xml:space="preserve"> Blíže viz </w:t>
      </w:r>
      <w:hyperlink r:id="rId11" w:history="1">
        <w:r w:rsidR="002B52C8" w:rsidRPr="00C016C1">
          <w:rPr>
            <w:rStyle w:val="Hypertextovodkaz"/>
            <w:b/>
            <w:bCs/>
          </w:rPr>
          <w:t>ČNB zpřísňuje kapitálovou rezervu bank. Reaguje na rychlejší růst úvěrů i nová rizika</w:t>
        </w:r>
      </w:hyperlink>
      <w:r w:rsidR="00B71C1E" w:rsidRPr="00C016C1">
        <w:rPr>
          <w:rFonts w:ascii="Calibri" w:hAnsi="Calibri" w:cs="Calibri"/>
          <w:b/>
          <w:bCs/>
          <w:color w:val="13576B"/>
          <w:sz w:val="22"/>
          <w:szCs w:val="22"/>
        </w:rPr>
        <w:t>.</w:t>
      </w:r>
    </w:p>
    <w:p w14:paraId="11395EF2" w14:textId="77777777" w:rsidR="00D66E1F" w:rsidRPr="00DA2CF3" w:rsidRDefault="00D66E1F" w:rsidP="006B4CAC">
      <w:pPr>
        <w:overflowPunct/>
        <w:autoSpaceDE/>
        <w:autoSpaceDN/>
        <w:adjustRightInd/>
        <w:spacing w:before="120" w:after="120"/>
        <w:textAlignment w:val="auto"/>
        <w:rPr>
          <w:rFonts w:ascii="Calibri" w:hAnsi="Calibri" w:cs="Calibri"/>
          <w:b/>
          <w:bCs/>
          <w:color w:val="EE0000"/>
          <w:sz w:val="22"/>
          <w:szCs w:val="22"/>
        </w:rPr>
      </w:pPr>
    </w:p>
    <w:p w14:paraId="4A7C2A28" w14:textId="5A96C635" w:rsidR="00425883" w:rsidRDefault="00425883" w:rsidP="0009562F">
      <w:pPr>
        <w:overflowPunct/>
        <w:autoSpaceDE/>
        <w:autoSpaceDN/>
        <w:adjustRightInd/>
        <w:spacing w:before="120" w:after="120"/>
        <w:textAlignment w:val="auto"/>
        <w:rPr>
          <w:rFonts w:ascii="Calibri" w:hAnsi="Calibri" w:cs="Calibri"/>
          <w:b/>
          <w:color w:val="13576B"/>
          <w:sz w:val="23"/>
          <w:szCs w:val="23"/>
        </w:rPr>
      </w:pPr>
      <w:r w:rsidRPr="003F159E">
        <w:rPr>
          <w:rFonts w:ascii="Calibri" w:hAnsi="Calibri" w:cs="Calibri"/>
          <w:b/>
          <w:color w:val="13576B"/>
          <w:sz w:val="23"/>
          <w:szCs w:val="23"/>
        </w:rPr>
        <w:t xml:space="preserve">Tabulka č. 1: Shrnutí objemu poskytnutých hypoték a průměrných úrokových sazeb za </w:t>
      </w:r>
      <w:r w:rsidR="00EA743C">
        <w:rPr>
          <w:rFonts w:ascii="Calibri" w:hAnsi="Calibri" w:cs="Calibri"/>
          <w:b/>
          <w:color w:val="13576B"/>
          <w:sz w:val="23"/>
          <w:szCs w:val="23"/>
        </w:rPr>
        <w:t>červen</w:t>
      </w:r>
      <w:r>
        <w:rPr>
          <w:rFonts w:ascii="Calibri" w:hAnsi="Calibri" w:cs="Calibri"/>
          <w:b/>
          <w:color w:val="13576B"/>
          <w:sz w:val="23"/>
          <w:szCs w:val="23"/>
        </w:rPr>
        <w:t xml:space="preserve"> 202</w:t>
      </w:r>
      <w:r w:rsidR="00BA3140">
        <w:rPr>
          <w:rFonts w:ascii="Calibri" w:hAnsi="Calibri" w:cs="Calibri"/>
          <w:b/>
          <w:color w:val="13576B"/>
          <w:sz w:val="23"/>
          <w:szCs w:val="23"/>
        </w:rPr>
        <w:t>6</w:t>
      </w:r>
    </w:p>
    <w:tbl>
      <w:tblPr>
        <w:tblW w:w="9563" w:type="dxa"/>
        <w:tblCellMar>
          <w:left w:w="70" w:type="dxa"/>
          <w:right w:w="70" w:type="dxa"/>
        </w:tblCellMar>
        <w:tblLook w:val="04A0" w:firstRow="1" w:lastRow="0" w:firstColumn="1" w:lastColumn="0" w:noHBand="0" w:noVBand="1"/>
      </w:tblPr>
      <w:tblGrid>
        <w:gridCol w:w="3540"/>
        <w:gridCol w:w="1102"/>
        <w:gridCol w:w="960"/>
        <w:gridCol w:w="960"/>
        <w:gridCol w:w="242"/>
        <w:gridCol w:w="993"/>
        <w:gridCol w:w="992"/>
        <w:gridCol w:w="774"/>
      </w:tblGrid>
      <w:tr w:rsidR="003C3451" w:rsidRPr="00A06A94" w14:paraId="23438AFD" w14:textId="77777777" w:rsidTr="006E30DB">
        <w:trPr>
          <w:trHeight w:val="300"/>
        </w:trPr>
        <w:tc>
          <w:tcPr>
            <w:tcW w:w="3540" w:type="dxa"/>
            <w:tcBorders>
              <w:top w:val="nil"/>
              <w:left w:val="nil"/>
              <w:bottom w:val="nil"/>
              <w:right w:val="nil"/>
            </w:tcBorders>
            <w:shd w:val="clear" w:color="000000" w:fill="FFFFFF"/>
            <w:noWrap/>
            <w:vAlign w:val="bottom"/>
          </w:tcPr>
          <w:p w14:paraId="543B7281" w14:textId="77777777" w:rsidR="003C3451" w:rsidRPr="00072DB9" w:rsidRDefault="003C3451" w:rsidP="006E30DB">
            <w:pPr>
              <w:overflowPunct/>
              <w:autoSpaceDE/>
              <w:autoSpaceDN/>
              <w:adjustRightInd/>
              <w:jc w:val="left"/>
              <w:textAlignment w:val="auto"/>
              <w:rPr>
                <w:rFonts w:ascii="Calibri" w:hAnsi="Calibri" w:cs="Calibri"/>
                <w:color w:val="000000"/>
                <w:sz w:val="22"/>
                <w:szCs w:val="22"/>
              </w:rPr>
            </w:pPr>
          </w:p>
        </w:tc>
        <w:tc>
          <w:tcPr>
            <w:tcW w:w="3022" w:type="dxa"/>
            <w:gridSpan w:val="3"/>
            <w:tcBorders>
              <w:top w:val="nil"/>
              <w:left w:val="nil"/>
            </w:tcBorders>
            <w:shd w:val="clear" w:color="000000" w:fill="FFFFFF"/>
            <w:vAlign w:val="bottom"/>
          </w:tcPr>
          <w:p w14:paraId="07A4A00D" w14:textId="77777777" w:rsidR="003C3451" w:rsidRPr="00072DB9" w:rsidRDefault="003C3451" w:rsidP="006E30DB">
            <w:pPr>
              <w:overflowPunct/>
              <w:autoSpaceDE/>
              <w:autoSpaceDN/>
              <w:adjustRightInd/>
              <w:jc w:val="center"/>
              <w:textAlignment w:val="auto"/>
              <w:rPr>
                <w:rFonts w:ascii="Calibri Light" w:hAnsi="Calibri Light" w:cs="Calibri Light"/>
                <w:b/>
                <w:bCs/>
                <w:color w:val="13576B"/>
                <w:sz w:val="22"/>
                <w:szCs w:val="22"/>
              </w:rPr>
            </w:pPr>
            <w:r>
              <w:rPr>
                <w:rFonts w:ascii="Calibri Light" w:hAnsi="Calibri Light" w:cs="Calibri Light"/>
                <w:b/>
                <w:bCs/>
                <w:color w:val="13576B"/>
                <w:sz w:val="22"/>
                <w:szCs w:val="22"/>
              </w:rPr>
              <w:t>měsíční hodnoty</w:t>
            </w:r>
          </w:p>
        </w:tc>
        <w:tc>
          <w:tcPr>
            <w:tcW w:w="242" w:type="dxa"/>
            <w:tcBorders>
              <w:top w:val="nil"/>
              <w:right w:val="nil"/>
            </w:tcBorders>
            <w:vAlign w:val="bottom"/>
          </w:tcPr>
          <w:p w14:paraId="519CB663" w14:textId="77777777" w:rsidR="003C3451" w:rsidRPr="00072DB9" w:rsidRDefault="003C3451" w:rsidP="006E30DB">
            <w:pPr>
              <w:overflowPunct/>
              <w:autoSpaceDE/>
              <w:autoSpaceDN/>
              <w:adjustRightInd/>
              <w:jc w:val="center"/>
              <w:textAlignment w:val="auto"/>
              <w:rPr>
                <w:rFonts w:ascii="Calibri Light" w:hAnsi="Calibri Light" w:cs="Calibri Light"/>
                <w:b/>
                <w:bCs/>
                <w:color w:val="13576B"/>
                <w:sz w:val="22"/>
                <w:szCs w:val="22"/>
              </w:rPr>
            </w:pPr>
          </w:p>
        </w:tc>
        <w:tc>
          <w:tcPr>
            <w:tcW w:w="2759" w:type="dxa"/>
            <w:gridSpan w:val="3"/>
            <w:tcBorders>
              <w:top w:val="nil"/>
              <w:left w:val="nil"/>
              <w:right w:val="nil"/>
            </w:tcBorders>
            <w:shd w:val="clear" w:color="000000" w:fill="FFFFFF"/>
            <w:vAlign w:val="bottom"/>
          </w:tcPr>
          <w:p w14:paraId="040DDF7E" w14:textId="77777777" w:rsidR="003C3451" w:rsidRPr="00A06A94" w:rsidRDefault="003C3451" w:rsidP="006E30DB">
            <w:pPr>
              <w:overflowPunct/>
              <w:autoSpaceDE/>
              <w:autoSpaceDN/>
              <w:adjustRightInd/>
              <w:jc w:val="center"/>
              <w:textAlignment w:val="auto"/>
              <w:rPr>
                <w:rFonts w:ascii="Calibri Light" w:hAnsi="Calibri Light" w:cs="Calibri Light"/>
                <w:i/>
                <w:iCs/>
                <w:color w:val="13576B"/>
                <w:sz w:val="22"/>
                <w:szCs w:val="22"/>
              </w:rPr>
            </w:pPr>
            <w:r w:rsidRPr="00A06A94">
              <w:rPr>
                <w:rFonts w:ascii="Calibri Light" w:hAnsi="Calibri Light" w:cs="Calibri Light"/>
                <w:i/>
                <w:iCs/>
                <w:color w:val="13576B"/>
                <w:sz w:val="22"/>
                <w:szCs w:val="22"/>
              </w:rPr>
              <w:t>hodnoty od začátku roku</w:t>
            </w:r>
          </w:p>
        </w:tc>
      </w:tr>
      <w:tr w:rsidR="003C3451" w:rsidRPr="00A06A94" w14:paraId="384D4BC7" w14:textId="77777777" w:rsidTr="006E30DB">
        <w:trPr>
          <w:trHeight w:val="300"/>
        </w:trPr>
        <w:tc>
          <w:tcPr>
            <w:tcW w:w="3540" w:type="dxa"/>
            <w:tcBorders>
              <w:top w:val="nil"/>
              <w:left w:val="nil"/>
              <w:bottom w:val="nil"/>
              <w:right w:val="nil"/>
            </w:tcBorders>
            <w:shd w:val="clear" w:color="000000" w:fill="FFFFFF"/>
            <w:noWrap/>
            <w:vAlign w:val="bottom"/>
            <w:hideMark/>
          </w:tcPr>
          <w:p w14:paraId="7137D7CF" w14:textId="77777777" w:rsidR="003C3451" w:rsidRPr="00072DB9" w:rsidRDefault="003C3451" w:rsidP="006E30DB">
            <w:pPr>
              <w:overflowPunct/>
              <w:autoSpaceDE/>
              <w:autoSpaceDN/>
              <w:adjustRightInd/>
              <w:jc w:val="left"/>
              <w:textAlignment w:val="auto"/>
              <w:rPr>
                <w:rFonts w:ascii="Calibri" w:hAnsi="Calibri" w:cs="Calibri"/>
                <w:color w:val="000000"/>
                <w:sz w:val="22"/>
                <w:szCs w:val="22"/>
              </w:rPr>
            </w:pPr>
            <w:r w:rsidRPr="00072DB9">
              <w:rPr>
                <w:rFonts w:ascii="Calibri" w:hAnsi="Calibri" w:cs="Calibri"/>
                <w:color w:val="000000"/>
                <w:sz w:val="22"/>
                <w:szCs w:val="22"/>
              </w:rPr>
              <w:t> </w:t>
            </w:r>
          </w:p>
        </w:tc>
        <w:tc>
          <w:tcPr>
            <w:tcW w:w="1102" w:type="dxa"/>
            <w:vMerge w:val="restart"/>
            <w:tcBorders>
              <w:left w:val="nil"/>
              <w:bottom w:val="single" w:sz="4" w:space="0" w:color="000000"/>
              <w:right w:val="single" w:sz="4" w:space="0" w:color="auto"/>
            </w:tcBorders>
            <w:shd w:val="clear" w:color="000000" w:fill="FFFFFF"/>
            <w:vAlign w:val="bottom"/>
            <w:hideMark/>
          </w:tcPr>
          <w:p w14:paraId="065F207B" w14:textId="77777777" w:rsidR="003C3451" w:rsidRPr="00072DB9" w:rsidRDefault="003C3451" w:rsidP="006E30DB">
            <w:pPr>
              <w:overflowPunct/>
              <w:autoSpaceDE/>
              <w:autoSpaceDN/>
              <w:adjustRightInd/>
              <w:jc w:val="center"/>
              <w:textAlignment w:val="auto"/>
              <w:rPr>
                <w:rFonts w:ascii="Calibri Light" w:hAnsi="Calibri Light" w:cs="Calibri Light"/>
                <w:b/>
                <w:bCs/>
                <w:color w:val="13576B"/>
                <w:sz w:val="22"/>
                <w:szCs w:val="22"/>
              </w:rPr>
            </w:pPr>
            <w:r w:rsidRPr="00072DB9">
              <w:rPr>
                <w:rFonts w:ascii="Calibri Light" w:hAnsi="Calibri Light" w:cs="Calibri Light"/>
                <w:b/>
                <w:bCs/>
                <w:color w:val="13576B"/>
                <w:sz w:val="22"/>
                <w:szCs w:val="22"/>
              </w:rPr>
              <w:t>Objem</w:t>
            </w:r>
            <w:r w:rsidRPr="00072DB9">
              <w:rPr>
                <w:rFonts w:ascii="Calibri Light" w:hAnsi="Calibri Light" w:cs="Calibri Light"/>
                <w:b/>
                <w:bCs/>
                <w:color w:val="13576B"/>
                <w:sz w:val="22"/>
                <w:szCs w:val="22"/>
              </w:rPr>
              <w:br/>
              <w:t>(mld. Kč)</w:t>
            </w:r>
          </w:p>
        </w:tc>
        <w:tc>
          <w:tcPr>
            <w:tcW w:w="960" w:type="dxa"/>
            <w:vMerge w:val="restart"/>
            <w:tcBorders>
              <w:left w:val="single" w:sz="4" w:space="0" w:color="auto"/>
              <w:bottom w:val="single" w:sz="4" w:space="0" w:color="000000"/>
              <w:right w:val="single" w:sz="4" w:space="0" w:color="auto"/>
            </w:tcBorders>
            <w:shd w:val="clear" w:color="000000" w:fill="FFFFFF"/>
            <w:noWrap/>
            <w:vAlign w:val="center"/>
            <w:hideMark/>
          </w:tcPr>
          <w:p w14:paraId="0A6DC0F7" w14:textId="77777777" w:rsidR="003C3451" w:rsidRPr="00072DB9" w:rsidRDefault="003C3451" w:rsidP="006E30DB">
            <w:pPr>
              <w:overflowPunct/>
              <w:autoSpaceDE/>
              <w:autoSpaceDN/>
              <w:adjustRightInd/>
              <w:jc w:val="center"/>
              <w:textAlignment w:val="auto"/>
              <w:rPr>
                <w:rFonts w:ascii="Calibri Light" w:hAnsi="Calibri Light" w:cs="Calibri Light"/>
                <w:b/>
                <w:bCs/>
                <w:color w:val="13576B"/>
                <w:sz w:val="22"/>
                <w:szCs w:val="22"/>
              </w:rPr>
            </w:pPr>
            <w:r w:rsidRPr="00072DB9">
              <w:rPr>
                <w:rFonts w:ascii="Calibri Light" w:hAnsi="Calibri Light" w:cs="Calibri Light"/>
                <w:b/>
                <w:bCs/>
                <w:color w:val="13576B"/>
                <w:sz w:val="22"/>
                <w:szCs w:val="22"/>
              </w:rPr>
              <w:t>Počet</w:t>
            </w:r>
          </w:p>
        </w:tc>
        <w:tc>
          <w:tcPr>
            <w:tcW w:w="960" w:type="dxa"/>
            <w:vMerge w:val="restart"/>
            <w:tcBorders>
              <w:left w:val="nil"/>
              <w:bottom w:val="single" w:sz="4" w:space="0" w:color="000000"/>
              <w:right w:val="nil"/>
            </w:tcBorders>
            <w:shd w:val="clear" w:color="000000" w:fill="FFFFFF"/>
            <w:vAlign w:val="bottom"/>
            <w:hideMark/>
          </w:tcPr>
          <w:p w14:paraId="2F9072A3" w14:textId="77777777" w:rsidR="003C3451" w:rsidRPr="00072DB9" w:rsidRDefault="003C3451" w:rsidP="006E30DB">
            <w:pPr>
              <w:overflowPunct/>
              <w:autoSpaceDE/>
              <w:autoSpaceDN/>
              <w:adjustRightInd/>
              <w:jc w:val="center"/>
              <w:textAlignment w:val="auto"/>
              <w:rPr>
                <w:rFonts w:ascii="Calibri Light" w:hAnsi="Calibri Light" w:cs="Calibri Light"/>
                <w:b/>
                <w:bCs/>
                <w:color w:val="13576B"/>
                <w:sz w:val="22"/>
                <w:szCs w:val="22"/>
              </w:rPr>
            </w:pPr>
            <w:r w:rsidRPr="00072DB9">
              <w:rPr>
                <w:rFonts w:ascii="Calibri Light" w:hAnsi="Calibri Light" w:cs="Calibri Light"/>
                <w:b/>
                <w:bCs/>
                <w:color w:val="13576B"/>
                <w:sz w:val="22"/>
                <w:szCs w:val="22"/>
              </w:rPr>
              <w:t>Sazba</w:t>
            </w:r>
            <w:r w:rsidRPr="00072DB9">
              <w:rPr>
                <w:rFonts w:ascii="Calibri Light" w:hAnsi="Calibri Light" w:cs="Calibri Light"/>
                <w:b/>
                <w:bCs/>
                <w:color w:val="13576B"/>
                <w:sz w:val="22"/>
                <w:szCs w:val="22"/>
              </w:rPr>
              <w:br/>
              <w:t xml:space="preserve"> (%)</w:t>
            </w:r>
          </w:p>
        </w:tc>
        <w:tc>
          <w:tcPr>
            <w:tcW w:w="242" w:type="dxa"/>
            <w:tcBorders>
              <w:left w:val="nil"/>
              <w:right w:val="nil"/>
            </w:tcBorders>
            <w:vAlign w:val="bottom"/>
          </w:tcPr>
          <w:p w14:paraId="538AA5D0" w14:textId="77777777" w:rsidR="003C3451" w:rsidRPr="00072DB9" w:rsidRDefault="003C3451" w:rsidP="006E30DB">
            <w:pPr>
              <w:overflowPunct/>
              <w:autoSpaceDE/>
              <w:autoSpaceDN/>
              <w:adjustRightInd/>
              <w:jc w:val="center"/>
              <w:textAlignment w:val="auto"/>
              <w:rPr>
                <w:rFonts w:ascii="Calibri Light" w:hAnsi="Calibri Light" w:cs="Calibri Light"/>
                <w:b/>
                <w:bCs/>
                <w:color w:val="13576B"/>
                <w:sz w:val="22"/>
                <w:szCs w:val="22"/>
              </w:rPr>
            </w:pPr>
          </w:p>
        </w:tc>
        <w:tc>
          <w:tcPr>
            <w:tcW w:w="993" w:type="dxa"/>
            <w:vMerge w:val="restart"/>
            <w:tcBorders>
              <w:top w:val="nil"/>
              <w:left w:val="nil"/>
              <w:right w:val="single" w:sz="4" w:space="0" w:color="auto"/>
            </w:tcBorders>
            <w:shd w:val="clear" w:color="000000" w:fill="FFFFFF"/>
            <w:vAlign w:val="bottom"/>
          </w:tcPr>
          <w:p w14:paraId="09080B29" w14:textId="77777777" w:rsidR="003C3451" w:rsidRPr="00A06A94" w:rsidRDefault="003C3451" w:rsidP="006E30DB">
            <w:pPr>
              <w:overflowPunct/>
              <w:autoSpaceDE/>
              <w:autoSpaceDN/>
              <w:adjustRightInd/>
              <w:jc w:val="center"/>
              <w:textAlignment w:val="auto"/>
              <w:rPr>
                <w:rFonts w:ascii="Calibri Light" w:hAnsi="Calibri Light" w:cs="Calibri Light"/>
                <w:i/>
                <w:iCs/>
                <w:color w:val="13576B"/>
                <w:sz w:val="22"/>
                <w:szCs w:val="22"/>
              </w:rPr>
            </w:pPr>
            <w:r w:rsidRPr="00A06A94">
              <w:rPr>
                <w:rFonts w:ascii="Calibri Light" w:hAnsi="Calibri Light" w:cs="Calibri Light"/>
                <w:i/>
                <w:iCs/>
                <w:color w:val="13576B"/>
                <w:sz w:val="22"/>
                <w:szCs w:val="22"/>
              </w:rPr>
              <w:t>Objem</w:t>
            </w:r>
            <w:r w:rsidRPr="00A06A94">
              <w:rPr>
                <w:rFonts w:ascii="Calibri Light" w:hAnsi="Calibri Light" w:cs="Calibri Light"/>
                <w:i/>
                <w:iCs/>
                <w:color w:val="13576B"/>
                <w:sz w:val="22"/>
                <w:szCs w:val="22"/>
              </w:rPr>
              <w:br/>
              <w:t>(mld. Kč)</w:t>
            </w:r>
          </w:p>
        </w:tc>
        <w:tc>
          <w:tcPr>
            <w:tcW w:w="992" w:type="dxa"/>
            <w:vMerge w:val="restart"/>
            <w:tcBorders>
              <w:top w:val="nil"/>
              <w:left w:val="single" w:sz="4" w:space="0" w:color="auto"/>
              <w:right w:val="single" w:sz="4" w:space="0" w:color="auto"/>
            </w:tcBorders>
            <w:shd w:val="clear" w:color="000000" w:fill="FFFFFF"/>
            <w:vAlign w:val="center"/>
          </w:tcPr>
          <w:p w14:paraId="14A0DB45" w14:textId="77777777" w:rsidR="003C3451" w:rsidRPr="00A06A94" w:rsidRDefault="003C3451" w:rsidP="006E30DB">
            <w:pPr>
              <w:overflowPunct/>
              <w:autoSpaceDE/>
              <w:autoSpaceDN/>
              <w:adjustRightInd/>
              <w:ind w:left="-73" w:firstLine="73"/>
              <w:jc w:val="center"/>
              <w:textAlignment w:val="auto"/>
              <w:rPr>
                <w:rFonts w:ascii="Calibri Light" w:hAnsi="Calibri Light" w:cs="Calibri Light"/>
                <w:i/>
                <w:iCs/>
                <w:color w:val="13576B"/>
                <w:sz w:val="22"/>
                <w:szCs w:val="22"/>
              </w:rPr>
            </w:pPr>
            <w:r w:rsidRPr="00A06A94">
              <w:rPr>
                <w:rFonts w:ascii="Calibri Light" w:hAnsi="Calibri Light" w:cs="Calibri Light"/>
                <w:i/>
                <w:iCs/>
                <w:color w:val="13576B"/>
                <w:sz w:val="22"/>
                <w:szCs w:val="22"/>
              </w:rPr>
              <w:t>Počet</w:t>
            </w:r>
          </w:p>
        </w:tc>
        <w:tc>
          <w:tcPr>
            <w:tcW w:w="774" w:type="dxa"/>
            <w:vMerge w:val="restart"/>
            <w:tcBorders>
              <w:top w:val="nil"/>
              <w:left w:val="single" w:sz="4" w:space="0" w:color="auto"/>
              <w:right w:val="nil"/>
            </w:tcBorders>
            <w:shd w:val="clear" w:color="000000" w:fill="FFFFFF"/>
            <w:vAlign w:val="bottom"/>
          </w:tcPr>
          <w:p w14:paraId="7A08A275" w14:textId="77777777" w:rsidR="003C3451" w:rsidRPr="00A06A94" w:rsidRDefault="003C3451" w:rsidP="006E30DB">
            <w:pPr>
              <w:overflowPunct/>
              <w:autoSpaceDE/>
              <w:autoSpaceDN/>
              <w:adjustRightInd/>
              <w:jc w:val="center"/>
              <w:textAlignment w:val="auto"/>
              <w:rPr>
                <w:rFonts w:ascii="Calibri Light" w:hAnsi="Calibri Light" w:cs="Calibri Light"/>
                <w:i/>
                <w:iCs/>
                <w:color w:val="13576B"/>
                <w:sz w:val="22"/>
                <w:szCs w:val="22"/>
              </w:rPr>
            </w:pPr>
            <w:r w:rsidRPr="00A06A94">
              <w:rPr>
                <w:rFonts w:ascii="Calibri Light" w:hAnsi="Calibri Light" w:cs="Calibri Light"/>
                <w:i/>
                <w:iCs/>
                <w:color w:val="13576B"/>
                <w:sz w:val="22"/>
                <w:szCs w:val="22"/>
              </w:rPr>
              <w:t>Sazba</w:t>
            </w:r>
            <w:r w:rsidRPr="00A06A94">
              <w:rPr>
                <w:rFonts w:ascii="Calibri Light" w:hAnsi="Calibri Light" w:cs="Calibri Light"/>
                <w:i/>
                <w:iCs/>
                <w:color w:val="13576B"/>
                <w:sz w:val="22"/>
                <w:szCs w:val="22"/>
              </w:rPr>
              <w:br/>
              <w:t xml:space="preserve"> (%)</w:t>
            </w:r>
          </w:p>
        </w:tc>
      </w:tr>
      <w:tr w:rsidR="003C3451" w:rsidRPr="00A06A94" w14:paraId="6FF8CBA7" w14:textId="77777777" w:rsidTr="006E30DB">
        <w:trPr>
          <w:trHeight w:val="300"/>
        </w:trPr>
        <w:tc>
          <w:tcPr>
            <w:tcW w:w="3540" w:type="dxa"/>
            <w:tcBorders>
              <w:top w:val="nil"/>
              <w:left w:val="nil"/>
              <w:bottom w:val="single" w:sz="4" w:space="0" w:color="auto"/>
              <w:right w:val="nil"/>
            </w:tcBorders>
            <w:shd w:val="clear" w:color="000000" w:fill="FFFFFF"/>
            <w:noWrap/>
            <w:vAlign w:val="bottom"/>
            <w:hideMark/>
          </w:tcPr>
          <w:p w14:paraId="0860F314" w14:textId="77777777" w:rsidR="003C3451" w:rsidRPr="00072DB9" w:rsidRDefault="003C3451" w:rsidP="006E30DB">
            <w:pPr>
              <w:overflowPunct/>
              <w:autoSpaceDE/>
              <w:autoSpaceDN/>
              <w:adjustRightInd/>
              <w:jc w:val="left"/>
              <w:textAlignment w:val="auto"/>
              <w:rPr>
                <w:rFonts w:ascii="Calibri Light" w:hAnsi="Calibri Light" w:cs="Calibri Light"/>
                <w:color w:val="000000"/>
                <w:sz w:val="22"/>
                <w:szCs w:val="22"/>
              </w:rPr>
            </w:pPr>
            <w:r w:rsidRPr="00072DB9">
              <w:rPr>
                <w:rFonts w:ascii="Calibri Light" w:hAnsi="Calibri Light" w:cs="Calibri Light"/>
                <w:color w:val="000000"/>
                <w:sz w:val="22"/>
                <w:szCs w:val="22"/>
              </w:rPr>
              <w:t> </w:t>
            </w:r>
          </w:p>
        </w:tc>
        <w:tc>
          <w:tcPr>
            <w:tcW w:w="1102" w:type="dxa"/>
            <w:vMerge/>
            <w:tcBorders>
              <w:top w:val="nil"/>
              <w:left w:val="nil"/>
              <w:bottom w:val="single" w:sz="4" w:space="0" w:color="000000"/>
              <w:right w:val="single" w:sz="4" w:space="0" w:color="auto"/>
            </w:tcBorders>
            <w:vAlign w:val="center"/>
            <w:hideMark/>
          </w:tcPr>
          <w:p w14:paraId="0A59FB52" w14:textId="77777777" w:rsidR="003C3451" w:rsidRPr="00072DB9" w:rsidRDefault="003C3451" w:rsidP="006E30DB">
            <w:pPr>
              <w:overflowPunct/>
              <w:autoSpaceDE/>
              <w:autoSpaceDN/>
              <w:adjustRightInd/>
              <w:jc w:val="left"/>
              <w:textAlignment w:val="auto"/>
              <w:rPr>
                <w:rFonts w:ascii="Calibri Light" w:hAnsi="Calibri Light" w:cs="Calibri Light"/>
                <w:b/>
                <w:bCs/>
                <w:color w:val="13576B"/>
                <w:sz w:val="22"/>
                <w:szCs w:val="22"/>
              </w:rPr>
            </w:pPr>
          </w:p>
        </w:tc>
        <w:tc>
          <w:tcPr>
            <w:tcW w:w="960" w:type="dxa"/>
            <w:vMerge/>
            <w:tcBorders>
              <w:top w:val="nil"/>
              <w:left w:val="single" w:sz="4" w:space="0" w:color="auto"/>
              <w:bottom w:val="single" w:sz="4" w:space="0" w:color="000000"/>
              <w:right w:val="single" w:sz="4" w:space="0" w:color="auto"/>
            </w:tcBorders>
            <w:vAlign w:val="center"/>
            <w:hideMark/>
          </w:tcPr>
          <w:p w14:paraId="390B1CFB" w14:textId="77777777" w:rsidR="003C3451" w:rsidRPr="00072DB9" w:rsidRDefault="003C3451" w:rsidP="006E30DB">
            <w:pPr>
              <w:overflowPunct/>
              <w:autoSpaceDE/>
              <w:autoSpaceDN/>
              <w:adjustRightInd/>
              <w:jc w:val="left"/>
              <w:textAlignment w:val="auto"/>
              <w:rPr>
                <w:rFonts w:ascii="Calibri Light" w:hAnsi="Calibri Light" w:cs="Calibri Light"/>
                <w:b/>
                <w:bCs/>
                <w:color w:val="13576B"/>
                <w:sz w:val="22"/>
                <w:szCs w:val="22"/>
              </w:rPr>
            </w:pPr>
          </w:p>
        </w:tc>
        <w:tc>
          <w:tcPr>
            <w:tcW w:w="960" w:type="dxa"/>
            <w:vMerge/>
            <w:tcBorders>
              <w:top w:val="nil"/>
              <w:left w:val="nil"/>
              <w:bottom w:val="single" w:sz="4" w:space="0" w:color="000000"/>
              <w:right w:val="nil"/>
            </w:tcBorders>
            <w:vAlign w:val="center"/>
            <w:hideMark/>
          </w:tcPr>
          <w:p w14:paraId="7A6398C1" w14:textId="77777777" w:rsidR="003C3451" w:rsidRPr="00072DB9" w:rsidRDefault="003C3451" w:rsidP="006E30DB">
            <w:pPr>
              <w:overflowPunct/>
              <w:autoSpaceDE/>
              <w:autoSpaceDN/>
              <w:adjustRightInd/>
              <w:jc w:val="left"/>
              <w:textAlignment w:val="auto"/>
              <w:rPr>
                <w:rFonts w:ascii="Calibri Light" w:hAnsi="Calibri Light" w:cs="Calibri Light"/>
                <w:b/>
                <w:bCs/>
                <w:color w:val="13576B"/>
                <w:sz w:val="22"/>
                <w:szCs w:val="22"/>
              </w:rPr>
            </w:pPr>
          </w:p>
        </w:tc>
        <w:tc>
          <w:tcPr>
            <w:tcW w:w="242" w:type="dxa"/>
            <w:tcBorders>
              <w:top w:val="nil"/>
              <w:left w:val="nil"/>
              <w:right w:val="nil"/>
            </w:tcBorders>
            <w:vAlign w:val="center"/>
          </w:tcPr>
          <w:p w14:paraId="59E82091" w14:textId="77777777" w:rsidR="003C3451" w:rsidRPr="00072DB9" w:rsidRDefault="003C3451" w:rsidP="006E30DB">
            <w:pPr>
              <w:overflowPunct/>
              <w:autoSpaceDE/>
              <w:autoSpaceDN/>
              <w:adjustRightInd/>
              <w:jc w:val="left"/>
              <w:textAlignment w:val="auto"/>
              <w:rPr>
                <w:rFonts w:ascii="Calibri Light" w:hAnsi="Calibri Light" w:cs="Calibri Light"/>
                <w:b/>
                <w:bCs/>
                <w:color w:val="13576B"/>
                <w:sz w:val="22"/>
                <w:szCs w:val="22"/>
              </w:rPr>
            </w:pPr>
          </w:p>
        </w:tc>
        <w:tc>
          <w:tcPr>
            <w:tcW w:w="993" w:type="dxa"/>
            <w:vMerge/>
            <w:tcBorders>
              <w:left w:val="nil"/>
              <w:bottom w:val="single" w:sz="4" w:space="0" w:color="000000"/>
              <w:right w:val="single" w:sz="4" w:space="0" w:color="auto"/>
            </w:tcBorders>
            <w:vAlign w:val="center"/>
          </w:tcPr>
          <w:p w14:paraId="39364FA4" w14:textId="77777777" w:rsidR="003C3451" w:rsidRPr="00A06A94" w:rsidRDefault="003C3451" w:rsidP="006E30DB">
            <w:pPr>
              <w:overflowPunct/>
              <w:autoSpaceDE/>
              <w:autoSpaceDN/>
              <w:adjustRightInd/>
              <w:jc w:val="left"/>
              <w:textAlignment w:val="auto"/>
              <w:rPr>
                <w:rFonts w:ascii="Calibri Light" w:hAnsi="Calibri Light" w:cs="Calibri Light"/>
                <w:i/>
                <w:iCs/>
                <w:color w:val="13576B"/>
                <w:sz w:val="22"/>
                <w:szCs w:val="22"/>
              </w:rPr>
            </w:pPr>
          </w:p>
        </w:tc>
        <w:tc>
          <w:tcPr>
            <w:tcW w:w="992" w:type="dxa"/>
            <w:vMerge/>
            <w:tcBorders>
              <w:left w:val="single" w:sz="4" w:space="0" w:color="auto"/>
              <w:bottom w:val="single" w:sz="4" w:space="0" w:color="000000"/>
              <w:right w:val="single" w:sz="4" w:space="0" w:color="auto"/>
            </w:tcBorders>
            <w:vAlign w:val="center"/>
          </w:tcPr>
          <w:p w14:paraId="739A0ECE" w14:textId="77777777" w:rsidR="003C3451" w:rsidRPr="00A06A94" w:rsidRDefault="003C3451" w:rsidP="006E30DB">
            <w:pPr>
              <w:overflowPunct/>
              <w:autoSpaceDE/>
              <w:autoSpaceDN/>
              <w:adjustRightInd/>
              <w:jc w:val="left"/>
              <w:textAlignment w:val="auto"/>
              <w:rPr>
                <w:rFonts w:ascii="Calibri Light" w:hAnsi="Calibri Light" w:cs="Calibri Light"/>
                <w:i/>
                <w:iCs/>
                <w:color w:val="13576B"/>
                <w:sz w:val="22"/>
                <w:szCs w:val="22"/>
              </w:rPr>
            </w:pPr>
          </w:p>
        </w:tc>
        <w:tc>
          <w:tcPr>
            <w:tcW w:w="774" w:type="dxa"/>
            <w:vMerge/>
            <w:tcBorders>
              <w:left w:val="single" w:sz="4" w:space="0" w:color="auto"/>
              <w:bottom w:val="single" w:sz="4" w:space="0" w:color="000000"/>
              <w:right w:val="nil"/>
            </w:tcBorders>
            <w:vAlign w:val="center"/>
          </w:tcPr>
          <w:p w14:paraId="7836F8EE" w14:textId="77777777" w:rsidR="003C3451" w:rsidRPr="00A06A94" w:rsidRDefault="003C3451" w:rsidP="006E30DB">
            <w:pPr>
              <w:overflowPunct/>
              <w:autoSpaceDE/>
              <w:autoSpaceDN/>
              <w:adjustRightInd/>
              <w:jc w:val="left"/>
              <w:textAlignment w:val="auto"/>
              <w:rPr>
                <w:rFonts w:ascii="Calibri Light" w:hAnsi="Calibri Light" w:cs="Calibri Light"/>
                <w:i/>
                <w:iCs/>
                <w:color w:val="13576B"/>
                <w:sz w:val="22"/>
                <w:szCs w:val="22"/>
              </w:rPr>
            </w:pPr>
          </w:p>
        </w:tc>
      </w:tr>
      <w:tr w:rsidR="00EA743C" w:rsidRPr="00A06A94" w14:paraId="776CBD73" w14:textId="77777777" w:rsidTr="006E30DB">
        <w:trPr>
          <w:trHeight w:val="300"/>
        </w:trPr>
        <w:tc>
          <w:tcPr>
            <w:tcW w:w="3540" w:type="dxa"/>
            <w:tcBorders>
              <w:top w:val="nil"/>
              <w:left w:val="nil"/>
              <w:bottom w:val="single" w:sz="4" w:space="0" w:color="auto"/>
              <w:right w:val="nil"/>
            </w:tcBorders>
            <w:shd w:val="clear" w:color="000000" w:fill="FFFFFF"/>
            <w:noWrap/>
            <w:vAlign w:val="bottom"/>
            <w:hideMark/>
          </w:tcPr>
          <w:p w14:paraId="36A9B5FD" w14:textId="77777777" w:rsidR="00EA743C" w:rsidRPr="00072DB9" w:rsidRDefault="00EA743C" w:rsidP="00EA743C">
            <w:pPr>
              <w:overflowPunct/>
              <w:autoSpaceDE/>
              <w:autoSpaceDN/>
              <w:adjustRightInd/>
              <w:jc w:val="left"/>
              <w:textAlignment w:val="auto"/>
              <w:rPr>
                <w:rFonts w:ascii="Calibri Light" w:hAnsi="Calibri Light" w:cs="Calibri Light"/>
                <w:b/>
                <w:bCs/>
                <w:color w:val="000000"/>
                <w:sz w:val="22"/>
                <w:szCs w:val="22"/>
              </w:rPr>
            </w:pPr>
            <w:r w:rsidRPr="00072DB9">
              <w:rPr>
                <w:rFonts w:ascii="Calibri Light" w:hAnsi="Calibri Light" w:cs="Calibri Light"/>
                <w:b/>
                <w:bCs/>
                <w:color w:val="000000"/>
                <w:sz w:val="22"/>
                <w:szCs w:val="22"/>
              </w:rPr>
              <w:t>Celkem</w:t>
            </w:r>
          </w:p>
        </w:tc>
        <w:tc>
          <w:tcPr>
            <w:tcW w:w="1102" w:type="dxa"/>
            <w:tcBorders>
              <w:top w:val="nil"/>
              <w:left w:val="nil"/>
              <w:bottom w:val="single" w:sz="4" w:space="0" w:color="auto"/>
              <w:right w:val="single" w:sz="4" w:space="0" w:color="auto"/>
            </w:tcBorders>
            <w:shd w:val="clear" w:color="000000" w:fill="FFFFFF"/>
            <w:noWrap/>
            <w:vAlign w:val="center"/>
            <w:hideMark/>
          </w:tcPr>
          <w:p w14:paraId="27B7692D" w14:textId="1A798971" w:rsidR="00EA743C" w:rsidRPr="00072DB9" w:rsidRDefault="00EA743C" w:rsidP="00EA743C">
            <w:pPr>
              <w:overflowPunct/>
              <w:autoSpaceDE/>
              <w:autoSpaceDN/>
              <w:adjustRightInd/>
              <w:jc w:val="center"/>
              <w:textAlignment w:val="auto"/>
              <w:rPr>
                <w:rFonts w:asciiTheme="majorHAnsi" w:hAnsiTheme="majorHAnsi" w:cstheme="majorHAnsi"/>
                <w:b/>
                <w:bCs/>
                <w:color w:val="000000"/>
                <w:sz w:val="22"/>
                <w:szCs w:val="22"/>
              </w:rPr>
            </w:pPr>
            <w:r>
              <w:rPr>
                <w:rFonts w:ascii="Calibri Light" w:hAnsi="Calibri Light" w:cs="Calibri Light"/>
                <w:color w:val="000000"/>
                <w:sz w:val="22"/>
                <w:szCs w:val="22"/>
              </w:rPr>
              <w:t>48,9</w:t>
            </w:r>
          </w:p>
        </w:tc>
        <w:tc>
          <w:tcPr>
            <w:tcW w:w="960" w:type="dxa"/>
            <w:tcBorders>
              <w:top w:val="nil"/>
              <w:left w:val="nil"/>
              <w:bottom w:val="single" w:sz="4" w:space="0" w:color="auto"/>
              <w:right w:val="single" w:sz="4" w:space="0" w:color="auto"/>
            </w:tcBorders>
            <w:shd w:val="clear" w:color="000000" w:fill="FFFFFF"/>
            <w:noWrap/>
            <w:vAlign w:val="center"/>
            <w:hideMark/>
          </w:tcPr>
          <w:p w14:paraId="424ABB04" w14:textId="1983399D" w:rsidR="00EA743C" w:rsidRPr="00072DB9" w:rsidRDefault="00EA743C" w:rsidP="00EA743C">
            <w:pPr>
              <w:overflowPunct/>
              <w:autoSpaceDE/>
              <w:autoSpaceDN/>
              <w:adjustRightInd/>
              <w:jc w:val="center"/>
              <w:textAlignment w:val="auto"/>
              <w:rPr>
                <w:rFonts w:asciiTheme="majorHAnsi" w:hAnsiTheme="majorHAnsi" w:cstheme="majorHAnsi"/>
                <w:color w:val="000000"/>
                <w:sz w:val="22"/>
                <w:szCs w:val="22"/>
              </w:rPr>
            </w:pPr>
            <w:r>
              <w:rPr>
                <w:rFonts w:ascii="Calibri Light" w:hAnsi="Calibri Light" w:cs="Calibri Light"/>
                <w:color w:val="000000"/>
                <w:sz w:val="22"/>
                <w:szCs w:val="22"/>
              </w:rPr>
              <w:t>10 940</w:t>
            </w:r>
          </w:p>
        </w:tc>
        <w:tc>
          <w:tcPr>
            <w:tcW w:w="960" w:type="dxa"/>
            <w:tcBorders>
              <w:top w:val="nil"/>
              <w:left w:val="nil"/>
              <w:bottom w:val="single" w:sz="4" w:space="0" w:color="auto"/>
              <w:right w:val="nil"/>
            </w:tcBorders>
            <w:shd w:val="clear" w:color="000000" w:fill="FFFFFF"/>
            <w:noWrap/>
            <w:vAlign w:val="center"/>
            <w:hideMark/>
          </w:tcPr>
          <w:p w14:paraId="47F54FDC" w14:textId="491ED975" w:rsidR="00EA743C" w:rsidRPr="00072DB9" w:rsidRDefault="00EA743C" w:rsidP="00EA743C">
            <w:pPr>
              <w:overflowPunct/>
              <w:autoSpaceDE/>
              <w:autoSpaceDN/>
              <w:adjustRightInd/>
              <w:jc w:val="center"/>
              <w:textAlignment w:val="auto"/>
              <w:rPr>
                <w:rFonts w:asciiTheme="majorHAnsi" w:hAnsiTheme="majorHAnsi" w:cstheme="majorHAnsi"/>
                <w:color w:val="000000"/>
                <w:sz w:val="22"/>
                <w:szCs w:val="22"/>
              </w:rPr>
            </w:pPr>
            <w:r>
              <w:rPr>
                <w:rFonts w:ascii="Calibri Light" w:hAnsi="Calibri Light" w:cs="Calibri Light"/>
                <w:color w:val="000000"/>
                <w:sz w:val="22"/>
                <w:szCs w:val="22"/>
              </w:rPr>
              <w:t>4,75</w:t>
            </w:r>
          </w:p>
        </w:tc>
        <w:tc>
          <w:tcPr>
            <w:tcW w:w="242" w:type="dxa"/>
            <w:tcBorders>
              <w:top w:val="nil"/>
              <w:left w:val="nil"/>
              <w:right w:val="nil"/>
            </w:tcBorders>
            <w:vAlign w:val="bottom"/>
          </w:tcPr>
          <w:p w14:paraId="290588BC" w14:textId="1025453C" w:rsidR="00EA743C" w:rsidRDefault="00EA743C" w:rsidP="00EA743C">
            <w:pPr>
              <w:overflowPunct/>
              <w:autoSpaceDE/>
              <w:autoSpaceDN/>
              <w:adjustRightInd/>
              <w:jc w:val="center"/>
              <w:textAlignment w:val="auto"/>
              <w:rPr>
                <w:rFonts w:ascii="Calibri Light" w:hAnsi="Calibri Light" w:cs="Calibri Light"/>
                <w:color w:val="000000"/>
                <w:sz w:val="22"/>
                <w:szCs w:val="22"/>
              </w:rPr>
            </w:pPr>
            <w:r>
              <w:rPr>
                <w:rFonts w:ascii="Calibri Light" w:hAnsi="Calibri Light" w:cs="Calibri Light"/>
                <w:color w:val="000000"/>
                <w:sz w:val="22"/>
                <w:szCs w:val="22"/>
              </w:rPr>
              <w:t> </w:t>
            </w:r>
          </w:p>
        </w:tc>
        <w:tc>
          <w:tcPr>
            <w:tcW w:w="993" w:type="dxa"/>
            <w:tcBorders>
              <w:top w:val="nil"/>
              <w:left w:val="nil"/>
              <w:bottom w:val="single" w:sz="4" w:space="0" w:color="auto"/>
              <w:right w:val="single" w:sz="4" w:space="0" w:color="auto"/>
            </w:tcBorders>
            <w:shd w:val="clear" w:color="000000" w:fill="FFFFFF"/>
            <w:vAlign w:val="center"/>
          </w:tcPr>
          <w:p w14:paraId="545B57A8" w14:textId="5994C505" w:rsidR="00EA743C" w:rsidRPr="00A06A94" w:rsidRDefault="00EA743C" w:rsidP="00EA743C">
            <w:pPr>
              <w:overflowPunct/>
              <w:autoSpaceDE/>
              <w:autoSpaceDN/>
              <w:adjustRightInd/>
              <w:jc w:val="center"/>
              <w:textAlignment w:val="auto"/>
              <w:rPr>
                <w:rFonts w:ascii="Calibri Light" w:hAnsi="Calibri Light" w:cs="Calibri Light"/>
                <w:i/>
                <w:iCs/>
                <w:color w:val="000000"/>
                <w:sz w:val="22"/>
                <w:szCs w:val="22"/>
              </w:rPr>
            </w:pPr>
            <w:r>
              <w:rPr>
                <w:rFonts w:ascii="Calibri Light" w:hAnsi="Calibri Light" w:cs="Calibri Light"/>
                <w:i/>
                <w:iCs/>
                <w:color w:val="808080"/>
                <w:sz w:val="22"/>
                <w:szCs w:val="22"/>
              </w:rPr>
              <w:t>294,1</w:t>
            </w:r>
          </w:p>
        </w:tc>
        <w:tc>
          <w:tcPr>
            <w:tcW w:w="992" w:type="dxa"/>
            <w:tcBorders>
              <w:top w:val="nil"/>
              <w:left w:val="single" w:sz="4" w:space="0" w:color="auto"/>
              <w:bottom w:val="single" w:sz="4" w:space="0" w:color="auto"/>
              <w:right w:val="single" w:sz="4" w:space="0" w:color="auto"/>
            </w:tcBorders>
            <w:shd w:val="clear" w:color="000000" w:fill="FFFFFF"/>
            <w:vAlign w:val="center"/>
          </w:tcPr>
          <w:p w14:paraId="4F3EAD2F" w14:textId="1A262B01" w:rsidR="00EA743C" w:rsidRPr="00A06A94" w:rsidRDefault="00EA743C" w:rsidP="00EA743C">
            <w:pPr>
              <w:overflowPunct/>
              <w:autoSpaceDE/>
              <w:autoSpaceDN/>
              <w:adjustRightInd/>
              <w:jc w:val="center"/>
              <w:textAlignment w:val="auto"/>
              <w:rPr>
                <w:rFonts w:ascii="Calibri Light" w:hAnsi="Calibri Light" w:cs="Calibri Light"/>
                <w:i/>
                <w:iCs/>
                <w:color w:val="000000"/>
                <w:sz w:val="22"/>
                <w:szCs w:val="22"/>
              </w:rPr>
            </w:pPr>
            <w:r>
              <w:rPr>
                <w:rFonts w:ascii="Calibri Light" w:hAnsi="Calibri Light" w:cs="Calibri Light"/>
                <w:i/>
                <w:iCs/>
                <w:color w:val="808080"/>
                <w:sz w:val="22"/>
                <w:szCs w:val="22"/>
              </w:rPr>
              <w:t>65 374</w:t>
            </w:r>
          </w:p>
        </w:tc>
        <w:tc>
          <w:tcPr>
            <w:tcW w:w="774" w:type="dxa"/>
            <w:tcBorders>
              <w:top w:val="nil"/>
              <w:left w:val="single" w:sz="4" w:space="0" w:color="auto"/>
              <w:bottom w:val="single" w:sz="4" w:space="0" w:color="auto"/>
              <w:right w:val="nil"/>
            </w:tcBorders>
            <w:shd w:val="clear" w:color="000000" w:fill="FFFFFF"/>
            <w:vAlign w:val="center"/>
          </w:tcPr>
          <w:p w14:paraId="3286C628" w14:textId="26706BFB" w:rsidR="00EA743C" w:rsidRPr="00A06A94" w:rsidRDefault="00EA743C" w:rsidP="00EA743C">
            <w:pPr>
              <w:overflowPunct/>
              <w:autoSpaceDE/>
              <w:autoSpaceDN/>
              <w:adjustRightInd/>
              <w:jc w:val="center"/>
              <w:textAlignment w:val="auto"/>
              <w:rPr>
                <w:rFonts w:ascii="Calibri Light" w:hAnsi="Calibri Light" w:cs="Calibri Light"/>
                <w:i/>
                <w:iCs/>
                <w:color w:val="000000"/>
                <w:sz w:val="22"/>
                <w:szCs w:val="22"/>
              </w:rPr>
            </w:pPr>
            <w:r>
              <w:rPr>
                <w:rFonts w:ascii="Calibri Light" w:hAnsi="Calibri Light" w:cs="Calibri Light"/>
                <w:i/>
                <w:iCs/>
                <w:color w:val="808080"/>
                <w:sz w:val="22"/>
                <w:szCs w:val="22"/>
              </w:rPr>
              <w:t>4,54</w:t>
            </w:r>
          </w:p>
        </w:tc>
      </w:tr>
      <w:tr w:rsidR="00EA743C" w:rsidRPr="00A06A94" w14:paraId="1B1E7FB2" w14:textId="77777777" w:rsidTr="006E30DB">
        <w:trPr>
          <w:trHeight w:val="300"/>
        </w:trPr>
        <w:tc>
          <w:tcPr>
            <w:tcW w:w="3540" w:type="dxa"/>
            <w:tcBorders>
              <w:top w:val="single" w:sz="4" w:space="0" w:color="auto"/>
              <w:left w:val="nil"/>
              <w:bottom w:val="nil"/>
              <w:right w:val="nil"/>
            </w:tcBorders>
            <w:shd w:val="solid" w:color="DAF3EA" w:fill="C1F7E9"/>
            <w:noWrap/>
            <w:vAlign w:val="bottom"/>
            <w:hideMark/>
          </w:tcPr>
          <w:p w14:paraId="21ACEB93" w14:textId="77777777" w:rsidR="00EA743C" w:rsidRPr="00072DB9" w:rsidRDefault="00EA743C" w:rsidP="00EA743C">
            <w:pPr>
              <w:overflowPunct/>
              <w:autoSpaceDE/>
              <w:autoSpaceDN/>
              <w:adjustRightInd/>
              <w:ind w:firstLineChars="100" w:firstLine="221"/>
              <w:jc w:val="left"/>
              <w:textAlignment w:val="auto"/>
              <w:rPr>
                <w:rFonts w:ascii="Calibri Light" w:hAnsi="Calibri Light" w:cs="Calibri Light"/>
                <w:b/>
                <w:bCs/>
                <w:color w:val="000000"/>
                <w:sz w:val="22"/>
                <w:szCs w:val="22"/>
              </w:rPr>
            </w:pPr>
            <w:r w:rsidRPr="00072DB9">
              <w:rPr>
                <w:rFonts w:ascii="Calibri Light" w:hAnsi="Calibri Light" w:cs="Calibri Light"/>
                <w:b/>
                <w:bCs/>
                <w:color w:val="000000"/>
                <w:sz w:val="22"/>
                <w:szCs w:val="22"/>
              </w:rPr>
              <w:t xml:space="preserve">Nové úvěry </w:t>
            </w:r>
          </w:p>
        </w:tc>
        <w:tc>
          <w:tcPr>
            <w:tcW w:w="1102" w:type="dxa"/>
            <w:tcBorders>
              <w:top w:val="single" w:sz="4" w:space="0" w:color="auto"/>
              <w:left w:val="nil"/>
              <w:bottom w:val="nil"/>
              <w:right w:val="single" w:sz="4" w:space="0" w:color="auto"/>
            </w:tcBorders>
            <w:shd w:val="solid" w:color="DAF3EA" w:fill="C1F7E9"/>
            <w:noWrap/>
            <w:vAlign w:val="center"/>
            <w:hideMark/>
          </w:tcPr>
          <w:p w14:paraId="01D6378E" w14:textId="784AE426" w:rsidR="00EA743C" w:rsidRPr="00072DB9" w:rsidRDefault="00EA743C" w:rsidP="00EA743C">
            <w:pPr>
              <w:overflowPunct/>
              <w:autoSpaceDE/>
              <w:autoSpaceDN/>
              <w:adjustRightInd/>
              <w:jc w:val="center"/>
              <w:textAlignment w:val="auto"/>
              <w:rPr>
                <w:rFonts w:asciiTheme="majorHAnsi" w:hAnsiTheme="majorHAnsi" w:cstheme="majorHAnsi"/>
                <w:b/>
                <w:bCs/>
                <w:color w:val="000000"/>
                <w:sz w:val="22"/>
                <w:szCs w:val="22"/>
              </w:rPr>
            </w:pPr>
            <w:r>
              <w:rPr>
                <w:rFonts w:ascii="Calibri Light" w:hAnsi="Calibri Light" w:cs="Calibri Light"/>
                <w:b/>
                <w:bCs/>
                <w:color w:val="000000"/>
                <w:sz w:val="22"/>
                <w:szCs w:val="22"/>
              </w:rPr>
              <w:t>36,5</w:t>
            </w:r>
          </w:p>
        </w:tc>
        <w:tc>
          <w:tcPr>
            <w:tcW w:w="960" w:type="dxa"/>
            <w:tcBorders>
              <w:top w:val="single" w:sz="4" w:space="0" w:color="auto"/>
              <w:left w:val="nil"/>
              <w:bottom w:val="nil"/>
              <w:right w:val="single" w:sz="4" w:space="0" w:color="auto"/>
            </w:tcBorders>
            <w:shd w:val="solid" w:color="DAF3EA" w:fill="C1F7E9"/>
            <w:noWrap/>
            <w:vAlign w:val="center"/>
            <w:hideMark/>
          </w:tcPr>
          <w:p w14:paraId="121DEB33" w14:textId="0D347135" w:rsidR="00EA743C" w:rsidRPr="00072DB9" w:rsidRDefault="00EA743C" w:rsidP="00EA743C">
            <w:pPr>
              <w:overflowPunct/>
              <w:autoSpaceDE/>
              <w:autoSpaceDN/>
              <w:adjustRightInd/>
              <w:jc w:val="center"/>
              <w:textAlignment w:val="auto"/>
              <w:rPr>
                <w:rFonts w:asciiTheme="majorHAnsi" w:hAnsiTheme="majorHAnsi" w:cstheme="majorHAnsi"/>
                <w:b/>
                <w:bCs/>
                <w:color w:val="000000"/>
                <w:sz w:val="22"/>
                <w:szCs w:val="22"/>
              </w:rPr>
            </w:pPr>
            <w:r>
              <w:rPr>
                <w:rFonts w:ascii="Calibri Light" w:hAnsi="Calibri Light" w:cs="Calibri Light"/>
                <w:b/>
                <w:bCs/>
                <w:color w:val="000000"/>
                <w:sz w:val="22"/>
                <w:szCs w:val="22"/>
              </w:rPr>
              <w:t>7 793</w:t>
            </w:r>
          </w:p>
        </w:tc>
        <w:tc>
          <w:tcPr>
            <w:tcW w:w="960" w:type="dxa"/>
            <w:tcBorders>
              <w:top w:val="single" w:sz="4" w:space="0" w:color="auto"/>
              <w:left w:val="nil"/>
              <w:bottom w:val="nil"/>
              <w:right w:val="nil"/>
            </w:tcBorders>
            <w:shd w:val="solid" w:color="DAF3EA" w:fill="C1F7E9"/>
            <w:noWrap/>
            <w:vAlign w:val="center"/>
            <w:hideMark/>
          </w:tcPr>
          <w:p w14:paraId="20D4C83E" w14:textId="64C2B9D0" w:rsidR="00EA743C" w:rsidRPr="00072DB9" w:rsidRDefault="00EA743C" w:rsidP="00EA743C">
            <w:pPr>
              <w:overflowPunct/>
              <w:autoSpaceDE/>
              <w:autoSpaceDN/>
              <w:adjustRightInd/>
              <w:jc w:val="center"/>
              <w:textAlignment w:val="auto"/>
              <w:rPr>
                <w:rFonts w:asciiTheme="majorHAnsi" w:hAnsiTheme="majorHAnsi" w:cstheme="majorHAnsi"/>
                <w:b/>
                <w:bCs/>
                <w:color w:val="000000"/>
                <w:sz w:val="22"/>
                <w:szCs w:val="22"/>
              </w:rPr>
            </w:pPr>
            <w:r>
              <w:rPr>
                <w:rFonts w:ascii="Calibri Light" w:hAnsi="Calibri Light" w:cs="Calibri Light"/>
                <w:b/>
                <w:bCs/>
                <w:color w:val="000000"/>
                <w:sz w:val="22"/>
                <w:szCs w:val="22"/>
              </w:rPr>
              <w:t>4,79</w:t>
            </w:r>
          </w:p>
        </w:tc>
        <w:tc>
          <w:tcPr>
            <w:tcW w:w="242" w:type="dxa"/>
            <w:tcBorders>
              <w:left w:val="nil"/>
              <w:bottom w:val="nil"/>
              <w:right w:val="nil"/>
            </w:tcBorders>
            <w:vAlign w:val="bottom"/>
          </w:tcPr>
          <w:p w14:paraId="1E12AC4C" w14:textId="6CCB6AFF" w:rsidR="00EA743C" w:rsidRDefault="00EA743C" w:rsidP="00EA743C">
            <w:pPr>
              <w:overflowPunct/>
              <w:autoSpaceDE/>
              <w:autoSpaceDN/>
              <w:adjustRightInd/>
              <w:jc w:val="center"/>
              <w:textAlignment w:val="auto"/>
              <w:rPr>
                <w:rFonts w:ascii="Calibri Light" w:hAnsi="Calibri Light" w:cs="Calibri Light"/>
                <w:b/>
                <w:bCs/>
                <w:color w:val="000000"/>
                <w:sz w:val="22"/>
                <w:szCs w:val="22"/>
              </w:rPr>
            </w:pPr>
            <w:r>
              <w:rPr>
                <w:rFonts w:ascii="Calibri Light" w:hAnsi="Calibri Light" w:cs="Calibri Light"/>
                <w:color w:val="000000"/>
                <w:sz w:val="22"/>
                <w:szCs w:val="22"/>
              </w:rPr>
              <w:t> </w:t>
            </w:r>
          </w:p>
        </w:tc>
        <w:tc>
          <w:tcPr>
            <w:tcW w:w="993" w:type="dxa"/>
            <w:tcBorders>
              <w:top w:val="single" w:sz="4" w:space="0" w:color="auto"/>
              <w:left w:val="nil"/>
              <w:bottom w:val="nil"/>
              <w:right w:val="single" w:sz="4" w:space="0" w:color="auto"/>
            </w:tcBorders>
            <w:shd w:val="solid" w:color="DAF3EA" w:fill="C1F7E9"/>
            <w:vAlign w:val="center"/>
          </w:tcPr>
          <w:p w14:paraId="4D6894CF" w14:textId="43F7F68B" w:rsidR="00EA743C" w:rsidRPr="00A06A94" w:rsidRDefault="00EA743C" w:rsidP="00EA743C">
            <w:pPr>
              <w:overflowPunct/>
              <w:autoSpaceDE/>
              <w:autoSpaceDN/>
              <w:adjustRightInd/>
              <w:jc w:val="center"/>
              <w:textAlignment w:val="auto"/>
              <w:rPr>
                <w:rFonts w:ascii="Calibri Light" w:hAnsi="Calibri Light" w:cs="Calibri Light"/>
                <w:i/>
                <w:iCs/>
                <w:color w:val="000000"/>
                <w:sz w:val="22"/>
                <w:szCs w:val="22"/>
              </w:rPr>
            </w:pPr>
            <w:r>
              <w:rPr>
                <w:rFonts w:ascii="Calibri Light" w:hAnsi="Calibri Light" w:cs="Calibri Light"/>
                <w:b/>
                <w:bCs/>
                <w:i/>
                <w:iCs/>
                <w:color w:val="808080"/>
                <w:sz w:val="22"/>
                <w:szCs w:val="22"/>
              </w:rPr>
              <w:t>215,9</w:t>
            </w:r>
          </w:p>
        </w:tc>
        <w:tc>
          <w:tcPr>
            <w:tcW w:w="992" w:type="dxa"/>
            <w:tcBorders>
              <w:top w:val="single" w:sz="4" w:space="0" w:color="auto"/>
              <w:left w:val="single" w:sz="4" w:space="0" w:color="auto"/>
              <w:bottom w:val="nil"/>
              <w:right w:val="single" w:sz="4" w:space="0" w:color="auto"/>
            </w:tcBorders>
            <w:shd w:val="solid" w:color="DAF3EA" w:fill="C1F7E9"/>
            <w:vAlign w:val="center"/>
          </w:tcPr>
          <w:p w14:paraId="4021A1B1" w14:textId="7086193F" w:rsidR="00EA743C" w:rsidRPr="00A06A94" w:rsidRDefault="00EA743C" w:rsidP="00EA743C">
            <w:pPr>
              <w:overflowPunct/>
              <w:autoSpaceDE/>
              <w:autoSpaceDN/>
              <w:adjustRightInd/>
              <w:jc w:val="center"/>
              <w:textAlignment w:val="auto"/>
              <w:rPr>
                <w:rFonts w:ascii="Calibri Light" w:hAnsi="Calibri Light" w:cs="Calibri Light"/>
                <w:i/>
                <w:iCs/>
                <w:color w:val="000000"/>
                <w:sz w:val="22"/>
                <w:szCs w:val="22"/>
              </w:rPr>
            </w:pPr>
            <w:r>
              <w:rPr>
                <w:rFonts w:ascii="Calibri Light" w:hAnsi="Calibri Light" w:cs="Calibri Light"/>
                <w:b/>
                <w:bCs/>
                <w:i/>
                <w:iCs/>
                <w:color w:val="808080"/>
                <w:sz w:val="22"/>
                <w:szCs w:val="22"/>
              </w:rPr>
              <w:t>45 520</w:t>
            </w:r>
          </w:p>
        </w:tc>
        <w:tc>
          <w:tcPr>
            <w:tcW w:w="774" w:type="dxa"/>
            <w:tcBorders>
              <w:top w:val="single" w:sz="4" w:space="0" w:color="auto"/>
              <w:left w:val="single" w:sz="4" w:space="0" w:color="auto"/>
              <w:bottom w:val="nil"/>
              <w:right w:val="nil"/>
            </w:tcBorders>
            <w:shd w:val="solid" w:color="DAF3EA" w:fill="C1F7E9"/>
            <w:vAlign w:val="center"/>
          </w:tcPr>
          <w:p w14:paraId="6544CAA1" w14:textId="43E1FE63" w:rsidR="00EA743C" w:rsidRPr="00A06A94" w:rsidRDefault="00EA743C" w:rsidP="00EA743C">
            <w:pPr>
              <w:overflowPunct/>
              <w:autoSpaceDE/>
              <w:autoSpaceDN/>
              <w:adjustRightInd/>
              <w:jc w:val="center"/>
              <w:textAlignment w:val="auto"/>
              <w:rPr>
                <w:rFonts w:ascii="Calibri Light" w:hAnsi="Calibri Light" w:cs="Calibri Light"/>
                <w:i/>
                <w:iCs/>
                <w:color w:val="000000"/>
                <w:sz w:val="22"/>
                <w:szCs w:val="22"/>
              </w:rPr>
            </w:pPr>
            <w:r>
              <w:rPr>
                <w:rFonts w:ascii="Calibri Light" w:hAnsi="Calibri Light" w:cs="Calibri Light"/>
                <w:b/>
                <w:bCs/>
                <w:i/>
                <w:iCs/>
                <w:color w:val="808080"/>
                <w:sz w:val="22"/>
                <w:szCs w:val="22"/>
              </w:rPr>
              <w:t>4,56</w:t>
            </w:r>
          </w:p>
        </w:tc>
      </w:tr>
      <w:tr w:rsidR="00EA743C" w:rsidRPr="00A06A94" w14:paraId="75B50A3D" w14:textId="77777777" w:rsidTr="006E30DB">
        <w:trPr>
          <w:trHeight w:val="300"/>
        </w:trPr>
        <w:tc>
          <w:tcPr>
            <w:tcW w:w="3540" w:type="dxa"/>
            <w:tcBorders>
              <w:top w:val="nil"/>
              <w:left w:val="nil"/>
              <w:bottom w:val="nil"/>
              <w:right w:val="nil"/>
            </w:tcBorders>
            <w:shd w:val="clear" w:color="000000" w:fill="FFFFFF"/>
            <w:noWrap/>
            <w:vAlign w:val="bottom"/>
            <w:hideMark/>
          </w:tcPr>
          <w:p w14:paraId="7C159724" w14:textId="77777777" w:rsidR="00EA743C" w:rsidRPr="00072DB9" w:rsidRDefault="00EA743C" w:rsidP="00EA743C">
            <w:pPr>
              <w:overflowPunct/>
              <w:autoSpaceDE/>
              <w:autoSpaceDN/>
              <w:adjustRightInd/>
              <w:ind w:firstLineChars="200" w:firstLine="440"/>
              <w:jc w:val="left"/>
              <w:textAlignment w:val="auto"/>
              <w:rPr>
                <w:rFonts w:ascii="Calibri Light" w:hAnsi="Calibri Light" w:cs="Calibri Light"/>
                <w:color w:val="000000"/>
                <w:sz w:val="22"/>
                <w:szCs w:val="22"/>
              </w:rPr>
            </w:pPr>
            <w:r w:rsidRPr="00072DB9">
              <w:rPr>
                <w:rFonts w:ascii="Calibri Light" w:hAnsi="Calibri Light" w:cs="Calibri Light"/>
                <w:color w:val="000000"/>
                <w:sz w:val="22"/>
                <w:szCs w:val="22"/>
              </w:rPr>
              <w:t xml:space="preserve">z toho: </w:t>
            </w:r>
          </w:p>
        </w:tc>
        <w:tc>
          <w:tcPr>
            <w:tcW w:w="1102" w:type="dxa"/>
            <w:tcBorders>
              <w:top w:val="nil"/>
              <w:left w:val="nil"/>
              <w:bottom w:val="nil"/>
              <w:right w:val="single" w:sz="4" w:space="0" w:color="auto"/>
            </w:tcBorders>
            <w:shd w:val="clear" w:color="000000" w:fill="FFFFFF"/>
            <w:noWrap/>
            <w:vAlign w:val="center"/>
            <w:hideMark/>
          </w:tcPr>
          <w:p w14:paraId="63544B38" w14:textId="36365C80" w:rsidR="00EA743C" w:rsidRPr="00072DB9" w:rsidRDefault="00EA743C" w:rsidP="00EA743C">
            <w:pPr>
              <w:overflowPunct/>
              <w:autoSpaceDE/>
              <w:autoSpaceDN/>
              <w:adjustRightInd/>
              <w:jc w:val="center"/>
              <w:textAlignment w:val="auto"/>
              <w:rPr>
                <w:rFonts w:asciiTheme="majorHAnsi" w:hAnsiTheme="majorHAnsi" w:cstheme="majorHAnsi"/>
                <w:color w:val="000000"/>
                <w:sz w:val="22"/>
                <w:szCs w:val="22"/>
              </w:rPr>
            </w:pPr>
            <w:r>
              <w:rPr>
                <w:rFonts w:ascii="Calibri Light" w:hAnsi="Calibri Light" w:cs="Calibri Light"/>
                <w:color w:val="000000"/>
                <w:sz w:val="22"/>
                <w:szCs w:val="22"/>
              </w:rPr>
              <w:t> </w:t>
            </w:r>
          </w:p>
        </w:tc>
        <w:tc>
          <w:tcPr>
            <w:tcW w:w="960" w:type="dxa"/>
            <w:tcBorders>
              <w:top w:val="nil"/>
              <w:left w:val="nil"/>
              <w:bottom w:val="nil"/>
              <w:right w:val="single" w:sz="4" w:space="0" w:color="auto"/>
            </w:tcBorders>
            <w:shd w:val="clear" w:color="000000" w:fill="FFFFFF"/>
            <w:noWrap/>
            <w:vAlign w:val="center"/>
            <w:hideMark/>
          </w:tcPr>
          <w:p w14:paraId="33D68906" w14:textId="0E365764" w:rsidR="00EA743C" w:rsidRPr="00072DB9" w:rsidRDefault="00EA743C" w:rsidP="00EA743C">
            <w:pPr>
              <w:overflowPunct/>
              <w:autoSpaceDE/>
              <w:autoSpaceDN/>
              <w:adjustRightInd/>
              <w:jc w:val="center"/>
              <w:textAlignment w:val="auto"/>
              <w:rPr>
                <w:rFonts w:asciiTheme="majorHAnsi" w:hAnsiTheme="majorHAnsi" w:cstheme="majorHAnsi"/>
                <w:color w:val="000000"/>
                <w:sz w:val="22"/>
                <w:szCs w:val="22"/>
              </w:rPr>
            </w:pPr>
            <w:r>
              <w:rPr>
                <w:rFonts w:ascii="Calibri Light" w:hAnsi="Calibri Light" w:cs="Calibri Light"/>
                <w:color w:val="000000"/>
                <w:sz w:val="22"/>
                <w:szCs w:val="22"/>
              </w:rPr>
              <w:t> </w:t>
            </w:r>
          </w:p>
        </w:tc>
        <w:tc>
          <w:tcPr>
            <w:tcW w:w="960" w:type="dxa"/>
            <w:tcBorders>
              <w:top w:val="nil"/>
              <w:left w:val="nil"/>
              <w:bottom w:val="nil"/>
              <w:right w:val="nil"/>
            </w:tcBorders>
            <w:shd w:val="clear" w:color="000000" w:fill="FFFFFF"/>
            <w:noWrap/>
            <w:vAlign w:val="center"/>
            <w:hideMark/>
          </w:tcPr>
          <w:p w14:paraId="48537150" w14:textId="429A95AB" w:rsidR="00EA743C" w:rsidRPr="00072DB9" w:rsidRDefault="00EA743C" w:rsidP="00EA743C">
            <w:pPr>
              <w:overflowPunct/>
              <w:autoSpaceDE/>
              <w:autoSpaceDN/>
              <w:adjustRightInd/>
              <w:jc w:val="center"/>
              <w:textAlignment w:val="auto"/>
              <w:rPr>
                <w:rFonts w:asciiTheme="majorHAnsi" w:hAnsiTheme="majorHAnsi" w:cstheme="majorHAnsi"/>
                <w:color w:val="000000"/>
                <w:sz w:val="22"/>
                <w:szCs w:val="22"/>
              </w:rPr>
            </w:pPr>
            <w:r>
              <w:rPr>
                <w:rFonts w:ascii="Calibri Light" w:hAnsi="Calibri Light" w:cs="Calibri Light"/>
                <w:color w:val="000000"/>
                <w:sz w:val="22"/>
                <w:szCs w:val="22"/>
              </w:rPr>
              <w:t> </w:t>
            </w:r>
          </w:p>
        </w:tc>
        <w:tc>
          <w:tcPr>
            <w:tcW w:w="242" w:type="dxa"/>
            <w:tcBorders>
              <w:top w:val="nil"/>
              <w:left w:val="nil"/>
              <w:bottom w:val="nil"/>
              <w:right w:val="nil"/>
            </w:tcBorders>
            <w:vAlign w:val="bottom"/>
          </w:tcPr>
          <w:p w14:paraId="442EE480" w14:textId="44B27ED7" w:rsidR="00EA743C" w:rsidRDefault="00EA743C" w:rsidP="00EA743C">
            <w:pPr>
              <w:overflowPunct/>
              <w:autoSpaceDE/>
              <w:autoSpaceDN/>
              <w:adjustRightInd/>
              <w:jc w:val="center"/>
              <w:textAlignment w:val="auto"/>
              <w:rPr>
                <w:rFonts w:ascii="Calibri Light" w:hAnsi="Calibri Light" w:cs="Calibri Light"/>
                <w:color w:val="000000"/>
                <w:sz w:val="22"/>
                <w:szCs w:val="22"/>
              </w:rPr>
            </w:pPr>
            <w:r>
              <w:rPr>
                <w:rFonts w:ascii="Calibri Light" w:hAnsi="Calibri Light" w:cs="Calibri Light"/>
                <w:color w:val="000000"/>
                <w:sz w:val="22"/>
                <w:szCs w:val="22"/>
              </w:rPr>
              <w:t> </w:t>
            </w:r>
          </w:p>
        </w:tc>
        <w:tc>
          <w:tcPr>
            <w:tcW w:w="993" w:type="dxa"/>
            <w:tcBorders>
              <w:top w:val="nil"/>
              <w:left w:val="nil"/>
              <w:bottom w:val="nil"/>
              <w:right w:val="single" w:sz="4" w:space="0" w:color="auto"/>
            </w:tcBorders>
            <w:shd w:val="clear" w:color="000000" w:fill="FFFFFF"/>
            <w:vAlign w:val="center"/>
          </w:tcPr>
          <w:p w14:paraId="5600E58E" w14:textId="652FC5DA" w:rsidR="00EA743C" w:rsidRPr="00A06A94" w:rsidRDefault="00EA743C" w:rsidP="00EA743C">
            <w:pPr>
              <w:overflowPunct/>
              <w:autoSpaceDE/>
              <w:autoSpaceDN/>
              <w:adjustRightInd/>
              <w:jc w:val="center"/>
              <w:textAlignment w:val="auto"/>
              <w:rPr>
                <w:rFonts w:ascii="Calibri Light" w:hAnsi="Calibri Light" w:cs="Calibri Light"/>
                <w:i/>
                <w:iCs/>
                <w:color w:val="000000"/>
                <w:sz w:val="22"/>
                <w:szCs w:val="22"/>
              </w:rPr>
            </w:pPr>
            <w:r>
              <w:rPr>
                <w:rFonts w:ascii="Calibri Light" w:hAnsi="Calibri Light" w:cs="Calibri Light"/>
                <w:i/>
                <w:iCs/>
                <w:color w:val="808080"/>
                <w:sz w:val="22"/>
                <w:szCs w:val="22"/>
              </w:rPr>
              <w:t> </w:t>
            </w:r>
          </w:p>
        </w:tc>
        <w:tc>
          <w:tcPr>
            <w:tcW w:w="992" w:type="dxa"/>
            <w:tcBorders>
              <w:top w:val="nil"/>
              <w:left w:val="single" w:sz="4" w:space="0" w:color="auto"/>
              <w:bottom w:val="nil"/>
              <w:right w:val="single" w:sz="4" w:space="0" w:color="auto"/>
            </w:tcBorders>
            <w:shd w:val="clear" w:color="000000" w:fill="FFFFFF"/>
            <w:vAlign w:val="center"/>
          </w:tcPr>
          <w:p w14:paraId="7B73575E" w14:textId="6EB28427" w:rsidR="00EA743C" w:rsidRPr="00A06A94" w:rsidRDefault="00EA743C" w:rsidP="00EA743C">
            <w:pPr>
              <w:overflowPunct/>
              <w:autoSpaceDE/>
              <w:autoSpaceDN/>
              <w:adjustRightInd/>
              <w:jc w:val="center"/>
              <w:textAlignment w:val="auto"/>
              <w:rPr>
                <w:rFonts w:ascii="Calibri Light" w:hAnsi="Calibri Light" w:cs="Calibri Light"/>
                <w:i/>
                <w:iCs/>
                <w:color w:val="000000"/>
                <w:sz w:val="22"/>
                <w:szCs w:val="22"/>
              </w:rPr>
            </w:pPr>
            <w:r>
              <w:rPr>
                <w:rFonts w:ascii="Calibri Light" w:hAnsi="Calibri Light" w:cs="Calibri Light"/>
                <w:i/>
                <w:iCs/>
                <w:color w:val="808080"/>
                <w:sz w:val="22"/>
                <w:szCs w:val="22"/>
              </w:rPr>
              <w:t> </w:t>
            </w:r>
          </w:p>
        </w:tc>
        <w:tc>
          <w:tcPr>
            <w:tcW w:w="774" w:type="dxa"/>
            <w:tcBorders>
              <w:top w:val="nil"/>
              <w:left w:val="single" w:sz="4" w:space="0" w:color="auto"/>
              <w:bottom w:val="nil"/>
              <w:right w:val="nil"/>
            </w:tcBorders>
            <w:shd w:val="clear" w:color="000000" w:fill="FFFFFF"/>
            <w:vAlign w:val="center"/>
          </w:tcPr>
          <w:p w14:paraId="12EBA8BD" w14:textId="6EB82939" w:rsidR="00EA743C" w:rsidRPr="00A06A94" w:rsidRDefault="00EA743C" w:rsidP="00EA743C">
            <w:pPr>
              <w:overflowPunct/>
              <w:autoSpaceDE/>
              <w:autoSpaceDN/>
              <w:adjustRightInd/>
              <w:jc w:val="center"/>
              <w:textAlignment w:val="auto"/>
              <w:rPr>
                <w:rFonts w:ascii="Calibri Light" w:hAnsi="Calibri Light" w:cs="Calibri Light"/>
                <w:i/>
                <w:iCs/>
                <w:color w:val="000000"/>
                <w:sz w:val="22"/>
                <w:szCs w:val="22"/>
              </w:rPr>
            </w:pPr>
            <w:r>
              <w:rPr>
                <w:rFonts w:ascii="Calibri Light" w:hAnsi="Calibri Light" w:cs="Calibri Light"/>
                <w:i/>
                <w:iCs/>
                <w:color w:val="808080"/>
                <w:sz w:val="22"/>
                <w:szCs w:val="22"/>
              </w:rPr>
              <w:t> </w:t>
            </w:r>
          </w:p>
        </w:tc>
      </w:tr>
      <w:tr w:rsidR="00EA743C" w:rsidRPr="00A06A94" w14:paraId="7625D4E3" w14:textId="77777777" w:rsidTr="006E30DB">
        <w:trPr>
          <w:trHeight w:val="300"/>
        </w:trPr>
        <w:tc>
          <w:tcPr>
            <w:tcW w:w="3540" w:type="dxa"/>
            <w:tcBorders>
              <w:top w:val="nil"/>
              <w:left w:val="nil"/>
              <w:bottom w:val="nil"/>
              <w:right w:val="nil"/>
            </w:tcBorders>
            <w:shd w:val="clear" w:color="000000" w:fill="FFFFFF"/>
            <w:noWrap/>
            <w:vAlign w:val="bottom"/>
            <w:hideMark/>
          </w:tcPr>
          <w:p w14:paraId="3D56AD1D" w14:textId="77777777" w:rsidR="00EA743C" w:rsidRPr="00072DB9" w:rsidRDefault="00EA743C" w:rsidP="00EA743C">
            <w:pPr>
              <w:overflowPunct/>
              <w:autoSpaceDE/>
              <w:autoSpaceDN/>
              <w:adjustRightInd/>
              <w:ind w:firstLineChars="300" w:firstLine="660"/>
              <w:jc w:val="left"/>
              <w:textAlignment w:val="auto"/>
              <w:rPr>
                <w:rFonts w:ascii="Calibri Light" w:hAnsi="Calibri Light" w:cs="Calibri Light"/>
                <w:color w:val="000000"/>
                <w:sz w:val="22"/>
                <w:szCs w:val="22"/>
              </w:rPr>
            </w:pPr>
            <w:r w:rsidRPr="00072DB9">
              <w:rPr>
                <w:rFonts w:ascii="Calibri Light" w:hAnsi="Calibri Light" w:cs="Calibri Light"/>
                <w:color w:val="000000"/>
                <w:sz w:val="22"/>
                <w:szCs w:val="22"/>
              </w:rPr>
              <w:t>na koupi</w:t>
            </w:r>
          </w:p>
        </w:tc>
        <w:tc>
          <w:tcPr>
            <w:tcW w:w="1102" w:type="dxa"/>
            <w:tcBorders>
              <w:top w:val="nil"/>
              <w:left w:val="nil"/>
              <w:bottom w:val="nil"/>
              <w:right w:val="single" w:sz="4" w:space="0" w:color="auto"/>
            </w:tcBorders>
            <w:shd w:val="clear" w:color="000000" w:fill="FFFFFF"/>
            <w:noWrap/>
            <w:vAlign w:val="center"/>
            <w:hideMark/>
          </w:tcPr>
          <w:p w14:paraId="413BFB31" w14:textId="1C655D1F" w:rsidR="00EA743C" w:rsidRPr="00072DB9" w:rsidRDefault="00EA743C" w:rsidP="00EA743C">
            <w:pPr>
              <w:overflowPunct/>
              <w:autoSpaceDE/>
              <w:autoSpaceDN/>
              <w:adjustRightInd/>
              <w:jc w:val="center"/>
              <w:textAlignment w:val="auto"/>
              <w:rPr>
                <w:rFonts w:asciiTheme="majorHAnsi" w:hAnsiTheme="majorHAnsi" w:cstheme="majorHAnsi"/>
                <w:color w:val="000000"/>
                <w:sz w:val="22"/>
                <w:szCs w:val="22"/>
              </w:rPr>
            </w:pPr>
            <w:r>
              <w:rPr>
                <w:rFonts w:ascii="Calibri Light" w:hAnsi="Calibri Light" w:cs="Calibri Light"/>
                <w:color w:val="000000"/>
                <w:sz w:val="22"/>
                <w:szCs w:val="22"/>
              </w:rPr>
              <w:t>25,9</w:t>
            </w:r>
          </w:p>
        </w:tc>
        <w:tc>
          <w:tcPr>
            <w:tcW w:w="960" w:type="dxa"/>
            <w:tcBorders>
              <w:top w:val="nil"/>
              <w:left w:val="nil"/>
              <w:bottom w:val="nil"/>
              <w:right w:val="single" w:sz="4" w:space="0" w:color="auto"/>
            </w:tcBorders>
            <w:shd w:val="clear" w:color="000000" w:fill="FFFFFF"/>
            <w:noWrap/>
            <w:vAlign w:val="center"/>
            <w:hideMark/>
          </w:tcPr>
          <w:p w14:paraId="35204F7B" w14:textId="0954AF5C" w:rsidR="00EA743C" w:rsidRPr="00072DB9" w:rsidRDefault="00EA743C" w:rsidP="00EA743C">
            <w:pPr>
              <w:overflowPunct/>
              <w:autoSpaceDE/>
              <w:autoSpaceDN/>
              <w:adjustRightInd/>
              <w:jc w:val="center"/>
              <w:textAlignment w:val="auto"/>
              <w:rPr>
                <w:rFonts w:asciiTheme="majorHAnsi" w:hAnsiTheme="majorHAnsi" w:cstheme="majorHAnsi"/>
                <w:color w:val="000000"/>
                <w:sz w:val="22"/>
                <w:szCs w:val="22"/>
              </w:rPr>
            </w:pPr>
            <w:r>
              <w:rPr>
                <w:rFonts w:ascii="Calibri Light" w:hAnsi="Calibri Light" w:cs="Calibri Light"/>
                <w:color w:val="000000"/>
                <w:sz w:val="22"/>
                <w:szCs w:val="22"/>
              </w:rPr>
              <w:t>5 559</w:t>
            </w:r>
          </w:p>
        </w:tc>
        <w:tc>
          <w:tcPr>
            <w:tcW w:w="960" w:type="dxa"/>
            <w:tcBorders>
              <w:top w:val="nil"/>
              <w:left w:val="nil"/>
              <w:bottom w:val="nil"/>
              <w:right w:val="nil"/>
            </w:tcBorders>
            <w:shd w:val="clear" w:color="000000" w:fill="FFFFFF"/>
            <w:noWrap/>
            <w:vAlign w:val="center"/>
            <w:hideMark/>
          </w:tcPr>
          <w:p w14:paraId="339602DE" w14:textId="4C3CF859" w:rsidR="00EA743C" w:rsidRPr="00072DB9" w:rsidRDefault="00EA743C" w:rsidP="00EA743C">
            <w:pPr>
              <w:overflowPunct/>
              <w:autoSpaceDE/>
              <w:autoSpaceDN/>
              <w:adjustRightInd/>
              <w:jc w:val="center"/>
              <w:textAlignment w:val="auto"/>
              <w:rPr>
                <w:rFonts w:asciiTheme="majorHAnsi" w:hAnsiTheme="majorHAnsi" w:cstheme="majorHAnsi"/>
                <w:color w:val="000000"/>
                <w:sz w:val="22"/>
                <w:szCs w:val="22"/>
              </w:rPr>
            </w:pPr>
            <w:r>
              <w:rPr>
                <w:rFonts w:ascii="Calibri Light" w:hAnsi="Calibri Light" w:cs="Calibri Light"/>
                <w:color w:val="000000"/>
                <w:sz w:val="22"/>
                <w:szCs w:val="22"/>
              </w:rPr>
              <w:t>4,81</w:t>
            </w:r>
          </w:p>
        </w:tc>
        <w:tc>
          <w:tcPr>
            <w:tcW w:w="242" w:type="dxa"/>
            <w:tcBorders>
              <w:top w:val="nil"/>
              <w:left w:val="nil"/>
              <w:bottom w:val="nil"/>
              <w:right w:val="nil"/>
            </w:tcBorders>
            <w:vAlign w:val="bottom"/>
          </w:tcPr>
          <w:p w14:paraId="1CF8C8AE" w14:textId="3C54A12D" w:rsidR="00EA743C" w:rsidRDefault="00EA743C" w:rsidP="00EA743C">
            <w:pPr>
              <w:overflowPunct/>
              <w:autoSpaceDE/>
              <w:autoSpaceDN/>
              <w:adjustRightInd/>
              <w:jc w:val="center"/>
              <w:textAlignment w:val="auto"/>
              <w:rPr>
                <w:rFonts w:ascii="Calibri Light" w:hAnsi="Calibri Light" w:cs="Calibri Light"/>
                <w:color w:val="000000"/>
                <w:sz w:val="22"/>
                <w:szCs w:val="22"/>
              </w:rPr>
            </w:pPr>
            <w:r>
              <w:rPr>
                <w:rFonts w:ascii="Calibri Light" w:hAnsi="Calibri Light" w:cs="Calibri Light"/>
                <w:color w:val="000000"/>
                <w:sz w:val="22"/>
                <w:szCs w:val="22"/>
              </w:rPr>
              <w:t> </w:t>
            </w:r>
          </w:p>
        </w:tc>
        <w:tc>
          <w:tcPr>
            <w:tcW w:w="993" w:type="dxa"/>
            <w:tcBorders>
              <w:top w:val="nil"/>
              <w:left w:val="nil"/>
              <w:bottom w:val="nil"/>
              <w:right w:val="single" w:sz="4" w:space="0" w:color="auto"/>
            </w:tcBorders>
            <w:shd w:val="clear" w:color="000000" w:fill="FFFFFF"/>
            <w:vAlign w:val="center"/>
          </w:tcPr>
          <w:p w14:paraId="0F378060" w14:textId="515F6C20" w:rsidR="00EA743C" w:rsidRPr="00A06A94" w:rsidRDefault="00EA743C" w:rsidP="00EA743C">
            <w:pPr>
              <w:overflowPunct/>
              <w:autoSpaceDE/>
              <w:autoSpaceDN/>
              <w:adjustRightInd/>
              <w:jc w:val="center"/>
              <w:textAlignment w:val="auto"/>
              <w:rPr>
                <w:rFonts w:ascii="Calibri Light" w:hAnsi="Calibri Light" w:cs="Calibri Light"/>
                <w:i/>
                <w:iCs/>
                <w:color w:val="000000"/>
                <w:sz w:val="22"/>
                <w:szCs w:val="22"/>
              </w:rPr>
            </w:pPr>
            <w:r>
              <w:rPr>
                <w:rFonts w:ascii="Calibri Light" w:hAnsi="Calibri Light" w:cs="Calibri Light"/>
                <w:i/>
                <w:iCs/>
                <w:color w:val="808080"/>
                <w:sz w:val="22"/>
                <w:szCs w:val="22"/>
              </w:rPr>
              <w:t>155,4</w:t>
            </w:r>
          </w:p>
        </w:tc>
        <w:tc>
          <w:tcPr>
            <w:tcW w:w="992" w:type="dxa"/>
            <w:tcBorders>
              <w:top w:val="nil"/>
              <w:left w:val="single" w:sz="4" w:space="0" w:color="auto"/>
              <w:bottom w:val="nil"/>
              <w:right w:val="single" w:sz="4" w:space="0" w:color="auto"/>
            </w:tcBorders>
            <w:shd w:val="clear" w:color="000000" w:fill="FFFFFF"/>
            <w:vAlign w:val="center"/>
          </w:tcPr>
          <w:p w14:paraId="5F448916" w14:textId="7D67B8F6" w:rsidR="00EA743C" w:rsidRPr="00A06A94" w:rsidRDefault="00EA743C" w:rsidP="00EA743C">
            <w:pPr>
              <w:overflowPunct/>
              <w:autoSpaceDE/>
              <w:autoSpaceDN/>
              <w:adjustRightInd/>
              <w:jc w:val="center"/>
              <w:textAlignment w:val="auto"/>
              <w:rPr>
                <w:rFonts w:ascii="Calibri Light" w:hAnsi="Calibri Light" w:cs="Calibri Light"/>
                <w:i/>
                <w:iCs/>
                <w:color w:val="000000"/>
                <w:sz w:val="22"/>
                <w:szCs w:val="22"/>
              </w:rPr>
            </w:pPr>
            <w:r>
              <w:rPr>
                <w:rFonts w:ascii="Calibri Light" w:hAnsi="Calibri Light" w:cs="Calibri Light"/>
                <w:i/>
                <w:iCs/>
                <w:color w:val="808080"/>
                <w:sz w:val="22"/>
                <w:szCs w:val="22"/>
              </w:rPr>
              <w:t>32 840</w:t>
            </w:r>
          </w:p>
        </w:tc>
        <w:tc>
          <w:tcPr>
            <w:tcW w:w="774" w:type="dxa"/>
            <w:tcBorders>
              <w:top w:val="nil"/>
              <w:left w:val="single" w:sz="4" w:space="0" w:color="auto"/>
              <w:bottom w:val="nil"/>
              <w:right w:val="nil"/>
            </w:tcBorders>
            <w:shd w:val="clear" w:color="000000" w:fill="FFFFFF"/>
            <w:vAlign w:val="center"/>
          </w:tcPr>
          <w:p w14:paraId="634C0342" w14:textId="36329E52" w:rsidR="00EA743C" w:rsidRPr="00A06A94" w:rsidRDefault="00EA743C" w:rsidP="00EA743C">
            <w:pPr>
              <w:overflowPunct/>
              <w:autoSpaceDE/>
              <w:autoSpaceDN/>
              <w:adjustRightInd/>
              <w:jc w:val="center"/>
              <w:textAlignment w:val="auto"/>
              <w:rPr>
                <w:rFonts w:ascii="Calibri Light" w:hAnsi="Calibri Light" w:cs="Calibri Light"/>
                <w:i/>
                <w:iCs/>
                <w:color w:val="000000"/>
                <w:sz w:val="22"/>
                <w:szCs w:val="22"/>
              </w:rPr>
            </w:pPr>
            <w:r>
              <w:rPr>
                <w:rFonts w:ascii="Calibri Light" w:hAnsi="Calibri Light" w:cs="Calibri Light"/>
                <w:i/>
                <w:iCs/>
                <w:color w:val="808080"/>
                <w:sz w:val="22"/>
                <w:szCs w:val="22"/>
              </w:rPr>
              <w:t>4,56</w:t>
            </w:r>
          </w:p>
        </w:tc>
      </w:tr>
      <w:tr w:rsidR="00EA743C" w:rsidRPr="00A06A94" w14:paraId="0E99D021" w14:textId="77777777" w:rsidTr="00976966">
        <w:trPr>
          <w:trHeight w:val="300"/>
        </w:trPr>
        <w:tc>
          <w:tcPr>
            <w:tcW w:w="3540" w:type="dxa"/>
            <w:tcBorders>
              <w:top w:val="nil"/>
              <w:left w:val="nil"/>
              <w:bottom w:val="nil"/>
              <w:right w:val="nil"/>
            </w:tcBorders>
            <w:shd w:val="clear" w:color="000000" w:fill="FFFFFF"/>
            <w:noWrap/>
            <w:vAlign w:val="bottom"/>
            <w:hideMark/>
          </w:tcPr>
          <w:p w14:paraId="24650778" w14:textId="77777777" w:rsidR="00EA743C" w:rsidRPr="00072DB9" w:rsidRDefault="00EA743C" w:rsidP="00EA743C">
            <w:pPr>
              <w:overflowPunct/>
              <w:autoSpaceDE/>
              <w:autoSpaceDN/>
              <w:adjustRightInd/>
              <w:ind w:firstLineChars="300" w:firstLine="660"/>
              <w:jc w:val="left"/>
              <w:textAlignment w:val="auto"/>
              <w:rPr>
                <w:rFonts w:ascii="Calibri Light" w:hAnsi="Calibri Light" w:cs="Calibri Light"/>
                <w:color w:val="000000"/>
                <w:sz w:val="22"/>
                <w:szCs w:val="22"/>
              </w:rPr>
            </w:pPr>
            <w:r w:rsidRPr="00072DB9">
              <w:rPr>
                <w:rFonts w:ascii="Calibri Light" w:hAnsi="Calibri Light" w:cs="Calibri Light"/>
                <w:color w:val="000000"/>
                <w:sz w:val="22"/>
                <w:szCs w:val="22"/>
              </w:rPr>
              <w:t>na výstavbu</w:t>
            </w:r>
          </w:p>
        </w:tc>
        <w:tc>
          <w:tcPr>
            <w:tcW w:w="1102" w:type="dxa"/>
            <w:tcBorders>
              <w:top w:val="nil"/>
              <w:left w:val="nil"/>
              <w:bottom w:val="nil"/>
              <w:right w:val="single" w:sz="4" w:space="0" w:color="auto"/>
            </w:tcBorders>
            <w:shd w:val="clear" w:color="000000" w:fill="FFFFFF"/>
            <w:noWrap/>
            <w:vAlign w:val="center"/>
            <w:hideMark/>
          </w:tcPr>
          <w:p w14:paraId="52DC5BF0" w14:textId="790E4300" w:rsidR="00EA743C" w:rsidRPr="00072DB9" w:rsidRDefault="00EA743C" w:rsidP="00EA743C">
            <w:pPr>
              <w:overflowPunct/>
              <w:autoSpaceDE/>
              <w:autoSpaceDN/>
              <w:adjustRightInd/>
              <w:jc w:val="center"/>
              <w:textAlignment w:val="auto"/>
              <w:rPr>
                <w:rFonts w:asciiTheme="majorHAnsi" w:hAnsiTheme="majorHAnsi" w:cstheme="majorHAnsi"/>
                <w:color w:val="000000"/>
                <w:sz w:val="22"/>
                <w:szCs w:val="22"/>
              </w:rPr>
            </w:pPr>
            <w:r>
              <w:rPr>
                <w:rFonts w:ascii="Calibri Light" w:hAnsi="Calibri Light" w:cs="Calibri Light"/>
                <w:color w:val="000000"/>
                <w:sz w:val="22"/>
                <w:szCs w:val="22"/>
              </w:rPr>
              <w:t>6,5</w:t>
            </w:r>
          </w:p>
        </w:tc>
        <w:tc>
          <w:tcPr>
            <w:tcW w:w="960" w:type="dxa"/>
            <w:tcBorders>
              <w:top w:val="nil"/>
              <w:left w:val="nil"/>
              <w:bottom w:val="nil"/>
              <w:right w:val="single" w:sz="4" w:space="0" w:color="auto"/>
            </w:tcBorders>
            <w:shd w:val="clear" w:color="000000" w:fill="FFFFFF"/>
            <w:noWrap/>
            <w:vAlign w:val="center"/>
            <w:hideMark/>
          </w:tcPr>
          <w:p w14:paraId="6ABFDBC1" w14:textId="6A0A7F28" w:rsidR="00EA743C" w:rsidRPr="00072DB9" w:rsidRDefault="00EA743C" w:rsidP="00EA743C">
            <w:pPr>
              <w:overflowPunct/>
              <w:autoSpaceDE/>
              <w:autoSpaceDN/>
              <w:adjustRightInd/>
              <w:jc w:val="center"/>
              <w:textAlignment w:val="auto"/>
              <w:rPr>
                <w:rFonts w:asciiTheme="majorHAnsi" w:hAnsiTheme="majorHAnsi" w:cstheme="majorHAnsi"/>
                <w:color w:val="000000"/>
                <w:sz w:val="22"/>
                <w:szCs w:val="22"/>
              </w:rPr>
            </w:pPr>
            <w:r>
              <w:rPr>
                <w:rFonts w:ascii="Calibri Light" w:hAnsi="Calibri Light" w:cs="Calibri Light"/>
                <w:color w:val="000000"/>
                <w:sz w:val="22"/>
                <w:szCs w:val="22"/>
              </w:rPr>
              <w:t>1 389</w:t>
            </w:r>
          </w:p>
        </w:tc>
        <w:tc>
          <w:tcPr>
            <w:tcW w:w="960" w:type="dxa"/>
            <w:tcBorders>
              <w:top w:val="nil"/>
              <w:left w:val="nil"/>
              <w:bottom w:val="nil"/>
              <w:right w:val="nil"/>
            </w:tcBorders>
            <w:shd w:val="clear" w:color="000000" w:fill="FFFFFF"/>
            <w:noWrap/>
            <w:vAlign w:val="center"/>
            <w:hideMark/>
          </w:tcPr>
          <w:p w14:paraId="5D5E6596" w14:textId="00ADD58F" w:rsidR="00EA743C" w:rsidRPr="00072DB9" w:rsidRDefault="00EA743C" w:rsidP="00EA743C">
            <w:pPr>
              <w:overflowPunct/>
              <w:autoSpaceDE/>
              <w:autoSpaceDN/>
              <w:adjustRightInd/>
              <w:jc w:val="center"/>
              <w:textAlignment w:val="auto"/>
              <w:rPr>
                <w:rFonts w:asciiTheme="majorHAnsi" w:hAnsiTheme="majorHAnsi" w:cstheme="majorHAnsi"/>
                <w:color w:val="000000"/>
                <w:sz w:val="22"/>
                <w:szCs w:val="22"/>
              </w:rPr>
            </w:pPr>
            <w:r>
              <w:rPr>
                <w:rFonts w:ascii="Calibri Light" w:hAnsi="Calibri Light" w:cs="Calibri Light"/>
                <w:color w:val="000000"/>
                <w:sz w:val="22"/>
                <w:szCs w:val="22"/>
              </w:rPr>
              <w:t>4,70</w:t>
            </w:r>
          </w:p>
        </w:tc>
        <w:tc>
          <w:tcPr>
            <w:tcW w:w="242" w:type="dxa"/>
            <w:tcBorders>
              <w:top w:val="nil"/>
              <w:left w:val="nil"/>
              <w:bottom w:val="nil"/>
              <w:right w:val="nil"/>
            </w:tcBorders>
            <w:vAlign w:val="bottom"/>
          </w:tcPr>
          <w:p w14:paraId="096C099B" w14:textId="4F23D86B" w:rsidR="00EA743C" w:rsidRDefault="00EA743C" w:rsidP="00EA743C">
            <w:pPr>
              <w:overflowPunct/>
              <w:autoSpaceDE/>
              <w:autoSpaceDN/>
              <w:adjustRightInd/>
              <w:jc w:val="center"/>
              <w:textAlignment w:val="auto"/>
              <w:rPr>
                <w:rFonts w:ascii="Calibri Light" w:hAnsi="Calibri Light" w:cs="Calibri Light"/>
                <w:color w:val="000000"/>
                <w:sz w:val="22"/>
                <w:szCs w:val="22"/>
              </w:rPr>
            </w:pPr>
            <w:r>
              <w:rPr>
                <w:rFonts w:ascii="Calibri Light" w:hAnsi="Calibri Light" w:cs="Calibri Light"/>
                <w:color w:val="000000"/>
                <w:sz w:val="22"/>
                <w:szCs w:val="22"/>
              </w:rPr>
              <w:t> </w:t>
            </w:r>
          </w:p>
        </w:tc>
        <w:tc>
          <w:tcPr>
            <w:tcW w:w="993" w:type="dxa"/>
            <w:tcBorders>
              <w:top w:val="nil"/>
              <w:left w:val="nil"/>
              <w:bottom w:val="nil"/>
              <w:right w:val="single" w:sz="4" w:space="0" w:color="auto"/>
            </w:tcBorders>
            <w:shd w:val="clear" w:color="000000" w:fill="FFFFFF"/>
            <w:vAlign w:val="center"/>
          </w:tcPr>
          <w:p w14:paraId="10B9382F" w14:textId="02C7178D" w:rsidR="00EA743C" w:rsidRPr="00A06A94" w:rsidRDefault="00EA743C" w:rsidP="00EA743C">
            <w:pPr>
              <w:overflowPunct/>
              <w:autoSpaceDE/>
              <w:autoSpaceDN/>
              <w:adjustRightInd/>
              <w:jc w:val="center"/>
              <w:textAlignment w:val="auto"/>
              <w:rPr>
                <w:rFonts w:ascii="Calibri Light" w:hAnsi="Calibri Light" w:cs="Calibri Light"/>
                <w:i/>
                <w:iCs/>
                <w:color w:val="000000"/>
                <w:sz w:val="22"/>
                <w:szCs w:val="22"/>
              </w:rPr>
            </w:pPr>
            <w:r>
              <w:rPr>
                <w:rFonts w:ascii="Calibri Light" w:hAnsi="Calibri Light" w:cs="Calibri Light"/>
                <w:i/>
                <w:iCs/>
                <w:color w:val="808080"/>
                <w:sz w:val="22"/>
                <w:szCs w:val="22"/>
              </w:rPr>
              <w:t>35,7</w:t>
            </w:r>
          </w:p>
        </w:tc>
        <w:tc>
          <w:tcPr>
            <w:tcW w:w="992" w:type="dxa"/>
            <w:tcBorders>
              <w:top w:val="nil"/>
              <w:left w:val="single" w:sz="4" w:space="0" w:color="auto"/>
              <w:bottom w:val="nil"/>
              <w:right w:val="single" w:sz="4" w:space="0" w:color="auto"/>
            </w:tcBorders>
            <w:shd w:val="clear" w:color="000000" w:fill="FFFFFF"/>
            <w:vAlign w:val="center"/>
          </w:tcPr>
          <w:p w14:paraId="2CAD1162" w14:textId="4C3ED9D8" w:rsidR="00EA743C" w:rsidRPr="00A06A94" w:rsidRDefault="00EA743C" w:rsidP="00EA743C">
            <w:pPr>
              <w:overflowPunct/>
              <w:autoSpaceDE/>
              <w:autoSpaceDN/>
              <w:adjustRightInd/>
              <w:jc w:val="center"/>
              <w:textAlignment w:val="auto"/>
              <w:rPr>
                <w:rFonts w:ascii="Calibri Light" w:hAnsi="Calibri Light" w:cs="Calibri Light"/>
                <w:i/>
                <w:iCs/>
                <w:color w:val="000000"/>
                <w:sz w:val="22"/>
                <w:szCs w:val="22"/>
              </w:rPr>
            </w:pPr>
            <w:r>
              <w:rPr>
                <w:rFonts w:ascii="Calibri Light" w:hAnsi="Calibri Light" w:cs="Calibri Light"/>
                <w:i/>
                <w:iCs/>
                <w:color w:val="808080"/>
                <w:sz w:val="22"/>
                <w:szCs w:val="22"/>
              </w:rPr>
              <w:t>7 577</w:t>
            </w:r>
          </w:p>
        </w:tc>
        <w:tc>
          <w:tcPr>
            <w:tcW w:w="774" w:type="dxa"/>
            <w:tcBorders>
              <w:top w:val="nil"/>
              <w:left w:val="single" w:sz="4" w:space="0" w:color="auto"/>
              <w:bottom w:val="nil"/>
              <w:right w:val="nil"/>
            </w:tcBorders>
            <w:shd w:val="clear" w:color="000000" w:fill="FFFFFF"/>
            <w:vAlign w:val="center"/>
          </w:tcPr>
          <w:p w14:paraId="068099D2" w14:textId="5B15C4DD" w:rsidR="00EA743C" w:rsidRPr="00A06A94" w:rsidRDefault="00EA743C" w:rsidP="00EA743C">
            <w:pPr>
              <w:overflowPunct/>
              <w:autoSpaceDE/>
              <w:autoSpaceDN/>
              <w:adjustRightInd/>
              <w:jc w:val="center"/>
              <w:textAlignment w:val="auto"/>
              <w:rPr>
                <w:rFonts w:ascii="Calibri Light" w:hAnsi="Calibri Light" w:cs="Calibri Light"/>
                <w:i/>
                <w:iCs/>
                <w:color w:val="000000"/>
                <w:sz w:val="22"/>
                <w:szCs w:val="22"/>
              </w:rPr>
            </w:pPr>
            <w:r>
              <w:rPr>
                <w:rFonts w:ascii="Calibri Light" w:hAnsi="Calibri Light" w:cs="Calibri Light"/>
                <w:i/>
                <w:iCs/>
                <w:color w:val="808080"/>
                <w:sz w:val="22"/>
                <w:szCs w:val="22"/>
              </w:rPr>
              <w:t>4,51</w:t>
            </w:r>
          </w:p>
        </w:tc>
      </w:tr>
      <w:tr w:rsidR="00EA743C" w:rsidRPr="00A06A94" w14:paraId="501771B5" w14:textId="77777777" w:rsidTr="006E30DB">
        <w:trPr>
          <w:trHeight w:val="300"/>
        </w:trPr>
        <w:tc>
          <w:tcPr>
            <w:tcW w:w="3540" w:type="dxa"/>
            <w:tcBorders>
              <w:top w:val="nil"/>
              <w:left w:val="nil"/>
              <w:bottom w:val="single" w:sz="4" w:space="0" w:color="auto"/>
              <w:right w:val="nil"/>
            </w:tcBorders>
            <w:shd w:val="clear" w:color="000000" w:fill="FFFFFF"/>
            <w:noWrap/>
            <w:vAlign w:val="bottom"/>
            <w:hideMark/>
          </w:tcPr>
          <w:p w14:paraId="3DD2365D" w14:textId="77777777" w:rsidR="00EA743C" w:rsidRPr="00072DB9" w:rsidRDefault="00EA743C" w:rsidP="00EA743C">
            <w:pPr>
              <w:overflowPunct/>
              <w:autoSpaceDE/>
              <w:autoSpaceDN/>
              <w:adjustRightInd/>
              <w:ind w:firstLineChars="300" w:firstLine="660"/>
              <w:jc w:val="left"/>
              <w:textAlignment w:val="auto"/>
              <w:rPr>
                <w:rFonts w:ascii="Calibri Light" w:hAnsi="Calibri Light" w:cs="Calibri Light"/>
                <w:color w:val="000000"/>
                <w:sz w:val="22"/>
                <w:szCs w:val="22"/>
              </w:rPr>
            </w:pPr>
            <w:r w:rsidRPr="00072DB9">
              <w:rPr>
                <w:rFonts w:ascii="Calibri Light" w:hAnsi="Calibri Light" w:cs="Calibri Light"/>
                <w:color w:val="000000"/>
                <w:sz w:val="22"/>
                <w:szCs w:val="22"/>
              </w:rPr>
              <w:t>ostatní</w:t>
            </w:r>
          </w:p>
        </w:tc>
        <w:tc>
          <w:tcPr>
            <w:tcW w:w="1102" w:type="dxa"/>
            <w:tcBorders>
              <w:top w:val="nil"/>
              <w:left w:val="nil"/>
              <w:bottom w:val="single" w:sz="4" w:space="0" w:color="auto"/>
              <w:right w:val="single" w:sz="4" w:space="0" w:color="auto"/>
            </w:tcBorders>
            <w:shd w:val="clear" w:color="000000" w:fill="FFFFFF"/>
            <w:noWrap/>
            <w:vAlign w:val="center"/>
            <w:hideMark/>
          </w:tcPr>
          <w:p w14:paraId="447C665A" w14:textId="1EBBC0AC" w:rsidR="00EA743C" w:rsidRPr="00072DB9" w:rsidRDefault="00EA743C" w:rsidP="00EA743C">
            <w:pPr>
              <w:overflowPunct/>
              <w:autoSpaceDE/>
              <w:autoSpaceDN/>
              <w:adjustRightInd/>
              <w:jc w:val="center"/>
              <w:textAlignment w:val="auto"/>
              <w:rPr>
                <w:rFonts w:asciiTheme="majorHAnsi" w:hAnsiTheme="majorHAnsi" w:cstheme="majorHAnsi"/>
                <w:color w:val="000000"/>
                <w:sz w:val="22"/>
                <w:szCs w:val="22"/>
              </w:rPr>
            </w:pPr>
            <w:r>
              <w:rPr>
                <w:rFonts w:ascii="Calibri Light" w:hAnsi="Calibri Light" w:cs="Calibri Light"/>
                <w:color w:val="000000"/>
                <w:sz w:val="22"/>
                <w:szCs w:val="22"/>
              </w:rPr>
              <w:t>4,1</w:t>
            </w:r>
          </w:p>
        </w:tc>
        <w:tc>
          <w:tcPr>
            <w:tcW w:w="960" w:type="dxa"/>
            <w:tcBorders>
              <w:top w:val="nil"/>
              <w:left w:val="nil"/>
              <w:bottom w:val="single" w:sz="4" w:space="0" w:color="auto"/>
              <w:right w:val="single" w:sz="4" w:space="0" w:color="auto"/>
            </w:tcBorders>
            <w:shd w:val="clear" w:color="000000" w:fill="FFFFFF"/>
            <w:noWrap/>
            <w:vAlign w:val="center"/>
            <w:hideMark/>
          </w:tcPr>
          <w:p w14:paraId="736F58FE" w14:textId="2CF21C8A" w:rsidR="00EA743C" w:rsidRPr="00072DB9" w:rsidRDefault="00EA743C" w:rsidP="00EA743C">
            <w:pPr>
              <w:overflowPunct/>
              <w:autoSpaceDE/>
              <w:autoSpaceDN/>
              <w:adjustRightInd/>
              <w:jc w:val="center"/>
              <w:textAlignment w:val="auto"/>
              <w:rPr>
                <w:rFonts w:asciiTheme="majorHAnsi" w:hAnsiTheme="majorHAnsi" w:cstheme="majorHAnsi"/>
                <w:color w:val="000000"/>
                <w:sz w:val="22"/>
                <w:szCs w:val="22"/>
              </w:rPr>
            </w:pPr>
            <w:r>
              <w:rPr>
                <w:rFonts w:ascii="Calibri Light" w:hAnsi="Calibri Light" w:cs="Calibri Light"/>
                <w:color w:val="000000"/>
                <w:sz w:val="22"/>
                <w:szCs w:val="22"/>
              </w:rPr>
              <w:t>845</w:t>
            </w:r>
          </w:p>
        </w:tc>
        <w:tc>
          <w:tcPr>
            <w:tcW w:w="960" w:type="dxa"/>
            <w:tcBorders>
              <w:top w:val="nil"/>
              <w:left w:val="nil"/>
              <w:bottom w:val="single" w:sz="4" w:space="0" w:color="auto"/>
              <w:right w:val="nil"/>
            </w:tcBorders>
            <w:shd w:val="clear" w:color="000000" w:fill="FFFFFF"/>
            <w:noWrap/>
            <w:vAlign w:val="center"/>
            <w:hideMark/>
          </w:tcPr>
          <w:p w14:paraId="11B6015C" w14:textId="5BC9B92A" w:rsidR="00EA743C" w:rsidRPr="00072DB9" w:rsidRDefault="00EA743C" w:rsidP="00EA743C">
            <w:pPr>
              <w:overflowPunct/>
              <w:autoSpaceDE/>
              <w:autoSpaceDN/>
              <w:adjustRightInd/>
              <w:jc w:val="center"/>
              <w:textAlignment w:val="auto"/>
              <w:rPr>
                <w:rFonts w:asciiTheme="majorHAnsi" w:hAnsiTheme="majorHAnsi" w:cstheme="majorHAnsi"/>
                <w:color w:val="000000"/>
                <w:sz w:val="22"/>
                <w:szCs w:val="22"/>
              </w:rPr>
            </w:pPr>
            <w:r>
              <w:rPr>
                <w:rFonts w:ascii="Calibri Light" w:hAnsi="Calibri Light" w:cs="Calibri Light"/>
                <w:color w:val="000000"/>
                <w:sz w:val="22"/>
                <w:szCs w:val="22"/>
              </w:rPr>
              <w:t>4,87</w:t>
            </w:r>
          </w:p>
        </w:tc>
        <w:tc>
          <w:tcPr>
            <w:tcW w:w="242" w:type="dxa"/>
            <w:tcBorders>
              <w:top w:val="nil"/>
              <w:left w:val="nil"/>
              <w:right w:val="nil"/>
            </w:tcBorders>
            <w:vAlign w:val="bottom"/>
          </w:tcPr>
          <w:p w14:paraId="0E5EEE48" w14:textId="50406E52" w:rsidR="00EA743C" w:rsidRDefault="00EA743C" w:rsidP="00EA743C">
            <w:pPr>
              <w:overflowPunct/>
              <w:autoSpaceDE/>
              <w:autoSpaceDN/>
              <w:adjustRightInd/>
              <w:jc w:val="center"/>
              <w:textAlignment w:val="auto"/>
              <w:rPr>
                <w:rFonts w:ascii="Calibri Light" w:hAnsi="Calibri Light" w:cs="Calibri Light"/>
                <w:color w:val="000000"/>
                <w:sz w:val="22"/>
                <w:szCs w:val="22"/>
              </w:rPr>
            </w:pPr>
            <w:r>
              <w:rPr>
                <w:rFonts w:ascii="Calibri Light" w:hAnsi="Calibri Light" w:cs="Calibri Light"/>
                <w:color w:val="000000"/>
                <w:sz w:val="22"/>
                <w:szCs w:val="22"/>
              </w:rPr>
              <w:t> </w:t>
            </w:r>
          </w:p>
        </w:tc>
        <w:tc>
          <w:tcPr>
            <w:tcW w:w="993" w:type="dxa"/>
            <w:tcBorders>
              <w:top w:val="nil"/>
              <w:left w:val="nil"/>
              <w:bottom w:val="single" w:sz="4" w:space="0" w:color="auto"/>
              <w:right w:val="single" w:sz="4" w:space="0" w:color="auto"/>
            </w:tcBorders>
            <w:shd w:val="clear" w:color="000000" w:fill="FFFFFF"/>
            <w:vAlign w:val="center"/>
          </w:tcPr>
          <w:p w14:paraId="6AE7FB0C" w14:textId="545C0620" w:rsidR="00EA743C" w:rsidRPr="00A06A94" w:rsidRDefault="00EA743C" w:rsidP="00EA743C">
            <w:pPr>
              <w:overflowPunct/>
              <w:autoSpaceDE/>
              <w:autoSpaceDN/>
              <w:adjustRightInd/>
              <w:jc w:val="center"/>
              <w:textAlignment w:val="auto"/>
              <w:rPr>
                <w:rFonts w:ascii="Calibri Light" w:hAnsi="Calibri Light" w:cs="Calibri Light"/>
                <w:i/>
                <w:iCs/>
                <w:color w:val="000000"/>
                <w:sz w:val="22"/>
                <w:szCs w:val="22"/>
              </w:rPr>
            </w:pPr>
            <w:r>
              <w:rPr>
                <w:rFonts w:ascii="Calibri Light" w:hAnsi="Calibri Light" w:cs="Calibri Light"/>
                <w:i/>
                <w:iCs/>
                <w:color w:val="808080"/>
                <w:sz w:val="22"/>
                <w:szCs w:val="22"/>
              </w:rPr>
              <w:t>24,8</w:t>
            </w:r>
          </w:p>
        </w:tc>
        <w:tc>
          <w:tcPr>
            <w:tcW w:w="992" w:type="dxa"/>
            <w:tcBorders>
              <w:top w:val="nil"/>
              <w:left w:val="single" w:sz="4" w:space="0" w:color="auto"/>
              <w:bottom w:val="single" w:sz="4" w:space="0" w:color="auto"/>
              <w:right w:val="single" w:sz="4" w:space="0" w:color="auto"/>
            </w:tcBorders>
            <w:shd w:val="clear" w:color="000000" w:fill="FFFFFF"/>
            <w:vAlign w:val="center"/>
          </w:tcPr>
          <w:p w14:paraId="6096F2B8" w14:textId="3672055E" w:rsidR="00EA743C" w:rsidRPr="00A06A94" w:rsidRDefault="00EA743C" w:rsidP="00EA743C">
            <w:pPr>
              <w:overflowPunct/>
              <w:autoSpaceDE/>
              <w:autoSpaceDN/>
              <w:adjustRightInd/>
              <w:jc w:val="center"/>
              <w:textAlignment w:val="auto"/>
              <w:rPr>
                <w:rFonts w:ascii="Calibri Light" w:hAnsi="Calibri Light" w:cs="Calibri Light"/>
                <w:i/>
                <w:iCs/>
                <w:color w:val="000000"/>
                <w:sz w:val="22"/>
                <w:szCs w:val="22"/>
              </w:rPr>
            </w:pPr>
            <w:r>
              <w:rPr>
                <w:rFonts w:ascii="Calibri Light" w:hAnsi="Calibri Light" w:cs="Calibri Light"/>
                <w:i/>
                <w:iCs/>
                <w:color w:val="808080"/>
                <w:sz w:val="22"/>
                <w:szCs w:val="22"/>
              </w:rPr>
              <w:t>5 103</w:t>
            </w:r>
          </w:p>
        </w:tc>
        <w:tc>
          <w:tcPr>
            <w:tcW w:w="774" w:type="dxa"/>
            <w:tcBorders>
              <w:top w:val="nil"/>
              <w:left w:val="single" w:sz="4" w:space="0" w:color="auto"/>
              <w:bottom w:val="single" w:sz="4" w:space="0" w:color="auto"/>
              <w:right w:val="nil"/>
            </w:tcBorders>
            <w:shd w:val="clear" w:color="000000" w:fill="FFFFFF"/>
            <w:vAlign w:val="center"/>
          </w:tcPr>
          <w:p w14:paraId="19EA6453" w14:textId="1B17024F" w:rsidR="00EA743C" w:rsidRPr="00A06A94" w:rsidRDefault="00EA743C" w:rsidP="00EA743C">
            <w:pPr>
              <w:overflowPunct/>
              <w:autoSpaceDE/>
              <w:autoSpaceDN/>
              <w:adjustRightInd/>
              <w:jc w:val="center"/>
              <w:textAlignment w:val="auto"/>
              <w:rPr>
                <w:rFonts w:ascii="Calibri Light" w:hAnsi="Calibri Light" w:cs="Calibri Light"/>
                <w:i/>
                <w:iCs/>
                <w:color w:val="000000"/>
                <w:sz w:val="22"/>
                <w:szCs w:val="22"/>
              </w:rPr>
            </w:pPr>
            <w:r>
              <w:rPr>
                <w:rFonts w:ascii="Calibri Light" w:hAnsi="Calibri Light" w:cs="Calibri Light"/>
                <w:i/>
                <w:iCs/>
                <w:color w:val="808080"/>
                <w:sz w:val="22"/>
                <w:szCs w:val="22"/>
              </w:rPr>
              <w:t>4,64</w:t>
            </w:r>
          </w:p>
        </w:tc>
      </w:tr>
      <w:tr w:rsidR="00EA743C" w:rsidRPr="00A06A94" w14:paraId="5D723CBB" w14:textId="77777777" w:rsidTr="006E30DB">
        <w:trPr>
          <w:trHeight w:val="300"/>
        </w:trPr>
        <w:tc>
          <w:tcPr>
            <w:tcW w:w="3540" w:type="dxa"/>
            <w:tcBorders>
              <w:top w:val="nil"/>
              <w:left w:val="nil"/>
              <w:bottom w:val="single" w:sz="4" w:space="0" w:color="auto"/>
              <w:right w:val="nil"/>
            </w:tcBorders>
            <w:shd w:val="clear" w:color="000000" w:fill="FFFFFF"/>
            <w:noWrap/>
            <w:vAlign w:val="bottom"/>
            <w:hideMark/>
          </w:tcPr>
          <w:p w14:paraId="2E721761" w14:textId="77777777" w:rsidR="00EA743C" w:rsidRPr="00072DB9" w:rsidRDefault="00EA743C" w:rsidP="00EA743C">
            <w:pPr>
              <w:overflowPunct/>
              <w:autoSpaceDE/>
              <w:autoSpaceDN/>
              <w:adjustRightInd/>
              <w:ind w:firstLineChars="100" w:firstLine="221"/>
              <w:jc w:val="left"/>
              <w:textAlignment w:val="auto"/>
              <w:rPr>
                <w:rFonts w:ascii="Calibri Light" w:hAnsi="Calibri Light" w:cs="Calibri Light"/>
                <w:b/>
                <w:bCs/>
                <w:color w:val="000000"/>
                <w:sz w:val="22"/>
                <w:szCs w:val="22"/>
              </w:rPr>
            </w:pPr>
            <w:r w:rsidRPr="00072DB9">
              <w:rPr>
                <w:rFonts w:ascii="Calibri Light" w:hAnsi="Calibri Light" w:cs="Calibri Light"/>
                <w:b/>
                <w:bCs/>
                <w:color w:val="000000"/>
                <w:sz w:val="22"/>
                <w:szCs w:val="22"/>
              </w:rPr>
              <w:t>Refinancované z jiné instituce</w:t>
            </w:r>
          </w:p>
        </w:tc>
        <w:tc>
          <w:tcPr>
            <w:tcW w:w="1102" w:type="dxa"/>
            <w:tcBorders>
              <w:top w:val="nil"/>
              <w:left w:val="nil"/>
              <w:bottom w:val="single" w:sz="4" w:space="0" w:color="auto"/>
              <w:right w:val="single" w:sz="4" w:space="0" w:color="auto"/>
            </w:tcBorders>
            <w:shd w:val="clear" w:color="000000" w:fill="FFFFFF"/>
            <w:noWrap/>
            <w:vAlign w:val="center"/>
            <w:hideMark/>
          </w:tcPr>
          <w:p w14:paraId="69F7A9EB" w14:textId="5A515DFF" w:rsidR="00EA743C" w:rsidRPr="00072DB9" w:rsidRDefault="00EA743C" w:rsidP="00EA743C">
            <w:pPr>
              <w:overflowPunct/>
              <w:autoSpaceDE/>
              <w:autoSpaceDN/>
              <w:adjustRightInd/>
              <w:jc w:val="center"/>
              <w:textAlignment w:val="auto"/>
              <w:rPr>
                <w:rFonts w:asciiTheme="majorHAnsi" w:hAnsiTheme="majorHAnsi" w:cstheme="majorHAnsi"/>
                <w:b/>
                <w:bCs/>
                <w:color w:val="000000"/>
                <w:sz w:val="22"/>
                <w:szCs w:val="22"/>
              </w:rPr>
            </w:pPr>
            <w:r>
              <w:rPr>
                <w:rFonts w:ascii="Calibri Light" w:hAnsi="Calibri Light" w:cs="Calibri Light"/>
                <w:color w:val="000000"/>
                <w:sz w:val="22"/>
                <w:szCs w:val="22"/>
              </w:rPr>
              <w:t>10,6</w:t>
            </w:r>
          </w:p>
        </w:tc>
        <w:tc>
          <w:tcPr>
            <w:tcW w:w="960" w:type="dxa"/>
            <w:tcBorders>
              <w:top w:val="nil"/>
              <w:left w:val="nil"/>
              <w:bottom w:val="single" w:sz="4" w:space="0" w:color="auto"/>
              <w:right w:val="single" w:sz="4" w:space="0" w:color="auto"/>
            </w:tcBorders>
            <w:shd w:val="clear" w:color="000000" w:fill="FFFFFF"/>
            <w:noWrap/>
            <w:vAlign w:val="center"/>
            <w:hideMark/>
          </w:tcPr>
          <w:p w14:paraId="5D3E99BA" w14:textId="71ECD417" w:rsidR="00EA743C" w:rsidRPr="00072DB9" w:rsidRDefault="00EA743C" w:rsidP="00EA743C">
            <w:pPr>
              <w:overflowPunct/>
              <w:autoSpaceDE/>
              <w:autoSpaceDN/>
              <w:adjustRightInd/>
              <w:jc w:val="center"/>
              <w:textAlignment w:val="auto"/>
              <w:rPr>
                <w:rFonts w:asciiTheme="majorHAnsi" w:hAnsiTheme="majorHAnsi" w:cstheme="majorHAnsi"/>
                <w:color w:val="000000"/>
                <w:sz w:val="22"/>
                <w:szCs w:val="22"/>
              </w:rPr>
            </w:pPr>
            <w:r>
              <w:rPr>
                <w:rFonts w:ascii="Calibri Light" w:hAnsi="Calibri Light" w:cs="Calibri Light"/>
                <w:color w:val="000000"/>
                <w:sz w:val="22"/>
                <w:szCs w:val="22"/>
              </w:rPr>
              <w:t>2 722</w:t>
            </w:r>
          </w:p>
        </w:tc>
        <w:tc>
          <w:tcPr>
            <w:tcW w:w="960" w:type="dxa"/>
            <w:tcBorders>
              <w:top w:val="nil"/>
              <w:left w:val="nil"/>
              <w:bottom w:val="single" w:sz="4" w:space="0" w:color="auto"/>
              <w:right w:val="nil"/>
            </w:tcBorders>
            <w:shd w:val="clear" w:color="000000" w:fill="FFFFFF"/>
            <w:noWrap/>
            <w:vAlign w:val="center"/>
            <w:hideMark/>
          </w:tcPr>
          <w:p w14:paraId="459C49FD" w14:textId="5678B4F9" w:rsidR="00EA743C" w:rsidRPr="00072DB9" w:rsidRDefault="00EA743C" w:rsidP="00EA743C">
            <w:pPr>
              <w:overflowPunct/>
              <w:autoSpaceDE/>
              <w:autoSpaceDN/>
              <w:adjustRightInd/>
              <w:jc w:val="center"/>
              <w:textAlignment w:val="auto"/>
              <w:rPr>
                <w:rFonts w:asciiTheme="majorHAnsi" w:hAnsiTheme="majorHAnsi" w:cstheme="majorHAnsi"/>
                <w:b/>
                <w:bCs/>
                <w:color w:val="000000"/>
                <w:sz w:val="22"/>
                <w:szCs w:val="22"/>
              </w:rPr>
            </w:pPr>
            <w:r>
              <w:rPr>
                <w:rFonts w:ascii="Calibri Light" w:hAnsi="Calibri Light" w:cs="Calibri Light"/>
                <w:color w:val="000000"/>
                <w:sz w:val="22"/>
                <w:szCs w:val="22"/>
              </w:rPr>
              <w:t>4,61</w:t>
            </w:r>
          </w:p>
        </w:tc>
        <w:tc>
          <w:tcPr>
            <w:tcW w:w="242" w:type="dxa"/>
            <w:tcBorders>
              <w:top w:val="nil"/>
              <w:left w:val="nil"/>
              <w:right w:val="nil"/>
            </w:tcBorders>
            <w:vAlign w:val="bottom"/>
          </w:tcPr>
          <w:p w14:paraId="17CF4B73" w14:textId="3F1F49C9" w:rsidR="00EA743C" w:rsidRDefault="00EA743C" w:rsidP="00EA743C">
            <w:pPr>
              <w:overflowPunct/>
              <w:autoSpaceDE/>
              <w:autoSpaceDN/>
              <w:adjustRightInd/>
              <w:jc w:val="center"/>
              <w:textAlignment w:val="auto"/>
              <w:rPr>
                <w:rFonts w:ascii="Calibri Light" w:hAnsi="Calibri Light" w:cs="Calibri Light"/>
                <w:color w:val="000000"/>
                <w:sz w:val="22"/>
                <w:szCs w:val="22"/>
              </w:rPr>
            </w:pPr>
            <w:r>
              <w:rPr>
                <w:rFonts w:ascii="Calibri Light" w:hAnsi="Calibri Light" w:cs="Calibri Light"/>
                <w:color w:val="000000"/>
                <w:sz w:val="22"/>
                <w:szCs w:val="22"/>
              </w:rPr>
              <w:t> </w:t>
            </w:r>
          </w:p>
        </w:tc>
        <w:tc>
          <w:tcPr>
            <w:tcW w:w="993" w:type="dxa"/>
            <w:tcBorders>
              <w:top w:val="nil"/>
              <w:left w:val="nil"/>
              <w:bottom w:val="single" w:sz="4" w:space="0" w:color="auto"/>
              <w:right w:val="single" w:sz="4" w:space="0" w:color="auto"/>
            </w:tcBorders>
            <w:shd w:val="clear" w:color="000000" w:fill="FFFFFF"/>
            <w:vAlign w:val="center"/>
          </w:tcPr>
          <w:p w14:paraId="068E3AC5" w14:textId="7B066778" w:rsidR="00EA743C" w:rsidRPr="00A06A94" w:rsidRDefault="00EA743C" w:rsidP="00EA743C">
            <w:pPr>
              <w:overflowPunct/>
              <w:autoSpaceDE/>
              <w:autoSpaceDN/>
              <w:adjustRightInd/>
              <w:jc w:val="center"/>
              <w:textAlignment w:val="auto"/>
              <w:rPr>
                <w:rFonts w:ascii="Calibri Light" w:hAnsi="Calibri Light" w:cs="Calibri Light"/>
                <w:i/>
                <w:iCs/>
                <w:color w:val="000000"/>
                <w:sz w:val="22"/>
                <w:szCs w:val="22"/>
              </w:rPr>
            </w:pPr>
            <w:r>
              <w:rPr>
                <w:rFonts w:ascii="Calibri Light" w:hAnsi="Calibri Light" w:cs="Calibri Light"/>
                <w:i/>
                <w:iCs/>
                <w:color w:val="808080"/>
                <w:sz w:val="22"/>
                <w:szCs w:val="22"/>
              </w:rPr>
              <w:t>66,2</w:t>
            </w:r>
          </w:p>
        </w:tc>
        <w:tc>
          <w:tcPr>
            <w:tcW w:w="992" w:type="dxa"/>
            <w:tcBorders>
              <w:top w:val="nil"/>
              <w:left w:val="single" w:sz="4" w:space="0" w:color="auto"/>
              <w:bottom w:val="single" w:sz="4" w:space="0" w:color="auto"/>
              <w:right w:val="single" w:sz="4" w:space="0" w:color="auto"/>
            </w:tcBorders>
            <w:shd w:val="clear" w:color="000000" w:fill="FFFFFF"/>
            <w:vAlign w:val="center"/>
          </w:tcPr>
          <w:p w14:paraId="19714FB1" w14:textId="38508269" w:rsidR="00EA743C" w:rsidRPr="00A06A94" w:rsidRDefault="00EA743C" w:rsidP="00EA743C">
            <w:pPr>
              <w:overflowPunct/>
              <w:autoSpaceDE/>
              <w:autoSpaceDN/>
              <w:adjustRightInd/>
              <w:jc w:val="center"/>
              <w:textAlignment w:val="auto"/>
              <w:rPr>
                <w:rFonts w:ascii="Calibri Light" w:hAnsi="Calibri Light" w:cs="Calibri Light"/>
                <w:i/>
                <w:iCs/>
                <w:color w:val="000000"/>
                <w:sz w:val="22"/>
                <w:szCs w:val="22"/>
              </w:rPr>
            </w:pPr>
            <w:r>
              <w:rPr>
                <w:rFonts w:ascii="Calibri Light" w:hAnsi="Calibri Light" w:cs="Calibri Light"/>
                <w:i/>
                <w:iCs/>
                <w:color w:val="808080"/>
                <w:sz w:val="22"/>
                <w:szCs w:val="22"/>
              </w:rPr>
              <w:t>16 927</w:t>
            </w:r>
          </w:p>
        </w:tc>
        <w:tc>
          <w:tcPr>
            <w:tcW w:w="774" w:type="dxa"/>
            <w:tcBorders>
              <w:top w:val="nil"/>
              <w:left w:val="single" w:sz="4" w:space="0" w:color="auto"/>
              <w:bottom w:val="single" w:sz="4" w:space="0" w:color="auto"/>
              <w:right w:val="nil"/>
            </w:tcBorders>
            <w:shd w:val="clear" w:color="000000" w:fill="FFFFFF"/>
            <w:vAlign w:val="center"/>
          </w:tcPr>
          <w:p w14:paraId="2B0AEEA7" w14:textId="576CED85" w:rsidR="00EA743C" w:rsidRPr="00A06A94" w:rsidRDefault="00EA743C" w:rsidP="00EA743C">
            <w:pPr>
              <w:overflowPunct/>
              <w:autoSpaceDE/>
              <w:autoSpaceDN/>
              <w:adjustRightInd/>
              <w:jc w:val="center"/>
              <w:textAlignment w:val="auto"/>
              <w:rPr>
                <w:rFonts w:ascii="Calibri Light" w:hAnsi="Calibri Light" w:cs="Calibri Light"/>
                <w:i/>
                <w:iCs/>
                <w:color w:val="000000"/>
                <w:sz w:val="22"/>
                <w:szCs w:val="22"/>
              </w:rPr>
            </w:pPr>
            <w:r>
              <w:rPr>
                <w:rFonts w:ascii="Calibri Light" w:hAnsi="Calibri Light" w:cs="Calibri Light"/>
                <w:i/>
                <w:iCs/>
                <w:color w:val="808080"/>
                <w:sz w:val="22"/>
                <w:szCs w:val="22"/>
              </w:rPr>
              <w:t>4,46</w:t>
            </w:r>
          </w:p>
        </w:tc>
      </w:tr>
      <w:tr w:rsidR="00EA743C" w:rsidRPr="00A06A94" w14:paraId="2265D080" w14:textId="77777777" w:rsidTr="006E30DB">
        <w:trPr>
          <w:trHeight w:val="300"/>
        </w:trPr>
        <w:tc>
          <w:tcPr>
            <w:tcW w:w="3540" w:type="dxa"/>
            <w:tcBorders>
              <w:top w:val="nil"/>
              <w:left w:val="nil"/>
              <w:bottom w:val="single" w:sz="4" w:space="0" w:color="auto"/>
              <w:right w:val="nil"/>
            </w:tcBorders>
            <w:shd w:val="clear" w:color="000000" w:fill="FFFFFF"/>
            <w:noWrap/>
            <w:vAlign w:val="bottom"/>
            <w:hideMark/>
          </w:tcPr>
          <w:p w14:paraId="0290B764" w14:textId="77777777" w:rsidR="00EA743C" w:rsidRPr="00072DB9" w:rsidRDefault="00EA743C" w:rsidP="00EA743C">
            <w:pPr>
              <w:overflowPunct/>
              <w:autoSpaceDE/>
              <w:autoSpaceDN/>
              <w:adjustRightInd/>
              <w:ind w:firstLineChars="100" w:firstLine="221"/>
              <w:jc w:val="left"/>
              <w:textAlignment w:val="auto"/>
              <w:rPr>
                <w:rFonts w:ascii="Calibri Light" w:hAnsi="Calibri Light" w:cs="Calibri Light"/>
                <w:b/>
                <w:bCs/>
                <w:color w:val="000000"/>
                <w:sz w:val="22"/>
                <w:szCs w:val="22"/>
              </w:rPr>
            </w:pPr>
            <w:r w:rsidRPr="00072DB9">
              <w:rPr>
                <w:rFonts w:ascii="Calibri Light" w:hAnsi="Calibri Light" w:cs="Calibri Light"/>
                <w:b/>
                <w:bCs/>
                <w:color w:val="000000"/>
                <w:sz w:val="22"/>
                <w:szCs w:val="22"/>
              </w:rPr>
              <w:t>Refinancované interně</w:t>
            </w:r>
            <w:r>
              <w:rPr>
                <w:rFonts w:ascii="Calibri Light" w:hAnsi="Calibri Light" w:cs="Calibri Light"/>
                <w:b/>
                <w:bCs/>
                <w:color w:val="000000"/>
                <w:sz w:val="22"/>
                <w:szCs w:val="22"/>
              </w:rPr>
              <w:t>, navýšené</w:t>
            </w:r>
          </w:p>
        </w:tc>
        <w:tc>
          <w:tcPr>
            <w:tcW w:w="1102" w:type="dxa"/>
            <w:tcBorders>
              <w:top w:val="nil"/>
              <w:left w:val="nil"/>
              <w:bottom w:val="single" w:sz="4" w:space="0" w:color="auto"/>
              <w:right w:val="single" w:sz="4" w:space="0" w:color="auto"/>
            </w:tcBorders>
            <w:shd w:val="clear" w:color="000000" w:fill="FFFFFF"/>
            <w:noWrap/>
            <w:vAlign w:val="center"/>
            <w:hideMark/>
          </w:tcPr>
          <w:p w14:paraId="04D8288F" w14:textId="386C5336" w:rsidR="00EA743C" w:rsidRPr="00072DB9" w:rsidRDefault="00EA743C" w:rsidP="00EA743C">
            <w:pPr>
              <w:overflowPunct/>
              <w:autoSpaceDE/>
              <w:autoSpaceDN/>
              <w:adjustRightInd/>
              <w:jc w:val="center"/>
              <w:textAlignment w:val="auto"/>
              <w:rPr>
                <w:rFonts w:asciiTheme="majorHAnsi" w:hAnsiTheme="majorHAnsi" w:cstheme="majorHAnsi"/>
                <w:b/>
                <w:bCs/>
                <w:color w:val="000000"/>
                <w:sz w:val="22"/>
                <w:szCs w:val="22"/>
              </w:rPr>
            </w:pPr>
            <w:r>
              <w:rPr>
                <w:rFonts w:ascii="Calibri Light" w:hAnsi="Calibri Light" w:cs="Calibri Light"/>
                <w:color w:val="000000"/>
                <w:sz w:val="22"/>
                <w:szCs w:val="22"/>
              </w:rPr>
              <w:t>1,7</w:t>
            </w:r>
          </w:p>
        </w:tc>
        <w:tc>
          <w:tcPr>
            <w:tcW w:w="960" w:type="dxa"/>
            <w:tcBorders>
              <w:top w:val="nil"/>
              <w:left w:val="nil"/>
              <w:bottom w:val="single" w:sz="4" w:space="0" w:color="auto"/>
              <w:right w:val="single" w:sz="4" w:space="0" w:color="auto"/>
            </w:tcBorders>
            <w:shd w:val="clear" w:color="000000" w:fill="FFFFFF"/>
            <w:noWrap/>
            <w:vAlign w:val="center"/>
            <w:hideMark/>
          </w:tcPr>
          <w:p w14:paraId="7398B663" w14:textId="3D5BDA23" w:rsidR="00EA743C" w:rsidRPr="00072DB9" w:rsidRDefault="00EA743C" w:rsidP="00EA743C">
            <w:pPr>
              <w:overflowPunct/>
              <w:autoSpaceDE/>
              <w:autoSpaceDN/>
              <w:adjustRightInd/>
              <w:jc w:val="center"/>
              <w:textAlignment w:val="auto"/>
              <w:rPr>
                <w:rFonts w:asciiTheme="majorHAnsi" w:hAnsiTheme="majorHAnsi" w:cstheme="majorHAnsi"/>
                <w:color w:val="000000"/>
                <w:sz w:val="22"/>
                <w:szCs w:val="22"/>
              </w:rPr>
            </w:pPr>
            <w:r>
              <w:rPr>
                <w:rFonts w:ascii="Calibri Light" w:hAnsi="Calibri Light" w:cs="Calibri Light"/>
                <w:color w:val="000000"/>
                <w:sz w:val="22"/>
                <w:szCs w:val="22"/>
              </w:rPr>
              <w:t>425</w:t>
            </w:r>
          </w:p>
        </w:tc>
        <w:tc>
          <w:tcPr>
            <w:tcW w:w="960" w:type="dxa"/>
            <w:tcBorders>
              <w:top w:val="nil"/>
              <w:left w:val="nil"/>
              <w:bottom w:val="single" w:sz="4" w:space="0" w:color="auto"/>
              <w:right w:val="nil"/>
            </w:tcBorders>
            <w:shd w:val="clear" w:color="000000" w:fill="FFFFFF"/>
            <w:noWrap/>
            <w:vAlign w:val="center"/>
            <w:hideMark/>
          </w:tcPr>
          <w:p w14:paraId="4499ECE4" w14:textId="44604F3B" w:rsidR="00EA743C" w:rsidRPr="00072DB9" w:rsidRDefault="00EA743C" w:rsidP="00EA743C">
            <w:pPr>
              <w:overflowPunct/>
              <w:autoSpaceDE/>
              <w:autoSpaceDN/>
              <w:adjustRightInd/>
              <w:jc w:val="center"/>
              <w:textAlignment w:val="auto"/>
              <w:rPr>
                <w:rFonts w:asciiTheme="majorHAnsi" w:hAnsiTheme="majorHAnsi" w:cstheme="majorHAnsi"/>
                <w:b/>
                <w:bCs/>
                <w:color w:val="000000"/>
                <w:sz w:val="22"/>
                <w:szCs w:val="22"/>
              </w:rPr>
            </w:pPr>
            <w:r>
              <w:rPr>
                <w:rFonts w:ascii="Calibri Light" w:hAnsi="Calibri Light" w:cs="Calibri Light"/>
                <w:color w:val="000000"/>
                <w:sz w:val="22"/>
                <w:szCs w:val="22"/>
              </w:rPr>
              <w:t>4,74</w:t>
            </w:r>
          </w:p>
        </w:tc>
        <w:tc>
          <w:tcPr>
            <w:tcW w:w="242" w:type="dxa"/>
            <w:tcBorders>
              <w:top w:val="nil"/>
              <w:left w:val="nil"/>
              <w:right w:val="nil"/>
            </w:tcBorders>
            <w:vAlign w:val="bottom"/>
          </w:tcPr>
          <w:p w14:paraId="6021B7F9" w14:textId="652CC33B" w:rsidR="00EA743C" w:rsidRDefault="00EA743C" w:rsidP="00EA743C">
            <w:pPr>
              <w:overflowPunct/>
              <w:autoSpaceDE/>
              <w:autoSpaceDN/>
              <w:adjustRightInd/>
              <w:jc w:val="center"/>
              <w:textAlignment w:val="auto"/>
              <w:rPr>
                <w:rFonts w:ascii="Calibri Light" w:hAnsi="Calibri Light" w:cs="Calibri Light"/>
                <w:color w:val="000000"/>
                <w:sz w:val="22"/>
                <w:szCs w:val="22"/>
              </w:rPr>
            </w:pPr>
            <w:r>
              <w:rPr>
                <w:rFonts w:ascii="Calibri Light" w:hAnsi="Calibri Light" w:cs="Calibri Light"/>
                <w:color w:val="000000"/>
                <w:sz w:val="22"/>
                <w:szCs w:val="22"/>
              </w:rPr>
              <w:t> </w:t>
            </w:r>
          </w:p>
        </w:tc>
        <w:tc>
          <w:tcPr>
            <w:tcW w:w="993" w:type="dxa"/>
            <w:tcBorders>
              <w:top w:val="nil"/>
              <w:left w:val="nil"/>
              <w:bottom w:val="single" w:sz="4" w:space="0" w:color="auto"/>
              <w:right w:val="single" w:sz="4" w:space="0" w:color="auto"/>
            </w:tcBorders>
            <w:shd w:val="clear" w:color="000000" w:fill="FFFFFF"/>
            <w:vAlign w:val="center"/>
          </w:tcPr>
          <w:p w14:paraId="089BC0CC" w14:textId="23E790C4" w:rsidR="00EA743C" w:rsidRPr="00A06A94" w:rsidRDefault="00EA743C" w:rsidP="00EA743C">
            <w:pPr>
              <w:overflowPunct/>
              <w:autoSpaceDE/>
              <w:autoSpaceDN/>
              <w:adjustRightInd/>
              <w:jc w:val="center"/>
              <w:textAlignment w:val="auto"/>
              <w:rPr>
                <w:rFonts w:ascii="Calibri Light" w:hAnsi="Calibri Light" w:cs="Calibri Light"/>
                <w:i/>
                <w:iCs/>
                <w:color w:val="000000"/>
                <w:sz w:val="22"/>
                <w:szCs w:val="22"/>
              </w:rPr>
            </w:pPr>
            <w:r>
              <w:rPr>
                <w:rFonts w:ascii="Calibri Light" w:hAnsi="Calibri Light" w:cs="Calibri Light"/>
                <w:i/>
                <w:iCs/>
                <w:color w:val="808080"/>
                <w:sz w:val="22"/>
                <w:szCs w:val="22"/>
              </w:rPr>
              <w:t>12,0</w:t>
            </w:r>
          </w:p>
        </w:tc>
        <w:tc>
          <w:tcPr>
            <w:tcW w:w="992" w:type="dxa"/>
            <w:tcBorders>
              <w:top w:val="nil"/>
              <w:left w:val="single" w:sz="4" w:space="0" w:color="auto"/>
              <w:bottom w:val="single" w:sz="4" w:space="0" w:color="auto"/>
              <w:right w:val="single" w:sz="4" w:space="0" w:color="auto"/>
            </w:tcBorders>
            <w:shd w:val="clear" w:color="000000" w:fill="FFFFFF"/>
            <w:vAlign w:val="center"/>
          </w:tcPr>
          <w:p w14:paraId="5A4016D1" w14:textId="5265FA67" w:rsidR="00EA743C" w:rsidRPr="00A06A94" w:rsidRDefault="00EA743C" w:rsidP="00EA743C">
            <w:pPr>
              <w:overflowPunct/>
              <w:autoSpaceDE/>
              <w:autoSpaceDN/>
              <w:adjustRightInd/>
              <w:jc w:val="center"/>
              <w:textAlignment w:val="auto"/>
              <w:rPr>
                <w:rFonts w:ascii="Calibri Light" w:hAnsi="Calibri Light" w:cs="Calibri Light"/>
                <w:i/>
                <w:iCs/>
                <w:color w:val="000000"/>
                <w:sz w:val="22"/>
                <w:szCs w:val="22"/>
              </w:rPr>
            </w:pPr>
            <w:r>
              <w:rPr>
                <w:rFonts w:ascii="Calibri Light" w:hAnsi="Calibri Light" w:cs="Calibri Light"/>
                <w:i/>
                <w:iCs/>
                <w:color w:val="808080"/>
                <w:sz w:val="22"/>
                <w:szCs w:val="22"/>
              </w:rPr>
              <w:t>2 927</w:t>
            </w:r>
          </w:p>
        </w:tc>
        <w:tc>
          <w:tcPr>
            <w:tcW w:w="774" w:type="dxa"/>
            <w:tcBorders>
              <w:top w:val="nil"/>
              <w:left w:val="single" w:sz="4" w:space="0" w:color="auto"/>
              <w:bottom w:val="single" w:sz="4" w:space="0" w:color="auto"/>
              <w:right w:val="nil"/>
            </w:tcBorders>
            <w:shd w:val="clear" w:color="000000" w:fill="FFFFFF"/>
            <w:vAlign w:val="center"/>
          </w:tcPr>
          <w:p w14:paraId="67B83F6B" w14:textId="2BCED268" w:rsidR="00EA743C" w:rsidRPr="00A06A94" w:rsidRDefault="00EA743C" w:rsidP="00EA743C">
            <w:pPr>
              <w:overflowPunct/>
              <w:autoSpaceDE/>
              <w:autoSpaceDN/>
              <w:adjustRightInd/>
              <w:jc w:val="center"/>
              <w:textAlignment w:val="auto"/>
              <w:rPr>
                <w:rFonts w:ascii="Calibri Light" w:hAnsi="Calibri Light" w:cs="Calibri Light"/>
                <w:i/>
                <w:iCs/>
                <w:color w:val="000000"/>
                <w:sz w:val="22"/>
                <w:szCs w:val="22"/>
              </w:rPr>
            </w:pPr>
            <w:r>
              <w:rPr>
                <w:rFonts w:ascii="Calibri Light" w:hAnsi="Calibri Light" w:cs="Calibri Light"/>
                <w:i/>
                <w:iCs/>
                <w:color w:val="808080"/>
                <w:sz w:val="22"/>
                <w:szCs w:val="22"/>
              </w:rPr>
              <w:t>4,51</w:t>
            </w:r>
          </w:p>
        </w:tc>
      </w:tr>
    </w:tbl>
    <w:p w14:paraId="7749A713" w14:textId="7DA80B2C" w:rsidR="003C3451" w:rsidRPr="007821A2" w:rsidRDefault="007821A2" w:rsidP="0009562F">
      <w:pPr>
        <w:overflowPunct/>
        <w:autoSpaceDE/>
        <w:autoSpaceDN/>
        <w:adjustRightInd/>
        <w:spacing w:before="120" w:after="120"/>
        <w:textAlignment w:val="auto"/>
        <w:rPr>
          <w:rFonts w:asciiTheme="minorHAnsi" w:hAnsiTheme="minorHAnsi" w:cstheme="minorHAnsi"/>
          <w:bCs/>
          <w:color w:val="13576B"/>
          <w:sz w:val="20"/>
        </w:rPr>
      </w:pPr>
      <w:r w:rsidRPr="007821A2">
        <w:rPr>
          <w:rFonts w:asciiTheme="minorHAnsi" w:hAnsiTheme="minorHAnsi" w:cstheme="minorHAnsi"/>
          <w:bCs/>
          <w:color w:val="13576B"/>
          <w:sz w:val="20"/>
        </w:rPr>
        <w:t>Pramen: ČBA Hypomonitor. Poznámka: sezónně neočištěná data</w:t>
      </w:r>
    </w:p>
    <w:p w14:paraId="0890E395" w14:textId="77777777" w:rsidR="003C3451" w:rsidRPr="007821A2" w:rsidRDefault="003C3451" w:rsidP="0009562F">
      <w:pPr>
        <w:overflowPunct/>
        <w:autoSpaceDE/>
        <w:autoSpaceDN/>
        <w:adjustRightInd/>
        <w:spacing w:before="120" w:after="120"/>
        <w:textAlignment w:val="auto"/>
        <w:rPr>
          <w:rFonts w:ascii="Calibri" w:hAnsi="Calibri" w:cs="Calibri"/>
          <w:bCs/>
          <w:color w:val="13576B"/>
          <w:sz w:val="23"/>
          <w:szCs w:val="23"/>
        </w:rPr>
      </w:pPr>
    </w:p>
    <w:p w14:paraId="0A5C07AA" w14:textId="5BDAF679" w:rsidR="006A4CF3" w:rsidRPr="003C3451" w:rsidRDefault="00D16FB5" w:rsidP="006A4CF3">
      <w:pPr>
        <w:pBdr>
          <w:top w:val="single" w:sz="4" w:space="1" w:color="auto"/>
          <w:left w:val="single" w:sz="4" w:space="4" w:color="auto"/>
          <w:bottom w:val="single" w:sz="4" w:space="1" w:color="auto"/>
          <w:right w:val="single" w:sz="4" w:space="4" w:color="auto"/>
          <w:between w:val="single" w:sz="4" w:space="1" w:color="auto"/>
          <w:bar w:val="single" w:sz="4" w:color="auto"/>
        </w:pBdr>
        <w:rPr>
          <w:rFonts w:ascii="Calibri" w:hAnsi="Calibri" w:cs="Calibri"/>
          <w:i/>
          <w:iCs/>
          <w:color w:val="000000" w:themeColor="text1"/>
          <w:sz w:val="22"/>
          <w:szCs w:val="22"/>
        </w:rPr>
      </w:pPr>
      <w:bookmarkStart w:id="3" w:name="_Hlk111121228"/>
      <w:bookmarkStart w:id="4" w:name="_Hlk119308742"/>
      <w:r w:rsidRPr="0026268C">
        <w:rPr>
          <w:rFonts w:ascii="Calibri" w:hAnsi="Calibri" w:cs="Calibri"/>
          <w:i/>
          <w:iCs/>
          <w:color w:val="000000" w:themeColor="text1"/>
          <w:sz w:val="22"/>
          <w:szCs w:val="22"/>
        </w:rPr>
        <w:t>„</w:t>
      </w:r>
      <w:r w:rsidR="007602B9">
        <w:rPr>
          <w:rFonts w:ascii="Calibri" w:hAnsi="Calibri" w:cs="Calibri"/>
          <w:i/>
          <w:iCs/>
          <w:color w:val="000000" w:themeColor="text1"/>
          <w:sz w:val="22"/>
          <w:szCs w:val="22"/>
        </w:rPr>
        <w:t>Přísnější pravidla centrální banky, posun hypotečních sazeb kvůli vyšší</w:t>
      </w:r>
      <w:r w:rsidR="00B71C1E">
        <w:rPr>
          <w:rFonts w:ascii="Calibri" w:hAnsi="Calibri" w:cs="Calibri"/>
          <w:i/>
          <w:iCs/>
          <w:color w:val="000000" w:themeColor="text1"/>
          <w:sz w:val="22"/>
          <w:szCs w:val="22"/>
        </w:rPr>
        <w:t>m</w:t>
      </w:r>
      <w:r w:rsidR="007602B9">
        <w:rPr>
          <w:rFonts w:ascii="Calibri" w:hAnsi="Calibri" w:cs="Calibri"/>
          <w:i/>
          <w:iCs/>
          <w:color w:val="000000" w:themeColor="text1"/>
          <w:sz w:val="22"/>
          <w:szCs w:val="22"/>
        </w:rPr>
        <w:t xml:space="preserve"> tržním úrokům a stále dražší nemovitosti přinesly na červnový hypoteční trh zklidnění, včetně průměrné výše hypotéky. A to po velmi silné aktivitě v předchoz</w:t>
      </w:r>
      <w:r w:rsidR="007602B9" w:rsidRPr="007602B9">
        <w:rPr>
          <w:rFonts w:ascii="Calibri" w:hAnsi="Calibri" w:cs="Calibri"/>
          <w:i/>
          <w:iCs/>
          <w:color w:val="000000" w:themeColor="text1"/>
          <w:sz w:val="22"/>
          <w:szCs w:val="22"/>
        </w:rPr>
        <w:t>ích měsících. Hypoteční trh nicméně zůstal na stále silných číslech, která jsme pozorovali v druhém loňském pololetí</w:t>
      </w:r>
      <w:r w:rsidR="000B7D19" w:rsidRPr="007602B9">
        <w:rPr>
          <w:rFonts w:ascii="Calibri" w:hAnsi="Calibri" w:cs="Calibri"/>
          <w:i/>
          <w:iCs/>
          <w:color w:val="000000" w:themeColor="text1"/>
          <w:sz w:val="22"/>
          <w:szCs w:val="22"/>
        </w:rPr>
        <w:t>,</w:t>
      </w:r>
      <w:r w:rsidRPr="007602B9">
        <w:rPr>
          <w:rFonts w:ascii="Calibri" w:hAnsi="Calibri" w:cs="Calibri"/>
          <w:i/>
          <w:iCs/>
          <w:color w:val="000000" w:themeColor="text1"/>
          <w:sz w:val="22"/>
          <w:szCs w:val="22"/>
        </w:rPr>
        <w:t>“</w:t>
      </w:r>
      <w:r w:rsidR="006A4CF3" w:rsidRPr="007602B9">
        <w:rPr>
          <w:rFonts w:ascii="Calibri" w:hAnsi="Calibri" w:cs="Calibri"/>
          <w:i/>
          <w:iCs/>
          <w:color w:val="000000" w:themeColor="text1"/>
          <w:sz w:val="22"/>
          <w:szCs w:val="22"/>
        </w:rPr>
        <w:t xml:space="preserve"> </w:t>
      </w:r>
      <w:r w:rsidR="004934D9">
        <w:rPr>
          <w:rFonts w:ascii="Calibri" w:hAnsi="Calibri" w:cs="Calibri"/>
          <w:color w:val="000000" w:themeColor="text1"/>
          <w:sz w:val="22"/>
          <w:szCs w:val="22"/>
        </w:rPr>
        <w:t>doplňuje</w:t>
      </w:r>
      <w:r w:rsidR="006A4CF3" w:rsidRPr="00882EFB">
        <w:rPr>
          <w:rFonts w:ascii="Calibri" w:hAnsi="Calibri" w:cs="Calibri"/>
          <w:sz w:val="22"/>
          <w:szCs w:val="22"/>
        </w:rPr>
        <w:t xml:space="preserve"> </w:t>
      </w:r>
      <w:r w:rsidR="006A4CF3">
        <w:rPr>
          <w:rFonts w:ascii="Calibri" w:hAnsi="Calibri" w:cs="Calibri"/>
          <w:b/>
          <w:bCs/>
          <w:sz w:val="22"/>
          <w:szCs w:val="22"/>
        </w:rPr>
        <w:t xml:space="preserve">Jaromír Šindel, hlavní ekonom České bankovní asociace. </w:t>
      </w:r>
    </w:p>
    <w:p w14:paraId="5C0445D2" w14:textId="77777777" w:rsidR="00D17F2A" w:rsidRDefault="00D17F2A" w:rsidP="007E1421">
      <w:pPr>
        <w:rPr>
          <w:rFonts w:ascii="Calibri" w:hAnsi="Calibri" w:cs="Calibri"/>
          <w:b/>
          <w:color w:val="13576B"/>
          <w:sz w:val="23"/>
          <w:szCs w:val="23"/>
        </w:rPr>
      </w:pPr>
    </w:p>
    <w:p w14:paraId="6B7D1662" w14:textId="66DA38DE" w:rsidR="00677FE7" w:rsidRDefault="00013D8A" w:rsidP="007E1421">
      <w:pPr>
        <w:rPr>
          <w:rFonts w:ascii="Calibri" w:hAnsi="Calibri" w:cs="Calibri"/>
          <w:b/>
          <w:color w:val="13576B"/>
          <w:sz w:val="23"/>
          <w:szCs w:val="23"/>
        </w:rPr>
      </w:pPr>
      <w:r>
        <w:rPr>
          <w:rFonts w:ascii="Calibri" w:hAnsi="Calibri" w:cs="Calibri"/>
          <w:b/>
          <w:noProof/>
          <w:color w:val="13576B"/>
          <w:sz w:val="23"/>
          <w:szCs w:val="23"/>
        </w:rPr>
        <w:lastRenderedPageBreak/>
        <w:drawing>
          <wp:inline distT="0" distB="0" distL="0" distR="0" wp14:anchorId="586CDE4E" wp14:editId="0879BB9B">
            <wp:extent cx="5086342" cy="3754896"/>
            <wp:effectExtent l="0" t="0" r="635" b="0"/>
            <wp:docPr id="142997414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113604" cy="3775022"/>
                    </a:xfrm>
                    <a:prstGeom prst="rect">
                      <a:avLst/>
                    </a:prstGeom>
                    <a:noFill/>
                  </pic:spPr>
                </pic:pic>
              </a:graphicData>
            </a:graphic>
          </wp:inline>
        </w:drawing>
      </w:r>
    </w:p>
    <w:p w14:paraId="6C652A9F" w14:textId="71436C3E" w:rsidR="007E1421" w:rsidRDefault="00E16BD3" w:rsidP="007E1421">
      <w:pPr>
        <w:overflowPunct/>
        <w:autoSpaceDE/>
        <w:autoSpaceDN/>
        <w:adjustRightInd/>
        <w:spacing w:after="120"/>
        <w:jc w:val="left"/>
        <w:textAlignment w:val="auto"/>
        <w:rPr>
          <w:rFonts w:ascii="Calibri Light" w:hAnsi="Calibri Light" w:cs="Calibri Light"/>
          <w:color w:val="13576B"/>
          <w:sz w:val="20"/>
        </w:rPr>
      </w:pPr>
      <w:r w:rsidRPr="00E16BD3">
        <w:rPr>
          <w:rFonts w:ascii="Calibri Light" w:hAnsi="Calibri Light" w:cs="Calibri Light"/>
          <w:color w:val="13576B"/>
          <w:sz w:val="20"/>
        </w:rPr>
        <w:t>Poznámka: výhled do konce roku je momentový – vychází z aktuálního trendu, nikoli z modelové predikce.</w:t>
      </w:r>
      <w:r w:rsidR="00795550">
        <w:rPr>
          <w:rFonts w:ascii="Calibri Light" w:hAnsi="Calibri Light" w:cs="Calibri Light"/>
          <w:color w:val="13576B"/>
          <w:sz w:val="20"/>
        </w:rPr>
        <w:t xml:space="preserve"> Nicméně pro zbytek roku předpokládá 7% korekci do počtu hypoték</w:t>
      </w:r>
      <w:r w:rsidR="00EA743C">
        <w:rPr>
          <w:rFonts w:ascii="Calibri Light" w:hAnsi="Calibri Light" w:cs="Calibri Light"/>
          <w:color w:val="13576B"/>
          <w:sz w:val="20"/>
        </w:rPr>
        <w:t xml:space="preserve"> vůči momentu z druhého pololetí 2025</w:t>
      </w:r>
      <w:r w:rsidR="00795550">
        <w:rPr>
          <w:rFonts w:ascii="Calibri Light" w:hAnsi="Calibri Light" w:cs="Calibri Light"/>
          <w:color w:val="13576B"/>
          <w:sz w:val="20"/>
        </w:rPr>
        <w:t xml:space="preserve">. </w:t>
      </w:r>
    </w:p>
    <w:p w14:paraId="05D7F9BE" w14:textId="491A7F3E" w:rsidR="00795550" w:rsidRDefault="00EA743C" w:rsidP="007E1421">
      <w:pPr>
        <w:overflowPunct/>
        <w:autoSpaceDE/>
        <w:autoSpaceDN/>
        <w:adjustRightInd/>
        <w:spacing w:after="120"/>
        <w:jc w:val="left"/>
        <w:textAlignment w:val="auto"/>
        <w:rPr>
          <w:rFonts w:ascii="Calibri Light" w:hAnsi="Calibri Light" w:cs="Calibri Light"/>
          <w:color w:val="13576B"/>
          <w:sz w:val="20"/>
        </w:rPr>
      </w:pPr>
      <w:r>
        <w:rPr>
          <w:rFonts w:ascii="Calibri Light" w:hAnsi="Calibri Light" w:cs="Calibri Light"/>
          <w:noProof/>
          <w:color w:val="13576B"/>
          <w:sz w:val="20"/>
        </w:rPr>
        <w:drawing>
          <wp:inline distT="0" distB="0" distL="0" distR="0" wp14:anchorId="4CAE7A94" wp14:editId="159ECF0C">
            <wp:extent cx="6191983" cy="3385459"/>
            <wp:effectExtent l="0" t="0" r="0" b="5715"/>
            <wp:docPr id="12051165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208317" cy="3394390"/>
                    </a:xfrm>
                    <a:prstGeom prst="rect">
                      <a:avLst/>
                    </a:prstGeom>
                    <a:noFill/>
                  </pic:spPr>
                </pic:pic>
              </a:graphicData>
            </a:graphic>
          </wp:inline>
        </w:drawing>
      </w:r>
    </w:p>
    <w:p w14:paraId="69E423B9" w14:textId="77777777" w:rsidR="00845107" w:rsidRDefault="00845107" w:rsidP="0009562F">
      <w:pPr>
        <w:overflowPunct/>
        <w:autoSpaceDE/>
        <w:autoSpaceDN/>
        <w:adjustRightInd/>
        <w:textAlignment w:val="auto"/>
        <w:rPr>
          <w:rFonts w:ascii="Calibri" w:hAnsi="Calibri" w:cs="Calibri"/>
          <w:b/>
          <w:color w:val="13576B"/>
          <w:sz w:val="23"/>
          <w:szCs w:val="23"/>
        </w:rPr>
      </w:pPr>
    </w:p>
    <w:p w14:paraId="304940DD" w14:textId="77777777" w:rsidR="00845107" w:rsidRDefault="00845107" w:rsidP="0009562F">
      <w:pPr>
        <w:overflowPunct/>
        <w:autoSpaceDE/>
        <w:autoSpaceDN/>
        <w:adjustRightInd/>
        <w:textAlignment w:val="auto"/>
        <w:rPr>
          <w:rFonts w:ascii="Calibri" w:hAnsi="Calibri" w:cs="Calibri"/>
          <w:b/>
          <w:color w:val="13576B"/>
          <w:sz w:val="23"/>
          <w:szCs w:val="23"/>
        </w:rPr>
      </w:pPr>
    </w:p>
    <w:p w14:paraId="656E850E" w14:textId="71F64C92" w:rsidR="0009562F" w:rsidRDefault="00845107" w:rsidP="0009562F">
      <w:pPr>
        <w:overflowPunct/>
        <w:autoSpaceDE/>
        <w:autoSpaceDN/>
        <w:adjustRightInd/>
        <w:textAlignment w:val="auto"/>
        <w:rPr>
          <w:rFonts w:ascii="Calibri" w:hAnsi="Calibri" w:cs="Calibri"/>
          <w:b/>
          <w:color w:val="13576B"/>
          <w:sz w:val="23"/>
          <w:szCs w:val="23"/>
        </w:rPr>
      </w:pPr>
      <w:r>
        <w:rPr>
          <w:rFonts w:ascii="Calibri" w:hAnsi="Calibri" w:cs="Calibri"/>
          <w:b/>
          <w:color w:val="13576B"/>
          <w:sz w:val="23"/>
          <w:szCs w:val="23"/>
        </w:rPr>
        <w:lastRenderedPageBreak/>
        <w:t xml:space="preserve">Červnové zchlazení hypoteční aktivity, ale </w:t>
      </w:r>
      <w:r w:rsidR="00212996">
        <w:rPr>
          <w:rFonts w:ascii="Calibri" w:hAnsi="Calibri" w:cs="Calibri"/>
          <w:b/>
          <w:color w:val="13576B"/>
          <w:sz w:val="23"/>
          <w:szCs w:val="23"/>
        </w:rPr>
        <w:t xml:space="preserve">se </w:t>
      </w:r>
      <w:r>
        <w:rPr>
          <w:rFonts w:ascii="Calibri" w:hAnsi="Calibri" w:cs="Calibri"/>
          <w:b/>
          <w:color w:val="13576B"/>
          <w:sz w:val="23"/>
          <w:szCs w:val="23"/>
        </w:rPr>
        <w:t>stále siln</w:t>
      </w:r>
      <w:r w:rsidR="00212996">
        <w:rPr>
          <w:rFonts w:ascii="Calibri" w:hAnsi="Calibri" w:cs="Calibri"/>
          <w:b/>
          <w:color w:val="13576B"/>
          <w:sz w:val="23"/>
          <w:szCs w:val="23"/>
        </w:rPr>
        <w:t>ými</w:t>
      </w:r>
      <w:r>
        <w:rPr>
          <w:rFonts w:ascii="Calibri" w:hAnsi="Calibri" w:cs="Calibri"/>
          <w:b/>
          <w:color w:val="13576B"/>
          <w:sz w:val="23"/>
          <w:szCs w:val="23"/>
        </w:rPr>
        <w:t xml:space="preserve"> objemy a počty z druhé loňského pololetí </w:t>
      </w:r>
    </w:p>
    <w:p w14:paraId="3C44D4F1" w14:textId="275EAB49" w:rsidR="002B52C8" w:rsidRDefault="002B52C8" w:rsidP="00142116">
      <w:pPr>
        <w:overflowPunct/>
        <w:autoSpaceDE/>
        <w:autoSpaceDN/>
        <w:adjustRightInd/>
        <w:textAlignment w:val="auto"/>
        <w:rPr>
          <w:rFonts w:ascii="Calibri" w:hAnsi="Calibri" w:cs="Calibri"/>
          <w:color w:val="000000"/>
          <w:sz w:val="22"/>
          <w:szCs w:val="22"/>
        </w:rPr>
      </w:pPr>
      <w:r w:rsidRPr="002B52C8">
        <w:rPr>
          <w:rFonts w:ascii="Calibri" w:hAnsi="Calibri" w:cs="Calibri"/>
          <w:b/>
          <w:bCs/>
          <w:color w:val="000000"/>
          <w:sz w:val="22"/>
          <w:szCs w:val="22"/>
        </w:rPr>
        <w:t xml:space="preserve">Celkově banky a stavební spořitelny v červnu vykázaly nový nekonsolidovaný business v podobě nových a refinancovaných hypoték v objemu 48,9 mld. Kč, což je o 7 % méně než před měsícem. </w:t>
      </w:r>
      <w:r w:rsidRPr="002B52C8">
        <w:rPr>
          <w:rFonts w:ascii="Calibri" w:hAnsi="Calibri" w:cs="Calibri"/>
          <w:color w:val="000000"/>
          <w:sz w:val="22"/>
          <w:szCs w:val="22"/>
        </w:rPr>
        <w:t xml:space="preserve">V meziročním srovnání </w:t>
      </w:r>
      <w:r w:rsidR="00212996">
        <w:rPr>
          <w:rFonts w:ascii="Calibri" w:hAnsi="Calibri" w:cs="Calibri"/>
          <w:color w:val="000000"/>
          <w:sz w:val="22"/>
          <w:szCs w:val="22"/>
        </w:rPr>
        <w:t xml:space="preserve">byly obchody o </w:t>
      </w:r>
      <w:r w:rsidRPr="002B52C8">
        <w:rPr>
          <w:rFonts w:ascii="Calibri" w:hAnsi="Calibri" w:cs="Calibri"/>
          <w:color w:val="000000"/>
          <w:sz w:val="22"/>
          <w:szCs w:val="22"/>
        </w:rPr>
        <w:t>32 %</w:t>
      </w:r>
      <w:r>
        <w:rPr>
          <w:rFonts w:ascii="Calibri" w:hAnsi="Calibri" w:cs="Calibri"/>
          <w:color w:val="000000"/>
          <w:sz w:val="22"/>
          <w:szCs w:val="22"/>
        </w:rPr>
        <w:t xml:space="preserve"> </w:t>
      </w:r>
      <w:r w:rsidR="00212996">
        <w:rPr>
          <w:rFonts w:ascii="Calibri" w:hAnsi="Calibri" w:cs="Calibri"/>
          <w:color w:val="000000"/>
          <w:sz w:val="22"/>
          <w:szCs w:val="22"/>
        </w:rPr>
        <w:t>výše</w:t>
      </w:r>
      <w:r>
        <w:rPr>
          <w:rFonts w:ascii="Calibri" w:hAnsi="Calibri" w:cs="Calibri"/>
          <w:color w:val="000000"/>
          <w:sz w:val="22"/>
          <w:szCs w:val="22"/>
        </w:rPr>
        <w:t>.</w:t>
      </w:r>
      <w:r w:rsidRPr="002B52C8">
        <w:rPr>
          <w:rFonts w:ascii="Calibri" w:hAnsi="Calibri" w:cs="Calibri"/>
          <w:color w:val="000000"/>
          <w:sz w:val="22"/>
          <w:szCs w:val="22"/>
        </w:rPr>
        <w:t xml:space="preserve"> Jejich celkový objem v letošním roce prozatím dosáhl 294 mld. Kč, což představuje 59% nárůst ve srovnání s</w:t>
      </w:r>
      <w:r w:rsidR="00212996">
        <w:rPr>
          <w:rFonts w:ascii="Calibri" w:hAnsi="Calibri" w:cs="Calibri"/>
          <w:color w:val="000000"/>
          <w:sz w:val="22"/>
          <w:szCs w:val="22"/>
        </w:rPr>
        <w:t xml:space="preserve"> prvním loňskými pololetím. </w:t>
      </w:r>
    </w:p>
    <w:p w14:paraId="50A406E2" w14:textId="77777777" w:rsidR="002B52C8" w:rsidRDefault="002B52C8" w:rsidP="00142116">
      <w:pPr>
        <w:overflowPunct/>
        <w:autoSpaceDE/>
        <w:autoSpaceDN/>
        <w:adjustRightInd/>
        <w:textAlignment w:val="auto"/>
        <w:rPr>
          <w:rFonts w:ascii="Calibri" w:hAnsi="Calibri" w:cs="Calibri"/>
          <w:color w:val="000000"/>
          <w:sz w:val="22"/>
          <w:szCs w:val="22"/>
        </w:rPr>
      </w:pPr>
    </w:p>
    <w:p w14:paraId="39B05238" w14:textId="2760D1B5" w:rsidR="002B52C8" w:rsidRDefault="002B52C8" w:rsidP="002B52C8">
      <w:pPr>
        <w:overflowPunct/>
        <w:autoSpaceDE/>
        <w:autoSpaceDN/>
        <w:adjustRightInd/>
        <w:textAlignment w:val="auto"/>
        <w:rPr>
          <w:rFonts w:ascii="Calibri" w:hAnsi="Calibri" w:cs="Calibri"/>
          <w:color w:val="000000"/>
          <w:sz w:val="22"/>
          <w:szCs w:val="22"/>
        </w:rPr>
      </w:pPr>
      <w:r w:rsidRPr="002B52C8">
        <w:rPr>
          <w:rFonts w:ascii="Calibri" w:hAnsi="Calibri" w:cs="Calibri"/>
          <w:b/>
          <w:bCs/>
          <w:color w:val="000000"/>
          <w:sz w:val="22"/>
          <w:szCs w:val="22"/>
        </w:rPr>
        <w:t>V červnu poskytly banky a stavební spořitelny skutečně nové hypoteční úvěry bez refinancování za 36,5 mld. Kč.</w:t>
      </w:r>
      <w:r w:rsidRPr="002B52C8">
        <w:rPr>
          <w:rFonts w:ascii="Calibri" w:hAnsi="Calibri" w:cs="Calibri"/>
          <w:color w:val="000000"/>
          <w:sz w:val="22"/>
          <w:szCs w:val="22"/>
        </w:rPr>
        <w:t xml:space="preserve"> Oproti květnu tak nová hypoteční aktivita objemově klesla přibližně o 4 %, což</w:t>
      </w:r>
      <w:r>
        <w:rPr>
          <w:rFonts w:ascii="Calibri" w:hAnsi="Calibri" w:cs="Calibri"/>
          <w:color w:val="000000"/>
          <w:sz w:val="22"/>
          <w:szCs w:val="22"/>
        </w:rPr>
        <w:t xml:space="preserve"> je slabší výsledek než obvyklý 7% červnový nárůst. Jedná se tak o korekci po </w:t>
      </w:r>
      <w:r w:rsidR="00212996">
        <w:rPr>
          <w:rFonts w:ascii="Calibri" w:hAnsi="Calibri" w:cs="Calibri"/>
          <w:color w:val="000000"/>
          <w:sz w:val="22"/>
          <w:szCs w:val="22"/>
        </w:rPr>
        <w:t xml:space="preserve">předchozích </w:t>
      </w:r>
      <w:r>
        <w:rPr>
          <w:rFonts w:ascii="Calibri" w:hAnsi="Calibri" w:cs="Calibri"/>
          <w:color w:val="000000"/>
          <w:sz w:val="22"/>
          <w:szCs w:val="22"/>
        </w:rPr>
        <w:t xml:space="preserve">silných letošních měsících v důsledku přísnějších kritérií ČNB a vyšších tržních úrokových sazeb. </w:t>
      </w:r>
      <w:r w:rsidRPr="002B52C8">
        <w:rPr>
          <w:rFonts w:ascii="Calibri" w:hAnsi="Calibri" w:cs="Calibri"/>
          <w:color w:val="000000"/>
          <w:sz w:val="22"/>
          <w:szCs w:val="22"/>
        </w:rPr>
        <w:t xml:space="preserve">Po sezónní úpravě přinesla červnová čísla nových hypoték </w:t>
      </w:r>
      <w:r w:rsidR="0040774B">
        <w:rPr>
          <w:rFonts w:ascii="Calibri" w:hAnsi="Calibri" w:cs="Calibri"/>
          <w:color w:val="000000"/>
          <w:sz w:val="22"/>
          <w:szCs w:val="22"/>
        </w:rPr>
        <w:t>17</w:t>
      </w:r>
      <w:r w:rsidRPr="002B52C8">
        <w:rPr>
          <w:rFonts w:ascii="Calibri" w:hAnsi="Calibri" w:cs="Calibri"/>
          <w:color w:val="000000"/>
          <w:sz w:val="22"/>
          <w:szCs w:val="22"/>
        </w:rPr>
        <w:t>% zhoršení na 29,4 mld. Kč ve srovnání s květnovými 35,4 mld.</w:t>
      </w:r>
      <w:r w:rsidR="0040774B">
        <w:rPr>
          <w:rFonts w:ascii="Calibri" w:hAnsi="Calibri" w:cs="Calibri"/>
          <w:color w:val="000000"/>
          <w:sz w:val="22"/>
          <w:szCs w:val="22"/>
        </w:rPr>
        <w:t xml:space="preserve"> Z</w:t>
      </w:r>
      <w:r w:rsidRPr="002B52C8">
        <w:rPr>
          <w:rFonts w:ascii="Calibri" w:hAnsi="Calibri" w:cs="Calibri"/>
          <w:color w:val="000000"/>
          <w:sz w:val="22"/>
          <w:szCs w:val="22"/>
        </w:rPr>
        <w:t>ároveň se nachází pod průměrným objemem z předchozích tří měsíců (37,3 mld. Kč)</w:t>
      </w:r>
      <w:r w:rsidR="0040774B">
        <w:rPr>
          <w:rFonts w:ascii="Calibri" w:hAnsi="Calibri" w:cs="Calibri"/>
          <w:color w:val="000000"/>
          <w:sz w:val="22"/>
          <w:szCs w:val="22"/>
        </w:rPr>
        <w:t>, ale zůstává poblíž hodnot z druhého loňského pololetí</w:t>
      </w:r>
      <w:r w:rsidRPr="002B52C8">
        <w:rPr>
          <w:rFonts w:ascii="Calibri" w:hAnsi="Calibri" w:cs="Calibri"/>
          <w:color w:val="000000"/>
          <w:sz w:val="22"/>
          <w:szCs w:val="22"/>
        </w:rPr>
        <w:t xml:space="preserve">. V meziročním vyjádření růst objemu poskytnutých hypoték v červnu dále zvolnil na 25 % po průměrném 41% meziročním nárůstu v minulém roce. </w:t>
      </w:r>
    </w:p>
    <w:p w14:paraId="10C573BD" w14:textId="77777777" w:rsidR="002B52C8" w:rsidRPr="002B52C8" w:rsidRDefault="002B52C8" w:rsidP="002B52C8">
      <w:pPr>
        <w:overflowPunct/>
        <w:autoSpaceDE/>
        <w:autoSpaceDN/>
        <w:adjustRightInd/>
        <w:textAlignment w:val="auto"/>
        <w:rPr>
          <w:rFonts w:ascii="Calibri" w:hAnsi="Calibri" w:cs="Calibri"/>
          <w:color w:val="000000"/>
          <w:sz w:val="22"/>
          <w:szCs w:val="22"/>
        </w:rPr>
      </w:pPr>
    </w:p>
    <w:p w14:paraId="56320F93" w14:textId="43A2A1C2" w:rsidR="00795550" w:rsidRPr="00A12D28" w:rsidRDefault="00795550" w:rsidP="00795550">
      <w:pPr>
        <w:pBdr>
          <w:top w:val="single" w:sz="4" w:space="1" w:color="auto"/>
          <w:left w:val="single" w:sz="4" w:space="0" w:color="auto"/>
          <w:bottom w:val="single" w:sz="4" w:space="1" w:color="auto"/>
          <w:right w:val="single" w:sz="4" w:space="4" w:color="auto"/>
          <w:between w:val="single" w:sz="4" w:space="1" w:color="auto"/>
          <w:bar w:val="single" w:sz="4" w:color="auto"/>
        </w:pBdr>
        <w:rPr>
          <w:color w:val="000000" w:themeColor="text1"/>
        </w:rPr>
      </w:pPr>
      <w:r w:rsidRPr="00A12D28">
        <w:rPr>
          <w:rFonts w:ascii="Calibri" w:hAnsi="Calibri" w:cs="Calibri"/>
          <w:i/>
          <w:iCs/>
          <w:color w:val="000000" w:themeColor="text1"/>
          <w:sz w:val="22"/>
          <w:szCs w:val="22"/>
        </w:rPr>
        <w:t>„</w:t>
      </w:r>
      <w:r w:rsidR="00845107" w:rsidRPr="00845107">
        <w:rPr>
          <w:rFonts w:ascii="Calibri" w:hAnsi="Calibri" w:cs="Calibri"/>
          <w:i/>
          <w:iCs/>
          <w:color w:val="000000" w:themeColor="text1"/>
          <w:sz w:val="22"/>
          <w:szCs w:val="22"/>
        </w:rPr>
        <w:t>Zájem lidí o vlastní bydlení je obrovský a trh financování bydlení zůstává silný. Ceny nemovitostí jsou na historickém maximu, avšak v minulých měsících jsme mohli sledovat mírné zpomalení tempa zdražování bytů a domů. Úrokové sazby hypoték zůstávají i nadále významně ovlivněny geopolitickou situací na Blízkém východě. Pro zvýšení dostupnosti bydlení proto rozvíjíme další možná řešení aktuální situace, mezi která patří také podpora a financování družstevního bydlení</w:t>
      </w:r>
      <w:r w:rsidRPr="00A12D28">
        <w:rPr>
          <w:rFonts w:ascii="Calibri" w:hAnsi="Calibri" w:cs="Calibri"/>
          <w:i/>
          <w:iCs/>
          <w:color w:val="000000" w:themeColor="text1"/>
          <w:sz w:val="22"/>
          <w:szCs w:val="22"/>
        </w:rPr>
        <w:t xml:space="preserve">,“ </w:t>
      </w:r>
      <w:r w:rsidR="00A12D28">
        <w:rPr>
          <w:rFonts w:ascii="Calibri" w:hAnsi="Calibri" w:cs="Calibri"/>
          <w:color w:val="000000" w:themeColor="text1"/>
          <w:sz w:val="22"/>
          <w:szCs w:val="22"/>
        </w:rPr>
        <w:t>podotýká</w:t>
      </w:r>
      <w:r w:rsidRPr="006337E7">
        <w:rPr>
          <w:rFonts w:ascii="Calibri" w:hAnsi="Calibri" w:cs="Calibri"/>
          <w:color w:val="000000" w:themeColor="text1"/>
          <w:sz w:val="22"/>
          <w:szCs w:val="22"/>
        </w:rPr>
        <w:t xml:space="preserve"> </w:t>
      </w:r>
      <w:r w:rsidR="00FB4CA7">
        <w:rPr>
          <w:rFonts w:ascii="Calibri" w:hAnsi="Calibri" w:cs="Calibri"/>
          <w:b/>
          <w:bCs/>
          <w:color w:val="000000" w:themeColor="text1"/>
          <w:sz w:val="22"/>
          <w:szCs w:val="22"/>
        </w:rPr>
        <w:t>Martin Vašek</w:t>
      </w:r>
      <w:r w:rsidRPr="007D77FB">
        <w:rPr>
          <w:rFonts w:ascii="Calibri" w:hAnsi="Calibri" w:cs="Calibri"/>
          <w:b/>
          <w:bCs/>
          <w:color w:val="000000" w:themeColor="text1"/>
          <w:sz w:val="22"/>
          <w:szCs w:val="22"/>
        </w:rPr>
        <w:t xml:space="preserve">, </w:t>
      </w:r>
      <w:r w:rsidR="00A12D28" w:rsidRPr="00A12D28">
        <w:rPr>
          <w:rFonts w:ascii="Calibri" w:hAnsi="Calibri" w:cs="Calibri"/>
          <w:b/>
          <w:bCs/>
          <w:color w:val="000000" w:themeColor="text1"/>
          <w:sz w:val="22"/>
          <w:szCs w:val="22"/>
        </w:rPr>
        <w:t>generální ředitel a předseda představenstva ČSOB Hypoteční banky</w:t>
      </w:r>
      <w:r w:rsidR="00A12D28">
        <w:rPr>
          <w:rFonts w:ascii="Calibri" w:hAnsi="Calibri" w:cs="Calibri"/>
          <w:b/>
          <w:bCs/>
          <w:color w:val="000000" w:themeColor="text1"/>
          <w:sz w:val="22"/>
          <w:szCs w:val="22"/>
        </w:rPr>
        <w:t xml:space="preserve"> a ČSOB Stavební spořitelny</w:t>
      </w:r>
      <w:r w:rsidR="00845107">
        <w:rPr>
          <w:rFonts w:ascii="Calibri" w:hAnsi="Calibri" w:cs="Calibri"/>
          <w:color w:val="000000" w:themeColor="text1"/>
          <w:sz w:val="22"/>
          <w:szCs w:val="22"/>
        </w:rPr>
        <w:t>.</w:t>
      </w:r>
    </w:p>
    <w:p w14:paraId="78E132BE" w14:textId="5AD7C097" w:rsidR="00142116" w:rsidRPr="00142116" w:rsidRDefault="00142116" w:rsidP="00142116">
      <w:pPr>
        <w:overflowPunct/>
        <w:autoSpaceDE/>
        <w:autoSpaceDN/>
        <w:adjustRightInd/>
        <w:textAlignment w:val="auto"/>
        <w:rPr>
          <w:rFonts w:ascii="Calibri" w:hAnsi="Calibri" w:cs="Calibri"/>
          <w:b/>
          <w:bCs/>
          <w:color w:val="000000"/>
          <w:sz w:val="22"/>
          <w:szCs w:val="22"/>
        </w:rPr>
      </w:pPr>
    </w:p>
    <w:p w14:paraId="15BD1149" w14:textId="4859D3DC" w:rsidR="0040774B" w:rsidRPr="002B52C8" w:rsidRDefault="0040774B" w:rsidP="0040774B">
      <w:pPr>
        <w:overflowPunct/>
        <w:autoSpaceDE/>
        <w:autoSpaceDN/>
        <w:adjustRightInd/>
        <w:textAlignment w:val="auto"/>
        <w:rPr>
          <w:rFonts w:ascii="Calibri" w:hAnsi="Calibri" w:cs="Calibri"/>
          <w:color w:val="000000"/>
          <w:sz w:val="22"/>
          <w:szCs w:val="22"/>
        </w:rPr>
      </w:pPr>
      <w:r w:rsidRPr="0040774B">
        <w:rPr>
          <w:rFonts w:ascii="Calibri" w:hAnsi="Calibri" w:cs="Calibri"/>
          <w:b/>
          <w:bCs/>
          <w:color w:val="000000"/>
          <w:sz w:val="22"/>
          <w:szCs w:val="22"/>
        </w:rPr>
        <w:t>Počet nových hypoték v červnu poklesl o 1 % meziměsíčně na 7 793 kusů, což je ovšem stále o 12 % více než před rokem.</w:t>
      </w:r>
      <w:r w:rsidRPr="002B52C8">
        <w:rPr>
          <w:rFonts w:ascii="Calibri" w:hAnsi="Calibri" w:cs="Calibri"/>
          <w:color w:val="000000"/>
          <w:sz w:val="22"/>
          <w:szCs w:val="22"/>
        </w:rPr>
        <w:t xml:space="preserve"> Odhadujeme, že po sezónním očištění se jejich počet </w:t>
      </w:r>
      <w:r w:rsidR="00212996">
        <w:rPr>
          <w:rFonts w:ascii="Calibri" w:hAnsi="Calibri" w:cs="Calibri"/>
          <w:color w:val="000000"/>
          <w:sz w:val="22"/>
          <w:szCs w:val="22"/>
        </w:rPr>
        <w:t>v červnu pohyboval</w:t>
      </w:r>
      <w:r w:rsidRPr="002B52C8">
        <w:rPr>
          <w:rFonts w:ascii="Calibri" w:hAnsi="Calibri" w:cs="Calibri"/>
          <w:color w:val="000000"/>
          <w:sz w:val="22"/>
          <w:szCs w:val="22"/>
        </w:rPr>
        <w:t xml:space="preserve"> okolo 6 414, přibližně 17 % pod průměrným počtem (7 765) v předchozích třech měsících. Od počátku roku dosáhl počet nových hypoték 45,5 tisíc</w:t>
      </w:r>
      <w:r w:rsidR="006A5E70">
        <w:rPr>
          <w:rFonts w:ascii="Calibri" w:hAnsi="Calibri" w:cs="Calibri"/>
          <w:color w:val="000000"/>
          <w:sz w:val="22"/>
          <w:szCs w:val="22"/>
        </w:rPr>
        <w:t>e</w:t>
      </w:r>
      <w:r w:rsidRPr="002B52C8">
        <w:rPr>
          <w:rFonts w:ascii="Calibri" w:hAnsi="Calibri" w:cs="Calibri"/>
          <w:color w:val="000000"/>
          <w:sz w:val="22"/>
          <w:szCs w:val="22"/>
        </w:rPr>
        <w:t xml:space="preserve"> kusů (+24 % meziročně). Dynamika počtu nových hypoték z posledních tří měsíců, tedy za duben až červen implikuje jejich letošní nárůst na celkový počet okolo 89 tisíc. To by bylo pod průměrnými počty okolo 92 tisíc z let 2016 až 2018, ale stále hluboko pod 114 tisíci z roku 2021. Ale po dubnovém zpřísnění podmínek ČNB lze očekávat menší počty nových hypoték.</w:t>
      </w:r>
      <w:r>
        <w:rPr>
          <w:rFonts w:ascii="Calibri" w:hAnsi="Calibri" w:cs="Calibri"/>
          <w:color w:val="000000"/>
          <w:sz w:val="22"/>
          <w:szCs w:val="22"/>
        </w:rPr>
        <w:t xml:space="preserve"> </w:t>
      </w:r>
      <w:r w:rsidRPr="002B52C8">
        <w:rPr>
          <w:rFonts w:ascii="Calibri" w:hAnsi="Calibri" w:cs="Calibri"/>
          <w:color w:val="000000"/>
          <w:sz w:val="22"/>
          <w:szCs w:val="22"/>
        </w:rPr>
        <w:t>T</w:t>
      </w:r>
      <w:r>
        <w:rPr>
          <w:rFonts w:ascii="Calibri" w:hAnsi="Calibri" w:cs="Calibri"/>
          <w:color w:val="000000"/>
          <w:sz w:val="22"/>
          <w:szCs w:val="22"/>
        </w:rPr>
        <w:t>o</w:t>
      </w:r>
      <w:r w:rsidRPr="002B52C8">
        <w:rPr>
          <w:rFonts w:ascii="Calibri" w:hAnsi="Calibri" w:cs="Calibri"/>
          <w:color w:val="000000"/>
          <w:sz w:val="22"/>
          <w:szCs w:val="22"/>
        </w:rPr>
        <w:t xml:space="preserve"> by při 7% negativní korekci do počtu nových hypoték </w:t>
      </w:r>
      <w:r w:rsidR="00212996">
        <w:rPr>
          <w:rFonts w:ascii="Calibri" w:hAnsi="Calibri" w:cs="Calibri"/>
          <w:color w:val="000000"/>
          <w:sz w:val="22"/>
          <w:szCs w:val="22"/>
        </w:rPr>
        <w:t>vůči druhému loňskému pololetí</w:t>
      </w:r>
      <w:r w:rsidRPr="002B52C8">
        <w:rPr>
          <w:rFonts w:ascii="Calibri" w:hAnsi="Calibri" w:cs="Calibri"/>
          <w:color w:val="000000"/>
          <w:sz w:val="22"/>
          <w:szCs w:val="22"/>
        </w:rPr>
        <w:t xml:space="preserve"> uzavřel</w:t>
      </w:r>
      <w:r w:rsidR="00212996">
        <w:rPr>
          <w:rFonts w:ascii="Calibri" w:hAnsi="Calibri" w:cs="Calibri"/>
          <w:color w:val="000000"/>
          <w:sz w:val="22"/>
          <w:szCs w:val="22"/>
        </w:rPr>
        <w:t>o</w:t>
      </w:r>
      <w:r w:rsidRPr="002B52C8">
        <w:rPr>
          <w:rFonts w:ascii="Calibri" w:hAnsi="Calibri" w:cs="Calibri"/>
          <w:color w:val="000000"/>
          <w:sz w:val="22"/>
          <w:szCs w:val="22"/>
        </w:rPr>
        <w:t xml:space="preserve"> letošní rok </w:t>
      </w:r>
      <w:r w:rsidR="00212996">
        <w:rPr>
          <w:rFonts w:ascii="Calibri" w:hAnsi="Calibri" w:cs="Calibri"/>
          <w:color w:val="000000"/>
          <w:sz w:val="22"/>
          <w:szCs w:val="22"/>
        </w:rPr>
        <w:t>s počtem okolo</w:t>
      </w:r>
      <w:r w:rsidRPr="002B52C8">
        <w:rPr>
          <w:rFonts w:ascii="Calibri" w:hAnsi="Calibri" w:cs="Calibri"/>
          <w:color w:val="000000"/>
          <w:sz w:val="22"/>
          <w:szCs w:val="22"/>
        </w:rPr>
        <w:t xml:space="preserve"> 82 tisíc, což by bylo o </w:t>
      </w:r>
      <w:r>
        <w:rPr>
          <w:rFonts w:ascii="Calibri" w:hAnsi="Calibri" w:cs="Calibri"/>
          <w:color w:val="000000"/>
          <w:sz w:val="22"/>
          <w:szCs w:val="22"/>
        </w:rPr>
        <w:t>téměř 8</w:t>
      </w:r>
      <w:r w:rsidRPr="002B52C8">
        <w:rPr>
          <w:rFonts w:ascii="Calibri" w:hAnsi="Calibri" w:cs="Calibri"/>
          <w:color w:val="000000"/>
          <w:sz w:val="22"/>
          <w:szCs w:val="22"/>
        </w:rPr>
        <w:t xml:space="preserve"> % více než v loňském roce. </w:t>
      </w:r>
    </w:p>
    <w:p w14:paraId="395BE716" w14:textId="77777777" w:rsidR="0040774B" w:rsidRDefault="0040774B" w:rsidP="001B2E5E">
      <w:pPr>
        <w:rPr>
          <w:rFonts w:ascii="Calibri" w:hAnsi="Calibri" w:cs="Calibri"/>
          <w:b/>
          <w:color w:val="13576B"/>
          <w:sz w:val="23"/>
          <w:szCs w:val="23"/>
        </w:rPr>
      </w:pPr>
    </w:p>
    <w:p w14:paraId="4296189D" w14:textId="77777777" w:rsidR="0040774B" w:rsidRDefault="0040774B" w:rsidP="001B2E5E">
      <w:pPr>
        <w:rPr>
          <w:rFonts w:ascii="Calibri" w:hAnsi="Calibri" w:cs="Calibri"/>
          <w:b/>
          <w:color w:val="13576B"/>
          <w:sz w:val="23"/>
          <w:szCs w:val="23"/>
        </w:rPr>
        <w:sectPr w:rsidR="0040774B" w:rsidSect="00A06A94">
          <w:headerReference w:type="default" r:id="rId14"/>
          <w:footerReference w:type="default" r:id="rId15"/>
          <w:pgSz w:w="11906" w:h="16838"/>
          <w:pgMar w:top="2552" w:right="849" w:bottom="1560" w:left="851" w:header="709" w:footer="283" w:gutter="0"/>
          <w:cols w:space="708"/>
          <w:docGrid w:linePitch="360"/>
        </w:sectPr>
      </w:pPr>
    </w:p>
    <w:p w14:paraId="198A354A" w14:textId="01F295A0" w:rsidR="00A71689" w:rsidRDefault="00616F34" w:rsidP="00C8784D">
      <w:pPr>
        <w:spacing w:after="120"/>
        <w:rPr>
          <w:rFonts w:ascii="Calibri" w:hAnsi="Calibri" w:cs="Calibri"/>
          <w:bCs/>
          <w:i/>
          <w:iCs/>
          <w:color w:val="13576B"/>
          <w:sz w:val="23"/>
          <w:szCs w:val="23"/>
        </w:rPr>
      </w:pPr>
      <w:r w:rsidRPr="00F463BF">
        <w:rPr>
          <w:rFonts w:ascii="Calibri" w:hAnsi="Calibri" w:cs="Calibri"/>
          <w:b/>
          <w:color w:val="13576B"/>
          <w:sz w:val="23"/>
          <w:szCs w:val="23"/>
        </w:rPr>
        <w:t xml:space="preserve">Graf </w:t>
      </w:r>
      <w:r w:rsidR="001B2E5E" w:rsidRPr="00F463BF">
        <w:rPr>
          <w:rFonts w:ascii="Calibri" w:hAnsi="Calibri" w:cs="Calibri"/>
          <w:b/>
          <w:color w:val="13576B"/>
          <w:sz w:val="23"/>
          <w:szCs w:val="23"/>
        </w:rPr>
        <w:t xml:space="preserve">č. </w:t>
      </w:r>
      <w:r w:rsidR="00E27948" w:rsidRPr="00F463BF">
        <w:rPr>
          <w:rFonts w:ascii="Calibri" w:hAnsi="Calibri" w:cs="Calibri"/>
          <w:b/>
          <w:color w:val="13576B"/>
          <w:sz w:val="23"/>
          <w:szCs w:val="23"/>
        </w:rPr>
        <w:t>2</w:t>
      </w:r>
      <w:r w:rsidR="001B2E5E" w:rsidRPr="00F463BF">
        <w:rPr>
          <w:rFonts w:ascii="Calibri" w:hAnsi="Calibri" w:cs="Calibri"/>
          <w:b/>
          <w:color w:val="13576B"/>
          <w:sz w:val="23"/>
          <w:szCs w:val="23"/>
        </w:rPr>
        <w:t>: Nov</w:t>
      </w:r>
      <w:r w:rsidR="00D66E1F">
        <w:rPr>
          <w:rFonts w:ascii="Calibri" w:hAnsi="Calibri" w:cs="Calibri"/>
          <w:b/>
          <w:color w:val="13576B"/>
          <w:sz w:val="23"/>
          <w:szCs w:val="23"/>
        </w:rPr>
        <w:t>ě posk</w:t>
      </w:r>
      <w:r w:rsidR="000B7D19">
        <w:rPr>
          <w:rFonts w:ascii="Calibri" w:hAnsi="Calibri" w:cs="Calibri"/>
          <w:b/>
          <w:color w:val="13576B"/>
          <w:sz w:val="23"/>
          <w:szCs w:val="23"/>
        </w:rPr>
        <w:t>y</w:t>
      </w:r>
      <w:r w:rsidR="00D66E1F">
        <w:rPr>
          <w:rFonts w:ascii="Calibri" w:hAnsi="Calibri" w:cs="Calibri"/>
          <w:b/>
          <w:color w:val="13576B"/>
          <w:sz w:val="23"/>
          <w:szCs w:val="23"/>
        </w:rPr>
        <w:t xml:space="preserve">tnuté </w:t>
      </w:r>
      <w:r w:rsidR="001B2E5E" w:rsidRPr="00F463BF">
        <w:rPr>
          <w:rFonts w:ascii="Calibri" w:hAnsi="Calibri" w:cs="Calibri"/>
          <w:b/>
          <w:color w:val="13576B"/>
          <w:sz w:val="23"/>
          <w:szCs w:val="23"/>
        </w:rPr>
        <w:t>hypotéky bez refinancování</w:t>
      </w:r>
      <w:r w:rsidR="00BC63D5" w:rsidRPr="00F463BF">
        <w:rPr>
          <w:rFonts w:ascii="Calibri" w:hAnsi="Calibri" w:cs="Calibri"/>
          <w:b/>
          <w:color w:val="13576B"/>
          <w:sz w:val="23"/>
          <w:szCs w:val="23"/>
        </w:rPr>
        <w:br/>
      </w:r>
      <w:r w:rsidR="00013D8A">
        <w:rPr>
          <w:rFonts w:ascii="Calibri" w:hAnsi="Calibri" w:cs="Calibri"/>
          <w:bCs/>
          <w:i/>
          <w:iCs/>
          <w:color w:val="13576B"/>
          <w:sz w:val="23"/>
          <w:szCs w:val="23"/>
        </w:rPr>
        <w:t xml:space="preserve">Červen přinesl korekci do </w:t>
      </w:r>
      <w:r w:rsidR="00C8784D">
        <w:rPr>
          <w:rFonts w:ascii="Calibri" w:hAnsi="Calibri" w:cs="Calibri"/>
          <w:bCs/>
          <w:i/>
          <w:iCs/>
          <w:color w:val="13576B"/>
          <w:sz w:val="23"/>
          <w:szCs w:val="23"/>
        </w:rPr>
        <w:t xml:space="preserve">vybraných metrik intenzity nových hypotečních úvěrů … </w:t>
      </w:r>
    </w:p>
    <w:p w14:paraId="593F8D50" w14:textId="44DC5604" w:rsidR="001B2E5E" w:rsidRDefault="001B2E5E" w:rsidP="00C8784D">
      <w:pPr>
        <w:spacing w:after="120"/>
        <w:rPr>
          <w:rFonts w:ascii="Calibri" w:hAnsi="Calibri" w:cs="Calibri"/>
          <w:b/>
          <w:color w:val="13576B"/>
          <w:sz w:val="23"/>
          <w:szCs w:val="23"/>
        </w:rPr>
      </w:pPr>
      <w:r w:rsidRPr="00C42E87">
        <w:rPr>
          <w:rFonts w:ascii="Calibri" w:hAnsi="Calibri" w:cs="Calibri"/>
          <w:b/>
          <w:color w:val="13576B"/>
          <w:sz w:val="23"/>
          <w:szCs w:val="23"/>
        </w:rPr>
        <w:t xml:space="preserve">Graf č. </w:t>
      </w:r>
      <w:r w:rsidR="00E27948">
        <w:rPr>
          <w:rFonts w:ascii="Calibri" w:hAnsi="Calibri" w:cs="Calibri"/>
          <w:b/>
          <w:color w:val="13576B"/>
          <w:sz w:val="23"/>
          <w:szCs w:val="23"/>
        </w:rPr>
        <w:t>3:</w:t>
      </w:r>
      <w:r w:rsidRPr="00C42E87">
        <w:rPr>
          <w:rFonts w:ascii="Calibri" w:hAnsi="Calibri" w:cs="Calibri"/>
          <w:b/>
          <w:color w:val="13576B"/>
          <w:sz w:val="23"/>
          <w:szCs w:val="23"/>
        </w:rPr>
        <w:t xml:space="preserve"> Průměrná výše hypotéky podle účelu</w:t>
      </w:r>
      <w:r>
        <w:rPr>
          <w:rFonts w:ascii="Calibri" w:hAnsi="Calibri" w:cs="Calibri"/>
          <w:b/>
          <w:color w:val="13576B"/>
          <w:sz w:val="23"/>
          <w:szCs w:val="23"/>
        </w:rPr>
        <w:t xml:space="preserve"> </w:t>
      </w:r>
    </w:p>
    <w:p w14:paraId="133B2338" w14:textId="0CD7A5D0" w:rsidR="001B2E5E" w:rsidRDefault="00C8784D" w:rsidP="00A71689">
      <w:pPr>
        <w:spacing w:after="120"/>
        <w:rPr>
          <w:rFonts w:ascii="Calibri" w:hAnsi="Calibri" w:cs="Calibri"/>
          <w:color w:val="000000"/>
          <w:sz w:val="22"/>
          <w:szCs w:val="22"/>
        </w:rPr>
        <w:sectPr w:rsidR="001B2E5E" w:rsidSect="001B2E5E">
          <w:type w:val="continuous"/>
          <w:pgSz w:w="11906" w:h="16838"/>
          <w:pgMar w:top="2552" w:right="849" w:bottom="1560" w:left="851" w:header="709" w:footer="283" w:gutter="0"/>
          <w:cols w:num="2" w:space="708"/>
          <w:docGrid w:linePitch="360"/>
        </w:sectPr>
      </w:pPr>
      <w:r>
        <w:rPr>
          <w:rFonts w:ascii="Calibri" w:hAnsi="Calibri" w:cs="Calibri"/>
          <w:bCs/>
          <w:i/>
          <w:iCs/>
          <w:color w:val="13576B"/>
          <w:sz w:val="23"/>
          <w:szCs w:val="23"/>
        </w:rPr>
        <w:t>… a to i díky návratu průměrné výše hypotéky pod březnové hodnoty</w:t>
      </w:r>
      <w:r w:rsidR="00A71689">
        <w:rPr>
          <w:rFonts w:ascii="Calibri" w:hAnsi="Calibri" w:cs="Calibri"/>
          <w:bCs/>
          <w:i/>
          <w:iCs/>
          <w:color w:val="13576B"/>
          <w:sz w:val="23"/>
          <w:szCs w:val="23"/>
        </w:rPr>
        <w:t xml:space="preserve">. </w:t>
      </w:r>
      <w:r w:rsidR="00A71689" w:rsidRPr="00A71689">
        <w:rPr>
          <w:rFonts w:ascii="Calibri" w:hAnsi="Calibri" w:cs="Calibri"/>
          <w:bCs/>
          <w:i/>
          <w:iCs/>
          <w:color w:val="13576B"/>
          <w:sz w:val="23"/>
          <w:szCs w:val="23"/>
        </w:rPr>
        <w:tab/>
      </w:r>
      <w:r w:rsidR="00A71689" w:rsidRPr="00A71689">
        <w:rPr>
          <w:rFonts w:ascii="Calibri" w:hAnsi="Calibri" w:cs="Calibri"/>
          <w:bCs/>
          <w:i/>
          <w:iCs/>
          <w:color w:val="13576B"/>
          <w:sz w:val="23"/>
          <w:szCs w:val="23"/>
        </w:rPr>
        <w:tab/>
      </w:r>
    </w:p>
    <w:p w14:paraId="64EBBCB8" w14:textId="0CC20A74" w:rsidR="00686618" w:rsidRDefault="00013D8A" w:rsidP="00606031">
      <w:pPr>
        <w:rPr>
          <w:rFonts w:ascii="Calibri Light" w:hAnsi="Calibri Light" w:cs="Calibri Light"/>
          <w:noProof/>
          <w:color w:val="13576B"/>
          <w:sz w:val="20"/>
        </w:rPr>
      </w:pPr>
      <w:r>
        <w:rPr>
          <w:rFonts w:ascii="Calibri Light" w:hAnsi="Calibri Light" w:cs="Calibri Light"/>
          <w:noProof/>
          <w:color w:val="13576B"/>
          <w:sz w:val="20"/>
        </w:rPr>
        <w:drawing>
          <wp:inline distT="0" distB="0" distL="0" distR="0" wp14:anchorId="7D8C2EFE" wp14:editId="2E491563">
            <wp:extent cx="2934182" cy="1848081"/>
            <wp:effectExtent l="0" t="0" r="0" b="0"/>
            <wp:docPr id="144212021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990342" cy="1883453"/>
                    </a:xfrm>
                    <a:prstGeom prst="rect">
                      <a:avLst/>
                    </a:prstGeom>
                    <a:noFill/>
                  </pic:spPr>
                </pic:pic>
              </a:graphicData>
            </a:graphic>
          </wp:inline>
        </w:drawing>
      </w:r>
    </w:p>
    <w:p w14:paraId="2A1F1E51" w14:textId="77777777" w:rsidR="00436085" w:rsidRPr="00606031" w:rsidRDefault="00436085" w:rsidP="00436085">
      <w:pPr>
        <w:rPr>
          <w:rFonts w:ascii="Calibri" w:hAnsi="Calibri" w:cs="Calibri"/>
          <w:bCs/>
          <w:i/>
          <w:iCs/>
          <w:color w:val="EE0000"/>
          <w:sz w:val="23"/>
          <w:szCs w:val="23"/>
        </w:rPr>
      </w:pPr>
      <w:r>
        <w:rPr>
          <w:rFonts w:ascii="Calibri Light" w:hAnsi="Calibri Light" w:cs="Calibri Light"/>
          <w:color w:val="13576B"/>
          <w:sz w:val="20"/>
        </w:rPr>
        <w:t>P</w:t>
      </w:r>
      <w:r w:rsidRPr="00277397">
        <w:rPr>
          <w:rFonts w:ascii="Calibri Light" w:hAnsi="Calibri Light" w:cs="Calibri Light"/>
          <w:color w:val="13576B"/>
          <w:sz w:val="20"/>
        </w:rPr>
        <w:t>ramen:</w:t>
      </w:r>
      <w:r w:rsidRPr="00686618">
        <w:rPr>
          <w:rFonts w:ascii="Calibri Light" w:hAnsi="Calibri Light" w:cs="Calibri Light"/>
          <w:color w:val="13576B"/>
          <w:sz w:val="20"/>
        </w:rPr>
        <w:t xml:space="preserve"> Česká bankovní asociace, ČNB, ČSÚ, Flat Zone</w:t>
      </w:r>
      <w:r w:rsidRPr="00277397">
        <w:rPr>
          <w:rFonts w:ascii="Calibri Light" w:hAnsi="Calibri Light" w:cs="Calibri Light"/>
          <w:color w:val="13576B"/>
          <w:sz w:val="20"/>
        </w:rPr>
        <w:t>.</w:t>
      </w:r>
    </w:p>
    <w:p w14:paraId="4DD0766A" w14:textId="6241551B" w:rsidR="00D2301A" w:rsidRPr="00D24B00" w:rsidRDefault="00C8784D" w:rsidP="004A5428">
      <w:pPr>
        <w:rPr>
          <w:rFonts w:ascii="Calibri" w:hAnsi="Calibri" w:cs="Calibri"/>
          <w:b/>
          <w:bCs/>
          <w:sz w:val="22"/>
          <w:szCs w:val="22"/>
          <w:highlight w:val="yellow"/>
        </w:rPr>
      </w:pPr>
      <w:r>
        <w:rPr>
          <w:rFonts w:ascii="Calibri" w:hAnsi="Calibri" w:cs="Calibri"/>
          <w:b/>
          <w:bCs/>
          <w:noProof/>
          <w:sz w:val="22"/>
          <w:szCs w:val="22"/>
          <w:highlight w:val="yellow"/>
        </w:rPr>
        <w:drawing>
          <wp:inline distT="0" distB="0" distL="0" distR="0" wp14:anchorId="6B9FA8BE" wp14:editId="381841BD">
            <wp:extent cx="3010446" cy="1832583"/>
            <wp:effectExtent l="0" t="0" r="0" b="0"/>
            <wp:docPr id="808527773"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024815" cy="1841330"/>
                    </a:xfrm>
                    <a:prstGeom prst="rect">
                      <a:avLst/>
                    </a:prstGeom>
                    <a:noFill/>
                  </pic:spPr>
                </pic:pic>
              </a:graphicData>
            </a:graphic>
          </wp:inline>
        </w:drawing>
      </w:r>
    </w:p>
    <w:p w14:paraId="432F9ABC" w14:textId="77777777" w:rsidR="00606031" w:rsidRDefault="004A5428" w:rsidP="004A5428">
      <w:pPr>
        <w:overflowPunct/>
        <w:autoSpaceDE/>
        <w:adjustRightInd/>
        <w:rPr>
          <w:rFonts w:ascii="Calibri Light" w:hAnsi="Calibri Light" w:cs="Calibri Light"/>
          <w:color w:val="13576B"/>
          <w:sz w:val="20"/>
        </w:rPr>
        <w:sectPr w:rsidR="00606031" w:rsidSect="00606031">
          <w:type w:val="continuous"/>
          <w:pgSz w:w="11906" w:h="16838"/>
          <w:pgMar w:top="2552" w:right="849" w:bottom="1560" w:left="851" w:header="709" w:footer="283" w:gutter="0"/>
          <w:cols w:num="2" w:space="708"/>
          <w:docGrid w:linePitch="360"/>
        </w:sectPr>
      </w:pPr>
      <w:r w:rsidRPr="002F4CBD">
        <w:rPr>
          <w:rFonts w:ascii="Calibri Light" w:hAnsi="Calibri Light" w:cs="Calibri Light"/>
          <w:color w:val="13576B"/>
          <w:sz w:val="20"/>
        </w:rPr>
        <w:t xml:space="preserve">Pramen: </w:t>
      </w:r>
      <w:r>
        <w:rPr>
          <w:rFonts w:ascii="Calibri Light" w:hAnsi="Calibri Light" w:cs="Calibri Light"/>
          <w:color w:val="13576B"/>
          <w:sz w:val="20"/>
        </w:rPr>
        <w:t xml:space="preserve">ČNB, </w:t>
      </w:r>
      <w:r w:rsidRPr="002F4CBD">
        <w:rPr>
          <w:rFonts w:ascii="Calibri Light" w:hAnsi="Calibri Light" w:cs="Calibri Light"/>
          <w:color w:val="13576B"/>
          <w:sz w:val="20"/>
        </w:rPr>
        <w:t>ČBA Hypomonitor</w:t>
      </w:r>
    </w:p>
    <w:bookmarkEnd w:id="2"/>
    <w:bookmarkEnd w:id="3"/>
    <w:bookmarkEnd w:id="4"/>
    <w:p w14:paraId="726B8896" w14:textId="77777777" w:rsidR="00212996" w:rsidRDefault="00845107" w:rsidP="00845107">
      <w:pPr>
        <w:overflowPunct/>
        <w:autoSpaceDE/>
        <w:autoSpaceDN/>
        <w:adjustRightInd/>
        <w:textAlignment w:val="auto"/>
        <w:rPr>
          <w:rFonts w:ascii="Calibri" w:hAnsi="Calibri" w:cs="Calibri"/>
          <w:color w:val="000000"/>
          <w:sz w:val="22"/>
          <w:szCs w:val="22"/>
        </w:rPr>
      </w:pPr>
      <w:r w:rsidRPr="00845107">
        <w:rPr>
          <w:rFonts w:ascii="Calibri" w:hAnsi="Calibri" w:cs="Calibri"/>
          <w:b/>
          <w:bCs/>
          <w:color w:val="000000"/>
          <w:sz w:val="22"/>
          <w:szCs w:val="22"/>
        </w:rPr>
        <w:lastRenderedPageBreak/>
        <w:t>Objem refinancovaných a navýšených úvěrů (interně či z jiné instituce) v červnu poklesl na 12,4 mld. Kč.</w:t>
      </w:r>
      <w:r w:rsidRPr="00845107">
        <w:rPr>
          <w:rFonts w:ascii="Calibri" w:hAnsi="Calibri" w:cs="Calibri"/>
          <w:color w:val="000000"/>
          <w:sz w:val="22"/>
          <w:szCs w:val="22"/>
        </w:rPr>
        <w:t xml:space="preserve"> To je </w:t>
      </w:r>
      <w:r>
        <w:rPr>
          <w:rFonts w:ascii="Calibri" w:hAnsi="Calibri" w:cs="Calibri"/>
          <w:color w:val="000000"/>
          <w:sz w:val="22"/>
          <w:szCs w:val="22"/>
        </w:rPr>
        <w:t xml:space="preserve">nicméně </w:t>
      </w:r>
      <w:r w:rsidRPr="00845107">
        <w:rPr>
          <w:rFonts w:ascii="Calibri" w:hAnsi="Calibri" w:cs="Calibri"/>
          <w:color w:val="000000"/>
          <w:sz w:val="22"/>
          <w:szCs w:val="22"/>
        </w:rPr>
        <w:t xml:space="preserve">o 75 % více než průměrných 7,1 miliardy refinancovaných v loňském roce a </w:t>
      </w:r>
      <w:r w:rsidRPr="003F45B7">
        <w:rPr>
          <w:rFonts w:ascii="Calibri" w:hAnsi="Calibri" w:cs="Calibri"/>
          <w:color w:val="000000"/>
          <w:sz w:val="22"/>
          <w:szCs w:val="22"/>
        </w:rPr>
        <w:t>trojnásobně více než refinancované objemy v roce 2024.</w:t>
      </w:r>
      <w:r w:rsidRPr="00845107">
        <w:rPr>
          <w:rFonts w:ascii="Calibri" w:hAnsi="Calibri" w:cs="Calibri"/>
          <w:color w:val="000000"/>
          <w:sz w:val="22"/>
          <w:szCs w:val="22"/>
        </w:rPr>
        <w:t xml:space="preserve"> Podíl refinancovaných úvěrů na celkovém objemu poskytnutých hypoték pak </w:t>
      </w:r>
      <w:r>
        <w:rPr>
          <w:rFonts w:ascii="Calibri" w:hAnsi="Calibri" w:cs="Calibri"/>
          <w:color w:val="000000"/>
          <w:sz w:val="22"/>
          <w:szCs w:val="22"/>
        </w:rPr>
        <w:t>po</w:t>
      </w:r>
      <w:r w:rsidRPr="00845107">
        <w:rPr>
          <w:rFonts w:ascii="Calibri" w:hAnsi="Calibri" w:cs="Calibri"/>
          <w:color w:val="000000"/>
          <w:sz w:val="22"/>
          <w:szCs w:val="22"/>
        </w:rPr>
        <w:t xml:space="preserve">klesl na 25,4 %, </w:t>
      </w:r>
      <w:r>
        <w:rPr>
          <w:rFonts w:ascii="Calibri" w:hAnsi="Calibri" w:cs="Calibri"/>
          <w:color w:val="000000"/>
          <w:sz w:val="22"/>
          <w:szCs w:val="22"/>
        </w:rPr>
        <w:t>ale zůstává výrazně</w:t>
      </w:r>
      <w:r w:rsidRPr="003F45B7">
        <w:rPr>
          <w:rFonts w:ascii="Calibri" w:hAnsi="Calibri" w:cs="Calibri"/>
          <w:color w:val="000000"/>
          <w:sz w:val="22"/>
          <w:szCs w:val="22"/>
        </w:rPr>
        <w:t xml:space="preserve"> nad loňským průměrem </w:t>
      </w:r>
      <w:r>
        <w:rPr>
          <w:rFonts w:ascii="Calibri" w:hAnsi="Calibri" w:cs="Calibri"/>
          <w:color w:val="000000"/>
          <w:sz w:val="22"/>
          <w:szCs w:val="22"/>
        </w:rPr>
        <w:t>21</w:t>
      </w:r>
      <w:r w:rsidRPr="003F45B7">
        <w:rPr>
          <w:rFonts w:ascii="Calibri" w:hAnsi="Calibri" w:cs="Calibri"/>
          <w:color w:val="000000"/>
          <w:sz w:val="22"/>
          <w:szCs w:val="22"/>
        </w:rPr>
        <w:t xml:space="preserve"> %. </w:t>
      </w:r>
      <w:r w:rsidRPr="00845107">
        <w:rPr>
          <w:rFonts w:ascii="Calibri" w:hAnsi="Calibri" w:cs="Calibri"/>
          <w:color w:val="000000"/>
          <w:sz w:val="22"/>
          <w:szCs w:val="22"/>
        </w:rPr>
        <w:t xml:space="preserve">Nachází se tak nad 17,2% podílem z let 2022-2023, ovšem stále pod téměř 29% podílem z let 2020-2021, kdy domácnosti refinancovaly za hypoteční sazbu 2,14 %. </w:t>
      </w:r>
    </w:p>
    <w:p w14:paraId="6CDFD9B4" w14:textId="77777777" w:rsidR="00212996" w:rsidRDefault="00212996" w:rsidP="00845107">
      <w:pPr>
        <w:overflowPunct/>
        <w:autoSpaceDE/>
        <w:autoSpaceDN/>
        <w:adjustRightInd/>
        <w:textAlignment w:val="auto"/>
        <w:rPr>
          <w:rFonts w:ascii="Calibri" w:hAnsi="Calibri" w:cs="Calibri"/>
          <w:color w:val="000000"/>
          <w:sz w:val="22"/>
          <w:szCs w:val="22"/>
        </w:rPr>
      </w:pPr>
    </w:p>
    <w:p w14:paraId="7AB6C924" w14:textId="2263E1F3" w:rsidR="00845107" w:rsidRPr="00845107" w:rsidRDefault="00845107" w:rsidP="00845107">
      <w:pPr>
        <w:overflowPunct/>
        <w:autoSpaceDE/>
        <w:autoSpaceDN/>
        <w:adjustRightInd/>
        <w:textAlignment w:val="auto"/>
        <w:rPr>
          <w:rFonts w:ascii="Calibri" w:hAnsi="Calibri" w:cs="Calibri"/>
          <w:color w:val="000000"/>
          <w:sz w:val="22"/>
          <w:szCs w:val="22"/>
        </w:rPr>
      </w:pPr>
      <w:r w:rsidRPr="00845107">
        <w:rPr>
          <w:rFonts w:ascii="Calibri" w:hAnsi="Calibri" w:cs="Calibri"/>
          <w:color w:val="000000"/>
          <w:sz w:val="22"/>
          <w:szCs w:val="22"/>
        </w:rPr>
        <w:t xml:space="preserve">V červnu 2026 se domácnosti refinancovaly za úrokovou sazbu 4,63 %, </w:t>
      </w:r>
      <w:r>
        <w:rPr>
          <w:rFonts w:ascii="Calibri" w:hAnsi="Calibri" w:cs="Calibri"/>
          <w:color w:val="000000"/>
          <w:sz w:val="22"/>
          <w:szCs w:val="22"/>
        </w:rPr>
        <w:t xml:space="preserve">což je </w:t>
      </w:r>
      <w:r w:rsidRPr="00845107">
        <w:rPr>
          <w:rFonts w:ascii="Calibri" w:hAnsi="Calibri" w:cs="Calibri"/>
          <w:color w:val="000000"/>
          <w:sz w:val="22"/>
          <w:szCs w:val="22"/>
        </w:rPr>
        <w:t xml:space="preserve">0,12 procentního bodu více než 4,51 % před rokem. </w:t>
      </w:r>
      <w:r>
        <w:rPr>
          <w:rFonts w:ascii="Calibri" w:hAnsi="Calibri" w:cs="Calibri"/>
          <w:color w:val="000000"/>
          <w:sz w:val="22"/>
          <w:szCs w:val="22"/>
        </w:rPr>
        <w:t xml:space="preserve">Ovšem hypoteční sazba na refinancování se v červnu nacházela téměř o dvě desetiny procentního bodu pod úrokovou sazbou pro skutečně nové hypotéky. </w:t>
      </w:r>
      <w:r w:rsidRPr="003F45B7">
        <w:rPr>
          <w:rFonts w:ascii="Calibri" w:hAnsi="Calibri" w:cs="Calibri"/>
          <w:color w:val="000000"/>
          <w:sz w:val="22"/>
          <w:szCs w:val="22"/>
        </w:rPr>
        <w:t>Vyšší objemy refinancování odrážejí souběh končících delších fixací z období nízkých úrokových sazeb a kratších fixací z nedávného období vyšších úrokových sazeb.</w:t>
      </w:r>
      <w:r>
        <w:rPr>
          <w:rFonts w:ascii="Calibri" w:hAnsi="Calibri" w:cs="Calibri"/>
          <w:color w:val="000000"/>
          <w:sz w:val="22"/>
          <w:szCs w:val="22"/>
        </w:rPr>
        <w:t xml:space="preserve"> </w:t>
      </w:r>
      <w:r w:rsidRPr="00DA2CF3">
        <w:rPr>
          <w:rFonts w:ascii="Calibri" w:hAnsi="Calibri" w:cs="Calibri"/>
          <w:color w:val="000000"/>
          <w:sz w:val="22"/>
          <w:szCs w:val="22"/>
        </w:rPr>
        <w:t xml:space="preserve">Blíže k stoupající vlně refixací viz Fokus ČBA: </w:t>
      </w:r>
      <w:hyperlink r:id="rId18" w:history="1">
        <w:r w:rsidRPr="00DA2CF3">
          <w:rPr>
            <w:rStyle w:val="Hypertextovodkaz"/>
            <w:rFonts w:ascii="Calibri" w:hAnsi="Calibri" w:cs="Calibri"/>
            <w:sz w:val="22"/>
            <w:szCs w:val="22"/>
          </w:rPr>
          <w:t>Vlna refixací hypoték sílí, úrokový šok ale slábne. Rizikem zůstává vyšší inflace</w:t>
        </w:r>
      </w:hyperlink>
      <w:r w:rsidRPr="00DA2CF3">
        <w:rPr>
          <w:rFonts w:ascii="Calibri" w:hAnsi="Calibri" w:cs="Calibri"/>
          <w:sz w:val="22"/>
          <w:szCs w:val="22"/>
        </w:rPr>
        <w:t>.</w:t>
      </w:r>
    </w:p>
    <w:p w14:paraId="3339B245" w14:textId="77777777" w:rsidR="00652484" w:rsidRPr="00FF3215" w:rsidRDefault="00652484" w:rsidP="00436085">
      <w:pPr>
        <w:overflowPunct/>
        <w:autoSpaceDE/>
        <w:autoSpaceDN/>
        <w:adjustRightInd/>
        <w:textAlignment w:val="auto"/>
        <w:rPr>
          <w:rFonts w:ascii="Calibri" w:hAnsi="Calibri" w:cs="Calibri"/>
          <w:b/>
          <w:bCs/>
          <w:color w:val="000000"/>
          <w:sz w:val="22"/>
          <w:szCs w:val="22"/>
        </w:rPr>
      </w:pPr>
    </w:p>
    <w:p w14:paraId="38A6516B" w14:textId="47B36FB1" w:rsidR="00436085" w:rsidRPr="00CC5202" w:rsidRDefault="00436085" w:rsidP="00436085">
      <w:pPr>
        <w:pBdr>
          <w:top w:val="single" w:sz="4" w:space="4" w:color="auto"/>
          <w:left w:val="single" w:sz="4" w:space="4" w:color="auto"/>
          <w:bottom w:val="single" w:sz="4" w:space="1" w:color="auto"/>
          <w:right w:val="single" w:sz="4" w:space="4" w:color="auto"/>
          <w:between w:val="single" w:sz="4" w:space="1" w:color="auto"/>
          <w:bar w:val="single" w:sz="4" w:color="auto"/>
        </w:pBdr>
        <w:rPr>
          <w:rFonts w:ascii="Calibri" w:eastAsia="Calibri" w:hAnsi="Calibri" w:cs="Calibri"/>
          <w:i/>
          <w:iCs/>
          <w:sz w:val="22"/>
          <w:szCs w:val="22"/>
        </w:rPr>
      </w:pPr>
      <w:r w:rsidRPr="00AB747A">
        <w:rPr>
          <w:rFonts w:ascii="Calibri" w:hAnsi="Calibri" w:cs="Calibri"/>
          <w:i/>
          <w:iCs/>
          <w:color w:val="000000" w:themeColor="text1"/>
          <w:sz w:val="22"/>
          <w:szCs w:val="22"/>
        </w:rPr>
        <w:t>„</w:t>
      </w:r>
      <w:r w:rsidR="009533C7" w:rsidRPr="009533C7">
        <w:rPr>
          <w:rFonts w:ascii="Calibri" w:hAnsi="Calibri" w:cs="Calibri"/>
          <w:i/>
          <w:iCs/>
          <w:color w:val="000000" w:themeColor="text1"/>
          <w:sz w:val="22"/>
          <w:szCs w:val="22"/>
        </w:rPr>
        <w:t>Červen tradičně patří z pohledu objemu nově poskytnutých hypoték mezi silnější měsíce a historicky po květnu obvykle přichází meziměsíční nárůst. Letos však objem nových hypoték oproti květnu přibližně o 4 % poklesl. Za tímto vývojem stojí především ochlazení poptávky po hypotékách během jarních měsíců, které bylo reakcí na růst úrokových sazeb. Banky do svých nabídkových sazeb promítly významnou část růstu zdrojových sazeb, což se následně odrazilo i v celkových výsledcích hypotečního trhu</w:t>
      </w:r>
      <w:r w:rsidR="00586686">
        <w:rPr>
          <w:rFonts w:ascii="Calibri" w:hAnsi="Calibri" w:cs="Calibri"/>
          <w:i/>
          <w:iCs/>
          <w:color w:val="000000" w:themeColor="text1"/>
          <w:sz w:val="22"/>
          <w:szCs w:val="22"/>
        </w:rPr>
        <w:t>,</w:t>
      </w:r>
      <w:r>
        <w:rPr>
          <w:rFonts w:ascii="Calibri" w:hAnsi="Calibri" w:cs="Calibri"/>
          <w:i/>
          <w:iCs/>
          <w:color w:val="000000" w:themeColor="text1"/>
          <w:sz w:val="22"/>
          <w:szCs w:val="22"/>
        </w:rPr>
        <w:t xml:space="preserve">“ </w:t>
      </w:r>
      <w:r>
        <w:rPr>
          <w:rFonts w:ascii="Calibri" w:hAnsi="Calibri" w:cs="Calibri"/>
          <w:color w:val="000000" w:themeColor="text1"/>
          <w:sz w:val="22"/>
          <w:szCs w:val="22"/>
        </w:rPr>
        <w:t>podotýká</w:t>
      </w:r>
      <w:r w:rsidRPr="002F6A6D">
        <w:rPr>
          <w:rFonts w:ascii="Calibri" w:hAnsi="Calibri" w:cs="Calibri"/>
          <w:color w:val="000000" w:themeColor="text1"/>
          <w:sz w:val="22"/>
          <w:szCs w:val="22"/>
        </w:rPr>
        <w:t xml:space="preserve"> </w:t>
      </w:r>
      <w:r w:rsidR="004934D9" w:rsidRPr="004934D9">
        <w:rPr>
          <w:rFonts w:ascii="Calibri" w:hAnsi="Calibri" w:cs="Calibri"/>
          <w:b/>
          <w:bCs/>
          <w:color w:val="000000" w:themeColor="text1"/>
          <w:sz w:val="22"/>
          <w:szCs w:val="22"/>
        </w:rPr>
        <w:t>M</w:t>
      </w:r>
      <w:r w:rsidR="00A12D28">
        <w:rPr>
          <w:rFonts w:ascii="Calibri" w:hAnsi="Calibri" w:cs="Calibri"/>
          <w:b/>
          <w:bCs/>
          <w:color w:val="000000" w:themeColor="text1"/>
          <w:sz w:val="22"/>
          <w:szCs w:val="22"/>
        </w:rPr>
        <w:t>arek Richter</w:t>
      </w:r>
      <w:r w:rsidR="004934D9" w:rsidRPr="004934D9">
        <w:rPr>
          <w:rFonts w:ascii="Calibri" w:hAnsi="Calibri" w:cs="Calibri"/>
          <w:b/>
          <w:bCs/>
          <w:color w:val="000000" w:themeColor="text1"/>
          <w:sz w:val="22"/>
          <w:szCs w:val="22"/>
        </w:rPr>
        <w:t xml:space="preserve">, </w:t>
      </w:r>
      <w:r w:rsidR="009533C7">
        <w:rPr>
          <w:rFonts w:ascii="Calibri" w:hAnsi="Calibri" w:cs="Calibri"/>
          <w:b/>
          <w:bCs/>
          <w:color w:val="000000" w:themeColor="text1"/>
          <w:sz w:val="22"/>
          <w:szCs w:val="22"/>
        </w:rPr>
        <w:t xml:space="preserve">šéf </w:t>
      </w:r>
      <w:r w:rsidR="00A12D28">
        <w:rPr>
          <w:rFonts w:ascii="Calibri" w:hAnsi="Calibri" w:cs="Calibri"/>
          <w:b/>
          <w:bCs/>
          <w:color w:val="000000" w:themeColor="text1"/>
          <w:sz w:val="22"/>
          <w:szCs w:val="22"/>
        </w:rPr>
        <w:t>hypot</w:t>
      </w:r>
      <w:r w:rsidR="009533C7">
        <w:rPr>
          <w:rFonts w:ascii="Calibri" w:hAnsi="Calibri" w:cs="Calibri"/>
          <w:b/>
          <w:bCs/>
          <w:color w:val="000000" w:themeColor="text1"/>
          <w:sz w:val="22"/>
          <w:szCs w:val="22"/>
        </w:rPr>
        <w:t>ék v</w:t>
      </w:r>
      <w:r w:rsidR="00A12D28">
        <w:rPr>
          <w:rFonts w:ascii="Calibri" w:hAnsi="Calibri" w:cs="Calibri"/>
          <w:b/>
          <w:bCs/>
          <w:color w:val="000000" w:themeColor="text1"/>
          <w:sz w:val="22"/>
          <w:szCs w:val="22"/>
        </w:rPr>
        <w:t xml:space="preserve"> Air Bank. </w:t>
      </w:r>
    </w:p>
    <w:p w14:paraId="0A09737B" w14:textId="77777777" w:rsidR="00652484" w:rsidRDefault="00652484" w:rsidP="00436085">
      <w:pPr>
        <w:rPr>
          <w:rFonts w:ascii="Calibri" w:hAnsi="Calibri" w:cs="Calibri"/>
          <w:b/>
          <w:color w:val="13576B"/>
          <w:sz w:val="23"/>
          <w:szCs w:val="23"/>
        </w:rPr>
      </w:pPr>
    </w:p>
    <w:p w14:paraId="79DB8501" w14:textId="093D00F2" w:rsidR="00436085" w:rsidRDefault="00436085" w:rsidP="00436085">
      <w:pPr>
        <w:rPr>
          <w:rFonts w:ascii="Calibri" w:hAnsi="Calibri" w:cs="Calibri"/>
          <w:b/>
          <w:color w:val="13576B"/>
          <w:sz w:val="23"/>
          <w:szCs w:val="23"/>
        </w:rPr>
      </w:pPr>
      <w:r>
        <w:rPr>
          <w:rFonts w:ascii="Calibri" w:hAnsi="Calibri" w:cs="Calibri"/>
          <w:b/>
          <w:color w:val="13576B"/>
          <w:sz w:val="23"/>
          <w:szCs w:val="23"/>
        </w:rPr>
        <w:t>P</w:t>
      </w:r>
      <w:r w:rsidRPr="008B048B">
        <w:rPr>
          <w:rFonts w:ascii="Calibri" w:hAnsi="Calibri" w:cs="Calibri"/>
          <w:b/>
          <w:color w:val="13576B"/>
          <w:sz w:val="23"/>
          <w:szCs w:val="23"/>
        </w:rPr>
        <w:t xml:space="preserve">růměrná hypoteční sazba </w:t>
      </w:r>
      <w:r>
        <w:rPr>
          <w:rFonts w:ascii="Calibri" w:hAnsi="Calibri" w:cs="Calibri"/>
          <w:b/>
          <w:color w:val="13576B"/>
          <w:sz w:val="23"/>
          <w:szCs w:val="23"/>
        </w:rPr>
        <w:t>v</w:t>
      </w:r>
      <w:r w:rsidR="00A71689">
        <w:rPr>
          <w:rFonts w:ascii="Calibri" w:hAnsi="Calibri" w:cs="Calibri"/>
          <w:b/>
          <w:color w:val="13576B"/>
          <w:sz w:val="23"/>
          <w:szCs w:val="23"/>
        </w:rPr>
        <w:t> </w:t>
      </w:r>
      <w:r w:rsidR="00F86368">
        <w:rPr>
          <w:rFonts w:ascii="Calibri" w:hAnsi="Calibri" w:cs="Calibri"/>
          <w:b/>
          <w:color w:val="13576B"/>
          <w:sz w:val="23"/>
          <w:szCs w:val="23"/>
        </w:rPr>
        <w:t>červnu</w:t>
      </w:r>
      <w:r w:rsidR="00A71689">
        <w:rPr>
          <w:rFonts w:ascii="Calibri" w:hAnsi="Calibri" w:cs="Calibri"/>
          <w:b/>
          <w:color w:val="13576B"/>
          <w:sz w:val="23"/>
          <w:szCs w:val="23"/>
        </w:rPr>
        <w:t xml:space="preserve"> vzrostla na 4,</w:t>
      </w:r>
      <w:r w:rsidR="00F86368">
        <w:rPr>
          <w:rFonts w:ascii="Calibri" w:hAnsi="Calibri" w:cs="Calibri"/>
          <w:b/>
          <w:color w:val="13576B"/>
          <w:sz w:val="23"/>
          <w:szCs w:val="23"/>
        </w:rPr>
        <w:t>79</w:t>
      </w:r>
      <w:r w:rsidR="00A71689">
        <w:rPr>
          <w:rFonts w:ascii="Calibri" w:hAnsi="Calibri" w:cs="Calibri"/>
          <w:b/>
          <w:color w:val="13576B"/>
          <w:sz w:val="23"/>
          <w:szCs w:val="23"/>
        </w:rPr>
        <w:t xml:space="preserve"> %</w:t>
      </w:r>
      <w:r w:rsidR="00F86368">
        <w:rPr>
          <w:rFonts w:ascii="Calibri" w:hAnsi="Calibri" w:cs="Calibri"/>
          <w:b/>
          <w:color w:val="13576B"/>
          <w:sz w:val="23"/>
          <w:szCs w:val="23"/>
        </w:rPr>
        <w:t xml:space="preserve"> v reflexi předchozího silného </w:t>
      </w:r>
      <w:r w:rsidR="00212996">
        <w:rPr>
          <w:rFonts w:ascii="Calibri" w:hAnsi="Calibri" w:cs="Calibri"/>
          <w:b/>
          <w:color w:val="13576B"/>
          <w:sz w:val="23"/>
          <w:szCs w:val="23"/>
        </w:rPr>
        <w:t>ná</w:t>
      </w:r>
      <w:r w:rsidR="00A71689">
        <w:rPr>
          <w:rFonts w:ascii="Calibri" w:hAnsi="Calibri" w:cs="Calibri"/>
          <w:b/>
          <w:color w:val="13576B"/>
          <w:sz w:val="23"/>
          <w:szCs w:val="23"/>
        </w:rPr>
        <w:t>růst</w:t>
      </w:r>
      <w:r w:rsidR="00A15939">
        <w:rPr>
          <w:rFonts w:ascii="Calibri" w:hAnsi="Calibri" w:cs="Calibri"/>
          <w:b/>
          <w:color w:val="13576B"/>
          <w:sz w:val="23"/>
          <w:szCs w:val="23"/>
        </w:rPr>
        <w:t>u</w:t>
      </w:r>
      <w:r w:rsidR="00A71689">
        <w:rPr>
          <w:rFonts w:ascii="Calibri" w:hAnsi="Calibri" w:cs="Calibri"/>
          <w:b/>
          <w:color w:val="13576B"/>
          <w:sz w:val="23"/>
          <w:szCs w:val="23"/>
        </w:rPr>
        <w:t xml:space="preserve"> tržních úrok</w:t>
      </w:r>
      <w:r w:rsidR="00F86368">
        <w:rPr>
          <w:rFonts w:ascii="Calibri" w:hAnsi="Calibri" w:cs="Calibri"/>
          <w:b/>
          <w:color w:val="13576B"/>
          <w:sz w:val="23"/>
          <w:szCs w:val="23"/>
        </w:rPr>
        <w:t>ů</w:t>
      </w:r>
    </w:p>
    <w:p w14:paraId="17D6276F" w14:textId="77777777" w:rsidR="00B12AAF" w:rsidRDefault="00B12AAF" w:rsidP="00436085">
      <w:pPr>
        <w:rPr>
          <w:rFonts w:ascii="Calibri" w:hAnsi="Calibri" w:cs="Calibri"/>
          <w:b/>
          <w:color w:val="000000" w:themeColor="text1"/>
          <w:sz w:val="23"/>
          <w:szCs w:val="23"/>
        </w:rPr>
      </w:pPr>
    </w:p>
    <w:p w14:paraId="5504EF9A" w14:textId="0FF2A4CD" w:rsidR="00F86368" w:rsidRDefault="00F86368" w:rsidP="00F86368">
      <w:pPr>
        <w:rPr>
          <w:rFonts w:ascii="Calibri" w:hAnsi="Calibri" w:cs="Calibri"/>
          <w:bCs/>
          <w:color w:val="000000" w:themeColor="text1"/>
          <w:sz w:val="23"/>
          <w:szCs w:val="23"/>
        </w:rPr>
      </w:pPr>
      <w:r w:rsidRPr="00F86368">
        <w:rPr>
          <w:rFonts w:ascii="Calibri" w:hAnsi="Calibri" w:cs="Calibri"/>
          <w:b/>
          <w:color w:val="000000" w:themeColor="text1"/>
          <w:sz w:val="23"/>
          <w:szCs w:val="23"/>
        </w:rPr>
        <w:t>Průměrná realizovaná úroková sazba u nových hypoték v červnu dále vzrostla na 4,79 % z květnových 4,67 %.</w:t>
      </w:r>
      <w:r w:rsidRPr="00F86368">
        <w:rPr>
          <w:rFonts w:ascii="Calibri" w:hAnsi="Calibri" w:cs="Calibri"/>
          <w:bCs/>
          <w:color w:val="000000" w:themeColor="text1"/>
          <w:sz w:val="23"/>
          <w:szCs w:val="23"/>
        </w:rPr>
        <w:t xml:space="preserve"> Její červnová úroveň je tak o 0,23 procentního bodu výše než 4,56% sazba před rokem, což zvyšuje</w:t>
      </w:r>
      <w:r>
        <w:rPr>
          <w:rFonts w:ascii="Calibri" w:hAnsi="Calibri" w:cs="Calibri"/>
          <w:bCs/>
          <w:color w:val="000000" w:themeColor="text1"/>
          <w:sz w:val="23"/>
          <w:szCs w:val="23"/>
        </w:rPr>
        <w:t xml:space="preserve"> ilustrativní průměrnou</w:t>
      </w:r>
      <w:r w:rsidRPr="00F86368">
        <w:rPr>
          <w:rFonts w:ascii="Calibri" w:hAnsi="Calibri" w:cs="Calibri"/>
          <w:bCs/>
          <w:color w:val="000000" w:themeColor="text1"/>
          <w:sz w:val="23"/>
          <w:szCs w:val="23"/>
        </w:rPr>
        <w:t xml:space="preserve"> měsíční splátk</w:t>
      </w:r>
      <w:r>
        <w:rPr>
          <w:rFonts w:ascii="Calibri" w:hAnsi="Calibri" w:cs="Calibri"/>
          <w:bCs/>
          <w:color w:val="000000" w:themeColor="text1"/>
          <w:sz w:val="23"/>
          <w:szCs w:val="23"/>
        </w:rPr>
        <w:t>u nové</w:t>
      </w:r>
      <w:r w:rsidRPr="00F86368">
        <w:rPr>
          <w:rFonts w:ascii="Calibri" w:hAnsi="Calibri" w:cs="Calibri"/>
          <w:bCs/>
          <w:color w:val="000000" w:themeColor="text1"/>
          <w:sz w:val="23"/>
          <w:szCs w:val="23"/>
        </w:rPr>
        <w:t xml:space="preserve"> hypotéky o 600 Kč, tedy přibližně o 0,6 % čistého příjmu žadatele. Pro srovnání průměrná hodnota hypoteční sazby v roce 2025 dosáhla 4,58 % v porovnání se sazbou 5,07 % v roce 2024. </w:t>
      </w:r>
    </w:p>
    <w:p w14:paraId="0C1EE4EE" w14:textId="77777777" w:rsidR="00F86368" w:rsidRPr="00F86368" w:rsidRDefault="00F86368" w:rsidP="00F86368">
      <w:pPr>
        <w:rPr>
          <w:rFonts w:ascii="Calibri" w:hAnsi="Calibri" w:cs="Calibri"/>
          <w:bCs/>
          <w:color w:val="000000" w:themeColor="text1"/>
          <w:sz w:val="23"/>
          <w:szCs w:val="23"/>
        </w:rPr>
      </w:pPr>
    </w:p>
    <w:p w14:paraId="608596FF" w14:textId="6F05F616" w:rsidR="00F86368" w:rsidRDefault="00F86368" w:rsidP="00F86368">
      <w:pPr>
        <w:rPr>
          <w:rFonts w:ascii="Calibri" w:hAnsi="Calibri" w:cs="Calibri"/>
          <w:color w:val="000000" w:themeColor="text1"/>
          <w:sz w:val="23"/>
          <w:szCs w:val="23"/>
        </w:rPr>
      </w:pPr>
      <w:r w:rsidRPr="00F86368">
        <w:rPr>
          <w:rFonts w:ascii="Calibri" w:hAnsi="Calibri" w:cs="Calibri"/>
          <w:b/>
          <w:color w:val="000000" w:themeColor="text1"/>
          <w:sz w:val="23"/>
          <w:szCs w:val="23"/>
        </w:rPr>
        <w:t>Červnová úroková hypoteční sazba se se 4,</w:t>
      </w:r>
      <w:r w:rsidR="00212996">
        <w:rPr>
          <w:rFonts w:ascii="Calibri" w:hAnsi="Calibri" w:cs="Calibri"/>
          <w:b/>
          <w:color w:val="000000" w:themeColor="text1"/>
          <w:sz w:val="23"/>
          <w:szCs w:val="23"/>
        </w:rPr>
        <w:t>79</w:t>
      </w:r>
      <w:r w:rsidRPr="00F86368">
        <w:rPr>
          <w:rFonts w:ascii="Calibri" w:hAnsi="Calibri" w:cs="Calibri"/>
          <w:b/>
          <w:color w:val="000000" w:themeColor="text1"/>
          <w:sz w:val="23"/>
          <w:szCs w:val="23"/>
        </w:rPr>
        <w:t xml:space="preserve"> % nacházela 0,57 procentního bodu nad průměrnými tržními swapovými sazbami.</w:t>
      </w:r>
      <w:r w:rsidRPr="00F86368">
        <w:rPr>
          <w:rFonts w:ascii="Calibri" w:hAnsi="Calibri" w:cs="Calibri"/>
          <w:bCs/>
          <w:color w:val="000000" w:themeColor="text1"/>
          <w:sz w:val="23"/>
          <w:szCs w:val="23"/>
        </w:rPr>
        <w:t xml:space="preserve"> To je </w:t>
      </w:r>
      <w:r w:rsidR="00212996">
        <w:rPr>
          <w:rFonts w:ascii="Calibri" w:hAnsi="Calibri" w:cs="Calibri"/>
          <w:bCs/>
          <w:color w:val="000000" w:themeColor="text1"/>
          <w:sz w:val="23"/>
          <w:szCs w:val="23"/>
        </w:rPr>
        <w:t xml:space="preserve">stále necelý půl procentní bod </w:t>
      </w:r>
      <w:r w:rsidRPr="00F86368">
        <w:rPr>
          <w:rFonts w:ascii="Calibri" w:hAnsi="Calibri" w:cs="Calibri"/>
          <w:bCs/>
          <w:color w:val="000000" w:themeColor="text1"/>
          <w:sz w:val="23"/>
          <w:szCs w:val="23"/>
        </w:rPr>
        <w:t xml:space="preserve">pod dlouhodobým průměrem od roku 2014 (1,04 p. b.), zatímco v předešlých třech měsících tento spread vůči </w:t>
      </w:r>
      <w:r w:rsidR="000D06FE">
        <w:rPr>
          <w:rFonts w:ascii="Calibri" w:hAnsi="Calibri" w:cs="Calibri"/>
          <w:bCs/>
          <w:color w:val="000000" w:themeColor="text1"/>
          <w:sz w:val="23"/>
          <w:szCs w:val="23"/>
        </w:rPr>
        <w:t xml:space="preserve">tržním úrokovým sazbám </w:t>
      </w:r>
      <w:r w:rsidRPr="00F86368">
        <w:rPr>
          <w:rFonts w:ascii="Calibri" w:hAnsi="Calibri" w:cs="Calibri"/>
          <w:bCs/>
          <w:color w:val="000000" w:themeColor="text1"/>
          <w:sz w:val="23"/>
          <w:szCs w:val="23"/>
        </w:rPr>
        <w:t xml:space="preserve">činil 0,37 p. </w:t>
      </w:r>
      <w:r w:rsidR="00EA78C4" w:rsidRPr="00F86368">
        <w:rPr>
          <w:rFonts w:ascii="Calibri" w:hAnsi="Calibri" w:cs="Calibri"/>
          <w:bCs/>
          <w:color w:val="000000" w:themeColor="text1"/>
          <w:sz w:val="23"/>
          <w:szCs w:val="23"/>
        </w:rPr>
        <w:t>b.</w:t>
      </w:r>
      <w:r w:rsidRPr="00F86368">
        <w:rPr>
          <w:rFonts w:ascii="Calibri" w:hAnsi="Calibri" w:cs="Calibri"/>
          <w:bCs/>
          <w:color w:val="000000" w:themeColor="text1"/>
          <w:sz w:val="23"/>
          <w:szCs w:val="23"/>
        </w:rPr>
        <w:t xml:space="preserve"> </w:t>
      </w:r>
      <w:hyperlink r:id="rId19" w:history="1">
        <w:r w:rsidRPr="00F86368">
          <w:rPr>
            <w:rStyle w:val="Hypertextovodkaz"/>
            <w:rFonts w:ascii="Calibri" w:hAnsi="Calibri" w:cs="Calibri"/>
            <w:b/>
            <w:bCs/>
            <w:sz w:val="23"/>
            <w:szCs w:val="23"/>
          </w:rPr>
          <w:t>V naší studii</w:t>
        </w:r>
      </w:hyperlink>
      <w:r w:rsidRPr="00F86368">
        <w:rPr>
          <w:rFonts w:ascii="Calibri" w:hAnsi="Calibri" w:cs="Calibri"/>
          <w:b/>
          <w:bCs/>
          <w:color w:val="13576B"/>
          <w:sz w:val="23"/>
          <w:szCs w:val="23"/>
        </w:rPr>
        <w:t xml:space="preserve"> </w:t>
      </w:r>
      <w:r w:rsidRPr="00F86368">
        <w:rPr>
          <w:rFonts w:ascii="Calibri" w:hAnsi="Calibri" w:cs="Calibri"/>
          <w:color w:val="000000" w:themeColor="text1"/>
          <w:sz w:val="23"/>
          <w:szCs w:val="23"/>
        </w:rPr>
        <w:t>jsme poukázali na strukturální faktory, především sílu poptávky na konkurenčním trhu, které ovlivňují působení tržních úrokových sazeb na hypoteční sazby.</w:t>
      </w:r>
    </w:p>
    <w:p w14:paraId="05601A31" w14:textId="77777777" w:rsidR="00F86368" w:rsidRPr="00A71689" w:rsidRDefault="00F86368" w:rsidP="00F86368">
      <w:pPr>
        <w:rPr>
          <w:rFonts w:ascii="Calibri" w:hAnsi="Calibri" w:cs="Calibri"/>
          <w:bCs/>
          <w:color w:val="000000" w:themeColor="text1"/>
          <w:sz w:val="23"/>
          <w:szCs w:val="23"/>
        </w:rPr>
      </w:pPr>
    </w:p>
    <w:p w14:paraId="2D4E6026" w14:textId="6E8A96F8" w:rsidR="00F86368" w:rsidRPr="00B17A43" w:rsidRDefault="00F86368" w:rsidP="00F86368">
      <w:pPr>
        <w:rPr>
          <w:rFonts w:ascii="Calibri" w:hAnsi="Calibri" w:cs="Calibri"/>
          <w:b/>
          <w:color w:val="000000" w:themeColor="text1"/>
          <w:sz w:val="23"/>
          <w:szCs w:val="23"/>
        </w:rPr>
      </w:pPr>
      <w:r w:rsidRPr="00B17A43">
        <w:rPr>
          <w:rFonts w:ascii="Calibri" w:hAnsi="Calibri" w:cs="Calibri"/>
          <w:b/>
          <w:color w:val="000000" w:themeColor="text1"/>
          <w:sz w:val="23"/>
          <w:szCs w:val="23"/>
        </w:rPr>
        <w:t>Mezi domácí faktory, které ovlivnily vývoj úrokových swapů především patřily stále vysoká jádrová inflace</w:t>
      </w:r>
      <w:r>
        <w:rPr>
          <w:rFonts w:ascii="Calibri" w:hAnsi="Calibri" w:cs="Calibri"/>
          <w:b/>
          <w:color w:val="000000" w:themeColor="text1"/>
          <w:sz w:val="23"/>
          <w:szCs w:val="23"/>
        </w:rPr>
        <w:t xml:space="preserve">, která v červnu dotlačila českou centrální banku ke zvýšení úrokové sazby na 3,75 %. </w:t>
      </w:r>
      <w:r>
        <w:rPr>
          <w:rFonts w:ascii="Calibri" w:hAnsi="Calibri" w:cs="Calibri"/>
          <w:bCs/>
          <w:color w:val="000000" w:themeColor="text1"/>
          <w:sz w:val="23"/>
          <w:szCs w:val="23"/>
        </w:rPr>
        <w:t>Tento krok</w:t>
      </w:r>
      <w:r w:rsidR="000D06FE">
        <w:rPr>
          <w:rFonts w:ascii="Calibri" w:hAnsi="Calibri" w:cs="Calibri"/>
          <w:bCs/>
          <w:color w:val="000000" w:themeColor="text1"/>
          <w:sz w:val="23"/>
          <w:szCs w:val="23"/>
        </w:rPr>
        <w:t>,</w:t>
      </w:r>
      <w:r>
        <w:rPr>
          <w:rFonts w:ascii="Calibri" w:hAnsi="Calibri" w:cs="Calibri"/>
          <w:bCs/>
          <w:color w:val="000000" w:themeColor="text1"/>
          <w:sz w:val="23"/>
          <w:szCs w:val="23"/>
        </w:rPr>
        <w:t xml:space="preserve"> a především zklidnění situace okolo Hormúzu přinesly částečnou korekci do předchozího nárůstu tržních úrokových sazeb. To se ovšem opět zvrátilo v průběhu července </w:t>
      </w:r>
      <w:r w:rsidR="000D06FE">
        <w:rPr>
          <w:rFonts w:ascii="Calibri" w:hAnsi="Calibri" w:cs="Calibri"/>
          <w:bCs/>
          <w:color w:val="000000" w:themeColor="text1"/>
          <w:sz w:val="23"/>
          <w:szCs w:val="23"/>
        </w:rPr>
        <w:t xml:space="preserve">kvůli </w:t>
      </w:r>
      <w:r>
        <w:rPr>
          <w:rFonts w:ascii="Calibri" w:hAnsi="Calibri" w:cs="Calibri"/>
          <w:bCs/>
          <w:color w:val="000000" w:themeColor="text1"/>
          <w:sz w:val="23"/>
          <w:szCs w:val="23"/>
        </w:rPr>
        <w:t xml:space="preserve">obnovení bojů </w:t>
      </w:r>
      <w:r w:rsidR="000D06FE">
        <w:rPr>
          <w:rFonts w:ascii="Calibri" w:hAnsi="Calibri" w:cs="Calibri"/>
          <w:bCs/>
          <w:color w:val="000000" w:themeColor="text1"/>
          <w:sz w:val="23"/>
          <w:szCs w:val="23"/>
        </w:rPr>
        <w:t>v</w:t>
      </w:r>
      <w:r>
        <w:rPr>
          <w:rFonts w:ascii="Calibri" w:hAnsi="Calibri" w:cs="Calibri"/>
          <w:bCs/>
          <w:color w:val="000000" w:themeColor="text1"/>
          <w:sz w:val="23"/>
          <w:szCs w:val="23"/>
        </w:rPr>
        <w:t xml:space="preserve"> Perské</w:t>
      </w:r>
      <w:r w:rsidR="000D06FE">
        <w:rPr>
          <w:rFonts w:ascii="Calibri" w:hAnsi="Calibri" w:cs="Calibri"/>
          <w:bCs/>
          <w:color w:val="000000" w:themeColor="text1"/>
          <w:sz w:val="23"/>
          <w:szCs w:val="23"/>
        </w:rPr>
        <w:t>m</w:t>
      </w:r>
      <w:r>
        <w:rPr>
          <w:rFonts w:ascii="Calibri" w:hAnsi="Calibri" w:cs="Calibri"/>
          <w:bCs/>
          <w:color w:val="000000" w:themeColor="text1"/>
          <w:sz w:val="23"/>
          <w:szCs w:val="23"/>
        </w:rPr>
        <w:t xml:space="preserve"> zálivu. </w:t>
      </w:r>
      <w:r w:rsidRPr="00B17A43">
        <w:rPr>
          <w:rFonts w:ascii="Calibri" w:hAnsi="Calibri" w:cs="Calibri"/>
          <w:bCs/>
          <w:color w:val="000000" w:themeColor="text1"/>
          <w:sz w:val="23"/>
          <w:szCs w:val="23"/>
        </w:rPr>
        <w:t xml:space="preserve">Blíže k těmto faktorům viz analýzy na ČBA Monitoru: </w:t>
      </w:r>
      <w:hyperlink r:id="rId20" w:history="1">
        <w:r w:rsidR="00BE2556" w:rsidRPr="00BE2556">
          <w:rPr>
            <w:rStyle w:val="Hypertextovodkaz"/>
            <w:rFonts w:ascii="Calibri" w:hAnsi="Calibri" w:cs="Calibri"/>
            <w:sz w:val="23"/>
            <w:szCs w:val="23"/>
          </w:rPr>
          <w:t>ČNB zvedla úrokovou sazbu na 3,75 % a pravděpodobně tam vyčká do podzimu</w:t>
        </w:r>
      </w:hyperlink>
      <w:r w:rsidRPr="00BE2556">
        <w:rPr>
          <w:rFonts w:ascii="Calibri" w:hAnsi="Calibri" w:cs="Calibri"/>
          <w:sz w:val="23"/>
          <w:szCs w:val="23"/>
        </w:rPr>
        <w:t xml:space="preserve">, </w:t>
      </w:r>
      <w:hyperlink r:id="rId21" w:history="1">
        <w:r w:rsidR="00BE2556" w:rsidRPr="00BE2556">
          <w:rPr>
            <w:rStyle w:val="Hypertextovodkaz"/>
            <w:rFonts w:ascii="Calibri" w:hAnsi="Calibri" w:cs="Calibri"/>
            <w:sz w:val="23"/>
            <w:szCs w:val="23"/>
          </w:rPr>
          <w:t>Revize HDP přinesla lepší produktivitu, ale vysoké úspory i růst cen nemovitostí přetrvávají</w:t>
        </w:r>
      </w:hyperlink>
      <w:r w:rsidR="00BE2556" w:rsidRPr="00BE2556">
        <w:rPr>
          <w:rFonts w:ascii="Calibri" w:hAnsi="Calibri" w:cs="Calibri"/>
          <w:sz w:val="23"/>
          <w:szCs w:val="23"/>
        </w:rPr>
        <w:t xml:space="preserve">, </w:t>
      </w:r>
      <w:hyperlink r:id="rId22" w:history="1">
        <w:r w:rsidR="00BE2556" w:rsidRPr="00BE2556">
          <w:rPr>
            <w:rStyle w:val="Hypertextovodkaz"/>
            <w:rFonts w:ascii="Calibri" w:hAnsi="Calibri" w:cs="Calibri"/>
            <w:sz w:val="23"/>
            <w:szCs w:val="23"/>
          </w:rPr>
          <w:t>Červnový sentiment přinesl mírný optimismus pro růst, ale varování pro inflaci i trh práce</w:t>
        </w:r>
      </w:hyperlink>
      <w:r w:rsidRPr="00BE2556">
        <w:rPr>
          <w:rFonts w:ascii="Calibri" w:hAnsi="Calibri" w:cs="Calibri"/>
          <w:sz w:val="23"/>
          <w:szCs w:val="23"/>
        </w:rPr>
        <w:t>.</w:t>
      </w:r>
      <w:r w:rsidRPr="00B17A43">
        <w:rPr>
          <w:rFonts w:ascii="Calibri" w:hAnsi="Calibri" w:cs="Calibri"/>
          <w:sz w:val="23"/>
          <w:szCs w:val="23"/>
        </w:rPr>
        <w:t xml:space="preserve"> </w:t>
      </w:r>
    </w:p>
    <w:p w14:paraId="32CB4C7A" w14:textId="77777777" w:rsidR="00F86368" w:rsidRDefault="00F86368" w:rsidP="00F86368">
      <w:pPr>
        <w:rPr>
          <w:rFonts w:ascii="Calibri" w:hAnsi="Calibri" w:cs="Calibri"/>
          <w:b/>
          <w:color w:val="000000" w:themeColor="text1"/>
          <w:sz w:val="23"/>
          <w:szCs w:val="23"/>
        </w:rPr>
      </w:pPr>
    </w:p>
    <w:p w14:paraId="06CACE06" w14:textId="0CBD97FF" w:rsidR="00F86368" w:rsidRDefault="00F86368" w:rsidP="00F86368">
      <w:pPr>
        <w:rPr>
          <w:rFonts w:ascii="Calibri" w:hAnsi="Calibri" w:cs="Calibri"/>
          <w:bCs/>
          <w:color w:val="000000" w:themeColor="text1"/>
          <w:sz w:val="23"/>
          <w:szCs w:val="23"/>
        </w:rPr>
      </w:pPr>
      <w:r w:rsidRPr="00486BC4">
        <w:rPr>
          <w:rFonts w:ascii="Calibri" w:hAnsi="Calibri" w:cs="Calibri"/>
          <w:b/>
          <w:color w:val="000000" w:themeColor="text1"/>
          <w:sz w:val="23"/>
          <w:szCs w:val="23"/>
        </w:rPr>
        <w:lastRenderedPageBreak/>
        <w:t>České tržní delší úrokové sazby,</w:t>
      </w:r>
      <w:r w:rsidRPr="00486BC4">
        <w:rPr>
          <w:rStyle w:val="Znakapoznpodarou"/>
          <w:rFonts w:ascii="Calibri" w:hAnsi="Calibri" w:cs="Calibri"/>
          <w:b/>
          <w:i/>
          <w:iCs/>
          <w:color w:val="000000" w:themeColor="text1"/>
          <w:sz w:val="22"/>
          <w:szCs w:val="22"/>
        </w:rPr>
        <w:footnoteReference w:id="1"/>
      </w:r>
      <w:r>
        <w:rPr>
          <w:rFonts w:ascii="Calibri" w:hAnsi="Calibri" w:cs="Calibri"/>
          <w:b/>
          <w:color w:val="000000" w:themeColor="text1"/>
          <w:sz w:val="23"/>
          <w:szCs w:val="23"/>
        </w:rPr>
        <w:t xml:space="preserve"> </w:t>
      </w:r>
      <w:r w:rsidRPr="00A71689">
        <w:rPr>
          <w:rFonts w:ascii="Calibri" w:hAnsi="Calibri" w:cs="Calibri"/>
          <w:b/>
          <w:color w:val="000000" w:themeColor="text1"/>
          <w:sz w:val="22"/>
          <w:szCs w:val="22"/>
        </w:rPr>
        <w:t>které mají klíčový vliv na hypoteční sazby</w:t>
      </w:r>
      <w:r>
        <w:rPr>
          <w:rFonts w:ascii="Calibri" w:hAnsi="Calibri" w:cs="Calibri"/>
          <w:b/>
          <w:color w:val="000000" w:themeColor="text1"/>
          <w:sz w:val="22"/>
          <w:szCs w:val="22"/>
        </w:rPr>
        <w:t>, kde převládají tříleté fixace</w:t>
      </w:r>
      <w:r w:rsidRPr="00A71689">
        <w:rPr>
          <w:rFonts w:ascii="Calibri" w:hAnsi="Calibri" w:cs="Calibri"/>
          <w:b/>
          <w:color w:val="000000" w:themeColor="text1"/>
          <w:sz w:val="22"/>
          <w:szCs w:val="22"/>
        </w:rPr>
        <w:t xml:space="preserve">, </w:t>
      </w:r>
      <w:r>
        <w:rPr>
          <w:rFonts w:ascii="Calibri" w:hAnsi="Calibri" w:cs="Calibri"/>
          <w:b/>
          <w:color w:val="000000" w:themeColor="text1"/>
          <w:sz w:val="22"/>
          <w:szCs w:val="22"/>
        </w:rPr>
        <w:t xml:space="preserve">zůstaly </w:t>
      </w:r>
      <w:r w:rsidR="00BE2556">
        <w:rPr>
          <w:rFonts w:ascii="Calibri" w:hAnsi="Calibri" w:cs="Calibri"/>
          <w:b/>
          <w:color w:val="000000" w:themeColor="text1"/>
          <w:sz w:val="22"/>
          <w:szCs w:val="22"/>
        </w:rPr>
        <w:t>v</w:t>
      </w:r>
      <w:r w:rsidR="000D06FE">
        <w:rPr>
          <w:rFonts w:ascii="Calibri" w:hAnsi="Calibri" w:cs="Calibri"/>
          <w:b/>
          <w:color w:val="000000" w:themeColor="text1"/>
          <w:sz w:val="22"/>
          <w:szCs w:val="22"/>
        </w:rPr>
        <w:t> </w:t>
      </w:r>
      <w:r w:rsidR="00BE2556">
        <w:rPr>
          <w:rFonts w:ascii="Calibri" w:hAnsi="Calibri" w:cs="Calibri"/>
          <w:b/>
          <w:color w:val="000000" w:themeColor="text1"/>
          <w:sz w:val="22"/>
          <w:szCs w:val="22"/>
        </w:rPr>
        <w:t>červen</w:t>
      </w:r>
      <w:r w:rsidR="000D06FE">
        <w:rPr>
          <w:rFonts w:ascii="Calibri" w:hAnsi="Calibri" w:cs="Calibri"/>
          <w:b/>
          <w:color w:val="000000" w:themeColor="text1"/>
          <w:sz w:val="22"/>
          <w:szCs w:val="22"/>
        </w:rPr>
        <w:t xml:space="preserve">ci </w:t>
      </w:r>
      <w:r w:rsidR="00BE2556">
        <w:rPr>
          <w:rFonts w:ascii="Calibri" w:hAnsi="Calibri" w:cs="Calibri"/>
          <w:b/>
          <w:color w:val="000000" w:themeColor="text1"/>
          <w:sz w:val="22"/>
          <w:szCs w:val="22"/>
        </w:rPr>
        <w:t>na vyšší</w:t>
      </w:r>
      <w:r w:rsidR="000D06FE">
        <w:rPr>
          <w:rFonts w:ascii="Calibri" w:hAnsi="Calibri" w:cs="Calibri"/>
          <w:b/>
          <w:color w:val="000000" w:themeColor="text1"/>
          <w:sz w:val="22"/>
          <w:szCs w:val="22"/>
        </w:rPr>
        <w:t>ch</w:t>
      </w:r>
      <w:r w:rsidR="00BE2556">
        <w:rPr>
          <w:rFonts w:ascii="Calibri" w:hAnsi="Calibri" w:cs="Calibri"/>
          <w:b/>
          <w:color w:val="000000" w:themeColor="text1"/>
          <w:sz w:val="22"/>
          <w:szCs w:val="22"/>
        </w:rPr>
        <w:t xml:space="preserve"> úrovn</w:t>
      </w:r>
      <w:r w:rsidR="000D06FE">
        <w:rPr>
          <w:rFonts w:ascii="Calibri" w:hAnsi="Calibri" w:cs="Calibri"/>
          <w:b/>
          <w:color w:val="000000" w:themeColor="text1"/>
          <w:sz w:val="22"/>
          <w:szCs w:val="22"/>
        </w:rPr>
        <w:t>ích.</w:t>
      </w:r>
      <w:r w:rsidR="00BE2556">
        <w:rPr>
          <w:rFonts w:ascii="Calibri" w:hAnsi="Calibri" w:cs="Calibri"/>
          <w:b/>
          <w:color w:val="000000" w:themeColor="text1"/>
          <w:sz w:val="22"/>
          <w:szCs w:val="22"/>
        </w:rPr>
        <w:t xml:space="preserve"> </w:t>
      </w:r>
      <w:r w:rsidR="00BE2556">
        <w:rPr>
          <w:rFonts w:ascii="Calibri" w:hAnsi="Calibri" w:cs="Calibri"/>
          <w:bCs/>
          <w:color w:val="000000" w:themeColor="text1"/>
          <w:sz w:val="23"/>
          <w:szCs w:val="23"/>
        </w:rPr>
        <w:t>Če</w:t>
      </w:r>
      <w:r w:rsidR="00BE2556" w:rsidRPr="00F86368">
        <w:rPr>
          <w:rFonts w:ascii="Calibri" w:hAnsi="Calibri" w:cs="Calibri"/>
          <w:bCs/>
          <w:color w:val="000000" w:themeColor="text1"/>
          <w:sz w:val="23"/>
          <w:szCs w:val="23"/>
        </w:rPr>
        <w:t>ské pětileté úrokové swapy v červnu klesly o 0,13 procentního bodu na 4,26 %</w:t>
      </w:r>
      <w:r w:rsidR="00BE2556">
        <w:rPr>
          <w:rFonts w:ascii="Calibri" w:hAnsi="Calibri" w:cs="Calibri"/>
          <w:bCs/>
          <w:color w:val="000000" w:themeColor="text1"/>
          <w:sz w:val="23"/>
          <w:szCs w:val="23"/>
        </w:rPr>
        <w:t xml:space="preserve"> a konec měsíce uzavíraly ještě na nižších hodnotách po </w:t>
      </w:r>
      <w:r w:rsidR="00BE2556" w:rsidRPr="00F86368">
        <w:rPr>
          <w:rFonts w:ascii="Calibri" w:hAnsi="Calibri" w:cs="Calibri"/>
          <w:bCs/>
          <w:color w:val="000000" w:themeColor="text1"/>
          <w:sz w:val="23"/>
          <w:szCs w:val="23"/>
        </w:rPr>
        <w:t>květnových 4,</w:t>
      </w:r>
      <w:r w:rsidR="00BE2556">
        <w:rPr>
          <w:rFonts w:ascii="Calibri" w:hAnsi="Calibri" w:cs="Calibri"/>
          <w:bCs/>
          <w:color w:val="000000" w:themeColor="text1"/>
          <w:sz w:val="23"/>
          <w:szCs w:val="23"/>
        </w:rPr>
        <w:t>4</w:t>
      </w:r>
      <w:r w:rsidR="00BE2556" w:rsidRPr="00F86368">
        <w:rPr>
          <w:rFonts w:ascii="Calibri" w:hAnsi="Calibri" w:cs="Calibri"/>
          <w:bCs/>
          <w:color w:val="000000" w:themeColor="text1"/>
          <w:sz w:val="23"/>
          <w:szCs w:val="23"/>
        </w:rPr>
        <w:t xml:space="preserve"> %</w:t>
      </w:r>
      <w:r w:rsidR="00BE2556">
        <w:rPr>
          <w:rFonts w:ascii="Calibri" w:hAnsi="Calibri" w:cs="Calibri"/>
          <w:bCs/>
          <w:color w:val="000000" w:themeColor="text1"/>
          <w:sz w:val="23"/>
          <w:szCs w:val="23"/>
        </w:rPr>
        <w:t>. Nicméně návrat bojů v Perském zálivu ponechal jejich červencové hodnoty na</w:t>
      </w:r>
      <w:r w:rsidR="007F7BEA">
        <w:rPr>
          <w:rFonts w:ascii="Calibri" w:hAnsi="Calibri" w:cs="Calibri"/>
          <w:bCs/>
          <w:color w:val="000000" w:themeColor="text1"/>
          <w:sz w:val="23"/>
          <w:szCs w:val="23"/>
        </w:rPr>
        <w:t>d</w:t>
      </w:r>
      <w:r w:rsidR="00BE2556">
        <w:rPr>
          <w:rFonts w:ascii="Calibri" w:hAnsi="Calibri" w:cs="Calibri"/>
          <w:bCs/>
          <w:color w:val="000000" w:themeColor="text1"/>
          <w:sz w:val="23"/>
          <w:szCs w:val="23"/>
        </w:rPr>
        <w:t xml:space="preserve"> </w:t>
      </w:r>
      <w:r w:rsidR="00BE2556" w:rsidRPr="00F86368">
        <w:rPr>
          <w:rFonts w:ascii="Calibri" w:hAnsi="Calibri" w:cs="Calibri"/>
          <w:bCs/>
          <w:color w:val="000000" w:themeColor="text1"/>
          <w:sz w:val="23"/>
          <w:szCs w:val="23"/>
        </w:rPr>
        <w:t>dubnovými 4,</w:t>
      </w:r>
      <w:r w:rsidR="00BE2556">
        <w:rPr>
          <w:rFonts w:ascii="Calibri" w:hAnsi="Calibri" w:cs="Calibri"/>
          <w:bCs/>
          <w:color w:val="000000" w:themeColor="text1"/>
          <w:sz w:val="23"/>
          <w:szCs w:val="23"/>
        </w:rPr>
        <w:t>2</w:t>
      </w:r>
      <w:r w:rsidR="00BE2556" w:rsidRPr="00F86368">
        <w:rPr>
          <w:rFonts w:ascii="Calibri" w:hAnsi="Calibri" w:cs="Calibri"/>
          <w:bCs/>
          <w:color w:val="000000" w:themeColor="text1"/>
          <w:sz w:val="23"/>
          <w:szCs w:val="23"/>
        </w:rPr>
        <w:t xml:space="preserve"> %. V posledních dvanácti měsících se české pětileté swapy pohybovaly v rozmezí měsíčních průměrů 3,6 % (v únoru 2026) a 4,39 % (z května 2026). V porovnání s průměrnou úrovní pětiletých swapů v roce 2025 byly červnové úroky o 0,61 p. b. výše. V případě amerických pětiletých úrokových swapů došlo v červnu k jejich růstu na 4,2 % z květnových 4,13 % a nacházely se 0,34 p. b. nad jejich průměrnou hodnotou z roku 2025. Eurové pětileté swapy v červnu klesly na 2,83 % z květnových 2,</w:t>
      </w:r>
      <w:r w:rsidR="00BE2556">
        <w:rPr>
          <w:rFonts w:ascii="Calibri" w:hAnsi="Calibri" w:cs="Calibri"/>
          <w:bCs/>
          <w:color w:val="000000" w:themeColor="text1"/>
          <w:sz w:val="23"/>
          <w:szCs w:val="23"/>
        </w:rPr>
        <w:t>9</w:t>
      </w:r>
      <w:r w:rsidR="00BE2556" w:rsidRPr="00F86368">
        <w:rPr>
          <w:rFonts w:ascii="Calibri" w:hAnsi="Calibri" w:cs="Calibri"/>
          <w:bCs/>
          <w:color w:val="000000" w:themeColor="text1"/>
          <w:sz w:val="23"/>
          <w:szCs w:val="23"/>
        </w:rPr>
        <w:t xml:space="preserve"> %</w:t>
      </w:r>
      <w:r w:rsidR="00BE2556">
        <w:rPr>
          <w:rFonts w:ascii="Calibri" w:hAnsi="Calibri" w:cs="Calibri"/>
          <w:bCs/>
          <w:color w:val="000000" w:themeColor="text1"/>
          <w:sz w:val="23"/>
          <w:szCs w:val="23"/>
        </w:rPr>
        <w:t xml:space="preserve">, ale zůstaly půl procentního bodu nad </w:t>
      </w:r>
      <w:r w:rsidR="00BE2556" w:rsidRPr="00F86368">
        <w:rPr>
          <w:rFonts w:ascii="Calibri" w:hAnsi="Calibri" w:cs="Calibri"/>
          <w:bCs/>
          <w:color w:val="000000" w:themeColor="text1"/>
          <w:sz w:val="23"/>
          <w:szCs w:val="23"/>
        </w:rPr>
        <w:t>průměrnou loňskou úrovní 2,34 %.</w:t>
      </w:r>
    </w:p>
    <w:p w14:paraId="3EDC2E0C" w14:textId="77777777" w:rsidR="00436085" w:rsidRDefault="00436085" w:rsidP="00436085">
      <w:pPr>
        <w:rPr>
          <w:rFonts w:ascii="Calibri" w:hAnsi="Calibri" w:cs="Calibri"/>
          <w:b/>
          <w:color w:val="000000" w:themeColor="text1"/>
          <w:sz w:val="23"/>
          <w:szCs w:val="23"/>
        </w:rPr>
      </w:pPr>
    </w:p>
    <w:p w14:paraId="479EF412" w14:textId="4D40C121" w:rsidR="00616F34" w:rsidRPr="00616F34" w:rsidRDefault="00616F34" w:rsidP="00616F34">
      <w:pPr>
        <w:rPr>
          <w:rFonts w:ascii="Calibri" w:hAnsi="Calibri" w:cs="Calibri"/>
          <w:color w:val="000000" w:themeColor="text1"/>
          <w:sz w:val="22"/>
          <w:szCs w:val="22"/>
        </w:rPr>
        <w:sectPr w:rsidR="00616F34" w:rsidRPr="00616F34" w:rsidSect="00606031">
          <w:type w:val="continuous"/>
          <w:pgSz w:w="11906" w:h="16838"/>
          <w:pgMar w:top="2552" w:right="849" w:bottom="1560" w:left="851" w:header="709" w:footer="283" w:gutter="0"/>
          <w:cols w:space="708"/>
          <w:docGrid w:linePitch="360"/>
        </w:sectPr>
      </w:pPr>
    </w:p>
    <w:p w14:paraId="636F55D4" w14:textId="535B8789" w:rsidR="001B2E5E" w:rsidRDefault="001B2E5E" w:rsidP="001B2E5E">
      <w:pPr>
        <w:spacing w:after="120"/>
        <w:rPr>
          <w:rFonts w:ascii="Calibri" w:hAnsi="Calibri" w:cs="Calibri"/>
          <w:b/>
          <w:color w:val="13576B"/>
          <w:sz w:val="23"/>
          <w:szCs w:val="23"/>
        </w:rPr>
      </w:pPr>
      <w:r>
        <w:rPr>
          <w:rFonts w:ascii="Calibri" w:hAnsi="Calibri" w:cs="Calibri"/>
          <w:b/>
          <w:color w:val="13576B"/>
          <w:sz w:val="23"/>
          <w:szCs w:val="23"/>
        </w:rPr>
        <w:t xml:space="preserve">Graf </w:t>
      </w:r>
      <w:r w:rsidRPr="005B4653">
        <w:rPr>
          <w:rFonts w:ascii="Calibri" w:hAnsi="Calibri" w:cs="Calibri"/>
          <w:b/>
          <w:color w:val="13576B"/>
          <w:sz w:val="23"/>
          <w:szCs w:val="23"/>
        </w:rPr>
        <w:t xml:space="preserve">č. </w:t>
      </w:r>
      <w:r w:rsidR="00E27948">
        <w:rPr>
          <w:rFonts w:ascii="Calibri" w:hAnsi="Calibri" w:cs="Calibri"/>
          <w:b/>
          <w:color w:val="13576B"/>
          <w:sz w:val="23"/>
          <w:szCs w:val="23"/>
        </w:rPr>
        <w:t>4</w:t>
      </w:r>
      <w:r>
        <w:rPr>
          <w:rFonts w:ascii="Calibri" w:hAnsi="Calibri" w:cs="Calibri"/>
          <w:b/>
          <w:color w:val="13576B"/>
          <w:sz w:val="23"/>
          <w:szCs w:val="23"/>
        </w:rPr>
        <w:t>:</w:t>
      </w:r>
      <w:r w:rsidRPr="005B4653">
        <w:rPr>
          <w:rFonts w:ascii="Calibri" w:hAnsi="Calibri" w:cs="Calibri"/>
          <w:b/>
          <w:color w:val="13576B"/>
          <w:sz w:val="23"/>
          <w:szCs w:val="23"/>
        </w:rPr>
        <w:t xml:space="preserve"> Průměrná hypoteční </w:t>
      </w:r>
      <w:r>
        <w:rPr>
          <w:rFonts w:ascii="Calibri" w:hAnsi="Calibri" w:cs="Calibri"/>
          <w:b/>
          <w:color w:val="13576B"/>
          <w:sz w:val="23"/>
          <w:szCs w:val="23"/>
        </w:rPr>
        <w:t xml:space="preserve">úroková </w:t>
      </w:r>
      <w:r w:rsidRPr="005B4653">
        <w:rPr>
          <w:rFonts w:ascii="Calibri" w:hAnsi="Calibri" w:cs="Calibri"/>
          <w:b/>
          <w:color w:val="13576B"/>
          <w:sz w:val="23"/>
          <w:szCs w:val="23"/>
        </w:rPr>
        <w:t>sazba – nové obchody</w:t>
      </w:r>
    </w:p>
    <w:p w14:paraId="00505FA7" w14:textId="0269332D" w:rsidR="005A4638" w:rsidRDefault="00C8784D" w:rsidP="008E3BA7">
      <w:pPr>
        <w:rPr>
          <w:rFonts w:ascii="Calibri" w:hAnsi="Calibri" w:cs="Calibri"/>
          <w:bCs/>
          <w:i/>
          <w:iCs/>
          <w:color w:val="13576B"/>
          <w:sz w:val="23"/>
          <w:szCs w:val="23"/>
        </w:rPr>
      </w:pPr>
      <w:r>
        <w:rPr>
          <w:rFonts w:ascii="Calibri" w:hAnsi="Calibri" w:cs="Calibri"/>
          <w:bCs/>
          <w:i/>
          <w:iCs/>
          <w:color w:val="13576B"/>
          <w:sz w:val="23"/>
          <w:szCs w:val="23"/>
        </w:rPr>
        <w:t xml:space="preserve">Červnové </w:t>
      </w:r>
      <w:r w:rsidR="00F463BF">
        <w:rPr>
          <w:rFonts w:ascii="Calibri" w:hAnsi="Calibri" w:cs="Calibri"/>
          <w:bCs/>
          <w:i/>
          <w:iCs/>
          <w:color w:val="13576B"/>
          <w:sz w:val="23"/>
          <w:szCs w:val="23"/>
        </w:rPr>
        <w:t xml:space="preserve">hypoteční </w:t>
      </w:r>
      <w:r>
        <w:rPr>
          <w:rFonts w:ascii="Calibri" w:hAnsi="Calibri" w:cs="Calibri"/>
          <w:bCs/>
          <w:i/>
          <w:iCs/>
          <w:color w:val="13576B"/>
          <w:sz w:val="23"/>
          <w:szCs w:val="23"/>
        </w:rPr>
        <w:t xml:space="preserve">úrokové </w:t>
      </w:r>
      <w:r w:rsidR="00F463BF">
        <w:rPr>
          <w:rFonts w:ascii="Calibri" w:hAnsi="Calibri" w:cs="Calibri"/>
          <w:bCs/>
          <w:i/>
          <w:iCs/>
          <w:color w:val="13576B"/>
          <w:sz w:val="23"/>
          <w:szCs w:val="23"/>
        </w:rPr>
        <w:t xml:space="preserve">sazby </w:t>
      </w:r>
      <w:r>
        <w:rPr>
          <w:rFonts w:ascii="Calibri" w:hAnsi="Calibri" w:cs="Calibri"/>
          <w:bCs/>
          <w:i/>
          <w:iCs/>
          <w:color w:val="13576B"/>
          <w:sz w:val="23"/>
          <w:szCs w:val="23"/>
        </w:rPr>
        <w:t xml:space="preserve">pokračovaly v reflexi předchozího strmého nárůstu </w:t>
      </w:r>
      <w:r w:rsidR="0025756A">
        <w:rPr>
          <w:rFonts w:ascii="Calibri" w:hAnsi="Calibri" w:cs="Calibri"/>
          <w:bCs/>
          <w:i/>
          <w:iCs/>
          <w:color w:val="13576B"/>
          <w:sz w:val="23"/>
          <w:szCs w:val="23"/>
        </w:rPr>
        <w:t>tržních saze</w:t>
      </w:r>
      <w:r>
        <w:rPr>
          <w:rFonts w:ascii="Calibri" w:hAnsi="Calibri" w:cs="Calibri"/>
          <w:bCs/>
          <w:i/>
          <w:iCs/>
          <w:color w:val="13576B"/>
          <w:sz w:val="23"/>
          <w:szCs w:val="23"/>
        </w:rPr>
        <w:t>b</w:t>
      </w:r>
    </w:p>
    <w:p w14:paraId="45164D8D" w14:textId="32EA83DF" w:rsidR="001B2E5E" w:rsidRDefault="001B2E5E" w:rsidP="00C8784D">
      <w:pPr>
        <w:overflowPunct/>
        <w:autoSpaceDE/>
        <w:adjustRightInd/>
        <w:spacing w:after="120"/>
        <w:rPr>
          <w:rFonts w:ascii="Calibri" w:hAnsi="Calibri" w:cs="Calibri"/>
          <w:b/>
          <w:color w:val="13576B"/>
          <w:sz w:val="23"/>
          <w:szCs w:val="23"/>
        </w:rPr>
      </w:pPr>
      <w:r w:rsidRPr="005B4653">
        <w:rPr>
          <w:rFonts w:ascii="Calibri" w:hAnsi="Calibri" w:cs="Calibri"/>
          <w:b/>
          <w:color w:val="13576B"/>
          <w:sz w:val="23"/>
          <w:szCs w:val="23"/>
        </w:rPr>
        <w:t xml:space="preserve">Graf č. </w:t>
      </w:r>
      <w:r w:rsidR="00E27948">
        <w:rPr>
          <w:rFonts w:ascii="Calibri" w:hAnsi="Calibri" w:cs="Calibri"/>
          <w:b/>
          <w:color w:val="13576B"/>
          <w:sz w:val="23"/>
          <w:szCs w:val="23"/>
        </w:rPr>
        <w:t>5</w:t>
      </w:r>
      <w:r>
        <w:rPr>
          <w:rFonts w:ascii="Calibri" w:hAnsi="Calibri" w:cs="Calibri"/>
          <w:b/>
          <w:color w:val="13576B"/>
          <w:sz w:val="23"/>
          <w:szCs w:val="23"/>
        </w:rPr>
        <w:t>:</w:t>
      </w:r>
      <w:r w:rsidRPr="005B4653">
        <w:rPr>
          <w:rFonts w:ascii="Calibri" w:hAnsi="Calibri" w:cs="Calibri"/>
          <w:b/>
          <w:color w:val="13576B"/>
          <w:sz w:val="23"/>
          <w:szCs w:val="23"/>
        </w:rPr>
        <w:t xml:space="preserve"> </w:t>
      </w:r>
      <w:r w:rsidR="00C8784D">
        <w:rPr>
          <w:rFonts w:ascii="Calibri" w:hAnsi="Calibri" w:cs="Calibri"/>
          <w:b/>
          <w:color w:val="13576B"/>
          <w:sz w:val="23"/>
          <w:szCs w:val="23"/>
        </w:rPr>
        <w:t>Obnovený a</w:t>
      </w:r>
      <w:r w:rsidR="00AD4353">
        <w:rPr>
          <w:rFonts w:ascii="Calibri" w:hAnsi="Calibri" w:cs="Calibri"/>
          <w:b/>
          <w:color w:val="13576B"/>
          <w:sz w:val="23"/>
          <w:szCs w:val="23"/>
        </w:rPr>
        <w:t xml:space="preserve">merický útok na Írán </w:t>
      </w:r>
      <w:r w:rsidR="007602B9">
        <w:rPr>
          <w:rFonts w:ascii="Calibri" w:hAnsi="Calibri" w:cs="Calibri"/>
          <w:b/>
          <w:color w:val="13576B"/>
          <w:sz w:val="23"/>
          <w:szCs w:val="23"/>
        </w:rPr>
        <w:t>drží tržní</w:t>
      </w:r>
      <w:r w:rsidR="00486BC4">
        <w:rPr>
          <w:rFonts w:ascii="Calibri" w:hAnsi="Calibri" w:cs="Calibri"/>
          <w:b/>
          <w:color w:val="13576B"/>
          <w:sz w:val="23"/>
          <w:szCs w:val="23"/>
        </w:rPr>
        <w:t xml:space="preserve"> swapové úrokové sazby</w:t>
      </w:r>
      <w:r w:rsidR="00C8784D">
        <w:rPr>
          <w:rFonts w:ascii="Calibri" w:hAnsi="Calibri" w:cs="Calibri"/>
          <w:b/>
          <w:color w:val="13576B"/>
          <w:sz w:val="23"/>
          <w:szCs w:val="23"/>
        </w:rPr>
        <w:t xml:space="preserve"> výše</w:t>
      </w:r>
    </w:p>
    <w:p w14:paraId="380635EC" w14:textId="0B98C16D" w:rsidR="0025756A" w:rsidRPr="0025756A" w:rsidRDefault="0025756A" w:rsidP="006D5361">
      <w:pPr>
        <w:overflowPunct/>
        <w:autoSpaceDE/>
        <w:adjustRightInd/>
        <w:rPr>
          <w:rFonts w:ascii="Calibri" w:hAnsi="Calibri" w:cs="Calibri"/>
          <w:bCs/>
          <w:color w:val="13576B"/>
          <w:sz w:val="23"/>
          <w:szCs w:val="23"/>
        </w:rPr>
        <w:sectPr w:rsidR="0025756A" w:rsidRPr="0025756A" w:rsidSect="001B2E5E">
          <w:type w:val="continuous"/>
          <w:pgSz w:w="11906" w:h="16838"/>
          <w:pgMar w:top="2552" w:right="849" w:bottom="1560" w:left="851" w:header="709" w:footer="283" w:gutter="0"/>
          <w:cols w:num="2" w:space="708"/>
          <w:docGrid w:linePitch="360"/>
        </w:sectPr>
      </w:pPr>
      <w:r>
        <w:rPr>
          <w:rFonts w:ascii="Calibri" w:hAnsi="Calibri" w:cs="Calibri"/>
          <w:bCs/>
          <w:color w:val="13576B"/>
          <w:sz w:val="23"/>
          <w:szCs w:val="23"/>
        </w:rPr>
        <w:t xml:space="preserve">… které </w:t>
      </w:r>
      <w:r w:rsidR="00C8784D">
        <w:rPr>
          <w:rFonts w:ascii="Calibri" w:hAnsi="Calibri" w:cs="Calibri"/>
          <w:bCs/>
          <w:color w:val="13576B"/>
          <w:sz w:val="23"/>
          <w:szCs w:val="23"/>
        </w:rPr>
        <w:t xml:space="preserve">se v červenci opět navrátily na vyšší </w:t>
      </w:r>
      <w:r>
        <w:rPr>
          <w:rFonts w:ascii="Calibri" w:hAnsi="Calibri" w:cs="Calibri"/>
          <w:bCs/>
          <w:color w:val="13576B"/>
          <w:sz w:val="23"/>
          <w:szCs w:val="23"/>
        </w:rPr>
        <w:t>úrovn</w:t>
      </w:r>
      <w:r w:rsidR="00867322">
        <w:rPr>
          <w:rFonts w:ascii="Calibri" w:hAnsi="Calibri" w:cs="Calibri"/>
          <w:bCs/>
          <w:color w:val="13576B"/>
          <w:sz w:val="23"/>
          <w:szCs w:val="23"/>
        </w:rPr>
        <w:t>ě</w:t>
      </w:r>
      <w:r>
        <w:rPr>
          <w:rFonts w:ascii="Calibri" w:hAnsi="Calibri" w:cs="Calibri"/>
          <w:bCs/>
          <w:color w:val="13576B"/>
          <w:sz w:val="23"/>
          <w:szCs w:val="23"/>
        </w:rPr>
        <w:t xml:space="preserve"> z poloviny roku 2024 </w:t>
      </w:r>
    </w:p>
    <w:p w14:paraId="7CBC6B5A" w14:textId="77777777" w:rsidR="001B2E5E" w:rsidRPr="004803D6" w:rsidRDefault="001B2E5E" w:rsidP="00F625CA">
      <w:pPr>
        <w:rPr>
          <w:rFonts w:ascii="Calibri" w:hAnsi="Calibri" w:cs="Calibri"/>
          <w:color w:val="000000"/>
          <w:sz w:val="22"/>
          <w:szCs w:val="22"/>
        </w:rPr>
      </w:pPr>
    </w:p>
    <w:p w14:paraId="0230887A" w14:textId="77777777" w:rsidR="00606031" w:rsidRDefault="00606031" w:rsidP="005874B8">
      <w:pPr>
        <w:spacing w:after="120"/>
        <w:rPr>
          <w:rFonts w:ascii="Calibri" w:hAnsi="Calibri" w:cs="Calibri"/>
          <w:b/>
          <w:color w:val="13576B"/>
          <w:sz w:val="23"/>
          <w:szCs w:val="23"/>
        </w:rPr>
        <w:sectPr w:rsidR="00606031" w:rsidSect="00606031">
          <w:type w:val="continuous"/>
          <w:pgSz w:w="11906" w:h="16838"/>
          <w:pgMar w:top="2552" w:right="849" w:bottom="1560" w:left="851" w:header="709" w:footer="283" w:gutter="0"/>
          <w:cols w:space="708"/>
          <w:docGrid w:linePitch="360"/>
        </w:sectPr>
      </w:pPr>
    </w:p>
    <w:p w14:paraId="5C054A6D" w14:textId="1C6C5AF0" w:rsidR="00D2301A" w:rsidRPr="002138C0" w:rsidRDefault="00C8784D" w:rsidP="005874B8">
      <w:pPr>
        <w:rPr>
          <w:rFonts w:ascii="Calibri" w:hAnsi="Calibri" w:cs="Calibri"/>
          <w:sz w:val="22"/>
          <w:szCs w:val="22"/>
          <w:highlight w:val="yellow"/>
        </w:rPr>
      </w:pPr>
      <w:r>
        <w:rPr>
          <w:rFonts w:ascii="Calibri" w:hAnsi="Calibri" w:cs="Calibri"/>
          <w:noProof/>
          <w:sz w:val="22"/>
          <w:szCs w:val="22"/>
          <w:highlight w:val="yellow"/>
        </w:rPr>
        <w:drawing>
          <wp:inline distT="0" distB="0" distL="0" distR="0" wp14:anchorId="4C444E3D" wp14:editId="2ABD37F3">
            <wp:extent cx="3290932" cy="1875958"/>
            <wp:effectExtent l="0" t="0" r="5080" b="0"/>
            <wp:docPr id="589396126"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297511" cy="1879708"/>
                    </a:xfrm>
                    <a:prstGeom prst="rect">
                      <a:avLst/>
                    </a:prstGeom>
                    <a:noFill/>
                  </pic:spPr>
                </pic:pic>
              </a:graphicData>
            </a:graphic>
          </wp:inline>
        </w:drawing>
      </w:r>
    </w:p>
    <w:p w14:paraId="59B88724" w14:textId="17255E86" w:rsidR="001B2E5E" w:rsidRDefault="00691287" w:rsidP="001B2E5E">
      <w:pPr>
        <w:overflowPunct/>
        <w:autoSpaceDE/>
        <w:adjustRightInd/>
        <w:rPr>
          <w:rFonts w:ascii="Calibri" w:hAnsi="Calibri" w:cs="Calibri"/>
          <w:b/>
          <w:color w:val="13576B"/>
          <w:sz w:val="23"/>
          <w:szCs w:val="23"/>
        </w:rPr>
      </w:pPr>
      <w:r w:rsidRPr="002F4CBD">
        <w:rPr>
          <w:rFonts w:ascii="Calibri Light" w:hAnsi="Calibri Light" w:cs="Calibri Light"/>
          <w:color w:val="13576B"/>
          <w:sz w:val="20"/>
        </w:rPr>
        <w:t xml:space="preserve">Pramen: </w:t>
      </w:r>
      <w:r w:rsidR="006F74BF">
        <w:rPr>
          <w:rFonts w:ascii="Calibri Light" w:hAnsi="Calibri Light" w:cs="Calibri Light"/>
          <w:color w:val="13576B"/>
          <w:sz w:val="20"/>
        </w:rPr>
        <w:t xml:space="preserve">ČNB, </w:t>
      </w:r>
      <w:r w:rsidRPr="002F4CBD">
        <w:rPr>
          <w:rFonts w:ascii="Calibri Light" w:hAnsi="Calibri Light" w:cs="Calibri Light"/>
          <w:color w:val="13576B"/>
          <w:sz w:val="20"/>
        </w:rPr>
        <w:t>ČBA Hypomonitor</w:t>
      </w:r>
      <w:bookmarkStart w:id="5" w:name="_Hlk137652102"/>
    </w:p>
    <w:p w14:paraId="53F00851" w14:textId="2A76502A" w:rsidR="006337E7" w:rsidRDefault="00C8784D" w:rsidP="006337E7">
      <w:pPr>
        <w:rPr>
          <w:rFonts w:ascii="Calibri" w:hAnsi="Calibri" w:cs="Calibri"/>
          <w:color w:val="000000" w:themeColor="text1"/>
          <w:sz w:val="22"/>
          <w:szCs w:val="22"/>
        </w:rPr>
      </w:pPr>
      <w:r>
        <w:rPr>
          <w:rFonts w:ascii="Calibri" w:hAnsi="Calibri" w:cs="Calibri"/>
          <w:noProof/>
          <w:color w:val="000000" w:themeColor="text1"/>
          <w:sz w:val="22"/>
          <w:szCs w:val="22"/>
        </w:rPr>
        <w:drawing>
          <wp:inline distT="0" distB="0" distL="0" distR="0" wp14:anchorId="5D27463B" wp14:editId="68D0BBB0">
            <wp:extent cx="3092356" cy="1795587"/>
            <wp:effectExtent l="0" t="0" r="0" b="0"/>
            <wp:docPr id="1681684507"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102390" cy="1801413"/>
                    </a:xfrm>
                    <a:prstGeom prst="rect">
                      <a:avLst/>
                    </a:prstGeom>
                    <a:noFill/>
                  </pic:spPr>
                </pic:pic>
              </a:graphicData>
            </a:graphic>
          </wp:inline>
        </w:drawing>
      </w:r>
    </w:p>
    <w:p w14:paraId="46B50194" w14:textId="493C5A48" w:rsidR="00F20967" w:rsidRDefault="006337E7" w:rsidP="00DD1BFF">
      <w:pPr>
        <w:rPr>
          <w:rFonts w:asciiTheme="minorHAnsi" w:hAnsiTheme="minorHAnsi" w:cstheme="minorHAnsi"/>
          <w:color w:val="13576B"/>
          <w:sz w:val="20"/>
        </w:rPr>
      </w:pPr>
      <w:r w:rsidRPr="00AA62A7">
        <w:rPr>
          <w:rFonts w:asciiTheme="minorHAnsi" w:hAnsiTheme="minorHAnsi" w:cstheme="minorHAnsi"/>
          <w:color w:val="2F5496" w:themeColor="accent5" w:themeShade="BF"/>
          <w:sz w:val="20"/>
        </w:rPr>
        <w:t>Pramen</w:t>
      </w:r>
      <w:r w:rsidRPr="00AA62A7">
        <w:rPr>
          <w:rFonts w:asciiTheme="minorHAnsi" w:hAnsiTheme="minorHAnsi" w:cstheme="minorHAnsi"/>
          <w:color w:val="13576B"/>
          <w:sz w:val="20"/>
        </w:rPr>
        <w:t xml:space="preserve">: </w:t>
      </w:r>
      <w:r>
        <w:rPr>
          <w:rFonts w:asciiTheme="minorHAnsi" w:hAnsiTheme="minorHAnsi" w:cstheme="minorHAnsi"/>
          <w:color w:val="13576B"/>
          <w:sz w:val="20"/>
        </w:rPr>
        <w:t>LSEG, Macrobond (</w:t>
      </w:r>
      <w:r w:rsidR="00BA3140">
        <w:rPr>
          <w:rFonts w:asciiTheme="minorHAnsi" w:hAnsiTheme="minorHAnsi" w:cstheme="minorHAnsi"/>
          <w:color w:val="13576B"/>
          <w:sz w:val="20"/>
        </w:rPr>
        <w:t>1</w:t>
      </w:r>
      <w:r w:rsidR="00C8784D">
        <w:rPr>
          <w:rFonts w:asciiTheme="minorHAnsi" w:hAnsiTheme="minorHAnsi" w:cstheme="minorHAnsi"/>
          <w:color w:val="13576B"/>
          <w:sz w:val="20"/>
        </w:rPr>
        <w:t>5. červenec</w:t>
      </w:r>
      <w:r w:rsidR="00055000">
        <w:rPr>
          <w:rFonts w:asciiTheme="minorHAnsi" w:hAnsiTheme="minorHAnsi" w:cstheme="minorHAnsi"/>
          <w:color w:val="13576B"/>
          <w:sz w:val="20"/>
        </w:rPr>
        <w:t xml:space="preserve"> </w:t>
      </w:r>
      <w:r>
        <w:rPr>
          <w:rFonts w:asciiTheme="minorHAnsi" w:hAnsiTheme="minorHAnsi" w:cstheme="minorHAnsi"/>
          <w:color w:val="13576B"/>
          <w:sz w:val="20"/>
        </w:rPr>
        <w:t>202</w:t>
      </w:r>
      <w:r w:rsidR="00BA3140">
        <w:rPr>
          <w:rFonts w:asciiTheme="minorHAnsi" w:hAnsiTheme="minorHAnsi" w:cstheme="minorHAnsi"/>
          <w:color w:val="13576B"/>
          <w:sz w:val="20"/>
        </w:rPr>
        <w:t>6</w:t>
      </w:r>
      <w:r>
        <w:rPr>
          <w:rFonts w:asciiTheme="minorHAnsi" w:hAnsiTheme="minorHAnsi" w:cstheme="minorHAnsi"/>
          <w:color w:val="13576B"/>
          <w:sz w:val="20"/>
        </w:rPr>
        <w:t xml:space="preserve">), </w:t>
      </w:r>
      <w:r w:rsidRPr="00AA62A7">
        <w:rPr>
          <w:rFonts w:asciiTheme="minorHAnsi" w:hAnsiTheme="minorHAnsi" w:cstheme="minorHAnsi"/>
          <w:color w:val="13576B"/>
          <w:sz w:val="20"/>
        </w:rPr>
        <w:t>ČB</w:t>
      </w:r>
      <w:r w:rsidR="00F20967">
        <w:rPr>
          <w:rFonts w:asciiTheme="minorHAnsi" w:hAnsiTheme="minorHAnsi" w:cstheme="minorHAnsi"/>
          <w:color w:val="13576B"/>
          <w:sz w:val="20"/>
        </w:rPr>
        <w:t>A</w:t>
      </w:r>
    </w:p>
    <w:p w14:paraId="1AF065D2" w14:textId="464EA7CD" w:rsidR="00F20967" w:rsidRPr="00606031" w:rsidRDefault="00F20967" w:rsidP="00DD1BFF">
      <w:pPr>
        <w:rPr>
          <w:rFonts w:ascii="Calibri" w:hAnsi="Calibri" w:cs="Calibri"/>
          <w:color w:val="000000" w:themeColor="text1"/>
          <w:sz w:val="22"/>
          <w:szCs w:val="22"/>
        </w:rPr>
        <w:sectPr w:rsidR="00F20967" w:rsidRPr="00606031" w:rsidSect="00606031">
          <w:type w:val="continuous"/>
          <w:pgSz w:w="11906" w:h="16838"/>
          <w:pgMar w:top="2552" w:right="849" w:bottom="1560" w:left="851" w:header="709" w:footer="283" w:gutter="0"/>
          <w:cols w:num="2" w:space="708"/>
          <w:docGrid w:linePitch="360"/>
        </w:sectPr>
      </w:pPr>
    </w:p>
    <w:p w14:paraId="602A8F07" w14:textId="77777777" w:rsidR="001B2E5E" w:rsidRDefault="001B2E5E" w:rsidP="00055000">
      <w:pPr>
        <w:overflowPunct/>
        <w:autoSpaceDE/>
        <w:autoSpaceDN/>
        <w:adjustRightInd/>
        <w:textAlignment w:val="auto"/>
        <w:rPr>
          <w:rFonts w:ascii="Calibri" w:hAnsi="Calibri" w:cs="Calibri"/>
          <w:b/>
          <w:bCs/>
          <w:color w:val="000000" w:themeColor="text1"/>
          <w:sz w:val="22"/>
          <w:szCs w:val="22"/>
        </w:rPr>
      </w:pPr>
    </w:p>
    <w:p w14:paraId="077932C6" w14:textId="52382693" w:rsidR="00D1522E" w:rsidRPr="00D1522E" w:rsidRDefault="00BE2556" w:rsidP="009C5D66">
      <w:pPr>
        <w:rPr>
          <w:rFonts w:ascii="Calibri" w:hAnsi="Calibri" w:cs="Calibri"/>
          <w:b/>
          <w:color w:val="13576B"/>
          <w:sz w:val="24"/>
          <w:szCs w:val="24"/>
        </w:rPr>
      </w:pPr>
      <w:bookmarkStart w:id="6" w:name="_Hlk100672905"/>
      <w:bookmarkEnd w:id="5"/>
      <w:r>
        <w:rPr>
          <w:rFonts w:ascii="Calibri" w:hAnsi="Calibri" w:cs="Calibri"/>
          <w:b/>
          <w:color w:val="13576B"/>
          <w:sz w:val="24"/>
          <w:szCs w:val="24"/>
        </w:rPr>
        <w:t xml:space="preserve">Průměrná měsíční nová </w:t>
      </w:r>
      <w:r w:rsidR="00C802D7" w:rsidRPr="00C802D7">
        <w:rPr>
          <w:rFonts w:ascii="Calibri" w:hAnsi="Calibri" w:cs="Calibri"/>
          <w:b/>
          <w:color w:val="13576B"/>
          <w:sz w:val="24"/>
          <w:szCs w:val="24"/>
        </w:rPr>
        <w:t>hypoteční splát</w:t>
      </w:r>
      <w:r>
        <w:rPr>
          <w:rFonts w:ascii="Calibri" w:hAnsi="Calibri" w:cs="Calibri"/>
          <w:b/>
          <w:color w:val="13576B"/>
          <w:sz w:val="24"/>
          <w:szCs w:val="24"/>
        </w:rPr>
        <w:t>ka se vrátil</w:t>
      </w:r>
      <w:r w:rsidR="00E27F38">
        <w:rPr>
          <w:rFonts w:ascii="Calibri" w:hAnsi="Calibri" w:cs="Calibri"/>
          <w:b/>
          <w:color w:val="13576B"/>
          <w:sz w:val="24"/>
          <w:szCs w:val="24"/>
        </w:rPr>
        <w:t>a</w:t>
      </w:r>
      <w:r>
        <w:rPr>
          <w:rFonts w:ascii="Calibri" w:hAnsi="Calibri" w:cs="Calibri"/>
          <w:b/>
          <w:color w:val="13576B"/>
          <w:sz w:val="24"/>
          <w:szCs w:val="24"/>
        </w:rPr>
        <w:t xml:space="preserve"> pod </w:t>
      </w:r>
      <w:r w:rsidR="00C802D7" w:rsidRPr="00C802D7">
        <w:rPr>
          <w:rFonts w:ascii="Calibri" w:hAnsi="Calibri" w:cs="Calibri"/>
          <w:b/>
          <w:color w:val="13576B"/>
          <w:sz w:val="24"/>
          <w:szCs w:val="24"/>
        </w:rPr>
        <w:t>26 tisíc Kč</w:t>
      </w:r>
      <w:r>
        <w:rPr>
          <w:rFonts w:ascii="Calibri" w:hAnsi="Calibri" w:cs="Calibri"/>
          <w:b/>
          <w:color w:val="13576B"/>
          <w:sz w:val="24"/>
          <w:szCs w:val="24"/>
        </w:rPr>
        <w:t xml:space="preserve"> a </w:t>
      </w:r>
      <w:r w:rsidR="00D1522E" w:rsidRPr="00D1522E">
        <w:rPr>
          <w:rFonts w:ascii="Calibri" w:hAnsi="Calibri" w:cs="Calibri"/>
          <w:b/>
          <w:color w:val="13576B"/>
          <w:sz w:val="24"/>
          <w:szCs w:val="24"/>
        </w:rPr>
        <w:t>medián</w:t>
      </w:r>
      <w:r>
        <w:rPr>
          <w:rFonts w:ascii="Calibri" w:hAnsi="Calibri" w:cs="Calibri"/>
          <w:b/>
          <w:color w:val="13576B"/>
          <w:sz w:val="24"/>
          <w:szCs w:val="24"/>
        </w:rPr>
        <w:t xml:space="preserve">ová pod </w:t>
      </w:r>
      <w:r w:rsidR="0008300C">
        <w:rPr>
          <w:rFonts w:ascii="Calibri" w:hAnsi="Calibri" w:cs="Calibri"/>
          <w:b/>
          <w:color w:val="13576B"/>
          <w:sz w:val="24"/>
          <w:szCs w:val="24"/>
        </w:rPr>
        <w:t>21</w:t>
      </w:r>
      <w:r w:rsidR="00D1522E" w:rsidRPr="00D1522E">
        <w:rPr>
          <w:rFonts w:ascii="Calibri" w:hAnsi="Calibri" w:cs="Calibri"/>
          <w:b/>
          <w:color w:val="13576B"/>
          <w:sz w:val="24"/>
          <w:szCs w:val="24"/>
        </w:rPr>
        <w:t xml:space="preserve"> tisíc</w:t>
      </w:r>
    </w:p>
    <w:p w14:paraId="21211815" w14:textId="77777777" w:rsidR="00D1522E" w:rsidRDefault="00D1522E" w:rsidP="009C5D66">
      <w:pPr>
        <w:rPr>
          <w:rFonts w:ascii="Calibri" w:hAnsi="Calibri" w:cs="Calibri"/>
          <w:color w:val="000000" w:themeColor="text1"/>
          <w:sz w:val="22"/>
          <w:szCs w:val="22"/>
        </w:rPr>
      </w:pPr>
    </w:p>
    <w:p w14:paraId="0529C54C" w14:textId="77777777" w:rsidR="00F6412C" w:rsidRDefault="00BE2556" w:rsidP="009C5D66">
      <w:pPr>
        <w:rPr>
          <w:rFonts w:ascii="Calibri" w:hAnsi="Calibri" w:cs="Calibri"/>
          <w:color w:val="000000" w:themeColor="text1"/>
          <w:sz w:val="22"/>
          <w:szCs w:val="22"/>
        </w:rPr>
      </w:pPr>
      <w:r w:rsidRPr="00BE2556">
        <w:rPr>
          <w:rFonts w:ascii="Calibri" w:hAnsi="Calibri" w:cs="Calibri"/>
          <w:b/>
          <w:bCs/>
          <w:color w:val="000000" w:themeColor="text1"/>
          <w:sz w:val="22"/>
          <w:szCs w:val="22"/>
        </w:rPr>
        <w:t>Kombinace nárůstu úrokové sazby a vyšší průměrné výše hypotéky v červnu 2026 ve srovnání s průměrnými hodnotami z roku 2025 zvýšily průměrnou měsíční splátku nově poskytnuté hypotéky o 3,1 tis. Kč.</w:t>
      </w:r>
      <w:r w:rsidRPr="00BE2556">
        <w:rPr>
          <w:rFonts w:ascii="Calibri" w:hAnsi="Calibri" w:cs="Calibri"/>
          <w:color w:val="000000" w:themeColor="text1"/>
          <w:sz w:val="22"/>
          <w:szCs w:val="22"/>
        </w:rPr>
        <w:t xml:space="preserve"> Scénáře vývoje měsíční splátky pro různé délky splatnosti hypotéky znázorňuje tabulka č. 2. Ta napovídá, že nárůst hypotečních sazeb přes 0,2 procentního bodu vůči jejich průměrné výši 4,58 % v roce 2025 přinesl, pro průměrnou velikost hypotéky při jejím obvyklém přibližně 26,9letém splácení, zvýšení měsíční splátky o necelých 600 Kč na přibližně 25,8 tis. Kč, tedy o 0,6 % čistého příjmu žadatele v porovnání s průměrnou splátkou v minulém roce. </w:t>
      </w:r>
    </w:p>
    <w:p w14:paraId="67ECA957" w14:textId="77777777" w:rsidR="00F6412C" w:rsidRDefault="00F6412C" w:rsidP="009C5D66">
      <w:pPr>
        <w:rPr>
          <w:rFonts w:ascii="Calibri" w:hAnsi="Calibri" w:cs="Calibri"/>
          <w:color w:val="000000" w:themeColor="text1"/>
          <w:sz w:val="22"/>
          <w:szCs w:val="22"/>
        </w:rPr>
      </w:pPr>
    </w:p>
    <w:p w14:paraId="5240EB02" w14:textId="4B83E539" w:rsidR="00BE2556" w:rsidRDefault="00BE2556" w:rsidP="009C5D66">
      <w:pPr>
        <w:rPr>
          <w:rFonts w:ascii="Calibri" w:hAnsi="Calibri" w:cs="Calibri"/>
          <w:color w:val="000000" w:themeColor="text1"/>
          <w:sz w:val="22"/>
          <w:szCs w:val="22"/>
        </w:rPr>
      </w:pPr>
      <w:r w:rsidRPr="00F6412C">
        <w:rPr>
          <w:rFonts w:ascii="Calibri" w:hAnsi="Calibri" w:cs="Calibri"/>
          <w:b/>
          <w:bCs/>
          <w:color w:val="000000" w:themeColor="text1"/>
          <w:sz w:val="22"/>
          <w:szCs w:val="22"/>
        </w:rPr>
        <w:t xml:space="preserve">Ovšem současná průměrná výše hypotéky </w:t>
      </w:r>
      <w:r w:rsidR="000D06FE">
        <w:rPr>
          <w:rFonts w:ascii="Calibri" w:hAnsi="Calibri" w:cs="Calibri"/>
          <w:b/>
          <w:bCs/>
          <w:color w:val="000000" w:themeColor="text1"/>
          <w:sz w:val="22"/>
          <w:szCs w:val="22"/>
        </w:rPr>
        <w:t>byla</w:t>
      </w:r>
      <w:r w:rsidRPr="00F6412C">
        <w:rPr>
          <w:rFonts w:ascii="Calibri" w:hAnsi="Calibri" w:cs="Calibri"/>
          <w:b/>
          <w:bCs/>
          <w:color w:val="000000" w:themeColor="text1"/>
          <w:sz w:val="22"/>
          <w:szCs w:val="22"/>
        </w:rPr>
        <w:t xml:space="preserve"> o 11 % vyšší než její průměrná výše v roce 2024, což přispívá k navýšení měsíční splátky o 2,6 tis</w:t>
      </w:r>
      <w:r w:rsidRPr="00BE2556">
        <w:rPr>
          <w:rFonts w:ascii="Calibri" w:hAnsi="Calibri" w:cs="Calibri"/>
          <w:color w:val="000000" w:themeColor="text1"/>
          <w:sz w:val="22"/>
          <w:szCs w:val="22"/>
        </w:rPr>
        <w:t xml:space="preserve">. </w:t>
      </w:r>
      <w:r w:rsidRPr="00E27F38">
        <w:rPr>
          <w:rFonts w:ascii="Calibri" w:hAnsi="Calibri" w:cs="Calibri"/>
          <w:b/>
          <w:bCs/>
          <w:color w:val="000000" w:themeColor="text1"/>
          <w:sz w:val="22"/>
          <w:szCs w:val="22"/>
        </w:rPr>
        <w:t>Kč</w:t>
      </w:r>
      <w:r w:rsidRPr="00BE2556">
        <w:rPr>
          <w:rFonts w:ascii="Calibri" w:hAnsi="Calibri" w:cs="Calibri"/>
          <w:color w:val="000000" w:themeColor="text1"/>
          <w:sz w:val="22"/>
          <w:szCs w:val="22"/>
        </w:rPr>
        <w:t xml:space="preserve"> ve srovnání s průměrnou měsíční splátkou v minulém roce navázanou na loňskou průměrnou výši hypotéky ovšem při současné úrokové sazbě.  </w:t>
      </w:r>
    </w:p>
    <w:p w14:paraId="36765070" w14:textId="77777777" w:rsidR="00F6412C" w:rsidRDefault="00F6412C" w:rsidP="00C1363D">
      <w:pPr>
        <w:rPr>
          <w:rFonts w:ascii="Calibri" w:hAnsi="Calibri" w:cs="Calibri"/>
          <w:color w:val="000000" w:themeColor="text1"/>
          <w:sz w:val="22"/>
          <w:szCs w:val="22"/>
        </w:rPr>
      </w:pPr>
    </w:p>
    <w:p w14:paraId="4741BF50" w14:textId="008AEC5B" w:rsidR="00F6412C" w:rsidRDefault="00F6412C" w:rsidP="00C1363D">
      <w:pPr>
        <w:rPr>
          <w:rFonts w:ascii="Calibri" w:hAnsi="Calibri" w:cs="Calibri"/>
          <w:b/>
          <w:bCs/>
          <w:color w:val="000000" w:themeColor="text1"/>
          <w:sz w:val="22"/>
          <w:szCs w:val="22"/>
        </w:rPr>
      </w:pPr>
      <w:r w:rsidRPr="00F6412C">
        <w:rPr>
          <w:rFonts w:ascii="Calibri" w:hAnsi="Calibri" w:cs="Calibri"/>
          <w:b/>
          <w:bCs/>
          <w:color w:val="000000" w:themeColor="text1"/>
          <w:sz w:val="22"/>
          <w:szCs w:val="22"/>
        </w:rPr>
        <w:t>Naopak, ve srovnání s průměrnou 2,33% úrokovou hypoteční sazbou pro nové hypotéky v roce 2021</w:t>
      </w:r>
      <w:r w:rsidRPr="00F6412C">
        <w:rPr>
          <w:rFonts w:ascii="Calibri" w:hAnsi="Calibri" w:cs="Calibri"/>
          <w:color w:val="000000" w:themeColor="text1"/>
          <w:sz w:val="22"/>
          <w:szCs w:val="22"/>
        </w:rPr>
        <w:t xml:space="preserve"> tak současná hypoteční sazba pro refinancování ve výši 4,63 % při zkrácení splatnosti úvěru zvedá měsíční splátky u průměrné </w:t>
      </w:r>
      <w:r w:rsidRPr="00F6412C">
        <w:rPr>
          <w:rFonts w:ascii="Calibri" w:hAnsi="Calibri" w:cs="Calibri"/>
          <w:color w:val="000000" w:themeColor="text1"/>
          <w:sz w:val="22"/>
          <w:szCs w:val="22"/>
        </w:rPr>
        <w:lastRenderedPageBreak/>
        <w:t xml:space="preserve">hypotéky </w:t>
      </w:r>
      <w:r w:rsidR="00E27F38">
        <w:rPr>
          <w:rFonts w:ascii="Calibri" w:hAnsi="Calibri" w:cs="Calibri"/>
          <w:color w:val="000000" w:themeColor="text1"/>
          <w:sz w:val="22"/>
          <w:szCs w:val="22"/>
        </w:rPr>
        <w:t xml:space="preserve">o </w:t>
      </w:r>
      <w:r w:rsidRPr="00F6412C">
        <w:rPr>
          <w:rFonts w:ascii="Calibri" w:hAnsi="Calibri" w:cs="Calibri"/>
          <w:color w:val="000000" w:themeColor="text1"/>
          <w:sz w:val="22"/>
          <w:szCs w:val="22"/>
        </w:rPr>
        <w:t>více než 3</w:t>
      </w:r>
      <w:r>
        <w:rPr>
          <w:rFonts w:ascii="Calibri" w:hAnsi="Calibri" w:cs="Calibri"/>
          <w:color w:val="000000" w:themeColor="text1"/>
          <w:sz w:val="22"/>
          <w:szCs w:val="22"/>
        </w:rPr>
        <w:t xml:space="preserve"> </w:t>
      </w:r>
      <w:r w:rsidRPr="00F6412C">
        <w:rPr>
          <w:rFonts w:ascii="Calibri" w:hAnsi="Calibri" w:cs="Calibri"/>
          <w:color w:val="000000" w:themeColor="text1"/>
          <w:sz w:val="22"/>
          <w:szCs w:val="22"/>
        </w:rPr>
        <w:t xml:space="preserve">100 Kč, tedy asi o 6,1 % současné hrubé průměrné mzdy. Ta ovšem v porovnání s koncem roku 2021 narostla o 33 %. </w:t>
      </w:r>
      <w:r>
        <w:rPr>
          <w:rFonts w:ascii="Calibri" w:hAnsi="Calibri" w:cs="Calibri"/>
          <w:color w:val="000000" w:themeColor="text1"/>
          <w:sz w:val="22"/>
          <w:szCs w:val="22"/>
        </w:rPr>
        <w:t xml:space="preserve">Dopady a okolnosti jsme diskutovali ve </w:t>
      </w:r>
      <w:r w:rsidRPr="00DA2CF3">
        <w:rPr>
          <w:rFonts w:ascii="Calibri" w:hAnsi="Calibri" w:cs="Calibri"/>
          <w:color w:val="000000"/>
          <w:sz w:val="22"/>
          <w:szCs w:val="22"/>
        </w:rPr>
        <w:t xml:space="preserve">Fokus ČBA: </w:t>
      </w:r>
      <w:hyperlink r:id="rId25" w:history="1">
        <w:r w:rsidRPr="00DA2CF3">
          <w:rPr>
            <w:rStyle w:val="Hypertextovodkaz"/>
            <w:rFonts w:ascii="Calibri" w:hAnsi="Calibri" w:cs="Calibri"/>
            <w:sz w:val="22"/>
            <w:szCs w:val="22"/>
          </w:rPr>
          <w:t>Vlna refixací hypoték sílí, úrokový šok ale slábne. Rizikem zůstává vyšší inflace</w:t>
        </w:r>
      </w:hyperlink>
      <w:r w:rsidRPr="00DA2CF3">
        <w:rPr>
          <w:rFonts w:ascii="Calibri" w:hAnsi="Calibri" w:cs="Calibri"/>
          <w:sz w:val="22"/>
          <w:szCs w:val="22"/>
        </w:rPr>
        <w:t>.</w:t>
      </w:r>
      <w:r>
        <w:t xml:space="preserve"> </w:t>
      </w:r>
      <w:r>
        <w:rPr>
          <w:rFonts w:ascii="Calibri" w:hAnsi="Calibri" w:cs="Calibri"/>
          <w:color w:val="000000" w:themeColor="text1"/>
          <w:sz w:val="22"/>
          <w:szCs w:val="22"/>
        </w:rPr>
        <w:t xml:space="preserve"> </w:t>
      </w:r>
    </w:p>
    <w:p w14:paraId="0787F064" w14:textId="77777777" w:rsidR="00C1363D" w:rsidRDefault="00C1363D" w:rsidP="006D49D0">
      <w:pPr>
        <w:rPr>
          <w:rFonts w:ascii="Calibri" w:hAnsi="Calibri" w:cs="Calibri"/>
          <w:b/>
          <w:bCs/>
          <w:color w:val="000000" w:themeColor="text1"/>
          <w:sz w:val="22"/>
          <w:szCs w:val="22"/>
        </w:rPr>
      </w:pPr>
    </w:p>
    <w:p w14:paraId="1A267256" w14:textId="6FC38244" w:rsidR="009D3067" w:rsidRDefault="009D3067" w:rsidP="008569DC">
      <w:pPr>
        <w:overflowPunct/>
        <w:autoSpaceDE/>
        <w:autoSpaceDN/>
        <w:adjustRightInd/>
        <w:spacing w:line="259" w:lineRule="auto"/>
        <w:textAlignment w:val="auto"/>
        <w:rPr>
          <w:rFonts w:ascii="Calibri" w:hAnsi="Calibri" w:cs="Calibri"/>
          <w:b/>
          <w:color w:val="13576B"/>
          <w:sz w:val="23"/>
          <w:szCs w:val="23"/>
        </w:rPr>
      </w:pPr>
      <w:bookmarkStart w:id="7" w:name="_Hlk190458144"/>
      <w:bookmarkEnd w:id="6"/>
      <w:r w:rsidRPr="00515ECA">
        <w:rPr>
          <w:rFonts w:ascii="Calibri" w:hAnsi="Calibri" w:cs="Calibri"/>
          <w:b/>
          <w:color w:val="13576B"/>
          <w:sz w:val="23"/>
          <w:szCs w:val="23"/>
        </w:rPr>
        <w:t xml:space="preserve">Tabulka č. 2: </w:t>
      </w:r>
      <w:r w:rsidR="004B441B">
        <w:rPr>
          <w:rFonts w:ascii="Calibri" w:hAnsi="Calibri" w:cs="Calibri"/>
          <w:b/>
          <w:color w:val="13576B"/>
          <w:sz w:val="23"/>
          <w:szCs w:val="23"/>
        </w:rPr>
        <w:t>Ilustrace</w:t>
      </w:r>
      <w:r w:rsidR="00EB1892">
        <w:rPr>
          <w:rFonts w:ascii="Calibri" w:hAnsi="Calibri" w:cs="Calibri"/>
          <w:b/>
          <w:color w:val="13576B"/>
          <w:sz w:val="23"/>
          <w:szCs w:val="23"/>
        </w:rPr>
        <w:t xml:space="preserve"> m</w:t>
      </w:r>
      <w:r w:rsidRPr="00515ECA">
        <w:rPr>
          <w:rFonts w:ascii="Calibri" w:hAnsi="Calibri" w:cs="Calibri"/>
          <w:b/>
          <w:color w:val="13576B"/>
          <w:sz w:val="23"/>
          <w:szCs w:val="23"/>
        </w:rPr>
        <w:t>ěsíční splátk</w:t>
      </w:r>
      <w:r w:rsidR="004B441B">
        <w:rPr>
          <w:rFonts w:ascii="Calibri" w:hAnsi="Calibri" w:cs="Calibri"/>
          <w:b/>
          <w:color w:val="13576B"/>
          <w:sz w:val="23"/>
          <w:szCs w:val="23"/>
        </w:rPr>
        <w:t>y</w:t>
      </w:r>
      <w:r w:rsidRPr="00515ECA">
        <w:rPr>
          <w:rFonts w:ascii="Calibri" w:hAnsi="Calibri" w:cs="Calibri"/>
          <w:b/>
          <w:color w:val="13576B"/>
          <w:sz w:val="23"/>
          <w:szCs w:val="23"/>
        </w:rPr>
        <w:t xml:space="preserve"> průměrné</w:t>
      </w:r>
      <w:r w:rsidR="00D1522E">
        <w:rPr>
          <w:rFonts w:ascii="Calibri" w:hAnsi="Calibri" w:cs="Calibri"/>
          <w:b/>
          <w:color w:val="13576B"/>
          <w:sz w:val="23"/>
          <w:szCs w:val="23"/>
        </w:rPr>
        <w:t xml:space="preserve"> a mediánové</w:t>
      </w:r>
      <w:r w:rsidRPr="00515ECA">
        <w:rPr>
          <w:rFonts w:ascii="Calibri" w:hAnsi="Calibri" w:cs="Calibri"/>
          <w:b/>
          <w:color w:val="13576B"/>
          <w:sz w:val="23"/>
          <w:szCs w:val="23"/>
        </w:rPr>
        <w:t xml:space="preserve"> hypotéky v závislosti na délce splatnosti a úrokové sazbě</w:t>
      </w:r>
    </w:p>
    <w:p w14:paraId="284B4CCF" w14:textId="1240A344" w:rsidR="0025756A" w:rsidRDefault="00C8784D" w:rsidP="008569DC">
      <w:pPr>
        <w:overflowPunct/>
        <w:autoSpaceDE/>
        <w:autoSpaceDN/>
        <w:adjustRightInd/>
        <w:spacing w:line="259" w:lineRule="auto"/>
        <w:textAlignment w:val="auto"/>
        <w:rPr>
          <w:rFonts w:ascii="Calibri" w:hAnsi="Calibri" w:cs="Calibri"/>
          <w:b/>
          <w:color w:val="13576B"/>
          <w:sz w:val="23"/>
          <w:szCs w:val="23"/>
        </w:rPr>
      </w:pPr>
      <w:r w:rsidRPr="00C8784D">
        <w:rPr>
          <w:rFonts w:ascii="Calibri" w:hAnsi="Calibri" w:cs="Calibri"/>
          <w:b/>
          <w:noProof/>
          <w:color w:val="13576B"/>
          <w:sz w:val="23"/>
          <w:szCs w:val="23"/>
        </w:rPr>
        <w:drawing>
          <wp:inline distT="0" distB="0" distL="0" distR="0" wp14:anchorId="6A0B3594" wp14:editId="37A28AFC">
            <wp:extent cx="6480810" cy="1236980"/>
            <wp:effectExtent l="0" t="0" r="0" b="1270"/>
            <wp:docPr id="748987720"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480810" cy="1236980"/>
                    </a:xfrm>
                    <a:prstGeom prst="rect">
                      <a:avLst/>
                    </a:prstGeom>
                    <a:noFill/>
                    <a:ln>
                      <a:noFill/>
                    </a:ln>
                  </pic:spPr>
                </pic:pic>
              </a:graphicData>
            </a:graphic>
          </wp:inline>
        </w:drawing>
      </w:r>
    </w:p>
    <w:p w14:paraId="147D1458" w14:textId="77777777" w:rsidR="007C411F" w:rsidRPr="007C411F" w:rsidRDefault="007C411F" w:rsidP="007C411F">
      <w:pPr>
        <w:overflowPunct/>
        <w:autoSpaceDE/>
        <w:adjustRightInd/>
        <w:rPr>
          <w:rFonts w:ascii="Poppins" w:hAnsi="Poppins" w:cs="Poppins"/>
          <w:color w:val="212529"/>
          <w:sz w:val="24"/>
          <w:szCs w:val="24"/>
        </w:rPr>
      </w:pPr>
      <w:r w:rsidRPr="007C411F">
        <w:rPr>
          <w:rFonts w:ascii="Calibri Light" w:hAnsi="Calibri Light" w:cs="Calibri Light"/>
          <w:color w:val="13576B"/>
          <w:sz w:val="20"/>
        </w:rPr>
        <w:t>Pramen: ČBA (tabulka s hodnotami je k dispozici v xls souboru, který je přílohou této zprávy)</w:t>
      </w:r>
      <w:r w:rsidRPr="007C411F">
        <w:rPr>
          <w:rFonts w:ascii="Calibri Light" w:hAnsi="Calibri Light" w:cs="Calibri Light"/>
          <w:color w:val="13576B"/>
          <w:sz w:val="20"/>
        </w:rPr>
        <w:tab/>
      </w:r>
      <w:r w:rsidRPr="007C411F">
        <w:rPr>
          <w:rFonts w:ascii="Poppins" w:hAnsi="Poppins" w:cs="Poppins"/>
          <w:color w:val="212529"/>
          <w:sz w:val="27"/>
          <w:szCs w:val="27"/>
        </w:rPr>
        <w:tab/>
      </w:r>
      <w:r w:rsidRPr="007C411F">
        <w:rPr>
          <w:rFonts w:ascii="Poppins" w:hAnsi="Poppins" w:cs="Poppins"/>
          <w:color w:val="212529"/>
          <w:sz w:val="27"/>
          <w:szCs w:val="27"/>
        </w:rPr>
        <w:tab/>
      </w:r>
      <w:r w:rsidRPr="007C411F">
        <w:rPr>
          <w:rFonts w:ascii="Poppins" w:hAnsi="Poppins" w:cs="Poppins"/>
          <w:color w:val="212529"/>
          <w:sz w:val="27"/>
          <w:szCs w:val="27"/>
        </w:rPr>
        <w:tab/>
      </w:r>
      <w:r w:rsidRPr="007C411F">
        <w:rPr>
          <w:rFonts w:ascii="Poppins" w:hAnsi="Poppins" w:cs="Poppins"/>
          <w:color w:val="212529"/>
          <w:sz w:val="27"/>
          <w:szCs w:val="27"/>
        </w:rPr>
        <w:tab/>
      </w:r>
      <w:r w:rsidRPr="007C411F">
        <w:rPr>
          <w:rFonts w:ascii="Poppins" w:hAnsi="Poppins" w:cs="Poppins"/>
          <w:color w:val="212529"/>
          <w:sz w:val="27"/>
          <w:szCs w:val="27"/>
        </w:rPr>
        <w:tab/>
      </w:r>
      <w:r w:rsidRPr="007C411F">
        <w:rPr>
          <w:rFonts w:ascii="Poppins" w:hAnsi="Poppins" w:cs="Poppins"/>
          <w:color w:val="212529"/>
          <w:sz w:val="27"/>
          <w:szCs w:val="27"/>
        </w:rPr>
        <w:tab/>
      </w:r>
      <w:r w:rsidRPr="007C411F">
        <w:rPr>
          <w:rFonts w:ascii="Poppins" w:hAnsi="Poppins" w:cs="Poppins"/>
          <w:color w:val="212529"/>
          <w:sz w:val="27"/>
          <w:szCs w:val="27"/>
        </w:rPr>
        <w:tab/>
      </w:r>
      <w:r w:rsidRPr="007C411F">
        <w:rPr>
          <w:rFonts w:ascii="Poppins" w:hAnsi="Poppins" w:cs="Poppins"/>
          <w:color w:val="212529"/>
          <w:sz w:val="27"/>
          <w:szCs w:val="27"/>
        </w:rPr>
        <w:tab/>
      </w:r>
      <w:r w:rsidRPr="007C411F">
        <w:rPr>
          <w:rFonts w:ascii="Poppins" w:hAnsi="Poppins" w:cs="Poppins"/>
          <w:color w:val="212529"/>
          <w:sz w:val="27"/>
          <w:szCs w:val="27"/>
        </w:rPr>
        <w:tab/>
      </w:r>
      <w:r w:rsidRPr="007C411F">
        <w:rPr>
          <w:rFonts w:ascii="Poppins" w:hAnsi="Poppins" w:cs="Poppins"/>
          <w:color w:val="212529"/>
          <w:sz w:val="27"/>
          <w:szCs w:val="27"/>
        </w:rPr>
        <w:tab/>
      </w:r>
    </w:p>
    <w:p w14:paraId="3F1ACB94" w14:textId="7CBB91B2" w:rsidR="00D1522E" w:rsidRDefault="00D1522E" w:rsidP="00D1522E">
      <w:pPr>
        <w:rPr>
          <w:rFonts w:ascii="Calibri" w:hAnsi="Calibri" w:cs="Calibri"/>
          <w:b/>
          <w:color w:val="13576B"/>
          <w:sz w:val="24"/>
          <w:szCs w:val="24"/>
        </w:rPr>
      </w:pPr>
      <w:r w:rsidRPr="00D03B38">
        <w:rPr>
          <w:rFonts w:ascii="Calibri" w:hAnsi="Calibri" w:cs="Calibri"/>
          <w:b/>
          <w:color w:val="13576B"/>
          <w:sz w:val="24"/>
          <w:szCs w:val="24"/>
        </w:rPr>
        <w:t xml:space="preserve">Průměrná velikost nově poskytnuté hypotéky </w:t>
      </w:r>
      <w:r w:rsidR="00F6412C">
        <w:rPr>
          <w:rFonts w:ascii="Calibri" w:hAnsi="Calibri" w:cs="Calibri"/>
          <w:b/>
          <w:color w:val="13576B"/>
          <w:sz w:val="24"/>
          <w:szCs w:val="24"/>
        </w:rPr>
        <w:t xml:space="preserve">se v červnu vrátila pod </w:t>
      </w:r>
      <w:r w:rsidRPr="00D03B38">
        <w:rPr>
          <w:rFonts w:ascii="Calibri" w:hAnsi="Calibri" w:cs="Calibri"/>
          <w:b/>
          <w:color w:val="13576B"/>
          <w:sz w:val="24"/>
          <w:szCs w:val="24"/>
        </w:rPr>
        <w:t>4,</w:t>
      </w:r>
      <w:r w:rsidR="00F6412C">
        <w:rPr>
          <w:rFonts w:ascii="Calibri" w:hAnsi="Calibri" w:cs="Calibri"/>
          <w:b/>
          <w:color w:val="13576B"/>
          <w:sz w:val="24"/>
          <w:szCs w:val="24"/>
        </w:rPr>
        <w:t>7</w:t>
      </w:r>
      <w:r w:rsidRPr="00D03B38">
        <w:rPr>
          <w:rFonts w:ascii="Calibri" w:hAnsi="Calibri" w:cs="Calibri"/>
          <w:b/>
          <w:color w:val="13576B"/>
          <w:sz w:val="24"/>
          <w:szCs w:val="24"/>
        </w:rPr>
        <w:t xml:space="preserve"> mil. Kč</w:t>
      </w:r>
      <w:r>
        <w:rPr>
          <w:rFonts w:ascii="Calibri" w:hAnsi="Calibri" w:cs="Calibri"/>
          <w:b/>
          <w:color w:val="13576B"/>
          <w:sz w:val="24"/>
          <w:szCs w:val="24"/>
        </w:rPr>
        <w:t xml:space="preserve"> </w:t>
      </w:r>
    </w:p>
    <w:p w14:paraId="0200B3F4" w14:textId="77777777" w:rsidR="00D1522E" w:rsidRDefault="00D1522E" w:rsidP="00D1522E">
      <w:pPr>
        <w:overflowPunct/>
        <w:autoSpaceDE/>
        <w:autoSpaceDN/>
        <w:adjustRightInd/>
        <w:textAlignment w:val="auto"/>
        <w:rPr>
          <w:rFonts w:ascii="Calibri" w:hAnsi="Calibri" w:cs="Calibri"/>
          <w:color w:val="000000"/>
          <w:sz w:val="22"/>
          <w:szCs w:val="22"/>
        </w:rPr>
      </w:pPr>
    </w:p>
    <w:p w14:paraId="0B4F61CA" w14:textId="01CC893B" w:rsidR="00F6412C" w:rsidRDefault="00F6412C" w:rsidP="00F6412C">
      <w:pPr>
        <w:overflowPunct/>
        <w:autoSpaceDE/>
        <w:autoSpaceDN/>
        <w:adjustRightInd/>
        <w:textAlignment w:val="auto"/>
        <w:rPr>
          <w:rFonts w:ascii="Calibri" w:hAnsi="Calibri" w:cs="Calibri"/>
          <w:color w:val="000000"/>
          <w:sz w:val="22"/>
          <w:szCs w:val="22"/>
        </w:rPr>
      </w:pPr>
      <w:r w:rsidRPr="00F6412C">
        <w:rPr>
          <w:rFonts w:ascii="Calibri" w:hAnsi="Calibri" w:cs="Calibri"/>
          <w:b/>
          <w:bCs/>
          <w:color w:val="000000"/>
          <w:sz w:val="22"/>
          <w:szCs w:val="22"/>
        </w:rPr>
        <w:t xml:space="preserve">Průměrná velikost skutečně nově poskytnuté hypotéky v červnu klesla na 4,68 mil. Kč, tedy téměř o 3 % meziměsíčně. </w:t>
      </w:r>
      <w:r w:rsidRPr="00F6412C">
        <w:rPr>
          <w:rFonts w:ascii="Calibri" w:hAnsi="Calibri" w:cs="Calibri"/>
          <w:color w:val="000000"/>
          <w:sz w:val="22"/>
          <w:szCs w:val="22"/>
        </w:rPr>
        <w:t xml:space="preserve">Její velikost </w:t>
      </w:r>
      <w:r w:rsidR="000D06FE">
        <w:rPr>
          <w:rFonts w:ascii="Calibri" w:hAnsi="Calibri" w:cs="Calibri"/>
          <w:color w:val="000000"/>
          <w:sz w:val="22"/>
          <w:szCs w:val="22"/>
        </w:rPr>
        <w:t>byla</w:t>
      </w:r>
      <w:r w:rsidRPr="00F6412C">
        <w:rPr>
          <w:rFonts w:ascii="Calibri" w:hAnsi="Calibri" w:cs="Calibri"/>
          <w:color w:val="000000"/>
          <w:sz w:val="22"/>
          <w:szCs w:val="22"/>
        </w:rPr>
        <w:t xml:space="preserve"> o 11 % vyšší než 4,21 mil. Kč před rokem</w:t>
      </w:r>
      <w:r>
        <w:rPr>
          <w:rFonts w:ascii="Calibri" w:hAnsi="Calibri" w:cs="Calibri"/>
          <w:color w:val="000000"/>
          <w:sz w:val="22"/>
          <w:szCs w:val="22"/>
        </w:rPr>
        <w:t>,</w:t>
      </w:r>
      <w:r w:rsidR="000D06FE">
        <w:rPr>
          <w:rFonts w:ascii="Calibri" w:hAnsi="Calibri" w:cs="Calibri"/>
          <w:color w:val="000000"/>
          <w:sz w:val="22"/>
          <w:szCs w:val="22"/>
        </w:rPr>
        <w:t xml:space="preserve"> což ovšem představuje zvolnění po </w:t>
      </w:r>
      <w:r w:rsidRPr="00C1363D">
        <w:rPr>
          <w:rFonts w:ascii="Calibri" w:hAnsi="Calibri" w:cs="Calibri"/>
          <w:color w:val="000000"/>
          <w:sz w:val="22"/>
          <w:szCs w:val="22"/>
        </w:rPr>
        <w:t>dubnové</w:t>
      </w:r>
      <w:r>
        <w:rPr>
          <w:rFonts w:ascii="Calibri" w:hAnsi="Calibri" w:cs="Calibri"/>
          <w:color w:val="000000"/>
          <w:sz w:val="22"/>
          <w:szCs w:val="22"/>
        </w:rPr>
        <w:t xml:space="preserve">m </w:t>
      </w:r>
      <w:r w:rsidRPr="00C1363D">
        <w:rPr>
          <w:rFonts w:ascii="Calibri" w:hAnsi="Calibri" w:cs="Calibri"/>
          <w:color w:val="000000"/>
          <w:sz w:val="22"/>
          <w:szCs w:val="22"/>
        </w:rPr>
        <w:t>20% meziroční</w:t>
      </w:r>
      <w:r>
        <w:rPr>
          <w:rFonts w:ascii="Calibri" w:hAnsi="Calibri" w:cs="Calibri"/>
          <w:color w:val="000000"/>
          <w:sz w:val="22"/>
          <w:szCs w:val="22"/>
        </w:rPr>
        <w:t>m</w:t>
      </w:r>
      <w:r w:rsidRPr="00C1363D">
        <w:rPr>
          <w:rFonts w:ascii="Calibri" w:hAnsi="Calibri" w:cs="Calibri"/>
          <w:color w:val="000000"/>
          <w:sz w:val="22"/>
          <w:szCs w:val="22"/>
        </w:rPr>
        <w:t xml:space="preserve"> nárůstu</w:t>
      </w:r>
      <w:r w:rsidRPr="00C1363D">
        <w:rPr>
          <w:rFonts w:ascii="Calibri" w:hAnsi="Calibri" w:cs="Calibri"/>
          <w:b/>
          <w:bCs/>
          <w:color w:val="000000"/>
          <w:sz w:val="22"/>
          <w:szCs w:val="22"/>
        </w:rPr>
        <w:t xml:space="preserve">. </w:t>
      </w:r>
      <w:r>
        <w:rPr>
          <w:rFonts w:ascii="Calibri" w:hAnsi="Calibri" w:cs="Calibri"/>
          <w:color w:val="000000"/>
          <w:sz w:val="22"/>
          <w:szCs w:val="22"/>
        </w:rPr>
        <w:t xml:space="preserve">Vyšší průměrná velikost hypotéky na počátku letošního roku pravděpodobně odráží doznívající efekt předzásobení u tzv. investičních hypoték, kde od dubna </w:t>
      </w:r>
      <w:hyperlink r:id="rId27" w:history="1">
        <w:r w:rsidRPr="00770E5B">
          <w:rPr>
            <w:rStyle w:val="Hypertextovodkaz"/>
            <w:rFonts w:ascii="Calibri" w:hAnsi="Calibri" w:cs="Calibri"/>
            <w:sz w:val="22"/>
            <w:szCs w:val="22"/>
          </w:rPr>
          <w:t>ČNB zpřísnila požadavky</w:t>
        </w:r>
      </w:hyperlink>
      <w:r>
        <w:rPr>
          <w:rFonts w:ascii="Calibri" w:hAnsi="Calibri" w:cs="Calibri"/>
          <w:color w:val="000000"/>
          <w:sz w:val="22"/>
          <w:szCs w:val="22"/>
        </w:rPr>
        <w:t xml:space="preserve"> (LTV na 70 % a DTI na 7x). Na pozadí také působí </w:t>
      </w:r>
      <w:r w:rsidRPr="00650088">
        <w:rPr>
          <w:rFonts w:ascii="Calibri" w:hAnsi="Calibri" w:cs="Calibri"/>
          <w:color w:val="000000"/>
          <w:sz w:val="22"/>
          <w:szCs w:val="22"/>
        </w:rPr>
        <w:t xml:space="preserve">postupný růst reálných </w:t>
      </w:r>
      <w:r>
        <w:rPr>
          <w:rFonts w:ascii="Calibri" w:hAnsi="Calibri" w:cs="Calibri"/>
          <w:color w:val="000000"/>
          <w:sz w:val="22"/>
          <w:szCs w:val="22"/>
        </w:rPr>
        <w:t>mezd</w:t>
      </w:r>
      <w:r w:rsidRPr="00650088">
        <w:rPr>
          <w:rFonts w:ascii="Calibri" w:hAnsi="Calibri" w:cs="Calibri"/>
          <w:color w:val="000000"/>
          <w:sz w:val="22"/>
          <w:szCs w:val="22"/>
        </w:rPr>
        <w:t xml:space="preserve"> domácností (</w:t>
      </w:r>
      <w:r>
        <w:rPr>
          <w:rFonts w:ascii="Calibri" w:hAnsi="Calibri" w:cs="Calibri"/>
          <w:color w:val="000000"/>
          <w:sz w:val="22"/>
          <w:szCs w:val="22"/>
        </w:rPr>
        <w:t>8,1</w:t>
      </w:r>
      <w:r w:rsidRPr="00055000">
        <w:rPr>
          <w:rFonts w:ascii="Calibri" w:hAnsi="Calibri" w:cs="Calibri"/>
          <w:color w:val="000000" w:themeColor="text1"/>
          <w:sz w:val="22"/>
          <w:szCs w:val="22"/>
        </w:rPr>
        <w:t xml:space="preserve"> % meziročně </w:t>
      </w:r>
      <w:r>
        <w:rPr>
          <w:rFonts w:ascii="Calibri" w:hAnsi="Calibri" w:cs="Calibri"/>
          <w:color w:val="000000"/>
          <w:sz w:val="22"/>
          <w:szCs w:val="22"/>
        </w:rPr>
        <w:t>v </w:t>
      </w:r>
      <w:hyperlink r:id="rId28" w:history="1">
        <w:r>
          <w:rPr>
            <w:rStyle w:val="Hypertextovodkaz"/>
            <w:rFonts w:ascii="Calibri" w:hAnsi="Calibri" w:cs="Calibri"/>
            <w:sz w:val="22"/>
            <w:szCs w:val="22"/>
          </w:rPr>
          <w:t>Q1-2026</w:t>
        </w:r>
      </w:hyperlink>
      <w:r>
        <w:t>;</w:t>
      </w:r>
      <w:r w:rsidRPr="009C040E">
        <w:rPr>
          <w:rFonts w:ascii="Calibri" w:hAnsi="Calibri" w:cs="Calibri"/>
          <w:sz w:val="22"/>
          <w:szCs w:val="22"/>
        </w:rPr>
        <w:t xml:space="preserve"> graficky </w:t>
      </w:r>
      <w:hyperlink r:id="rId29" w:history="1">
        <w:r w:rsidRPr="009C040E">
          <w:rPr>
            <w:rStyle w:val="Hypertextovodkaz"/>
            <w:rFonts w:ascii="Calibri" w:hAnsi="Calibri" w:cs="Calibri"/>
            <w:sz w:val="22"/>
            <w:szCs w:val="22"/>
          </w:rPr>
          <w:t>zde</w:t>
        </w:r>
      </w:hyperlink>
      <w:r w:rsidRPr="00650088">
        <w:rPr>
          <w:rFonts w:ascii="Calibri" w:hAnsi="Calibri" w:cs="Calibri"/>
          <w:color w:val="000000"/>
          <w:sz w:val="22"/>
          <w:szCs w:val="22"/>
        </w:rPr>
        <w:t>)</w:t>
      </w:r>
      <w:r>
        <w:rPr>
          <w:rFonts w:ascii="Calibri" w:hAnsi="Calibri" w:cs="Calibri"/>
          <w:color w:val="000000"/>
          <w:sz w:val="22"/>
          <w:szCs w:val="22"/>
        </w:rPr>
        <w:t xml:space="preserve">. </w:t>
      </w:r>
    </w:p>
    <w:p w14:paraId="1A461AA6" w14:textId="77777777" w:rsidR="00EA163C" w:rsidRDefault="00EA163C" w:rsidP="00C802D7">
      <w:pPr>
        <w:overflowPunct/>
        <w:autoSpaceDE/>
        <w:autoSpaceDN/>
        <w:adjustRightInd/>
        <w:textAlignment w:val="auto"/>
        <w:rPr>
          <w:rFonts w:ascii="Calibri" w:hAnsi="Calibri" w:cs="Calibri"/>
          <w:color w:val="000000"/>
          <w:sz w:val="22"/>
          <w:szCs w:val="22"/>
        </w:rPr>
      </w:pPr>
    </w:p>
    <w:p w14:paraId="4D390434" w14:textId="7F8DE603" w:rsidR="00C802D7" w:rsidRDefault="00C802D7" w:rsidP="00C802D7">
      <w:pPr>
        <w:overflowPunct/>
        <w:autoSpaceDE/>
        <w:autoSpaceDN/>
        <w:adjustRightInd/>
        <w:textAlignment w:val="auto"/>
        <w:rPr>
          <w:rFonts w:ascii="Calibri" w:hAnsi="Calibri" w:cs="Calibri"/>
          <w:color w:val="000000"/>
          <w:sz w:val="22"/>
          <w:szCs w:val="22"/>
        </w:rPr>
      </w:pPr>
      <w:r w:rsidRPr="00616F34">
        <w:rPr>
          <w:rFonts w:ascii="Calibri" w:hAnsi="Calibri" w:cs="Calibri"/>
          <w:b/>
          <w:bCs/>
          <w:color w:val="000000"/>
          <w:sz w:val="22"/>
          <w:szCs w:val="22"/>
        </w:rPr>
        <w:t>Výše hypotéky pak souvisí také s vývojem cen nemovitostí,</w:t>
      </w:r>
      <w:r w:rsidRPr="004803D6">
        <w:rPr>
          <w:rFonts w:ascii="Calibri" w:hAnsi="Calibri" w:cs="Calibri"/>
          <w:color w:val="000000"/>
          <w:sz w:val="22"/>
          <w:szCs w:val="22"/>
        </w:rPr>
        <w:t xml:space="preserve"> které </w:t>
      </w:r>
      <w:r>
        <w:rPr>
          <w:rFonts w:ascii="Calibri" w:hAnsi="Calibri" w:cs="Calibri"/>
          <w:color w:val="000000"/>
          <w:sz w:val="22"/>
          <w:szCs w:val="22"/>
        </w:rPr>
        <w:t xml:space="preserve">i </w:t>
      </w:r>
      <w:hyperlink r:id="rId30" w:history="1">
        <w:r w:rsidR="007602B9" w:rsidRPr="007602B9">
          <w:rPr>
            <w:rStyle w:val="Hypertextovodkaz"/>
            <w:rFonts w:ascii="Calibri" w:hAnsi="Calibri" w:cs="Calibri"/>
            <w:sz w:val="22"/>
            <w:szCs w:val="22"/>
          </w:rPr>
          <w:t>v prvním čtvrtletí pouze mírně zpomalily</w:t>
        </w:r>
      </w:hyperlink>
      <w:r w:rsidR="007602B9">
        <w:rPr>
          <w:rFonts w:ascii="Calibri" w:hAnsi="Calibri" w:cs="Calibri"/>
          <w:color w:val="000000"/>
          <w:sz w:val="22"/>
          <w:szCs w:val="22"/>
        </w:rPr>
        <w:t xml:space="preserve"> svůj meziroční růst k 10 %. </w:t>
      </w:r>
      <w:r w:rsidRPr="00D43642">
        <w:rPr>
          <w:rFonts w:ascii="Calibri" w:hAnsi="Calibri" w:cs="Calibri"/>
          <w:color w:val="000000"/>
          <w:sz w:val="22"/>
          <w:szCs w:val="22"/>
        </w:rPr>
        <w:t xml:space="preserve">Nabídkové ceny </w:t>
      </w:r>
      <w:hyperlink r:id="rId31" w:history="1">
        <w:r w:rsidRPr="00490E04">
          <w:rPr>
            <w:rStyle w:val="Hypertextovodkaz"/>
            <w:rFonts w:ascii="Calibri" w:hAnsi="Calibri" w:cs="Calibri"/>
            <w:sz w:val="22"/>
            <w:szCs w:val="22"/>
          </w:rPr>
          <w:t>v prvním čtvrtletí 2025</w:t>
        </w:r>
      </w:hyperlink>
      <w:r w:rsidRPr="00D43642">
        <w:rPr>
          <w:rFonts w:ascii="Calibri" w:hAnsi="Calibri" w:cs="Calibri"/>
          <w:color w:val="000000"/>
          <w:sz w:val="22"/>
          <w:szCs w:val="22"/>
        </w:rPr>
        <w:t xml:space="preserve"> </w:t>
      </w:r>
      <w:r>
        <w:rPr>
          <w:rFonts w:ascii="Calibri" w:hAnsi="Calibri" w:cs="Calibri"/>
          <w:color w:val="000000"/>
          <w:sz w:val="22"/>
          <w:szCs w:val="22"/>
        </w:rPr>
        <w:t xml:space="preserve">mírně zrychlily na </w:t>
      </w:r>
      <w:r w:rsidRPr="00D43642">
        <w:rPr>
          <w:rFonts w:ascii="Calibri" w:hAnsi="Calibri" w:cs="Calibri"/>
          <w:color w:val="000000"/>
          <w:sz w:val="22"/>
          <w:szCs w:val="22"/>
        </w:rPr>
        <w:t>2,</w:t>
      </w:r>
      <w:r>
        <w:rPr>
          <w:rFonts w:ascii="Calibri" w:hAnsi="Calibri" w:cs="Calibri"/>
          <w:color w:val="000000"/>
          <w:sz w:val="22"/>
          <w:szCs w:val="22"/>
        </w:rPr>
        <w:t>7</w:t>
      </w:r>
      <w:r w:rsidRPr="00D43642">
        <w:rPr>
          <w:rFonts w:ascii="Calibri" w:hAnsi="Calibri" w:cs="Calibri"/>
          <w:color w:val="000000"/>
          <w:sz w:val="22"/>
          <w:szCs w:val="22"/>
        </w:rPr>
        <w:t xml:space="preserve"> %</w:t>
      </w:r>
      <w:r>
        <w:rPr>
          <w:rFonts w:ascii="Calibri" w:hAnsi="Calibri" w:cs="Calibri"/>
          <w:color w:val="000000"/>
          <w:sz w:val="22"/>
          <w:szCs w:val="22"/>
        </w:rPr>
        <w:t xml:space="preserve"> mezičtvrtletně, což stále převyšuje jejich </w:t>
      </w:r>
      <w:r w:rsidRPr="00D43642">
        <w:rPr>
          <w:rFonts w:ascii="Calibri" w:hAnsi="Calibri" w:cs="Calibri"/>
          <w:color w:val="000000"/>
          <w:sz w:val="22"/>
          <w:szCs w:val="22"/>
        </w:rPr>
        <w:t>dlouhodob</w:t>
      </w:r>
      <w:r>
        <w:rPr>
          <w:rFonts w:ascii="Calibri" w:hAnsi="Calibri" w:cs="Calibri"/>
          <w:color w:val="000000"/>
          <w:sz w:val="22"/>
          <w:szCs w:val="22"/>
        </w:rPr>
        <w:t xml:space="preserve">é průměrné navýšení o </w:t>
      </w:r>
      <w:r w:rsidRPr="00D43642">
        <w:rPr>
          <w:rFonts w:ascii="Calibri" w:hAnsi="Calibri" w:cs="Calibri"/>
          <w:color w:val="000000"/>
          <w:sz w:val="22"/>
          <w:szCs w:val="22"/>
        </w:rPr>
        <w:t>1,8 %</w:t>
      </w:r>
      <w:r w:rsidR="007602B9">
        <w:rPr>
          <w:rFonts w:ascii="Calibri" w:hAnsi="Calibri" w:cs="Calibri"/>
          <w:color w:val="000000"/>
          <w:sz w:val="22"/>
          <w:szCs w:val="22"/>
        </w:rPr>
        <w:t xml:space="preserve">, zatímco </w:t>
      </w:r>
      <w:hyperlink r:id="rId32" w:history="1">
        <w:r w:rsidR="007602B9" w:rsidRPr="007602B9">
          <w:rPr>
            <w:rStyle w:val="Hypertextovodkaz"/>
            <w:rFonts w:ascii="Calibri" w:hAnsi="Calibri" w:cs="Calibri"/>
            <w:sz w:val="22"/>
            <w:szCs w:val="22"/>
          </w:rPr>
          <w:t>realizované ceny bytů</w:t>
        </w:r>
      </w:hyperlink>
      <w:r w:rsidR="007602B9" w:rsidRPr="007602B9">
        <w:rPr>
          <w:rFonts w:ascii="Calibri" w:hAnsi="Calibri" w:cs="Calibri"/>
          <w:color w:val="000000"/>
          <w:sz w:val="22"/>
          <w:szCs w:val="22"/>
        </w:rPr>
        <w:t xml:space="preserve"> v prvním čtvrtletí zvolnily </w:t>
      </w:r>
      <w:r w:rsidR="007602B9">
        <w:rPr>
          <w:rFonts w:ascii="Calibri" w:hAnsi="Calibri" w:cs="Calibri"/>
          <w:color w:val="000000"/>
          <w:sz w:val="22"/>
          <w:szCs w:val="22"/>
        </w:rPr>
        <w:t>r</w:t>
      </w:r>
      <w:r w:rsidR="007602B9" w:rsidRPr="007602B9">
        <w:rPr>
          <w:rFonts w:ascii="Calibri" w:hAnsi="Calibri" w:cs="Calibri"/>
          <w:color w:val="000000"/>
          <w:sz w:val="22"/>
          <w:szCs w:val="22"/>
        </w:rPr>
        <w:t>ůst na přibližně 2,5 % mezičtvrtletně s výrazněji rozdílnou dynamikou mezi Prahou a zbytkem republiky.</w:t>
      </w:r>
      <w:r w:rsidR="007602B9">
        <w:rPr>
          <w:rFonts w:ascii="Calibri" w:hAnsi="Calibri" w:cs="Calibri"/>
          <w:color w:val="000000"/>
          <w:sz w:val="22"/>
          <w:szCs w:val="22"/>
        </w:rPr>
        <w:t xml:space="preserve"> </w:t>
      </w:r>
      <w:r w:rsidRPr="00BA1D00">
        <w:rPr>
          <w:rFonts w:ascii="Calibri" w:hAnsi="Calibri" w:cs="Calibri"/>
          <w:color w:val="000000"/>
          <w:sz w:val="22"/>
          <w:szCs w:val="22"/>
        </w:rPr>
        <w:t>Podle dat od společnosti Flat Zone průměrná transakční cena bytů</w:t>
      </w:r>
      <w:r w:rsidR="00770E5B">
        <w:rPr>
          <w:rFonts w:ascii="Calibri" w:hAnsi="Calibri" w:cs="Calibri"/>
          <w:color w:val="000000"/>
          <w:sz w:val="22"/>
          <w:szCs w:val="22"/>
        </w:rPr>
        <w:t xml:space="preserve">, </w:t>
      </w:r>
      <w:r w:rsidRPr="00BA1D00">
        <w:rPr>
          <w:rFonts w:ascii="Calibri" w:hAnsi="Calibri" w:cs="Calibri"/>
          <w:color w:val="000000"/>
          <w:sz w:val="22"/>
          <w:szCs w:val="22"/>
        </w:rPr>
        <w:t>jak nových, tak starších v ČR v</w:t>
      </w:r>
      <w:r w:rsidR="007602B9">
        <w:rPr>
          <w:rFonts w:ascii="Calibri" w:hAnsi="Calibri" w:cs="Calibri"/>
          <w:color w:val="000000"/>
          <w:sz w:val="22"/>
          <w:szCs w:val="22"/>
        </w:rPr>
        <w:t xml:space="preserve"> prvním letošním </w:t>
      </w:r>
      <w:r w:rsidRPr="00BA1D00">
        <w:rPr>
          <w:rFonts w:ascii="Calibri" w:hAnsi="Calibri" w:cs="Calibri"/>
          <w:color w:val="000000"/>
          <w:sz w:val="22"/>
          <w:szCs w:val="22"/>
        </w:rPr>
        <w:t xml:space="preserve">čtvrtletí </w:t>
      </w:r>
      <w:r w:rsidR="007602B9">
        <w:rPr>
          <w:rFonts w:ascii="Calibri" w:hAnsi="Calibri" w:cs="Calibri"/>
          <w:color w:val="000000"/>
          <w:sz w:val="22"/>
          <w:szCs w:val="22"/>
        </w:rPr>
        <w:t xml:space="preserve">dosáhla </w:t>
      </w:r>
      <w:r w:rsidRPr="00BA1D00">
        <w:rPr>
          <w:rFonts w:ascii="Calibri" w:hAnsi="Calibri" w:cs="Calibri"/>
          <w:color w:val="000000"/>
          <w:sz w:val="22"/>
          <w:szCs w:val="22"/>
        </w:rPr>
        <w:t>9</w:t>
      </w:r>
      <w:r w:rsidR="007602B9">
        <w:rPr>
          <w:rFonts w:ascii="Calibri" w:hAnsi="Calibri" w:cs="Calibri"/>
          <w:color w:val="000000"/>
          <w:sz w:val="22"/>
          <w:szCs w:val="22"/>
        </w:rPr>
        <w:t>8</w:t>
      </w:r>
      <w:r w:rsidRPr="00BA1D00">
        <w:rPr>
          <w:rFonts w:ascii="Calibri" w:hAnsi="Calibri" w:cs="Calibri"/>
          <w:color w:val="000000"/>
          <w:sz w:val="22"/>
          <w:szCs w:val="22"/>
        </w:rPr>
        <w:t xml:space="preserve"> tis. Kč/m2 (viz grafy na </w:t>
      </w:r>
      <w:hyperlink r:id="rId33" w:history="1">
        <w:r w:rsidRPr="00BA1D00">
          <w:rPr>
            <w:rStyle w:val="Hypertextovodkaz"/>
            <w:rFonts w:ascii="Calibri" w:hAnsi="Calibri" w:cs="Calibri"/>
            <w:sz w:val="22"/>
            <w:szCs w:val="22"/>
          </w:rPr>
          <w:t>ČBA Monitor</w:t>
        </w:r>
      </w:hyperlink>
      <w:r w:rsidRPr="00BA1D00">
        <w:rPr>
          <w:rFonts w:ascii="Calibri" w:hAnsi="Calibri" w:cs="Calibri"/>
          <w:color w:val="000000"/>
          <w:sz w:val="22"/>
          <w:szCs w:val="22"/>
        </w:rPr>
        <w:t>)</w:t>
      </w:r>
      <w:r w:rsidR="007602B9">
        <w:rPr>
          <w:rFonts w:ascii="Calibri" w:hAnsi="Calibri" w:cs="Calibri"/>
          <w:color w:val="000000"/>
          <w:sz w:val="22"/>
          <w:szCs w:val="22"/>
        </w:rPr>
        <w:t xml:space="preserve"> po 4,7</w:t>
      </w:r>
      <w:r w:rsidRPr="00BA1D00">
        <w:rPr>
          <w:rFonts w:ascii="Calibri" w:hAnsi="Calibri" w:cs="Calibri"/>
          <w:color w:val="000000"/>
          <w:sz w:val="22"/>
          <w:szCs w:val="22"/>
        </w:rPr>
        <w:t>% meziroční</w:t>
      </w:r>
      <w:r w:rsidR="007602B9">
        <w:rPr>
          <w:rFonts w:ascii="Calibri" w:hAnsi="Calibri" w:cs="Calibri"/>
          <w:color w:val="000000"/>
          <w:sz w:val="22"/>
          <w:szCs w:val="22"/>
        </w:rPr>
        <w:t>m</w:t>
      </w:r>
      <w:r w:rsidRPr="00BA1D00">
        <w:rPr>
          <w:rFonts w:ascii="Calibri" w:hAnsi="Calibri" w:cs="Calibri"/>
          <w:color w:val="000000"/>
          <w:sz w:val="22"/>
          <w:szCs w:val="22"/>
        </w:rPr>
        <w:t xml:space="preserve"> nárůst</w:t>
      </w:r>
      <w:r w:rsidR="007602B9">
        <w:rPr>
          <w:rFonts w:ascii="Calibri" w:hAnsi="Calibri" w:cs="Calibri"/>
          <w:color w:val="000000"/>
          <w:sz w:val="22"/>
          <w:szCs w:val="22"/>
        </w:rPr>
        <w:t>u</w:t>
      </w:r>
      <w:r w:rsidRPr="00BA1D00">
        <w:rPr>
          <w:rFonts w:ascii="Calibri" w:hAnsi="Calibri" w:cs="Calibri"/>
          <w:color w:val="000000"/>
          <w:sz w:val="22"/>
          <w:szCs w:val="22"/>
        </w:rPr>
        <w:t>.</w:t>
      </w:r>
    </w:p>
    <w:p w14:paraId="36769E17" w14:textId="77777777" w:rsidR="00C802D7" w:rsidRDefault="00C802D7" w:rsidP="00C802D7">
      <w:pPr>
        <w:overflowPunct/>
        <w:autoSpaceDE/>
        <w:autoSpaceDN/>
        <w:adjustRightInd/>
        <w:textAlignment w:val="auto"/>
        <w:rPr>
          <w:rFonts w:ascii="Calibri" w:hAnsi="Calibri" w:cs="Calibri"/>
          <w:color w:val="000000"/>
          <w:sz w:val="22"/>
          <w:szCs w:val="22"/>
        </w:rPr>
      </w:pPr>
    </w:p>
    <w:p w14:paraId="37433820" w14:textId="3A27D52D" w:rsidR="00573D34" w:rsidRDefault="00EB1892" w:rsidP="00573D34">
      <w:pPr>
        <w:spacing w:after="120"/>
        <w:rPr>
          <w:rFonts w:ascii="Calibri" w:hAnsi="Calibri" w:cs="Calibri"/>
          <w:b/>
          <w:color w:val="13576B"/>
          <w:sz w:val="23"/>
          <w:szCs w:val="23"/>
        </w:rPr>
      </w:pPr>
      <w:r w:rsidRPr="005B4653">
        <w:rPr>
          <w:rFonts w:ascii="Calibri" w:hAnsi="Calibri" w:cs="Calibri"/>
          <w:b/>
          <w:color w:val="13576B"/>
          <w:sz w:val="23"/>
          <w:szCs w:val="23"/>
        </w:rPr>
        <w:t xml:space="preserve">Graf č. </w:t>
      </w:r>
      <w:r w:rsidR="000B7D19">
        <w:rPr>
          <w:rFonts w:ascii="Calibri" w:hAnsi="Calibri" w:cs="Calibri"/>
          <w:b/>
          <w:color w:val="13576B"/>
          <w:sz w:val="23"/>
          <w:szCs w:val="23"/>
        </w:rPr>
        <w:t>6</w:t>
      </w:r>
      <w:r w:rsidRPr="005B4653">
        <w:rPr>
          <w:rFonts w:ascii="Calibri" w:hAnsi="Calibri" w:cs="Calibri"/>
          <w:b/>
          <w:color w:val="13576B"/>
          <w:sz w:val="23"/>
          <w:szCs w:val="23"/>
        </w:rPr>
        <w:t xml:space="preserve">: </w:t>
      </w:r>
      <w:r w:rsidR="009D5F35">
        <w:rPr>
          <w:rFonts w:ascii="Calibri" w:hAnsi="Calibri" w:cs="Calibri"/>
          <w:b/>
          <w:color w:val="13576B"/>
          <w:sz w:val="23"/>
          <w:szCs w:val="23"/>
        </w:rPr>
        <w:t xml:space="preserve">Ilustrativní srovnání výše měsíční splátky </w:t>
      </w:r>
      <w:r w:rsidR="00EA163C">
        <w:rPr>
          <w:rFonts w:ascii="Calibri" w:hAnsi="Calibri" w:cs="Calibri"/>
          <w:b/>
          <w:color w:val="13576B"/>
          <w:sz w:val="23"/>
          <w:szCs w:val="23"/>
        </w:rPr>
        <w:t xml:space="preserve">u aktuální </w:t>
      </w:r>
      <w:r w:rsidR="009D5F35">
        <w:rPr>
          <w:rFonts w:ascii="Calibri" w:hAnsi="Calibri" w:cs="Calibri"/>
          <w:b/>
          <w:color w:val="13576B"/>
          <w:sz w:val="23"/>
          <w:szCs w:val="23"/>
        </w:rPr>
        <w:t xml:space="preserve">průměrné </w:t>
      </w:r>
      <w:r w:rsidR="00490E04">
        <w:rPr>
          <w:rFonts w:ascii="Calibri" w:hAnsi="Calibri" w:cs="Calibri"/>
          <w:b/>
          <w:color w:val="13576B"/>
          <w:sz w:val="23"/>
          <w:szCs w:val="23"/>
        </w:rPr>
        <w:t xml:space="preserve">nově poskytnuté </w:t>
      </w:r>
      <w:r w:rsidR="009D5F35">
        <w:rPr>
          <w:rFonts w:ascii="Calibri" w:hAnsi="Calibri" w:cs="Calibri"/>
          <w:b/>
          <w:color w:val="13576B"/>
          <w:sz w:val="23"/>
          <w:szCs w:val="23"/>
        </w:rPr>
        <w:t>hypotéky s obdobím před rokem v závislosti na výši úroku, velikosti hypotéky a její splatnosti v</w:t>
      </w:r>
      <w:r w:rsidR="00573D34">
        <w:rPr>
          <w:rFonts w:ascii="Calibri" w:hAnsi="Calibri" w:cs="Calibri"/>
          <w:b/>
          <w:color w:val="13576B"/>
          <w:sz w:val="23"/>
          <w:szCs w:val="23"/>
        </w:rPr>
        <w:t> </w:t>
      </w:r>
      <w:r w:rsidR="009D5F35">
        <w:rPr>
          <w:rFonts w:ascii="Calibri" w:hAnsi="Calibri" w:cs="Calibri"/>
          <w:b/>
          <w:color w:val="13576B"/>
          <w:sz w:val="23"/>
          <w:szCs w:val="23"/>
        </w:rPr>
        <w:t>letech</w:t>
      </w:r>
    </w:p>
    <w:p w14:paraId="0828FF02" w14:textId="7515FB62" w:rsidR="00EA163C" w:rsidRDefault="0007456F" w:rsidP="00AA62A7">
      <w:pPr>
        <w:overflowPunct/>
        <w:autoSpaceDE/>
        <w:autoSpaceDN/>
        <w:adjustRightInd/>
        <w:spacing w:line="259" w:lineRule="auto"/>
        <w:jc w:val="left"/>
        <w:textAlignment w:val="auto"/>
        <w:rPr>
          <w:rFonts w:ascii="Calibri" w:hAnsi="Calibri" w:cs="Calibri"/>
          <w:bCs/>
          <w:i/>
          <w:iCs/>
          <w:noProof/>
          <w:color w:val="13576B"/>
          <w:sz w:val="23"/>
          <w:szCs w:val="23"/>
        </w:rPr>
      </w:pPr>
      <w:r w:rsidRPr="0007456F">
        <w:rPr>
          <w:rFonts w:ascii="Calibri" w:hAnsi="Calibri" w:cs="Calibri"/>
          <w:bCs/>
          <w:i/>
          <w:iCs/>
          <w:color w:val="13576B"/>
          <w:sz w:val="23"/>
          <w:szCs w:val="23"/>
        </w:rPr>
        <w:t>V meziročním srovnání přinesl nárůst hypoteční sazby nárůst průměrné měsíční splátky o 630 Kč a nárůst průměrné výše hypotéky způsobil její navýšení o 2 600 Kč</w:t>
      </w:r>
      <w:r>
        <w:rPr>
          <w:rFonts w:ascii="Calibri" w:hAnsi="Calibri" w:cs="Calibri"/>
          <w:bCs/>
          <w:i/>
          <w:iCs/>
          <w:color w:val="13576B"/>
          <w:sz w:val="23"/>
          <w:szCs w:val="23"/>
        </w:rPr>
        <w:t xml:space="preserve">. Ten byl ovšem mírnější než v květnu, a tak více než </w:t>
      </w:r>
      <w:r>
        <w:rPr>
          <w:rFonts w:ascii="Calibri" w:hAnsi="Calibri" w:cs="Calibri"/>
          <w:bCs/>
          <w:i/>
          <w:iCs/>
          <w:color w:val="13576B"/>
          <w:sz w:val="23"/>
          <w:szCs w:val="23"/>
        </w:rPr>
        <w:lastRenderedPageBreak/>
        <w:t xml:space="preserve">kompenzoval dopad vyšší úrokové sazby. </w:t>
      </w:r>
      <w:r w:rsidR="00C8784D">
        <w:rPr>
          <w:rFonts w:ascii="Calibri" w:hAnsi="Calibri" w:cs="Calibri"/>
          <w:bCs/>
          <w:i/>
          <w:iCs/>
          <w:noProof/>
          <w:color w:val="13576B"/>
          <w:sz w:val="23"/>
          <w:szCs w:val="23"/>
        </w:rPr>
        <w:drawing>
          <wp:inline distT="0" distB="0" distL="0" distR="0" wp14:anchorId="1CFE85C3" wp14:editId="5746E9AE">
            <wp:extent cx="6084570" cy="3560445"/>
            <wp:effectExtent l="0" t="0" r="0" b="1905"/>
            <wp:docPr id="2027519666"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6084570" cy="3560445"/>
                    </a:xfrm>
                    <a:prstGeom prst="rect">
                      <a:avLst/>
                    </a:prstGeom>
                    <a:noFill/>
                  </pic:spPr>
                </pic:pic>
              </a:graphicData>
            </a:graphic>
          </wp:inline>
        </w:drawing>
      </w:r>
    </w:p>
    <w:p w14:paraId="2DADE1A7" w14:textId="4B9EF024" w:rsidR="009D5F35" w:rsidRDefault="009D5F35" w:rsidP="009D5F35">
      <w:pPr>
        <w:overflowPunct/>
        <w:autoSpaceDE/>
        <w:adjustRightInd/>
        <w:rPr>
          <w:rFonts w:ascii="Calibri Light" w:hAnsi="Calibri Light" w:cs="Calibri Light"/>
          <w:color w:val="13576B"/>
          <w:sz w:val="20"/>
        </w:rPr>
      </w:pPr>
      <w:r w:rsidRPr="002F4CBD">
        <w:rPr>
          <w:rFonts w:ascii="Calibri Light" w:hAnsi="Calibri Light" w:cs="Calibri Light"/>
          <w:color w:val="13576B"/>
          <w:sz w:val="20"/>
        </w:rPr>
        <w:t>Pramen:</w:t>
      </w:r>
      <w:r>
        <w:rPr>
          <w:rFonts w:ascii="Calibri Light" w:hAnsi="Calibri Light" w:cs="Calibri Light"/>
          <w:color w:val="13576B"/>
          <w:sz w:val="20"/>
        </w:rPr>
        <w:t xml:space="preserve"> </w:t>
      </w:r>
      <w:r w:rsidRPr="002F4CBD">
        <w:rPr>
          <w:rFonts w:ascii="Calibri Light" w:hAnsi="Calibri Light" w:cs="Calibri Light"/>
          <w:color w:val="13576B"/>
          <w:sz w:val="20"/>
        </w:rPr>
        <w:t>ČBA</w:t>
      </w:r>
      <w:r w:rsidR="00AA62A7">
        <w:rPr>
          <w:rFonts w:ascii="Calibri Light" w:hAnsi="Calibri Light" w:cs="Calibri Light"/>
          <w:color w:val="13576B"/>
          <w:sz w:val="20"/>
        </w:rPr>
        <w:t xml:space="preserve">. Pozn.: </w:t>
      </w:r>
      <w:r w:rsidR="00AA62A7" w:rsidRPr="00AA62A7">
        <w:rPr>
          <w:rFonts w:ascii="Calibri Light" w:hAnsi="Calibri Light" w:cs="Calibri Light"/>
          <w:color w:val="13576B"/>
          <w:sz w:val="20"/>
        </w:rPr>
        <w:t>částky jsou zaokrouhleny na desítky korun.</w:t>
      </w:r>
    </w:p>
    <w:p w14:paraId="7ECA69B5" w14:textId="77777777" w:rsidR="00173D31" w:rsidRDefault="00173D31" w:rsidP="009D5F35">
      <w:pPr>
        <w:overflowPunct/>
        <w:autoSpaceDE/>
        <w:adjustRightInd/>
        <w:rPr>
          <w:rFonts w:ascii="Calibri Light" w:hAnsi="Calibri Light" w:cs="Calibri Light"/>
          <w:color w:val="13576B"/>
          <w:sz w:val="20"/>
        </w:rPr>
      </w:pPr>
    </w:p>
    <w:p w14:paraId="620D9ACD" w14:textId="77777777" w:rsidR="00BA3140" w:rsidRDefault="00BA3140" w:rsidP="002E4EFD">
      <w:pPr>
        <w:rPr>
          <w:rFonts w:ascii="Calibri" w:hAnsi="Calibri" w:cs="Calibri"/>
          <w:b/>
          <w:color w:val="13576B"/>
          <w:sz w:val="24"/>
          <w:szCs w:val="24"/>
        </w:rPr>
      </w:pPr>
    </w:p>
    <w:p w14:paraId="5A72B105" w14:textId="31FA153D" w:rsidR="002E4EFD" w:rsidRDefault="008723A8" w:rsidP="002E4EFD">
      <w:pPr>
        <w:rPr>
          <w:rFonts w:ascii="Calibri" w:hAnsi="Calibri" w:cs="Calibri"/>
          <w:b/>
          <w:color w:val="13576B"/>
          <w:sz w:val="24"/>
          <w:szCs w:val="24"/>
        </w:rPr>
      </w:pPr>
      <w:r>
        <w:rPr>
          <w:rFonts w:ascii="Calibri" w:hAnsi="Calibri" w:cs="Calibri"/>
          <w:b/>
          <w:color w:val="13576B"/>
          <w:sz w:val="24"/>
          <w:szCs w:val="24"/>
        </w:rPr>
        <w:t>Statistická příloha</w:t>
      </w:r>
    </w:p>
    <w:p w14:paraId="7D8CD8E4" w14:textId="77777777" w:rsidR="00582221" w:rsidRDefault="00582221" w:rsidP="002E4EFD">
      <w:pPr>
        <w:rPr>
          <w:rFonts w:ascii="Calibri" w:hAnsi="Calibri" w:cs="Calibri"/>
          <w:b/>
          <w:color w:val="13576B"/>
          <w:sz w:val="24"/>
          <w:szCs w:val="24"/>
        </w:rPr>
      </w:pPr>
    </w:p>
    <w:p w14:paraId="2FA0BE1C" w14:textId="532A5C10" w:rsidR="00582221" w:rsidRPr="00D24B00" w:rsidRDefault="00582221" w:rsidP="002E4EFD">
      <w:pPr>
        <w:rPr>
          <w:rFonts w:ascii="Calibri" w:hAnsi="Calibri" w:cs="Calibri"/>
          <w:b/>
          <w:color w:val="EE0000"/>
          <w:sz w:val="24"/>
          <w:szCs w:val="24"/>
        </w:rPr>
      </w:pPr>
      <w:r w:rsidRPr="005B4653">
        <w:rPr>
          <w:rFonts w:ascii="Calibri" w:hAnsi="Calibri" w:cs="Calibri"/>
          <w:b/>
          <w:color w:val="13576B"/>
          <w:sz w:val="23"/>
          <w:szCs w:val="23"/>
        </w:rPr>
        <w:t xml:space="preserve">Graf č. </w:t>
      </w:r>
      <w:r w:rsidR="000B7D19">
        <w:rPr>
          <w:rFonts w:ascii="Calibri" w:hAnsi="Calibri" w:cs="Calibri"/>
          <w:b/>
          <w:color w:val="13576B"/>
          <w:sz w:val="23"/>
          <w:szCs w:val="23"/>
        </w:rPr>
        <w:t>7</w:t>
      </w:r>
      <w:r w:rsidRPr="005B4653">
        <w:rPr>
          <w:rFonts w:ascii="Calibri" w:hAnsi="Calibri" w:cs="Calibri"/>
          <w:b/>
          <w:color w:val="13576B"/>
          <w:sz w:val="23"/>
          <w:szCs w:val="23"/>
        </w:rPr>
        <w:t xml:space="preserve">: </w:t>
      </w:r>
      <w:r>
        <w:rPr>
          <w:rFonts w:ascii="Calibri" w:hAnsi="Calibri" w:cs="Calibri"/>
          <w:b/>
          <w:color w:val="13576B"/>
          <w:sz w:val="23"/>
          <w:szCs w:val="23"/>
        </w:rPr>
        <w:t>Sezónnost nových hypotečních úvěrů</w:t>
      </w:r>
    </w:p>
    <w:p w14:paraId="384BA2E5" w14:textId="5D3153F2" w:rsidR="0033440C" w:rsidRDefault="0007456F" w:rsidP="009D5F35">
      <w:pPr>
        <w:overflowPunct/>
        <w:autoSpaceDE/>
        <w:adjustRightInd/>
        <w:rPr>
          <w:rFonts w:ascii="Calibri Light" w:hAnsi="Calibri Light" w:cs="Calibri Light"/>
          <w:color w:val="13576B"/>
          <w:sz w:val="20"/>
        </w:rPr>
      </w:pPr>
      <w:r>
        <w:rPr>
          <w:rFonts w:ascii="Calibri Light" w:hAnsi="Calibri Light" w:cs="Calibri Light"/>
          <w:noProof/>
          <w:color w:val="13576B"/>
          <w:sz w:val="20"/>
        </w:rPr>
        <w:lastRenderedPageBreak/>
        <w:drawing>
          <wp:inline distT="0" distB="0" distL="0" distR="0" wp14:anchorId="5A2C7739" wp14:editId="2AB12477">
            <wp:extent cx="6464391" cy="3848831"/>
            <wp:effectExtent l="0" t="0" r="0" b="0"/>
            <wp:docPr id="411009437"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6492303" cy="3865449"/>
                    </a:xfrm>
                    <a:prstGeom prst="rect">
                      <a:avLst/>
                    </a:prstGeom>
                    <a:noFill/>
                  </pic:spPr>
                </pic:pic>
              </a:graphicData>
            </a:graphic>
          </wp:inline>
        </w:drawing>
      </w:r>
    </w:p>
    <w:p w14:paraId="2543E5F5" w14:textId="68A6E96C" w:rsidR="0033440C" w:rsidRDefault="008723A8" w:rsidP="009D5F35">
      <w:pPr>
        <w:overflowPunct/>
        <w:autoSpaceDE/>
        <w:adjustRightInd/>
        <w:rPr>
          <w:rFonts w:ascii="Calibri Light" w:hAnsi="Calibri Light" w:cs="Calibri Light"/>
          <w:color w:val="13576B"/>
          <w:sz w:val="20"/>
        </w:rPr>
      </w:pPr>
      <w:r w:rsidRPr="002F4CBD">
        <w:rPr>
          <w:rFonts w:ascii="Calibri Light" w:hAnsi="Calibri Light" w:cs="Calibri Light"/>
          <w:color w:val="13576B"/>
          <w:sz w:val="20"/>
        </w:rPr>
        <w:t>Pramen:</w:t>
      </w:r>
      <w:r>
        <w:rPr>
          <w:rFonts w:ascii="Calibri Light" w:hAnsi="Calibri Light" w:cs="Calibri Light"/>
          <w:color w:val="13576B"/>
          <w:sz w:val="20"/>
        </w:rPr>
        <w:t xml:space="preserve"> </w:t>
      </w:r>
      <w:r w:rsidRPr="002F4CBD">
        <w:rPr>
          <w:rFonts w:ascii="Calibri Light" w:hAnsi="Calibri Light" w:cs="Calibri Light"/>
          <w:color w:val="13576B"/>
          <w:sz w:val="20"/>
        </w:rPr>
        <w:t>ČBA</w:t>
      </w:r>
      <w:r>
        <w:rPr>
          <w:rFonts w:ascii="Calibri Light" w:hAnsi="Calibri Light" w:cs="Calibri Light"/>
          <w:color w:val="13576B"/>
          <w:sz w:val="20"/>
        </w:rPr>
        <w:t xml:space="preserve"> Hypomonitor</w:t>
      </w:r>
    </w:p>
    <w:p w14:paraId="03530238" w14:textId="12AD17C8" w:rsidR="008723A8" w:rsidRDefault="008723A8" w:rsidP="009D5F35">
      <w:pPr>
        <w:overflowPunct/>
        <w:autoSpaceDE/>
        <w:adjustRightInd/>
        <w:rPr>
          <w:rFonts w:ascii="Calibri Light" w:hAnsi="Calibri Light" w:cs="Calibri Light"/>
          <w:color w:val="13576B"/>
          <w:sz w:val="20"/>
        </w:rPr>
      </w:pPr>
      <w:r>
        <w:rPr>
          <w:rFonts w:ascii="Calibri Light" w:hAnsi="Calibri Light" w:cs="Calibri Light"/>
          <w:color w:val="13576B"/>
          <w:sz w:val="20"/>
        </w:rPr>
        <w:t xml:space="preserve">Poznámka: </w:t>
      </w:r>
      <w:r w:rsidR="006E2E7E">
        <w:rPr>
          <w:rFonts w:ascii="Calibri Light" w:hAnsi="Calibri Light" w:cs="Calibri Light"/>
          <w:color w:val="13576B"/>
          <w:sz w:val="20"/>
        </w:rPr>
        <w:t xml:space="preserve">Jedná se o skutečně nové hypotéky (tedy </w:t>
      </w:r>
      <w:r w:rsidR="00F50DD0">
        <w:rPr>
          <w:rFonts w:ascii="Calibri Light" w:hAnsi="Calibri Light" w:cs="Calibri Light"/>
          <w:color w:val="13576B"/>
          <w:sz w:val="20"/>
        </w:rPr>
        <w:t xml:space="preserve">bez </w:t>
      </w:r>
      <w:r w:rsidR="006E2E7E">
        <w:rPr>
          <w:rFonts w:ascii="Calibri Light" w:hAnsi="Calibri Light" w:cs="Calibri Light"/>
          <w:color w:val="13576B"/>
          <w:sz w:val="20"/>
        </w:rPr>
        <w:t xml:space="preserve">refinancování a navýšeni). </w:t>
      </w:r>
      <w:r>
        <w:rPr>
          <w:rFonts w:ascii="Calibri Light" w:hAnsi="Calibri Light" w:cs="Calibri Light"/>
          <w:color w:val="13576B"/>
          <w:sz w:val="20"/>
        </w:rPr>
        <w:t xml:space="preserve">Podkladová data jsou </w:t>
      </w:r>
      <w:r w:rsidRPr="008723A8">
        <w:rPr>
          <w:rFonts w:ascii="Calibri Light" w:hAnsi="Calibri Light" w:cs="Calibri Light"/>
          <w:color w:val="13576B"/>
          <w:sz w:val="20"/>
        </w:rPr>
        <w:t>k dispozici v souboru xls přiloženém na webových stránkách ČBA Hypomonitoru</w:t>
      </w:r>
      <w:r w:rsidR="00E16BD3">
        <w:rPr>
          <w:rFonts w:ascii="Calibri Light" w:hAnsi="Calibri Light" w:cs="Calibri Light"/>
          <w:color w:val="13576B"/>
          <w:sz w:val="20"/>
        </w:rPr>
        <w:t>. V</w:t>
      </w:r>
      <w:r w:rsidR="00E16BD3" w:rsidRPr="00E16BD3">
        <w:rPr>
          <w:rFonts w:ascii="Calibri Light" w:hAnsi="Calibri Light" w:cs="Calibri Light"/>
          <w:color w:val="13576B"/>
          <w:sz w:val="20"/>
        </w:rPr>
        <w:t>ýhled do konce roku</w:t>
      </w:r>
      <w:r w:rsidR="00E16BD3">
        <w:rPr>
          <w:rFonts w:ascii="Calibri Light" w:hAnsi="Calibri Light" w:cs="Calibri Light"/>
          <w:color w:val="13576B"/>
          <w:sz w:val="20"/>
        </w:rPr>
        <w:t xml:space="preserve"> (fcst)</w:t>
      </w:r>
      <w:r w:rsidR="00E16BD3" w:rsidRPr="00E16BD3">
        <w:rPr>
          <w:rFonts w:ascii="Calibri Light" w:hAnsi="Calibri Light" w:cs="Calibri Light"/>
          <w:color w:val="13576B"/>
          <w:sz w:val="20"/>
        </w:rPr>
        <w:t xml:space="preserve"> je momentový – vychází z aktuálního trendu, nikoli z modelové predikce.</w:t>
      </w:r>
      <w:r w:rsidR="0025756A" w:rsidRPr="0025756A">
        <w:t xml:space="preserve"> </w:t>
      </w:r>
      <w:r w:rsidR="0025756A" w:rsidRPr="0025756A">
        <w:rPr>
          <w:rFonts w:ascii="Calibri Light" w:hAnsi="Calibri Light" w:cs="Calibri Light"/>
          <w:color w:val="13576B"/>
          <w:sz w:val="20"/>
        </w:rPr>
        <w:t>Nicméně pro zbytek roku předpokládá 7 % korekci do počtu hypoték</w:t>
      </w:r>
      <w:r w:rsidR="0007456F">
        <w:rPr>
          <w:rFonts w:ascii="Calibri Light" w:hAnsi="Calibri Light" w:cs="Calibri Light"/>
          <w:color w:val="13576B"/>
          <w:sz w:val="20"/>
        </w:rPr>
        <w:t xml:space="preserve"> vůči H2-2025</w:t>
      </w:r>
      <w:r w:rsidR="0025756A" w:rsidRPr="0025756A">
        <w:rPr>
          <w:rFonts w:ascii="Calibri Light" w:hAnsi="Calibri Light" w:cs="Calibri Light"/>
          <w:color w:val="13576B"/>
          <w:sz w:val="20"/>
        </w:rPr>
        <w:t>.</w:t>
      </w:r>
    </w:p>
    <w:p w14:paraId="50F3BD64" w14:textId="77777777" w:rsidR="0033440C" w:rsidRDefault="0033440C" w:rsidP="009D5F35">
      <w:pPr>
        <w:overflowPunct/>
        <w:autoSpaceDE/>
        <w:adjustRightInd/>
        <w:rPr>
          <w:rFonts w:ascii="Calibri Light" w:hAnsi="Calibri Light" w:cs="Calibri Light"/>
          <w:color w:val="13576B"/>
          <w:sz w:val="20"/>
        </w:rPr>
      </w:pPr>
    </w:p>
    <w:p w14:paraId="67028DE4" w14:textId="685D812B" w:rsidR="00582221" w:rsidRDefault="00582221" w:rsidP="009D5F35">
      <w:pPr>
        <w:overflowPunct/>
        <w:autoSpaceDE/>
        <w:adjustRightInd/>
        <w:rPr>
          <w:rFonts w:ascii="Calibri Light" w:hAnsi="Calibri Light" w:cs="Calibri Light"/>
          <w:color w:val="13576B"/>
          <w:sz w:val="20"/>
        </w:rPr>
      </w:pPr>
      <w:r w:rsidRPr="005B4653">
        <w:rPr>
          <w:rFonts w:ascii="Calibri" w:hAnsi="Calibri" w:cs="Calibri"/>
          <w:b/>
          <w:color w:val="13576B"/>
          <w:sz w:val="23"/>
          <w:szCs w:val="23"/>
        </w:rPr>
        <w:t xml:space="preserve">Graf č. </w:t>
      </w:r>
      <w:r w:rsidR="000B7D19">
        <w:rPr>
          <w:rFonts w:ascii="Calibri" w:hAnsi="Calibri" w:cs="Calibri"/>
          <w:b/>
          <w:color w:val="13576B"/>
          <w:sz w:val="23"/>
          <w:szCs w:val="23"/>
        </w:rPr>
        <w:t>8</w:t>
      </w:r>
      <w:r w:rsidRPr="005B4653">
        <w:rPr>
          <w:rFonts w:ascii="Calibri" w:hAnsi="Calibri" w:cs="Calibri"/>
          <w:b/>
          <w:color w:val="13576B"/>
          <w:sz w:val="23"/>
          <w:szCs w:val="23"/>
        </w:rPr>
        <w:t xml:space="preserve">: </w:t>
      </w:r>
      <w:r>
        <w:rPr>
          <w:rFonts w:ascii="Calibri" w:hAnsi="Calibri" w:cs="Calibri"/>
          <w:b/>
          <w:color w:val="13576B"/>
          <w:sz w:val="23"/>
          <w:szCs w:val="23"/>
        </w:rPr>
        <w:t>Rozložení nových hypotečních úvěrů podle účelu</w:t>
      </w:r>
    </w:p>
    <w:p w14:paraId="6D87A84C" w14:textId="5EE6C7C1" w:rsidR="00582221" w:rsidRDefault="0007456F" w:rsidP="009D5F35">
      <w:pPr>
        <w:overflowPunct/>
        <w:autoSpaceDE/>
        <w:adjustRightInd/>
        <w:rPr>
          <w:rFonts w:ascii="Calibri Light" w:hAnsi="Calibri Light" w:cs="Calibri Light"/>
          <w:color w:val="13576B"/>
          <w:sz w:val="20"/>
        </w:rPr>
      </w:pPr>
      <w:r>
        <w:rPr>
          <w:rFonts w:ascii="Calibri Light" w:hAnsi="Calibri Light" w:cs="Calibri Light"/>
          <w:noProof/>
          <w:color w:val="13576B"/>
          <w:sz w:val="20"/>
        </w:rPr>
        <w:drawing>
          <wp:inline distT="0" distB="0" distL="0" distR="0" wp14:anchorId="66AF9FFA" wp14:editId="1ED9F5A3">
            <wp:extent cx="6425991" cy="1923325"/>
            <wp:effectExtent l="0" t="0" r="0" b="1270"/>
            <wp:docPr id="491148128"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6487070" cy="1941606"/>
                    </a:xfrm>
                    <a:prstGeom prst="rect">
                      <a:avLst/>
                    </a:prstGeom>
                    <a:noFill/>
                  </pic:spPr>
                </pic:pic>
              </a:graphicData>
            </a:graphic>
          </wp:inline>
        </w:drawing>
      </w:r>
    </w:p>
    <w:p w14:paraId="56D7AF75" w14:textId="77777777" w:rsidR="00582221" w:rsidRDefault="00582221" w:rsidP="00582221">
      <w:pPr>
        <w:overflowPunct/>
        <w:autoSpaceDE/>
        <w:adjustRightInd/>
        <w:rPr>
          <w:rFonts w:ascii="Calibri Light" w:hAnsi="Calibri Light" w:cs="Calibri Light"/>
          <w:color w:val="13576B"/>
          <w:sz w:val="20"/>
        </w:rPr>
      </w:pPr>
      <w:r w:rsidRPr="002F4CBD">
        <w:rPr>
          <w:rFonts w:ascii="Calibri Light" w:hAnsi="Calibri Light" w:cs="Calibri Light"/>
          <w:color w:val="13576B"/>
          <w:sz w:val="20"/>
        </w:rPr>
        <w:t>Pramen:</w:t>
      </w:r>
      <w:r>
        <w:rPr>
          <w:rFonts w:ascii="Calibri Light" w:hAnsi="Calibri Light" w:cs="Calibri Light"/>
          <w:color w:val="13576B"/>
          <w:sz w:val="20"/>
        </w:rPr>
        <w:t xml:space="preserve"> </w:t>
      </w:r>
      <w:r w:rsidRPr="002F4CBD">
        <w:rPr>
          <w:rFonts w:ascii="Calibri Light" w:hAnsi="Calibri Light" w:cs="Calibri Light"/>
          <w:color w:val="13576B"/>
          <w:sz w:val="20"/>
        </w:rPr>
        <w:t>ČBA</w:t>
      </w:r>
      <w:r>
        <w:rPr>
          <w:rFonts w:ascii="Calibri Light" w:hAnsi="Calibri Light" w:cs="Calibri Light"/>
          <w:color w:val="13576B"/>
          <w:sz w:val="20"/>
        </w:rPr>
        <w:t xml:space="preserve"> Hypomonitor</w:t>
      </w:r>
    </w:p>
    <w:p w14:paraId="5303965F" w14:textId="2A25A408" w:rsidR="0033440C" w:rsidRPr="00616069" w:rsidRDefault="00582221" w:rsidP="00582221">
      <w:pPr>
        <w:overflowPunct/>
        <w:autoSpaceDE/>
        <w:adjustRightInd/>
        <w:rPr>
          <w:rFonts w:ascii="Calibri Light" w:hAnsi="Calibri Light" w:cs="Calibri Light"/>
          <w:color w:val="13576B"/>
          <w:sz w:val="20"/>
        </w:rPr>
      </w:pPr>
      <w:r>
        <w:rPr>
          <w:rFonts w:ascii="Calibri Light" w:hAnsi="Calibri Light" w:cs="Calibri Light"/>
          <w:color w:val="13576B"/>
          <w:sz w:val="20"/>
        </w:rPr>
        <w:t xml:space="preserve">Poznámka: Poslední údaj představuje průměr za posledních 12 měsíců. </w:t>
      </w:r>
      <w:r w:rsidR="00867322">
        <w:rPr>
          <w:rFonts w:ascii="Calibri Light" w:hAnsi="Calibri Light" w:cs="Calibri Light"/>
          <w:color w:val="13576B"/>
          <w:sz w:val="20"/>
        </w:rPr>
        <w:t>Intepretace segmentu ostatních může být zkreslena zařazením tz</w:t>
      </w:r>
      <w:r w:rsidR="0007456F">
        <w:rPr>
          <w:rFonts w:ascii="Calibri Light" w:hAnsi="Calibri Light" w:cs="Calibri Light"/>
          <w:color w:val="13576B"/>
          <w:sz w:val="20"/>
        </w:rPr>
        <w:t>v</w:t>
      </w:r>
      <w:r w:rsidR="00867322">
        <w:rPr>
          <w:rFonts w:ascii="Calibri Light" w:hAnsi="Calibri Light" w:cs="Calibri Light"/>
          <w:color w:val="13576B"/>
          <w:sz w:val="20"/>
        </w:rPr>
        <w:t xml:space="preserve">. hypoték bez nemovitosti </w:t>
      </w:r>
      <w:r w:rsidR="00867322" w:rsidRPr="00867322">
        <w:rPr>
          <w:rFonts w:ascii="Calibri Light" w:hAnsi="Calibri Light" w:cs="Calibri Light"/>
          <w:color w:val="13576B"/>
          <w:sz w:val="20"/>
        </w:rPr>
        <w:t>sjednané bez účelu</w:t>
      </w:r>
      <w:r w:rsidR="00867322">
        <w:rPr>
          <w:rFonts w:ascii="Calibri Light" w:hAnsi="Calibri Light" w:cs="Calibri Light"/>
          <w:color w:val="13576B"/>
          <w:sz w:val="20"/>
        </w:rPr>
        <w:t xml:space="preserve">. Blíže viz metodická poznámka níže. </w:t>
      </w:r>
    </w:p>
    <w:bookmarkEnd w:id="7"/>
    <w:p w14:paraId="045825E8" w14:textId="77777777" w:rsidR="00801B60" w:rsidRDefault="00801B60" w:rsidP="002A5D11">
      <w:pPr>
        <w:rPr>
          <w:rFonts w:ascii="Calibri" w:hAnsi="Calibri" w:cs="Calibri"/>
          <w:b/>
          <w:color w:val="13576B"/>
          <w:sz w:val="24"/>
          <w:szCs w:val="24"/>
        </w:rPr>
      </w:pPr>
    </w:p>
    <w:p w14:paraId="38F7CB3F" w14:textId="2FEEAD4C" w:rsidR="00BA3140" w:rsidRPr="002A5D11" w:rsidRDefault="00BA3140" w:rsidP="00BA3140">
      <w:pPr>
        <w:rPr>
          <w:rFonts w:ascii="Calibri" w:hAnsi="Calibri" w:cs="Calibri"/>
          <w:b/>
          <w:color w:val="13576B"/>
          <w:sz w:val="24"/>
          <w:szCs w:val="24"/>
        </w:rPr>
      </w:pPr>
      <w:r w:rsidRPr="002A5D11">
        <w:rPr>
          <w:rFonts w:ascii="Calibri" w:hAnsi="Calibri" w:cs="Calibri"/>
          <w:b/>
          <w:color w:val="13576B"/>
          <w:sz w:val="24"/>
          <w:szCs w:val="24"/>
        </w:rPr>
        <w:t>Hypoteční trh v roce 202</w:t>
      </w:r>
      <w:r>
        <w:rPr>
          <w:rFonts w:ascii="Calibri" w:hAnsi="Calibri" w:cs="Calibri"/>
          <w:b/>
          <w:color w:val="13576B"/>
          <w:sz w:val="24"/>
          <w:szCs w:val="24"/>
        </w:rPr>
        <w:t>5</w:t>
      </w:r>
      <w:r w:rsidR="00356A6D">
        <w:rPr>
          <w:rFonts w:ascii="Calibri" w:hAnsi="Calibri" w:cs="Calibri"/>
          <w:b/>
          <w:color w:val="13576B"/>
          <w:sz w:val="24"/>
          <w:szCs w:val="24"/>
        </w:rPr>
        <w:t xml:space="preserve"> přinesl </w:t>
      </w:r>
      <w:r>
        <w:rPr>
          <w:rFonts w:ascii="Calibri" w:hAnsi="Calibri" w:cs="Calibri"/>
          <w:b/>
          <w:color w:val="13576B"/>
          <w:sz w:val="24"/>
          <w:szCs w:val="24"/>
        </w:rPr>
        <w:t>silný</w:t>
      </w:r>
      <w:r w:rsidRPr="002A5D11">
        <w:rPr>
          <w:rFonts w:ascii="Calibri" w:hAnsi="Calibri" w:cs="Calibri"/>
          <w:b/>
          <w:color w:val="13576B"/>
          <w:sz w:val="24"/>
          <w:szCs w:val="24"/>
        </w:rPr>
        <w:t xml:space="preserve"> </w:t>
      </w:r>
      <w:r>
        <w:rPr>
          <w:rFonts w:ascii="Calibri" w:hAnsi="Calibri" w:cs="Calibri"/>
          <w:b/>
          <w:color w:val="13576B"/>
          <w:sz w:val="24"/>
          <w:szCs w:val="24"/>
        </w:rPr>
        <w:t xml:space="preserve">objemový </w:t>
      </w:r>
      <w:r w:rsidRPr="002A5D11">
        <w:rPr>
          <w:rFonts w:ascii="Calibri" w:hAnsi="Calibri" w:cs="Calibri"/>
          <w:b/>
          <w:color w:val="13576B"/>
          <w:sz w:val="24"/>
          <w:szCs w:val="24"/>
        </w:rPr>
        <w:t xml:space="preserve">růst o </w:t>
      </w:r>
      <w:r>
        <w:rPr>
          <w:rFonts w:ascii="Calibri" w:hAnsi="Calibri" w:cs="Calibri"/>
          <w:b/>
          <w:color w:val="13576B"/>
          <w:sz w:val="24"/>
          <w:szCs w:val="24"/>
        </w:rPr>
        <w:t>41</w:t>
      </w:r>
      <w:r w:rsidRPr="002A5D11">
        <w:rPr>
          <w:rFonts w:ascii="Calibri" w:hAnsi="Calibri" w:cs="Calibri"/>
          <w:b/>
          <w:color w:val="13576B"/>
          <w:sz w:val="24"/>
          <w:szCs w:val="24"/>
        </w:rPr>
        <w:t xml:space="preserve"> %</w:t>
      </w:r>
      <w:r>
        <w:rPr>
          <w:rFonts w:ascii="Calibri" w:hAnsi="Calibri" w:cs="Calibri"/>
          <w:b/>
          <w:color w:val="13576B"/>
          <w:sz w:val="24"/>
          <w:szCs w:val="24"/>
        </w:rPr>
        <w:t xml:space="preserve"> a o téměř čtvrtinu v počtech</w:t>
      </w:r>
    </w:p>
    <w:p w14:paraId="153D0109" w14:textId="77777777" w:rsidR="00BA3140" w:rsidRPr="00840F7C" w:rsidRDefault="00BA3140" w:rsidP="00BA3140">
      <w:pPr>
        <w:rPr>
          <w:rFonts w:ascii="Calibri" w:hAnsi="Calibri" w:cs="Calibri"/>
          <w:b/>
          <w:bCs/>
          <w:sz w:val="22"/>
          <w:szCs w:val="22"/>
        </w:rPr>
      </w:pPr>
    </w:p>
    <w:p w14:paraId="605D853E" w14:textId="77777777" w:rsidR="00BA3140" w:rsidRDefault="00BA3140" w:rsidP="00BA3140">
      <w:pPr>
        <w:rPr>
          <w:rFonts w:ascii="Calibri" w:hAnsi="Calibri" w:cs="Calibri"/>
          <w:color w:val="000000" w:themeColor="text1"/>
          <w:sz w:val="22"/>
          <w:szCs w:val="22"/>
        </w:rPr>
      </w:pPr>
      <w:r w:rsidRPr="00840F7C">
        <w:rPr>
          <w:rFonts w:ascii="Calibri" w:hAnsi="Calibri" w:cs="Calibri"/>
          <w:b/>
          <w:bCs/>
          <w:color w:val="000000" w:themeColor="text1"/>
          <w:sz w:val="22"/>
          <w:szCs w:val="22"/>
        </w:rPr>
        <w:t>Za celý rok 202</w:t>
      </w:r>
      <w:r>
        <w:rPr>
          <w:rFonts w:ascii="Calibri" w:hAnsi="Calibri" w:cs="Calibri"/>
          <w:b/>
          <w:bCs/>
          <w:color w:val="000000" w:themeColor="text1"/>
          <w:sz w:val="22"/>
          <w:szCs w:val="22"/>
        </w:rPr>
        <w:t>5</w:t>
      </w:r>
      <w:r w:rsidRPr="00840F7C">
        <w:rPr>
          <w:rFonts w:ascii="Calibri" w:hAnsi="Calibri" w:cs="Calibri"/>
          <w:b/>
          <w:bCs/>
          <w:color w:val="000000" w:themeColor="text1"/>
          <w:sz w:val="22"/>
          <w:szCs w:val="22"/>
        </w:rPr>
        <w:t xml:space="preserve"> poskytly banky a stavební spořitelny nové hypoteční úvěry v objemu </w:t>
      </w:r>
      <w:r>
        <w:rPr>
          <w:rFonts w:ascii="Calibri" w:hAnsi="Calibri" w:cs="Calibri"/>
          <w:b/>
          <w:bCs/>
          <w:color w:val="000000" w:themeColor="text1"/>
          <w:sz w:val="22"/>
          <w:szCs w:val="22"/>
        </w:rPr>
        <w:t>321</w:t>
      </w:r>
      <w:r w:rsidRPr="00840F7C">
        <w:rPr>
          <w:rFonts w:ascii="Calibri" w:hAnsi="Calibri" w:cs="Calibri"/>
          <w:b/>
          <w:bCs/>
          <w:color w:val="000000" w:themeColor="text1"/>
          <w:sz w:val="22"/>
          <w:szCs w:val="22"/>
        </w:rPr>
        <w:t xml:space="preserve"> miliard Kč.</w:t>
      </w:r>
      <w:r>
        <w:rPr>
          <w:rFonts w:ascii="Calibri" w:hAnsi="Calibri" w:cs="Calibri"/>
          <w:b/>
          <w:bCs/>
          <w:color w:val="000000" w:themeColor="text1"/>
          <w:sz w:val="22"/>
          <w:szCs w:val="22"/>
        </w:rPr>
        <w:t xml:space="preserve"> </w:t>
      </w:r>
      <w:r w:rsidRPr="00840F7C">
        <w:rPr>
          <w:rFonts w:ascii="Calibri" w:hAnsi="Calibri" w:cs="Calibri"/>
          <w:color w:val="000000" w:themeColor="text1"/>
          <w:sz w:val="22"/>
          <w:szCs w:val="22"/>
        </w:rPr>
        <w:t>To je</w:t>
      </w:r>
      <w:r>
        <w:rPr>
          <w:rFonts w:ascii="Calibri" w:hAnsi="Calibri" w:cs="Calibri"/>
          <w:color w:val="000000" w:themeColor="text1"/>
          <w:sz w:val="22"/>
          <w:szCs w:val="22"/>
        </w:rPr>
        <w:t xml:space="preserve"> o</w:t>
      </w:r>
      <w:r w:rsidRPr="00840F7C">
        <w:rPr>
          <w:rFonts w:ascii="Calibri" w:hAnsi="Calibri" w:cs="Calibri"/>
          <w:color w:val="000000" w:themeColor="text1"/>
          <w:sz w:val="22"/>
          <w:szCs w:val="22"/>
        </w:rPr>
        <w:t xml:space="preserve"> </w:t>
      </w:r>
      <w:r>
        <w:rPr>
          <w:rFonts w:ascii="Calibri" w:hAnsi="Calibri" w:cs="Calibri"/>
          <w:color w:val="000000" w:themeColor="text1"/>
          <w:sz w:val="22"/>
          <w:szCs w:val="22"/>
        </w:rPr>
        <w:t>93 miliard korun</w:t>
      </w:r>
      <w:r w:rsidRPr="00840F7C">
        <w:rPr>
          <w:rFonts w:ascii="Calibri" w:hAnsi="Calibri" w:cs="Calibri"/>
          <w:color w:val="000000" w:themeColor="text1"/>
          <w:sz w:val="22"/>
          <w:szCs w:val="22"/>
        </w:rPr>
        <w:t xml:space="preserve"> </w:t>
      </w:r>
      <w:r>
        <w:rPr>
          <w:rFonts w:ascii="Calibri" w:hAnsi="Calibri" w:cs="Calibri"/>
          <w:color w:val="000000" w:themeColor="text1"/>
          <w:sz w:val="22"/>
          <w:szCs w:val="22"/>
        </w:rPr>
        <w:t xml:space="preserve">více než 228 miliard vytvořených v roce 2024. Tento meziroční skok odpovídá 41% nárůstu. </w:t>
      </w:r>
      <w:r w:rsidRPr="00840F7C">
        <w:rPr>
          <w:rFonts w:ascii="Calibri" w:hAnsi="Calibri" w:cs="Calibri"/>
          <w:color w:val="000000" w:themeColor="text1"/>
          <w:sz w:val="22"/>
          <w:szCs w:val="22"/>
        </w:rPr>
        <w:t xml:space="preserve">K tomu </w:t>
      </w:r>
      <w:r w:rsidRPr="00840F7C">
        <w:rPr>
          <w:rFonts w:ascii="Calibri" w:hAnsi="Calibri" w:cs="Calibri"/>
          <w:color w:val="000000" w:themeColor="text1"/>
          <w:sz w:val="22"/>
          <w:szCs w:val="22"/>
        </w:rPr>
        <w:lastRenderedPageBreak/>
        <w:t xml:space="preserve">se navíc refinancovaly hypotéky v rozsahu </w:t>
      </w:r>
      <w:r>
        <w:rPr>
          <w:rFonts w:ascii="Calibri" w:hAnsi="Calibri" w:cs="Calibri"/>
          <w:color w:val="000000" w:themeColor="text1"/>
          <w:sz w:val="22"/>
          <w:szCs w:val="22"/>
        </w:rPr>
        <w:t xml:space="preserve">85 </w:t>
      </w:r>
      <w:r w:rsidRPr="00840F7C">
        <w:rPr>
          <w:rFonts w:ascii="Calibri" w:hAnsi="Calibri" w:cs="Calibri"/>
          <w:color w:val="000000" w:themeColor="text1"/>
          <w:sz w:val="22"/>
          <w:szCs w:val="22"/>
        </w:rPr>
        <w:t>miliard Kč a celý hypoteční trh tak v roce 202</w:t>
      </w:r>
      <w:r>
        <w:rPr>
          <w:rFonts w:ascii="Calibri" w:hAnsi="Calibri" w:cs="Calibri"/>
          <w:color w:val="000000" w:themeColor="text1"/>
          <w:sz w:val="22"/>
          <w:szCs w:val="22"/>
        </w:rPr>
        <w:t>5</w:t>
      </w:r>
      <w:r w:rsidRPr="00840F7C">
        <w:rPr>
          <w:rFonts w:ascii="Calibri" w:hAnsi="Calibri" w:cs="Calibri"/>
          <w:color w:val="000000" w:themeColor="text1"/>
          <w:sz w:val="22"/>
          <w:szCs w:val="22"/>
        </w:rPr>
        <w:t xml:space="preserve"> narostl na </w:t>
      </w:r>
      <w:r>
        <w:rPr>
          <w:rFonts w:ascii="Calibri" w:hAnsi="Calibri" w:cs="Calibri"/>
          <w:color w:val="000000" w:themeColor="text1"/>
          <w:sz w:val="22"/>
          <w:szCs w:val="22"/>
        </w:rPr>
        <w:t>406</w:t>
      </w:r>
      <w:r w:rsidRPr="00840F7C">
        <w:rPr>
          <w:rFonts w:ascii="Calibri" w:hAnsi="Calibri" w:cs="Calibri"/>
          <w:color w:val="000000" w:themeColor="text1"/>
          <w:sz w:val="22"/>
          <w:szCs w:val="22"/>
        </w:rPr>
        <w:t xml:space="preserve"> miliard Kč z</w:t>
      </w:r>
      <w:r>
        <w:rPr>
          <w:rFonts w:ascii="Calibri" w:hAnsi="Calibri" w:cs="Calibri"/>
          <w:color w:val="000000" w:themeColor="text1"/>
          <w:sz w:val="22"/>
          <w:szCs w:val="22"/>
        </w:rPr>
        <w:t xml:space="preserve"> 275 </w:t>
      </w:r>
      <w:r w:rsidRPr="00840F7C">
        <w:rPr>
          <w:rFonts w:ascii="Calibri" w:hAnsi="Calibri" w:cs="Calibri"/>
          <w:color w:val="000000" w:themeColor="text1"/>
          <w:sz w:val="22"/>
          <w:szCs w:val="22"/>
        </w:rPr>
        <w:t>miliard v roce 202</w:t>
      </w:r>
      <w:r>
        <w:rPr>
          <w:rFonts w:ascii="Calibri" w:hAnsi="Calibri" w:cs="Calibri"/>
          <w:color w:val="000000" w:themeColor="text1"/>
          <w:sz w:val="22"/>
          <w:szCs w:val="22"/>
        </w:rPr>
        <w:t>4</w:t>
      </w:r>
      <w:r w:rsidRPr="00840F7C">
        <w:rPr>
          <w:rFonts w:ascii="Calibri" w:hAnsi="Calibri" w:cs="Calibri"/>
          <w:color w:val="000000" w:themeColor="text1"/>
          <w:sz w:val="22"/>
          <w:szCs w:val="22"/>
        </w:rPr>
        <w:t xml:space="preserve">. Pokud upravíme objemy o nárůst cen </w:t>
      </w:r>
      <w:r>
        <w:rPr>
          <w:rFonts w:ascii="Calibri" w:hAnsi="Calibri" w:cs="Calibri"/>
          <w:color w:val="000000" w:themeColor="text1"/>
          <w:sz w:val="22"/>
          <w:szCs w:val="22"/>
        </w:rPr>
        <w:t>bytů okolo 15-16</w:t>
      </w:r>
      <w:r w:rsidRPr="00840F7C">
        <w:rPr>
          <w:rFonts w:ascii="Calibri" w:hAnsi="Calibri" w:cs="Calibri"/>
          <w:color w:val="000000" w:themeColor="text1"/>
          <w:sz w:val="22"/>
          <w:szCs w:val="22"/>
        </w:rPr>
        <w:t xml:space="preserve"> % (dle různých statistik), objem nových hypoték vzrostl reálně o něco méně. To odpovídá i mírnějšímu nárůstu počtu nových hypoték v roce 202</w:t>
      </w:r>
      <w:r>
        <w:rPr>
          <w:rFonts w:ascii="Calibri" w:hAnsi="Calibri" w:cs="Calibri"/>
          <w:color w:val="000000" w:themeColor="text1"/>
          <w:sz w:val="22"/>
          <w:szCs w:val="22"/>
        </w:rPr>
        <w:t>5, o necelou čtvrtinu na více než 76,11</w:t>
      </w:r>
      <w:r w:rsidRPr="00872E78">
        <w:rPr>
          <w:rFonts w:ascii="Calibri" w:hAnsi="Calibri" w:cs="Calibri"/>
          <w:color w:val="000000" w:themeColor="text1"/>
          <w:sz w:val="22"/>
          <w:szCs w:val="22"/>
        </w:rPr>
        <w:t xml:space="preserve"> tisíc</w:t>
      </w:r>
      <w:r>
        <w:rPr>
          <w:rFonts w:ascii="Calibri" w:hAnsi="Calibri" w:cs="Calibri"/>
          <w:color w:val="000000" w:themeColor="text1"/>
          <w:sz w:val="22"/>
          <w:szCs w:val="22"/>
        </w:rPr>
        <w:t>,</w:t>
      </w:r>
      <w:r w:rsidRPr="00872E78">
        <w:rPr>
          <w:rFonts w:ascii="Calibri" w:hAnsi="Calibri" w:cs="Calibri"/>
          <w:color w:val="000000" w:themeColor="text1"/>
          <w:sz w:val="22"/>
          <w:szCs w:val="22"/>
        </w:rPr>
        <w:t xml:space="preserve"> a téměř </w:t>
      </w:r>
      <w:r>
        <w:rPr>
          <w:rFonts w:ascii="Calibri" w:hAnsi="Calibri" w:cs="Calibri"/>
          <w:color w:val="000000" w:themeColor="text1"/>
          <w:sz w:val="22"/>
          <w:szCs w:val="22"/>
        </w:rPr>
        <w:t>15</w:t>
      </w:r>
      <w:r w:rsidRPr="00872E78">
        <w:rPr>
          <w:rFonts w:ascii="Calibri" w:hAnsi="Calibri" w:cs="Calibri"/>
          <w:color w:val="000000" w:themeColor="text1"/>
          <w:sz w:val="22"/>
          <w:szCs w:val="22"/>
        </w:rPr>
        <w:t>% nárůstu průměrné výše poskytnuté nové hypotéky na</w:t>
      </w:r>
      <w:r>
        <w:rPr>
          <w:rFonts w:ascii="Calibri" w:hAnsi="Calibri" w:cs="Calibri"/>
          <w:color w:val="000000" w:themeColor="text1"/>
          <w:sz w:val="22"/>
          <w:szCs w:val="22"/>
        </w:rPr>
        <w:t xml:space="preserve"> 4,21</w:t>
      </w:r>
      <w:r w:rsidRPr="00872E78">
        <w:rPr>
          <w:rFonts w:ascii="Calibri" w:hAnsi="Calibri" w:cs="Calibri"/>
          <w:color w:val="000000" w:themeColor="text1"/>
          <w:sz w:val="22"/>
          <w:szCs w:val="22"/>
        </w:rPr>
        <w:t xml:space="preserve"> milion</w:t>
      </w:r>
      <w:r>
        <w:rPr>
          <w:rFonts w:ascii="Calibri" w:hAnsi="Calibri" w:cs="Calibri"/>
          <w:color w:val="000000" w:themeColor="text1"/>
          <w:sz w:val="22"/>
          <w:szCs w:val="22"/>
        </w:rPr>
        <w:t>u</w:t>
      </w:r>
      <w:r w:rsidRPr="00872E78">
        <w:rPr>
          <w:rFonts w:ascii="Calibri" w:hAnsi="Calibri" w:cs="Calibri"/>
          <w:color w:val="000000" w:themeColor="text1"/>
          <w:sz w:val="22"/>
          <w:szCs w:val="22"/>
        </w:rPr>
        <w:t xml:space="preserve"> Kč. </w:t>
      </w:r>
    </w:p>
    <w:p w14:paraId="7ECD8698" w14:textId="77777777" w:rsidR="00BA3140" w:rsidRDefault="00BA3140" w:rsidP="00BA3140">
      <w:pPr>
        <w:rPr>
          <w:rFonts w:ascii="Calibri" w:hAnsi="Calibri" w:cs="Calibri"/>
          <w:color w:val="000000" w:themeColor="text1"/>
          <w:sz w:val="22"/>
          <w:szCs w:val="22"/>
        </w:rPr>
      </w:pPr>
    </w:p>
    <w:p w14:paraId="2DB164B7" w14:textId="77777777" w:rsidR="00BA3140" w:rsidRPr="009C5D66" w:rsidRDefault="00BA3140" w:rsidP="00BA3140">
      <w:pPr>
        <w:rPr>
          <w:rFonts w:ascii="Calibri" w:hAnsi="Calibri" w:cs="Calibri"/>
          <w:color w:val="000000" w:themeColor="text1"/>
          <w:sz w:val="22"/>
          <w:szCs w:val="22"/>
        </w:rPr>
      </w:pPr>
      <w:r w:rsidRPr="009C5D66">
        <w:rPr>
          <w:rFonts w:ascii="Calibri" w:hAnsi="Calibri" w:cs="Calibri"/>
          <w:color w:val="000000" w:themeColor="text1"/>
          <w:sz w:val="22"/>
          <w:szCs w:val="22"/>
        </w:rPr>
        <w:t xml:space="preserve">Nové hypotéky se v roce 2025 financovaly průměrnou úrokovou sazbu 4,58 %, což bylo o půl procentního bodu méně než v roce 2024, přičemž spread vůči tržní swapové </w:t>
      </w:r>
      <w:r>
        <w:rPr>
          <w:rFonts w:ascii="Calibri" w:hAnsi="Calibri" w:cs="Calibri"/>
          <w:color w:val="000000" w:themeColor="text1"/>
          <w:sz w:val="22"/>
          <w:szCs w:val="22"/>
        </w:rPr>
        <w:t xml:space="preserve">úrokové </w:t>
      </w:r>
      <w:r w:rsidRPr="009C5D66">
        <w:rPr>
          <w:rFonts w:ascii="Calibri" w:hAnsi="Calibri" w:cs="Calibri"/>
          <w:color w:val="000000" w:themeColor="text1"/>
          <w:sz w:val="22"/>
          <w:szCs w:val="22"/>
        </w:rPr>
        <w:t>křivce dosáhl necelého jednoho procentního bodu, což je mírně pod dlouhodobým průměrem. Průměrná měsíční výše hypoteční splátky v roce 2025 dosáhla necelých 22,8 tisíc</w:t>
      </w:r>
      <w:r>
        <w:rPr>
          <w:rFonts w:ascii="Calibri" w:hAnsi="Calibri" w:cs="Calibri"/>
          <w:color w:val="000000" w:themeColor="text1"/>
          <w:sz w:val="22"/>
          <w:szCs w:val="22"/>
        </w:rPr>
        <w:t>e</w:t>
      </w:r>
      <w:r w:rsidRPr="009C5D66">
        <w:rPr>
          <w:rFonts w:ascii="Calibri" w:hAnsi="Calibri" w:cs="Calibri"/>
          <w:color w:val="000000" w:themeColor="text1"/>
          <w:sz w:val="22"/>
          <w:szCs w:val="22"/>
        </w:rPr>
        <w:t xml:space="preserve"> Kč, což je o 8,6</w:t>
      </w:r>
      <w:r>
        <w:rPr>
          <w:rFonts w:ascii="Calibri" w:hAnsi="Calibri" w:cs="Calibri"/>
          <w:color w:val="000000" w:themeColor="text1"/>
          <w:sz w:val="22"/>
          <w:szCs w:val="22"/>
        </w:rPr>
        <w:t xml:space="preserve"> %</w:t>
      </w:r>
      <w:r w:rsidRPr="009C5D66">
        <w:rPr>
          <w:rFonts w:ascii="Calibri" w:hAnsi="Calibri" w:cs="Calibri"/>
          <w:color w:val="000000" w:themeColor="text1"/>
          <w:sz w:val="22"/>
          <w:szCs w:val="22"/>
        </w:rPr>
        <w:t xml:space="preserve"> více než v roce 2024, </w:t>
      </w:r>
      <w:r>
        <w:rPr>
          <w:rFonts w:ascii="Calibri" w:hAnsi="Calibri" w:cs="Calibri"/>
          <w:color w:val="000000" w:themeColor="text1"/>
          <w:sz w:val="22"/>
          <w:szCs w:val="22"/>
        </w:rPr>
        <w:t>a mírně překonalo pravděpodobně více než 7% loňský nárůst</w:t>
      </w:r>
      <w:r w:rsidRPr="009C5D66">
        <w:rPr>
          <w:rFonts w:ascii="Calibri" w:hAnsi="Calibri" w:cs="Calibri"/>
          <w:color w:val="000000" w:themeColor="text1"/>
          <w:sz w:val="22"/>
          <w:szCs w:val="22"/>
        </w:rPr>
        <w:t xml:space="preserve"> </w:t>
      </w:r>
      <w:hyperlink r:id="rId37" w:history="1">
        <w:r w:rsidRPr="009C5D66">
          <w:rPr>
            <w:rStyle w:val="Hypertextovodkaz"/>
            <w:rFonts w:ascii="Calibri" w:hAnsi="Calibri" w:cs="Calibri"/>
            <w:sz w:val="22"/>
            <w:szCs w:val="22"/>
          </w:rPr>
          <w:t>průměrn</w:t>
        </w:r>
        <w:r>
          <w:rPr>
            <w:rStyle w:val="Hypertextovodkaz"/>
            <w:rFonts w:ascii="Calibri" w:hAnsi="Calibri" w:cs="Calibri"/>
            <w:sz w:val="22"/>
            <w:szCs w:val="22"/>
          </w:rPr>
          <w:t>é</w:t>
        </w:r>
        <w:r w:rsidRPr="009C5D66">
          <w:rPr>
            <w:rStyle w:val="Hypertextovodkaz"/>
            <w:rFonts w:ascii="Calibri" w:hAnsi="Calibri" w:cs="Calibri"/>
            <w:sz w:val="22"/>
            <w:szCs w:val="22"/>
          </w:rPr>
          <w:t xml:space="preserve"> nominální mzdy</w:t>
        </w:r>
      </w:hyperlink>
      <w:r w:rsidRPr="009C5D66">
        <w:rPr>
          <w:rFonts w:ascii="Calibri" w:hAnsi="Calibri" w:cs="Calibri"/>
          <w:color w:val="000000" w:themeColor="text1"/>
          <w:sz w:val="22"/>
          <w:szCs w:val="22"/>
        </w:rPr>
        <w:t xml:space="preserve">. </w:t>
      </w:r>
      <w:r>
        <w:rPr>
          <w:rFonts w:ascii="Calibri" w:hAnsi="Calibri" w:cs="Calibri"/>
          <w:color w:val="000000" w:themeColor="text1"/>
          <w:sz w:val="22"/>
          <w:szCs w:val="22"/>
        </w:rPr>
        <w:t>P</w:t>
      </w:r>
      <w:r w:rsidRPr="009C5D66">
        <w:rPr>
          <w:rFonts w:ascii="Calibri" w:hAnsi="Calibri" w:cs="Calibri"/>
          <w:color w:val="000000" w:themeColor="text1"/>
          <w:sz w:val="22"/>
          <w:szCs w:val="22"/>
        </w:rPr>
        <w:t xml:space="preserve">růměrný meziroční nárůst měsíční </w:t>
      </w:r>
      <w:r>
        <w:rPr>
          <w:rFonts w:ascii="Calibri" w:hAnsi="Calibri" w:cs="Calibri"/>
          <w:color w:val="000000" w:themeColor="text1"/>
          <w:sz w:val="22"/>
          <w:szCs w:val="22"/>
        </w:rPr>
        <w:t xml:space="preserve">hypoteční </w:t>
      </w:r>
      <w:r w:rsidRPr="009C5D66">
        <w:rPr>
          <w:rFonts w:ascii="Calibri" w:hAnsi="Calibri" w:cs="Calibri"/>
          <w:color w:val="000000" w:themeColor="text1"/>
          <w:sz w:val="22"/>
          <w:szCs w:val="22"/>
        </w:rPr>
        <w:t>splátky přibližně o 1 800 korun</w:t>
      </w:r>
      <w:r>
        <w:rPr>
          <w:rFonts w:ascii="Calibri" w:hAnsi="Calibri" w:cs="Calibri"/>
          <w:color w:val="000000" w:themeColor="text1"/>
          <w:sz w:val="22"/>
          <w:szCs w:val="22"/>
        </w:rPr>
        <w:t xml:space="preserve"> v roce 2025</w:t>
      </w:r>
      <w:r w:rsidRPr="009C5D66">
        <w:rPr>
          <w:rFonts w:ascii="Calibri" w:hAnsi="Calibri" w:cs="Calibri"/>
          <w:color w:val="000000" w:themeColor="text1"/>
          <w:sz w:val="22"/>
          <w:szCs w:val="22"/>
        </w:rPr>
        <w:t xml:space="preserve"> především odrážel vyšší průměrnou </w:t>
      </w:r>
      <w:r>
        <w:rPr>
          <w:rFonts w:ascii="Calibri" w:hAnsi="Calibri" w:cs="Calibri"/>
          <w:color w:val="000000" w:themeColor="text1"/>
          <w:sz w:val="22"/>
          <w:szCs w:val="22"/>
        </w:rPr>
        <w:t>úroveň</w:t>
      </w:r>
      <w:r w:rsidRPr="009C5D66">
        <w:rPr>
          <w:rFonts w:ascii="Calibri" w:hAnsi="Calibri" w:cs="Calibri"/>
          <w:color w:val="000000" w:themeColor="text1"/>
          <w:sz w:val="22"/>
          <w:szCs w:val="22"/>
        </w:rPr>
        <w:t xml:space="preserve"> hypotéky s navýšením splátky téměř o 2,9 tis. Kč, zatímco nižší hypoteční úroková sazba snížila průměrnou měsíční splátku o více než 1,2 tis. Kč. </w:t>
      </w:r>
    </w:p>
    <w:p w14:paraId="09717EC0" w14:textId="77777777" w:rsidR="00BA3140" w:rsidRDefault="00BA3140" w:rsidP="00BA3140">
      <w:pPr>
        <w:rPr>
          <w:rFonts w:ascii="Calibri" w:hAnsi="Calibri" w:cs="Calibri"/>
          <w:b/>
          <w:color w:val="13576B"/>
          <w:sz w:val="23"/>
          <w:szCs w:val="23"/>
          <w:highlight w:val="yellow"/>
        </w:rPr>
      </w:pPr>
    </w:p>
    <w:p w14:paraId="62183D0D" w14:textId="77777777" w:rsidR="00BA3140" w:rsidRPr="002F4CBD" w:rsidRDefault="00BA3140" w:rsidP="00BA3140">
      <w:pPr>
        <w:rPr>
          <w:rFonts w:ascii="Calibri" w:hAnsi="Calibri" w:cs="Calibri"/>
          <w:sz w:val="22"/>
          <w:szCs w:val="22"/>
        </w:rPr>
      </w:pPr>
      <w:r w:rsidRPr="002F4CBD">
        <w:rPr>
          <w:rFonts w:ascii="Calibri" w:hAnsi="Calibri" w:cs="Calibri"/>
          <w:b/>
          <w:color w:val="13576B"/>
          <w:sz w:val="23"/>
          <w:szCs w:val="23"/>
        </w:rPr>
        <w:t xml:space="preserve">Graf č. </w:t>
      </w:r>
      <w:r>
        <w:rPr>
          <w:rFonts w:ascii="Calibri" w:hAnsi="Calibri" w:cs="Calibri"/>
          <w:b/>
          <w:color w:val="13576B"/>
          <w:sz w:val="23"/>
          <w:szCs w:val="23"/>
        </w:rPr>
        <w:t>1</w:t>
      </w:r>
      <w:r w:rsidRPr="002F4CBD">
        <w:rPr>
          <w:rFonts w:ascii="Calibri" w:hAnsi="Calibri" w:cs="Calibri"/>
          <w:b/>
          <w:color w:val="13576B"/>
          <w:sz w:val="23"/>
          <w:szCs w:val="23"/>
        </w:rPr>
        <w:t>: Celoroční objem</w:t>
      </w:r>
      <w:r>
        <w:rPr>
          <w:rFonts w:ascii="Calibri" w:hAnsi="Calibri" w:cs="Calibri"/>
          <w:b/>
          <w:color w:val="13576B"/>
          <w:sz w:val="23"/>
          <w:szCs w:val="23"/>
        </w:rPr>
        <w:t xml:space="preserve">, </w:t>
      </w:r>
      <w:r w:rsidRPr="002F4CBD">
        <w:rPr>
          <w:rFonts w:ascii="Calibri" w:hAnsi="Calibri" w:cs="Calibri"/>
          <w:b/>
          <w:color w:val="13576B"/>
          <w:sz w:val="23"/>
          <w:szCs w:val="23"/>
        </w:rPr>
        <w:t xml:space="preserve">počet </w:t>
      </w:r>
      <w:r>
        <w:rPr>
          <w:rFonts w:ascii="Calibri" w:hAnsi="Calibri" w:cs="Calibri"/>
          <w:b/>
          <w:color w:val="13576B"/>
          <w:sz w:val="23"/>
          <w:szCs w:val="23"/>
        </w:rPr>
        <w:t xml:space="preserve">a průměrná výše </w:t>
      </w:r>
      <w:r w:rsidRPr="002F4CBD">
        <w:rPr>
          <w:rFonts w:ascii="Calibri" w:hAnsi="Calibri" w:cs="Calibri"/>
          <w:b/>
          <w:color w:val="13576B"/>
          <w:sz w:val="23"/>
          <w:szCs w:val="23"/>
        </w:rPr>
        <w:t>poskytnutých hypoték v letech 202</w:t>
      </w:r>
      <w:r>
        <w:rPr>
          <w:rFonts w:ascii="Calibri" w:hAnsi="Calibri" w:cs="Calibri"/>
          <w:b/>
          <w:color w:val="13576B"/>
          <w:sz w:val="23"/>
          <w:szCs w:val="23"/>
        </w:rPr>
        <w:t>0</w:t>
      </w:r>
      <w:r w:rsidRPr="002F4CBD">
        <w:rPr>
          <w:rFonts w:ascii="Calibri" w:hAnsi="Calibri" w:cs="Calibri"/>
          <w:b/>
          <w:color w:val="13576B"/>
          <w:sz w:val="23"/>
          <w:szCs w:val="23"/>
        </w:rPr>
        <w:t xml:space="preserve"> až 202</w:t>
      </w:r>
      <w:r>
        <w:rPr>
          <w:rFonts w:ascii="Calibri" w:hAnsi="Calibri" w:cs="Calibri"/>
          <w:b/>
          <w:color w:val="13576B"/>
          <w:sz w:val="23"/>
          <w:szCs w:val="23"/>
        </w:rPr>
        <w:t>5</w:t>
      </w:r>
    </w:p>
    <w:p w14:paraId="56EB097E" w14:textId="77777777" w:rsidR="00BA3140" w:rsidRPr="002F4CBD" w:rsidRDefault="00BA3140" w:rsidP="00BA3140">
      <w:pPr>
        <w:rPr>
          <w:rFonts w:ascii="Calibri" w:hAnsi="Calibri" w:cs="Calibri"/>
          <w:sz w:val="22"/>
          <w:szCs w:val="22"/>
        </w:rPr>
      </w:pPr>
    </w:p>
    <w:p w14:paraId="11D80496" w14:textId="77777777" w:rsidR="00BA3140" w:rsidRPr="002F4CBD" w:rsidRDefault="00BA3140" w:rsidP="00BA3140">
      <w:pPr>
        <w:rPr>
          <w:rFonts w:ascii="Calibri" w:hAnsi="Calibri" w:cs="Calibri"/>
          <w:sz w:val="22"/>
          <w:szCs w:val="22"/>
        </w:rPr>
      </w:pPr>
      <w:r w:rsidRPr="00E77326">
        <w:rPr>
          <w:noProof/>
        </w:rPr>
        <w:drawing>
          <wp:inline distT="0" distB="0" distL="0" distR="0" wp14:anchorId="2B97DD5A" wp14:editId="7C138169">
            <wp:extent cx="6480810" cy="2125345"/>
            <wp:effectExtent l="0" t="0" r="0" b="8255"/>
            <wp:docPr id="39175904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6480810" cy="2125345"/>
                    </a:xfrm>
                    <a:prstGeom prst="rect">
                      <a:avLst/>
                    </a:prstGeom>
                    <a:noFill/>
                    <a:ln>
                      <a:noFill/>
                    </a:ln>
                  </pic:spPr>
                </pic:pic>
              </a:graphicData>
            </a:graphic>
          </wp:inline>
        </w:drawing>
      </w:r>
    </w:p>
    <w:p w14:paraId="2734B1DB" w14:textId="77777777" w:rsidR="00BA3140" w:rsidRPr="00616069" w:rsidRDefault="00BA3140" w:rsidP="00BA3140">
      <w:pPr>
        <w:overflowPunct/>
        <w:autoSpaceDE/>
        <w:adjustRightInd/>
        <w:rPr>
          <w:rFonts w:ascii="Calibri Light" w:hAnsi="Calibri Light" w:cs="Calibri Light"/>
          <w:color w:val="13576B"/>
          <w:sz w:val="20"/>
        </w:rPr>
      </w:pPr>
      <w:r w:rsidRPr="002F4CBD">
        <w:rPr>
          <w:rFonts w:ascii="Calibri Light" w:hAnsi="Calibri Light" w:cs="Calibri Light"/>
          <w:color w:val="13576B"/>
          <w:sz w:val="20"/>
        </w:rPr>
        <w:t>Pramen: ČBA Hypomonitor</w:t>
      </w:r>
    </w:p>
    <w:p w14:paraId="22ED378A" w14:textId="017879D6" w:rsidR="006C53A0" w:rsidRDefault="006C53A0" w:rsidP="007F41A0">
      <w:pPr>
        <w:rPr>
          <w:rFonts w:ascii="Calibri" w:hAnsi="Calibri" w:cs="Calibri"/>
          <w:b/>
          <w:color w:val="13576B"/>
          <w:sz w:val="23"/>
          <w:szCs w:val="23"/>
        </w:rPr>
      </w:pPr>
    </w:p>
    <w:p w14:paraId="628239FF" w14:textId="77777777" w:rsidR="00BA3140" w:rsidRPr="00616069" w:rsidRDefault="00BA3140" w:rsidP="007F41A0">
      <w:pPr>
        <w:rPr>
          <w:rFonts w:ascii="Calibri" w:hAnsi="Calibri" w:cs="Calibri"/>
          <w:b/>
          <w:color w:val="13576B"/>
          <w:sz w:val="23"/>
          <w:szCs w:val="23"/>
        </w:rPr>
      </w:pPr>
    </w:p>
    <w:p w14:paraId="1117B780" w14:textId="3B9498AC" w:rsidR="007F41A0" w:rsidRPr="00616069" w:rsidRDefault="007F41A0" w:rsidP="007F41A0">
      <w:pPr>
        <w:rPr>
          <w:rFonts w:ascii="Calibri" w:hAnsi="Calibri" w:cs="Calibri"/>
          <w:b/>
          <w:color w:val="13576B"/>
          <w:sz w:val="23"/>
          <w:szCs w:val="23"/>
        </w:rPr>
      </w:pPr>
      <w:r w:rsidRPr="00616069">
        <w:rPr>
          <w:rFonts w:ascii="Calibri" w:hAnsi="Calibri" w:cs="Calibri"/>
          <w:b/>
          <w:color w:val="13576B"/>
          <w:sz w:val="23"/>
          <w:szCs w:val="23"/>
        </w:rPr>
        <w:t>ČBA zveřejňuje souhrnné statistiky za celý bankovní trh</w:t>
      </w:r>
    </w:p>
    <w:p w14:paraId="55E76E82" w14:textId="019F3D7D" w:rsidR="007F41A0" w:rsidRPr="00616069" w:rsidRDefault="007F41A0" w:rsidP="007F41A0">
      <w:pPr>
        <w:rPr>
          <w:rFonts w:ascii="Calibri" w:hAnsi="Calibri" w:cs="Calibri"/>
          <w:b/>
          <w:bCs/>
          <w:sz w:val="22"/>
          <w:szCs w:val="22"/>
        </w:rPr>
      </w:pPr>
      <w:r w:rsidRPr="00616069">
        <w:rPr>
          <w:rFonts w:ascii="Calibri" w:hAnsi="Calibri" w:cs="Calibri"/>
          <w:sz w:val="22"/>
          <w:szCs w:val="22"/>
        </w:rPr>
        <w:t xml:space="preserve">Česká bankovní asociace zveřejňuje ve spolupráci s členskými bankami nové souhrnné statistiky z trhu bydlení. Jde především o objemy a počty nově poskytnutých a refinancovaných hypoték a příslušnou úrokovou sazbu. Tyto statistiky publikuje ČBA v agregované podobě za celý bankovní sektor na pravidelné bázi vždy zhruba v polovině měsíce. Šetření se účastní všechny tuzemské banky a stavební spořitelny poskytující v ČR hypotéky. Data jsou dostupná od ledna roku 2020 v přiloženém souboru na stránkách </w:t>
      </w:r>
      <w:hyperlink r:id="rId39" w:history="1">
        <w:r w:rsidR="004674AA" w:rsidRPr="00616069">
          <w:rPr>
            <w:rStyle w:val="Hypertextovodkaz"/>
            <w:rFonts w:ascii="Calibri" w:hAnsi="Calibri" w:cs="Calibri"/>
            <w:b/>
            <w:bCs/>
            <w:sz w:val="22"/>
            <w:szCs w:val="22"/>
          </w:rPr>
          <w:t>www.cbaonline.cz</w:t>
        </w:r>
      </w:hyperlink>
      <w:r w:rsidR="004674AA" w:rsidRPr="00616069">
        <w:rPr>
          <w:rFonts w:ascii="Calibri" w:hAnsi="Calibri" w:cs="Calibri"/>
          <w:b/>
          <w:bCs/>
          <w:sz w:val="22"/>
          <w:szCs w:val="22"/>
        </w:rPr>
        <w:t xml:space="preserve">, </w:t>
      </w:r>
      <w:r w:rsidRPr="00616069">
        <w:rPr>
          <w:rFonts w:ascii="Calibri" w:hAnsi="Calibri" w:cs="Calibri"/>
          <w:sz w:val="22"/>
          <w:szCs w:val="22"/>
        </w:rPr>
        <w:t>kde lze také příslušné statistiky najít zvlášť pro banky a stavební spořitelny. Výše uvedené hodnoty jsou pro sektor jako celek</w:t>
      </w:r>
      <w:r w:rsidR="004674AA" w:rsidRPr="00616069">
        <w:rPr>
          <w:rFonts w:ascii="Calibri" w:hAnsi="Calibri" w:cs="Calibri"/>
          <w:sz w:val="22"/>
          <w:szCs w:val="22"/>
        </w:rPr>
        <w:t>, které lze v jednoduch</w:t>
      </w:r>
      <w:r w:rsidR="004C593C">
        <w:rPr>
          <w:rFonts w:ascii="Calibri" w:hAnsi="Calibri" w:cs="Calibri"/>
          <w:sz w:val="22"/>
          <w:szCs w:val="22"/>
        </w:rPr>
        <w:t>é</w:t>
      </w:r>
      <w:r w:rsidR="004674AA" w:rsidRPr="00616069">
        <w:rPr>
          <w:rFonts w:ascii="Calibri" w:hAnsi="Calibri" w:cs="Calibri"/>
          <w:sz w:val="22"/>
          <w:szCs w:val="22"/>
        </w:rPr>
        <w:t xml:space="preserve"> grafické podobě sledovat také na stránkách </w:t>
      </w:r>
      <w:hyperlink r:id="rId40" w:history="1">
        <w:r w:rsidR="004674AA" w:rsidRPr="00616069">
          <w:rPr>
            <w:rStyle w:val="Hypertextovodkaz"/>
            <w:rFonts w:ascii="Calibri" w:hAnsi="Calibri" w:cs="Calibri"/>
            <w:b/>
            <w:bCs/>
            <w:sz w:val="22"/>
            <w:szCs w:val="22"/>
          </w:rPr>
          <w:t>cbamonitor.cz</w:t>
        </w:r>
      </w:hyperlink>
      <w:r w:rsidRPr="00616069">
        <w:rPr>
          <w:rFonts w:ascii="Calibri" w:hAnsi="Calibri" w:cs="Calibri"/>
          <w:sz w:val="22"/>
          <w:szCs w:val="22"/>
        </w:rPr>
        <w:t>.</w:t>
      </w:r>
      <w:r w:rsidRPr="00616069">
        <w:rPr>
          <w:rFonts w:ascii="Calibri" w:hAnsi="Calibri" w:cs="Calibri"/>
          <w:i/>
          <w:iCs/>
          <w:sz w:val="20"/>
        </w:rPr>
        <w:t xml:space="preserve"> </w:t>
      </w:r>
    </w:p>
    <w:p w14:paraId="3F99F9FA" w14:textId="6DA0884C" w:rsidR="007F41A0" w:rsidRPr="00616069" w:rsidRDefault="007F41A0" w:rsidP="003417B4">
      <w:pPr>
        <w:rPr>
          <w:rFonts w:ascii="Calibri" w:hAnsi="Calibri" w:cs="Calibri"/>
          <w:sz w:val="22"/>
          <w:szCs w:val="22"/>
        </w:rPr>
      </w:pPr>
    </w:p>
    <w:p w14:paraId="4AE26056" w14:textId="77777777" w:rsidR="00137560" w:rsidRPr="00616069" w:rsidRDefault="00137560" w:rsidP="00CA3B41">
      <w:pPr>
        <w:rPr>
          <w:rFonts w:ascii="Calibri" w:hAnsi="Calibri" w:cs="Calibri"/>
          <w:sz w:val="22"/>
          <w:szCs w:val="22"/>
        </w:rPr>
      </w:pPr>
    </w:p>
    <w:p w14:paraId="146C6D89" w14:textId="77777777" w:rsidR="0028530F" w:rsidRPr="00B04FE2" w:rsidRDefault="004975FD" w:rsidP="00CA3B41">
      <w:pPr>
        <w:rPr>
          <w:rFonts w:ascii="Calibri" w:hAnsi="Calibri" w:cs="Calibri"/>
          <w:sz w:val="22"/>
          <w:szCs w:val="22"/>
        </w:rPr>
      </w:pPr>
      <w:r w:rsidRPr="00616069">
        <w:rPr>
          <w:rFonts w:ascii="Calibri" w:hAnsi="Calibri" w:cs="Calibri"/>
          <w:i/>
          <w:iCs/>
          <w:noProof/>
          <w:sz w:val="20"/>
        </w:rPr>
        <w:lastRenderedPageBreak/>
        <mc:AlternateContent>
          <mc:Choice Requires="wps">
            <w:drawing>
              <wp:anchor distT="45720" distB="45720" distL="114300" distR="114300" simplePos="0" relativeHeight="251668480" behindDoc="0" locked="0" layoutInCell="1" allowOverlap="1" wp14:anchorId="025DA650" wp14:editId="3347843E">
                <wp:simplePos x="0" y="0"/>
                <wp:positionH relativeFrom="margin">
                  <wp:align>center</wp:align>
                </wp:positionH>
                <wp:positionV relativeFrom="paragraph">
                  <wp:posOffset>282527</wp:posOffset>
                </wp:positionV>
                <wp:extent cx="6574790" cy="4895850"/>
                <wp:effectExtent l="0" t="0" r="0" b="0"/>
                <wp:wrapSquare wrapText="bothSides"/>
                <wp:docPr id="217"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74790" cy="4895850"/>
                        </a:xfrm>
                        <a:prstGeom prst="rect">
                          <a:avLst/>
                        </a:prstGeom>
                        <a:solidFill>
                          <a:srgbClr val="13576B">
                            <a:alpha val="83922"/>
                          </a:srgbClr>
                        </a:solidFill>
                        <a:ln w="9525">
                          <a:noFill/>
                          <a:miter lim="800000"/>
                          <a:headEnd/>
                          <a:tailEnd/>
                        </a:ln>
                      </wps:spPr>
                      <wps:txbx>
                        <w:txbxContent>
                          <w:p w14:paraId="523681E4" w14:textId="20B4FCBA" w:rsidR="0001227F" w:rsidRPr="00616069" w:rsidRDefault="0001227F" w:rsidP="0001227F">
                            <w:pPr>
                              <w:spacing w:line="276" w:lineRule="auto"/>
                              <w:rPr>
                                <w:rFonts w:ascii="Calibri" w:hAnsi="Calibri" w:cs="Calibri"/>
                                <w:b/>
                                <w:bCs/>
                                <w:color w:val="FFFFFF" w:themeColor="background1"/>
                                <w:sz w:val="22"/>
                                <w:szCs w:val="22"/>
                              </w:rPr>
                            </w:pPr>
                            <w:r w:rsidRPr="00616069">
                              <w:rPr>
                                <w:rFonts w:ascii="Calibri" w:hAnsi="Calibri" w:cs="Calibri"/>
                                <w:b/>
                                <w:bCs/>
                                <w:color w:val="FFFFFF" w:themeColor="background1"/>
                                <w:sz w:val="22"/>
                                <w:szCs w:val="22"/>
                              </w:rPr>
                              <w:t>Metodika ČBA Hypomonitoru</w:t>
                            </w:r>
                          </w:p>
                          <w:p w14:paraId="7401467C" w14:textId="77777777" w:rsidR="00414AD4" w:rsidRPr="00616069" w:rsidRDefault="00414AD4" w:rsidP="0001227F">
                            <w:pPr>
                              <w:spacing w:line="276" w:lineRule="auto"/>
                              <w:rPr>
                                <w:rFonts w:ascii="Calibri" w:hAnsi="Calibri" w:cs="Calibri"/>
                                <w:color w:val="FFFFFF" w:themeColor="background1"/>
                                <w:szCs w:val="18"/>
                              </w:rPr>
                            </w:pPr>
                          </w:p>
                          <w:p w14:paraId="1021EABD" w14:textId="16015784" w:rsidR="0001227F" w:rsidRPr="00616069" w:rsidRDefault="00414AD4" w:rsidP="0001227F">
                            <w:pPr>
                              <w:spacing w:line="276" w:lineRule="auto"/>
                              <w:rPr>
                                <w:rFonts w:ascii="Calibri" w:hAnsi="Calibri" w:cs="Calibri"/>
                                <w:color w:val="FFFFFF" w:themeColor="background1"/>
                                <w:szCs w:val="18"/>
                              </w:rPr>
                            </w:pPr>
                            <w:r w:rsidRPr="00616069">
                              <w:rPr>
                                <w:rFonts w:ascii="Calibri" w:hAnsi="Calibri" w:cs="Calibri"/>
                                <w:color w:val="FFFFFF" w:themeColor="background1"/>
                                <w:szCs w:val="18"/>
                              </w:rPr>
                              <w:t xml:space="preserve">ČBA Hypomonitor </w:t>
                            </w:r>
                            <w:r w:rsidR="00FB47DE" w:rsidRPr="00616069">
                              <w:rPr>
                                <w:rFonts w:ascii="Calibri" w:hAnsi="Calibri" w:cs="Calibri"/>
                                <w:color w:val="FFFFFF" w:themeColor="background1"/>
                                <w:szCs w:val="18"/>
                              </w:rPr>
                              <w:t xml:space="preserve">rozděluje poskytnuté hypoteční úvěry </w:t>
                            </w:r>
                            <w:r w:rsidR="00810DCF" w:rsidRPr="00616069">
                              <w:rPr>
                                <w:rFonts w:ascii="Calibri" w:hAnsi="Calibri" w:cs="Calibri"/>
                                <w:color w:val="FFFFFF" w:themeColor="background1"/>
                                <w:szCs w:val="18"/>
                              </w:rPr>
                              <w:t>bank a stavebních spořitelen</w:t>
                            </w:r>
                            <w:r w:rsidR="00B426A2" w:rsidRPr="00616069">
                              <w:rPr>
                                <w:rFonts w:ascii="Calibri" w:hAnsi="Calibri" w:cs="Calibri"/>
                                <w:color w:val="FFFFFF" w:themeColor="background1"/>
                                <w:szCs w:val="18"/>
                              </w:rPr>
                              <w:t xml:space="preserve"> domácnostem</w:t>
                            </w:r>
                            <w:r w:rsidR="00810DCF" w:rsidRPr="00616069">
                              <w:rPr>
                                <w:rFonts w:ascii="Calibri" w:hAnsi="Calibri" w:cs="Calibri"/>
                                <w:color w:val="FFFFFF" w:themeColor="background1"/>
                                <w:szCs w:val="18"/>
                              </w:rPr>
                              <w:t xml:space="preserve"> </w:t>
                            </w:r>
                            <w:r w:rsidRPr="00616069">
                              <w:rPr>
                                <w:rFonts w:ascii="Calibri" w:hAnsi="Calibri" w:cs="Calibri"/>
                                <w:color w:val="FFFFFF" w:themeColor="background1"/>
                                <w:szCs w:val="18"/>
                              </w:rPr>
                              <w:t>do několika kategorií tak, aby byly rozlišeny nové úvěry od refinancovaných či interních refixací</w:t>
                            </w:r>
                            <w:r w:rsidR="000B70C8" w:rsidRPr="00616069">
                              <w:rPr>
                                <w:rFonts w:ascii="Calibri" w:hAnsi="Calibri" w:cs="Calibri"/>
                                <w:color w:val="FFFFFF" w:themeColor="background1"/>
                                <w:szCs w:val="18"/>
                              </w:rPr>
                              <w:t>.</w:t>
                            </w:r>
                            <w:r w:rsidRPr="00616069">
                              <w:rPr>
                                <w:rFonts w:ascii="Calibri" w:hAnsi="Calibri" w:cs="Calibri"/>
                                <w:color w:val="FFFFFF" w:themeColor="background1"/>
                                <w:szCs w:val="18"/>
                              </w:rPr>
                              <w:t xml:space="preserve"> Nové úvěry jsou </w:t>
                            </w:r>
                            <w:r w:rsidR="00581CC1" w:rsidRPr="00616069">
                              <w:rPr>
                                <w:rFonts w:ascii="Calibri" w:hAnsi="Calibri" w:cs="Calibri"/>
                                <w:color w:val="FFFFFF" w:themeColor="background1"/>
                                <w:szCs w:val="18"/>
                              </w:rPr>
                              <w:t>pak</w:t>
                            </w:r>
                            <w:r w:rsidRPr="00616069">
                              <w:rPr>
                                <w:rFonts w:ascii="Calibri" w:hAnsi="Calibri" w:cs="Calibri"/>
                                <w:color w:val="FFFFFF" w:themeColor="background1"/>
                                <w:szCs w:val="18"/>
                              </w:rPr>
                              <w:t xml:space="preserve"> vykazovány v</w:t>
                            </w:r>
                            <w:r w:rsidR="00581CC1" w:rsidRPr="00616069">
                              <w:rPr>
                                <w:rFonts w:ascii="Calibri" w:hAnsi="Calibri" w:cs="Calibri"/>
                                <w:color w:val="FFFFFF" w:themeColor="background1"/>
                                <w:szCs w:val="18"/>
                              </w:rPr>
                              <w:t> </w:t>
                            </w:r>
                            <w:r w:rsidRPr="00616069">
                              <w:rPr>
                                <w:rFonts w:ascii="Calibri" w:hAnsi="Calibri" w:cs="Calibri"/>
                                <w:color w:val="FFFFFF" w:themeColor="background1"/>
                                <w:szCs w:val="18"/>
                              </w:rPr>
                              <w:t>kategoriích</w:t>
                            </w:r>
                            <w:r w:rsidR="00581CC1" w:rsidRPr="00616069">
                              <w:rPr>
                                <w:rFonts w:ascii="Calibri" w:hAnsi="Calibri" w:cs="Calibri"/>
                                <w:color w:val="FFFFFF" w:themeColor="background1"/>
                                <w:szCs w:val="18"/>
                              </w:rPr>
                              <w:t xml:space="preserve"> dle účelu úvěru</w:t>
                            </w:r>
                            <w:r w:rsidRPr="00616069">
                              <w:rPr>
                                <w:rFonts w:ascii="Calibri" w:hAnsi="Calibri" w:cs="Calibri"/>
                                <w:color w:val="FFFFFF" w:themeColor="background1"/>
                                <w:szCs w:val="18"/>
                              </w:rPr>
                              <w:t>:</w:t>
                            </w:r>
                          </w:p>
                          <w:p w14:paraId="58E707E8" w14:textId="77777777" w:rsidR="0001227F" w:rsidRPr="00616069" w:rsidRDefault="0001227F" w:rsidP="0001227F">
                            <w:pPr>
                              <w:spacing w:line="276" w:lineRule="auto"/>
                              <w:rPr>
                                <w:rFonts w:ascii="Calibri" w:hAnsi="Calibri" w:cs="Calibri"/>
                                <w:color w:val="FFFFFF" w:themeColor="background1"/>
                              </w:rPr>
                            </w:pPr>
                          </w:p>
                          <w:p w14:paraId="3227247A" w14:textId="11714118" w:rsidR="0001227F" w:rsidRPr="00616069" w:rsidRDefault="00E818C3" w:rsidP="00E818C3">
                            <w:pPr>
                              <w:spacing w:line="276" w:lineRule="auto"/>
                              <w:rPr>
                                <w:rFonts w:ascii="Calibri" w:hAnsi="Calibri" w:cs="Calibri"/>
                                <w:b/>
                                <w:color w:val="FFFFFF" w:themeColor="background1"/>
                              </w:rPr>
                            </w:pPr>
                            <w:r w:rsidRPr="00616069">
                              <w:rPr>
                                <w:rFonts w:ascii="Calibri" w:hAnsi="Calibri" w:cs="Calibri"/>
                                <w:b/>
                                <w:color w:val="FFFFFF" w:themeColor="background1"/>
                              </w:rPr>
                              <w:t xml:space="preserve">1. </w:t>
                            </w:r>
                            <w:r w:rsidR="0001227F" w:rsidRPr="00616069">
                              <w:rPr>
                                <w:rFonts w:ascii="Calibri" w:hAnsi="Calibri" w:cs="Calibri"/>
                                <w:b/>
                                <w:color w:val="FFFFFF" w:themeColor="background1"/>
                              </w:rPr>
                              <w:t>Nové úvěry</w:t>
                            </w:r>
                          </w:p>
                          <w:p w14:paraId="22AF3257" w14:textId="77777777" w:rsidR="0001227F" w:rsidRPr="00616069" w:rsidRDefault="0001227F" w:rsidP="0001227F">
                            <w:pPr>
                              <w:spacing w:line="276" w:lineRule="auto"/>
                              <w:rPr>
                                <w:rFonts w:ascii="Calibri" w:hAnsi="Calibri" w:cs="Calibri"/>
                                <w:color w:val="FFFFFF" w:themeColor="background1"/>
                              </w:rPr>
                            </w:pPr>
                            <w:r w:rsidRPr="00616069">
                              <w:rPr>
                                <w:rFonts w:ascii="Calibri" w:hAnsi="Calibri" w:cs="Calibri"/>
                                <w:color w:val="FFFFFF" w:themeColor="background1"/>
                              </w:rPr>
                              <w:t>Jsou úvěry, jejichž celý objem poprvé vstupuje do ekonomiky. Do této kategorie nepatří konsolidace úvěrů anebo refinancování úvěrů. Dělí se do tří kategorií:</w:t>
                            </w:r>
                          </w:p>
                          <w:p w14:paraId="362AFB2A" w14:textId="77777777" w:rsidR="0001227F" w:rsidRPr="00616069" w:rsidRDefault="0001227F" w:rsidP="00E818C3">
                            <w:pPr>
                              <w:pStyle w:val="Odstavecseseznamem"/>
                              <w:numPr>
                                <w:ilvl w:val="0"/>
                                <w:numId w:val="30"/>
                              </w:numPr>
                              <w:spacing w:line="276" w:lineRule="auto"/>
                              <w:rPr>
                                <w:rFonts w:ascii="Calibri" w:hAnsi="Calibri" w:cs="Calibri"/>
                                <w:color w:val="FFFFFF" w:themeColor="background1"/>
                              </w:rPr>
                            </w:pPr>
                            <w:r w:rsidRPr="00616069">
                              <w:rPr>
                                <w:rFonts w:ascii="Calibri" w:hAnsi="Calibri" w:cs="Calibri"/>
                                <w:b/>
                                <w:color w:val="FFFFFF" w:themeColor="background1"/>
                              </w:rPr>
                              <w:t>Nákup nemovitosti</w:t>
                            </w:r>
                            <w:r w:rsidRPr="00616069">
                              <w:rPr>
                                <w:rFonts w:ascii="Calibri" w:hAnsi="Calibri" w:cs="Calibri"/>
                                <w:color w:val="FFFFFF" w:themeColor="background1"/>
                              </w:rPr>
                              <w:t xml:space="preserve"> </w:t>
                            </w:r>
                          </w:p>
                          <w:p w14:paraId="29F23FA5" w14:textId="6EE96893" w:rsidR="0001227F" w:rsidRPr="00616069" w:rsidRDefault="0001227F" w:rsidP="00E818C3">
                            <w:pPr>
                              <w:pStyle w:val="Odstavecseseznamem"/>
                              <w:numPr>
                                <w:ilvl w:val="0"/>
                                <w:numId w:val="30"/>
                              </w:numPr>
                              <w:spacing w:line="276" w:lineRule="auto"/>
                              <w:rPr>
                                <w:rFonts w:ascii="Calibri" w:hAnsi="Calibri" w:cs="Calibri"/>
                                <w:color w:val="FFFFFF" w:themeColor="background1"/>
                              </w:rPr>
                            </w:pPr>
                            <w:r w:rsidRPr="00616069">
                              <w:rPr>
                                <w:rFonts w:ascii="Calibri" w:hAnsi="Calibri" w:cs="Calibri"/>
                                <w:b/>
                                <w:color w:val="FFFFFF" w:themeColor="background1"/>
                              </w:rPr>
                              <w:t>Výstavba nemovitosti</w:t>
                            </w:r>
                            <w:r w:rsidRPr="00616069">
                              <w:rPr>
                                <w:rFonts w:ascii="Calibri" w:hAnsi="Calibri" w:cs="Calibri"/>
                                <w:color w:val="FFFFFF" w:themeColor="background1"/>
                              </w:rPr>
                              <w:t xml:space="preserve"> – včetně rekonstrukce nemovitosti </w:t>
                            </w:r>
                          </w:p>
                          <w:p w14:paraId="4D80580F" w14:textId="13151ABF" w:rsidR="0001227F" w:rsidRPr="00616069" w:rsidRDefault="0001227F" w:rsidP="00E818C3">
                            <w:pPr>
                              <w:pStyle w:val="Odstavecseseznamem"/>
                              <w:numPr>
                                <w:ilvl w:val="0"/>
                                <w:numId w:val="30"/>
                              </w:numPr>
                              <w:spacing w:line="276" w:lineRule="auto"/>
                              <w:rPr>
                                <w:rFonts w:ascii="Calibri" w:hAnsi="Calibri" w:cs="Calibri"/>
                                <w:color w:val="FFFFFF" w:themeColor="background1"/>
                              </w:rPr>
                            </w:pPr>
                            <w:r w:rsidRPr="00616069">
                              <w:rPr>
                                <w:rFonts w:ascii="Calibri" w:hAnsi="Calibri" w:cs="Calibri"/>
                                <w:b/>
                                <w:color w:val="FFFFFF" w:themeColor="background1"/>
                              </w:rPr>
                              <w:t>Ostatní nová ujednání</w:t>
                            </w:r>
                            <w:r w:rsidRPr="00616069">
                              <w:rPr>
                                <w:rFonts w:ascii="Calibri" w:hAnsi="Calibri" w:cs="Calibri"/>
                                <w:color w:val="FFFFFF" w:themeColor="background1"/>
                              </w:rPr>
                              <w:t xml:space="preserve"> – pouze nové úvěry, které nijak nesouvisí s koupí nebo výstavbou nemovitosti</w:t>
                            </w:r>
                            <w:r w:rsidR="006B00D0">
                              <w:rPr>
                                <w:rFonts w:ascii="Calibri" w:hAnsi="Calibri" w:cs="Calibri"/>
                                <w:color w:val="FFFFFF" w:themeColor="background1"/>
                              </w:rPr>
                              <w:t xml:space="preserve"> (</w:t>
                            </w:r>
                            <w:r w:rsidR="006B00D0" w:rsidRPr="006B00D0">
                              <w:rPr>
                                <w:rFonts w:ascii="Calibri" w:hAnsi="Calibri" w:cs="Calibri"/>
                                <w:color w:val="FFFFFF" w:themeColor="background1"/>
                              </w:rPr>
                              <w:t>což neplatí v případě tzv. hypotéky bez nemovitosti sjedn</w:t>
                            </w:r>
                            <w:r w:rsidR="006B00D0">
                              <w:rPr>
                                <w:rFonts w:ascii="Calibri" w:hAnsi="Calibri" w:cs="Calibri"/>
                                <w:color w:val="FFFFFF" w:themeColor="background1"/>
                              </w:rPr>
                              <w:t>a</w:t>
                            </w:r>
                            <w:r w:rsidR="006B00D0" w:rsidRPr="006B00D0">
                              <w:rPr>
                                <w:rFonts w:ascii="Calibri" w:hAnsi="Calibri" w:cs="Calibri"/>
                                <w:color w:val="FFFFFF" w:themeColor="background1"/>
                              </w:rPr>
                              <w:t>né bez účelu</w:t>
                            </w:r>
                            <w:r w:rsidR="006B00D0">
                              <w:rPr>
                                <w:rFonts w:ascii="Calibri" w:hAnsi="Calibri" w:cs="Calibri"/>
                                <w:color w:val="FFFFFF" w:themeColor="background1"/>
                              </w:rPr>
                              <w:t>), tedy</w:t>
                            </w:r>
                            <w:r w:rsidRPr="00616069">
                              <w:rPr>
                                <w:rFonts w:ascii="Calibri" w:hAnsi="Calibri" w:cs="Calibri"/>
                                <w:color w:val="FFFFFF" w:themeColor="background1"/>
                              </w:rPr>
                              <w:t xml:space="preserve"> např. tzv. americké hypotéky, vypořádání SJM, zpětná úhrada kupní ceny, vypořádání dědického podílu, vypořádání družstevního podílu, atp.</w:t>
                            </w:r>
                          </w:p>
                          <w:p w14:paraId="4FBF1D5A" w14:textId="77777777" w:rsidR="0001227F" w:rsidRPr="00616069" w:rsidRDefault="0001227F" w:rsidP="0001227F">
                            <w:pPr>
                              <w:spacing w:line="276" w:lineRule="auto"/>
                              <w:ind w:left="708"/>
                              <w:rPr>
                                <w:rFonts w:ascii="Calibri" w:hAnsi="Calibri" w:cs="Calibri"/>
                                <w:color w:val="FFFFFF" w:themeColor="background1"/>
                              </w:rPr>
                            </w:pPr>
                          </w:p>
                          <w:p w14:paraId="71D5E0BB" w14:textId="7D112C27" w:rsidR="0001227F" w:rsidRPr="00616069" w:rsidRDefault="00E818C3" w:rsidP="0001227F">
                            <w:pPr>
                              <w:spacing w:line="276" w:lineRule="auto"/>
                              <w:rPr>
                                <w:rFonts w:ascii="Calibri" w:hAnsi="Calibri" w:cs="Calibri"/>
                                <w:b/>
                                <w:color w:val="FFFFFF" w:themeColor="background1"/>
                              </w:rPr>
                            </w:pPr>
                            <w:r w:rsidRPr="00616069">
                              <w:rPr>
                                <w:rFonts w:ascii="Calibri" w:hAnsi="Calibri" w:cs="Calibri"/>
                                <w:b/>
                                <w:color w:val="FFFFFF" w:themeColor="background1"/>
                              </w:rPr>
                              <w:t xml:space="preserve">2. </w:t>
                            </w:r>
                            <w:r w:rsidR="0001227F" w:rsidRPr="00616069">
                              <w:rPr>
                                <w:rFonts w:ascii="Calibri" w:hAnsi="Calibri" w:cs="Calibri"/>
                                <w:b/>
                                <w:color w:val="FFFFFF" w:themeColor="background1"/>
                              </w:rPr>
                              <w:t>Refinancované úvěry z jiné finanční instituce</w:t>
                            </w:r>
                          </w:p>
                          <w:p w14:paraId="351B5A60" w14:textId="0B5DCBB6" w:rsidR="0001227F" w:rsidRPr="00616069" w:rsidRDefault="0001227F" w:rsidP="0001227F">
                            <w:pPr>
                              <w:spacing w:line="276" w:lineRule="auto"/>
                              <w:rPr>
                                <w:rFonts w:ascii="Calibri" w:hAnsi="Calibri" w:cs="Calibri"/>
                                <w:color w:val="FFFFFF" w:themeColor="background1"/>
                              </w:rPr>
                            </w:pPr>
                            <w:r w:rsidRPr="00616069">
                              <w:rPr>
                                <w:rFonts w:ascii="Calibri" w:hAnsi="Calibri" w:cs="Calibri"/>
                                <w:color w:val="FFFFFF" w:themeColor="background1"/>
                              </w:rPr>
                              <w:t xml:space="preserve">Jsou úvěry, které vznikly refinancováním jednoho nebo více úvěrů z jiné finanční instituce než </w:t>
                            </w:r>
                            <w:r w:rsidR="00973197" w:rsidRPr="00616069">
                              <w:rPr>
                                <w:rFonts w:ascii="Calibri" w:hAnsi="Calibri" w:cs="Calibri"/>
                                <w:color w:val="FFFFFF" w:themeColor="background1"/>
                              </w:rPr>
                              <w:t>té</w:t>
                            </w:r>
                            <w:r w:rsidRPr="00616069">
                              <w:rPr>
                                <w:rFonts w:ascii="Calibri" w:hAnsi="Calibri" w:cs="Calibri"/>
                                <w:color w:val="FFFFFF" w:themeColor="background1"/>
                              </w:rPr>
                              <w:t xml:space="preserve"> vykazující. Bez ohledu na výši refinancované částky a bez ohledu na výši případného navýšení se celková výše nově vzniklého úvěru vykazuje do této kategorie. </w:t>
                            </w:r>
                          </w:p>
                          <w:p w14:paraId="7566D2D6" w14:textId="77777777" w:rsidR="0001227F" w:rsidRPr="00616069" w:rsidRDefault="0001227F" w:rsidP="0001227F">
                            <w:pPr>
                              <w:spacing w:line="276" w:lineRule="auto"/>
                              <w:rPr>
                                <w:rFonts w:ascii="Calibri" w:hAnsi="Calibri" w:cs="Calibri"/>
                                <w:color w:val="FFFFFF" w:themeColor="background1"/>
                              </w:rPr>
                            </w:pPr>
                          </w:p>
                          <w:p w14:paraId="04B36444" w14:textId="4F20B25F" w:rsidR="0001227F" w:rsidRPr="00616069" w:rsidRDefault="00E818C3" w:rsidP="0001227F">
                            <w:pPr>
                              <w:spacing w:line="276" w:lineRule="auto"/>
                              <w:rPr>
                                <w:rFonts w:ascii="Calibri" w:hAnsi="Calibri" w:cs="Calibri"/>
                                <w:b/>
                                <w:color w:val="FFFFFF" w:themeColor="background1"/>
                              </w:rPr>
                            </w:pPr>
                            <w:r w:rsidRPr="00616069">
                              <w:rPr>
                                <w:rFonts w:ascii="Calibri" w:hAnsi="Calibri" w:cs="Calibri"/>
                                <w:b/>
                                <w:color w:val="FFFFFF" w:themeColor="background1"/>
                              </w:rPr>
                              <w:t xml:space="preserve">3. </w:t>
                            </w:r>
                            <w:r w:rsidR="0001227F" w:rsidRPr="00616069">
                              <w:rPr>
                                <w:rFonts w:ascii="Calibri" w:hAnsi="Calibri" w:cs="Calibri"/>
                                <w:b/>
                                <w:color w:val="FFFFFF" w:themeColor="background1"/>
                              </w:rPr>
                              <w:t>Navýšené anebo interně refinancované úvěry</w:t>
                            </w:r>
                          </w:p>
                          <w:p w14:paraId="711A3661" w14:textId="2A271010" w:rsidR="0001227F" w:rsidRPr="00616069" w:rsidRDefault="0001227F" w:rsidP="0001227F">
                            <w:pPr>
                              <w:spacing w:line="276" w:lineRule="auto"/>
                              <w:rPr>
                                <w:rFonts w:ascii="Calibri" w:hAnsi="Calibri" w:cs="Calibri"/>
                                <w:color w:val="FFFFFF" w:themeColor="background1"/>
                              </w:rPr>
                            </w:pPr>
                            <w:r w:rsidRPr="00616069">
                              <w:rPr>
                                <w:rFonts w:ascii="Calibri" w:hAnsi="Calibri" w:cs="Calibri"/>
                                <w:color w:val="FFFFFF" w:themeColor="background1"/>
                              </w:rPr>
                              <w:t xml:space="preserve">Jsou úvěry, které již byly </w:t>
                            </w:r>
                            <w:r w:rsidR="00647A7A" w:rsidRPr="00616069">
                              <w:rPr>
                                <w:rFonts w:ascii="Calibri" w:hAnsi="Calibri" w:cs="Calibri"/>
                                <w:color w:val="FFFFFF" w:themeColor="background1"/>
                              </w:rPr>
                              <w:t xml:space="preserve">v </w:t>
                            </w:r>
                            <w:r w:rsidRPr="00616069">
                              <w:rPr>
                                <w:rFonts w:ascii="Calibri" w:hAnsi="Calibri" w:cs="Calibri"/>
                                <w:color w:val="FFFFFF" w:themeColor="background1"/>
                              </w:rPr>
                              <w:t>předchozí</w:t>
                            </w:r>
                            <w:r w:rsidR="0079039B" w:rsidRPr="00616069">
                              <w:rPr>
                                <w:rFonts w:ascii="Calibri" w:hAnsi="Calibri" w:cs="Calibri"/>
                                <w:color w:val="FFFFFF" w:themeColor="background1"/>
                              </w:rPr>
                              <w:t>m</w:t>
                            </w:r>
                            <w:r w:rsidRPr="00616069">
                              <w:rPr>
                                <w:rFonts w:ascii="Calibri" w:hAnsi="Calibri" w:cs="Calibri"/>
                                <w:color w:val="FFFFFF" w:themeColor="background1"/>
                              </w:rPr>
                              <w:t xml:space="preserve"> vykazované</w:t>
                            </w:r>
                            <w:r w:rsidR="0079039B" w:rsidRPr="00616069">
                              <w:rPr>
                                <w:rFonts w:ascii="Calibri" w:hAnsi="Calibri" w:cs="Calibri"/>
                                <w:color w:val="FFFFFF" w:themeColor="background1"/>
                              </w:rPr>
                              <w:t>m</w:t>
                            </w:r>
                            <w:r w:rsidRPr="00616069">
                              <w:rPr>
                                <w:rFonts w:ascii="Calibri" w:hAnsi="Calibri" w:cs="Calibri"/>
                                <w:color w:val="FFFFFF" w:themeColor="background1"/>
                              </w:rPr>
                              <w:t xml:space="preserve"> období součástí portfolia vykazujícího subjektu, a ve vykazovaném období u nich došlo k některé z následujících změn:</w:t>
                            </w:r>
                          </w:p>
                          <w:p w14:paraId="4A6B00C0" w14:textId="77777777" w:rsidR="00E818C3" w:rsidRPr="00616069" w:rsidRDefault="0001227F" w:rsidP="0001227F">
                            <w:pPr>
                              <w:pStyle w:val="Odstavecseseznamem"/>
                              <w:numPr>
                                <w:ilvl w:val="0"/>
                                <w:numId w:val="28"/>
                              </w:numPr>
                              <w:overflowPunct/>
                              <w:autoSpaceDE/>
                              <w:autoSpaceDN/>
                              <w:adjustRightInd/>
                              <w:spacing w:line="276" w:lineRule="auto"/>
                              <w:jc w:val="left"/>
                              <w:textAlignment w:val="auto"/>
                              <w:rPr>
                                <w:rFonts w:ascii="Calibri" w:hAnsi="Calibri" w:cs="Calibri"/>
                                <w:color w:val="FFFFFF" w:themeColor="background1"/>
                              </w:rPr>
                            </w:pPr>
                            <w:r w:rsidRPr="00616069">
                              <w:rPr>
                                <w:rFonts w:ascii="Calibri" w:hAnsi="Calibri" w:cs="Calibri"/>
                                <w:color w:val="FFFFFF" w:themeColor="background1"/>
                              </w:rPr>
                              <w:t xml:space="preserve">navýšení sjednané částky </w:t>
                            </w:r>
                          </w:p>
                          <w:p w14:paraId="44682079" w14:textId="72C23671" w:rsidR="0001227F" w:rsidRPr="00616069" w:rsidRDefault="0001227F" w:rsidP="0001227F">
                            <w:pPr>
                              <w:pStyle w:val="Odstavecseseznamem"/>
                              <w:numPr>
                                <w:ilvl w:val="0"/>
                                <w:numId w:val="28"/>
                              </w:numPr>
                              <w:overflowPunct/>
                              <w:autoSpaceDE/>
                              <w:autoSpaceDN/>
                              <w:adjustRightInd/>
                              <w:spacing w:line="276" w:lineRule="auto"/>
                              <w:jc w:val="left"/>
                              <w:textAlignment w:val="auto"/>
                              <w:rPr>
                                <w:rFonts w:ascii="Calibri" w:hAnsi="Calibri" w:cs="Calibri"/>
                                <w:color w:val="FFFFFF" w:themeColor="background1"/>
                              </w:rPr>
                            </w:pPr>
                            <w:r w:rsidRPr="00616069">
                              <w:rPr>
                                <w:rFonts w:ascii="Calibri" w:hAnsi="Calibri" w:cs="Calibri"/>
                                <w:color w:val="FFFFFF" w:themeColor="background1"/>
                              </w:rPr>
                              <w:t xml:space="preserve">došlo k takovým změnám, že původní úvěr byl v rámci vykazujícího subjektu refinancován/převeden na nový úvěr. </w:t>
                            </w:r>
                            <w:r w:rsidR="00E74228" w:rsidRPr="00616069">
                              <w:rPr>
                                <w:rFonts w:ascii="Calibri" w:hAnsi="Calibri" w:cs="Calibri"/>
                                <w:color w:val="FFFFFF" w:themeColor="background1"/>
                              </w:rPr>
                              <w:t>J</w:t>
                            </w:r>
                            <w:r w:rsidRPr="00616069">
                              <w:rPr>
                                <w:rFonts w:ascii="Calibri" w:hAnsi="Calibri" w:cs="Calibri"/>
                                <w:color w:val="FFFFFF" w:themeColor="background1"/>
                              </w:rPr>
                              <w:t>de</w:t>
                            </w:r>
                            <w:r w:rsidR="00CD28EC" w:rsidRPr="00616069">
                              <w:rPr>
                                <w:rFonts w:ascii="Calibri" w:hAnsi="Calibri" w:cs="Calibri"/>
                                <w:color w:val="FFFFFF" w:themeColor="background1"/>
                              </w:rPr>
                              <w:t xml:space="preserve"> tak o</w:t>
                            </w:r>
                            <w:r w:rsidRPr="00616069">
                              <w:rPr>
                                <w:rFonts w:ascii="Calibri" w:hAnsi="Calibri" w:cs="Calibri"/>
                                <w:color w:val="FFFFFF" w:themeColor="background1"/>
                              </w:rPr>
                              <w:t xml:space="preserve"> skutečně </w:t>
                            </w:r>
                            <w:r w:rsidR="00E74228" w:rsidRPr="00616069">
                              <w:rPr>
                                <w:rFonts w:ascii="Calibri" w:hAnsi="Calibri" w:cs="Calibri"/>
                                <w:color w:val="FFFFFF" w:themeColor="background1"/>
                              </w:rPr>
                              <w:t>novou smlouvu</w:t>
                            </w:r>
                            <w:r w:rsidR="00132EE9" w:rsidRPr="00616069">
                              <w:rPr>
                                <w:rFonts w:ascii="Calibri" w:hAnsi="Calibri" w:cs="Calibri"/>
                                <w:color w:val="FFFFFF" w:themeColor="background1"/>
                              </w:rPr>
                              <w:t xml:space="preserve">, nikoli např. jen </w:t>
                            </w:r>
                            <w:r w:rsidR="007B79F6" w:rsidRPr="00616069">
                              <w:rPr>
                                <w:rFonts w:ascii="Calibri" w:hAnsi="Calibri" w:cs="Calibri"/>
                                <w:color w:val="FFFFFF" w:themeColor="background1"/>
                              </w:rPr>
                              <w:t>nové ujednání v rámci refi</w:t>
                            </w:r>
                            <w:r w:rsidR="000F02C1" w:rsidRPr="00616069">
                              <w:rPr>
                                <w:rFonts w:ascii="Calibri" w:hAnsi="Calibri" w:cs="Calibri"/>
                                <w:color w:val="FFFFFF" w:themeColor="background1"/>
                              </w:rPr>
                              <w:t xml:space="preserve">xace </w:t>
                            </w:r>
                            <w:r w:rsidR="00132EE9" w:rsidRPr="00616069">
                              <w:rPr>
                                <w:rFonts w:ascii="Calibri" w:hAnsi="Calibri" w:cs="Calibri"/>
                                <w:color w:val="FFFFFF" w:themeColor="background1"/>
                              </w:rPr>
                              <w:t xml:space="preserve">stávající smlouvy. Proto je objem takových úvěru ve statistice ČBA nižší oproti „ostatním novým ujednáním“ ve statistice České </w:t>
                            </w:r>
                            <w:r w:rsidR="002D3F94" w:rsidRPr="00616069">
                              <w:rPr>
                                <w:rFonts w:ascii="Calibri" w:hAnsi="Calibri" w:cs="Calibri"/>
                                <w:color w:val="FFFFFF" w:themeColor="background1"/>
                              </w:rPr>
                              <w:t>n</w:t>
                            </w:r>
                            <w:r w:rsidR="00132EE9" w:rsidRPr="00616069">
                              <w:rPr>
                                <w:rFonts w:ascii="Calibri" w:hAnsi="Calibri" w:cs="Calibri"/>
                                <w:color w:val="FFFFFF" w:themeColor="background1"/>
                              </w:rPr>
                              <w:t xml:space="preserve">árodní </w:t>
                            </w:r>
                            <w:r w:rsidR="002D3F94" w:rsidRPr="00616069">
                              <w:rPr>
                                <w:rFonts w:ascii="Calibri" w:hAnsi="Calibri" w:cs="Calibri"/>
                                <w:color w:val="FFFFFF" w:themeColor="background1"/>
                              </w:rPr>
                              <w:t>b</w:t>
                            </w:r>
                            <w:r w:rsidR="00132EE9" w:rsidRPr="00616069">
                              <w:rPr>
                                <w:rFonts w:ascii="Calibri" w:hAnsi="Calibri" w:cs="Calibri"/>
                                <w:color w:val="FFFFFF" w:themeColor="background1"/>
                              </w:rPr>
                              <w:t>anky.</w:t>
                            </w:r>
                          </w:p>
                          <w:p w14:paraId="1FAF8B9B" w14:textId="4C474A58" w:rsidR="006F08E1" w:rsidRPr="00616069" w:rsidRDefault="006F08E1" w:rsidP="006F08E1">
                            <w:pPr>
                              <w:overflowPunct/>
                              <w:autoSpaceDE/>
                              <w:autoSpaceDN/>
                              <w:adjustRightInd/>
                              <w:spacing w:line="276" w:lineRule="auto"/>
                              <w:jc w:val="left"/>
                              <w:textAlignment w:val="auto"/>
                              <w:rPr>
                                <w:rFonts w:ascii="Calibri" w:hAnsi="Calibri" w:cs="Calibri"/>
                                <w:color w:val="FFFFFF" w:themeColor="background1"/>
                              </w:rPr>
                            </w:pPr>
                          </w:p>
                          <w:p w14:paraId="65FC0189" w14:textId="63D05C51" w:rsidR="006F08E1" w:rsidRPr="00616069" w:rsidRDefault="001F49EA" w:rsidP="006F08E1">
                            <w:pPr>
                              <w:overflowPunct/>
                              <w:autoSpaceDE/>
                              <w:autoSpaceDN/>
                              <w:adjustRightInd/>
                              <w:spacing w:line="276" w:lineRule="auto"/>
                              <w:jc w:val="left"/>
                              <w:textAlignment w:val="auto"/>
                              <w:rPr>
                                <w:rFonts w:ascii="Calibri" w:hAnsi="Calibri" w:cs="Calibri"/>
                                <w:color w:val="FFFFFF" w:themeColor="background1"/>
                              </w:rPr>
                            </w:pPr>
                            <w:r w:rsidRPr="00616069">
                              <w:rPr>
                                <w:rFonts w:ascii="Calibri" w:hAnsi="Calibri" w:cs="Calibri"/>
                                <w:color w:val="FFFFFF" w:themeColor="background1"/>
                              </w:rPr>
                              <w:t>Data pro ČBA Hypomonitor poskytují následující banky a stavební spořitelny: Air Bank, Česká spořitelna, ČSOB, ČSOB Stavební spořitelna, Fio banka,</w:t>
                            </w:r>
                            <w:r w:rsidR="00752310">
                              <w:rPr>
                                <w:rFonts w:ascii="Calibri" w:hAnsi="Calibri" w:cs="Calibri"/>
                                <w:color w:val="FFFFFF" w:themeColor="background1"/>
                              </w:rPr>
                              <w:t xml:space="preserve"> ČSOB</w:t>
                            </w:r>
                            <w:r w:rsidRPr="00616069">
                              <w:rPr>
                                <w:rFonts w:ascii="Calibri" w:hAnsi="Calibri" w:cs="Calibri"/>
                                <w:color w:val="FFFFFF" w:themeColor="background1"/>
                              </w:rPr>
                              <w:t xml:space="preserve"> Hypoteční banka, Komerční banka, mBank, Modrá pyramida, MONETA Bank, Oberbank, </w:t>
                            </w:r>
                            <w:r w:rsidR="003E1AAB">
                              <w:rPr>
                                <w:rFonts w:ascii="Calibri" w:hAnsi="Calibri" w:cs="Calibri"/>
                                <w:color w:val="FFFFFF" w:themeColor="background1"/>
                              </w:rPr>
                              <w:t xml:space="preserve">Partners Banka, </w:t>
                            </w:r>
                            <w:r w:rsidRPr="00616069">
                              <w:rPr>
                                <w:rFonts w:ascii="Calibri" w:hAnsi="Calibri" w:cs="Calibri"/>
                                <w:color w:val="FFFFFF" w:themeColor="background1"/>
                              </w:rPr>
                              <w:t>Raiffeisen stavební spořitelna, Raiffeisenbank, Stavební spořitelna České spořitelny, UniCredit Bank.</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25DA650" id="_x0000_t202" coordsize="21600,21600" o:spt="202" path="m,l,21600r21600,l21600,xe">
                <v:stroke joinstyle="miter"/>
                <v:path gradientshapeok="t" o:connecttype="rect"/>
              </v:shapetype>
              <v:shape id="_x0000_s1027" type="#_x0000_t202" style="position:absolute;left:0;text-align:left;margin-left:0;margin-top:22.25pt;width:517.7pt;height:385.5pt;z-index:251668480;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" fillcolor="#13576b" stroked="f">
                <v:fill opacity="54998f"/>
                <v:textbox>
                  <w:txbxContent>
                    <w:p w14:paraId="523681E4" w14:textId="20B4FCBA" w:rsidR="0001227F" w:rsidRPr="00616069" w:rsidRDefault="0001227F" w:rsidP="0001227F">
                      <w:pPr>
                        <w:spacing w:line="276" w:lineRule="auto"/>
                        <w:rPr>
                          <w:rFonts w:ascii="Calibri" w:hAnsi="Calibri" w:cs="Calibri"/>
                          <w:b/>
                          <w:bCs/>
                          <w:color w:val="FFFFFF" w:themeColor="background1"/>
                          <w:sz w:val="22"/>
                          <w:szCs w:val="22"/>
                        </w:rPr>
                      </w:pPr>
                      <w:r w:rsidRPr="00616069">
                        <w:rPr>
                          <w:rFonts w:ascii="Calibri" w:hAnsi="Calibri" w:cs="Calibri"/>
                          <w:b/>
                          <w:bCs/>
                          <w:color w:val="FFFFFF" w:themeColor="background1"/>
                          <w:sz w:val="22"/>
                          <w:szCs w:val="22"/>
                        </w:rPr>
                        <w:t>Metodika ČBA Hypomonitoru</w:t>
                      </w:r>
                    </w:p>
                    <w:p w14:paraId="7401467C" w14:textId="77777777" w:rsidR="00414AD4" w:rsidRPr="00616069" w:rsidRDefault="00414AD4" w:rsidP="0001227F">
                      <w:pPr>
                        <w:spacing w:line="276" w:lineRule="auto"/>
                        <w:rPr>
                          <w:rFonts w:ascii="Calibri" w:hAnsi="Calibri" w:cs="Calibri"/>
                          <w:color w:val="FFFFFF" w:themeColor="background1"/>
                          <w:szCs w:val="18"/>
                        </w:rPr>
                      </w:pPr>
                    </w:p>
                    <w:p w14:paraId="1021EABD" w14:textId="16015784" w:rsidR="0001227F" w:rsidRPr="00616069" w:rsidRDefault="00414AD4" w:rsidP="0001227F">
                      <w:pPr>
                        <w:spacing w:line="276" w:lineRule="auto"/>
                        <w:rPr>
                          <w:rFonts w:ascii="Calibri" w:hAnsi="Calibri" w:cs="Calibri"/>
                          <w:color w:val="FFFFFF" w:themeColor="background1"/>
                          <w:szCs w:val="18"/>
                        </w:rPr>
                      </w:pPr>
                      <w:r w:rsidRPr="00616069">
                        <w:rPr>
                          <w:rFonts w:ascii="Calibri" w:hAnsi="Calibri" w:cs="Calibri"/>
                          <w:color w:val="FFFFFF" w:themeColor="background1"/>
                          <w:szCs w:val="18"/>
                        </w:rPr>
                        <w:t xml:space="preserve">ČBA Hypomonitor </w:t>
                      </w:r>
                      <w:r w:rsidR="00FB47DE" w:rsidRPr="00616069">
                        <w:rPr>
                          <w:rFonts w:ascii="Calibri" w:hAnsi="Calibri" w:cs="Calibri"/>
                          <w:color w:val="FFFFFF" w:themeColor="background1"/>
                          <w:szCs w:val="18"/>
                        </w:rPr>
                        <w:t xml:space="preserve">rozděluje poskytnuté hypoteční úvěry </w:t>
                      </w:r>
                      <w:r w:rsidR="00810DCF" w:rsidRPr="00616069">
                        <w:rPr>
                          <w:rFonts w:ascii="Calibri" w:hAnsi="Calibri" w:cs="Calibri"/>
                          <w:color w:val="FFFFFF" w:themeColor="background1"/>
                          <w:szCs w:val="18"/>
                        </w:rPr>
                        <w:t>bank a stavebních spořitelen</w:t>
                      </w:r>
                      <w:r w:rsidR="00B426A2" w:rsidRPr="00616069">
                        <w:rPr>
                          <w:rFonts w:ascii="Calibri" w:hAnsi="Calibri" w:cs="Calibri"/>
                          <w:color w:val="FFFFFF" w:themeColor="background1"/>
                          <w:szCs w:val="18"/>
                        </w:rPr>
                        <w:t xml:space="preserve"> domácnostem</w:t>
                      </w:r>
                      <w:r w:rsidR="00810DCF" w:rsidRPr="00616069">
                        <w:rPr>
                          <w:rFonts w:ascii="Calibri" w:hAnsi="Calibri" w:cs="Calibri"/>
                          <w:color w:val="FFFFFF" w:themeColor="background1"/>
                          <w:szCs w:val="18"/>
                        </w:rPr>
                        <w:t xml:space="preserve"> </w:t>
                      </w:r>
                      <w:r w:rsidRPr="00616069">
                        <w:rPr>
                          <w:rFonts w:ascii="Calibri" w:hAnsi="Calibri" w:cs="Calibri"/>
                          <w:color w:val="FFFFFF" w:themeColor="background1"/>
                          <w:szCs w:val="18"/>
                        </w:rPr>
                        <w:t>do několika kategorií tak, aby byly rozlišeny nové úvěry od refinancovaných či interních refixací</w:t>
                      </w:r>
                      <w:r w:rsidR="000B70C8" w:rsidRPr="00616069">
                        <w:rPr>
                          <w:rFonts w:ascii="Calibri" w:hAnsi="Calibri" w:cs="Calibri"/>
                          <w:color w:val="FFFFFF" w:themeColor="background1"/>
                          <w:szCs w:val="18"/>
                        </w:rPr>
                        <w:t>.</w:t>
                      </w:r>
                      <w:r w:rsidRPr="00616069">
                        <w:rPr>
                          <w:rFonts w:ascii="Calibri" w:hAnsi="Calibri" w:cs="Calibri"/>
                          <w:color w:val="FFFFFF" w:themeColor="background1"/>
                          <w:szCs w:val="18"/>
                        </w:rPr>
                        <w:t xml:space="preserve"> Nové úvěry jsou </w:t>
                      </w:r>
                      <w:r w:rsidR="00581CC1" w:rsidRPr="00616069">
                        <w:rPr>
                          <w:rFonts w:ascii="Calibri" w:hAnsi="Calibri" w:cs="Calibri"/>
                          <w:color w:val="FFFFFF" w:themeColor="background1"/>
                          <w:szCs w:val="18"/>
                        </w:rPr>
                        <w:t>pak</w:t>
                      </w:r>
                      <w:r w:rsidRPr="00616069">
                        <w:rPr>
                          <w:rFonts w:ascii="Calibri" w:hAnsi="Calibri" w:cs="Calibri"/>
                          <w:color w:val="FFFFFF" w:themeColor="background1"/>
                          <w:szCs w:val="18"/>
                        </w:rPr>
                        <w:t xml:space="preserve"> vykazovány v</w:t>
                      </w:r>
                      <w:r w:rsidR="00581CC1" w:rsidRPr="00616069">
                        <w:rPr>
                          <w:rFonts w:ascii="Calibri" w:hAnsi="Calibri" w:cs="Calibri"/>
                          <w:color w:val="FFFFFF" w:themeColor="background1"/>
                          <w:szCs w:val="18"/>
                        </w:rPr>
                        <w:t> </w:t>
                      </w:r>
                      <w:r w:rsidRPr="00616069">
                        <w:rPr>
                          <w:rFonts w:ascii="Calibri" w:hAnsi="Calibri" w:cs="Calibri"/>
                          <w:color w:val="FFFFFF" w:themeColor="background1"/>
                          <w:szCs w:val="18"/>
                        </w:rPr>
                        <w:t>kategoriích</w:t>
                      </w:r>
                      <w:r w:rsidR="00581CC1" w:rsidRPr="00616069">
                        <w:rPr>
                          <w:rFonts w:ascii="Calibri" w:hAnsi="Calibri" w:cs="Calibri"/>
                          <w:color w:val="FFFFFF" w:themeColor="background1"/>
                          <w:szCs w:val="18"/>
                        </w:rPr>
                        <w:t xml:space="preserve"> dle účelu úvěru</w:t>
                      </w:r>
                      <w:r w:rsidRPr="00616069">
                        <w:rPr>
                          <w:rFonts w:ascii="Calibri" w:hAnsi="Calibri" w:cs="Calibri"/>
                          <w:color w:val="FFFFFF" w:themeColor="background1"/>
                          <w:szCs w:val="18"/>
                        </w:rPr>
                        <w:t>:</w:t>
                      </w:r>
                    </w:p>
                    <w:p w14:paraId="58E707E8" w14:textId="77777777" w:rsidR="0001227F" w:rsidRPr="00616069" w:rsidRDefault="0001227F" w:rsidP="0001227F">
                      <w:pPr>
                        <w:spacing w:line="276" w:lineRule="auto"/>
                        <w:rPr>
                          <w:rFonts w:ascii="Calibri" w:hAnsi="Calibri" w:cs="Calibri"/>
                          <w:color w:val="FFFFFF" w:themeColor="background1"/>
                        </w:rPr>
                      </w:pPr>
                    </w:p>
                    <w:p w14:paraId="3227247A" w14:textId="11714118" w:rsidR="0001227F" w:rsidRPr="00616069" w:rsidRDefault="00E818C3" w:rsidP="00E818C3">
                      <w:pPr>
                        <w:spacing w:line="276" w:lineRule="auto"/>
                        <w:rPr>
                          <w:rFonts w:ascii="Calibri" w:hAnsi="Calibri" w:cs="Calibri"/>
                          <w:b/>
                          <w:color w:val="FFFFFF" w:themeColor="background1"/>
                        </w:rPr>
                      </w:pPr>
                      <w:r w:rsidRPr="00616069">
                        <w:rPr>
                          <w:rFonts w:ascii="Calibri" w:hAnsi="Calibri" w:cs="Calibri"/>
                          <w:b/>
                          <w:color w:val="FFFFFF" w:themeColor="background1"/>
                        </w:rPr>
                        <w:t xml:space="preserve">1. </w:t>
                      </w:r>
                      <w:r w:rsidR="0001227F" w:rsidRPr="00616069">
                        <w:rPr>
                          <w:rFonts w:ascii="Calibri" w:hAnsi="Calibri" w:cs="Calibri"/>
                          <w:b/>
                          <w:color w:val="FFFFFF" w:themeColor="background1"/>
                        </w:rPr>
                        <w:t>Nové úvěry</w:t>
                      </w:r>
                    </w:p>
                    <w:p w14:paraId="22AF3257" w14:textId="77777777" w:rsidR="0001227F" w:rsidRPr="00616069" w:rsidRDefault="0001227F" w:rsidP="0001227F">
                      <w:pPr>
                        <w:spacing w:line="276" w:lineRule="auto"/>
                        <w:rPr>
                          <w:rFonts w:ascii="Calibri" w:hAnsi="Calibri" w:cs="Calibri"/>
                          <w:color w:val="FFFFFF" w:themeColor="background1"/>
                        </w:rPr>
                      </w:pPr>
                      <w:r w:rsidRPr="00616069">
                        <w:rPr>
                          <w:rFonts w:ascii="Calibri" w:hAnsi="Calibri" w:cs="Calibri"/>
                          <w:color w:val="FFFFFF" w:themeColor="background1"/>
                        </w:rPr>
                        <w:t>Jsou úvěry, jejichž celý objem poprvé vstupuje do ekonomiky. Do této kategorie nepatří konsolidace úvěrů anebo refinancování úvěrů. Dělí se do tří kategorií:</w:t>
                      </w:r>
                    </w:p>
                    <w:p w14:paraId="362AFB2A" w14:textId="77777777" w:rsidR="0001227F" w:rsidRPr="00616069" w:rsidRDefault="0001227F" w:rsidP="00E818C3">
                      <w:pPr>
                        <w:pStyle w:val="ListParagraph"/>
                        <w:numPr>
                          <w:ilvl w:val="0"/>
                          <w:numId w:val="30"/>
                        </w:numPr>
                        <w:spacing w:line="276" w:lineRule="auto"/>
                        <w:rPr>
                          <w:rFonts w:ascii="Calibri" w:hAnsi="Calibri" w:cs="Calibri"/>
                          <w:color w:val="FFFFFF" w:themeColor="background1"/>
                        </w:rPr>
                      </w:pPr>
                      <w:r w:rsidRPr="00616069">
                        <w:rPr>
                          <w:rFonts w:ascii="Calibri" w:hAnsi="Calibri" w:cs="Calibri"/>
                          <w:b/>
                          <w:color w:val="FFFFFF" w:themeColor="background1"/>
                        </w:rPr>
                        <w:t>Nákup nemovitosti</w:t>
                      </w:r>
                      <w:r w:rsidRPr="00616069">
                        <w:rPr>
                          <w:rFonts w:ascii="Calibri" w:hAnsi="Calibri" w:cs="Calibri"/>
                          <w:color w:val="FFFFFF" w:themeColor="background1"/>
                        </w:rPr>
                        <w:t xml:space="preserve"> </w:t>
                      </w:r>
                    </w:p>
                    <w:p w14:paraId="29F23FA5" w14:textId="6EE96893" w:rsidR="0001227F" w:rsidRPr="00616069" w:rsidRDefault="0001227F" w:rsidP="00E818C3">
                      <w:pPr>
                        <w:pStyle w:val="ListParagraph"/>
                        <w:numPr>
                          <w:ilvl w:val="0"/>
                          <w:numId w:val="30"/>
                        </w:numPr>
                        <w:spacing w:line="276" w:lineRule="auto"/>
                        <w:rPr>
                          <w:rFonts w:ascii="Calibri" w:hAnsi="Calibri" w:cs="Calibri"/>
                          <w:color w:val="FFFFFF" w:themeColor="background1"/>
                        </w:rPr>
                      </w:pPr>
                      <w:r w:rsidRPr="00616069">
                        <w:rPr>
                          <w:rFonts w:ascii="Calibri" w:hAnsi="Calibri" w:cs="Calibri"/>
                          <w:b/>
                          <w:color w:val="FFFFFF" w:themeColor="background1"/>
                        </w:rPr>
                        <w:t>Výstavba nemovitosti</w:t>
                      </w:r>
                      <w:r w:rsidRPr="00616069">
                        <w:rPr>
                          <w:rFonts w:ascii="Calibri" w:hAnsi="Calibri" w:cs="Calibri"/>
                          <w:color w:val="FFFFFF" w:themeColor="background1"/>
                        </w:rPr>
                        <w:t xml:space="preserve"> – včetně rekonstrukce nemovitosti </w:t>
                      </w:r>
                    </w:p>
                    <w:p w14:paraId="4D80580F" w14:textId="13151ABF" w:rsidR="0001227F" w:rsidRPr="00616069" w:rsidRDefault="0001227F" w:rsidP="00E818C3">
                      <w:pPr>
                        <w:pStyle w:val="ListParagraph"/>
                        <w:numPr>
                          <w:ilvl w:val="0"/>
                          <w:numId w:val="30"/>
                        </w:numPr>
                        <w:spacing w:line="276" w:lineRule="auto"/>
                        <w:rPr>
                          <w:rFonts w:ascii="Calibri" w:hAnsi="Calibri" w:cs="Calibri"/>
                          <w:color w:val="FFFFFF" w:themeColor="background1"/>
                        </w:rPr>
                      </w:pPr>
                      <w:r w:rsidRPr="00616069">
                        <w:rPr>
                          <w:rFonts w:ascii="Calibri" w:hAnsi="Calibri" w:cs="Calibri"/>
                          <w:b/>
                          <w:color w:val="FFFFFF" w:themeColor="background1"/>
                        </w:rPr>
                        <w:t>Ostatní nová ujednání</w:t>
                      </w:r>
                      <w:r w:rsidRPr="00616069">
                        <w:rPr>
                          <w:rFonts w:ascii="Calibri" w:hAnsi="Calibri" w:cs="Calibri"/>
                          <w:color w:val="FFFFFF" w:themeColor="background1"/>
                        </w:rPr>
                        <w:t xml:space="preserve"> – pouze nové úvěry, které nijak nesouvisí s koupí nebo výstavbou nemovitosti</w:t>
                      </w:r>
                      <w:r w:rsidR="006B00D0">
                        <w:rPr>
                          <w:rFonts w:ascii="Calibri" w:hAnsi="Calibri" w:cs="Calibri"/>
                          <w:color w:val="FFFFFF" w:themeColor="background1"/>
                        </w:rPr>
                        <w:t xml:space="preserve"> (</w:t>
                      </w:r>
                      <w:r w:rsidR="006B00D0" w:rsidRPr="006B00D0">
                        <w:rPr>
                          <w:rFonts w:ascii="Calibri" w:hAnsi="Calibri" w:cs="Calibri"/>
                          <w:color w:val="FFFFFF" w:themeColor="background1"/>
                        </w:rPr>
                        <w:t>což neplatí v případě tzv. hypotéky bez nemovitosti sjedn</w:t>
                      </w:r>
                      <w:r w:rsidR="006B00D0">
                        <w:rPr>
                          <w:rFonts w:ascii="Calibri" w:hAnsi="Calibri" w:cs="Calibri"/>
                          <w:color w:val="FFFFFF" w:themeColor="background1"/>
                        </w:rPr>
                        <w:t>a</w:t>
                      </w:r>
                      <w:r w:rsidR="006B00D0" w:rsidRPr="006B00D0">
                        <w:rPr>
                          <w:rFonts w:ascii="Calibri" w:hAnsi="Calibri" w:cs="Calibri"/>
                          <w:color w:val="FFFFFF" w:themeColor="background1"/>
                        </w:rPr>
                        <w:t>né bez účelu</w:t>
                      </w:r>
                      <w:r w:rsidR="006B00D0">
                        <w:rPr>
                          <w:rFonts w:ascii="Calibri" w:hAnsi="Calibri" w:cs="Calibri"/>
                          <w:color w:val="FFFFFF" w:themeColor="background1"/>
                        </w:rPr>
                        <w:t>), tedy</w:t>
                      </w:r>
                      <w:r w:rsidRPr="00616069">
                        <w:rPr>
                          <w:rFonts w:ascii="Calibri" w:hAnsi="Calibri" w:cs="Calibri"/>
                          <w:color w:val="FFFFFF" w:themeColor="background1"/>
                        </w:rPr>
                        <w:t xml:space="preserve"> např. tzv. americké hypotéky, vypořádání SJM, zpětná úhrada kupní ceny, vypořádání dědického podílu, vypořádání družstevního podílu, atp.</w:t>
                      </w:r>
                    </w:p>
                    <w:p w14:paraId="4FBF1D5A" w14:textId="77777777" w:rsidR="0001227F" w:rsidRPr="00616069" w:rsidRDefault="0001227F" w:rsidP="0001227F">
                      <w:pPr>
                        <w:spacing w:line="276" w:lineRule="auto"/>
                        <w:ind w:left="708"/>
                        <w:rPr>
                          <w:rFonts w:ascii="Calibri" w:hAnsi="Calibri" w:cs="Calibri"/>
                          <w:color w:val="FFFFFF" w:themeColor="background1"/>
                        </w:rPr>
                      </w:pPr>
                    </w:p>
                    <w:p w14:paraId="71D5E0BB" w14:textId="7D112C27" w:rsidR="0001227F" w:rsidRPr="00616069" w:rsidRDefault="00E818C3" w:rsidP="0001227F">
                      <w:pPr>
                        <w:spacing w:line="276" w:lineRule="auto"/>
                        <w:rPr>
                          <w:rFonts w:ascii="Calibri" w:hAnsi="Calibri" w:cs="Calibri"/>
                          <w:b/>
                          <w:color w:val="FFFFFF" w:themeColor="background1"/>
                        </w:rPr>
                      </w:pPr>
                      <w:r w:rsidRPr="00616069">
                        <w:rPr>
                          <w:rFonts w:ascii="Calibri" w:hAnsi="Calibri" w:cs="Calibri"/>
                          <w:b/>
                          <w:color w:val="FFFFFF" w:themeColor="background1"/>
                        </w:rPr>
                        <w:t xml:space="preserve">2. </w:t>
                      </w:r>
                      <w:r w:rsidR="0001227F" w:rsidRPr="00616069">
                        <w:rPr>
                          <w:rFonts w:ascii="Calibri" w:hAnsi="Calibri" w:cs="Calibri"/>
                          <w:b/>
                          <w:color w:val="FFFFFF" w:themeColor="background1"/>
                        </w:rPr>
                        <w:t>Refinancované úvěry z jiné finanční instituce</w:t>
                      </w:r>
                    </w:p>
                    <w:p w14:paraId="351B5A60" w14:textId="0B5DCBB6" w:rsidR="0001227F" w:rsidRPr="00616069" w:rsidRDefault="0001227F" w:rsidP="0001227F">
                      <w:pPr>
                        <w:spacing w:line="276" w:lineRule="auto"/>
                        <w:rPr>
                          <w:rFonts w:ascii="Calibri" w:hAnsi="Calibri" w:cs="Calibri"/>
                          <w:color w:val="FFFFFF" w:themeColor="background1"/>
                        </w:rPr>
                      </w:pPr>
                      <w:r w:rsidRPr="00616069">
                        <w:rPr>
                          <w:rFonts w:ascii="Calibri" w:hAnsi="Calibri" w:cs="Calibri"/>
                          <w:color w:val="FFFFFF" w:themeColor="background1"/>
                        </w:rPr>
                        <w:t xml:space="preserve">Jsou úvěry, které vznikly refinancováním jednoho nebo více úvěrů z jiné finanční instituce než </w:t>
                      </w:r>
                      <w:r w:rsidR="00973197" w:rsidRPr="00616069">
                        <w:rPr>
                          <w:rFonts w:ascii="Calibri" w:hAnsi="Calibri" w:cs="Calibri"/>
                          <w:color w:val="FFFFFF" w:themeColor="background1"/>
                        </w:rPr>
                        <w:t>té</w:t>
                      </w:r>
                      <w:r w:rsidRPr="00616069">
                        <w:rPr>
                          <w:rFonts w:ascii="Calibri" w:hAnsi="Calibri" w:cs="Calibri"/>
                          <w:color w:val="FFFFFF" w:themeColor="background1"/>
                        </w:rPr>
                        <w:t xml:space="preserve"> vykazující. Bez ohledu na výši refinancované částky a bez ohledu na výši případného navýšení se celková výše nově vzniklého úvěru vykazuje do této kategorie. </w:t>
                      </w:r>
                    </w:p>
                    <w:p w14:paraId="7566D2D6" w14:textId="77777777" w:rsidR="0001227F" w:rsidRPr="00616069" w:rsidRDefault="0001227F" w:rsidP="0001227F">
                      <w:pPr>
                        <w:spacing w:line="276" w:lineRule="auto"/>
                        <w:rPr>
                          <w:rFonts w:ascii="Calibri" w:hAnsi="Calibri" w:cs="Calibri"/>
                          <w:color w:val="FFFFFF" w:themeColor="background1"/>
                        </w:rPr>
                      </w:pPr>
                    </w:p>
                    <w:p w14:paraId="04B36444" w14:textId="4F20B25F" w:rsidR="0001227F" w:rsidRPr="00616069" w:rsidRDefault="00E818C3" w:rsidP="0001227F">
                      <w:pPr>
                        <w:spacing w:line="276" w:lineRule="auto"/>
                        <w:rPr>
                          <w:rFonts w:ascii="Calibri" w:hAnsi="Calibri" w:cs="Calibri"/>
                          <w:b/>
                          <w:color w:val="FFFFFF" w:themeColor="background1"/>
                        </w:rPr>
                      </w:pPr>
                      <w:r w:rsidRPr="00616069">
                        <w:rPr>
                          <w:rFonts w:ascii="Calibri" w:hAnsi="Calibri" w:cs="Calibri"/>
                          <w:b/>
                          <w:color w:val="FFFFFF" w:themeColor="background1"/>
                        </w:rPr>
                        <w:t xml:space="preserve">3. </w:t>
                      </w:r>
                      <w:r w:rsidR="0001227F" w:rsidRPr="00616069">
                        <w:rPr>
                          <w:rFonts w:ascii="Calibri" w:hAnsi="Calibri" w:cs="Calibri"/>
                          <w:b/>
                          <w:color w:val="FFFFFF" w:themeColor="background1"/>
                        </w:rPr>
                        <w:t>Navýšené anebo interně refinancované úvěry</w:t>
                      </w:r>
                    </w:p>
                    <w:p w14:paraId="711A3661" w14:textId="2A271010" w:rsidR="0001227F" w:rsidRPr="00616069" w:rsidRDefault="0001227F" w:rsidP="0001227F">
                      <w:pPr>
                        <w:spacing w:line="276" w:lineRule="auto"/>
                        <w:rPr>
                          <w:rFonts w:ascii="Calibri" w:hAnsi="Calibri" w:cs="Calibri"/>
                          <w:color w:val="FFFFFF" w:themeColor="background1"/>
                        </w:rPr>
                      </w:pPr>
                      <w:r w:rsidRPr="00616069">
                        <w:rPr>
                          <w:rFonts w:ascii="Calibri" w:hAnsi="Calibri" w:cs="Calibri"/>
                          <w:color w:val="FFFFFF" w:themeColor="background1"/>
                        </w:rPr>
                        <w:t xml:space="preserve">Jsou úvěry, které již byly </w:t>
                      </w:r>
                      <w:r w:rsidR="00647A7A" w:rsidRPr="00616069">
                        <w:rPr>
                          <w:rFonts w:ascii="Calibri" w:hAnsi="Calibri" w:cs="Calibri"/>
                          <w:color w:val="FFFFFF" w:themeColor="background1"/>
                        </w:rPr>
                        <w:t xml:space="preserve">v </w:t>
                      </w:r>
                      <w:r w:rsidRPr="00616069">
                        <w:rPr>
                          <w:rFonts w:ascii="Calibri" w:hAnsi="Calibri" w:cs="Calibri"/>
                          <w:color w:val="FFFFFF" w:themeColor="background1"/>
                        </w:rPr>
                        <w:t>předchozí</w:t>
                      </w:r>
                      <w:r w:rsidR="0079039B" w:rsidRPr="00616069">
                        <w:rPr>
                          <w:rFonts w:ascii="Calibri" w:hAnsi="Calibri" w:cs="Calibri"/>
                          <w:color w:val="FFFFFF" w:themeColor="background1"/>
                        </w:rPr>
                        <w:t>m</w:t>
                      </w:r>
                      <w:r w:rsidRPr="00616069">
                        <w:rPr>
                          <w:rFonts w:ascii="Calibri" w:hAnsi="Calibri" w:cs="Calibri"/>
                          <w:color w:val="FFFFFF" w:themeColor="background1"/>
                        </w:rPr>
                        <w:t xml:space="preserve"> vykazované</w:t>
                      </w:r>
                      <w:r w:rsidR="0079039B" w:rsidRPr="00616069">
                        <w:rPr>
                          <w:rFonts w:ascii="Calibri" w:hAnsi="Calibri" w:cs="Calibri"/>
                          <w:color w:val="FFFFFF" w:themeColor="background1"/>
                        </w:rPr>
                        <w:t>m</w:t>
                      </w:r>
                      <w:r w:rsidRPr="00616069">
                        <w:rPr>
                          <w:rFonts w:ascii="Calibri" w:hAnsi="Calibri" w:cs="Calibri"/>
                          <w:color w:val="FFFFFF" w:themeColor="background1"/>
                        </w:rPr>
                        <w:t xml:space="preserve"> období součástí portfolia vykazujícího subjektu, a ve vykazovaném období u nich došlo k některé z následujících změn:</w:t>
                      </w:r>
                    </w:p>
                    <w:p w14:paraId="4A6B00C0" w14:textId="77777777" w:rsidR="00E818C3" w:rsidRPr="00616069" w:rsidRDefault="0001227F" w:rsidP="0001227F">
                      <w:pPr>
                        <w:pStyle w:val="ListParagraph"/>
                        <w:numPr>
                          <w:ilvl w:val="0"/>
                          <w:numId w:val="28"/>
                        </w:numPr>
                        <w:overflowPunct/>
                        <w:autoSpaceDE/>
                        <w:autoSpaceDN/>
                        <w:adjustRightInd/>
                        <w:spacing w:line="276" w:lineRule="auto"/>
                        <w:jc w:val="left"/>
                        <w:textAlignment w:val="auto"/>
                        <w:rPr>
                          <w:rFonts w:ascii="Calibri" w:hAnsi="Calibri" w:cs="Calibri"/>
                          <w:color w:val="FFFFFF" w:themeColor="background1"/>
                        </w:rPr>
                      </w:pPr>
                      <w:r w:rsidRPr="00616069">
                        <w:rPr>
                          <w:rFonts w:ascii="Calibri" w:hAnsi="Calibri" w:cs="Calibri"/>
                          <w:color w:val="FFFFFF" w:themeColor="background1"/>
                        </w:rPr>
                        <w:t xml:space="preserve">navýšení sjednané částky </w:t>
                      </w:r>
                    </w:p>
                    <w:p w14:paraId="44682079" w14:textId="72C23671" w:rsidR="0001227F" w:rsidRPr="00616069" w:rsidRDefault="0001227F" w:rsidP="0001227F">
                      <w:pPr>
                        <w:pStyle w:val="ListParagraph"/>
                        <w:numPr>
                          <w:ilvl w:val="0"/>
                          <w:numId w:val="28"/>
                        </w:numPr>
                        <w:overflowPunct/>
                        <w:autoSpaceDE/>
                        <w:autoSpaceDN/>
                        <w:adjustRightInd/>
                        <w:spacing w:line="276" w:lineRule="auto"/>
                        <w:jc w:val="left"/>
                        <w:textAlignment w:val="auto"/>
                        <w:rPr>
                          <w:rFonts w:ascii="Calibri" w:hAnsi="Calibri" w:cs="Calibri"/>
                          <w:color w:val="FFFFFF" w:themeColor="background1"/>
                        </w:rPr>
                      </w:pPr>
                      <w:r w:rsidRPr="00616069">
                        <w:rPr>
                          <w:rFonts w:ascii="Calibri" w:hAnsi="Calibri" w:cs="Calibri"/>
                          <w:color w:val="FFFFFF" w:themeColor="background1"/>
                        </w:rPr>
                        <w:t xml:space="preserve">došlo k takovým změnám, že původní úvěr byl v rámci vykazujícího subjektu refinancován/převeden na nový úvěr. </w:t>
                      </w:r>
                      <w:r w:rsidR="00E74228" w:rsidRPr="00616069">
                        <w:rPr>
                          <w:rFonts w:ascii="Calibri" w:hAnsi="Calibri" w:cs="Calibri"/>
                          <w:color w:val="FFFFFF" w:themeColor="background1"/>
                        </w:rPr>
                        <w:t>J</w:t>
                      </w:r>
                      <w:r w:rsidRPr="00616069">
                        <w:rPr>
                          <w:rFonts w:ascii="Calibri" w:hAnsi="Calibri" w:cs="Calibri"/>
                          <w:color w:val="FFFFFF" w:themeColor="background1"/>
                        </w:rPr>
                        <w:t>de</w:t>
                      </w:r>
                      <w:r w:rsidR="00CD28EC" w:rsidRPr="00616069">
                        <w:rPr>
                          <w:rFonts w:ascii="Calibri" w:hAnsi="Calibri" w:cs="Calibri"/>
                          <w:color w:val="FFFFFF" w:themeColor="background1"/>
                        </w:rPr>
                        <w:t xml:space="preserve"> tak o</w:t>
                      </w:r>
                      <w:r w:rsidRPr="00616069">
                        <w:rPr>
                          <w:rFonts w:ascii="Calibri" w:hAnsi="Calibri" w:cs="Calibri"/>
                          <w:color w:val="FFFFFF" w:themeColor="background1"/>
                        </w:rPr>
                        <w:t xml:space="preserve"> skutečně </w:t>
                      </w:r>
                      <w:r w:rsidR="00E74228" w:rsidRPr="00616069">
                        <w:rPr>
                          <w:rFonts w:ascii="Calibri" w:hAnsi="Calibri" w:cs="Calibri"/>
                          <w:color w:val="FFFFFF" w:themeColor="background1"/>
                        </w:rPr>
                        <w:t>novou smlouvu</w:t>
                      </w:r>
                      <w:r w:rsidR="00132EE9" w:rsidRPr="00616069">
                        <w:rPr>
                          <w:rFonts w:ascii="Calibri" w:hAnsi="Calibri" w:cs="Calibri"/>
                          <w:color w:val="FFFFFF" w:themeColor="background1"/>
                        </w:rPr>
                        <w:t xml:space="preserve">, nikoli např. jen </w:t>
                      </w:r>
                      <w:r w:rsidR="007B79F6" w:rsidRPr="00616069">
                        <w:rPr>
                          <w:rFonts w:ascii="Calibri" w:hAnsi="Calibri" w:cs="Calibri"/>
                          <w:color w:val="FFFFFF" w:themeColor="background1"/>
                        </w:rPr>
                        <w:t>nové ujednání v rámci refi</w:t>
                      </w:r>
                      <w:r w:rsidR="000F02C1" w:rsidRPr="00616069">
                        <w:rPr>
                          <w:rFonts w:ascii="Calibri" w:hAnsi="Calibri" w:cs="Calibri"/>
                          <w:color w:val="FFFFFF" w:themeColor="background1"/>
                        </w:rPr>
                        <w:t xml:space="preserve">xace </w:t>
                      </w:r>
                      <w:r w:rsidR="00132EE9" w:rsidRPr="00616069">
                        <w:rPr>
                          <w:rFonts w:ascii="Calibri" w:hAnsi="Calibri" w:cs="Calibri"/>
                          <w:color w:val="FFFFFF" w:themeColor="background1"/>
                        </w:rPr>
                        <w:t xml:space="preserve">stávající smlouvy. Proto je objem takových úvěru ve statistice ČBA nižší oproti „ostatním novým ujednáním“ ve statistice České </w:t>
                      </w:r>
                      <w:r w:rsidR="002D3F94" w:rsidRPr="00616069">
                        <w:rPr>
                          <w:rFonts w:ascii="Calibri" w:hAnsi="Calibri" w:cs="Calibri"/>
                          <w:color w:val="FFFFFF" w:themeColor="background1"/>
                        </w:rPr>
                        <w:t>n</w:t>
                      </w:r>
                      <w:r w:rsidR="00132EE9" w:rsidRPr="00616069">
                        <w:rPr>
                          <w:rFonts w:ascii="Calibri" w:hAnsi="Calibri" w:cs="Calibri"/>
                          <w:color w:val="FFFFFF" w:themeColor="background1"/>
                        </w:rPr>
                        <w:t xml:space="preserve">árodní </w:t>
                      </w:r>
                      <w:r w:rsidR="002D3F94" w:rsidRPr="00616069">
                        <w:rPr>
                          <w:rFonts w:ascii="Calibri" w:hAnsi="Calibri" w:cs="Calibri"/>
                          <w:color w:val="FFFFFF" w:themeColor="background1"/>
                        </w:rPr>
                        <w:t>b</w:t>
                      </w:r>
                      <w:r w:rsidR="00132EE9" w:rsidRPr="00616069">
                        <w:rPr>
                          <w:rFonts w:ascii="Calibri" w:hAnsi="Calibri" w:cs="Calibri"/>
                          <w:color w:val="FFFFFF" w:themeColor="background1"/>
                        </w:rPr>
                        <w:t>anky.</w:t>
                      </w:r>
                    </w:p>
                    <w:p w14:paraId="1FAF8B9B" w14:textId="4C474A58" w:rsidR="006F08E1" w:rsidRPr="00616069" w:rsidRDefault="006F08E1" w:rsidP="006F08E1">
                      <w:pPr>
                        <w:overflowPunct/>
                        <w:autoSpaceDE/>
                        <w:autoSpaceDN/>
                        <w:adjustRightInd/>
                        <w:spacing w:line="276" w:lineRule="auto"/>
                        <w:jc w:val="left"/>
                        <w:textAlignment w:val="auto"/>
                        <w:rPr>
                          <w:rFonts w:ascii="Calibri" w:hAnsi="Calibri" w:cs="Calibri"/>
                          <w:color w:val="FFFFFF" w:themeColor="background1"/>
                        </w:rPr>
                      </w:pPr>
                    </w:p>
                    <w:p w14:paraId="65FC0189" w14:textId="63D05C51" w:rsidR="006F08E1" w:rsidRPr="00616069" w:rsidRDefault="001F49EA" w:rsidP="006F08E1">
                      <w:pPr>
                        <w:overflowPunct/>
                        <w:autoSpaceDE/>
                        <w:autoSpaceDN/>
                        <w:adjustRightInd/>
                        <w:spacing w:line="276" w:lineRule="auto"/>
                        <w:jc w:val="left"/>
                        <w:textAlignment w:val="auto"/>
                        <w:rPr>
                          <w:rFonts w:ascii="Calibri" w:hAnsi="Calibri" w:cs="Calibri"/>
                          <w:color w:val="FFFFFF" w:themeColor="background1"/>
                        </w:rPr>
                      </w:pPr>
                      <w:r w:rsidRPr="00616069">
                        <w:rPr>
                          <w:rFonts w:ascii="Calibri" w:hAnsi="Calibri" w:cs="Calibri"/>
                          <w:color w:val="FFFFFF" w:themeColor="background1"/>
                        </w:rPr>
                        <w:t>Data pro ČBA Hypomonitor poskytují následující banky a stavební spořitelny: Air Bank, Česká spořitelna, ČSOB, ČSOB Stavební spořitelna, Fio banka,</w:t>
                      </w:r>
                      <w:r w:rsidR="00752310">
                        <w:rPr>
                          <w:rFonts w:ascii="Calibri" w:hAnsi="Calibri" w:cs="Calibri"/>
                          <w:color w:val="FFFFFF" w:themeColor="background1"/>
                        </w:rPr>
                        <w:t xml:space="preserve"> ČSOB</w:t>
                      </w:r>
                      <w:r w:rsidRPr="00616069">
                        <w:rPr>
                          <w:rFonts w:ascii="Calibri" w:hAnsi="Calibri" w:cs="Calibri"/>
                          <w:color w:val="FFFFFF" w:themeColor="background1"/>
                        </w:rPr>
                        <w:t xml:space="preserve"> Hypoteční banka, Komerční banka, mBank, Modrá pyramida, MONETA Bank, Oberbank, </w:t>
                      </w:r>
                      <w:r w:rsidR="003E1AAB">
                        <w:rPr>
                          <w:rFonts w:ascii="Calibri" w:hAnsi="Calibri" w:cs="Calibri"/>
                          <w:color w:val="FFFFFF" w:themeColor="background1"/>
                        </w:rPr>
                        <w:t xml:space="preserve">Partners Banka, </w:t>
                      </w:r>
                      <w:r w:rsidRPr="00616069">
                        <w:rPr>
                          <w:rFonts w:ascii="Calibri" w:hAnsi="Calibri" w:cs="Calibri"/>
                          <w:color w:val="FFFFFF" w:themeColor="background1"/>
                        </w:rPr>
                        <w:t>Raiffeisen stavební spořitelna, Raiffeisenbank, Stavební spořitelna České spořitelny, UniCredit Bank.</w:t>
                      </w:r>
                    </w:p>
                  </w:txbxContent>
                </v:textbox>
                <w10:wrap type="square" anchorx="margin"/>
              </v:shape>
            </w:pict>
          </mc:Fallback>
        </mc:AlternateContent>
      </w:r>
    </w:p>
    <w:tbl>
      <w:tblPr>
        <w:tblStyle w:val="Mkatabulky"/>
        <w:tblW w:w="102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17"/>
        <w:gridCol w:w="3384"/>
      </w:tblGrid>
      <w:tr w:rsidR="0028530F" w:rsidRPr="00D80B55" w14:paraId="4825E599" w14:textId="77777777" w:rsidTr="001B1140">
        <w:trPr>
          <w:trHeight w:val="1364"/>
        </w:trPr>
        <w:tc>
          <w:tcPr>
            <w:tcW w:w="6817" w:type="dxa"/>
            <w:shd w:val="clear" w:color="auto" w:fill="13576B"/>
          </w:tcPr>
          <w:p w14:paraId="1EB2DC0A" w14:textId="77777777" w:rsidR="0028530F" w:rsidRPr="00D80B55" w:rsidRDefault="0028530F" w:rsidP="001B1140">
            <w:pPr>
              <w:pStyle w:val="CBANadpisvTABULCE"/>
              <w:jc w:val="both"/>
              <w:rPr>
                <w:rFonts w:cs="Arial"/>
                <w:color w:val="FFFFFF" w:themeColor="background1"/>
                <w:szCs w:val="18"/>
              </w:rPr>
            </w:pPr>
            <w:r w:rsidRPr="00D80B55">
              <w:rPr>
                <w:rFonts w:cs="Arial"/>
                <w:color w:val="FFFFFF" w:themeColor="background1"/>
                <w:szCs w:val="18"/>
              </w:rPr>
              <w:t>O České bankovní asociaci</w:t>
            </w:r>
          </w:p>
          <w:p w14:paraId="4EB0391C" w14:textId="423A1391" w:rsidR="0028530F" w:rsidRPr="00D80B55" w:rsidRDefault="0028530F" w:rsidP="001B1140">
            <w:pPr>
              <w:rPr>
                <w:rFonts w:cs="Arial"/>
                <w:color w:val="FFFFFF" w:themeColor="background1"/>
                <w:sz w:val="22"/>
              </w:rPr>
            </w:pPr>
            <w:r w:rsidRPr="00D80B55">
              <w:rPr>
                <w:rFonts w:cs="Arial"/>
                <w:color w:val="FFFFFF" w:themeColor="background1"/>
              </w:rPr>
              <w:t>Česká bankovní asociace (ČBA) je dobrovolné sdružení 3</w:t>
            </w:r>
            <w:r w:rsidR="00BA1D00">
              <w:rPr>
                <w:rFonts w:cs="Arial"/>
                <w:color w:val="FFFFFF" w:themeColor="background1"/>
              </w:rPr>
              <w:t>4</w:t>
            </w:r>
            <w:r w:rsidRPr="00D80B55">
              <w:rPr>
                <w:rFonts w:cs="Arial"/>
                <w:color w:val="FFFFFF" w:themeColor="background1"/>
              </w:rPr>
              <w:t xml:space="preserve"> bank, které v ČR působí a reprezentuje tak 99 % trhu. </w:t>
            </w:r>
            <w:r>
              <w:rPr>
                <w:rFonts w:cs="Arial"/>
                <w:color w:val="FFFFFF" w:themeColor="background1"/>
              </w:rPr>
              <w:t>Více než</w:t>
            </w:r>
            <w:r w:rsidRPr="00D80B55">
              <w:rPr>
                <w:rFonts w:cs="Arial"/>
                <w:color w:val="FFFFFF" w:themeColor="background1"/>
              </w:rPr>
              <w:t xml:space="preserve"> 30 let podporuje nejen rozvoj bankovního sektoru, ale i celé ekonomiky a všeobecné finanční gramotnosti. ČBA je členem Evropské bankovní federace (EBF).</w:t>
            </w:r>
          </w:p>
          <w:p w14:paraId="598BB9F7" w14:textId="77777777" w:rsidR="0028530F" w:rsidRPr="00D80B55" w:rsidRDefault="0028530F" w:rsidP="001B1140">
            <w:pPr>
              <w:pStyle w:val="CBAodstavecvTABULCE"/>
              <w:jc w:val="both"/>
              <w:rPr>
                <w:rFonts w:cs="Arial"/>
                <w:color w:val="FFFFFF" w:themeColor="background1"/>
                <w:szCs w:val="18"/>
              </w:rPr>
            </w:pPr>
            <w:r w:rsidRPr="00D80B55">
              <w:rPr>
                <w:rFonts w:cs="Arial"/>
                <w:color w:val="FFFFFF" w:themeColor="background1"/>
                <w:szCs w:val="18"/>
              </w:rPr>
              <w:t xml:space="preserve">Více informací na </w:t>
            </w:r>
            <w:r w:rsidRPr="00D80B55">
              <w:rPr>
                <w:rFonts w:cs="Arial"/>
                <w:color w:val="FFFFFF" w:themeColor="background1"/>
                <w:szCs w:val="18"/>
                <w:u w:val="single"/>
              </w:rPr>
              <w:t>www.cbaonline.cz.</w:t>
            </w:r>
            <w:r w:rsidRPr="00D80B55">
              <w:rPr>
                <w:rFonts w:cs="Arial"/>
                <w:color w:val="A9936D"/>
                <w:szCs w:val="18"/>
              </w:rPr>
              <w:t xml:space="preserve"> </w:t>
            </w:r>
          </w:p>
        </w:tc>
        <w:tc>
          <w:tcPr>
            <w:tcW w:w="3384" w:type="dxa"/>
            <w:shd w:val="clear" w:color="auto" w:fill="A9936D"/>
            <w:vAlign w:val="center"/>
          </w:tcPr>
          <w:p w14:paraId="606A2DEB" w14:textId="77777777" w:rsidR="0028530F" w:rsidRPr="00D80B55" w:rsidRDefault="0028530F" w:rsidP="001B1140">
            <w:pPr>
              <w:pStyle w:val="CBAodstavecvTABULCE"/>
              <w:rPr>
                <w:rFonts w:cs="Arial"/>
                <w:b/>
                <w:bCs/>
                <w:color w:val="FFFFFF" w:themeColor="background1"/>
                <w:szCs w:val="18"/>
              </w:rPr>
            </w:pPr>
            <w:r w:rsidRPr="00D80B55">
              <w:rPr>
                <w:rFonts w:cs="Arial"/>
                <w:b/>
                <w:bCs/>
                <w:color w:val="FFFFFF" w:themeColor="background1"/>
                <w:szCs w:val="18"/>
              </w:rPr>
              <w:t xml:space="preserve">                Dotazy posílejte na</w:t>
            </w:r>
          </w:p>
          <w:p w14:paraId="64706D81" w14:textId="77777777" w:rsidR="0028530F" w:rsidRPr="00D80B55" w:rsidRDefault="0028530F" w:rsidP="001B1140">
            <w:pPr>
              <w:pStyle w:val="CBAodstavecvTABULCE"/>
              <w:jc w:val="center"/>
              <w:rPr>
                <w:rFonts w:cs="Arial"/>
                <w:color w:val="FFFFFF" w:themeColor="background1"/>
                <w:szCs w:val="18"/>
              </w:rPr>
            </w:pPr>
            <w:r w:rsidRPr="00D80B55">
              <w:rPr>
                <w:rFonts w:cs="Arial"/>
                <w:b/>
                <w:bCs/>
                <w:color w:val="FFFFFF" w:themeColor="background1"/>
                <w:szCs w:val="18"/>
              </w:rPr>
              <w:t>radek.salsa@cbaonline.cz</w:t>
            </w:r>
          </w:p>
        </w:tc>
      </w:tr>
    </w:tbl>
    <w:p w14:paraId="79952D08" w14:textId="7B44AB4C" w:rsidR="00C42F00" w:rsidRPr="00B04FE2" w:rsidRDefault="00C42F00" w:rsidP="00CA3B41">
      <w:pPr>
        <w:rPr>
          <w:rFonts w:ascii="Calibri" w:hAnsi="Calibri" w:cs="Calibri"/>
          <w:sz w:val="22"/>
          <w:szCs w:val="22"/>
        </w:rPr>
      </w:pPr>
    </w:p>
    <w:sectPr w:rsidR="00C42F00" w:rsidRPr="00B04FE2" w:rsidSect="00606031">
      <w:type w:val="continuous"/>
      <w:pgSz w:w="11906" w:h="16838"/>
      <w:pgMar w:top="2552" w:right="849" w:bottom="1560" w:left="851" w:header="709"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117F11" w14:textId="77777777" w:rsidR="00B24DDE" w:rsidRPr="00616069" w:rsidRDefault="00B24DDE" w:rsidP="00F573F1">
      <w:r w:rsidRPr="00616069">
        <w:separator/>
      </w:r>
    </w:p>
  </w:endnote>
  <w:endnote w:type="continuationSeparator" w:id="0">
    <w:p w14:paraId="0BCA8A4F" w14:textId="77777777" w:rsidR="00B24DDE" w:rsidRPr="00616069" w:rsidRDefault="00B24DDE" w:rsidP="00F573F1">
      <w:r w:rsidRPr="0061606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nsolas">
    <w:panose1 w:val="020B0609020204030204"/>
    <w:charset w:val="EE"/>
    <w:family w:val="modern"/>
    <w:pitch w:val="fixed"/>
    <w:sig w:usb0="E00006FF" w:usb1="0000FCFF" w:usb2="00000001" w:usb3="00000000" w:csb0="0000019F" w:csb1="00000000"/>
  </w:font>
  <w:font w:name="Poppins">
    <w:charset w:val="EE"/>
    <w:family w:val="auto"/>
    <w:pitch w:val="variable"/>
    <w:sig w:usb0="00008007" w:usb1="0000000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70690799"/>
      <w:docPartObj>
        <w:docPartGallery w:val="Page Numbers (Bottom of Page)"/>
        <w:docPartUnique/>
      </w:docPartObj>
    </w:sdtPr>
    <w:sdtContent>
      <w:sdt>
        <w:sdtPr>
          <w:id w:val="-1769616900"/>
          <w:docPartObj>
            <w:docPartGallery w:val="Page Numbers (Top of Page)"/>
            <w:docPartUnique/>
          </w:docPartObj>
        </w:sdtPr>
        <w:sdtContent>
          <w:p w14:paraId="5E2EB97C" w14:textId="697C5AC2" w:rsidR="001E31AB" w:rsidRPr="00616069" w:rsidRDefault="001E31AB">
            <w:pPr>
              <w:pStyle w:val="Zpat"/>
              <w:jc w:val="right"/>
            </w:pPr>
            <w:r w:rsidRPr="00616069">
              <w:rPr>
                <w:rFonts w:ascii="Calibri" w:hAnsi="Calibri"/>
                <w:noProof/>
                <w:szCs w:val="18"/>
                <w:lang w:eastAsia="en-GB"/>
              </w:rPr>
              <w:drawing>
                <wp:anchor distT="0" distB="0" distL="114300" distR="114300" simplePos="0" relativeHeight="251655680" behindDoc="0" locked="0" layoutInCell="1" allowOverlap="1" wp14:anchorId="7B2A8544" wp14:editId="09B386F6">
                  <wp:simplePos x="0" y="0"/>
                  <wp:positionH relativeFrom="column">
                    <wp:posOffset>-540385</wp:posOffset>
                  </wp:positionH>
                  <wp:positionV relativeFrom="paragraph">
                    <wp:posOffset>-365760</wp:posOffset>
                  </wp:positionV>
                  <wp:extent cx="3042285" cy="701040"/>
                  <wp:effectExtent l="0" t="0" r="5715" b="0"/>
                  <wp:wrapNone/>
                  <wp:docPr id="452462243" name="Obráze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named.jpg"/>
                          <pic:cNvPicPr/>
                        </pic:nvPicPr>
                        <pic:blipFill rotWithShape="1">
                          <a:blip r:embed="rId1" cstate="print">
                            <a:extLst>
                              <a:ext uri="{28A0092B-C50C-407E-A947-70E740481C1C}">
                                <a14:useLocalDpi xmlns:a14="http://schemas.microsoft.com/office/drawing/2010/main" val="0"/>
                              </a:ext>
                            </a:extLst>
                          </a:blip>
                          <a:srcRect l="-1309" t="94992" r="61095" b="-1544"/>
                          <a:stretch/>
                        </pic:blipFill>
                        <pic:spPr bwMode="auto">
                          <a:xfrm>
                            <a:off x="0" y="0"/>
                            <a:ext cx="3042285" cy="70104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616069">
              <w:rPr>
                <w:rFonts w:ascii="Calibri" w:hAnsi="Calibri"/>
                <w:szCs w:val="18"/>
              </w:rPr>
              <w:t xml:space="preserve">Stránka </w:t>
            </w:r>
            <w:r w:rsidRPr="00616069">
              <w:rPr>
                <w:rFonts w:ascii="Calibri" w:hAnsi="Calibri"/>
                <w:b/>
                <w:bCs/>
                <w:szCs w:val="18"/>
              </w:rPr>
              <w:fldChar w:fldCharType="begin"/>
            </w:r>
            <w:r w:rsidRPr="00616069">
              <w:rPr>
                <w:rFonts w:ascii="Calibri" w:hAnsi="Calibri"/>
                <w:b/>
                <w:bCs/>
                <w:szCs w:val="18"/>
              </w:rPr>
              <w:instrText>PAGE</w:instrText>
            </w:r>
            <w:r w:rsidRPr="00616069">
              <w:rPr>
                <w:rFonts w:ascii="Calibri" w:hAnsi="Calibri"/>
                <w:b/>
                <w:bCs/>
                <w:szCs w:val="18"/>
              </w:rPr>
              <w:fldChar w:fldCharType="separate"/>
            </w:r>
            <w:r w:rsidR="005F4B41" w:rsidRPr="00616069">
              <w:rPr>
                <w:rFonts w:ascii="Calibri" w:hAnsi="Calibri"/>
                <w:b/>
                <w:bCs/>
                <w:szCs w:val="18"/>
              </w:rPr>
              <w:t>1</w:t>
            </w:r>
            <w:r w:rsidRPr="00616069">
              <w:rPr>
                <w:rFonts w:ascii="Calibri" w:hAnsi="Calibri"/>
                <w:b/>
                <w:bCs/>
                <w:szCs w:val="18"/>
              </w:rPr>
              <w:fldChar w:fldCharType="end"/>
            </w:r>
            <w:r w:rsidRPr="00616069">
              <w:rPr>
                <w:rFonts w:ascii="Calibri" w:hAnsi="Calibri"/>
                <w:szCs w:val="18"/>
              </w:rPr>
              <w:t xml:space="preserve"> z </w:t>
            </w:r>
            <w:r w:rsidRPr="00616069">
              <w:rPr>
                <w:rFonts w:ascii="Calibri" w:hAnsi="Calibri"/>
                <w:b/>
                <w:bCs/>
                <w:szCs w:val="18"/>
              </w:rPr>
              <w:fldChar w:fldCharType="begin"/>
            </w:r>
            <w:r w:rsidRPr="00616069">
              <w:rPr>
                <w:rFonts w:ascii="Calibri" w:hAnsi="Calibri"/>
                <w:b/>
                <w:bCs/>
                <w:szCs w:val="18"/>
              </w:rPr>
              <w:instrText>NUMPAGES</w:instrText>
            </w:r>
            <w:r w:rsidRPr="00616069">
              <w:rPr>
                <w:rFonts w:ascii="Calibri" w:hAnsi="Calibri"/>
                <w:b/>
                <w:bCs/>
                <w:szCs w:val="18"/>
              </w:rPr>
              <w:fldChar w:fldCharType="separate"/>
            </w:r>
            <w:r w:rsidR="005F4B41" w:rsidRPr="00616069">
              <w:rPr>
                <w:rFonts w:ascii="Calibri" w:hAnsi="Calibri"/>
                <w:b/>
                <w:bCs/>
                <w:szCs w:val="18"/>
              </w:rPr>
              <w:t>2</w:t>
            </w:r>
            <w:r w:rsidRPr="00616069">
              <w:rPr>
                <w:rFonts w:ascii="Calibri" w:hAnsi="Calibri"/>
                <w:b/>
                <w:bCs/>
                <w:szCs w:val="18"/>
              </w:rPr>
              <w:fldChar w:fldCharType="end"/>
            </w:r>
          </w:p>
        </w:sdtContent>
      </w:sdt>
    </w:sdtContent>
  </w:sdt>
  <w:p w14:paraId="300EB588" w14:textId="24FF51AB" w:rsidR="0065124E" w:rsidRPr="00616069" w:rsidRDefault="0065124E" w:rsidP="00FB4A1C">
    <w:pPr>
      <w:pStyle w:val="Zpat"/>
      <w:tabs>
        <w:tab w:val="clear" w:pos="4536"/>
        <w:tab w:val="clear" w:pos="9072"/>
        <w:tab w:val="left" w:pos="6080"/>
      </w:tabs>
      <w:rPr>
        <w:color w:val="A6A6A6" w:themeColor="background1" w:themeShade="A6"/>
        <w:sz w:val="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E88C87" w14:textId="77777777" w:rsidR="00B24DDE" w:rsidRPr="00616069" w:rsidRDefault="00B24DDE" w:rsidP="00F573F1">
      <w:r w:rsidRPr="00616069">
        <w:separator/>
      </w:r>
    </w:p>
  </w:footnote>
  <w:footnote w:type="continuationSeparator" w:id="0">
    <w:p w14:paraId="2CD42988" w14:textId="77777777" w:rsidR="00B24DDE" w:rsidRPr="00616069" w:rsidRDefault="00B24DDE" w:rsidP="00F573F1">
      <w:r w:rsidRPr="00616069">
        <w:continuationSeparator/>
      </w:r>
    </w:p>
  </w:footnote>
  <w:footnote w:id="1">
    <w:p w14:paraId="3CB3CFE9" w14:textId="77777777" w:rsidR="00F86368" w:rsidRPr="00616069" w:rsidRDefault="00F86368" w:rsidP="00F86368">
      <w:pPr>
        <w:pStyle w:val="Textpoznpodarou"/>
        <w:rPr>
          <w:rFonts w:ascii="Calibri" w:hAnsi="Calibri" w:cs="Calibri"/>
          <w:sz w:val="17"/>
          <w:szCs w:val="17"/>
        </w:rPr>
      </w:pPr>
      <w:r w:rsidRPr="00616069">
        <w:rPr>
          <w:rStyle w:val="Znakapoznpodarou"/>
          <w:rFonts w:ascii="Calibri" w:hAnsi="Calibri" w:cs="Calibri"/>
          <w:sz w:val="17"/>
          <w:szCs w:val="17"/>
        </w:rPr>
        <w:footnoteRef/>
      </w:r>
      <w:r w:rsidRPr="00616069">
        <w:rPr>
          <w:rFonts w:ascii="Calibri" w:hAnsi="Calibri" w:cs="Calibri"/>
          <w:sz w:val="17"/>
          <w:szCs w:val="17"/>
        </w:rPr>
        <w:t xml:space="preserve"> </w:t>
      </w:r>
      <w:r w:rsidRPr="00616069">
        <w:rPr>
          <w:rFonts w:asciiTheme="majorHAnsi" w:hAnsiTheme="majorHAnsi" w:cstheme="majorHAnsi"/>
          <w:sz w:val="17"/>
          <w:szCs w:val="17"/>
        </w:rPr>
        <w:t xml:space="preserve">Jedná se především o dlouholeté úrokové swapy (interest rate swap, IRS), které odráží cenu peněz v delších splatnostech, </w:t>
      </w:r>
      <w:r>
        <w:rPr>
          <w:rFonts w:asciiTheme="majorHAnsi" w:hAnsiTheme="majorHAnsi" w:cstheme="majorHAnsi"/>
          <w:sz w:val="17"/>
          <w:szCs w:val="17"/>
        </w:rPr>
        <w:t>a to v posledních letech okolo 3 až 5 let, ale relevantní zůstává celá křivka 2</w:t>
      </w:r>
      <w:r w:rsidRPr="00616069">
        <w:rPr>
          <w:rFonts w:asciiTheme="majorHAnsi" w:hAnsiTheme="majorHAnsi" w:cstheme="majorHAnsi"/>
          <w:sz w:val="17"/>
          <w:szCs w:val="17"/>
        </w:rPr>
        <w:t xml:space="preserve"> až 10 let</w:t>
      </w:r>
      <w:r>
        <w:rPr>
          <w:rFonts w:asciiTheme="majorHAnsi" w:hAnsiTheme="majorHAnsi" w:cstheme="majorHAnsi"/>
          <w:sz w:val="17"/>
          <w:szCs w:val="17"/>
        </w:rPr>
        <w:t>, i když 10 leté splatnosti jsou méně relevantní kvůli vyšším sazbám centrálních bank v porovnání s předchozí dekádou, ale i kvůli ú</w:t>
      </w:r>
      <w:r w:rsidRPr="00EA163C">
        <w:rPr>
          <w:rFonts w:asciiTheme="majorHAnsi" w:hAnsiTheme="majorHAnsi" w:cstheme="majorHAnsi"/>
          <w:sz w:val="17"/>
          <w:szCs w:val="17"/>
        </w:rPr>
        <w:t>čelně vynaložený</w:t>
      </w:r>
      <w:r>
        <w:rPr>
          <w:rFonts w:asciiTheme="majorHAnsi" w:hAnsiTheme="majorHAnsi" w:cstheme="majorHAnsi"/>
          <w:sz w:val="17"/>
          <w:szCs w:val="17"/>
        </w:rPr>
        <w:t>m</w:t>
      </w:r>
      <w:r w:rsidRPr="00EA163C">
        <w:rPr>
          <w:rFonts w:asciiTheme="majorHAnsi" w:hAnsiTheme="majorHAnsi" w:cstheme="majorHAnsi"/>
          <w:sz w:val="17"/>
          <w:szCs w:val="17"/>
        </w:rPr>
        <w:t xml:space="preserve"> nákladů</w:t>
      </w:r>
      <w:r>
        <w:rPr>
          <w:rFonts w:asciiTheme="majorHAnsi" w:hAnsiTheme="majorHAnsi" w:cstheme="majorHAnsi"/>
          <w:sz w:val="17"/>
          <w:szCs w:val="17"/>
        </w:rPr>
        <w:t xml:space="preserve">m </w:t>
      </w:r>
      <w:r w:rsidRPr="00EA163C">
        <w:rPr>
          <w:rFonts w:asciiTheme="majorHAnsi" w:hAnsiTheme="majorHAnsi" w:cstheme="majorHAnsi"/>
          <w:sz w:val="17"/>
          <w:szCs w:val="17"/>
        </w:rPr>
        <w:t>při předčasném splacení hypoték</w:t>
      </w:r>
      <w:r>
        <w:rPr>
          <w:rFonts w:asciiTheme="majorHAnsi" w:hAnsiTheme="majorHAnsi" w:cstheme="majorHAnsi"/>
          <w:sz w:val="17"/>
          <w:szCs w:val="17"/>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CA4485" w14:textId="25969B31" w:rsidR="0065124E" w:rsidRPr="00616069" w:rsidRDefault="00A86552">
    <w:pPr>
      <w:pStyle w:val="Zhlav"/>
    </w:pPr>
    <w:r w:rsidRPr="00616069">
      <w:rPr>
        <w:rFonts w:cs="Arial"/>
        <w:noProof/>
        <w:lang w:eastAsia="en-GB"/>
      </w:rPr>
      <mc:AlternateContent>
        <mc:Choice Requires="wps">
          <w:drawing>
            <wp:anchor distT="45720" distB="45720" distL="114300" distR="114300" simplePos="0" relativeHeight="251668480" behindDoc="0" locked="0" layoutInCell="1" allowOverlap="1" wp14:anchorId="1DCC7344" wp14:editId="2F0B41DB">
              <wp:simplePos x="0" y="0"/>
              <wp:positionH relativeFrom="margin">
                <wp:posOffset>2228694</wp:posOffset>
              </wp:positionH>
              <wp:positionV relativeFrom="paragraph">
                <wp:posOffset>214019</wp:posOffset>
              </wp:positionV>
              <wp:extent cx="2941608" cy="1404620"/>
              <wp:effectExtent l="0" t="0" r="0" b="0"/>
              <wp:wrapNone/>
              <wp:docPr id="1"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41608" cy="1404620"/>
                      </a:xfrm>
                      <a:prstGeom prst="rect">
                        <a:avLst/>
                      </a:prstGeom>
                      <a:noFill/>
                      <a:ln w="9525">
                        <a:noFill/>
                        <a:miter lim="800000"/>
                        <a:headEnd/>
                        <a:tailEnd/>
                      </a:ln>
                    </wps:spPr>
                    <wps:txbx>
                      <w:txbxContent>
                        <w:p w14:paraId="24986907" w14:textId="1DE8A063" w:rsidR="00A86552" w:rsidRPr="00616069" w:rsidRDefault="00A86552" w:rsidP="00095055">
                          <w:pPr>
                            <w:spacing w:line="276" w:lineRule="auto"/>
                            <w:jc w:val="right"/>
                            <w:rPr>
                              <w:rFonts w:ascii="Calibri" w:hAnsi="Calibri" w:cs="Calibri"/>
                              <w:b/>
                              <w:color w:val="FF0000"/>
                              <w:sz w:val="40"/>
                              <w:szCs w:val="40"/>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DCC7344" id="_x0000_t202" coordsize="21600,21600" o:spt="202" path="m,l,21600r21600,l21600,xe">
              <v:stroke joinstyle="miter"/>
              <v:path gradientshapeok="t" o:connecttype="rect"/>
            </v:shapetype>
            <v:shape id="_x0000_s1028" type="#_x0000_t202" style="position:absolute;left:0;text-align:left;margin-left:175.5pt;margin-top:16.85pt;width:231.6pt;height:110.6pt;z-index:25166848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" filled="f" stroked="f">
              <v:textbox style="mso-fit-shape-to-text:t">
                <w:txbxContent>
                  <w:p w14:paraId="24986907" w14:textId="1DE8A063" w:rsidR="00A86552" w:rsidRPr="00616069" w:rsidRDefault="00A86552" w:rsidP="00095055">
                    <w:pPr>
                      <w:spacing w:line="276" w:lineRule="auto"/>
                      <w:jc w:val="right"/>
                      <w:rPr>
                        <w:rFonts w:ascii="Calibri" w:hAnsi="Calibri" w:cs="Calibri"/>
                        <w:b/>
                        <w:color w:val="FF0000"/>
                        <w:sz w:val="40"/>
                        <w:szCs w:val="40"/>
                      </w:rPr>
                    </w:pPr>
                  </w:p>
                </w:txbxContent>
              </v:textbox>
              <w10:wrap anchorx="margin"/>
            </v:shape>
          </w:pict>
        </mc:Fallback>
      </mc:AlternateContent>
    </w:r>
    <w:r w:rsidR="00744C66" w:rsidRPr="00616069">
      <w:rPr>
        <w:noProof/>
        <w:lang w:eastAsia="en-GB"/>
      </w:rPr>
      <w:drawing>
        <wp:anchor distT="0" distB="0" distL="114300" distR="114300" simplePos="0" relativeHeight="251660288" behindDoc="0" locked="0" layoutInCell="1" allowOverlap="1" wp14:anchorId="197D896D" wp14:editId="7A6FB449">
          <wp:simplePos x="0" y="0"/>
          <wp:positionH relativeFrom="column">
            <wp:posOffset>-52705</wp:posOffset>
          </wp:positionH>
          <wp:positionV relativeFrom="paragraph">
            <wp:posOffset>29845</wp:posOffset>
          </wp:positionV>
          <wp:extent cx="2209800" cy="778510"/>
          <wp:effectExtent l="0" t="0" r="0" b="2540"/>
          <wp:wrapNone/>
          <wp:docPr id="957982425"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09800" cy="778510"/>
                  </a:xfrm>
                  <a:prstGeom prst="rect">
                    <a:avLst/>
                  </a:prstGeom>
                  <a:noFill/>
                  <a:ln>
                    <a:noFill/>
                  </a:ln>
                </pic:spPr>
              </pic:pic>
            </a:graphicData>
          </a:graphic>
        </wp:anchor>
      </w:drawing>
    </w:r>
    <w:r w:rsidR="002D4720" w:rsidRPr="00616069">
      <w:rPr>
        <w:noProof/>
        <w:lang w:eastAsia="en-GB"/>
      </w:rPr>
      <w:drawing>
        <wp:anchor distT="0" distB="0" distL="114300" distR="114300" simplePos="0" relativeHeight="251664384" behindDoc="1" locked="0" layoutInCell="1" allowOverlap="1" wp14:anchorId="2A1D7AA9" wp14:editId="7A7B0A01">
          <wp:simplePos x="0" y="0"/>
          <wp:positionH relativeFrom="column">
            <wp:posOffset>3985895</wp:posOffset>
          </wp:positionH>
          <wp:positionV relativeFrom="paragraph">
            <wp:posOffset>-8255</wp:posOffset>
          </wp:positionV>
          <wp:extent cx="2943225" cy="243840"/>
          <wp:effectExtent l="0" t="0" r="9525" b="3810"/>
          <wp:wrapNone/>
          <wp:docPr id="79357122" name="Obráze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named.jpg"/>
                  <pic:cNvPicPr/>
                </pic:nvPicPr>
                <pic:blipFill rotWithShape="1">
                  <a:blip r:embed="rId2" cstate="print">
                    <a:extLst>
                      <a:ext uri="{28A0092B-C50C-407E-A947-70E740481C1C}">
                        <a14:useLocalDpi xmlns:a14="http://schemas.microsoft.com/office/drawing/2010/main" val="0"/>
                      </a:ext>
                    </a:extLst>
                  </a:blip>
                  <a:srcRect t="94992" r="61096" b="2729"/>
                  <a:stretch/>
                </pic:blipFill>
                <pic:spPr bwMode="auto">
                  <a:xfrm>
                    <a:off x="0" y="0"/>
                    <a:ext cx="2943225" cy="24384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2D4720" w:rsidRPr="00616069">
      <w:rPr>
        <w:rFonts w:cs="Arial"/>
        <w:noProof/>
        <w:lang w:eastAsia="en-GB"/>
      </w:rPr>
      <mc:AlternateContent>
        <mc:Choice Requires="wps">
          <w:drawing>
            <wp:anchor distT="45720" distB="45720" distL="114300" distR="114300" simplePos="0" relativeHeight="251662336" behindDoc="0" locked="0" layoutInCell="1" allowOverlap="1" wp14:anchorId="126DE097" wp14:editId="755E40ED">
              <wp:simplePos x="0" y="0"/>
              <wp:positionH relativeFrom="margin">
                <wp:posOffset>5238115</wp:posOffset>
              </wp:positionH>
              <wp:positionV relativeFrom="paragraph">
                <wp:posOffset>153035</wp:posOffset>
              </wp:positionV>
              <wp:extent cx="1239520" cy="1404620"/>
              <wp:effectExtent l="0" t="0" r="0" b="0"/>
              <wp:wrapNone/>
              <wp:docPr id="6"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9520" cy="1404620"/>
                      </a:xfrm>
                      <a:prstGeom prst="rect">
                        <a:avLst/>
                      </a:prstGeom>
                      <a:noFill/>
                      <a:ln w="9525">
                        <a:noFill/>
                        <a:miter lim="800000"/>
                        <a:headEnd/>
                        <a:tailEnd/>
                      </a:ln>
                    </wps:spPr>
                    <wps:txbx>
                      <w:txbxContent>
                        <w:p w14:paraId="15DE40D2" w14:textId="6B669858" w:rsidR="002D4720" w:rsidRPr="00616069" w:rsidRDefault="002D4720" w:rsidP="000B7D19">
                          <w:pPr>
                            <w:spacing w:line="276" w:lineRule="auto"/>
                            <w:jc w:val="center"/>
                            <w:rPr>
                              <w:rFonts w:ascii="Calibri" w:hAnsi="Calibri" w:cs="Calibri"/>
                              <w:b/>
                              <w:color w:val="13576B"/>
                              <w:sz w:val="20"/>
                              <w:szCs w:val="22"/>
                            </w:rPr>
                          </w:pPr>
                        </w:p>
                        <w:p w14:paraId="0A69756F" w14:textId="701DF7A3" w:rsidR="002D4720" w:rsidRPr="00616069" w:rsidRDefault="007F41A0" w:rsidP="002138C0">
                          <w:pPr>
                            <w:spacing w:line="276" w:lineRule="auto"/>
                            <w:jc w:val="right"/>
                            <w:rPr>
                              <w:rFonts w:ascii="Calibri" w:hAnsi="Calibri" w:cs="Calibri"/>
                              <w:b/>
                              <w:color w:val="13576B"/>
                              <w:sz w:val="20"/>
                              <w:szCs w:val="22"/>
                            </w:rPr>
                          </w:pPr>
                          <w:r w:rsidRPr="00616069">
                            <w:rPr>
                              <w:rFonts w:ascii="Calibri" w:hAnsi="Calibri" w:cs="Calibri"/>
                              <w:color w:val="13576B"/>
                              <w:sz w:val="20"/>
                              <w:szCs w:val="22"/>
                            </w:rPr>
                            <w:t xml:space="preserve">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26DE097" id="_x0000_s1029" type="#_x0000_t202" style="position:absolute;left:0;text-align:left;margin-left:412.45pt;margin-top:12.05pt;width:97.6pt;height:110.6pt;z-index:251662336;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" filled="f" stroked="f">
              <v:textbox style="mso-fit-shape-to-text:t">
                <w:txbxContent>
                  <w:p w14:paraId="15DE40D2" w14:textId="6B669858" w:rsidR="002D4720" w:rsidRPr="00616069" w:rsidRDefault="002D4720" w:rsidP="000B7D19">
                    <w:pPr>
                      <w:spacing w:line="276" w:lineRule="auto"/>
                      <w:jc w:val="center"/>
                      <w:rPr>
                        <w:rFonts w:ascii="Calibri" w:hAnsi="Calibri" w:cs="Calibri"/>
                        <w:b/>
                        <w:color w:val="13576B"/>
                        <w:sz w:val="20"/>
                        <w:szCs w:val="22"/>
                      </w:rPr>
                    </w:pPr>
                  </w:p>
                  <w:p w14:paraId="0A69756F" w14:textId="701DF7A3" w:rsidR="002D4720" w:rsidRPr="00616069" w:rsidRDefault="007F41A0" w:rsidP="002138C0">
                    <w:pPr>
                      <w:spacing w:line="276" w:lineRule="auto"/>
                      <w:jc w:val="right"/>
                      <w:rPr>
                        <w:rFonts w:ascii="Calibri" w:hAnsi="Calibri" w:cs="Calibri"/>
                        <w:b/>
                        <w:color w:val="13576B"/>
                        <w:sz w:val="20"/>
                        <w:szCs w:val="22"/>
                      </w:rPr>
                    </w:pPr>
                    <w:r w:rsidRPr="00616069">
                      <w:rPr>
                        <w:rFonts w:ascii="Calibri" w:hAnsi="Calibri" w:cs="Calibri"/>
                        <w:color w:val="13576B"/>
                        <w:sz w:val="20"/>
                        <w:szCs w:val="22"/>
                      </w:rPr>
                      <w:t xml:space="preserve">        </w:t>
                    </w:r>
                  </w:p>
                </w:txbxContent>
              </v:textbox>
              <w10:wrap anchorx="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669A1"/>
    <w:multiLevelType w:val="hybridMultilevel"/>
    <w:tmpl w:val="28EA1BD4"/>
    <w:lvl w:ilvl="0" w:tplc="F8600AFA">
      <w:start w:val="1"/>
      <w:numFmt w:val="bullet"/>
      <w:lvlText w:val="•"/>
      <w:lvlJc w:val="left"/>
      <w:pPr>
        <w:tabs>
          <w:tab w:val="num" w:pos="720"/>
        </w:tabs>
        <w:ind w:left="720" w:hanging="360"/>
      </w:pPr>
      <w:rPr>
        <w:rFonts w:ascii="Arial" w:hAnsi="Arial" w:hint="default"/>
      </w:rPr>
    </w:lvl>
    <w:lvl w:ilvl="1" w:tplc="9954B5E4" w:tentative="1">
      <w:start w:val="1"/>
      <w:numFmt w:val="bullet"/>
      <w:lvlText w:val="•"/>
      <w:lvlJc w:val="left"/>
      <w:pPr>
        <w:tabs>
          <w:tab w:val="num" w:pos="1440"/>
        </w:tabs>
        <w:ind w:left="1440" w:hanging="360"/>
      </w:pPr>
      <w:rPr>
        <w:rFonts w:ascii="Arial" w:hAnsi="Arial" w:hint="default"/>
      </w:rPr>
    </w:lvl>
    <w:lvl w:ilvl="2" w:tplc="62304CC8" w:tentative="1">
      <w:start w:val="1"/>
      <w:numFmt w:val="bullet"/>
      <w:lvlText w:val="•"/>
      <w:lvlJc w:val="left"/>
      <w:pPr>
        <w:tabs>
          <w:tab w:val="num" w:pos="2160"/>
        </w:tabs>
        <w:ind w:left="2160" w:hanging="360"/>
      </w:pPr>
      <w:rPr>
        <w:rFonts w:ascii="Arial" w:hAnsi="Arial" w:hint="default"/>
      </w:rPr>
    </w:lvl>
    <w:lvl w:ilvl="3" w:tplc="0CA22174" w:tentative="1">
      <w:start w:val="1"/>
      <w:numFmt w:val="bullet"/>
      <w:lvlText w:val="•"/>
      <w:lvlJc w:val="left"/>
      <w:pPr>
        <w:tabs>
          <w:tab w:val="num" w:pos="2880"/>
        </w:tabs>
        <w:ind w:left="2880" w:hanging="360"/>
      </w:pPr>
      <w:rPr>
        <w:rFonts w:ascii="Arial" w:hAnsi="Arial" w:hint="default"/>
      </w:rPr>
    </w:lvl>
    <w:lvl w:ilvl="4" w:tplc="B31CD540" w:tentative="1">
      <w:start w:val="1"/>
      <w:numFmt w:val="bullet"/>
      <w:lvlText w:val="•"/>
      <w:lvlJc w:val="left"/>
      <w:pPr>
        <w:tabs>
          <w:tab w:val="num" w:pos="3600"/>
        </w:tabs>
        <w:ind w:left="3600" w:hanging="360"/>
      </w:pPr>
      <w:rPr>
        <w:rFonts w:ascii="Arial" w:hAnsi="Arial" w:hint="default"/>
      </w:rPr>
    </w:lvl>
    <w:lvl w:ilvl="5" w:tplc="A83A2ECA" w:tentative="1">
      <w:start w:val="1"/>
      <w:numFmt w:val="bullet"/>
      <w:lvlText w:val="•"/>
      <w:lvlJc w:val="left"/>
      <w:pPr>
        <w:tabs>
          <w:tab w:val="num" w:pos="4320"/>
        </w:tabs>
        <w:ind w:left="4320" w:hanging="360"/>
      </w:pPr>
      <w:rPr>
        <w:rFonts w:ascii="Arial" w:hAnsi="Arial" w:hint="default"/>
      </w:rPr>
    </w:lvl>
    <w:lvl w:ilvl="6" w:tplc="8A1254AE" w:tentative="1">
      <w:start w:val="1"/>
      <w:numFmt w:val="bullet"/>
      <w:lvlText w:val="•"/>
      <w:lvlJc w:val="left"/>
      <w:pPr>
        <w:tabs>
          <w:tab w:val="num" w:pos="5040"/>
        </w:tabs>
        <w:ind w:left="5040" w:hanging="360"/>
      </w:pPr>
      <w:rPr>
        <w:rFonts w:ascii="Arial" w:hAnsi="Arial" w:hint="default"/>
      </w:rPr>
    </w:lvl>
    <w:lvl w:ilvl="7" w:tplc="247E4084" w:tentative="1">
      <w:start w:val="1"/>
      <w:numFmt w:val="bullet"/>
      <w:lvlText w:val="•"/>
      <w:lvlJc w:val="left"/>
      <w:pPr>
        <w:tabs>
          <w:tab w:val="num" w:pos="5760"/>
        </w:tabs>
        <w:ind w:left="5760" w:hanging="360"/>
      </w:pPr>
      <w:rPr>
        <w:rFonts w:ascii="Arial" w:hAnsi="Arial" w:hint="default"/>
      </w:rPr>
    </w:lvl>
    <w:lvl w:ilvl="8" w:tplc="78E09F88"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013A48A1"/>
    <w:multiLevelType w:val="hybridMultilevel"/>
    <w:tmpl w:val="6E121294"/>
    <w:lvl w:ilvl="0" w:tplc="BEC07094">
      <w:start w:val="1"/>
      <w:numFmt w:val="low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45843AD"/>
    <w:multiLevelType w:val="hybridMultilevel"/>
    <w:tmpl w:val="EB828C7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0A615A72"/>
    <w:multiLevelType w:val="hybridMultilevel"/>
    <w:tmpl w:val="4222A8D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F7B1D76"/>
    <w:multiLevelType w:val="hybridMultilevel"/>
    <w:tmpl w:val="6D52776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1C72C3C"/>
    <w:multiLevelType w:val="hybridMultilevel"/>
    <w:tmpl w:val="163C6E86"/>
    <w:lvl w:ilvl="0" w:tplc="04050001">
      <w:start w:val="1"/>
      <w:numFmt w:val="bullet"/>
      <w:lvlText w:val=""/>
      <w:lvlJc w:val="left"/>
      <w:pPr>
        <w:ind w:left="2138" w:hanging="360"/>
      </w:pPr>
      <w:rPr>
        <w:rFonts w:ascii="Symbol" w:hAnsi="Symbol" w:hint="default"/>
      </w:rPr>
    </w:lvl>
    <w:lvl w:ilvl="1" w:tplc="08090003" w:tentative="1">
      <w:start w:val="1"/>
      <w:numFmt w:val="bullet"/>
      <w:lvlText w:val="o"/>
      <w:lvlJc w:val="left"/>
      <w:pPr>
        <w:ind w:left="2858" w:hanging="360"/>
      </w:pPr>
      <w:rPr>
        <w:rFonts w:ascii="Courier New" w:hAnsi="Courier New" w:cs="Courier New" w:hint="default"/>
      </w:rPr>
    </w:lvl>
    <w:lvl w:ilvl="2" w:tplc="08090005" w:tentative="1">
      <w:start w:val="1"/>
      <w:numFmt w:val="bullet"/>
      <w:lvlText w:val=""/>
      <w:lvlJc w:val="left"/>
      <w:pPr>
        <w:ind w:left="3578" w:hanging="360"/>
      </w:pPr>
      <w:rPr>
        <w:rFonts w:ascii="Wingdings" w:hAnsi="Wingdings" w:hint="default"/>
      </w:rPr>
    </w:lvl>
    <w:lvl w:ilvl="3" w:tplc="08090001" w:tentative="1">
      <w:start w:val="1"/>
      <w:numFmt w:val="bullet"/>
      <w:lvlText w:val=""/>
      <w:lvlJc w:val="left"/>
      <w:pPr>
        <w:ind w:left="4298" w:hanging="360"/>
      </w:pPr>
      <w:rPr>
        <w:rFonts w:ascii="Symbol" w:hAnsi="Symbol" w:hint="default"/>
      </w:rPr>
    </w:lvl>
    <w:lvl w:ilvl="4" w:tplc="08090003" w:tentative="1">
      <w:start w:val="1"/>
      <w:numFmt w:val="bullet"/>
      <w:lvlText w:val="o"/>
      <w:lvlJc w:val="left"/>
      <w:pPr>
        <w:ind w:left="5018" w:hanging="360"/>
      </w:pPr>
      <w:rPr>
        <w:rFonts w:ascii="Courier New" w:hAnsi="Courier New" w:cs="Courier New" w:hint="default"/>
      </w:rPr>
    </w:lvl>
    <w:lvl w:ilvl="5" w:tplc="08090005" w:tentative="1">
      <w:start w:val="1"/>
      <w:numFmt w:val="bullet"/>
      <w:lvlText w:val=""/>
      <w:lvlJc w:val="left"/>
      <w:pPr>
        <w:ind w:left="5738" w:hanging="360"/>
      </w:pPr>
      <w:rPr>
        <w:rFonts w:ascii="Wingdings" w:hAnsi="Wingdings" w:hint="default"/>
      </w:rPr>
    </w:lvl>
    <w:lvl w:ilvl="6" w:tplc="08090001" w:tentative="1">
      <w:start w:val="1"/>
      <w:numFmt w:val="bullet"/>
      <w:lvlText w:val=""/>
      <w:lvlJc w:val="left"/>
      <w:pPr>
        <w:ind w:left="6458" w:hanging="360"/>
      </w:pPr>
      <w:rPr>
        <w:rFonts w:ascii="Symbol" w:hAnsi="Symbol" w:hint="default"/>
      </w:rPr>
    </w:lvl>
    <w:lvl w:ilvl="7" w:tplc="08090003" w:tentative="1">
      <w:start w:val="1"/>
      <w:numFmt w:val="bullet"/>
      <w:lvlText w:val="o"/>
      <w:lvlJc w:val="left"/>
      <w:pPr>
        <w:ind w:left="7178" w:hanging="360"/>
      </w:pPr>
      <w:rPr>
        <w:rFonts w:ascii="Courier New" w:hAnsi="Courier New" w:cs="Courier New" w:hint="default"/>
      </w:rPr>
    </w:lvl>
    <w:lvl w:ilvl="8" w:tplc="08090005" w:tentative="1">
      <w:start w:val="1"/>
      <w:numFmt w:val="bullet"/>
      <w:lvlText w:val=""/>
      <w:lvlJc w:val="left"/>
      <w:pPr>
        <w:ind w:left="7898" w:hanging="360"/>
      </w:pPr>
      <w:rPr>
        <w:rFonts w:ascii="Wingdings" w:hAnsi="Wingdings" w:hint="default"/>
      </w:rPr>
    </w:lvl>
  </w:abstractNum>
  <w:abstractNum w:abstractNumId="6" w15:restartNumberingAfterBreak="0">
    <w:nsid w:val="1206309C"/>
    <w:multiLevelType w:val="hybridMultilevel"/>
    <w:tmpl w:val="855E01C6"/>
    <w:lvl w:ilvl="0" w:tplc="9F3AF1EC">
      <w:numFmt w:val="bullet"/>
      <w:lvlText w:val="-"/>
      <w:lvlJc w:val="left"/>
      <w:pPr>
        <w:ind w:left="720" w:hanging="360"/>
      </w:pPr>
      <w:rPr>
        <w:rFonts w:ascii="Calibri Light" w:eastAsia="Times New Roman" w:hAnsi="Calibri Light" w:cs="Calibri Light"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14B92919"/>
    <w:multiLevelType w:val="hybridMultilevel"/>
    <w:tmpl w:val="2B56FAFE"/>
    <w:lvl w:ilvl="0" w:tplc="69881738">
      <w:numFmt w:val="bullet"/>
      <w:lvlText w:val=""/>
      <w:lvlJc w:val="left"/>
      <w:pPr>
        <w:ind w:left="720" w:hanging="360"/>
      </w:pPr>
      <w:rPr>
        <w:rFonts w:ascii="Symbol" w:eastAsia="Times New Roman" w:hAnsi="Symbo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190A4083"/>
    <w:multiLevelType w:val="hybridMultilevel"/>
    <w:tmpl w:val="3C58468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1BE42FC1"/>
    <w:multiLevelType w:val="hybridMultilevel"/>
    <w:tmpl w:val="C296AEE6"/>
    <w:lvl w:ilvl="0" w:tplc="B2560636">
      <w:start w:val="1"/>
      <w:numFmt w:val="decimal"/>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0" w15:restartNumberingAfterBreak="0">
    <w:nsid w:val="20FA4577"/>
    <w:multiLevelType w:val="hybridMultilevel"/>
    <w:tmpl w:val="553EAC9E"/>
    <w:lvl w:ilvl="0" w:tplc="8B20C2B0">
      <w:start w:val="3"/>
      <w:numFmt w:val="bullet"/>
      <w:lvlText w:val="-"/>
      <w:lvlJc w:val="left"/>
      <w:pPr>
        <w:ind w:left="1080" w:hanging="360"/>
      </w:pPr>
      <w:rPr>
        <w:rFonts w:ascii="Calibri" w:eastAsia="Calibri" w:hAnsi="Calibri" w:cs="Calibri"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11" w15:restartNumberingAfterBreak="0">
    <w:nsid w:val="23343A30"/>
    <w:multiLevelType w:val="hybridMultilevel"/>
    <w:tmpl w:val="26BEA028"/>
    <w:lvl w:ilvl="0" w:tplc="886E46EA">
      <w:start w:val="1"/>
      <w:numFmt w:val="bullet"/>
      <w:lvlText w:val="•"/>
      <w:lvlJc w:val="left"/>
      <w:pPr>
        <w:tabs>
          <w:tab w:val="num" w:pos="720"/>
        </w:tabs>
        <w:ind w:left="720" w:hanging="360"/>
      </w:pPr>
      <w:rPr>
        <w:rFonts w:ascii="Arial" w:hAnsi="Arial" w:hint="default"/>
      </w:rPr>
    </w:lvl>
    <w:lvl w:ilvl="1" w:tplc="D24078A2" w:tentative="1">
      <w:start w:val="1"/>
      <w:numFmt w:val="bullet"/>
      <w:lvlText w:val="•"/>
      <w:lvlJc w:val="left"/>
      <w:pPr>
        <w:tabs>
          <w:tab w:val="num" w:pos="1440"/>
        </w:tabs>
        <w:ind w:left="1440" w:hanging="360"/>
      </w:pPr>
      <w:rPr>
        <w:rFonts w:ascii="Arial" w:hAnsi="Arial" w:hint="default"/>
      </w:rPr>
    </w:lvl>
    <w:lvl w:ilvl="2" w:tplc="7B82BD50" w:tentative="1">
      <w:start w:val="1"/>
      <w:numFmt w:val="bullet"/>
      <w:lvlText w:val="•"/>
      <w:lvlJc w:val="left"/>
      <w:pPr>
        <w:tabs>
          <w:tab w:val="num" w:pos="2160"/>
        </w:tabs>
        <w:ind w:left="2160" w:hanging="360"/>
      </w:pPr>
      <w:rPr>
        <w:rFonts w:ascii="Arial" w:hAnsi="Arial" w:hint="default"/>
      </w:rPr>
    </w:lvl>
    <w:lvl w:ilvl="3" w:tplc="294E0B36" w:tentative="1">
      <w:start w:val="1"/>
      <w:numFmt w:val="bullet"/>
      <w:lvlText w:val="•"/>
      <w:lvlJc w:val="left"/>
      <w:pPr>
        <w:tabs>
          <w:tab w:val="num" w:pos="2880"/>
        </w:tabs>
        <w:ind w:left="2880" w:hanging="360"/>
      </w:pPr>
      <w:rPr>
        <w:rFonts w:ascii="Arial" w:hAnsi="Arial" w:hint="default"/>
      </w:rPr>
    </w:lvl>
    <w:lvl w:ilvl="4" w:tplc="5282AFB4" w:tentative="1">
      <w:start w:val="1"/>
      <w:numFmt w:val="bullet"/>
      <w:lvlText w:val="•"/>
      <w:lvlJc w:val="left"/>
      <w:pPr>
        <w:tabs>
          <w:tab w:val="num" w:pos="3600"/>
        </w:tabs>
        <w:ind w:left="3600" w:hanging="360"/>
      </w:pPr>
      <w:rPr>
        <w:rFonts w:ascii="Arial" w:hAnsi="Arial" w:hint="default"/>
      </w:rPr>
    </w:lvl>
    <w:lvl w:ilvl="5" w:tplc="3D02FB28" w:tentative="1">
      <w:start w:val="1"/>
      <w:numFmt w:val="bullet"/>
      <w:lvlText w:val="•"/>
      <w:lvlJc w:val="left"/>
      <w:pPr>
        <w:tabs>
          <w:tab w:val="num" w:pos="4320"/>
        </w:tabs>
        <w:ind w:left="4320" w:hanging="360"/>
      </w:pPr>
      <w:rPr>
        <w:rFonts w:ascii="Arial" w:hAnsi="Arial" w:hint="default"/>
      </w:rPr>
    </w:lvl>
    <w:lvl w:ilvl="6" w:tplc="E1CE200A" w:tentative="1">
      <w:start w:val="1"/>
      <w:numFmt w:val="bullet"/>
      <w:lvlText w:val="•"/>
      <w:lvlJc w:val="left"/>
      <w:pPr>
        <w:tabs>
          <w:tab w:val="num" w:pos="5040"/>
        </w:tabs>
        <w:ind w:left="5040" w:hanging="360"/>
      </w:pPr>
      <w:rPr>
        <w:rFonts w:ascii="Arial" w:hAnsi="Arial" w:hint="default"/>
      </w:rPr>
    </w:lvl>
    <w:lvl w:ilvl="7" w:tplc="88245F8C" w:tentative="1">
      <w:start w:val="1"/>
      <w:numFmt w:val="bullet"/>
      <w:lvlText w:val="•"/>
      <w:lvlJc w:val="left"/>
      <w:pPr>
        <w:tabs>
          <w:tab w:val="num" w:pos="5760"/>
        </w:tabs>
        <w:ind w:left="5760" w:hanging="360"/>
      </w:pPr>
      <w:rPr>
        <w:rFonts w:ascii="Arial" w:hAnsi="Arial" w:hint="default"/>
      </w:rPr>
    </w:lvl>
    <w:lvl w:ilvl="8" w:tplc="D3A85D26"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2ABB14DD"/>
    <w:multiLevelType w:val="hybridMultilevel"/>
    <w:tmpl w:val="17628C18"/>
    <w:lvl w:ilvl="0" w:tplc="E50CA28E">
      <w:start w:val="1"/>
      <w:numFmt w:val="bullet"/>
      <w:lvlText w:val="•"/>
      <w:lvlJc w:val="left"/>
      <w:pPr>
        <w:tabs>
          <w:tab w:val="num" w:pos="720"/>
        </w:tabs>
        <w:ind w:left="720" w:hanging="360"/>
      </w:pPr>
      <w:rPr>
        <w:rFonts w:ascii="Arial" w:hAnsi="Arial" w:cs="Times New Roman" w:hint="default"/>
      </w:rPr>
    </w:lvl>
    <w:lvl w:ilvl="1" w:tplc="9C6437BE">
      <w:start w:val="1"/>
      <w:numFmt w:val="bullet"/>
      <w:lvlText w:val="•"/>
      <w:lvlJc w:val="left"/>
      <w:pPr>
        <w:tabs>
          <w:tab w:val="num" w:pos="1440"/>
        </w:tabs>
        <w:ind w:left="1440" w:hanging="360"/>
      </w:pPr>
      <w:rPr>
        <w:rFonts w:ascii="Arial" w:hAnsi="Arial" w:cs="Times New Roman" w:hint="default"/>
      </w:rPr>
    </w:lvl>
    <w:lvl w:ilvl="2" w:tplc="CCB6EF00">
      <w:start w:val="1"/>
      <w:numFmt w:val="bullet"/>
      <w:lvlText w:val="•"/>
      <w:lvlJc w:val="left"/>
      <w:pPr>
        <w:tabs>
          <w:tab w:val="num" w:pos="2160"/>
        </w:tabs>
        <w:ind w:left="2160" w:hanging="360"/>
      </w:pPr>
      <w:rPr>
        <w:rFonts w:ascii="Arial" w:hAnsi="Arial" w:cs="Times New Roman" w:hint="default"/>
      </w:rPr>
    </w:lvl>
    <w:lvl w:ilvl="3" w:tplc="89EEF108">
      <w:start w:val="1"/>
      <w:numFmt w:val="bullet"/>
      <w:lvlText w:val="•"/>
      <w:lvlJc w:val="left"/>
      <w:pPr>
        <w:tabs>
          <w:tab w:val="num" w:pos="2880"/>
        </w:tabs>
        <w:ind w:left="2880" w:hanging="360"/>
      </w:pPr>
      <w:rPr>
        <w:rFonts w:ascii="Arial" w:hAnsi="Arial" w:cs="Times New Roman" w:hint="default"/>
      </w:rPr>
    </w:lvl>
    <w:lvl w:ilvl="4" w:tplc="42ECDBEA">
      <w:start w:val="1"/>
      <w:numFmt w:val="bullet"/>
      <w:lvlText w:val="•"/>
      <w:lvlJc w:val="left"/>
      <w:pPr>
        <w:tabs>
          <w:tab w:val="num" w:pos="3600"/>
        </w:tabs>
        <w:ind w:left="3600" w:hanging="360"/>
      </w:pPr>
      <w:rPr>
        <w:rFonts w:ascii="Arial" w:hAnsi="Arial" w:cs="Times New Roman" w:hint="default"/>
      </w:rPr>
    </w:lvl>
    <w:lvl w:ilvl="5" w:tplc="3A6A64DA">
      <w:start w:val="1"/>
      <w:numFmt w:val="bullet"/>
      <w:lvlText w:val="•"/>
      <w:lvlJc w:val="left"/>
      <w:pPr>
        <w:tabs>
          <w:tab w:val="num" w:pos="4320"/>
        </w:tabs>
        <w:ind w:left="4320" w:hanging="360"/>
      </w:pPr>
      <w:rPr>
        <w:rFonts w:ascii="Arial" w:hAnsi="Arial" w:cs="Times New Roman" w:hint="default"/>
      </w:rPr>
    </w:lvl>
    <w:lvl w:ilvl="6" w:tplc="785E48AA">
      <w:start w:val="1"/>
      <w:numFmt w:val="bullet"/>
      <w:lvlText w:val="•"/>
      <w:lvlJc w:val="left"/>
      <w:pPr>
        <w:tabs>
          <w:tab w:val="num" w:pos="5040"/>
        </w:tabs>
        <w:ind w:left="5040" w:hanging="360"/>
      </w:pPr>
      <w:rPr>
        <w:rFonts w:ascii="Arial" w:hAnsi="Arial" w:cs="Times New Roman" w:hint="default"/>
      </w:rPr>
    </w:lvl>
    <w:lvl w:ilvl="7" w:tplc="15F0E15A">
      <w:start w:val="1"/>
      <w:numFmt w:val="bullet"/>
      <w:lvlText w:val="•"/>
      <w:lvlJc w:val="left"/>
      <w:pPr>
        <w:tabs>
          <w:tab w:val="num" w:pos="5760"/>
        </w:tabs>
        <w:ind w:left="5760" w:hanging="360"/>
      </w:pPr>
      <w:rPr>
        <w:rFonts w:ascii="Arial" w:hAnsi="Arial" w:cs="Times New Roman" w:hint="default"/>
      </w:rPr>
    </w:lvl>
    <w:lvl w:ilvl="8" w:tplc="D38AD362">
      <w:start w:val="1"/>
      <w:numFmt w:val="bullet"/>
      <w:lvlText w:val="•"/>
      <w:lvlJc w:val="left"/>
      <w:pPr>
        <w:tabs>
          <w:tab w:val="num" w:pos="6480"/>
        </w:tabs>
        <w:ind w:left="6480" w:hanging="360"/>
      </w:pPr>
      <w:rPr>
        <w:rFonts w:ascii="Arial" w:hAnsi="Arial" w:cs="Times New Roman" w:hint="default"/>
      </w:rPr>
    </w:lvl>
  </w:abstractNum>
  <w:abstractNum w:abstractNumId="13" w15:restartNumberingAfterBreak="0">
    <w:nsid w:val="2C5A2A51"/>
    <w:multiLevelType w:val="hybridMultilevel"/>
    <w:tmpl w:val="633C88F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4" w15:restartNumberingAfterBreak="0">
    <w:nsid w:val="40647CE5"/>
    <w:multiLevelType w:val="hybridMultilevel"/>
    <w:tmpl w:val="F91C69CC"/>
    <w:lvl w:ilvl="0" w:tplc="AA8891DA">
      <w:numFmt w:val="bullet"/>
      <w:lvlText w:val="-"/>
      <w:lvlJc w:val="left"/>
      <w:pPr>
        <w:ind w:left="720" w:hanging="360"/>
      </w:pPr>
      <w:rPr>
        <w:rFonts w:ascii="Arial" w:eastAsiaTheme="minorHAnsi"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445B2B28"/>
    <w:multiLevelType w:val="hybridMultilevel"/>
    <w:tmpl w:val="A77CBF6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47170A7D"/>
    <w:multiLevelType w:val="hybridMultilevel"/>
    <w:tmpl w:val="E76A653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7" w15:restartNumberingAfterBreak="0">
    <w:nsid w:val="4A1A024A"/>
    <w:multiLevelType w:val="hybridMultilevel"/>
    <w:tmpl w:val="123AA014"/>
    <w:lvl w:ilvl="0" w:tplc="A1E66C42">
      <w:start w:val="1"/>
      <w:numFmt w:val="bullet"/>
      <w:lvlText w:val="•"/>
      <w:lvlJc w:val="left"/>
      <w:pPr>
        <w:tabs>
          <w:tab w:val="num" w:pos="720"/>
        </w:tabs>
        <w:ind w:left="720" w:hanging="360"/>
      </w:pPr>
      <w:rPr>
        <w:rFonts w:ascii="Arial" w:hAnsi="Arial" w:hint="default"/>
      </w:rPr>
    </w:lvl>
    <w:lvl w:ilvl="1" w:tplc="9D3A3968" w:tentative="1">
      <w:start w:val="1"/>
      <w:numFmt w:val="bullet"/>
      <w:lvlText w:val="•"/>
      <w:lvlJc w:val="left"/>
      <w:pPr>
        <w:tabs>
          <w:tab w:val="num" w:pos="1440"/>
        </w:tabs>
        <w:ind w:left="1440" w:hanging="360"/>
      </w:pPr>
      <w:rPr>
        <w:rFonts w:ascii="Arial" w:hAnsi="Arial" w:hint="default"/>
      </w:rPr>
    </w:lvl>
    <w:lvl w:ilvl="2" w:tplc="AD120F68" w:tentative="1">
      <w:start w:val="1"/>
      <w:numFmt w:val="bullet"/>
      <w:lvlText w:val="•"/>
      <w:lvlJc w:val="left"/>
      <w:pPr>
        <w:tabs>
          <w:tab w:val="num" w:pos="2160"/>
        </w:tabs>
        <w:ind w:left="2160" w:hanging="360"/>
      </w:pPr>
      <w:rPr>
        <w:rFonts w:ascii="Arial" w:hAnsi="Arial" w:hint="default"/>
      </w:rPr>
    </w:lvl>
    <w:lvl w:ilvl="3" w:tplc="6F847E0A" w:tentative="1">
      <w:start w:val="1"/>
      <w:numFmt w:val="bullet"/>
      <w:lvlText w:val="•"/>
      <w:lvlJc w:val="left"/>
      <w:pPr>
        <w:tabs>
          <w:tab w:val="num" w:pos="2880"/>
        </w:tabs>
        <w:ind w:left="2880" w:hanging="360"/>
      </w:pPr>
      <w:rPr>
        <w:rFonts w:ascii="Arial" w:hAnsi="Arial" w:hint="default"/>
      </w:rPr>
    </w:lvl>
    <w:lvl w:ilvl="4" w:tplc="CAC0A524" w:tentative="1">
      <w:start w:val="1"/>
      <w:numFmt w:val="bullet"/>
      <w:lvlText w:val="•"/>
      <w:lvlJc w:val="left"/>
      <w:pPr>
        <w:tabs>
          <w:tab w:val="num" w:pos="3600"/>
        </w:tabs>
        <w:ind w:left="3600" w:hanging="360"/>
      </w:pPr>
      <w:rPr>
        <w:rFonts w:ascii="Arial" w:hAnsi="Arial" w:hint="default"/>
      </w:rPr>
    </w:lvl>
    <w:lvl w:ilvl="5" w:tplc="C8F887C6" w:tentative="1">
      <w:start w:val="1"/>
      <w:numFmt w:val="bullet"/>
      <w:lvlText w:val="•"/>
      <w:lvlJc w:val="left"/>
      <w:pPr>
        <w:tabs>
          <w:tab w:val="num" w:pos="4320"/>
        </w:tabs>
        <w:ind w:left="4320" w:hanging="360"/>
      </w:pPr>
      <w:rPr>
        <w:rFonts w:ascii="Arial" w:hAnsi="Arial" w:hint="default"/>
      </w:rPr>
    </w:lvl>
    <w:lvl w:ilvl="6" w:tplc="3B8863FA" w:tentative="1">
      <w:start w:val="1"/>
      <w:numFmt w:val="bullet"/>
      <w:lvlText w:val="•"/>
      <w:lvlJc w:val="left"/>
      <w:pPr>
        <w:tabs>
          <w:tab w:val="num" w:pos="5040"/>
        </w:tabs>
        <w:ind w:left="5040" w:hanging="360"/>
      </w:pPr>
      <w:rPr>
        <w:rFonts w:ascii="Arial" w:hAnsi="Arial" w:hint="default"/>
      </w:rPr>
    </w:lvl>
    <w:lvl w:ilvl="7" w:tplc="DA545B22" w:tentative="1">
      <w:start w:val="1"/>
      <w:numFmt w:val="bullet"/>
      <w:lvlText w:val="•"/>
      <w:lvlJc w:val="left"/>
      <w:pPr>
        <w:tabs>
          <w:tab w:val="num" w:pos="5760"/>
        </w:tabs>
        <w:ind w:left="5760" w:hanging="360"/>
      </w:pPr>
      <w:rPr>
        <w:rFonts w:ascii="Arial" w:hAnsi="Arial" w:hint="default"/>
      </w:rPr>
    </w:lvl>
    <w:lvl w:ilvl="8" w:tplc="7FFEB41E" w:tentative="1">
      <w:start w:val="1"/>
      <w:numFmt w:val="bullet"/>
      <w:lvlText w:val="•"/>
      <w:lvlJc w:val="left"/>
      <w:pPr>
        <w:tabs>
          <w:tab w:val="num" w:pos="6480"/>
        </w:tabs>
        <w:ind w:left="6480" w:hanging="360"/>
      </w:pPr>
      <w:rPr>
        <w:rFonts w:ascii="Arial" w:hAnsi="Arial" w:hint="default"/>
      </w:rPr>
    </w:lvl>
  </w:abstractNum>
  <w:abstractNum w:abstractNumId="18" w15:restartNumberingAfterBreak="0">
    <w:nsid w:val="4D8A7633"/>
    <w:multiLevelType w:val="hybridMultilevel"/>
    <w:tmpl w:val="A68019BE"/>
    <w:lvl w:ilvl="0" w:tplc="D6BA4EBC">
      <w:start w:val="1"/>
      <w:numFmt w:val="bullet"/>
      <w:lvlText w:val="•"/>
      <w:lvlJc w:val="left"/>
      <w:pPr>
        <w:tabs>
          <w:tab w:val="num" w:pos="720"/>
        </w:tabs>
        <w:ind w:left="720" w:hanging="360"/>
      </w:pPr>
      <w:rPr>
        <w:rFonts w:ascii="Arial" w:hAnsi="Arial" w:hint="default"/>
      </w:rPr>
    </w:lvl>
    <w:lvl w:ilvl="1" w:tplc="FB7C91B6" w:tentative="1">
      <w:start w:val="1"/>
      <w:numFmt w:val="bullet"/>
      <w:lvlText w:val="•"/>
      <w:lvlJc w:val="left"/>
      <w:pPr>
        <w:tabs>
          <w:tab w:val="num" w:pos="1440"/>
        </w:tabs>
        <w:ind w:left="1440" w:hanging="360"/>
      </w:pPr>
      <w:rPr>
        <w:rFonts w:ascii="Arial" w:hAnsi="Arial" w:hint="default"/>
      </w:rPr>
    </w:lvl>
    <w:lvl w:ilvl="2" w:tplc="8F5E82D2" w:tentative="1">
      <w:start w:val="1"/>
      <w:numFmt w:val="bullet"/>
      <w:lvlText w:val="•"/>
      <w:lvlJc w:val="left"/>
      <w:pPr>
        <w:tabs>
          <w:tab w:val="num" w:pos="2160"/>
        </w:tabs>
        <w:ind w:left="2160" w:hanging="360"/>
      </w:pPr>
      <w:rPr>
        <w:rFonts w:ascii="Arial" w:hAnsi="Arial" w:hint="default"/>
      </w:rPr>
    </w:lvl>
    <w:lvl w:ilvl="3" w:tplc="1E66A962" w:tentative="1">
      <w:start w:val="1"/>
      <w:numFmt w:val="bullet"/>
      <w:lvlText w:val="•"/>
      <w:lvlJc w:val="left"/>
      <w:pPr>
        <w:tabs>
          <w:tab w:val="num" w:pos="2880"/>
        </w:tabs>
        <w:ind w:left="2880" w:hanging="360"/>
      </w:pPr>
      <w:rPr>
        <w:rFonts w:ascii="Arial" w:hAnsi="Arial" w:hint="default"/>
      </w:rPr>
    </w:lvl>
    <w:lvl w:ilvl="4" w:tplc="99223854" w:tentative="1">
      <w:start w:val="1"/>
      <w:numFmt w:val="bullet"/>
      <w:lvlText w:val="•"/>
      <w:lvlJc w:val="left"/>
      <w:pPr>
        <w:tabs>
          <w:tab w:val="num" w:pos="3600"/>
        </w:tabs>
        <w:ind w:left="3600" w:hanging="360"/>
      </w:pPr>
      <w:rPr>
        <w:rFonts w:ascii="Arial" w:hAnsi="Arial" w:hint="default"/>
      </w:rPr>
    </w:lvl>
    <w:lvl w:ilvl="5" w:tplc="6C7666AA" w:tentative="1">
      <w:start w:val="1"/>
      <w:numFmt w:val="bullet"/>
      <w:lvlText w:val="•"/>
      <w:lvlJc w:val="left"/>
      <w:pPr>
        <w:tabs>
          <w:tab w:val="num" w:pos="4320"/>
        </w:tabs>
        <w:ind w:left="4320" w:hanging="360"/>
      </w:pPr>
      <w:rPr>
        <w:rFonts w:ascii="Arial" w:hAnsi="Arial" w:hint="default"/>
      </w:rPr>
    </w:lvl>
    <w:lvl w:ilvl="6" w:tplc="0DCED478" w:tentative="1">
      <w:start w:val="1"/>
      <w:numFmt w:val="bullet"/>
      <w:lvlText w:val="•"/>
      <w:lvlJc w:val="left"/>
      <w:pPr>
        <w:tabs>
          <w:tab w:val="num" w:pos="5040"/>
        </w:tabs>
        <w:ind w:left="5040" w:hanging="360"/>
      </w:pPr>
      <w:rPr>
        <w:rFonts w:ascii="Arial" w:hAnsi="Arial" w:hint="default"/>
      </w:rPr>
    </w:lvl>
    <w:lvl w:ilvl="7" w:tplc="9DB4829A" w:tentative="1">
      <w:start w:val="1"/>
      <w:numFmt w:val="bullet"/>
      <w:lvlText w:val="•"/>
      <w:lvlJc w:val="left"/>
      <w:pPr>
        <w:tabs>
          <w:tab w:val="num" w:pos="5760"/>
        </w:tabs>
        <w:ind w:left="5760" w:hanging="360"/>
      </w:pPr>
      <w:rPr>
        <w:rFonts w:ascii="Arial" w:hAnsi="Arial" w:hint="default"/>
      </w:rPr>
    </w:lvl>
    <w:lvl w:ilvl="8" w:tplc="ABF0AFEE"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509105EB"/>
    <w:multiLevelType w:val="hybridMultilevel"/>
    <w:tmpl w:val="25882682"/>
    <w:lvl w:ilvl="0" w:tplc="E586E02A">
      <w:start w:val="1"/>
      <w:numFmt w:val="decimal"/>
      <w:lvlText w:val="%1."/>
      <w:lvlJc w:val="left"/>
      <w:pPr>
        <w:ind w:left="410" w:hanging="360"/>
      </w:pPr>
    </w:lvl>
    <w:lvl w:ilvl="1" w:tplc="08090019">
      <w:start w:val="1"/>
      <w:numFmt w:val="lowerLetter"/>
      <w:lvlText w:val="%2."/>
      <w:lvlJc w:val="left"/>
      <w:pPr>
        <w:ind w:left="1130" w:hanging="360"/>
      </w:pPr>
    </w:lvl>
    <w:lvl w:ilvl="2" w:tplc="0809001B">
      <w:start w:val="1"/>
      <w:numFmt w:val="lowerRoman"/>
      <w:lvlText w:val="%3."/>
      <w:lvlJc w:val="right"/>
      <w:pPr>
        <w:ind w:left="1850" w:hanging="180"/>
      </w:pPr>
    </w:lvl>
    <w:lvl w:ilvl="3" w:tplc="0809000F">
      <w:start w:val="1"/>
      <w:numFmt w:val="decimal"/>
      <w:lvlText w:val="%4."/>
      <w:lvlJc w:val="left"/>
      <w:pPr>
        <w:ind w:left="2570" w:hanging="360"/>
      </w:pPr>
    </w:lvl>
    <w:lvl w:ilvl="4" w:tplc="08090019">
      <w:start w:val="1"/>
      <w:numFmt w:val="lowerLetter"/>
      <w:lvlText w:val="%5."/>
      <w:lvlJc w:val="left"/>
      <w:pPr>
        <w:ind w:left="3290" w:hanging="360"/>
      </w:pPr>
    </w:lvl>
    <w:lvl w:ilvl="5" w:tplc="0809001B">
      <w:start w:val="1"/>
      <w:numFmt w:val="lowerRoman"/>
      <w:lvlText w:val="%6."/>
      <w:lvlJc w:val="right"/>
      <w:pPr>
        <w:ind w:left="4010" w:hanging="180"/>
      </w:pPr>
    </w:lvl>
    <w:lvl w:ilvl="6" w:tplc="0809000F">
      <w:start w:val="1"/>
      <w:numFmt w:val="decimal"/>
      <w:lvlText w:val="%7."/>
      <w:lvlJc w:val="left"/>
      <w:pPr>
        <w:ind w:left="4730" w:hanging="360"/>
      </w:pPr>
    </w:lvl>
    <w:lvl w:ilvl="7" w:tplc="08090019">
      <w:start w:val="1"/>
      <w:numFmt w:val="lowerLetter"/>
      <w:lvlText w:val="%8."/>
      <w:lvlJc w:val="left"/>
      <w:pPr>
        <w:ind w:left="5450" w:hanging="360"/>
      </w:pPr>
    </w:lvl>
    <w:lvl w:ilvl="8" w:tplc="0809001B">
      <w:start w:val="1"/>
      <w:numFmt w:val="lowerRoman"/>
      <w:lvlText w:val="%9."/>
      <w:lvlJc w:val="right"/>
      <w:pPr>
        <w:ind w:left="6170" w:hanging="180"/>
      </w:pPr>
    </w:lvl>
  </w:abstractNum>
  <w:abstractNum w:abstractNumId="20" w15:restartNumberingAfterBreak="0">
    <w:nsid w:val="606843DC"/>
    <w:multiLevelType w:val="hybridMultilevel"/>
    <w:tmpl w:val="3E42DD0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66E1214D"/>
    <w:multiLevelType w:val="hybridMultilevel"/>
    <w:tmpl w:val="9F34024E"/>
    <w:lvl w:ilvl="0" w:tplc="ADB0AA92">
      <w:start w:val="1"/>
      <w:numFmt w:val="bullet"/>
      <w:lvlText w:val="•"/>
      <w:lvlJc w:val="left"/>
      <w:pPr>
        <w:tabs>
          <w:tab w:val="num" w:pos="720"/>
        </w:tabs>
        <w:ind w:left="720" w:hanging="360"/>
      </w:pPr>
      <w:rPr>
        <w:rFonts w:ascii="Arial" w:hAnsi="Arial" w:hint="default"/>
      </w:rPr>
    </w:lvl>
    <w:lvl w:ilvl="1" w:tplc="54B2907C" w:tentative="1">
      <w:start w:val="1"/>
      <w:numFmt w:val="bullet"/>
      <w:lvlText w:val="•"/>
      <w:lvlJc w:val="left"/>
      <w:pPr>
        <w:tabs>
          <w:tab w:val="num" w:pos="1440"/>
        </w:tabs>
        <w:ind w:left="1440" w:hanging="360"/>
      </w:pPr>
      <w:rPr>
        <w:rFonts w:ascii="Arial" w:hAnsi="Arial" w:hint="default"/>
      </w:rPr>
    </w:lvl>
    <w:lvl w:ilvl="2" w:tplc="7F848D9A" w:tentative="1">
      <w:start w:val="1"/>
      <w:numFmt w:val="bullet"/>
      <w:lvlText w:val="•"/>
      <w:lvlJc w:val="left"/>
      <w:pPr>
        <w:tabs>
          <w:tab w:val="num" w:pos="2160"/>
        </w:tabs>
        <w:ind w:left="2160" w:hanging="360"/>
      </w:pPr>
      <w:rPr>
        <w:rFonts w:ascii="Arial" w:hAnsi="Arial" w:hint="default"/>
      </w:rPr>
    </w:lvl>
    <w:lvl w:ilvl="3" w:tplc="E77AB61C" w:tentative="1">
      <w:start w:val="1"/>
      <w:numFmt w:val="bullet"/>
      <w:lvlText w:val="•"/>
      <w:lvlJc w:val="left"/>
      <w:pPr>
        <w:tabs>
          <w:tab w:val="num" w:pos="2880"/>
        </w:tabs>
        <w:ind w:left="2880" w:hanging="360"/>
      </w:pPr>
      <w:rPr>
        <w:rFonts w:ascii="Arial" w:hAnsi="Arial" w:hint="default"/>
      </w:rPr>
    </w:lvl>
    <w:lvl w:ilvl="4" w:tplc="D0862378" w:tentative="1">
      <w:start w:val="1"/>
      <w:numFmt w:val="bullet"/>
      <w:lvlText w:val="•"/>
      <w:lvlJc w:val="left"/>
      <w:pPr>
        <w:tabs>
          <w:tab w:val="num" w:pos="3600"/>
        </w:tabs>
        <w:ind w:left="3600" w:hanging="360"/>
      </w:pPr>
      <w:rPr>
        <w:rFonts w:ascii="Arial" w:hAnsi="Arial" w:hint="default"/>
      </w:rPr>
    </w:lvl>
    <w:lvl w:ilvl="5" w:tplc="181EBA86" w:tentative="1">
      <w:start w:val="1"/>
      <w:numFmt w:val="bullet"/>
      <w:lvlText w:val="•"/>
      <w:lvlJc w:val="left"/>
      <w:pPr>
        <w:tabs>
          <w:tab w:val="num" w:pos="4320"/>
        </w:tabs>
        <w:ind w:left="4320" w:hanging="360"/>
      </w:pPr>
      <w:rPr>
        <w:rFonts w:ascii="Arial" w:hAnsi="Arial" w:hint="default"/>
      </w:rPr>
    </w:lvl>
    <w:lvl w:ilvl="6" w:tplc="429A9BF2" w:tentative="1">
      <w:start w:val="1"/>
      <w:numFmt w:val="bullet"/>
      <w:lvlText w:val="•"/>
      <w:lvlJc w:val="left"/>
      <w:pPr>
        <w:tabs>
          <w:tab w:val="num" w:pos="5040"/>
        </w:tabs>
        <w:ind w:left="5040" w:hanging="360"/>
      </w:pPr>
      <w:rPr>
        <w:rFonts w:ascii="Arial" w:hAnsi="Arial" w:hint="default"/>
      </w:rPr>
    </w:lvl>
    <w:lvl w:ilvl="7" w:tplc="01AC9630" w:tentative="1">
      <w:start w:val="1"/>
      <w:numFmt w:val="bullet"/>
      <w:lvlText w:val="•"/>
      <w:lvlJc w:val="left"/>
      <w:pPr>
        <w:tabs>
          <w:tab w:val="num" w:pos="5760"/>
        </w:tabs>
        <w:ind w:left="5760" w:hanging="360"/>
      </w:pPr>
      <w:rPr>
        <w:rFonts w:ascii="Arial" w:hAnsi="Arial" w:hint="default"/>
      </w:rPr>
    </w:lvl>
    <w:lvl w:ilvl="8" w:tplc="3882357E" w:tentative="1">
      <w:start w:val="1"/>
      <w:numFmt w:val="bullet"/>
      <w:lvlText w:val="•"/>
      <w:lvlJc w:val="left"/>
      <w:pPr>
        <w:tabs>
          <w:tab w:val="num" w:pos="6480"/>
        </w:tabs>
        <w:ind w:left="6480" w:hanging="360"/>
      </w:pPr>
      <w:rPr>
        <w:rFonts w:ascii="Arial" w:hAnsi="Arial" w:hint="default"/>
      </w:rPr>
    </w:lvl>
  </w:abstractNum>
  <w:abstractNum w:abstractNumId="22" w15:restartNumberingAfterBreak="0">
    <w:nsid w:val="67613CD2"/>
    <w:multiLevelType w:val="hybridMultilevel"/>
    <w:tmpl w:val="0CF0BB3A"/>
    <w:lvl w:ilvl="0" w:tplc="150827AC">
      <w:start w:val="1"/>
      <w:numFmt w:val="decimal"/>
      <w:lvlText w:val="%1."/>
      <w:lvlJc w:val="left"/>
      <w:pPr>
        <w:tabs>
          <w:tab w:val="num" w:pos="720"/>
        </w:tabs>
        <w:ind w:left="720" w:hanging="360"/>
      </w:pPr>
    </w:lvl>
    <w:lvl w:ilvl="1" w:tplc="7166CD38" w:tentative="1">
      <w:start w:val="1"/>
      <w:numFmt w:val="decimal"/>
      <w:lvlText w:val="%2."/>
      <w:lvlJc w:val="left"/>
      <w:pPr>
        <w:tabs>
          <w:tab w:val="num" w:pos="1440"/>
        </w:tabs>
        <w:ind w:left="1440" w:hanging="360"/>
      </w:pPr>
    </w:lvl>
    <w:lvl w:ilvl="2" w:tplc="6590C27E" w:tentative="1">
      <w:start w:val="1"/>
      <w:numFmt w:val="decimal"/>
      <w:lvlText w:val="%3."/>
      <w:lvlJc w:val="left"/>
      <w:pPr>
        <w:tabs>
          <w:tab w:val="num" w:pos="2160"/>
        </w:tabs>
        <w:ind w:left="2160" w:hanging="360"/>
      </w:pPr>
    </w:lvl>
    <w:lvl w:ilvl="3" w:tplc="DAEABB6A" w:tentative="1">
      <w:start w:val="1"/>
      <w:numFmt w:val="decimal"/>
      <w:lvlText w:val="%4."/>
      <w:lvlJc w:val="left"/>
      <w:pPr>
        <w:tabs>
          <w:tab w:val="num" w:pos="2880"/>
        </w:tabs>
        <w:ind w:left="2880" w:hanging="360"/>
      </w:pPr>
    </w:lvl>
    <w:lvl w:ilvl="4" w:tplc="743CC316" w:tentative="1">
      <w:start w:val="1"/>
      <w:numFmt w:val="decimal"/>
      <w:lvlText w:val="%5."/>
      <w:lvlJc w:val="left"/>
      <w:pPr>
        <w:tabs>
          <w:tab w:val="num" w:pos="3600"/>
        </w:tabs>
        <w:ind w:left="3600" w:hanging="360"/>
      </w:pPr>
    </w:lvl>
    <w:lvl w:ilvl="5" w:tplc="B6205870" w:tentative="1">
      <w:start w:val="1"/>
      <w:numFmt w:val="decimal"/>
      <w:lvlText w:val="%6."/>
      <w:lvlJc w:val="left"/>
      <w:pPr>
        <w:tabs>
          <w:tab w:val="num" w:pos="4320"/>
        </w:tabs>
        <w:ind w:left="4320" w:hanging="360"/>
      </w:pPr>
    </w:lvl>
    <w:lvl w:ilvl="6" w:tplc="51AE11DA" w:tentative="1">
      <w:start w:val="1"/>
      <w:numFmt w:val="decimal"/>
      <w:lvlText w:val="%7."/>
      <w:lvlJc w:val="left"/>
      <w:pPr>
        <w:tabs>
          <w:tab w:val="num" w:pos="5040"/>
        </w:tabs>
        <w:ind w:left="5040" w:hanging="360"/>
      </w:pPr>
    </w:lvl>
    <w:lvl w:ilvl="7" w:tplc="13FCFD3C" w:tentative="1">
      <w:start w:val="1"/>
      <w:numFmt w:val="decimal"/>
      <w:lvlText w:val="%8."/>
      <w:lvlJc w:val="left"/>
      <w:pPr>
        <w:tabs>
          <w:tab w:val="num" w:pos="5760"/>
        </w:tabs>
        <w:ind w:left="5760" w:hanging="360"/>
      </w:pPr>
    </w:lvl>
    <w:lvl w:ilvl="8" w:tplc="B21EA8F8" w:tentative="1">
      <w:start w:val="1"/>
      <w:numFmt w:val="decimal"/>
      <w:lvlText w:val="%9."/>
      <w:lvlJc w:val="left"/>
      <w:pPr>
        <w:tabs>
          <w:tab w:val="num" w:pos="6480"/>
        </w:tabs>
        <w:ind w:left="6480" w:hanging="360"/>
      </w:pPr>
    </w:lvl>
  </w:abstractNum>
  <w:abstractNum w:abstractNumId="23" w15:restartNumberingAfterBreak="0">
    <w:nsid w:val="6765577F"/>
    <w:multiLevelType w:val="hybridMultilevel"/>
    <w:tmpl w:val="BBB23B48"/>
    <w:lvl w:ilvl="0" w:tplc="AC68AD1A">
      <w:start w:val="1"/>
      <w:numFmt w:val="bullet"/>
      <w:lvlText w:val="•"/>
      <w:lvlJc w:val="left"/>
      <w:pPr>
        <w:tabs>
          <w:tab w:val="num" w:pos="720"/>
        </w:tabs>
        <w:ind w:left="720" w:hanging="360"/>
      </w:pPr>
      <w:rPr>
        <w:rFonts w:ascii="Arial" w:hAnsi="Arial" w:hint="default"/>
      </w:rPr>
    </w:lvl>
    <w:lvl w:ilvl="1" w:tplc="655AC03A" w:tentative="1">
      <w:start w:val="1"/>
      <w:numFmt w:val="bullet"/>
      <w:lvlText w:val="•"/>
      <w:lvlJc w:val="left"/>
      <w:pPr>
        <w:tabs>
          <w:tab w:val="num" w:pos="1440"/>
        </w:tabs>
        <w:ind w:left="1440" w:hanging="360"/>
      </w:pPr>
      <w:rPr>
        <w:rFonts w:ascii="Arial" w:hAnsi="Arial" w:hint="default"/>
      </w:rPr>
    </w:lvl>
    <w:lvl w:ilvl="2" w:tplc="FE6873AE" w:tentative="1">
      <w:start w:val="1"/>
      <w:numFmt w:val="bullet"/>
      <w:lvlText w:val="•"/>
      <w:lvlJc w:val="left"/>
      <w:pPr>
        <w:tabs>
          <w:tab w:val="num" w:pos="2160"/>
        </w:tabs>
        <w:ind w:left="2160" w:hanging="360"/>
      </w:pPr>
      <w:rPr>
        <w:rFonts w:ascii="Arial" w:hAnsi="Arial" w:hint="default"/>
      </w:rPr>
    </w:lvl>
    <w:lvl w:ilvl="3" w:tplc="59208412" w:tentative="1">
      <w:start w:val="1"/>
      <w:numFmt w:val="bullet"/>
      <w:lvlText w:val="•"/>
      <w:lvlJc w:val="left"/>
      <w:pPr>
        <w:tabs>
          <w:tab w:val="num" w:pos="2880"/>
        </w:tabs>
        <w:ind w:left="2880" w:hanging="360"/>
      </w:pPr>
      <w:rPr>
        <w:rFonts w:ascii="Arial" w:hAnsi="Arial" w:hint="default"/>
      </w:rPr>
    </w:lvl>
    <w:lvl w:ilvl="4" w:tplc="1B46B48C" w:tentative="1">
      <w:start w:val="1"/>
      <w:numFmt w:val="bullet"/>
      <w:lvlText w:val="•"/>
      <w:lvlJc w:val="left"/>
      <w:pPr>
        <w:tabs>
          <w:tab w:val="num" w:pos="3600"/>
        </w:tabs>
        <w:ind w:left="3600" w:hanging="360"/>
      </w:pPr>
      <w:rPr>
        <w:rFonts w:ascii="Arial" w:hAnsi="Arial" w:hint="default"/>
      </w:rPr>
    </w:lvl>
    <w:lvl w:ilvl="5" w:tplc="02EA0FDE" w:tentative="1">
      <w:start w:val="1"/>
      <w:numFmt w:val="bullet"/>
      <w:lvlText w:val="•"/>
      <w:lvlJc w:val="left"/>
      <w:pPr>
        <w:tabs>
          <w:tab w:val="num" w:pos="4320"/>
        </w:tabs>
        <w:ind w:left="4320" w:hanging="360"/>
      </w:pPr>
      <w:rPr>
        <w:rFonts w:ascii="Arial" w:hAnsi="Arial" w:hint="default"/>
      </w:rPr>
    </w:lvl>
    <w:lvl w:ilvl="6" w:tplc="1D860DEE" w:tentative="1">
      <w:start w:val="1"/>
      <w:numFmt w:val="bullet"/>
      <w:lvlText w:val="•"/>
      <w:lvlJc w:val="left"/>
      <w:pPr>
        <w:tabs>
          <w:tab w:val="num" w:pos="5040"/>
        </w:tabs>
        <w:ind w:left="5040" w:hanging="360"/>
      </w:pPr>
      <w:rPr>
        <w:rFonts w:ascii="Arial" w:hAnsi="Arial" w:hint="default"/>
      </w:rPr>
    </w:lvl>
    <w:lvl w:ilvl="7" w:tplc="CA8628BC" w:tentative="1">
      <w:start w:val="1"/>
      <w:numFmt w:val="bullet"/>
      <w:lvlText w:val="•"/>
      <w:lvlJc w:val="left"/>
      <w:pPr>
        <w:tabs>
          <w:tab w:val="num" w:pos="5760"/>
        </w:tabs>
        <w:ind w:left="5760" w:hanging="360"/>
      </w:pPr>
      <w:rPr>
        <w:rFonts w:ascii="Arial" w:hAnsi="Arial" w:hint="default"/>
      </w:rPr>
    </w:lvl>
    <w:lvl w:ilvl="8" w:tplc="1674DC9E" w:tentative="1">
      <w:start w:val="1"/>
      <w:numFmt w:val="bullet"/>
      <w:lvlText w:val="•"/>
      <w:lvlJc w:val="left"/>
      <w:pPr>
        <w:tabs>
          <w:tab w:val="num" w:pos="6480"/>
        </w:tabs>
        <w:ind w:left="6480" w:hanging="360"/>
      </w:pPr>
      <w:rPr>
        <w:rFonts w:ascii="Arial" w:hAnsi="Arial" w:hint="default"/>
      </w:rPr>
    </w:lvl>
  </w:abstractNum>
  <w:abstractNum w:abstractNumId="24" w15:restartNumberingAfterBreak="0">
    <w:nsid w:val="68FD055A"/>
    <w:multiLevelType w:val="hybridMultilevel"/>
    <w:tmpl w:val="F490C338"/>
    <w:lvl w:ilvl="0" w:tplc="04050001">
      <w:start w:val="1"/>
      <w:numFmt w:val="bullet"/>
      <w:lvlText w:val=""/>
      <w:lvlJc w:val="left"/>
      <w:pPr>
        <w:ind w:left="765" w:hanging="360"/>
      </w:pPr>
      <w:rPr>
        <w:rFonts w:ascii="Symbol" w:hAnsi="Symbol" w:hint="default"/>
      </w:rPr>
    </w:lvl>
    <w:lvl w:ilvl="1" w:tplc="04050003" w:tentative="1">
      <w:start w:val="1"/>
      <w:numFmt w:val="bullet"/>
      <w:lvlText w:val="o"/>
      <w:lvlJc w:val="left"/>
      <w:pPr>
        <w:ind w:left="1485" w:hanging="360"/>
      </w:pPr>
      <w:rPr>
        <w:rFonts w:ascii="Courier New" w:hAnsi="Courier New" w:cs="Courier New" w:hint="default"/>
      </w:rPr>
    </w:lvl>
    <w:lvl w:ilvl="2" w:tplc="04050005" w:tentative="1">
      <w:start w:val="1"/>
      <w:numFmt w:val="bullet"/>
      <w:lvlText w:val=""/>
      <w:lvlJc w:val="left"/>
      <w:pPr>
        <w:ind w:left="2205" w:hanging="360"/>
      </w:pPr>
      <w:rPr>
        <w:rFonts w:ascii="Wingdings" w:hAnsi="Wingdings" w:hint="default"/>
      </w:rPr>
    </w:lvl>
    <w:lvl w:ilvl="3" w:tplc="04050001" w:tentative="1">
      <w:start w:val="1"/>
      <w:numFmt w:val="bullet"/>
      <w:lvlText w:val=""/>
      <w:lvlJc w:val="left"/>
      <w:pPr>
        <w:ind w:left="2925" w:hanging="360"/>
      </w:pPr>
      <w:rPr>
        <w:rFonts w:ascii="Symbol" w:hAnsi="Symbol" w:hint="default"/>
      </w:rPr>
    </w:lvl>
    <w:lvl w:ilvl="4" w:tplc="04050003" w:tentative="1">
      <w:start w:val="1"/>
      <w:numFmt w:val="bullet"/>
      <w:lvlText w:val="o"/>
      <w:lvlJc w:val="left"/>
      <w:pPr>
        <w:ind w:left="3645" w:hanging="360"/>
      </w:pPr>
      <w:rPr>
        <w:rFonts w:ascii="Courier New" w:hAnsi="Courier New" w:cs="Courier New" w:hint="default"/>
      </w:rPr>
    </w:lvl>
    <w:lvl w:ilvl="5" w:tplc="04050005" w:tentative="1">
      <w:start w:val="1"/>
      <w:numFmt w:val="bullet"/>
      <w:lvlText w:val=""/>
      <w:lvlJc w:val="left"/>
      <w:pPr>
        <w:ind w:left="4365" w:hanging="360"/>
      </w:pPr>
      <w:rPr>
        <w:rFonts w:ascii="Wingdings" w:hAnsi="Wingdings" w:hint="default"/>
      </w:rPr>
    </w:lvl>
    <w:lvl w:ilvl="6" w:tplc="04050001" w:tentative="1">
      <w:start w:val="1"/>
      <w:numFmt w:val="bullet"/>
      <w:lvlText w:val=""/>
      <w:lvlJc w:val="left"/>
      <w:pPr>
        <w:ind w:left="5085" w:hanging="360"/>
      </w:pPr>
      <w:rPr>
        <w:rFonts w:ascii="Symbol" w:hAnsi="Symbol" w:hint="default"/>
      </w:rPr>
    </w:lvl>
    <w:lvl w:ilvl="7" w:tplc="04050003" w:tentative="1">
      <w:start w:val="1"/>
      <w:numFmt w:val="bullet"/>
      <w:lvlText w:val="o"/>
      <w:lvlJc w:val="left"/>
      <w:pPr>
        <w:ind w:left="5805" w:hanging="360"/>
      </w:pPr>
      <w:rPr>
        <w:rFonts w:ascii="Courier New" w:hAnsi="Courier New" w:cs="Courier New" w:hint="default"/>
      </w:rPr>
    </w:lvl>
    <w:lvl w:ilvl="8" w:tplc="04050005" w:tentative="1">
      <w:start w:val="1"/>
      <w:numFmt w:val="bullet"/>
      <w:lvlText w:val=""/>
      <w:lvlJc w:val="left"/>
      <w:pPr>
        <w:ind w:left="6525" w:hanging="360"/>
      </w:pPr>
      <w:rPr>
        <w:rFonts w:ascii="Wingdings" w:hAnsi="Wingdings" w:hint="default"/>
      </w:rPr>
    </w:lvl>
  </w:abstractNum>
  <w:abstractNum w:abstractNumId="25" w15:restartNumberingAfterBreak="0">
    <w:nsid w:val="6EA509EA"/>
    <w:multiLevelType w:val="hybridMultilevel"/>
    <w:tmpl w:val="14E0161E"/>
    <w:lvl w:ilvl="0" w:tplc="9F3AF1EC">
      <w:numFmt w:val="bullet"/>
      <w:lvlText w:val="-"/>
      <w:lvlJc w:val="left"/>
      <w:pPr>
        <w:ind w:left="360" w:hanging="360"/>
      </w:pPr>
      <w:rPr>
        <w:rFonts w:ascii="Calibri Light" w:eastAsia="Times New Roman" w:hAnsi="Calibri Light" w:cs="Calibri Light"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6" w15:restartNumberingAfterBreak="0">
    <w:nsid w:val="6F137D7D"/>
    <w:multiLevelType w:val="hybridMultilevel"/>
    <w:tmpl w:val="F856C146"/>
    <w:lvl w:ilvl="0" w:tplc="F37A31CE">
      <w:start w:val="10"/>
      <w:numFmt w:val="decimal"/>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27" w15:restartNumberingAfterBreak="0">
    <w:nsid w:val="70DE4F03"/>
    <w:multiLevelType w:val="hybridMultilevel"/>
    <w:tmpl w:val="D458DCC2"/>
    <w:lvl w:ilvl="0" w:tplc="ABAA372A">
      <w:start w:val="30"/>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 w15:restartNumberingAfterBreak="0">
    <w:nsid w:val="755767A3"/>
    <w:multiLevelType w:val="hybridMultilevel"/>
    <w:tmpl w:val="50648AEA"/>
    <w:lvl w:ilvl="0" w:tplc="A25066A6">
      <w:start w:val="1"/>
      <w:numFmt w:val="bullet"/>
      <w:lvlText w:val="•"/>
      <w:lvlJc w:val="left"/>
      <w:pPr>
        <w:tabs>
          <w:tab w:val="num" w:pos="720"/>
        </w:tabs>
        <w:ind w:left="720" w:hanging="360"/>
      </w:pPr>
      <w:rPr>
        <w:rFonts w:ascii="Arial" w:hAnsi="Arial" w:hint="default"/>
      </w:rPr>
    </w:lvl>
    <w:lvl w:ilvl="1" w:tplc="535E907A" w:tentative="1">
      <w:start w:val="1"/>
      <w:numFmt w:val="bullet"/>
      <w:lvlText w:val="•"/>
      <w:lvlJc w:val="left"/>
      <w:pPr>
        <w:tabs>
          <w:tab w:val="num" w:pos="1440"/>
        </w:tabs>
        <w:ind w:left="1440" w:hanging="360"/>
      </w:pPr>
      <w:rPr>
        <w:rFonts w:ascii="Arial" w:hAnsi="Arial" w:hint="default"/>
      </w:rPr>
    </w:lvl>
    <w:lvl w:ilvl="2" w:tplc="414C932A" w:tentative="1">
      <w:start w:val="1"/>
      <w:numFmt w:val="bullet"/>
      <w:lvlText w:val="•"/>
      <w:lvlJc w:val="left"/>
      <w:pPr>
        <w:tabs>
          <w:tab w:val="num" w:pos="2160"/>
        </w:tabs>
        <w:ind w:left="2160" w:hanging="360"/>
      </w:pPr>
      <w:rPr>
        <w:rFonts w:ascii="Arial" w:hAnsi="Arial" w:hint="default"/>
      </w:rPr>
    </w:lvl>
    <w:lvl w:ilvl="3" w:tplc="21BC9A5A" w:tentative="1">
      <w:start w:val="1"/>
      <w:numFmt w:val="bullet"/>
      <w:lvlText w:val="•"/>
      <w:lvlJc w:val="left"/>
      <w:pPr>
        <w:tabs>
          <w:tab w:val="num" w:pos="2880"/>
        </w:tabs>
        <w:ind w:left="2880" w:hanging="360"/>
      </w:pPr>
      <w:rPr>
        <w:rFonts w:ascii="Arial" w:hAnsi="Arial" w:hint="default"/>
      </w:rPr>
    </w:lvl>
    <w:lvl w:ilvl="4" w:tplc="1DC8C3B0" w:tentative="1">
      <w:start w:val="1"/>
      <w:numFmt w:val="bullet"/>
      <w:lvlText w:val="•"/>
      <w:lvlJc w:val="left"/>
      <w:pPr>
        <w:tabs>
          <w:tab w:val="num" w:pos="3600"/>
        </w:tabs>
        <w:ind w:left="3600" w:hanging="360"/>
      </w:pPr>
      <w:rPr>
        <w:rFonts w:ascii="Arial" w:hAnsi="Arial" w:hint="default"/>
      </w:rPr>
    </w:lvl>
    <w:lvl w:ilvl="5" w:tplc="D3249644" w:tentative="1">
      <w:start w:val="1"/>
      <w:numFmt w:val="bullet"/>
      <w:lvlText w:val="•"/>
      <w:lvlJc w:val="left"/>
      <w:pPr>
        <w:tabs>
          <w:tab w:val="num" w:pos="4320"/>
        </w:tabs>
        <w:ind w:left="4320" w:hanging="360"/>
      </w:pPr>
      <w:rPr>
        <w:rFonts w:ascii="Arial" w:hAnsi="Arial" w:hint="default"/>
      </w:rPr>
    </w:lvl>
    <w:lvl w:ilvl="6" w:tplc="3FFACD3C" w:tentative="1">
      <w:start w:val="1"/>
      <w:numFmt w:val="bullet"/>
      <w:lvlText w:val="•"/>
      <w:lvlJc w:val="left"/>
      <w:pPr>
        <w:tabs>
          <w:tab w:val="num" w:pos="5040"/>
        </w:tabs>
        <w:ind w:left="5040" w:hanging="360"/>
      </w:pPr>
      <w:rPr>
        <w:rFonts w:ascii="Arial" w:hAnsi="Arial" w:hint="default"/>
      </w:rPr>
    </w:lvl>
    <w:lvl w:ilvl="7" w:tplc="02AE4BF4" w:tentative="1">
      <w:start w:val="1"/>
      <w:numFmt w:val="bullet"/>
      <w:lvlText w:val="•"/>
      <w:lvlJc w:val="left"/>
      <w:pPr>
        <w:tabs>
          <w:tab w:val="num" w:pos="5760"/>
        </w:tabs>
        <w:ind w:left="5760" w:hanging="360"/>
      </w:pPr>
      <w:rPr>
        <w:rFonts w:ascii="Arial" w:hAnsi="Arial" w:hint="default"/>
      </w:rPr>
    </w:lvl>
    <w:lvl w:ilvl="8" w:tplc="2FF2D880" w:tentative="1">
      <w:start w:val="1"/>
      <w:numFmt w:val="bullet"/>
      <w:lvlText w:val="•"/>
      <w:lvlJc w:val="left"/>
      <w:pPr>
        <w:tabs>
          <w:tab w:val="num" w:pos="6480"/>
        </w:tabs>
        <w:ind w:left="6480" w:hanging="360"/>
      </w:pPr>
      <w:rPr>
        <w:rFonts w:ascii="Arial" w:hAnsi="Arial" w:hint="default"/>
      </w:rPr>
    </w:lvl>
  </w:abstractNum>
  <w:abstractNum w:abstractNumId="29" w15:restartNumberingAfterBreak="0">
    <w:nsid w:val="79FB636A"/>
    <w:multiLevelType w:val="hybridMultilevel"/>
    <w:tmpl w:val="4454BAA0"/>
    <w:lvl w:ilvl="0" w:tplc="3A1A42B8">
      <w:start w:val="1"/>
      <w:numFmt w:val="bullet"/>
      <w:lvlText w:val="•"/>
      <w:lvlJc w:val="left"/>
      <w:pPr>
        <w:tabs>
          <w:tab w:val="num" w:pos="720"/>
        </w:tabs>
        <w:ind w:left="720" w:hanging="360"/>
      </w:pPr>
      <w:rPr>
        <w:rFonts w:ascii="Times New Roman" w:hAnsi="Times New Roman" w:hint="default"/>
      </w:rPr>
    </w:lvl>
    <w:lvl w:ilvl="1" w:tplc="E692F104" w:tentative="1">
      <w:start w:val="1"/>
      <w:numFmt w:val="bullet"/>
      <w:lvlText w:val="•"/>
      <w:lvlJc w:val="left"/>
      <w:pPr>
        <w:tabs>
          <w:tab w:val="num" w:pos="1440"/>
        </w:tabs>
        <w:ind w:left="1440" w:hanging="360"/>
      </w:pPr>
      <w:rPr>
        <w:rFonts w:ascii="Times New Roman" w:hAnsi="Times New Roman" w:hint="default"/>
      </w:rPr>
    </w:lvl>
    <w:lvl w:ilvl="2" w:tplc="B2446C56" w:tentative="1">
      <w:start w:val="1"/>
      <w:numFmt w:val="bullet"/>
      <w:lvlText w:val="•"/>
      <w:lvlJc w:val="left"/>
      <w:pPr>
        <w:tabs>
          <w:tab w:val="num" w:pos="2160"/>
        </w:tabs>
        <w:ind w:left="2160" w:hanging="360"/>
      </w:pPr>
      <w:rPr>
        <w:rFonts w:ascii="Times New Roman" w:hAnsi="Times New Roman" w:hint="default"/>
      </w:rPr>
    </w:lvl>
    <w:lvl w:ilvl="3" w:tplc="AE4AC440" w:tentative="1">
      <w:start w:val="1"/>
      <w:numFmt w:val="bullet"/>
      <w:lvlText w:val="•"/>
      <w:lvlJc w:val="left"/>
      <w:pPr>
        <w:tabs>
          <w:tab w:val="num" w:pos="2880"/>
        </w:tabs>
        <w:ind w:left="2880" w:hanging="360"/>
      </w:pPr>
      <w:rPr>
        <w:rFonts w:ascii="Times New Roman" w:hAnsi="Times New Roman" w:hint="default"/>
      </w:rPr>
    </w:lvl>
    <w:lvl w:ilvl="4" w:tplc="66124D80" w:tentative="1">
      <w:start w:val="1"/>
      <w:numFmt w:val="bullet"/>
      <w:lvlText w:val="•"/>
      <w:lvlJc w:val="left"/>
      <w:pPr>
        <w:tabs>
          <w:tab w:val="num" w:pos="3600"/>
        </w:tabs>
        <w:ind w:left="3600" w:hanging="360"/>
      </w:pPr>
      <w:rPr>
        <w:rFonts w:ascii="Times New Roman" w:hAnsi="Times New Roman" w:hint="default"/>
      </w:rPr>
    </w:lvl>
    <w:lvl w:ilvl="5" w:tplc="842272CA" w:tentative="1">
      <w:start w:val="1"/>
      <w:numFmt w:val="bullet"/>
      <w:lvlText w:val="•"/>
      <w:lvlJc w:val="left"/>
      <w:pPr>
        <w:tabs>
          <w:tab w:val="num" w:pos="4320"/>
        </w:tabs>
        <w:ind w:left="4320" w:hanging="360"/>
      </w:pPr>
      <w:rPr>
        <w:rFonts w:ascii="Times New Roman" w:hAnsi="Times New Roman" w:hint="default"/>
      </w:rPr>
    </w:lvl>
    <w:lvl w:ilvl="6" w:tplc="35648CEA" w:tentative="1">
      <w:start w:val="1"/>
      <w:numFmt w:val="bullet"/>
      <w:lvlText w:val="•"/>
      <w:lvlJc w:val="left"/>
      <w:pPr>
        <w:tabs>
          <w:tab w:val="num" w:pos="5040"/>
        </w:tabs>
        <w:ind w:left="5040" w:hanging="360"/>
      </w:pPr>
      <w:rPr>
        <w:rFonts w:ascii="Times New Roman" w:hAnsi="Times New Roman" w:hint="default"/>
      </w:rPr>
    </w:lvl>
    <w:lvl w:ilvl="7" w:tplc="9126DD12" w:tentative="1">
      <w:start w:val="1"/>
      <w:numFmt w:val="bullet"/>
      <w:lvlText w:val="•"/>
      <w:lvlJc w:val="left"/>
      <w:pPr>
        <w:tabs>
          <w:tab w:val="num" w:pos="5760"/>
        </w:tabs>
        <w:ind w:left="5760" w:hanging="360"/>
      </w:pPr>
      <w:rPr>
        <w:rFonts w:ascii="Times New Roman" w:hAnsi="Times New Roman" w:hint="default"/>
      </w:rPr>
    </w:lvl>
    <w:lvl w:ilvl="8" w:tplc="7C16C172" w:tentative="1">
      <w:start w:val="1"/>
      <w:numFmt w:val="bullet"/>
      <w:lvlText w:val="•"/>
      <w:lvlJc w:val="left"/>
      <w:pPr>
        <w:tabs>
          <w:tab w:val="num" w:pos="6480"/>
        </w:tabs>
        <w:ind w:left="6480" w:hanging="360"/>
      </w:pPr>
      <w:rPr>
        <w:rFonts w:ascii="Times New Roman" w:hAnsi="Times New Roman" w:hint="default"/>
      </w:rPr>
    </w:lvl>
  </w:abstractNum>
  <w:abstractNum w:abstractNumId="30" w15:restartNumberingAfterBreak="0">
    <w:nsid w:val="7C2B4724"/>
    <w:multiLevelType w:val="hybridMultilevel"/>
    <w:tmpl w:val="A274A7E0"/>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num w:numId="1" w16cid:durableId="1965382314">
    <w:abstractNumId w:val="3"/>
  </w:num>
  <w:num w:numId="2" w16cid:durableId="1910113698">
    <w:abstractNumId w:val="9"/>
  </w:num>
  <w:num w:numId="3" w16cid:durableId="405613309">
    <w:abstractNumId w:val="26"/>
  </w:num>
  <w:num w:numId="4" w16cid:durableId="240213499">
    <w:abstractNumId w:val="15"/>
  </w:num>
  <w:num w:numId="5" w16cid:durableId="740492638">
    <w:abstractNumId w:val="5"/>
  </w:num>
  <w:num w:numId="6" w16cid:durableId="211576891">
    <w:abstractNumId w:val="24"/>
  </w:num>
  <w:num w:numId="7" w16cid:durableId="1918248069">
    <w:abstractNumId w:val="7"/>
  </w:num>
  <w:num w:numId="8" w16cid:durableId="1159419045">
    <w:abstractNumId w:val="29"/>
  </w:num>
  <w:num w:numId="9" w16cid:durableId="1798374138">
    <w:abstractNumId w:val="6"/>
  </w:num>
  <w:num w:numId="10" w16cid:durableId="1530677457">
    <w:abstractNumId w:val="25"/>
  </w:num>
  <w:num w:numId="11" w16cid:durableId="984315201">
    <w:abstractNumId w:val="2"/>
  </w:num>
  <w:num w:numId="12" w16cid:durableId="77621982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215510307">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569389165">
    <w:abstractNumId w:val="16"/>
  </w:num>
  <w:num w:numId="15" w16cid:durableId="1323195451">
    <w:abstractNumId w:val="13"/>
  </w:num>
  <w:num w:numId="16" w16cid:durableId="467165265">
    <w:abstractNumId w:val="10"/>
  </w:num>
  <w:num w:numId="17" w16cid:durableId="676033370">
    <w:abstractNumId w:val="12"/>
  </w:num>
  <w:num w:numId="18" w16cid:durableId="1742554342">
    <w:abstractNumId w:val="18"/>
  </w:num>
  <w:num w:numId="19" w16cid:durableId="613287013">
    <w:abstractNumId w:val="21"/>
  </w:num>
  <w:num w:numId="20" w16cid:durableId="8067070">
    <w:abstractNumId w:val="11"/>
  </w:num>
  <w:num w:numId="21" w16cid:durableId="825434180">
    <w:abstractNumId w:val="0"/>
  </w:num>
  <w:num w:numId="22" w16cid:durableId="1082681076">
    <w:abstractNumId w:val="23"/>
  </w:num>
  <w:num w:numId="23" w16cid:durableId="1901165520">
    <w:abstractNumId w:val="28"/>
  </w:num>
  <w:num w:numId="24" w16cid:durableId="1991010767">
    <w:abstractNumId w:val="22"/>
  </w:num>
  <w:num w:numId="25" w16cid:durableId="1542282676">
    <w:abstractNumId w:val="17"/>
  </w:num>
  <w:num w:numId="26" w16cid:durableId="986973659">
    <w:abstractNumId w:val="14"/>
  </w:num>
  <w:num w:numId="27" w16cid:durableId="815336034">
    <w:abstractNumId w:val="27"/>
  </w:num>
  <w:num w:numId="28" w16cid:durableId="1895651473">
    <w:abstractNumId w:val="8"/>
  </w:num>
  <w:num w:numId="29" w16cid:durableId="1858687908">
    <w:abstractNumId w:val="4"/>
  </w:num>
  <w:num w:numId="30" w16cid:durableId="1758164458">
    <w:abstractNumId w:val="20"/>
  </w:num>
  <w:num w:numId="31" w16cid:durableId="142554117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1943"/>
    <w:rsid w:val="00000954"/>
    <w:rsid w:val="00001C42"/>
    <w:rsid w:val="00001E72"/>
    <w:rsid w:val="0000226C"/>
    <w:rsid w:val="0000363D"/>
    <w:rsid w:val="00004596"/>
    <w:rsid w:val="00004B72"/>
    <w:rsid w:val="00005419"/>
    <w:rsid w:val="000054D2"/>
    <w:rsid w:val="00005B3F"/>
    <w:rsid w:val="00005DB1"/>
    <w:rsid w:val="00006511"/>
    <w:rsid w:val="00006C79"/>
    <w:rsid w:val="000070E2"/>
    <w:rsid w:val="00010564"/>
    <w:rsid w:val="000118C2"/>
    <w:rsid w:val="00011AF5"/>
    <w:rsid w:val="0001227F"/>
    <w:rsid w:val="00012832"/>
    <w:rsid w:val="00013D8A"/>
    <w:rsid w:val="00015933"/>
    <w:rsid w:val="000159E5"/>
    <w:rsid w:val="0001656C"/>
    <w:rsid w:val="000175B3"/>
    <w:rsid w:val="000176E6"/>
    <w:rsid w:val="000202BA"/>
    <w:rsid w:val="00020581"/>
    <w:rsid w:val="00020ED0"/>
    <w:rsid w:val="00020FE5"/>
    <w:rsid w:val="000213CC"/>
    <w:rsid w:val="000221E0"/>
    <w:rsid w:val="00023E9F"/>
    <w:rsid w:val="00024480"/>
    <w:rsid w:val="0002473E"/>
    <w:rsid w:val="00025805"/>
    <w:rsid w:val="000264B4"/>
    <w:rsid w:val="000265A3"/>
    <w:rsid w:val="00027099"/>
    <w:rsid w:val="00027B22"/>
    <w:rsid w:val="00027BAD"/>
    <w:rsid w:val="00031418"/>
    <w:rsid w:val="00031478"/>
    <w:rsid w:val="00035040"/>
    <w:rsid w:val="00036FAB"/>
    <w:rsid w:val="00037707"/>
    <w:rsid w:val="00037C17"/>
    <w:rsid w:val="00040FA4"/>
    <w:rsid w:val="00041985"/>
    <w:rsid w:val="000427B8"/>
    <w:rsid w:val="00043889"/>
    <w:rsid w:val="00043DB1"/>
    <w:rsid w:val="00044002"/>
    <w:rsid w:val="000444EA"/>
    <w:rsid w:val="000447C5"/>
    <w:rsid w:val="000458CD"/>
    <w:rsid w:val="0004612A"/>
    <w:rsid w:val="00047DF1"/>
    <w:rsid w:val="000509DD"/>
    <w:rsid w:val="00050AF7"/>
    <w:rsid w:val="00051022"/>
    <w:rsid w:val="00051A5B"/>
    <w:rsid w:val="00052C6A"/>
    <w:rsid w:val="00053780"/>
    <w:rsid w:val="00053EE4"/>
    <w:rsid w:val="00055000"/>
    <w:rsid w:val="000559DE"/>
    <w:rsid w:val="00055CBC"/>
    <w:rsid w:val="000563EB"/>
    <w:rsid w:val="00056A4F"/>
    <w:rsid w:val="00057396"/>
    <w:rsid w:val="000606C6"/>
    <w:rsid w:val="00060D7F"/>
    <w:rsid w:val="00063DEB"/>
    <w:rsid w:val="00066F52"/>
    <w:rsid w:val="0006711A"/>
    <w:rsid w:val="00072447"/>
    <w:rsid w:val="00072DB9"/>
    <w:rsid w:val="000733AD"/>
    <w:rsid w:val="0007445A"/>
    <w:rsid w:val="0007456F"/>
    <w:rsid w:val="00074C45"/>
    <w:rsid w:val="000752D6"/>
    <w:rsid w:val="00075932"/>
    <w:rsid w:val="0007638A"/>
    <w:rsid w:val="00076C37"/>
    <w:rsid w:val="000770D8"/>
    <w:rsid w:val="00080102"/>
    <w:rsid w:val="00081E35"/>
    <w:rsid w:val="0008300C"/>
    <w:rsid w:val="00083D1A"/>
    <w:rsid w:val="000841C2"/>
    <w:rsid w:val="000842AE"/>
    <w:rsid w:val="00084CF9"/>
    <w:rsid w:val="00086094"/>
    <w:rsid w:val="00086BE0"/>
    <w:rsid w:val="0008743D"/>
    <w:rsid w:val="000900C9"/>
    <w:rsid w:val="0009101B"/>
    <w:rsid w:val="00091B3B"/>
    <w:rsid w:val="00093324"/>
    <w:rsid w:val="0009491E"/>
    <w:rsid w:val="00095055"/>
    <w:rsid w:val="0009562F"/>
    <w:rsid w:val="00097293"/>
    <w:rsid w:val="000976B9"/>
    <w:rsid w:val="00097716"/>
    <w:rsid w:val="00097B42"/>
    <w:rsid w:val="000A019A"/>
    <w:rsid w:val="000A0285"/>
    <w:rsid w:val="000A0ECE"/>
    <w:rsid w:val="000A16EA"/>
    <w:rsid w:val="000A2779"/>
    <w:rsid w:val="000A29DE"/>
    <w:rsid w:val="000A2C3B"/>
    <w:rsid w:val="000A3ECF"/>
    <w:rsid w:val="000A4D59"/>
    <w:rsid w:val="000A5220"/>
    <w:rsid w:val="000A549A"/>
    <w:rsid w:val="000A6481"/>
    <w:rsid w:val="000A664C"/>
    <w:rsid w:val="000B064D"/>
    <w:rsid w:val="000B083D"/>
    <w:rsid w:val="000B0992"/>
    <w:rsid w:val="000B2005"/>
    <w:rsid w:val="000B32E2"/>
    <w:rsid w:val="000B3BFA"/>
    <w:rsid w:val="000B4C8F"/>
    <w:rsid w:val="000B510F"/>
    <w:rsid w:val="000B51A4"/>
    <w:rsid w:val="000B70C8"/>
    <w:rsid w:val="000B79A4"/>
    <w:rsid w:val="000B7D19"/>
    <w:rsid w:val="000C045B"/>
    <w:rsid w:val="000C11CC"/>
    <w:rsid w:val="000C12D3"/>
    <w:rsid w:val="000C12F1"/>
    <w:rsid w:val="000C1E4E"/>
    <w:rsid w:val="000C234E"/>
    <w:rsid w:val="000C3211"/>
    <w:rsid w:val="000C4910"/>
    <w:rsid w:val="000C502F"/>
    <w:rsid w:val="000C5651"/>
    <w:rsid w:val="000C6349"/>
    <w:rsid w:val="000C6834"/>
    <w:rsid w:val="000C78A3"/>
    <w:rsid w:val="000D011A"/>
    <w:rsid w:val="000D02A4"/>
    <w:rsid w:val="000D06FE"/>
    <w:rsid w:val="000D0E54"/>
    <w:rsid w:val="000D1749"/>
    <w:rsid w:val="000D1D61"/>
    <w:rsid w:val="000D2F41"/>
    <w:rsid w:val="000D32BB"/>
    <w:rsid w:val="000D49D0"/>
    <w:rsid w:val="000D4F26"/>
    <w:rsid w:val="000D56F1"/>
    <w:rsid w:val="000D5D2B"/>
    <w:rsid w:val="000D684D"/>
    <w:rsid w:val="000D6EF9"/>
    <w:rsid w:val="000E087A"/>
    <w:rsid w:val="000E0B50"/>
    <w:rsid w:val="000E0C43"/>
    <w:rsid w:val="000E1975"/>
    <w:rsid w:val="000E2B4E"/>
    <w:rsid w:val="000E2FCE"/>
    <w:rsid w:val="000E3B1C"/>
    <w:rsid w:val="000E42A4"/>
    <w:rsid w:val="000E4810"/>
    <w:rsid w:val="000E4ABC"/>
    <w:rsid w:val="000E55F2"/>
    <w:rsid w:val="000E563F"/>
    <w:rsid w:val="000E59CE"/>
    <w:rsid w:val="000E5F43"/>
    <w:rsid w:val="000E7D75"/>
    <w:rsid w:val="000F02C1"/>
    <w:rsid w:val="000F02FD"/>
    <w:rsid w:val="000F0342"/>
    <w:rsid w:val="000F0636"/>
    <w:rsid w:val="000F0A03"/>
    <w:rsid w:val="000F0B04"/>
    <w:rsid w:val="000F30E9"/>
    <w:rsid w:val="000F3195"/>
    <w:rsid w:val="000F426C"/>
    <w:rsid w:val="000F4318"/>
    <w:rsid w:val="000F617D"/>
    <w:rsid w:val="000F61F5"/>
    <w:rsid w:val="000F680C"/>
    <w:rsid w:val="000F6C58"/>
    <w:rsid w:val="000F70CA"/>
    <w:rsid w:val="00100269"/>
    <w:rsid w:val="001002CD"/>
    <w:rsid w:val="00100394"/>
    <w:rsid w:val="00100FC3"/>
    <w:rsid w:val="0010159F"/>
    <w:rsid w:val="00102262"/>
    <w:rsid w:val="0010268F"/>
    <w:rsid w:val="0010277A"/>
    <w:rsid w:val="00102D9A"/>
    <w:rsid w:val="00103662"/>
    <w:rsid w:val="0010371D"/>
    <w:rsid w:val="00105514"/>
    <w:rsid w:val="00105918"/>
    <w:rsid w:val="00105ACC"/>
    <w:rsid w:val="00105BE4"/>
    <w:rsid w:val="00105DB5"/>
    <w:rsid w:val="00106451"/>
    <w:rsid w:val="00106D78"/>
    <w:rsid w:val="00106F70"/>
    <w:rsid w:val="00107915"/>
    <w:rsid w:val="001102C6"/>
    <w:rsid w:val="001104C5"/>
    <w:rsid w:val="001106DD"/>
    <w:rsid w:val="00110C31"/>
    <w:rsid w:val="00110E3B"/>
    <w:rsid w:val="0011113B"/>
    <w:rsid w:val="001126B2"/>
    <w:rsid w:val="00112AA1"/>
    <w:rsid w:val="00112C5A"/>
    <w:rsid w:val="00112D3E"/>
    <w:rsid w:val="00112E70"/>
    <w:rsid w:val="0011443F"/>
    <w:rsid w:val="0011553C"/>
    <w:rsid w:val="00115D53"/>
    <w:rsid w:val="00115DDC"/>
    <w:rsid w:val="00116003"/>
    <w:rsid w:val="00116F4B"/>
    <w:rsid w:val="001177C9"/>
    <w:rsid w:val="00117860"/>
    <w:rsid w:val="001209DC"/>
    <w:rsid w:val="00120FB7"/>
    <w:rsid w:val="001226BC"/>
    <w:rsid w:val="00122810"/>
    <w:rsid w:val="00122CC4"/>
    <w:rsid w:val="0012351B"/>
    <w:rsid w:val="00123FF9"/>
    <w:rsid w:val="00124EF9"/>
    <w:rsid w:val="001253CC"/>
    <w:rsid w:val="001259D2"/>
    <w:rsid w:val="00126A7F"/>
    <w:rsid w:val="001271C2"/>
    <w:rsid w:val="00130063"/>
    <w:rsid w:val="00130359"/>
    <w:rsid w:val="001306A2"/>
    <w:rsid w:val="00131D36"/>
    <w:rsid w:val="00131E24"/>
    <w:rsid w:val="00131E94"/>
    <w:rsid w:val="00132159"/>
    <w:rsid w:val="00132EE9"/>
    <w:rsid w:val="0013407D"/>
    <w:rsid w:val="001348D9"/>
    <w:rsid w:val="00134A41"/>
    <w:rsid w:val="00134F6E"/>
    <w:rsid w:val="001361CA"/>
    <w:rsid w:val="00136519"/>
    <w:rsid w:val="0013679D"/>
    <w:rsid w:val="00136825"/>
    <w:rsid w:val="00136D3A"/>
    <w:rsid w:val="00136EC9"/>
    <w:rsid w:val="00136FC5"/>
    <w:rsid w:val="00136FC7"/>
    <w:rsid w:val="00137050"/>
    <w:rsid w:val="0013716D"/>
    <w:rsid w:val="00137560"/>
    <w:rsid w:val="00137659"/>
    <w:rsid w:val="00140854"/>
    <w:rsid w:val="00140E10"/>
    <w:rsid w:val="00142116"/>
    <w:rsid w:val="001438F4"/>
    <w:rsid w:val="00143BF5"/>
    <w:rsid w:val="00143DCC"/>
    <w:rsid w:val="00144794"/>
    <w:rsid w:val="00144D53"/>
    <w:rsid w:val="00144D9A"/>
    <w:rsid w:val="00145506"/>
    <w:rsid w:val="001457AA"/>
    <w:rsid w:val="00145E7A"/>
    <w:rsid w:val="00146F46"/>
    <w:rsid w:val="0015125A"/>
    <w:rsid w:val="00151A74"/>
    <w:rsid w:val="001526EE"/>
    <w:rsid w:val="0015278B"/>
    <w:rsid w:val="0015295E"/>
    <w:rsid w:val="00152A73"/>
    <w:rsid w:val="001534F6"/>
    <w:rsid w:val="00153692"/>
    <w:rsid w:val="00154B70"/>
    <w:rsid w:val="00154EE2"/>
    <w:rsid w:val="001553F8"/>
    <w:rsid w:val="00155A3F"/>
    <w:rsid w:val="00157080"/>
    <w:rsid w:val="001570E1"/>
    <w:rsid w:val="00157C6A"/>
    <w:rsid w:val="001605B3"/>
    <w:rsid w:val="001622C2"/>
    <w:rsid w:val="00162D23"/>
    <w:rsid w:val="001633ED"/>
    <w:rsid w:val="00163F5F"/>
    <w:rsid w:val="00165DDC"/>
    <w:rsid w:val="0016769F"/>
    <w:rsid w:val="00170298"/>
    <w:rsid w:val="00170CF6"/>
    <w:rsid w:val="001715A2"/>
    <w:rsid w:val="0017388B"/>
    <w:rsid w:val="00173D31"/>
    <w:rsid w:val="0017441E"/>
    <w:rsid w:val="0017486D"/>
    <w:rsid w:val="00175839"/>
    <w:rsid w:val="00175A85"/>
    <w:rsid w:val="00175E6C"/>
    <w:rsid w:val="00175FBC"/>
    <w:rsid w:val="00176669"/>
    <w:rsid w:val="001766FF"/>
    <w:rsid w:val="00176C20"/>
    <w:rsid w:val="00176DFC"/>
    <w:rsid w:val="00177598"/>
    <w:rsid w:val="00180856"/>
    <w:rsid w:val="001808FE"/>
    <w:rsid w:val="0018097B"/>
    <w:rsid w:val="00180A13"/>
    <w:rsid w:val="00182C97"/>
    <w:rsid w:val="00183066"/>
    <w:rsid w:val="001833C7"/>
    <w:rsid w:val="00183FB4"/>
    <w:rsid w:val="00184412"/>
    <w:rsid w:val="0018579C"/>
    <w:rsid w:val="00186A72"/>
    <w:rsid w:val="001903B2"/>
    <w:rsid w:val="001906F3"/>
    <w:rsid w:val="00192933"/>
    <w:rsid w:val="001929FC"/>
    <w:rsid w:val="00195C6D"/>
    <w:rsid w:val="001961C5"/>
    <w:rsid w:val="00196F95"/>
    <w:rsid w:val="00197315"/>
    <w:rsid w:val="0019772B"/>
    <w:rsid w:val="001A05A9"/>
    <w:rsid w:val="001A0C9F"/>
    <w:rsid w:val="001A2614"/>
    <w:rsid w:val="001A2623"/>
    <w:rsid w:val="001A463E"/>
    <w:rsid w:val="001A46CC"/>
    <w:rsid w:val="001A6304"/>
    <w:rsid w:val="001B1060"/>
    <w:rsid w:val="001B11F1"/>
    <w:rsid w:val="001B1467"/>
    <w:rsid w:val="001B1C5E"/>
    <w:rsid w:val="001B2B23"/>
    <w:rsid w:val="001B2E5E"/>
    <w:rsid w:val="001B3197"/>
    <w:rsid w:val="001B39D3"/>
    <w:rsid w:val="001B4DA8"/>
    <w:rsid w:val="001B59D5"/>
    <w:rsid w:val="001B59D9"/>
    <w:rsid w:val="001B5F14"/>
    <w:rsid w:val="001B6935"/>
    <w:rsid w:val="001B7154"/>
    <w:rsid w:val="001C091C"/>
    <w:rsid w:val="001C121C"/>
    <w:rsid w:val="001C150C"/>
    <w:rsid w:val="001C1FAA"/>
    <w:rsid w:val="001C2261"/>
    <w:rsid w:val="001C266E"/>
    <w:rsid w:val="001C280D"/>
    <w:rsid w:val="001C306A"/>
    <w:rsid w:val="001C49DC"/>
    <w:rsid w:val="001C6945"/>
    <w:rsid w:val="001C698F"/>
    <w:rsid w:val="001C7200"/>
    <w:rsid w:val="001C7CD3"/>
    <w:rsid w:val="001C7F88"/>
    <w:rsid w:val="001D12D6"/>
    <w:rsid w:val="001D169B"/>
    <w:rsid w:val="001D1B1C"/>
    <w:rsid w:val="001D2B76"/>
    <w:rsid w:val="001D2C14"/>
    <w:rsid w:val="001D2ECE"/>
    <w:rsid w:val="001D3292"/>
    <w:rsid w:val="001D39E5"/>
    <w:rsid w:val="001D3C90"/>
    <w:rsid w:val="001D43DB"/>
    <w:rsid w:val="001D474C"/>
    <w:rsid w:val="001D4A3B"/>
    <w:rsid w:val="001D5BB9"/>
    <w:rsid w:val="001D6B1A"/>
    <w:rsid w:val="001D7365"/>
    <w:rsid w:val="001D7DA5"/>
    <w:rsid w:val="001E15FD"/>
    <w:rsid w:val="001E1AED"/>
    <w:rsid w:val="001E27B8"/>
    <w:rsid w:val="001E31AB"/>
    <w:rsid w:val="001E3706"/>
    <w:rsid w:val="001E3B01"/>
    <w:rsid w:val="001E4032"/>
    <w:rsid w:val="001E432A"/>
    <w:rsid w:val="001E4370"/>
    <w:rsid w:val="001E4D27"/>
    <w:rsid w:val="001E5169"/>
    <w:rsid w:val="001E5571"/>
    <w:rsid w:val="001E60C5"/>
    <w:rsid w:val="001E6F5D"/>
    <w:rsid w:val="001E71FE"/>
    <w:rsid w:val="001F0819"/>
    <w:rsid w:val="001F1677"/>
    <w:rsid w:val="001F1C52"/>
    <w:rsid w:val="001F2A1F"/>
    <w:rsid w:val="001F3DF4"/>
    <w:rsid w:val="001F49EA"/>
    <w:rsid w:val="001F5CF7"/>
    <w:rsid w:val="001F64C3"/>
    <w:rsid w:val="001F6A78"/>
    <w:rsid w:val="001F6E8A"/>
    <w:rsid w:val="001F72D8"/>
    <w:rsid w:val="001F7B28"/>
    <w:rsid w:val="002010C8"/>
    <w:rsid w:val="0020111C"/>
    <w:rsid w:val="0020121A"/>
    <w:rsid w:val="00201DDA"/>
    <w:rsid w:val="002027D4"/>
    <w:rsid w:val="0020296D"/>
    <w:rsid w:val="00203021"/>
    <w:rsid w:val="00203302"/>
    <w:rsid w:val="00203A7B"/>
    <w:rsid w:val="00203F87"/>
    <w:rsid w:val="002045A5"/>
    <w:rsid w:val="00204637"/>
    <w:rsid w:val="0020488B"/>
    <w:rsid w:val="00204F09"/>
    <w:rsid w:val="0020667A"/>
    <w:rsid w:val="0020698C"/>
    <w:rsid w:val="00206F7E"/>
    <w:rsid w:val="00207AE7"/>
    <w:rsid w:val="00207BE5"/>
    <w:rsid w:val="00207CB1"/>
    <w:rsid w:val="002105A2"/>
    <w:rsid w:val="00210A9C"/>
    <w:rsid w:val="00211E6F"/>
    <w:rsid w:val="002128AF"/>
    <w:rsid w:val="00212996"/>
    <w:rsid w:val="002137B0"/>
    <w:rsid w:val="002138C0"/>
    <w:rsid w:val="002150BF"/>
    <w:rsid w:val="00215481"/>
    <w:rsid w:val="00216187"/>
    <w:rsid w:val="00216A54"/>
    <w:rsid w:val="00217881"/>
    <w:rsid w:val="0022075B"/>
    <w:rsid w:val="00221F77"/>
    <w:rsid w:val="00221FF5"/>
    <w:rsid w:val="002226C1"/>
    <w:rsid w:val="00222917"/>
    <w:rsid w:val="00222DB9"/>
    <w:rsid w:val="002244BA"/>
    <w:rsid w:val="00224E2B"/>
    <w:rsid w:val="0022581B"/>
    <w:rsid w:val="00225F51"/>
    <w:rsid w:val="0022648E"/>
    <w:rsid w:val="002268A9"/>
    <w:rsid w:val="00226AB8"/>
    <w:rsid w:val="00226F32"/>
    <w:rsid w:val="00227ACD"/>
    <w:rsid w:val="00227C82"/>
    <w:rsid w:val="002307C1"/>
    <w:rsid w:val="0023165F"/>
    <w:rsid w:val="00231F3A"/>
    <w:rsid w:val="002328F4"/>
    <w:rsid w:val="0023390F"/>
    <w:rsid w:val="0023393E"/>
    <w:rsid w:val="0023493E"/>
    <w:rsid w:val="00235942"/>
    <w:rsid w:val="00236538"/>
    <w:rsid w:val="0023703D"/>
    <w:rsid w:val="002375B2"/>
    <w:rsid w:val="00237A71"/>
    <w:rsid w:val="00237E0B"/>
    <w:rsid w:val="00242D73"/>
    <w:rsid w:val="002443DF"/>
    <w:rsid w:val="002446E1"/>
    <w:rsid w:val="00244923"/>
    <w:rsid w:val="002472A6"/>
    <w:rsid w:val="00247512"/>
    <w:rsid w:val="00247A4D"/>
    <w:rsid w:val="00250212"/>
    <w:rsid w:val="002507F2"/>
    <w:rsid w:val="00250C73"/>
    <w:rsid w:val="00251163"/>
    <w:rsid w:val="00251393"/>
    <w:rsid w:val="0025241A"/>
    <w:rsid w:val="0025305E"/>
    <w:rsid w:val="00253D09"/>
    <w:rsid w:val="00254CA2"/>
    <w:rsid w:val="002556C2"/>
    <w:rsid w:val="00256268"/>
    <w:rsid w:val="002567A3"/>
    <w:rsid w:val="0025756A"/>
    <w:rsid w:val="00260219"/>
    <w:rsid w:val="00260B2C"/>
    <w:rsid w:val="0026106F"/>
    <w:rsid w:val="0026210C"/>
    <w:rsid w:val="0026268C"/>
    <w:rsid w:val="00262B7F"/>
    <w:rsid w:val="00263207"/>
    <w:rsid w:val="00264741"/>
    <w:rsid w:val="00264C92"/>
    <w:rsid w:val="0026639E"/>
    <w:rsid w:val="00266980"/>
    <w:rsid w:val="00266ACC"/>
    <w:rsid w:val="00267ACA"/>
    <w:rsid w:val="002707C5"/>
    <w:rsid w:val="00270A4E"/>
    <w:rsid w:val="00270E60"/>
    <w:rsid w:val="00270F52"/>
    <w:rsid w:val="00271563"/>
    <w:rsid w:val="00271569"/>
    <w:rsid w:val="00272177"/>
    <w:rsid w:val="002725DA"/>
    <w:rsid w:val="00274645"/>
    <w:rsid w:val="00274844"/>
    <w:rsid w:val="002748F6"/>
    <w:rsid w:val="00274D15"/>
    <w:rsid w:val="00275209"/>
    <w:rsid w:val="00277397"/>
    <w:rsid w:val="00277D90"/>
    <w:rsid w:val="0028055F"/>
    <w:rsid w:val="002808DB"/>
    <w:rsid w:val="00280AB4"/>
    <w:rsid w:val="00280D31"/>
    <w:rsid w:val="00280F92"/>
    <w:rsid w:val="002817B5"/>
    <w:rsid w:val="00282BE6"/>
    <w:rsid w:val="00283681"/>
    <w:rsid w:val="00284721"/>
    <w:rsid w:val="0028530F"/>
    <w:rsid w:val="002853A9"/>
    <w:rsid w:val="00285A75"/>
    <w:rsid w:val="00287580"/>
    <w:rsid w:val="00290498"/>
    <w:rsid w:val="0029071C"/>
    <w:rsid w:val="00291656"/>
    <w:rsid w:val="0029179B"/>
    <w:rsid w:val="00291BE8"/>
    <w:rsid w:val="00293122"/>
    <w:rsid w:val="00293873"/>
    <w:rsid w:val="0029502E"/>
    <w:rsid w:val="00295F01"/>
    <w:rsid w:val="00296021"/>
    <w:rsid w:val="0029774E"/>
    <w:rsid w:val="00297B85"/>
    <w:rsid w:val="002A0002"/>
    <w:rsid w:val="002A02A1"/>
    <w:rsid w:val="002A04EB"/>
    <w:rsid w:val="002A07F7"/>
    <w:rsid w:val="002A1748"/>
    <w:rsid w:val="002A23FA"/>
    <w:rsid w:val="002A266C"/>
    <w:rsid w:val="002A2CE3"/>
    <w:rsid w:val="002A31A1"/>
    <w:rsid w:val="002A3CF3"/>
    <w:rsid w:val="002A3F7E"/>
    <w:rsid w:val="002A4191"/>
    <w:rsid w:val="002A5D11"/>
    <w:rsid w:val="002A6290"/>
    <w:rsid w:val="002A6A60"/>
    <w:rsid w:val="002B1743"/>
    <w:rsid w:val="002B1996"/>
    <w:rsid w:val="002B35B7"/>
    <w:rsid w:val="002B3AB2"/>
    <w:rsid w:val="002B4617"/>
    <w:rsid w:val="002B4641"/>
    <w:rsid w:val="002B5069"/>
    <w:rsid w:val="002B52C8"/>
    <w:rsid w:val="002B58A5"/>
    <w:rsid w:val="002B724C"/>
    <w:rsid w:val="002C02A9"/>
    <w:rsid w:val="002C0719"/>
    <w:rsid w:val="002C179D"/>
    <w:rsid w:val="002C18CD"/>
    <w:rsid w:val="002C204D"/>
    <w:rsid w:val="002C2C2B"/>
    <w:rsid w:val="002C30D4"/>
    <w:rsid w:val="002C47FE"/>
    <w:rsid w:val="002C513E"/>
    <w:rsid w:val="002C5B51"/>
    <w:rsid w:val="002D1376"/>
    <w:rsid w:val="002D238E"/>
    <w:rsid w:val="002D2A30"/>
    <w:rsid w:val="002D2DC7"/>
    <w:rsid w:val="002D3F94"/>
    <w:rsid w:val="002D4720"/>
    <w:rsid w:val="002D49FB"/>
    <w:rsid w:val="002D4A25"/>
    <w:rsid w:val="002D4DF8"/>
    <w:rsid w:val="002D6038"/>
    <w:rsid w:val="002D7231"/>
    <w:rsid w:val="002E0041"/>
    <w:rsid w:val="002E1390"/>
    <w:rsid w:val="002E1AEB"/>
    <w:rsid w:val="002E1DBF"/>
    <w:rsid w:val="002E2498"/>
    <w:rsid w:val="002E3105"/>
    <w:rsid w:val="002E320D"/>
    <w:rsid w:val="002E3E1D"/>
    <w:rsid w:val="002E4CA1"/>
    <w:rsid w:val="002E4EFD"/>
    <w:rsid w:val="002E5E57"/>
    <w:rsid w:val="002E6192"/>
    <w:rsid w:val="002E6312"/>
    <w:rsid w:val="002E6C7C"/>
    <w:rsid w:val="002F0118"/>
    <w:rsid w:val="002F0F08"/>
    <w:rsid w:val="002F1752"/>
    <w:rsid w:val="002F1AFD"/>
    <w:rsid w:val="002F20C7"/>
    <w:rsid w:val="002F2F90"/>
    <w:rsid w:val="002F2FAA"/>
    <w:rsid w:val="002F416F"/>
    <w:rsid w:val="002F4373"/>
    <w:rsid w:val="002F43DE"/>
    <w:rsid w:val="002F477C"/>
    <w:rsid w:val="002F4A74"/>
    <w:rsid w:val="002F4CBD"/>
    <w:rsid w:val="002F4CDA"/>
    <w:rsid w:val="002F506A"/>
    <w:rsid w:val="002F52DA"/>
    <w:rsid w:val="002F557F"/>
    <w:rsid w:val="002F58FE"/>
    <w:rsid w:val="002F6432"/>
    <w:rsid w:val="002F6A6D"/>
    <w:rsid w:val="003012B9"/>
    <w:rsid w:val="0030161E"/>
    <w:rsid w:val="00301915"/>
    <w:rsid w:val="003028DC"/>
    <w:rsid w:val="003029D1"/>
    <w:rsid w:val="0030348A"/>
    <w:rsid w:val="00303B0E"/>
    <w:rsid w:val="003045DD"/>
    <w:rsid w:val="00304727"/>
    <w:rsid w:val="0030613B"/>
    <w:rsid w:val="00306844"/>
    <w:rsid w:val="003077DD"/>
    <w:rsid w:val="003111F3"/>
    <w:rsid w:val="003131EC"/>
    <w:rsid w:val="003134AE"/>
    <w:rsid w:val="00313DD8"/>
    <w:rsid w:val="003142AD"/>
    <w:rsid w:val="003143A4"/>
    <w:rsid w:val="00314AB6"/>
    <w:rsid w:val="00314CF6"/>
    <w:rsid w:val="00315F32"/>
    <w:rsid w:val="00316BAA"/>
    <w:rsid w:val="00317242"/>
    <w:rsid w:val="00320811"/>
    <w:rsid w:val="00322BF9"/>
    <w:rsid w:val="00324743"/>
    <w:rsid w:val="00324769"/>
    <w:rsid w:val="00324B27"/>
    <w:rsid w:val="003253AF"/>
    <w:rsid w:val="003258C4"/>
    <w:rsid w:val="00327407"/>
    <w:rsid w:val="00327CB6"/>
    <w:rsid w:val="00330A92"/>
    <w:rsid w:val="003315E9"/>
    <w:rsid w:val="0033298A"/>
    <w:rsid w:val="00333B31"/>
    <w:rsid w:val="00334257"/>
    <w:rsid w:val="0033440C"/>
    <w:rsid w:val="00335341"/>
    <w:rsid w:val="00335B88"/>
    <w:rsid w:val="00336412"/>
    <w:rsid w:val="00336CA6"/>
    <w:rsid w:val="00337157"/>
    <w:rsid w:val="003373BE"/>
    <w:rsid w:val="00340F22"/>
    <w:rsid w:val="003411DB"/>
    <w:rsid w:val="003417B4"/>
    <w:rsid w:val="00341D86"/>
    <w:rsid w:val="003423A7"/>
    <w:rsid w:val="003426EE"/>
    <w:rsid w:val="0034310E"/>
    <w:rsid w:val="00344213"/>
    <w:rsid w:val="003444F4"/>
    <w:rsid w:val="00344B88"/>
    <w:rsid w:val="00344EBB"/>
    <w:rsid w:val="00345842"/>
    <w:rsid w:val="0034612F"/>
    <w:rsid w:val="00346684"/>
    <w:rsid w:val="003472AF"/>
    <w:rsid w:val="00347FD9"/>
    <w:rsid w:val="003508FE"/>
    <w:rsid w:val="00351369"/>
    <w:rsid w:val="0035167B"/>
    <w:rsid w:val="003522BD"/>
    <w:rsid w:val="00352D4E"/>
    <w:rsid w:val="003543D2"/>
    <w:rsid w:val="0035493D"/>
    <w:rsid w:val="00356528"/>
    <w:rsid w:val="00356A6D"/>
    <w:rsid w:val="00356C7A"/>
    <w:rsid w:val="00356FF7"/>
    <w:rsid w:val="0035718C"/>
    <w:rsid w:val="003600A2"/>
    <w:rsid w:val="003608A1"/>
    <w:rsid w:val="003608FD"/>
    <w:rsid w:val="0036420C"/>
    <w:rsid w:val="00364A11"/>
    <w:rsid w:val="00366057"/>
    <w:rsid w:val="00366A68"/>
    <w:rsid w:val="003677E2"/>
    <w:rsid w:val="0037051F"/>
    <w:rsid w:val="003707E0"/>
    <w:rsid w:val="00370F35"/>
    <w:rsid w:val="003725F0"/>
    <w:rsid w:val="003732C7"/>
    <w:rsid w:val="0037346E"/>
    <w:rsid w:val="003739F0"/>
    <w:rsid w:val="00373FC2"/>
    <w:rsid w:val="003742A8"/>
    <w:rsid w:val="003749A5"/>
    <w:rsid w:val="00375CF8"/>
    <w:rsid w:val="00376918"/>
    <w:rsid w:val="00376F07"/>
    <w:rsid w:val="003775A3"/>
    <w:rsid w:val="00380502"/>
    <w:rsid w:val="00380788"/>
    <w:rsid w:val="003809CD"/>
    <w:rsid w:val="00381524"/>
    <w:rsid w:val="00381FAF"/>
    <w:rsid w:val="00383D10"/>
    <w:rsid w:val="00384170"/>
    <w:rsid w:val="003847A3"/>
    <w:rsid w:val="00385683"/>
    <w:rsid w:val="00386E7F"/>
    <w:rsid w:val="00387749"/>
    <w:rsid w:val="00387CB8"/>
    <w:rsid w:val="0039010C"/>
    <w:rsid w:val="00390C7F"/>
    <w:rsid w:val="00390E5C"/>
    <w:rsid w:val="00391AED"/>
    <w:rsid w:val="00391C4B"/>
    <w:rsid w:val="00391FA6"/>
    <w:rsid w:val="00393046"/>
    <w:rsid w:val="00394F6F"/>
    <w:rsid w:val="00395026"/>
    <w:rsid w:val="003952ED"/>
    <w:rsid w:val="00395549"/>
    <w:rsid w:val="00395F29"/>
    <w:rsid w:val="00396610"/>
    <w:rsid w:val="00396DEC"/>
    <w:rsid w:val="00396F9D"/>
    <w:rsid w:val="00397430"/>
    <w:rsid w:val="003A0443"/>
    <w:rsid w:val="003A0F5E"/>
    <w:rsid w:val="003A1E08"/>
    <w:rsid w:val="003A1F79"/>
    <w:rsid w:val="003A39B8"/>
    <w:rsid w:val="003A424B"/>
    <w:rsid w:val="003A46D3"/>
    <w:rsid w:val="003A542D"/>
    <w:rsid w:val="003A5636"/>
    <w:rsid w:val="003A5765"/>
    <w:rsid w:val="003A623D"/>
    <w:rsid w:val="003A68A3"/>
    <w:rsid w:val="003A76ED"/>
    <w:rsid w:val="003B0281"/>
    <w:rsid w:val="003B0433"/>
    <w:rsid w:val="003B04C1"/>
    <w:rsid w:val="003B2C84"/>
    <w:rsid w:val="003B4E23"/>
    <w:rsid w:val="003B4F01"/>
    <w:rsid w:val="003B505C"/>
    <w:rsid w:val="003B519E"/>
    <w:rsid w:val="003B5E6F"/>
    <w:rsid w:val="003B7AE1"/>
    <w:rsid w:val="003C0B1B"/>
    <w:rsid w:val="003C1195"/>
    <w:rsid w:val="003C12B6"/>
    <w:rsid w:val="003C185F"/>
    <w:rsid w:val="003C2D27"/>
    <w:rsid w:val="003C3451"/>
    <w:rsid w:val="003C373E"/>
    <w:rsid w:val="003C392F"/>
    <w:rsid w:val="003C3D7F"/>
    <w:rsid w:val="003C41DD"/>
    <w:rsid w:val="003C4DE7"/>
    <w:rsid w:val="003C5F2E"/>
    <w:rsid w:val="003C6326"/>
    <w:rsid w:val="003C6710"/>
    <w:rsid w:val="003C6D87"/>
    <w:rsid w:val="003C7600"/>
    <w:rsid w:val="003D079C"/>
    <w:rsid w:val="003D0D7D"/>
    <w:rsid w:val="003D164F"/>
    <w:rsid w:val="003D18F0"/>
    <w:rsid w:val="003D224C"/>
    <w:rsid w:val="003D2390"/>
    <w:rsid w:val="003D2EFA"/>
    <w:rsid w:val="003D3759"/>
    <w:rsid w:val="003D45D4"/>
    <w:rsid w:val="003D57E2"/>
    <w:rsid w:val="003D613B"/>
    <w:rsid w:val="003D684B"/>
    <w:rsid w:val="003D749F"/>
    <w:rsid w:val="003D7D9E"/>
    <w:rsid w:val="003E0FC6"/>
    <w:rsid w:val="003E14DF"/>
    <w:rsid w:val="003E1AAB"/>
    <w:rsid w:val="003E1F42"/>
    <w:rsid w:val="003E3584"/>
    <w:rsid w:val="003E382B"/>
    <w:rsid w:val="003E393C"/>
    <w:rsid w:val="003E3ACA"/>
    <w:rsid w:val="003E3DCB"/>
    <w:rsid w:val="003E4312"/>
    <w:rsid w:val="003E4820"/>
    <w:rsid w:val="003E48FA"/>
    <w:rsid w:val="003E4ADE"/>
    <w:rsid w:val="003E5891"/>
    <w:rsid w:val="003E7ED0"/>
    <w:rsid w:val="003F021E"/>
    <w:rsid w:val="003F03DF"/>
    <w:rsid w:val="003F1189"/>
    <w:rsid w:val="003F12BC"/>
    <w:rsid w:val="003F12D5"/>
    <w:rsid w:val="003F159E"/>
    <w:rsid w:val="003F1CB9"/>
    <w:rsid w:val="003F2050"/>
    <w:rsid w:val="003F37CA"/>
    <w:rsid w:val="003F3922"/>
    <w:rsid w:val="003F45B7"/>
    <w:rsid w:val="003F470D"/>
    <w:rsid w:val="003F512D"/>
    <w:rsid w:val="003F56AD"/>
    <w:rsid w:val="003F6A8D"/>
    <w:rsid w:val="003F6E69"/>
    <w:rsid w:val="003F7F31"/>
    <w:rsid w:val="004009B6"/>
    <w:rsid w:val="00400E23"/>
    <w:rsid w:val="004015AF"/>
    <w:rsid w:val="00401CD3"/>
    <w:rsid w:val="00401F79"/>
    <w:rsid w:val="00402778"/>
    <w:rsid w:val="00402D75"/>
    <w:rsid w:val="00402E19"/>
    <w:rsid w:val="00402FA1"/>
    <w:rsid w:val="00403744"/>
    <w:rsid w:val="0040474A"/>
    <w:rsid w:val="00404E84"/>
    <w:rsid w:val="00405D7E"/>
    <w:rsid w:val="00406F40"/>
    <w:rsid w:val="0040774B"/>
    <w:rsid w:val="00407FB6"/>
    <w:rsid w:val="00410561"/>
    <w:rsid w:val="004120D6"/>
    <w:rsid w:val="00412186"/>
    <w:rsid w:val="00412763"/>
    <w:rsid w:val="00412A2D"/>
    <w:rsid w:val="00413258"/>
    <w:rsid w:val="0041355F"/>
    <w:rsid w:val="00414181"/>
    <w:rsid w:val="0041427D"/>
    <w:rsid w:val="00414AD4"/>
    <w:rsid w:val="0041521E"/>
    <w:rsid w:val="004164DD"/>
    <w:rsid w:val="00416763"/>
    <w:rsid w:val="0041745A"/>
    <w:rsid w:val="0041772D"/>
    <w:rsid w:val="004179B3"/>
    <w:rsid w:val="004207D5"/>
    <w:rsid w:val="00420E6E"/>
    <w:rsid w:val="00422B81"/>
    <w:rsid w:val="00422E44"/>
    <w:rsid w:val="004231FB"/>
    <w:rsid w:val="00423374"/>
    <w:rsid w:val="00423E0D"/>
    <w:rsid w:val="004257BB"/>
    <w:rsid w:val="00425883"/>
    <w:rsid w:val="00425A84"/>
    <w:rsid w:val="00425B3B"/>
    <w:rsid w:val="0042602B"/>
    <w:rsid w:val="004279BD"/>
    <w:rsid w:val="00430F3C"/>
    <w:rsid w:val="004325D3"/>
    <w:rsid w:val="00435176"/>
    <w:rsid w:val="00436085"/>
    <w:rsid w:val="00436F5C"/>
    <w:rsid w:val="004371EE"/>
    <w:rsid w:val="00437589"/>
    <w:rsid w:val="0043780A"/>
    <w:rsid w:val="00440A53"/>
    <w:rsid w:val="00441C0D"/>
    <w:rsid w:val="00442170"/>
    <w:rsid w:val="0044352D"/>
    <w:rsid w:val="004444EE"/>
    <w:rsid w:val="004445E7"/>
    <w:rsid w:val="0044491F"/>
    <w:rsid w:val="00444BDA"/>
    <w:rsid w:val="00445609"/>
    <w:rsid w:val="004464CF"/>
    <w:rsid w:val="00446AAD"/>
    <w:rsid w:val="004476C2"/>
    <w:rsid w:val="00451368"/>
    <w:rsid w:val="004522D4"/>
    <w:rsid w:val="00452B0E"/>
    <w:rsid w:val="00453473"/>
    <w:rsid w:val="004555E6"/>
    <w:rsid w:val="00456A9B"/>
    <w:rsid w:val="00460772"/>
    <w:rsid w:val="00461E79"/>
    <w:rsid w:val="00462717"/>
    <w:rsid w:val="004641CC"/>
    <w:rsid w:val="0046433E"/>
    <w:rsid w:val="00464E64"/>
    <w:rsid w:val="00465403"/>
    <w:rsid w:val="00465526"/>
    <w:rsid w:val="0046651A"/>
    <w:rsid w:val="004674AA"/>
    <w:rsid w:val="004714FB"/>
    <w:rsid w:val="004718BD"/>
    <w:rsid w:val="00471B86"/>
    <w:rsid w:val="00471D6F"/>
    <w:rsid w:val="00472210"/>
    <w:rsid w:val="00473C52"/>
    <w:rsid w:val="00474524"/>
    <w:rsid w:val="00475D5E"/>
    <w:rsid w:val="00475F13"/>
    <w:rsid w:val="0047661B"/>
    <w:rsid w:val="00476A2A"/>
    <w:rsid w:val="00477094"/>
    <w:rsid w:val="0047757F"/>
    <w:rsid w:val="00477AF5"/>
    <w:rsid w:val="00477CEB"/>
    <w:rsid w:val="004803D6"/>
    <w:rsid w:val="00480B75"/>
    <w:rsid w:val="004828F3"/>
    <w:rsid w:val="00483136"/>
    <w:rsid w:val="0048354D"/>
    <w:rsid w:val="00483FA6"/>
    <w:rsid w:val="0048489E"/>
    <w:rsid w:val="004852E3"/>
    <w:rsid w:val="00485ADC"/>
    <w:rsid w:val="00486858"/>
    <w:rsid w:val="00486BC4"/>
    <w:rsid w:val="00486C1D"/>
    <w:rsid w:val="004904F6"/>
    <w:rsid w:val="00490505"/>
    <w:rsid w:val="004908DB"/>
    <w:rsid w:val="00490E04"/>
    <w:rsid w:val="00490E1A"/>
    <w:rsid w:val="00491DB6"/>
    <w:rsid w:val="00492636"/>
    <w:rsid w:val="004934D9"/>
    <w:rsid w:val="004935C1"/>
    <w:rsid w:val="00493A20"/>
    <w:rsid w:val="00493C14"/>
    <w:rsid w:val="004951FE"/>
    <w:rsid w:val="00495C6A"/>
    <w:rsid w:val="004969D8"/>
    <w:rsid w:val="00496A0D"/>
    <w:rsid w:val="0049704E"/>
    <w:rsid w:val="004975FD"/>
    <w:rsid w:val="004979BF"/>
    <w:rsid w:val="004A1724"/>
    <w:rsid w:val="004A2349"/>
    <w:rsid w:val="004A31A7"/>
    <w:rsid w:val="004A435C"/>
    <w:rsid w:val="004A44DB"/>
    <w:rsid w:val="004A4D8B"/>
    <w:rsid w:val="004A4E6A"/>
    <w:rsid w:val="004A53BB"/>
    <w:rsid w:val="004A5428"/>
    <w:rsid w:val="004A5819"/>
    <w:rsid w:val="004A5C0E"/>
    <w:rsid w:val="004A5D84"/>
    <w:rsid w:val="004A6CE0"/>
    <w:rsid w:val="004A724B"/>
    <w:rsid w:val="004A74F4"/>
    <w:rsid w:val="004B1175"/>
    <w:rsid w:val="004B1442"/>
    <w:rsid w:val="004B1766"/>
    <w:rsid w:val="004B19DD"/>
    <w:rsid w:val="004B2E1A"/>
    <w:rsid w:val="004B3889"/>
    <w:rsid w:val="004B3E0D"/>
    <w:rsid w:val="004B3F04"/>
    <w:rsid w:val="004B441B"/>
    <w:rsid w:val="004B4571"/>
    <w:rsid w:val="004B4DE5"/>
    <w:rsid w:val="004B51F9"/>
    <w:rsid w:val="004B564F"/>
    <w:rsid w:val="004B61C3"/>
    <w:rsid w:val="004B6A7C"/>
    <w:rsid w:val="004B7ECE"/>
    <w:rsid w:val="004C04EA"/>
    <w:rsid w:val="004C0763"/>
    <w:rsid w:val="004C0A56"/>
    <w:rsid w:val="004C0AC1"/>
    <w:rsid w:val="004C10E7"/>
    <w:rsid w:val="004C23FB"/>
    <w:rsid w:val="004C3997"/>
    <w:rsid w:val="004C423D"/>
    <w:rsid w:val="004C4605"/>
    <w:rsid w:val="004C4C1F"/>
    <w:rsid w:val="004C50BF"/>
    <w:rsid w:val="004C53CB"/>
    <w:rsid w:val="004C593C"/>
    <w:rsid w:val="004C629B"/>
    <w:rsid w:val="004C693B"/>
    <w:rsid w:val="004C751A"/>
    <w:rsid w:val="004C7E8B"/>
    <w:rsid w:val="004D0B15"/>
    <w:rsid w:val="004D0EBA"/>
    <w:rsid w:val="004D114D"/>
    <w:rsid w:val="004D14D3"/>
    <w:rsid w:val="004D18AC"/>
    <w:rsid w:val="004D23AD"/>
    <w:rsid w:val="004D3347"/>
    <w:rsid w:val="004D3E58"/>
    <w:rsid w:val="004D4156"/>
    <w:rsid w:val="004D4333"/>
    <w:rsid w:val="004D6531"/>
    <w:rsid w:val="004D6F30"/>
    <w:rsid w:val="004E011D"/>
    <w:rsid w:val="004E0D15"/>
    <w:rsid w:val="004E1AC6"/>
    <w:rsid w:val="004E2434"/>
    <w:rsid w:val="004E26E2"/>
    <w:rsid w:val="004E3070"/>
    <w:rsid w:val="004E32FB"/>
    <w:rsid w:val="004E3F0C"/>
    <w:rsid w:val="004E4B5B"/>
    <w:rsid w:val="004E5779"/>
    <w:rsid w:val="004E5E51"/>
    <w:rsid w:val="004E642B"/>
    <w:rsid w:val="004E668A"/>
    <w:rsid w:val="004E7E07"/>
    <w:rsid w:val="004F22A3"/>
    <w:rsid w:val="004F32E1"/>
    <w:rsid w:val="004F34F2"/>
    <w:rsid w:val="004F3D9B"/>
    <w:rsid w:val="004F4632"/>
    <w:rsid w:val="004F46CE"/>
    <w:rsid w:val="004F46D6"/>
    <w:rsid w:val="004F5C1C"/>
    <w:rsid w:val="004F62FF"/>
    <w:rsid w:val="004F69E2"/>
    <w:rsid w:val="004F6CFB"/>
    <w:rsid w:val="004F6EA8"/>
    <w:rsid w:val="004F70A7"/>
    <w:rsid w:val="005019FE"/>
    <w:rsid w:val="00502072"/>
    <w:rsid w:val="005027C2"/>
    <w:rsid w:val="00502C28"/>
    <w:rsid w:val="00503D06"/>
    <w:rsid w:val="00504229"/>
    <w:rsid w:val="00504370"/>
    <w:rsid w:val="00505434"/>
    <w:rsid w:val="00506126"/>
    <w:rsid w:val="005063FD"/>
    <w:rsid w:val="0050674F"/>
    <w:rsid w:val="005069C2"/>
    <w:rsid w:val="005070EC"/>
    <w:rsid w:val="00507747"/>
    <w:rsid w:val="00510452"/>
    <w:rsid w:val="00510AD7"/>
    <w:rsid w:val="00510EB1"/>
    <w:rsid w:val="0051164C"/>
    <w:rsid w:val="00512176"/>
    <w:rsid w:val="005122E9"/>
    <w:rsid w:val="005137DB"/>
    <w:rsid w:val="005142AC"/>
    <w:rsid w:val="0051437A"/>
    <w:rsid w:val="0051449F"/>
    <w:rsid w:val="00514960"/>
    <w:rsid w:val="0051508B"/>
    <w:rsid w:val="0051570C"/>
    <w:rsid w:val="00515A05"/>
    <w:rsid w:val="00515ECA"/>
    <w:rsid w:val="00516007"/>
    <w:rsid w:val="00517111"/>
    <w:rsid w:val="005203B7"/>
    <w:rsid w:val="005208BD"/>
    <w:rsid w:val="0052161C"/>
    <w:rsid w:val="00521FF6"/>
    <w:rsid w:val="0052347F"/>
    <w:rsid w:val="00527260"/>
    <w:rsid w:val="00527681"/>
    <w:rsid w:val="0052771A"/>
    <w:rsid w:val="00527FC5"/>
    <w:rsid w:val="00530245"/>
    <w:rsid w:val="00530967"/>
    <w:rsid w:val="00530DE6"/>
    <w:rsid w:val="00531FAE"/>
    <w:rsid w:val="00532041"/>
    <w:rsid w:val="005343BA"/>
    <w:rsid w:val="0053589B"/>
    <w:rsid w:val="00535CDB"/>
    <w:rsid w:val="00535E49"/>
    <w:rsid w:val="0053659F"/>
    <w:rsid w:val="00537D18"/>
    <w:rsid w:val="00537D95"/>
    <w:rsid w:val="005417AF"/>
    <w:rsid w:val="00541D7D"/>
    <w:rsid w:val="00543780"/>
    <w:rsid w:val="005442D1"/>
    <w:rsid w:val="005448A4"/>
    <w:rsid w:val="00544E51"/>
    <w:rsid w:val="005450EB"/>
    <w:rsid w:val="0054574A"/>
    <w:rsid w:val="00545AC2"/>
    <w:rsid w:val="00546646"/>
    <w:rsid w:val="0054665C"/>
    <w:rsid w:val="005467C6"/>
    <w:rsid w:val="00547A43"/>
    <w:rsid w:val="00550C47"/>
    <w:rsid w:val="00552694"/>
    <w:rsid w:val="00552D45"/>
    <w:rsid w:val="0055337B"/>
    <w:rsid w:val="0055377C"/>
    <w:rsid w:val="00553860"/>
    <w:rsid w:val="005541F4"/>
    <w:rsid w:val="005545FE"/>
    <w:rsid w:val="00554717"/>
    <w:rsid w:val="00554741"/>
    <w:rsid w:val="00554FF2"/>
    <w:rsid w:val="00555261"/>
    <w:rsid w:val="00555C70"/>
    <w:rsid w:val="00556DE6"/>
    <w:rsid w:val="005574AF"/>
    <w:rsid w:val="0055785D"/>
    <w:rsid w:val="005578C6"/>
    <w:rsid w:val="00557A53"/>
    <w:rsid w:val="0056090E"/>
    <w:rsid w:val="005613B3"/>
    <w:rsid w:val="00561ED7"/>
    <w:rsid w:val="00562166"/>
    <w:rsid w:val="0056253E"/>
    <w:rsid w:val="00562995"/>
    <w:rsid w:val="00563855"/>
    <w:rsid w:val="005642DD"/>
    <w:rsid w:val="00564453"/>
    <w:rsid w:val="00566025"/>
    <w:rsid w:val="0056611F"/>
    <w:rsid w:val="005666D7"/>
    <w:rsid w:val="0056769C"/>
    <w:rsid w:val="005676A0"/>
    <w:rsid w:val="00567ADA"/>
    <w:rsid w:val="005718D7"/>
    <w:rsid w:val="00571AFD"/>
    <w:rsid w:val="00571BEE"/>
    <w:rsid w:val="00571C08"/>
    <w:rsid w:val="00571C69"/>
    <w:rsid w:val="00572232"/>
    <w:rsid w:val="005722E9"/>
    <w:rsid w:val="00572D52"/>
    <w:rsid w:val="00573D34"/>
    <w:rsid w:val="00573F62"/>
    <w:rsid w:val="00574588"/>
    <w:rsid w:val="00574592"/>
    <w:rsid w:val="00574619"/>
    <w:rsid w:val="005746F6"/>
    <w:rsid w:val="00574E26"/>
    <w:rsid w:val="00575D36"/>
    <w:rsid w:val="005761EE"/>
    <w:rsid w:val="00576C13"/>
    <w:rsid w:val="00576CB6"/>
    <w:rsid w:val="00576CF4"/>
    <w:rsid w:val="00577164"/>
    <w:rsid w:val="00577D9F"/>
    <w:rsid w:val="00580391"/>
    <w:rsid w:val="0058086E"/>
    <w:rsid w:val="005818DE"/>
    <w:rsid w:val="00581AC8"/>
    <w:rsid w:val="00581CC1"/>
    <w:rsid w:val="00582221"/>
    <w:rsid w:val="00584718"/>
    <w:rsid w:val="00584D4C"/>
    <w:rsid w:val="005861DC"/>
    <w:rsid w:val="0058622F"/>
    <w:rsid w:val="00586418"/>
    <w:rsid w:val="00586686"/>
    <w:rsid w:val="00587350"/>
    <w:rsid w:val="005874B8"/>
    <w:rsid w:val="00587BA9"/>
    <w:rsid w:val="0059007C"/>
    <w:rsid w:val="00590699"/>
    <w:rsid w:val="00591A31"/>
    <w:rsid w:val="00591E29"/>
    <w:rsid w:val="00592318"/>
    <w:rsid w:val="00594C44"/>
    <w:rsid w:val="0059556C"/>
    <w:rsid w:val="00596B76"/>
    <w:rsid w:val="00597DD9"/>
    <w:rsid w:val="005A0ACF"/>
    <w:rsid w:val="005A0C34"/>
    <w:rsid w:val="005A2501"/>
    <w:rsid w:val="005A292F"/>
    <w:rsid w:val="005A2FF8"/>
    <w:rsid w:val="005A34B6"/>
    <w:rsid w:val="005A390E"/>
    <w:rsid w:val="005A3E34"/>
    <w:rsid w:val="005A44FF"/>
    <w:rsid w:val="005A4638"/>
    <w:rsid w:val="005A4BD9"/>
    <w:rsid w:val="005A4D8E"/>
    <w:rsid w:val="005A51C6"/>
    <w:rsid w:val="005A576D"/>
    <w:rsid w:val="005A5BAB"/>
    <w:rsid w:val="005A5CB3"/>
    <w:rsid w:val="005A6604"/>
    <w:rsid w:val="005A78DE"/>
    <w:rsid w:val="005A7E09"/>
    <w:rsid w:val="005B08A6"/>
    <w:rsid w:val="005B0F22"/>
    <w:rsid w:val="005B0F27"/>
    <w:rsid w:val="005B1A31"/>
    <w:rsid w:val="005B1B6C"/>
    <w:rsid w:val="005B2B4F"/>
    <w:rsid w:val="005B2CB5"/>
    <w:rsid w:val="005B2CDC"/>
    <w:rsid w:val="005B3025"/>
    <w:rsid w:val="005B3439"/>
    <w:rsid w:val="005B4653"/>
    <w:rsid w:val="005B4E45"/>
    <w:rsid w:val="005B4E85"/>
    <w:rsid w:val="005B5E17"/>
    <w:rsid w:val="005B6419"/>
    <w:rsid w:val="005B6CC1"/>
    <w:rsid w:val="005C1943"/>
    <w:rsid w:val="005C22C2"/>
    <w:rsid w:val="005C2322"/>
    <w:rsid w:val="005C382F"/>
    <w:rsid w:val="005C501A"/>
    <w:rsid w:val="005C5673"/>
    <w:rsid w:val="005C6D52"/>
    <w:rsid w:val="005C6F67"/>
    <w:rsid w:val="005C7858"/>
    <w:rsid w:val="005C7A9A"/>
    <w:rsid w:val="005C7FCE"/>
    <w:rsid w:val="005D05FD"/>
    <w:rsid w:val="005D11A5"/>
    <w:rsid w:val="005D1A7D"/>
    <w:rsid w:val="005D3508"/>
    <w:rsid w:val="005D48E0"/>
    <w:rsid w:val="005D4BC8"/>
    <w:rsid w:val="005D55D6"/>
    <w:rsid w:val="005D593D"/>
    <w:rsid w:val="005D65FF"/>
    <w:rsid w:val="005D6E43"/>
    <w:rsid w:val="005D717B"/>
    <w:rsid w:val="005D769A"/>
    <w:rsid w:val="005D7FC2"/>
    <w:rsid w:val="005E0110"/>
    <w:rsid w:val="005E092E"/>
    <w:rsid w:val="005E1DD8"/>
    <w:rsid w:val="005E1EA0"/>
    <w:rsid w:val="005E1F6F"/>
    <w:rsid w:val="005E4132"/>
    <w:rsid w:val="005E58E1"/>
    <w:rsid w:val="005E5F8B"/>
    <w:rsid w:val="005E7C7D"/>
    <w:rsid w:val="005F0A09"/>
    <w:rsid w:val="005F0EC7"/>
    <w:rsid w:val="005F105B"/>
    <w:rsid w:val="005F1295"/>
    <w:rsid w:val="005F2075"/>
    <w:rsid w:val="005F2341"/>
    <w:rsid w:val="005F2B48"/>
    <w:rsid w:val="005F3ADE"/>
    <w:rsid w:val="005F432C"/>
    <w:rsid w:val="005F4B41"/>
    <w:rsid w:val="005F4D52"/>
    <w:rsid w:val="005F4F2A"/>
    <w:rsid w:val="005F5099"/>
    <w:rsid w:val="005F73A6"/>
    <w:rsid w:val="006002FC"/>
    <w:rsid w:val="00600D9B"/>
    <w:rsid w:val="0060128D"/>
    <w:rsid w:val="006015EB"/>
    <w:rsid w:val="006021B4"/>
    <w:rsid w:val="00602BDA"/>
    <w:rsid w:val="0060305B"/>
    <w:rsid w:val="0060308F"/>
    <w:rsid w:val="0060552B"/>
    <w:rsid w:val="00606031"/>
    <w:rsid w:val="00606E04"/>
    <w:rsid w:val="00607B8A"/>
    <w:rsid w:val="006102C4"/>
    <w:rsid w:val="00611A97"/>
    <w:rsid w:val="00611B3C"/>
    <w:rsid w:val="00611C5C"/>
    <w:rsid w:val="00612686"/>
    <w:rsid w:val="00612FFF"/>
    <w:rsid w:val="006131E9"/>
    <w:rsid w:val="0061392C"/>
    <w:rsid w:val="00613C92"/>
    <w:rsid w:val="00615685"/>
    <w:rsid w:val="00615849"/>
    <w:rsid w:val="00616069"/>
    <w:rsid w:val="00616F34"/>
    <w:rsid w:val="00616FDD"/>
    <w:rsid w:val="00617E42"/>
    <w:rsid w:val="00617E6C"/>
    <w:rsid w:val="006203EC"/>
    <w:rsid w:val="00622015"/>
    <w:rsid w:val="00622191"/>
    <w:rsid w:val="006228C3"/>
    <w:rsid w:val="00622D62"/>
    <w:rsid w:val="00622D80"/>
    <w:rsid w:val="0062336F"/>
    <w:rsid w:val="00623D41"/>
    <w:rsid w:val="00624A28"/>
    <w:rsid w:val="00624E5B"/>
    <w:rsid w:val="006264F1"/>
    <w:rsid w:val="00626A29"/>
    <w:rsid w:val="00626AF4"/>
    <w:rsid w:val="00626CB1"/>
    <w:rsid w:val="00626CBB"/>
    <w:rsid w:val="00627894"/>
    <w:rsid w:val="00627FF6"/>
    <w:rsid w:val="00630506"/>
    <w:rsid w:val="00630BC9"/>
    <w:rsid w:val="006320CB"/>
    <w:rsid w:val="0063314F"/>
    <w:rsid w:val="006337E7"/>
    <w:rsid w:val="00634080"/>
    <w:rsid w:val="0063422F"/>
    <w:rsid w:val="006354FF"/>
    <w:rsid w:val="00635832"/>
    <w:rsid w:val="00635AB6"/>
    <w:rsid w:val="006361B1"/>
    <w:rsid w:val="006365E9"/>
    <w:rsid w:val="00636E18"/>
    <w:rsid w:val="0063705B"/>
    <w:rsid w:val="00637228"/>
    <w:rsid w:val="006406FA"/>
    <w:rsid w:val="00641532"/>
    <w:rsid w:val="00641E0B"/>
    <w:rsid w:val="0064225E"/>
    <w:rsid w:val="0064298D"/>
    <w:rsid w:val="0064364F"/>
    <w:rsid w:val="006445A3"/>
    <w:rsid w:val="00645115"/>
    <w:rsid w:val="006462F1"/>
    <w:rsid w:val="006464CF"/>
    <w:rsid w:val="00646CB6"/>
    <w:rsid w:val="00646DB1"/>
    <w:rsid w:val="00647A7A"/>
    <w:rsid w:val="00650088"/>
    <w:rsid w:val="00650724"/>
    <w:rsid w:val="0065124E"/>
    <w:rsid w:val="006513A0"/>
    <w:rsid w:val="00652484"/>
    <w:rsid w:val="00652C4F"/>
    <w:rsid w:val="0065308E"/>
    <w:rsid w:val="006534DC"/>
    <w:rsid w:val="006541D1"/>
    <w:rsid w:val="00654860"/>
    <w:rsid w:val="00654F37"/>
    <w:rsid w:val="00655662"/>
    <w:rsid w:val="00656ABE"/>
    <w:rsid w:val="00657521"/>
    <w:rsid w:val="0066000B"/>
    <w:rsid w:val="0066030A"/>
    <w:rsid w:val="00660931"/>
    <w:rsid w:val="00660DB9"/>
    <w:rsid w:val="00661956"/>
    <w:rsid w:val="00661C43"/>
    <w:rsid w:val="00662C23"/>
    <w:rsid w:val="00663A53"/>
    <w:rsid w:val="0066473E"/>
    <w:rsid w:val="00664F66"/>
    <w:rsid w:val="00665069"/>
    <w:rsid w:val="0066537B"/>
    <w:rsid w:val="00665718"/>
    <w:rsid w:val="00665E8C"/>
    <w:rsid w:val="00665F6E"/>
    <w:rsid w:val="0066692E"/>
    <w:rsid w:val="00666CC6"/>
    <w:rsid w:val="006677D7"/>
    <w:rsid w:val="00667828"/>
    <w:rsid w:val="00667AF6"/>
    <w:rsid w:val="00670CDD"/>
    <w:rsid w:val="00670F37"/>
    <w:rsid w:val="00672277"/>
    <w:rsid w:val="00674930"/>
    <w:rsid w:val="00676079"/>
    <w:rsid w:val="00676326"/>
    <w:rsid w:val="006777C7"/>
    <w:rsid w:val="00677FE7"/>
    <w:rsid w:val="006830CE"/>
    <w:rsid w:val="006839E8"/>
    <w:rsid w:val="00683D65"/>
    <w:rsid w:val="00684AB4"/>
    <w:rsid w:val="00684FDE"/>
    <w:rsid w:val="006851CB"/>
    <w:rsid w:val="00685F12"/>
    <w:rsid w:val="00686618"/>
    <w:rsid w:val="00687672"/>
    <w:rsid w:val="00690239"/>
    <w:rsid w:val="00690FB6"/>
    <w:rsid w:val="00691287"/>
    <w:rsid w:val="006919FC"/>
    <w:rsid w:val="00693034"/>
    <w:rsid w:val="0069373F"/>
    <w:rsid w:val="00693FDC"/>
    <w:rsid w:val="006963D2"/>
    <w:rsid w:val="00696748"/>
    <w:rsid w:val="00697FEB"/>
    <w:rsid w:val="006A02C9"/>
    <w:rsid w:val="006A0A19"/>
    <w:rsid w:val="006A0B4A"/>
    <w:rsid w:val="006A0D71"/>
    <w:rsid w:val="006A0E7E"/>
    <w:rsid w:val="006A0F4A"/>
    <w:rsid w:val="006A1D16"/>
    <w:rsid w:val="006A1EA8"/>
    <w:rsid w:val="006A4300"/>
    <w:rsid w:val="006A4428"/>
    <w:rsid w:val="006A4CF3"/>
    <w:rsid w:val="006A5E70"/>
    <w:rsid w:val="006A70CC"/>
    <w:rsid w:val="006A7BEA"/>
    <w:rsid w:val="006A7D62"/>
    <w:rsid w:val="006B00D0"/>
    <w:rsid w:val="006B120F"/>
    <w:rsid w:val="006B1FE2"/>
    <w:rsid w:val="006B2EBD"/>
    <w:rsid w:val="006B2F86"/>
    <w:rsid w:val="006B3690"/>
    <w:rsid w:val="006B37A6"/>
    <w:rsid w:val="006B3C0D"/>
    <w:rsid w:val="006B4649"/>
    <w:rsid w:val="006B4CAC"/>
    <w:rsid w:val="006C0355"/>
    <w:rsid w:val="006C090C"/>
    <w:rsid w:val="006C13D5"/>
    <w:rsid w:val="006C3A40"/>
    <w:rsid w:val="006C3F79"/>
    <w:rsid w:val="006C4E8E"/>
    <w:rsid w:val="006C53A0"/>
    <w:rsid w:val="006C5E9B"/>
    <w:rsid w:val="006C6628"/>
    <w:rsid w:val="006C6D77"/>
    <w:rsid w:val="006C7240"/>
    <w:rsid w:val="006C74D6"/>
    <w:rsid w:val="006C7663"/>
    <w:rsid w:val="006D0EE8"/>
    <w:rsid w:val="006D12C7"/>
    <w:rsid w:val="006D175B"/>
    <w:rsid w:val="006D1BF7"/>
    <w:rsid w:val="006D23EF"/>
    <w:rsid w:val="006D457D"/>
    <w:rsid w:val="006D49D0"/>
    <w:rsid w:val="006D5361"/>
    <w:rsid w:val="006D59F8"/>
    <w:rsid w:val="006D61DA"/>
    <w:rsid w:val="006D6AF7"/>
    <w:rsid w:val="006D6EBB"/>
    <w:rsid w:val="006D781E"/>
    <w:rsid w:val="006D7F80"/>
    <w:rsid w:val="006D7FC7"/>
    <w:rsid w:val="006E00DA"/>
    <w:rsid w:val="006E04F7"/>
    <w:rsid w:val="006E0941"/>
    <w:rsid w:val="006E0B68"/>
    <w:rsid w:val="006E0EAD"/>
    <w:rsid w:val="006E1DC5"/>
    <w:rsid w:val="006E2E7E"/>
    <w:rsid w:val="006E2EFD"/>
    <w:rsid w:val="006E3420"/>
    <w:rsid w:val="006E381D"/>
    <w:rsid w:val="006E39D7"/>
    <w:rsid w:val="006E3BD0"/>
    <w:rsid w:val="006E3FA9"/>
    <w:rsid w:val="006E4444"/>
    <w:rsid w:val="006E4D14"/>
    <w:rsid w:val="006E6866"/>
    <w:rsid w:val="006E6C7D"/>
    <w:rsid w:val="006E702B"/>
    <w:rsid w:val="006E7DC6"/>
    <w:rsid w:val="006F01FC"/>
    <w:rsid w:val="006F0349"/>
    <w:rsid w:val="006F08E1"/>
    <w:rsid w:val="006F0E10"/>
    <w:rsid w:val="006F13D2"/>
    <w:rsid w:val="006F1A53"/>
    <w:rsid w:val="006F2196"/>
    <w:rsid w:val="006F2B29"/>
    <w:rsid w:val="006F3240"/>
    <w:rsid w:val="006F3620"/>
    <w:rsid w:val="006F3D73"/>
    <w:rsid w:val="006F5A87"/>
    <w:rsid w:val="006F747C"/>
    <w:rsid w:val="006F74BF"/>
    <w:rsid w:val="006F7BDA"/>
    <w:rsid w:val="00700C93"/>
    <w:rsid w:val="00701FC8"/>
    <w:rsid w:val="0070288A"/>
    <w:rsid w:val="00702D07"/>
    <w:rsid w:val="00703676"/>
    <w:rsid w:val="00706655"/>
    <w:rsid w:val="007078D6"/>
    <w:rsid w:val="00707B85"/>
    <w:rsid w:val="007106DD"/>
    <w:rsid w:val="00710F87"/>
    <w:rsid w:val="00711217"/>
    <w:rsid w:val="007116F8"/>
    <w:rsid w:val="00712900"/>
    <w:rsid w:val="007133E9"/>
    <w:rsid w:val="007137B3"/>
    <w:rsid w:val="00713BD4"/>
    <w:rsid w:val="0071405B"/>
    <w:rsid w:val="00714542"/>
    <w:rsid w:val="007146AA"/>
    <w:rsid w:val="00714837"/>
    <w:rsid w:val="007149B8"/>
    <w:rsid w:val="00714EF0"/>
    <w:rsid w:val="00714F04"/>
    <w:rsid w:val="00715087"/>
    <w:rsid w:val="00715712"/>
    <w:rsid w:val="007158C7"/>
    <w:rsid w:val="00715D0C"/>
    <w:rsid w:val="0071628B"/>
    <w:rsid w:val="00716F27"/>
    <w:rsid w:val="00717727"/>
    <w:rsid w:val="00717B00"/>
    <w:rsid w:val="007208AB"/>
    <w:rsid w:val="00720B68"/>
    <w:rsid w:val="00720DE3"/>
    <w:rsid w:val="00721C6A"/>
    <w:rsid w:val="007222B0"/>
    <w:rsid w:val="007227EC"/>
    <w:rsid w:val="00722F2C"/>
    <w:rsid w:val="00723293"/>
    <w:rsid w:val="00723439"/>
    <w:rsid w:val="00723CB3"/>
    <w:rsid w:val="00724D46"/>
    <w:rsid w:val="007252D4"/>
    <w:rsid w:val="007263EF"/>
    <w:rsid w:val="00727012"/>
    <w:rsid w:val="0072723A"/>
    <w:rsid w:val="007279EC"/>
    <w:rsid w:val="00727D29"/>
    <w:rsid w:val="00730818"/>
    <w:rsid w:val="00730E2D"/>
    <w:rsid w:val="0073142D"/>
    <w:rsid w:val="0073237F"/>
    <w:rsid w:val="007323B9"/>
    <w:rsid w:val="007330A4"/>
    <w:rsid w:val="00733C05"/>
    <w:rsid w:val="00734198"/>
    <w:rsid w:val="00734568"/>
    <w:rsid w:val="0073460E"/>
    <w:rsid w:val="007349F9"/>
    <w:rsid w:val="00734A12"/>
    <w:rsid w:val="00735CDE"/>
    <w:rsid w:val="00736EAE"/>
    <w:rsid w:val="00737F9B"/>
    <w:rsid w:val="007402C2"/>
    <w:rsid w:val="0074044C"/>
    <w:rsid w:val="007405B1"/>
    <w:rsid w:val="00740AF0"/>
    <w:rsid w:val="007419ED"/>
    <w:rsid w:val="00742174"/>
    <w:rsid w:val="00742C4C"/>
    <w:rsid w:val="007431F0"/>
    <w:rsid w:val="00743537"/>
    <w:rsid w:val="00743577"/>
    <w:rsid w:val="007435D3"/>
    <w:rsid w:val="00744220"/>
    <w:rsid w:val="00744C66"/>
    <w:rsid w:val="007464CC"/>
    <w:rsid w:val="00747238"/>
    <w:rsid w:val="00747B4B"/>
    <w:rsid w:val="00747D5E"/>
    <w:rsid w:val="00750679"/>
    <w:rsid w:val="00751D79"/>
    <w:rsid w:val="00751EDA"/>
    <w:rsid w:val="00752310"/>
    <w:rsid w:val="007524A7"/>
    <w:rsid w:val="00754003"/>
    <w:rsid w:val="00754851"/>
    <w:rsid w:val="007575D0"/>
    <w:rsid w:val="00757649"/>
    <w:rsid w:val="007602B9"/>
    <w:rsid w:val="00760944"/>
    <w:rsid w:val="007609D5"/>
    <w:rsid w:val="00760C75"/>
    <w:rsid w:val="007611AD"/>
    <w:rsid w:val="0076126B"/>
    <w:rsid w:val="007613B3"/>
    <w:rsid w:val="00762FBA"/>
    <w:rsid w:val="0076316D"/>
    <w:rsid w:val="00763FB6"/>
    <w:rsid w:val="0076410A"/>
    <w:rsid w:val="0076473F"/>
    <w:rsid w:val="00764748"/>
    <w:rsid w:val="00765515"/>
    <w:rsid w:val="00765F2A"/>
    <w:rsid w:val="00766906"/>
    <w:rsid w:val="00766F28"/>
    <w:rsid w:val="00770E5B"/>
    <w:rsid w:val="007713E8"/>
    <w:rsid w:val="00771967"/>
    <w:rsid w:val="00771AA1"/>
    <w:rsid w:val="00772FC8"/>
    <w:rsid w:val="0077322C"/>
    <w:rsid w:val="00774715"/>
    <w:rsid w:val="007747EE"/>
    <w:rsid w:val="00774999"/>
    <w:rsid w:val="00774F98"/>
    <w:rsid w:val="00776623"/>
    <w:rsid w:val="007768F5"/>
    <w:rsid w:val="0077735A"/>
    <w:rsid w:val="0078095B"/>
    <w:rsid w:val="00780D10"/>
    <w:rsid w:val="007813D1"/>
    <w:rsid w:val="00782158"/>
    <w:rsid w:val="007821A2"/>
    <w:rsid w:val="007821BC"/>
    <w:rsid w:val="007826E0"/>
    <w:rsid w:val="0078271A"/>
    <w:rsid w:val="00783194"/>
    <w:rsid w:val="00783455"/>
    <w:rsid w:val="007835D5"/>
    <w:rsid w:val="0078383A"/>
    <w:rsid w:val="00783BA7"/>
    <w:rsid w:val="007853F8"/>
    <w:rsid w:val="0078687A"/>
    <w:rsid w:val="00786AA2"/>
    <w:rsid w:val="00786BB9"/>
    <w:rsid w:val="00786FE5"/>
    <w:rsid w:val="007870B3"/>
    <w:rsid w:val="00787297"/>
    <w:rsid w:val="007877DC"/>
    <w:rsid w:val="0079039B"/>
    <w:rsid w:val="007908E2"/>
    <w:rsid w:val="00792C45"/>
    <w:rsid w:val="00793842"/>
    <w:rsid w:val="00794379"/>
    <w:rsid w:val="007953B5"/>
    <w:rsid w:val="00795550"/>
    <w:rsid w:val="00795F3C"/>
    <w:rsid w:val="00796271"/>
    <w:rsid w:val="00796431"/>
    <w:rsid w:val="007964DC"/>
    <w:rsid w:val="007967E6"/>
    <w:rsid w:val="00797D07"/>
    <w:rsid w:val="00797EC1"/>
    <w:rsid w:val="007A03B9"/>
    <w:rsid w:val="007A06C5"/>
    <w:rsid w:val="007A0B4E"/>
    <w:rsid w:val="007A117C"/>
    <w:rsid w:val="007A19E3"/>
    <w:rsid w:val="007A2635"/>
    <w:rsid w:val="007A3BFB"/>
    <w:rsid w:val="007A4230"/>
    <w:rsid w:val="007A5DE7"/>
    <w:rsid w:val="007A69A5"/>
    <w:rsid w:val="007A6B52"/>
    <w:rsid w:val="007A6C81"/>
    <w:rsid w:val="007A7B10"/>
    <w:rsid w:val="007B02A8"/>
    <w:rsid w:val="007B0B30"/>
    <w:rsid w:val="007B129D"/>
    <w:rsid w:val="007B219A"/>
    <w:rsid w:val="007B31A6"/>
    <w:rsid w:val="007B4508"/>
    <w:rsid w:val="007B5E3D"/>
    <w:rsid w:val="007B6B28"/>
    <w:rsid w:val="007B79F6"/>
    <w:rsid w:val="007B7B44"/>
    <w:rsid w:val="007C0E2D"/>
    <w:rsid w:val="007C1271"/>
    <w:rsid w:val="007C12F0"/>
    <w:rsid w:val="007C15B2"/>
    <w:rsid w:val="007C1E59"/>
    <w:rsid w:val="007C411F"/>
    <w:rsid w:val="007C4747"/>
    <w:rsid w:val="007C4C83"/>
    <w:rsid w:val="007C525A"/>
    <w:rsid w:val="007C533A"/>
    <w:rsid w:val="007C591A"/>
    <w:rsid w:val="007C6206"/>
    <w:rsid w:val="007C6225"/>
    <w:rsid w:val="007C64E2"/>
    <w:rsid w:val="007C7C72"/>
    <w:rsid w:val="007D065D"/>
    <w:rsid w:val="007D1196"/>
    <w:rsid w:val="007D1E88"/>
    <w:rsid w:val="007D275E"/>
    <w:rsid w:val="007D2928"/>
    <w:rsid w:val="007D37BA"/>
    <w:rsid w:val="007D3850"/>
    <w:rsid w:val="007D3F75"/>
    <w:rsid w:val="007D4025"/>
    <w:rsid w:val="007D66F0"/>
    <w:rsid w:val="007D73E5"/>
    <w:rsid w:val="007D750A"/>
    <w:rsid w:val="007D7523"/>
    <w:rsid w:val="007D77FB"/>
    <w:rsid w:val="007E0084"/>
    <w:rsid w:val="007E0678"/>
    <w:rsid w:val="007E0A18"/>
    <w:rsid w:val="007E0EF4"/>
    <w:rsid w:val="007E1035"/>
    <w:rsid w:val="007E1421"/>
    <w:rsid w:val="007E18D1"/>
    <w:rsid w:val="007E199C"/>
    <w:rsid w:val="007E2A76"/>
    <w:rsid w:val="007E4D07"/>
    <w:rsid w:val="007E581F"/>
    <w:rsid w:val="007E722A"/>
    <w:rsid w:val="007E72EF"/>
    <w:rsid w:val="007E770A"/>
    <w:rsid w:val="007E7968"/>
    <w:rsid w:val="007E7C0D"/>
    <w:rsid w:val="007F0CB0"/>
    <w:rsid w:val="007F1600"/>
    <w:rsid w:val="007F166D"/>
    <w:rsid w:val="007F1EDF"/>
    <w:rsid w:val="007F2054"/>
    <w:rsid w:val="007F299B"/>
    <w:rsid w:val="007F365B"/>
    <w:rsid w:val="007F3B50"/>
    <w:rsid w:val="007F4023"/>
    <w:rsid w:val="007F40D6"/>
    <w:rsid w:val="007F41A0"/>
    <w:rsid w:val="007F5346"/>
    <w:rsid w:val="007F690B"/>
    <w:rsid w:val="007F6FBE"/>
    <w:rsid w:val="007F742B"/>
    <w:rsid w:val="007F7BEA"/>
    <w:rsid w:val="007F7CBC"/>
    <w:rsid w:val="00800C45"/>
    <w:rsid w:val="0080130F"/>
    <w:rsid w:val="00801B60"/>
    <w:rsid w:val="008026FE"/>
    <w:rsid w:val="00802F9F"/>
    <w:rsid w:val="0080372E"/>
    <w:rsid w:val="00803E55"/>
    <w:rsid w:val="00804358"/>
    <w:rsid w:val="00804F92"/>
    <w:rsid w:val="00807F19"/>
    <w:rsid w:val="00807F85"/>
    <w:rsid w:val="0081060D"/>
    <w:rsid w:val="00810A52"/>
    <w:rsid w:val="00810DCF"/>
    <w:rsid w:val="008110C4"/>
    <w:rsid w:val="00811527"/>
    <w:rsid w:val="00811F2C"/>
    <w:rsid w:val="00811FE2"/>
    <w:rsid w:val="008134F5"/>
    <w:rsid w:val="00813D03"/>
    <w:rsid w:val="00814399"/>
    <w:rsid w:val="00815A51"/>
    <w:rsid w:val="00817CF6"/>
    <w:rsid w:val="008208F2"/>
    <w:rsid w:val="00820A66"/>
    <w:rsid w:val="00820F38"/>
    <w:rsid w:val="00822D27"/>
    <w:rsid w:val="008242DA"/>
    <w:rsid w:val="00824A84"/>
    <w:rsid w:val="00826371"/>
    <w:rsid w:val="0082668B"/>
    <w:rsid w:val="0082687A"/>
    <w:rsid w:val="008272AC"/>
    <w:rsid w:val="00830214"/>
    <w:rsid w:val="00830902"/>
    <w:rsid w:val="00832118"/>
    <w:rsid w:val="00832C2F"/>
    <w:rsid w:val="00833EC7"/>
    <w:rsid w:val="00834366"/>
    <w:rsid w:val="008358AE"/>
    <w:rsid w:val="008363D1"/>
    <w:rsid w:val="00836C3B"/>
    <w:rsid w:val="008404FF"/>
    <w:rsid w:val="00840749"/>
    <w:rsid w:val="00840F7C"/>
    <w:rsid w:val="008412E1"/>
    <w:rsid w:val="008413A8"/>
    <w:rsid w:val="00842443"/>
    <w:rsid w:val="00843285"/>
    <w:rsid w:val="00843286"/>
    <w:rsid w:val="00843386"/>
    <w:rsid w:val="00844479"/>
    <w:rsid w:val="00844C79"/>
    <w:rsid w:val="00845107"/>
    <w:rsid w:val="00846122"/>
    <w:rsid w:val="008466C4"/>
    <w:rsid w:val="00850FDB"/>
    <w:rsid w:val="008510D6"/>
    <w:rsid w:val="008522B5"/>
    <w:rsid w:val="0085346F"/>
    <w:rsid w:val="00853C4A"/>
    <w:rsid w:val="00854190"/>
    <w:rsid w:val="00854682"/>
    <w:rsid w:val="00855DA1"/>
    <w:rsid w:val="00856359"/>
    <w:rsid w:val="0085657D"/>
    <w:rsid w:val="008569DC"/>
    <w:rsid w:val="00856DA4"/>
    <w:rsid w:val="00857078"/>
    <w:rsid w:val="00857A3C"/>
    <w:rsid w:val="00860613"/>
    <w:rsid w:val="00861279"/>
    <w:rsid w:val="008612B4"/>
    <w:rsid w:val="00862A90"/>
    <w:rsid w:val="00863D31"/>
    <w:rsid w:val="00863D50"/>
    <w:rsid w:val="0086454A"/>
    <w:rsid w:val="00866E95"/>
    <w:rsid w:val="00867322"/>
    <w:rsid w:val="00867E88"/>
    <w:rsid w:val="00870102"/>
    <w:rsid w:val="00870456"/>
    <w:rsid w:val="00871E82"/>
    <w:rsid w:val="008721A5"/>
    <w:rsid w:val="008723A8"/>
    <w:rsid w:val="00872847"/>
    <w:rsid w:val="00872C9B"/>
    <w:rsid w:val="00872E78"/>
    <w:rsid w:val="00872FDB"/>
    <w:rsid w:val="00873451"/>
    <w:rsid w:val="00873471"/>
    <w:rsid w:val="00873C14"/>
    <w:rsid w:val="0087619E"/>
    <w:rsid w:val="0087627E"/>
    <w:rsid w:val="00877706"/>
    <w:rsid w:val="00877F7D"/>
    <w:rsid w:val="008811FC"/>
    <w:rsid w:val="00881D54"/>
    <w:rsid w:val="008825CE"/>
    <w:rsid w:val="00882EFB"/>
    <w:rsid w:val="00882F4A"/>
    <w:rsid w:val="0088366A"/>
    <w:rsid w:val="00883A3C"/>
    <w:rsid w:val="0088460D"/>
    <w:rsid w:val="008857AA"/>
    <w:rsid w:val="00885FA2"/>
    <w:rsid w:val="0088688E"/>
    <w:rsid w:val="00887608"/>
    <w:rsid w:val="00887ABB"/>
    <w:rsid w:val="00887FD1"/>
    <w:rsid w:val="008900AF"/>
    <w:rsid w:val="008906E6"/>
    <w:rsid w:val="00890AD0"/>
    <w:rsid w:val="00890B66"/>
    <w:rsid w:val="00891109"/>
    <w:rsid w:val="00891BA0"/>
    <w:rsid w:val="00891BF0"/>
    <w:rsid w:val="00891F38"/>
    <w:rsid w:val="00893E0C"/>
    <w:rsid w:val="00893E72"/>
    <w:rsid w:val="00896BC2"/>
    <w:rsid w:val="00896C06"/>
    <w:rsid w:val="00897C3A"/>
    <w:rsid w:val="008A072D"/>
    <w:rsid w:val="008A1815"/>
    <w:rsid w:val="008A1C42"/>
    <w:rsid w:val="008A2D63"/>
    <w:rsid w:val="008A2FA0"/>
    <w:rsid w:val="008A3348"/>
    <w:rsid w:val="008A3666"/>
    <w:rsid w:val="008A3889"/>
    <w:rsid w:val="008A4BAF"/>
    <w:rsid w:val="008A56CE"/>
    <w:rsid w:val="008A5CE1"/>
    <w:rsid w:val="008A5EE6"/>
    <w:rsid w:val="008A6398"/>
    <w:rsid w:val="008B048B"/>
    <w:rsid w:val="008B08D3"/>
    <w:rsid w:val="008B19B7"/>
    <w:rsid w:val="008B19E5"/>
    <w:rsid w:val="008B1C16"/>
    <w:rsid w:val="008B2AC1"/>
    <w:rsid w:val="008B2D32"/>
    <w:rsid w:val="008B2D3F"/>
    <w:rsid w:val="008B2E9A"/>
    <w:rsid w:val="008B2EB5"/>
    <w:rsid w:val="008B3ADE"/>
    <w:rsid w:val="008B44C3"/>
    <w:rsid w:val="008B5255"/>
    <w:rsid w:val="008B5613"/>
    <w:rsid w:val="008B62E9"/>
    <w:rsid w:val="008B7050"/>
    <w:rsid w:val="008B7162"/>
    <w:rsid w:val="008C1507"/>
    <w:rsid w:val="008C19A3"/>
    <w:rsid w:val="008C2501"/>
    <w:rsid w:val="008C383B"/>
    <w:rsid w:val="008C3A5F"/>
    <w:rsid w:val="008C44A7"/>
    <w:rsid w:val="008C5671"/>
    <w:rsid w:val="008C59BA"/>
    <w:rsid w:val="008C5D4D"/>
    <w:rsid w:val="008C6671"/>
    <w:rsid w:val="008C739D"/>
    <w:rsid w:val="008C7707"/>
    <w:rsid w:val="008D1695"/>
    <w:rsid w:val="008D22DA"/>
    <w:rsid w:val="008D25B5"/>
    <w:rsid w:val="008D3273"/>
    <w:rsid w:val="008D3CA0"/>
    <w:rsid w:val="008D4696"/>
    <w:rsid w:val="008D6805"/>
    <w:rsid w:val="008D6CA8"/>
    <w:rsid w:val="008D733D"/>
    <w:rsid w:val="008E0A95"/>
    <w:rsid w:val="008E136A"/>
    <w:rsid w:val="008E14A5"/>
    <w:rsid w:val="008E2213"/>
    <w:rsid w:val="008E2336"/>
    <w:rsid w:val="008E27A7"/>
    <w:rsid w:val="008E33F9"/>
    <w:rsid w:val="008E34A2"/>
    <w:rsid w:val="008E34AE"/>
    <w:rsid w:val="008E3BA7"/>
    <w:rsid w:val="008E3D1C"/>
    <w:rsid w:val="008E4D1F"/>
    <w:rsid w:val="008E694D"/>
    <w:rsid w:val="008E78B4"/>
    <w:rsid w:val="008F047E"/>
    <w:rsid w:val="008F2841"/>
    <w:rsid w:val="008F2959"/>
    <w:rsid w:val="008F399F"/>
    <w:rsid w:val="008F39F1"/>
    <w:rsid w:val="008F432C"/>
    <w:rsid w:val="008F4916"/>
    <w:rsid w:val="008F6034"/>
    <w:rsid w:val="008F7859"/>
    <w:rsid w:val="008F7ADB"/>
    <w:rsid w:val="008F7CC9"/>
    <w:rsid w:val="009001B0"/>
    <w:rsid w:val="00900940"/>
    <w:rsid w:val="00900CC0"/>
    <w:rsid w:val="0090288E"/>
    <w:rsid w:val="009038F9"/>
    <w:rsid w:val="00905028"/>
    <w:rsid w:val="009055D6"/>
    <w:rsid w:val="00905AAB"/>
    <w:rsid w:val="009068C3"/>
    <w:rsid w:val="00906F53"/>
    <w:rsid w:val="0090775D"/>
    <w:rsid w:val="00910432"/>
    <w:rsid w:val="0091050C"/>
    <w:rsid w:val="00911865"/>
    <w:rsid w:val="00911A8D"/>
    <w:rsid w:val="00912D34"/>
    <w:rsid w:val="009139AF"/>
    <w:rsid w:val="009148EC"/>
    <w:rsid w:val="00914BFD"/>
    <w:rsid w:val="00914CD2"/>
    <w:rsid w:val="00915EF9"/>
    <w:rsid w:val="00916FF9"/>
    <w:rsid w:val="009174DB"/>
    <w:rsid w:val="009174F6"/>
    <w:rsid w:val="00917A99"/>
    <w:rsid w:val="00920831"/>
    <w:rsid w:val="00921BFB"/>
    <w:rsid w:val="00921EF9"/>
    <w:rsid w:val="00922AFA"/>
    <w:rsid w:val="00922BF2"/>
    <w:rsid w:val="009234FD"/>
    <w:rsid w:val="00923665"/>
    <w:rsid w:val="00924258"/>
    <w:rsid w:val="00924973"/>
    <w:rsid w:val="00924ED5"/>
    <w:rsid w:val="0092631A"/>
    <w:rsid w:val="009272E3"/>
    <w:rsid w:val="009311DF"/>
    <w:rsid w:val="009314B6"/>
    <w:rsid w:val="0093152E"/>
    <w:rsid w:val="009315A3"/>
    <w:rsid w:val="00931779"/>
    <w:rsid w:val="00931E42"/>
    <w:rsid w:val="0093252C"/>
    <w:rsid w:val="0093283A"/>
    <w:rsid w:val="0093430F"/>
    <w:rsid w:val="009356B3"/>
    <w:rsid w:val="00935AC3"/>
    <w:rsid w:val="00935EAC"/>
    <w:rsid w:val="00937529"/>
    <w:rsid w:val="00940DF7"/>
    <w:rsid w:val="00940F2E"/>
    <w:rsid w:val="00942405"/>
    <w:rsid w:val="00942818"/>
    <w:rsid w:val="00942AD5"/>
    <w:rsid w:val="00942F66"/>
    <w:rsid w:val="00943510"/>
    <w:rsid w:val="00943A66"/>
    <w:rsid w:val="00944371"/>
    <w:rsid w:val="00944529"/>
    <w:rsid w:val="00944CB3"/>
    <w:rsid w:val="00944D10"/>
    <w:rsid w:val="009450BA"/>
    <w:rsid w:val="009454B6"/>
    <w:rsid w:val="009460DF"/>
    <w:rsid w:val="00946929"/>
    <w:rsid w:val="00946D29"/>
    <w:rsid w:val="00946EEE"/>
    <w:rsid w:val="009474F2"/>
    <w:rsid w:val="00950E7E"/>
    <w:rsid w:val="00952AEF"/>
    <w:rsid w:val="009533C7"/>
    <w:rsid w:val="00955C33"/>
    <w:rsid w:val="0095625A"/>
    <w:rsid w:val="00956446"/>
    <w:rsid w:val="00957B4C"/>
    <w:rsid w:val="009603BF"/>
    <w:rsid w:val="00960B5B"/>
    <w:rsid w:val="00960F24"/>
    <w:rsid w:val="00960FAF"/>
    <w:rsid w:val="00960FBE"/>
    <w:rsid w:val="0096172B"/>
    <w:rsid w:val="00961C91"/>
    <w:rsid w:val="009628F6"/>
    <w:rsid w:val="00962AB8"/>
    <w:rsid w:val="00962CB7"/>
    <w:rsid w:val="00962E64"/>
    <w:rsid w:val="00963AA3"/>
    <w:rsid w:val="00963B80"/>
    <w:rsid w:val="00964478"/>
    <w:rsid w:val="009651FA"/>
    <w:rsid w:val="00966080"/>
    <w:rsid w:val="0096628F"/>
    <w:rsid w:val="009664DD"/>
    <w:rsid w:val="00966F48"/>
    <w:rsid w:val="0096744E"/>
    <w:rsid w:val="009704A0"/>
    <w:rsid w:val="00970792"/>
    <w:rsid w:val="00970EB5"/>
    <w:rsid w:val="00971E1A"/>
    <w:rsid w:val="00971EE1"/>
    <w:rsid w:val="00973197"/>
    <w:rsid w:val="00973E14"/>
    <w:rsid w:val="009753FB"/>
    <w:rsid w:val="00975439"/>
    <w:rsid w:val="009756E8"/>
    <w:rsid w:val="00976F97"/>
    <w:rsid w:val="00977317"/>
    <w:rsid w:val="009802E6"/>
    <w:rsid w:val="009804C2"/>
    <w:rsid w:val="00980AFA"/>
    <w:rsid w:val="00980C11"/>
    <w:rsid w:val="00981086"/>
    <w:rsid w:val="0098257D"/>
    <w:rsid w:val="0098302F"/>
    <w:rsid w:val="009831C8"/>
    <w:rsid w:val="00983D28"/>
    <w:rsid w:val="0098474E"/>
    <w:rsid w:val="009857EB"/>
    <w:rsid w:val="00986110"/>
    <w:rsid w:val="009869D5"/>
    <w:rsid w:val="00987232"/>
    <w:rsid w:val="009877E3"/>
    <w:rsid w:val="00990104"/>
    <w:rsid w:val="0099047A"/>
    <w:rsid w:val="009905A0"/>
    <w:rsid w:val="00990EC7"/>
    <w:rsid w:val="00991B95"/>
    <w:rsid w:val="00991D3E"/>
    <w:rsid w:val="00992630"/>
    <w:rsid w:val="00992840"/>
    <w:rsid w:val="00993064"/>
    <w:rsid w:val="00994C6F"/>
    <w:rsid w:val="00994CC4"/>
    <w:rsid w:val="00995379"/>
    <w:rsid w:val="009968AC"/>
    <w:rsid w:val="00996911"/>
    <w:rsid w:val="00996DB9"/>
    <w:rsid w:val="009976E7"/>
    <w:rsid w:val="009A044E"/>
    <w:rsid w:val="009A10AD"/>
    <w:rsid w:val="009A10DD"/>
    <w:rsid w:val="009A11ED"/>
    <w:rsid w:val="009A1795"/>
    <w:rsid w:val="009A1CB0"/>
    <w:rsid w:val="009A2547"/>
    <w:rsid w:val="009A4D66"/>
    <w:rsid w:val="009A5821"/>
    <w:rsid w:val="009A63A6"/>
    <w:rsid w:val="009A65F0"/>
    <w:rsid w:val="009A67A1"/>
    <w:rsid w:val="009A7026"/>
    <w:rsid w:val="009A702B"/>
    <w:rsid w:val="009A7D0C"/>
    <w:rsid w:val="009A7F30"/>
    <w:rsid w:val="009B069B"/>
    <w:rsid w:val="009B097A"/>
    <w:rsid w:val="009B10E0"/>
    <w:rsid w:val="009B18EB"/>
    <w:rsid w:val="009B27DF"/>
    <w:rsid w:val="009B36AF"/>
    <w:rsid w:val="009B393A"/>
    <w:rsid w:val="009B5A7A"/>
    <w:rsid w:val="009B7972"/>
    <w:rsid w:val="009B7A5A"/>
    <w:rsid w:val="009C040E"/>
    <w:rsid w:val="009C0544"/>
    <w:rsid w:val="009C0DD6"/>
    <w:rsid w:val="009C1B29"/>
    <w:rsid w:val="009C1C07"/>
    <w:rsid w:val="009C1F84"/>
    <w:rsid w:val="009C38A8"/>
    <w:rsid w:val="009C38DF"/>
    <w:rsid w:val="009C40F8"/>
    <w:rsid w:val="009C5A3E"/>
    <w:rsid w:val="009C5D66"/>
    <w:rsid w:val="009C6CC1"/>
    <w:rsid w:val="009C73E9"/>
    <w:rsid w:val="009D05F1"/>
    <w:rsid w:val="009D089E"/>
    <w:rsid w:val="009D094F"/>
    <w:rsid w:val="009D0BF3"/>
    <w:rsid w:val="009D0E88"/>
    <w:rsid w:val="009D0EB6"/>
    <w:rsid w:val="009D1003"/>
    <w:rsid w:val="009D24D7"/>
    <w:rsid w:val="009D256E"/>
    <w:rsid w:val="009D2DB6"/>
    <w:rsid w:val="009D2EAF"/>
    <w:rsid w:val="009D2F47"/>
    <w:rsid w:val="009D2FB9"/>
    <w:rsid w:val="009D3067"/>
    <w:rsid w:val="009D39EE"/>
    <w:rsid w:val="009D3B45"/>
    <w:rsid w:val="009D4E78"/>
    <w:rsid w:val="009D5487"/>
    <w:rsid w:val="009D55B8"/>
    <w:rsid w:val="009D5F35"/>
    <w:rsid w:val="009D674E"/>
    <w:rsid w:val="009D6791"/>
    <w:rsid w:val="009D7835"/>
    <w:rsid w:val="009D7CDF"/>
    <w:rsid w:val="009D7EFC"/>
    <w:rsid w:val="009E05AC"/>
    <w:rsid w:val="009E1548"/>
    <w:rsid w:val="009E1649"/>
    <w:rsid w:val="009E172B"/>
    <w:rsid w:val="009E1B55"/>
    <w:rsid w:val="009E204D"/>
    <w:rsid w:val="009E253A"/>
    <w:rsid w:val="009E25F5"/>
    <w:rsid w:val="009E3555"/>
    <w:rsid w:val="009E39C0"/>
    <w:rsid w:val="009E4CE0"/>
    <w:rsid w:val="009E523E"/>
    <w:rsid w:val="009E5367"/>
    <w:rsid w:val="009E7B93"/>
    <w:rsid w:val="009F0062"/>
    <w:rsid w:val="009F0349"/>
    <w:rsid w:val="009F1CE1"/>
    <w:rsid w:val="009F1E76"/>
    <w:rsid w:val="009F2D48"/>
    <w:rsid w:val="009F2FEB"/>
    <w:rsid w:val="009F3268"/>
    <w:rsid w:val="009F4230"/>
    <w:rsid w:val="009F4860"/>
    <w:rsid w:val="009F58F4"/>
    <w:rsid w:val="009F5F2C"/>
    <w:rsid w:val="009F6749"/>
    <w:rsid w:val="009F6A7F"/>
    <w:rsid w:val="009F6C56"/>
    <w:rsid w:val="00A0021A"/>
    <w:rsid w:val="00A0178C"/>
    <w:rsid w:val="00A01D67"/>
    <w:rsid w:val="00A01EAA"/>
    <w:rsid w:val="00A0206E"/>
    <w:rsid w:val="00A02A33"/>
    <w:rsid w:val="00A02F5D"/>
    <w:rsid w:val="00A031CC"/>
    <w:rsid w:val="00A0323B"/>
    <w:rsid w:val="00A04192"/>
    <w:rsid w:val="00A04474"/>
    <w:rsid w:val="00A0482C"/>
    <w:rsid w:val="00A06A94"/>
    <w:rsid w:val="00A0762A"/>
    <w:rsid w:val="00A0776D"/>
    <w:rsid w:val="00A0778F"/>
    <w:rsid w:val="00A1004D"/>
    <w:rsid w:val="00A1182A"/>
    <w:rsid w:val="00A12D28"/>
    <w:rsid w:val="00A13922"/>
    <w:rsid w:val="00A13DB8"/>
    <w:rsid w:val="00A13F1D"/>
    <w:rsid w:val="00A1482D"/>
    <w:rsid w:val="00A14AA1"/>
    <w:rsid w:val="00A155ED"/>
    <w:rsid w:val="00A15939"/>
    <w:rsid w:val="00A15F37"/>
    <w:rsid w:val="00A16191"/>
    <w:rsid w:val="00A163E3"/>
    <w:rsid w:val="00A16B96"/>
    <w:rsid w:val="00A16CAF"/>
    <w:rsid w:val="00A220C0"/>
    <w:rsid w:val="00A22229"/>
    <w:rsid w:val="00A2239A"/>
    <w:rsid w:val="00A2295F"/>
    <w:rsid w:val="00A22A52"/>
    <w:rsid w:val="00A23246"/>
    <w:rsid w:val="00A24A2E"/>
    <w:rsid w:val="00A25215"/>
    <w:rsid w:val="00A25889"/>
    <w:rsid w:val="00A2710F"/>
    <w:rsid w:val="00A3034C"/>
    <w:rsid w:val="00A30764"/>
    <w:rsid w:val="00A325EE"/>
    <w:rsid w:val="00A338A1"/>
    <w:rsid w:val="00A349CB"/>
    <w:rsid w:val="00A34E5A"/>
    <w:rsid w:val="00A3508F"/>
    <w:rsid w:val="00A35D8A"/>
    <w:rsid w:val="00A364F7"/>
    <w:rsid w:val="00A36CE8"/>
    <w:rsid w:val="00A36DDD"/>
    <w:rsid w:val="00A36EBB"/>
    <w:rsid w:val="00A378ED"/>
    <w:rsid w:val="00A37C13"/>
    <w:rsid w:val="00A425BA"/>
    <w:rsid w:val="00A42D6B"/>
    <w:rsid w:val="00A42EEB"/>
    <w:rsid w:val="00A430E2"/>
    <w:rsid w:val="00A4316F"/>
    <w:rsid w:val="00A447E7"/>
    <w:rsid w:val="00A44A0C"/>
    <w:rsid w:val="00A454B6"/>
    <w:rsid w:val="00A4559F"/>
    <w:rsid w:val="00A45FC0"/>
    <w:rsid w:val="00A46558"/>
    <w:rsid w:val="00A472F8"/>
    <w:rsid w:val="00A50571"/>
    <w:rsid w:val="00A50AEA"/>
    <w:rsid w:val="00A5314F"/>
    <w:rsid w:val="00A53F81"/>
    <w:rsid w:val="00A54055"/>
    <w:rsid w:val="00A54B25"/>
    <w:rsid w:val="00A54D53"/>
    <w:rsid w:val="00A55882"/>
    <w:rsid w:val="00A5590F"/>
    <w:rsid w:val="00A569E0"/>
    <w:rsid w:val="00A56B6B"/>
    <w:rsid w:val="00A60311"/>
    <w:rsid w:val="00A60546"/>
    <w:rsid w:val="00A61107"/>
    <w:rsid w:val="00A63272"/>
    <w:rsid w:val="00A63EEE"/>
    <w:rsid w:val="00A6445C"/>
    <w:rsid w:val="00A66054"/>
    <w:rsid w:val="00A66F1E"/>
    <w:rsid w:val="00A6760A"/>
    <w:rsid w:val="00A676D3"/>
    <w:rsid w:val="00A679AD"/>
    <w:rsid w:val="00A71142"/>
    <w:rsid w:val="00A711B7"/>
    <w:rsid w:val="00A7149F"/>
    <w:rsid w:val="00A71689"/>
    <w:rsid w:val="00A72C93"/>
    <w:rsid w:val="00A72DB7"/>
    <w:rsid w:val="00A72FF3"/>
    <w:rsid w:val="00A7410C"/>
    <w:rsid w:val="00A754A0"/>
    <w:rsid w:val="00A76082"/>
    <w:rsid w:val="00A7784F"/>
    <w:rsid w:val="00A77DE1"/>
    <w:rsid w:val="00A80A07"/>
    <w:rsid w:val="00A811D6"/>
    <w:rsid w:val="00A81F02"/>
    <w:rsid w:val="00A82860"/>
    <w:rsid w:val="00A82B36"/>
    <w:rsid w:val="00A82F07"/>
    <w:rsid w:val="00A832BA"/>
    <w:rsid w:val="00A8331B"/>
    <w:rsid w:val="00A83BF6"/>
    <w:rsid w:val="00A84963"/>
    <w:rsid w:val="00A84D9C"/>
    <w:rsid w:val="00A85048"/>
    <w:rsid w:val="00A86552"/>
    <w:rsid w:val="00A86CD7"/>
    <w:rsid w:val="00A86D7C"/>
    <w:rsid w:val="00A8750A"/>
    <w:rsid w:val="00A9017B"/>
    <w:rsid w:val="00A90878"/>
    <w:rsid w:val="00A91266"/>
    <w:rsid w:val="00A9266A"/>
    <w:rsid w:val="00A9310D"/>
    <w:rsid w:val="00A9367D"/>
    <w:rsid w:val="00A950F4"/>
    <w:rsid w:val="00A9567A"/>
    <w:rsid w:val="00A96783"/>
    <w:rsid w:val="00A97098"/>
    <w:rsid w:val="00A97337"/>
    <w:rsid w:val="00A97B08"/>
    <w:rsid w:val="00A97D41"/>
    <w:rsid w:val="00A97F5A"/>
    <w:rsid w:val="00A97F92"/>
    <w:rsid w:val="00AA0D5A"/>
    <w:rsid w:val="00AA17F7"/>
    <w:rsid w:val="00AA253F"/>
    <w:rsid w:val="00AA25AC"/>
    <w:rsid w:val="00AA28D2"/>
    <w:rsid w:val="00AA2D58"/>
    <w:rsid w:val="00AA4A27"/>
    <w:rsid w:val="00AA4C06"/>
    <w:rsid w:val="00AA5C1F"/>
    <w:rsid w:val="00AA62A7"/>
    <w:rsid w:val="00AA7E5F"/>
    <w:rsid w:val="00AB0ED1"/>
    <w:rsid w:val="00AB16F3"/>
    <w:rsid w:val="00AB1ED1"/>
    <w:rsid w:val="00AB23B0"/>
    <w:rsid w:val="00AB2567"/>
    <w:rsid w:val="00AB3273"/>
    <w:rsid w:val="00AB3537"/>
    <w:rsid w:val="00AB365A"/>
    <w:rsid w:val="00AB3A63"/>
    <w:rsid w:val="00AB4201"/>
    <w:rsid w:val="00AB453D"/>
    <w:rsid w:val="00AB48D1"/>
    <w:rsid w:val="00AB4CFC"/>
    <w:rsid w:val="00AB5363"/>
    <w:rsid w:val="00AB58F2"/>
    <w:rsid w:val="00AB5E9F"/>
    <w:rsid w:val="00AB61EF"/>
    <w:rsid w:val="00AB689B"/>
    <w:rsid w:val="00AB747A"/>
    <w:rsid w:val="00AB7541"/>
    <w:rsid w:val="00AB7CDE"/>
    <w:rsid w:val="00AC0AAA"/>
    <w:rsid w:val="00AC0D62"/>
    <w:rsid w:val="00AC1771"/>
    <w:rsid w:val="00AC1934"/>
    <w:rsid w:val="00AC277A"/>
    <w:rsid w:val="00AC41F9"/>
    <w:rsid w:val="00AC4EEC"/>
    <w:rsid w:val="00AC5B51"/>
    <w:rsid w:val="00AC6C46"/>
    <w:rsid w:val="00AC6D5D"/>
    <w:rsid w:val="00AC6F64"/>
    <w:rsid w:val="00AC706B"/>
    <w:rsid w:val="00AC7487"/>
    <w:rsid w:val="00AC7B00"/>
    <w:rsid w:val="00AD03D9"/>
    <w:rsid w:val="00AD20AF"/>
    <w:rsid w:val="00AD25AD"/>
    <w:rsid w:val="00AD3A59"/>
    <w:rsid w:val="00AD3BBF"/>
    <w:rsid w:val="00AD4353"/>
    <w:rsid w:val="00AD485D"/>
    <w:rsid w:val="00AD613B"/>
    <w:rsid w:val="00AE079E"/>
    <w:rsid w:val="00AE0D0C"/>
    <w:rsid w:val="00AE1BA9"/>
    <w:rsid w:val="00AE2387"/>
    <w:rsid w:val="00AE4002"/>
    <w:rsid w:val="00AE6E19"/>
    <w:rsid w:val="00AE724E"/>
    <w:rsid w:val="00AE76A8"/>
    <w:rsid w:val="00AF09A0"/>
    <w:rsid w:val="00AF1091"/>
    <w:rsid w:val="00AF153A"/>
    <w:rsid w:val="00AF18A6"/>
    <w:rsid w:val="00AF18CA"/>
    <w:rsid w:val="00AF1CFD"/>
    <w:rsid w:val="00AF2306"/>
    <w:rsid w:val="00AF2617"/>
    <w:rsid w:val="00AF2AE5"/>
    <w:rsid w:val="00AF2B00"/>
    <w:rsid w:val="00AF3AD9"/>
    <w:rsid w:val="00AF4640"/>
    <w:rsid w:val="00AF5145"/>
    <w:rsid w:val="00AF52CD"/>
    <w:rsid w:val="00AF58F3"/>
    <w:rsid w:val="00AF5ABA"/>
    <w:rsid w:val="00AF6D5C"/>
    <w:rsid w:val="00AF6D94"/>
    <w:rsid w:val="00B00317"/>
    <w:rsid w:val="00B0149D"/>
    <w:rsid w:val="00B014EC"/>
    <w:rsid w:val="00B04FE2"/>
    <w:rsid w:val="00B05126"/>
    <w:rsid w:val="00B05277"/>
    <w:rsid w:val="00B05777"/>
    <w:rsid w:val="00B05B5E"/>
    <w:rsid w:val="00B06527"/>
    <w:rsid w:val="00B07EE5"/>
    <w:rsid w:val="00B10C3C"/>
    <w:rsid w:val="00B11271"/>
    <w:rsid w:val="00B112A5"/>
    <w:rsid w:val="00B116FF"/>
    <w:rsid w:val="00B118CF"/>
    <w:rsid w:val="00B12833"/>
    <w:rsid w:val="00B12AAF"/>
    <w:rsid w:val="00B12D4B"/>
    <w:rsid w:val="00B140E9"/>
    <w:rsid w:val="00B14557"/>
    <w:rsid w:val="00B1471D"/>
    <w:rsid w:val="00B15438"/>
    <w:rsid w:val="00B17281"/>
    <w:rsid w:val="00B17A43"/>
    <w:rsid w:val="00B2131B"/>
    <w:rsid w:val="00B21BF3"/>
    <w:rsid w:val="00B222E2"/>
    <w:rsid w:val="00B230A8"/>
    <w:rsid w:val="00B2310C"/>
    <w:rsid w:val="00B23328"/>
    <w:rsid w:val="00B233EC"/>
    <w:rsid w:val="00B23B81"/>
    <w:rsid w:val="00B242B1"/>
    <w:rsid w:val="00B24DDE"/>
    <w:rsid w:val="00B24E54"/>
    <w:rsid w:val="00B25994"/>
    <w:rsid w:val="00B27646"/>
    <w:rsid w:val="00B301CC"/>
    <w:rsid w:val="00B30A4E"/>
    <w:rsid w:val="00B31A01"/>
    <w:rsid w:val="00B31E3C"/>
    <w:rsid w:val="00B32C18"/>
    <w:rsid w:val="00B33037"/>
    <w:rsid w:val="00B33732"/>
    <w:rsid w:val="00B3483B"/>
    <w:rsid w:val="00B35C7E"/>
    <w:rsid w:val="00B35D32"/>
    <w:rsid w:val="00B36448"/>
    <w:rsid w:val="00B377F6"/>
    <w:rsid w:val="00B40FEB"/>
    <w:rsid w:val="00B416B1"/>
    <w:rsid w:val="00B418F4"/>
    <w:rsid w:val="00B426A2"/>
    <w:rsid w:val="00B42D4E"/>
    <w:rsid w:val="00B43376"/>
    <w:rsid w:val="00B43E68"/>
    <w:rsid w:val="00B44209"/>
    <w:rsid w:val="00B44CCC"/>
    <w:rsid w:val="00B44EAC"/>
    <w:rsid w:val="00B465C8"/>
    <w:rsid w:val="00B472C9"/>
    <w:rsid w:val="00B47636"/>
    <w:rsid w:val="00B47C1C"/>
    <w:rsid w:val="00B47F43"/>
    <w:rsid w:val="00B506AC"/>
    <w:rsid w:val="00B50773"/>
    <w:rsid w:val="00B50D1B"/>
    <w:rsid w:val="00B50E2C"/>
    <w:rsid w:val="00B51364"/>
    <w:rsid w:val="00B517ED"/>
    <w:rsid w:val="00B51F08"/>
    <w:rsid w:val="00B52041"/>
    <w:rsid w:val="00B52A2C"/>
    <w:rsid w:val="00B52F1D"/>
    <w:rsid w:val="00B53170"/>
    <w:rsid w:val="00B536A8"/>
    <w:rsid w:val="00B53B00"/>
    <w:rsid w:val="00B54AE6"/>
    <w:rsid w:val="00B54F8C"/>
    <w:rsid w:val="00B551CF"/>
    <w:rsid w:val="00B56D06"/>
    <w:rsid w:val="00B5765A"/>
    <w:rsid w:val="00B60C22"/>
    <w:rsid w:val="00B616A0"/>
    <w:rsid w:val="00B620CA"/>
    <w:rsid w:val="00B6232A"/>
    <w:rsid w:val="00B62B8F"/>
    <w:rsid w:val="00B62D75"/>
    <w:rsid w:val="00B63850"/>
    <w:rsid w:val="00B6475C"/>
    <w:rsid w:val="00B649F7"/>
    <w:rsid w:val="00B667C6"/>
    <w:rsid w:val="00B66DB7"/>
    <w:rsid w:val="00B67ADB"/>
    <w:rsid w:val="00B70A7F"/>
    <w:rsid w:val="00B716B3"/>
    <w:rsid w:val="00B719C9"/>
    <w:rsid w:val="00B71C1E"/>
    <w:rsid w:val="00B71C25"/>
    <w:rsid w:val="00B71D4B"/>
    <w:rsid w:val="00B7214B"/>
    <w:rsid w:val="00B72A9B"/>
    <w:rsid w:val="00B73636"/>
    <w:rsid w:val="00B7370E"/>
    <w:rsid w:val="00B7381A"/>
    <w:rsid w:val="00B73C08"/>
    <w:rsid w:val="00B7439C"/>
    <w:rsid w:val="00B743D7"/>
    <w:rsid w:val="00B7534C"/>
    <w:rsid w:val="00B7657E"/>
    <w:rsid w:val="00B76793"/>
    <w:rsid w:val="00B76C42"/>
    <w:rsid w:val="00B76CBC"/>
    <w:rsid w:val="00B770C9"/>
    <w:rsid w:val="00B80C63"/>
    <w:rsid w:val="00B819ED"/>
    <w:rsid w:val="00B8390E"/>
    <w:rsid w:val="00B83CA3"/>
    <w:rsid w:val="00B84219"/>
    <w:rsid w:val="00B84275"/>
    <w:rsid w:val="00B84382"/>
    <w:rsid w:val="00B85068"/>
    <w:rsid w:val="00B85154"/>
    <w:rsid w:val="00B85546"/>
    <w:rsid w:val="00B85D8E"/>
    <w:rsid w:val="00B87377"/>
    <w:rsid w:val="00B87EA2"/>
    <w:rsid w:val="00B90139"/>
    <w:rsid w:val="00B913AA"/>
    <w:rsid w:val="00B91481"/>
    <w:rsid w:val="00B91B01"/>
    <w:rsid w:val="00B9205C"/>
    <w:rsid w:val="00B925BA"/>
    <w:rsid w:val="00B93031"/>
    <w:rsid w:val="00B9335D"/>
    <w:rsid w:val="00B94400"/>
    <w:rsid w:val="00B95673"/>
    <w:rsid w:val="00B961C8"/>
    <w:rsid w:val="00B96C2A"/>
    <w:rsid w:val="00B96FD4"/>
    <w:rsid w:val="00B97971"/>
    <w:rsid w:val="00B97D8D"/>
    <w:rsid w:val="00BA04E1"/>
    <w:rsid w:val="00BA18D1"/>
    <w:rsid w:val="00BA19E0"/>
    <w:rsid w:val="00BA1D00"/>
    <w:rsid w:val="00BA1F8A"/>
    <w:rsid w:val="00BA258C"/>
    <w:rsid w:val="00BA280D"/>
    <w:rsid w:val="00BA3140"/>
    <w:rsid w:val="00BA321E"/>
    <w:rsid w:val="00BA3EDB"/>
    <w:rsid w:val="00BA4441"/>
    <w:rsid w:val="00BA46B0"/>
    <w:rsid w:val="00BA47DA"/>
    <w:rsid w:val="00BA4E91"/>
    <w:rsid w:val="00BA5E59"/>
    <w:rsid w:val="00BA62A1"/>
    <w:rsid w:val="00BA6D0B"/>
    <w:rsid w:val="00BA75F2"/>
    <w:rsid w:val="00BB0F17"/>
    <w:rsid w:val="00BB1A4D"/>
    <w:rsid w:val="00BB1A9F"/>
    <w:rsid w:val="00BB228F"/>
    <w:rsid w:val="00BB304B"/>
    <w:rsid w:val="00BB347F"/>
    <w:rsid w:val="00BB36ED"/>
    <w:rsid w:val="00BB50DE"/>
    <w:rsid w:val="00BB641A"/>
    <w:rsid w:val="00BB6DED"/>
    <w:rsid w:val="00BB79A4"/>
    <w:rsid w:val="00BB7A89"/>
    <w:rsid w:val="00BB7CBB"/>
    <w:rsid w:val="00BC08D4"/>
    <w:rsid w:val="00BC0CB8"/>
    <w:rsid w:val="00BC0EE4"/>
    <w:rsid w:val="00BC1B82"/>
    <w:rsid w:val="00BC1D46"/>
    <w:rsid w:val="00BC21D7"/>
    <w:rsid w:val="00BC4A61"/>
    <w:rsid w:val="00BC52EB"/>
    <w:rsid w:val="00BC5978"/>
    <w:rsid w:val="00BC5A14"/>
    <w:rsid w:val="00BC63D5"/>
    <w:rsid w:val="00BC6876"/>
    <w:rsid w:val="00BD0100"/>
    <w:rsid w:val="00BD297C"/>
    <w:rsid w:val="00BD2BB6"/>
    <w:rsid w:val="00BD4509"/>
    <w:rsid w:val="00BD483C"/>
    <w:rsid w:val="00BD4931"/>
    <w:rsid w:val="00BD499A"/>
    <w:rsid w:val="00BD532D"/>
    <w:rsid w:val="00BD6018"/>
    <w:rsid w:val="00BD6F03"/>
    <w:rsid w:val="00BD6FDA"/>
    <w:rsid w:val="00BD77B5"/>
    <w:rsid w:val="00BD7A55"/>
    <w:rsid w:val="00BE00E4"/>
    <w:rsid w:val="00BE0270"/>
    <w:rsid w:val="00BE0809"/>
    <w:rsid w:val="00BE0965"/>
    <w:rsid w:val="00BE0D73"/>
    <w:rsid w:val="00BE0DD9"/>
    <w:rsid w:val="00BE180E"/>
    <w:rsid w:val="00BE19CD"/>
    <w:rsid w:val="00BE21A8"/>
    <w:rsid w:val="00BE2556"/>
    <w:rsid w:val="00BE2827"/>
    <w:rsid w:val="00BE2CB6"/>
    <w:rsid w:val="00BE331A"/>
    <w:rsid w:val="00BE391E"/>
    <w:rsid w:val="00BE4444"/>
    <w:rsid w:val="00BE48B7"/>
    <w:rsid w:val="00BE4C20"/>
    <w:rsid w:val="00BE53BC"/>
    <w:rsid w:val="00BE5574"/>
    <w:rsid w:val="00BE5CDB"/>
    <w:rsid w:val="00BE5DF3"/>
    <w:rsid w:val="00BE61B0"/>
    <w:rsid w:val="00BE6BFF"/>
    <w:rsid w:val="00BE74B4"/>
    <w:rsid w:val="00BE74D9"/>
    <w:rsid w:val="00BF01E3"/>
    <w:rsid w:val="00BF0B84"/>
    <w:rsid w:val="00BF19A0"/>
    <w:rsid w:val="00BF2280"/>
    <w:rsid w:val="00BF4843"/>
    <w:rsid w:val="00BF4B69"/>
    <w:rsid w:val="00BF5F81"/>
    <w:rsid w:val="00BF6456"/>
    <w:rsid w:val="00BF6462"/>
    <w:rsid w:val="00BF6F8D"/>
    <w:rsid w:val="00BF7738"/>
    <w:rsid w:val="00BF77A4"/>
    <w:rsid w:val="00C00471"/>
    <w:rsid w:val="00C011B3"/>
    <w:rsid w:val="00C014C6"/>
    <w:rsid w:val="00C016C1"/>
    <w:rsid w:val="00C01839"/>
    <w:rsid w:val="00C01BF8"/>
    <w:rsid w:val="00C02043"/>
    <w:rsid w:val="00C048AE"/>
    <w:rsid w:val="00C04A40"/>
    <w:rsid w:val="00C04F50"/>
    <w:rsid w:val="00C05E06"/>
    <w:rsid w:val="00C06FED"/>
    <w:rsid w:val="00C0702F"/>
    <w:rsid w:val="00C076D3"/>
    <w:rsid w:val="00C1041E"/>
    <w:rsid w:val="00C1044E"/>
    <w:rsid w:val="00C10EB9"/>
    <w:rsid w:val="00C11E3B"/>
    <w:rsid w:val="00C1233D"/>
    <w:rsid w:val="00C12AFA"/>
    <w:rsid w:val="00C12E9A"/>
    <w:rsid w:val="00C1363D"/>
    <w:rsid w:val="00C1412B"/>
    <w:rsid w:val="00C15578"/>
    <w:rsid w:val="00C15648"/>
    <w:rsid w:val="00C16E21"/>
    <w:rsid w:val="00C17244"/>
    <w:rsid w:val="00C2000C"/>
    <w:rsid w:val="00C2020E"/>
    <w:rsid w:val="00C20265"/>
    <w:rsid w:val="00C2049A"/>
    <w:rsid w:val="00C20ECB"/>
    <w:rsid w:val="00C2112F"/>
    <w:rsid w:val="00C21CA1"/>
    <w:rsid w:val="00C21D7D"/>
    <w:rsid w:val="00C21FB0"/>
    <w:rsid w:val="00C24142"/>
    <w:rsid w:val="00C257EC"/>
    <w:rsid w:val="00C25B6F"/>
    <w:rsid w:val="00C25CA5"/>
    <w:rsid w:val="00C2605E"/>
    <w:rsid w:val="00C2648E"/>
    <w:rsid w:val="00C26B97"/>
    <w:rsid w:val="00C27BE2"/>
    <w:rsid w:val="00C30194"/>
    <w:rsid w:val="00C30973"/>
    <w:rsid w:val="00C30F85"/>
    <w:rsid w:val="00C31129"/>
    <w:rsid w:val="00C313E7"/>
    <w:rsid w:val="00C3210B"/>
    <w:rsid w:val="00C326A9"/>
    <w:rsid w:val="00C34EEE"/>
    <w:rsid w:val="00C3561D"/>
    <w:rsid w:val="00C3654D"/>
    <w:rsid w:val="00C369FE"/>
    <w:rsid w:val="00C410EB"/>
    <w:rsid w:val="00C4196A"/>
    <w:rsid w:val="00C41CF2"/>
    <w:rsid w:val="00C41E47"/>
    <w:rsid w:val="00C42E87"/>
    <w:rsid w:val="00C42F00"/>
    <w:rsid w:val="00C43453"/>
    <w:rsid w:val="00C44924"/>
    <w:rsid w:val="00C45097"/>
    <w:rsid w:val="00C45C93"/>
    <w:rsid w:val="00C461EB"/>
    <w:rsid w:val="00C50077"/>
    <w:rsid w:val="00C51720"/>
    <w:rsid w:val="00C51E03"/>
    <w:rsid w:val="00C520D7"/>
    <w:rsid w:val="00C52B35"/>
    <w:rsid w:val="00C5372C"/>
    <w:rsid w:val="00C53769"/>
    <w:rsid w:val="00C53EEF"/>
    <w:rsid w:val="00C55CD2"/>
    <w:rsid w:val="00C55E91"/>
    <w:rsid w:val="00C562B4"/>
    <w:rsid w:val="00C56832"/>
    <w:rsid w:val="00C56C08"/>
    <w:rsid w:val="00C57869"/>
    <w:rsid w:val="00C60DF5"/>
    <w:rsid w:val="00C60FED"/>
    <w:rsid w:val="00C627A3"/>
    <w:rsid w:val="00C64C2F"/>
    <w:rsid w:val="00C6528A"/>
    <w:rsid w:val="00C6546A"/>
    <w:rsid w:val="00C66586"/>
    <w:rsid w:val="00C665F2"/>
    <w:rsid w:val="00C672BF"/>
    <w:rsid w:val="00C6749F"/>
    <w:rsid w:val="00C676D3"/>
    <w:rsid w:val="00C7054B"/>
    <w:rsid w:val="00C70598"/>
    <w:rsid w:val="00C71439"/>
    <w:rsid w:val="00C72AE9"/>
    <w:rsid w:val="00C7375A"/>
    <w:rsid w:val="00C74048"/>
    <w:rsid w:val="00C74654"/>
    <w:rsid w:val="00C74775"/>
    <w:rsid w:val="00C74F0F"/>
    <w:rsid w:val="00C754A8"/>
    <w:rsid w:val="00C7556D"/>
    <w:rsid w:val="00C75F55"/>
    <w:rsid w:val="00C76725"/>
    <w:rsid w:val="00C77FDD"/>
    <w:rsid w:val="00C802D7"/>
    <w:rsid w:val="00C81867"/>
    <w:rsid w:val="00C81AAE"/>
    <w:rsid w:val="00C81EBC"/>
    <w:rsid w:val="00C82FE1"/>
    <w:rsid w:val="00C847AA"/>
    <w:rsid w:val="00C84C3A"/>
    <w:rsid w:val="00C86300"/>
    <w:rsid w:val="00C8679C"/>
    <w:rsid w:val="00C8685C"/>
    <w:rsid w:val="00C873BE"/>
    <w:rsid w:val="00C87645"/>
    <w:rsid w:val="00C87795"/>
    <w:rsid w:val="00C8784D"/>
    <w:rsid w:val="00C8788F"/>
    <w:rsid w:val="00C878A2"/>
    <w:rsid w:val="00C93936"/>
    <w:rsid w:val="00C948E7"/>
    <w:rsid w:val="00C963E5"/>
    <w:rsid w:val="00C967BE"/>
    <w:rsid w:val="00C96E4A"/>
    <w:rsid w:val="00C97546"/>
    <w:rsid w:val="00C975A8"/>
    <w:rsid w:val="00C97688"/>
    <w:rsid w:val="00C97773"/>
    <w:rsid w:val="00C9786B"/>
    <w:rsid w:val="00C97D39"/>
    <w:rsid w:val="00CA1482"/>
    <w:rsid w:val="00CA1957"/>
    <w:rsid w:val="00CA2159"/>
    <w:rsid w:val="00CA21E3"/>
    <w:rsid w:val="00CA2ACE"/>
    <w:rsid w:val="00CA3B1F"/>
    <w:rsid w:val="00CA3B41"/>
    <w:rsid w:val="00CA3BA7"/>
    <w:rsid w:val="00CA3D0C"/>
    <w:rsid w:val="00CA7866"/>
    <w:rsid w:val="00CA7F24"/>
    <w:rsid w:val="00CB0C31"/>
    <w:rsid w:val="00CB0D84"/>
    <w:rsid w:val="00CB1580"/>
    <w:rsid w:val="00CB1A38"/>
    <w:rsid w:val="00CB21B3"/>
    <w:rsid w:val="00CB2E9C"/>
    <w:rsid w:val="00CB3460"/>
    <w:rsid w:val="00CB4072"/>
    <w:rsid w:val="00CB484D"/>
    <w:rsid w:val="00CB517A"/>
    <w:rsid w:val="00CB5E18"/>
    <w:rsid w:val="00CB61C9"/>
    <w:rsid w:val="00CB62EE"/>
    <w:rsid w:val="00CB7176"/>
    <w:rsid w:val="00CB730C"/>
    <w:rsid w:val="00CC0F4A"/>
    <w:rsid w:val="00CC0F68"/>
    <w:rsid w:val="00CC22B1"/>
    <w:rsid w:val="00CC2A03"/>
    <w:rsid w:val="00CC2C93"/>
    <w:rsid w:val="00CC2DC4"/>
    <w:rsid w:val="00CC384C"/>
    <w:rsid w:val="00CC38CF"/>
    <w:rsid w:val="00CC3988"/>
    <w:rsid w:val="00CC4F63"/>
    <w:rsid w:val="00CC5202"/>
    <w:rsid w:val="00CC52C9"/>
    <w:rsid w:val="00CC53F4"/>
    <w:rsid w:val="00CC5AF3"/>
    <w:rsid w:val="00CC68BF"/>
    <w:rsid w:val="00CC6958"/>
    <w:rsid w:val="00CC7C45"/>
    <w:rsid w:val="00CD13B1"/>
    <w:rsid w:val="00CD2107"/>
    <w:rsid w:val="00CD28EC"/>
    <w:rsid w:val="00CD2DC8"/>
    <w:rsid w:val="00CD3D23"/>
    <w:rsid w:val="00CD3FDF"/>
    <w:rsid w:val="00CD561D"/>
    <w:rsid w:val="00CD6EF5"/>
    <w:rsid w:val="00CD755A"/>
    <w:rsid w:val="00CE052C"/>
    <w:rsid w:val="00CE0CE1"/>
    <w:rsid w:val="00CE20E9"/>
    <w:rsid w:val="00CE3DD3"/>
    <w:rsid w:val="00CE4053"/>
    <w:rsid w:val="00CE4954"/>
    <w:rsid w:val="00CE5016"/>
    <w:rsid w:val="00CE596E"/>
    <w:rsid w:val="00CE5FEF"/>
    <w:rsid w:val="00CF1160"/>
    <w:rsid w:val="00CF3482"/>
    <w:rsid w:val="00CF4940"/>
    <w:rsid w:val="00CF4CD4"/>
    <w:rsid w:val="00CF507C"/>
    <w:rsid w:val="00CF5293"/>
    <w:rsid w:val="00CF72AC"/>
    <w:rsid w:val="00D0011E"/>
    <w:rsid w:val="00D004E5"/>
    <w:rsid w:val="00D0136A"/>
    <w:rsid w:val="00D0142A"/>
    <w:rsid w:val="00D0150B"/>
    <w:rsid w:val="00D02111"/>
    <w:rsid w:val="00D0280B"/>
    <w:rsid w:val="00D038D7"/>
    <w:rsid w:val="00D03B38"/>
    <w:rsid w:val="00D052E6"/>
    <w:rsid w:val="00D05DDB"/>
    <w:rsid w:val="00D073F9"/>
    <w:rsid w:val="00D07DD7"/>
    <w:rsid w:val="00D10717"/>
    <w:rsid w:val="00D1147F"/>
    <w:rsid w:val="00D13DF1"/>
    <w:rsid w:val="00D13EDA"/>
    <w:rsid w:val="00D15061"/>
    <w:rsid w:val="00D1522E"/>
    <w:rsid w:val="00D15D74"/>
    <w:rsid w:val="00D16D8E"/>
    <w:rsid w:val="00D16FB5"/>
    <w:rsid w:val="00D1722E"/>
    <w:rsid w:val="00D176B7"/>
    <w:rsid w:val="00D17F2A"/>
    <w:rsid w:val="00D20B08"/>
    <w:rsid w:val="00D211A5"/>
    <w:rsid w:val="00D21C7E"/>
    <w:rsid w:val="00D21E09"/>
    <w:rsid w:val="00D2261D"/>
    <w:rsid w:val="00D228B8"/>
    <w:rsid w:val="00D2301A"/>
    <w:rsid w:val="00D24515"/>
    <w:rsid w:val="00D24B00"/>
    <w:rsid w:val="00D24E61"/>
    <w:rsid w:val="00D2526B"/>
    <w:rsid w:val="00D266A9"/>
    <w:rsid w:val="00D27660"/>
    <w:rsid w:val="00D30E94"/>
    <w:rsid w:val="00D31401"/>
    <w:rsid w:val="00D324DA"/>
    <w:rsid w:val="00D3266B"/>
    <w:rsid w:val="00D32A14"/>
    <w:rsid w:val="00D32B43"/>
    <w:rsid w:val="00D33571"/>
    <w:rsid w:val="00D339A1"/>
    <w:rsid w:val="00D33CFC"/>
    <w:rsid w:val="00D344F3"/>
    <w:rsid w:val="00D3524B"/>
    <w:rsid w:val="00D357A4"/>
    <w:rsid w:val="00D36238"/>
    <w:rsid w:val="00D36EB1"/>
    <w:rsid w:val="00D375AE"/>
    <w:rsid w:val="00D4029D"/>
    <w:rsid w:val="00D43642"/>
    <w:rsid w:val="00D44DF2"/>
    <w:rsid w:val="00D44EDE"/>
    <w:rsid w:val="00D451A5"/>
    <w:rsid w:val="00D451C1"/>
    <w:rsid w:val="00D45283"/>
    <w:rsid w:val="00D4541B"/>
    <w:rsid w:val="00D477C3"/>
    <w:rsid w:val="00D47CB0"/>
    <w:rsid w:val="00D47DE7"/>
    <w:rsid w:val="00D51271"/>
    <w:rsid w:val="00D51828"/>
    <w:rsid w:val="00D53179"/>
    <w:rsid w:val="00D53DC5"/>
    <w:rsid w:val="00D5465D"/>
    <w:rsid w:val="00D5517C"/>
    <w:rsid w:val="00D55406"/>
    <w:rsid w:val="00D55E9A"/>
    <w:rsid w:val="00D5615B"/>
    <w:rsid w:val="00D5638E"/>
    <w:rsid w:val="00D56E84"/>
    <w:rsid w:val="00D60759"/>
    <w:rsid w:val="00D6293F"/>
    <w:rsid w:val="00D662E4"/>
    <w:rsid w:val="00D66E1F"/>
    <w:rsid w:val="00D670D3"/>
    <w:rsid w:val="00D67470"/>
    <w:rsid w:val="00D6792F"/>
    <w:rsid w:val="00D67B99"/>
    <w:rsid w:val="00D67FC9"/>
    <w:rsid w:val="00D709B5"/>
    <w:rsid w:val="00D729D1"/>
    <w:rsid w:val="00D72B2A"/>
    <w:rsid w:val="00D736FB"/>
    <w:rsid w:val="00D73AAF"/>
    <w:rsid w:val="00D73B35"/>
    <w:rsid w:val="00D74B08"/>
    <w:rsid w:val="00D75461"/>
    <w:rsid w:val="00D75B0B"/>
    <w:rsid w:val="00D76233"/>
    <w:rsid w:val="00D77388"/>
    <w:rsid w:val="00D775D2"/>
    <w:rsid w:val="00D77855"/>
    <w:rsid w:val="00D8078E"/>
    <w:rsid w:val="00D80D94"/>
    <w:rsid w:val="00D8118D"/>
    <w:rsid w:val="00D82637"/>
    <w:rsid w:val="00D83283"/>
    <w:rsid w:val="00D83860"/>
    <w:rsid w:val="00D83B8A"/>
    <w:rsid w:val="00D83D34"/>
    <w:rsid w:val="00D85155"/>
    <w:rsid w:val="00D85F3F"/>
    <w:rsid w:val="00D86169"/>
    <w:rsid w:val="00D8652F"/>
    <w:rsid w:val="00D86BF7"/>
    <w:rsid w:val="00D86C18"/>
    <w:rsid w:val="00D8747A"/>
    <w:rsid w:val="00D875E3"/>
    <w:rsid w:val="00D91421"/>
    <w:rsid w:val="00D91CBD"/>
    <w:rsid w:val="00D926E9"/>
    <w:rsid w:val="00D92B66"/>
    <w:rsid w:val="00D9348C"/>
    <w:rsid w:val="00D93CC1"/>
    <w:rsid w:val="00D93EB9"/>
    <w:rsid w:val="00D942A3"/>
    <w:rsid w:val="00D95384"/>
    <w:rsid w:val="00D9583F"/>
    <w:rsid w:val="00D96C34"/>
    <w:rsid w:val="00D970E9"/>
    <w:rsid w:val="00D97E49"/>
    <w:rsid w:val="00DA073F"/>
    <w:rsid w:val="00DA08BF"/>
    <w:rsid w:val="00DA12F6"/>
    <w:rsid w:val="00DA1419"/>
    <w:rsid w:val="00DA2603"/>
    <w:rsid w:val="00DA2818"/>
    <w:rsid w:val="00DA2876"/>
    <w:rsid w:val="00DA2CF3"/>
    <w:rsid w:val="00DA40F8"/>
    <w:rsid w:val="00DA47F0"/>
    <w:rsid w:val="00DA4875"/>
    <w:rsid w:val="00DA4917"/>
    <w:rsid w:val="00DA4E73"/>
    <w:rsid w:val="00DA5117"/>
    <w:rsid w:val="00DA61B6"/>
    <w:rsid w:val="00DA68C1"/>
    <w:rsid w:val="00DA71E0"/>
    <w:rsid w:val="00DA7808"/>
    <w:rsid w:val="00DB2CB5"/>
    <w:rsid w:val="00DB2F25"/>
    <w:rsid w:val="00DB35F8"/>
    <w:rsid w:val="00DB57B7"/>
    <w:rsid w:val="00DB67E5"/>
    <w:rsid w:val="00DB68CD"/>
    <w:rsid w:val="00DB73AB"/>
    <w:rsid w:val="00DB746B"/>
    <w:rsid w:val="00DB761D"/>
    <w:rsid w:val="00DB7C28"/>
    <w:rsid w:val="00DC13F9"/>
    <w:rsid w:val="00DC1D72"/>
    <w:rsid w:val="00DC2A04"/>
    <w:rsid w:val="00DC2E2C"/>
    <w:rsid w:val="00DC46D1"/>
    <w:rsid w:val="00DC4E8F"/>
    <w:rsid w:val="00DC545A"/>
    <w:rsid w:val="00DC585F"/>
    <w:rsid w:val="00DC77F2"/>
    <w:rsid w:val="00DC78DB"/>
    <w:rsid w:val="00DC7F7D"/>
    <w:rsid w:val="00DD028A"/>
    <w:rsid w:val="00DD08C1"/>
    <w:rsid w:val="00DD19C8"/>
    <w:rsid w:val="00DD1BFF"/>
    <w:rsid w:val="00DD2278"/>
    <w:rsid w:val="00DD2ADC"/>
    <w:rsid w:val="00DD4F3E"/>
    <w:rsid w:val="00DD5FFB"/>
    <w:rsid w:val="00DD67A9"/>
    <w:rsid w:val="00DD6EA5"/>
    <w:rsid w:val="00DD75C0"/>
    <w:rsid w:val="00DD7C85"/>
    <w:rsid w:val="00DE2574"/>
    <w:rsid w:val="00DE2C5D"/>
    <w:rsid w:val="00DE36B6"/>
    <w:rsid w:val="00DE43B5"/>
    <w:rsid w:val="00DE4BD0"/>
    <w:rsid w:val="00DE58C9"/>
    <w:rsid w:val="00DE58D7"/>
    <w:rsid w:val="00DE5D98"/>
    <w:rsid w:val="00DE62BC"/>
    <w:rsid w:val="00DE7572"/>
    <w:rsid w:val="00DE7BEA"/>
    <w:rsid w:val="00DE7DAF"/>
    <w:rsid w:val="00DF154D"/>
    <w:rsid w:val="00DF16FC"/>
    <w:rsid w:val="00DF19F6"/>
    <w:rsid w:val="00DF376E"/>
    <w:rsid w:val="00DF431A"/>
    <w:rsid w:val="00DF5CAF"/>
    <w:rsid w:val="00DF62C6"/>
    <w:rsid w:val="00DF6D21"/>
    <w:rsid w:val="00DF75FB"/>
    <w:rsid w:val="00DF7C00"/>
    <w:rsid w:val="00E00BBD"/>
    <w:rsid w:val="00E00C89"/>
    <w:rsid w:val="00E013E3"/>
    <w:rsid w:val="00E01F2F"/>
    <w:rsid w:val="00E02136"/>
    <w:rsid w:val="00E02157"/>
    <w:rsid w:val="00E0219A"/>
    <w:rsid w:val="00E02370"/>
    <w:rsid w:val="00E02392"/>
    <w:rsid w:val="00E02F84"/>
    <w:rsid w:val="00E03E17"/>
    <w:rsid w:val="00E042FF"/>
    <w:rsid w:val="00E04850"/>
    <w:rsid w:val="00E04A38"/>
    <w:rsid w:val="00E05C13"/>
    <w:rsid w:val="00E05C1A"/>
    <w:rsid w:val="00E064CA"/>
    <w:rsid w:val="00E065B2"/>
    <w:rsid w:val="00E06813"/>
    <w:rsid w:val="00E10053"/>
    <w:rsid w:val="00E111E4"/>
    <w:rsid w:val="00E11521"/>
    <w:rsid w:val="00E127AF"/>
    <w:rsid w:val="00E13B47"/>
    <w:rsid w:val="00E15933"/>
    <w:rsid w:val="00E15B99"/>
    <w:rsid w:val="00E1657C"/>
    <w:rsid w:val="00E16BD3"/>
    <w:rsid w:val="00E16FAA"/>
    <w:rsid w:val="00E171C2"/>
    <w:rsid w:val="00E20598"/>
    <w:rsid w:val="00E20664"/>
    <w:rsid w:val="00E2148E"/>
    <w:rsid w:val="00E21864"/>
    <w:rsid w:val="00E21C56"/>
    <w:rsid w:val="00E22425"/>
    <w:rsid w:val="00E2267B"/>
    <w:rsid w:val="00E22996"/>
    <w:rsid w:val="00E23F67"/>
    <w:rsid w:val="00E24926"/>
    <w:rsid w:val="00E24E04"/>
    <w:rsid w:val="00E2580D"/>
    <w:rsid w:val="00E2583C"/>
    <w:rsid w:val="00E2789E"/>
    <w:rsid w:val="00E27948"/>
    <w:rsid w:val="00E27F2F"/>
    <w:rsid w:val="00E27F38"/>
    <w:rsid w:val="00E30294"/>
    <w:rsid w:val="00E315D6"/>
    <w:rsid w:val="00E3258F"/>
    <w:rsid w:val="00E330AB"/>
    <w:rsid w:val="00E3317B"/>
    <w:rsid w:val="00E3386F"/>
    <w:rsid w:val="00E341F0"/>
    <w:rsid w:val="00E350BD"/>
    <w:rsid w:val="00E3540A"/>
    <w:rsid w:val="00E35AE0"/>
    <w:rsid w:val="00E36335"/>
    <w:rsid w:val="00E373B4"/>
    <w:rsid w:val="00E37B5C"/>
    <w:rsid w:val="00E37CF8"/>
    <w:rsid w:val="00E40350"/>
    <w:rsid w:val="00E407AC"/>
    <w:rsid w:val="00E413A5"/>
    <w:rsid w:val="00E41AF8"/>
    <w:rsid w:val="00E422BE"/>
    <w:rsid w:val="00E4296A"/>
    <w:rsid w:val="00E43380"/>
    <w:rsid w:val="00E44274"/>
    <w:rsid w:val="00E44603"/>
    <w:rsid w:val="00E44F24"/>
    <w:rsid w:val="00E455B4"/>
    <w:rsid w:val="00E46FA7"/>
    <w:rsid w:val="00E46FBA"/>
    <w:rsid w:val="00E47328"/>
    <w:rsid w:val="00E476DD"/>
    <w:rsid w:val="00E479DF"/>
    <w:rsid w:val="00E505D8"/>
    <w:rsid w:val="00E50649"/>
    <w:rsid w:val="00E50B83"/>
    <w:rsid w:val="00E51530"/>
    <w:rsid w:val="00E5252F"/>
    <w:rsid w:val="00E528C6"/>
    <w:rsid w:val="00E52B26"/>
    <w:rsid w:val="00E535BD"/>
    <w:rsid w:val="00E54596"/>
    <w:rsid w:val="00E55578"/>
    <w:rsid w:val="00E56000"/>
    <w:rsid w:val="00E56378"/>
    <w:rsid w:val="00E57208"/>
    <w:rsid w:val="00E57457"/>
    <w:rsid w:val="00E60175"/>
    <w:rsid w:val="00E6160E"/>
    <w:rsid w:val="00E63B64"/>
    <w:rsid w:val="00E63F00"/>
    <w:rsid w:val="00E642DC"/>
    <w:rsid w:val="00E64ABC"/>
    <w:rsid w:val="00E64E57"/>
    <w:rsid w:val="00E64F71"/>
    <w:rsid w:val="00E64FC2"/>
    <w:rsid w:val="00E65240"/>
    <w:rsid w:val="00E66FD1"/>
    <w:rsid w:val="00E67590"/>
    <w:rsid w:val="00E67A1A"/>
    <w:rsid w:val="00E703B1"/>
    <w:rsid w:val="00E7045C"/>
    <w:rsid w:val="00E718EA"/>
    <w:rsid w:val="00E71A6E"/>
    <w:rsid w:val="00E72E55"/>
    <w:rsid w:val="00E733D4"/>
    <w:rsid w:val="00E74228"/>
    <w:rsid w:val="00E74759"/>
    <w:rsid w:val="00E74A24"/>
    <w:rsid w:val="00E74E48"/>
    <w:rsid w:val="00E769EA"/>
    <w:rsid w:val="00E76B64"/>
    <w:rsid w:val="00E76BBE"/>
    <w:rsid w:val="00E77101"/>
    <w:rsid w:val="00E77326"/>
    <w:rsid w:val="00E808C9"/>
    <w:rsid w:val="00E80943"/>
    <w:rsid w:val="00E8112D"/>
    <w:rsid w:val="00E81135"/>
    <w:rsid w:val="00E8148D"/>
    <w:rsid w:val="00E818C3"/>
    <w:rsid w:val="00E82DCF"/>
    <w:rsid w:val="00E84DC4"/>
    <w:rsid w:val="00E84E21"/>
    <w:rsid w:val="00E8561A"/>
    <w:rsid w:val="00E8589E"/>
    <w:rsid w:val="00E85DE8"/>
    <w:rsid w:val="00E86672"/>
    <w:rsid w:val="00E86705"/>
    <w:rsid w:val="00E86E0C"/>
    <w:rsid w:val="00E87FB1"/>
    <w:rsid w:val="00E900CF"/>
    <w:rsid w:val="00E908C6"/>
    <w:rsid w:val="00E924A8"/>
    <w:rsid w:val="00E93450"/>
    <w:rsid w:val="00E9372A"/>
    <w:rsid w:val="00E93AFD"/>
    <w:rsid w:val="00E95441"/>
    <w:rsid w:val="00E96618"/>
    <w:rsid w:val="00E97970"/>
    <w:rsid w:val="00E979A5"/>
    <w:rsid w:val="00E97C50"/>
    <w:rsid w:val="00EA03D8"/>
    <w:rsid w:val="00EA0DB1"/>
    <w:rsid w:val="00EA163C"/>
    <w:rsid w:val="00EA507E"/>
    <w:rsid w:val="00EA5747"/>
    <w:rsid w:val="00EA6103"/>
    <w:rsid w:val="00EA73BA"/>
    <w:rsid w:val="00EA743C"/>
    <w:rsid w:val="00EA7745"/>
    <w:rsid w:val="00EA78C4"/>
    <w:rsid w:val="00EB0F28"/>
    <w:rsid w:val="00EB1892"/>
    <w:rsid w:val="00EB2336"/>
    <w:rsid w:val="00EB3B2C"/>
    <w:rsid w:val="00EB3F96"/>
    <w:rsid w:val="00EB3FA2"/>
    <w:rsid w:val="00EB4281"/>
    <w:rsid w:val="00EB4A81"/>
    <w:rsid w:val="00EB5264"/>
    <w:rsid w:val="00EB52AE"/>
    <w:rsid w:val="00EB60D0"/>
    <w:rsid w:val="00EC03D2"/>
    <w:rsid w:val="00EC0719"/>
    <w:rsid w:val="00EC09D5"/>
    <w:rsid w:val="00EC1FA6"/>
    <w:rsid w:val="00EC202F"/>
    <w:rsid w:val="00EC25AB"/>
    <w:rsid w:val="00EC3DF9"/>
    <w:rsid w:val="00EC4F93"/>
    <w:rsid w:val="00EC515F"/>
    <w:rsid w:val="00EC5679"/>
    <w:rsid w:val="00EC5764"/>
    <w:rsid w:val="00EC5DBE"/>
    <w:rsid w:val="00EC5DE6"/>
    <w:rsid w:val="00EC6263"/>
    <w:rsid w:val="00EC6C65"/>
    <w:rsid w:val="00ED0FC6"/>
    <w:rsid w:val="00ED1C3D"/>
    <w:rsid w:val="00ED2264"/>
    <w:rsid w:val="00ED23A2"/>
    <w:rsid w:val="00ED2B1D"/>
    <w:rsid w:val="00ED412E"/>
    <w:rsid w:val="00ED41A8"/>
    <w:rsid w:val="00ED44D2"/>
    <w:rsid w:val="00ED452D"/>
    <w:rsid w:val="00ED5035"/>
    <w:rsid w:val="00ED5703"/>
    <w:rsid w:val="00ED5DD6"/>
    <w:rsid w:val="00ED65DB"/>
    <w:rsid w:val="00ED6AF2"/>
    <w:rsid w:val="00ED7BC1"/>
    <w:rsid w:val="00EE04D4"/>
    <w:rsid w:val="00EE0C34"/>
    <w:rsid w:val="00EE0C71"/>
    <w:rsid w:val="00EE29BE"/>
    <w:rsid w:val="00EE3C34"/>
    <w:rsid w:val="00EE3CDA"/>
    <w:rsid w:val="00EE4C9E"/>
    <w:rsid w:val="00EE5884"/>
    <w:rsid w:val="00EE64D0"/>
    <w:rsid w:val="00EE7261"/>
    <w:rsid w:val="00EF038F"/>
    <w:rsid w:val="00EF07C3"/>
    <w:rsid w:val="00EF1944"/>
    <w:rsid w:val="00EF26AE"/>
    <w:rsid w:val="00EF27B5"/>
    <w:rsid w:val="00EF43EA"/>
    <w:rsid w:val="00EF46B1"/>
    <w:rsid w:val="00EF493E"/>
    <w:rsid w:val="00EF5D73"/>
    <w:rsid w:val="00EF607A"/>
    <w:rsid w:val="00EF6331"/>
    <w:rsid w:val="00EF6482"/>
    <w:rsid w:val="00EF71FF"/>
    <w:rsid w:val="00EF7662"/>
    <w:rsid w:val="00EF773B"/>
    <w:rsid w:val="00F00241"/>
    <w:rsid w:val="00F00777"/>
    <w:rsid w:val="00F00887"/>
    <w:rsid w:val="00F0147C"/>
    <w:rsid w:val="00F01AED"/>
    <w:rsid w:val="00F02876"/>
    <w:rsid w:val="00F03CD8"/>
    <w:rsid w:val="00F06185"/>
    <w:rsid w:val="00F064C3"/>
    <w:rsid w:val="00F06A82"/>
    <w:rsid w:val="00F0715C"/>
    <w:rsid w:val="00F109A7"/>
    <w:rsid w:val="00F10BFD"/>
    <w:rsid w:val="00F10D7E"/>
    <w:rsid w:val="00F11D60"/>
    <w:rsid w:val="00F11FF2"/>
    <w:rsid w:val="00F12451"/>
    <w:rsid w:val="00F12C44"/>
    <w:rsid w:val="00F12F74"/>
    <w:rsid w:val="00F1303C"/>
    <w:rsid w:val="00F132E8"/>
    <w:rsid w:val="00F14FD4"/>
    <w:rsid w:val="00F15550"/>
    <w:rsid w:val="00F15E8D"/>
    <w:rsid w:val="00F175AF"/>
    <w:rsid w:val="00F205FB"/>
    <w:rsid w:val="00F20967"/>
    <w:rsid w:val="00F20DD7"/>
    <w:rsid w:val="00F20F27"/>
    <w:rsid w:val="00F21CF8"/>
    <w:rsid w:val="00F22A61"/>
    <w:rsid w:val="00F2357B"/>
    <w:rsid w:val="00F23602"/>
    <w:rsid w:val="00F236DC"/>
    <w:rsid w:val="00F243CB"/>
    <w:rsid w:val="00F2464A"/>
    <w:rsid w:val="00F247BC"/>
    <w:rsid w:val="00F2482C"/>
    <w:rsid w:val="00F24A8F"/>
    <w:rsid w:val="00F25233"/>
    <w:rsid w:val="00F25CBC"/>
    <w:rsid w:val="00F25EAF"/>
    <w:rsid w:val="00F26AC0"/>
    <w:rsid w:val="00F2719D"/>
    <w:rsid w:val="00F27940"/>
    <w:rsid w:val="00F27A13"/>
    <w:rsid w:val="00F27FA1"/>
    <w:rsid w:val="00F3032E"/>
    <w:rsid w:val="00F3124A"/>
    <w:rsid w:val="00F313E8"/>
    <w:rsid w:val="00F31596"/>
    <w:rsid w:val="00F31EFE"/>
    <w:rsid w:val="00F3277D"/>
    <w:rsid w:val="00F32822"/>
    <w:rsid w:val="00F32EC1"/>
    <w:rsid w:val="00F3329B"/>
    <w:rsid w:val="00F33D35"/>
    <w:rsid w:val="00F340F0"/>
    <w:rsid w:val="00F343CC"/>
    <w:rsid w:val="00F34F38"/>
    <w:rsid w:val="00F350F7"/>
    <w:rsid w:val="00F35253"/>
    <w:rsid w:val="00F36405"/>
    <w:rsid w:val="00F36809"/>
    <w:rsid w:val="00F36950"/>
    <w:rsid w:val="00F371E7"/>
    <w:rsid w:val="00F3733F"/>
    <w:rsid w:val="00F3738F"/>
    <w:rsid w:val="00F37625"/>
    <w:rsid w:val="00F37CB3"/>
    <w:rsid w:val="00F40055"/>
    <w:rsid w:val="00F41E87"/>
    <w:rsid w:val="00F42120"/>
    <w:rsid w:val="00F428F8"/>
    <w:rsid w:val="00F43B83"/>
    <w:rsid w:val="00F44EBF"/>
    <w:rsid w:val="00F45EB3"/>
    <w:rsid w:val="00F463BF"/>
    <w:rsid w:val="00F47502"/>
    <w:rsid w:val="00F47697"/>
    <w:rsid w:val="00F50AFE"/>
    <w:rsid w:val="00F50DD0"/>
    <w:rsid w:val="00F517F3"/>
    <w:rsid w:val="00F520B3"/>
    <w:rsid w:val="00F53132"/>
    <w:rsid w:val="00F531DC"/>
    <w:rsid w:val="00F538EF"/>
    <w:rsid w:val="00F53F88"/>
    <w:rsid w:val="00F54274"/>
    <w:rsid w:val="00F5456A"/>
    <w:rsid w:val="00F545FC"/>
    <w:rsid w:val="00F547FE"/>
    <w:rsid w:val="00F54E12"/>
    <w:rsid w:val="00F56446"/>
    <w:rsid w:val="00F573F1"/>
    <w:rsid w:val="00F57AF7"/>
    <w:rsid w:val="00F57CAC"/>
    <w:rsid w:val="00F61B21"/>
    <w:rsid w:val="00F61FFC"/>
    <w:rsid w:val="00F625CA"/>
    <w:rsid w:val="00F62A93"/>
    <w:rsid w:val="00F62AF9"/>
    <w:rsid w:val="00F62C6B"/>
    <w:rsid w:val="00F62CDB"/>
    <w:rsid w:val="00F62F06"/>
    <w:rsid w:val="00F6412C"/>
    <w:rsid w:val="00F644AD"/>
    <w:rsid w:val="00F646BE"/>
    <w:rsid w:val="00F64FF5"/>
    <w:rsid w:val="00F66320"/>
    <w:rsid w:val="00F663A8"/>
    <w:rsid w:val="00F66A76"/>
    <w:rsid w:val="00F674BA"/>
    <w:rsid w:val="00F6767A"/>
    <w:rsid w:val="00F67E6A"/>
    <w:rsid w:val="00F70A48"/>
    <w:rsid w:val="00F70BAD"/>
    <w:rsid w:val="00F713ED"/>
    <w:rsid w:val="00F71668"/>
    <w:rsid w:val="00F73140"/>
    <w:rsid w:val="00F74364"/>
    <w:rsid w:val="00F74666"/>
    <w:rsid w:val="00F7492D"/>
    <w:rsid w:val="00F751A4"/>
    <w:rsid w:val="00F7568A"/>
    <w:rsid w:val="00F77C1A"/>
    <w:rsid w:val="00F77E91"/>
    <w:rsid w:val="00F81073"/>
    <w:rsid w:val="00F812E4"/>
    <w:rsid w:val="00F815BB"/>
    <w:rsid w:val="00F825C9"/>
    <w:rsid w:val="00F8344B"/>
    <w:rsid w:val="00F83C40"/>
    <w:rsid w:val="00F83EEA"/>
    <w:rsid w:val="00F844DC"/>
    <w:rsid w:val="00F8461A"/>
    <w:rsid w:val="00F84BEC"/>
    <w:rsid w:val="00F852BE"/>
    <w:rsid w:val="00F86368"/>
    <w:rsid w:val="00F8731D"/>
    <w:rsid w:val="00F879C5"/>
    <w:rsid w:val="00F87CAF"/>
    <w:rsid w:val="00F87FA4"/>
    <w:rsid w:val="00F90063"/>
    <w:rsid w:val="00F90A3D"/>
    <w:rsid w:val="00F90EC0"/>
    <w:rsid w:val="00F91222"/>
    <w:rsid w:val="00F92352"/>
    <w:rsid w:val="00F9267B"/>
    <w:rsid w:val="00F93469"/>
    <w:rsid w:val="00F93B7A"/>
    <w:rsid w:val="00F94ACE"/>
    <w:rsid w:val="00F94AE5"/>
    <w:rsid w:val="00F94C20"/>
    <w:rsid w:val="00F94EAF"/>
    <w:rsid w:val="00F96581"/>
    <w:rsid w:val="00F96AF2"/>
    <w:rsid w:val="00F96D11"/>
    <w:rsid w:val="00F96F50"/>
    <w:rsid w:val="00F970A7"/>
    <w:rsid w:val="00F9731E"/>
    <w:rsid w:val="00F9738D"/>
    <w:rsid w:val="00FA1622"/>
    <w:rsid w:val="00FA1A3F"/>
    <w:rsid w:val="00FA2228"/>
    <w:rsid w:val="00FA2A03"/>
    <w:rsid w:val="00FA36A5"/>
    <w:rsid w:val="00FA57BD"/>
    <w:rsid w:val="00FA59C4"/>
    <w:rsid w:val="00FA59C6"/>
    <w:rsid w:val="00FA5A3F"/>
    <w:rsid w:val="00FA5B04"/>
    <w:rsid w:val="00FA5F7E"/>
    <w:rsid w:val="00FA6140"/>
    <w:rsid w:val="00FA6AEF"/>
    <w:rsid w:val="00FB0167"/>
    <w:rsid w:val="00FB0EBB"/>
    <w:rsid w:val="00FB10F6"/>
    <w:rsid w:val="00FB13A2"/>
    <w:rsid w:val="00FB1402"/>
    <w:rsid w:val="00FB15EB"/>
    <w:rsid w:val="00FB19EB"/>
    <w:rsid w:val="00FB3A29"/>
    <w:rsid w:val="00FB41AF"/>
    <w:rsid w:val="00FB47DE"/>
    <w:rsid w:val="00FB492C"/>
    <w:rsid w:val="00FB4A1C"/>
    <w:rsid w:val="00FB4CA7"/>
    <w:rsid w:val="00FB60CC"/>
    <w:rsid w:val="00FB60FB"/>
    <w:rsid w:val="00FB612E"/>
    <w:rsid w:val="00FB6635"/>
    <w:rsid w:val="00FB6B37"/>
    <w:rsid w:val="00FB7510"/>
    <w:rsid w:val="00FC08D8"/>
    <w:rsid w:val="00FC111B"/>
    <w:rsid w:val="00FC1DE5"/>
    <w:rsid w:val="00FC206B"/>
    <w:rsid w:val="00FC23C7"/>
    <w:rsid w:val="00FC2710"/>
    <w:rsid w:val="00FC3E40"/>
    <w:rsid w:val="00FC3FB7"/>
    <w:rsid w:val="00FC4378"/>
    <w:rsid w:val="00FC52C1"/>
    <w:rsid w:val="00FC5A6D"/>
    <w:rsid w:val="00FC5B2A"/>
    <w:rsid w:val="00FC623B"/>
    <w:rsid w:val="00FC6281"/>
    <w:rsid w:val="00FC65D0"/>
    <w:rsid w:val="00FC772C"/>
    <w:rsid w:val="00FC7DB1"/>
    <w:rsid w:val="00FD0284"/>
    <w:rsid w:val="00FD0BC0"/>
    <w:rsid w:val="00FD1078"/>
    <w:rsid w:val="00FD12DB"/>
    <w:rsid w:val="00FD1306"/>
    <w:rsid w:val="00FD3713"/>
    <w:rsid w:val="00FD434E"/>
    <w:rsid w:val="00FD4587"/>
    <w:rsid w:val="00FD47F8"/>
    <w:rsid w:val="00FD57E2"/>
    <w:rsid w:val="00FD5B9B"/>
    <w:rsid w:val="00FD66DD"/>
    <w:rsid w:val="00FD6921"/>
    <w:rsid w:val="00FD77C2"/>
    <w:rsid w:val="00FE175F"/>
    <w:rsid w:val="00FE1F8E"/>
    <w:rsid w:val="00FE26DD"/>
    <w:rsid w:val="00FE2ED7"/>
    <w:rsid w:val="00FE329D"/>
    <w:rsid w:val="00FE34B0"/>
    <w:rsid w:val="00FE371B"/>
    <w:rsid w:val="00FE379B"/>
    <w:rsid w:val="00FE3AFB"/>
    <w:rsid w:val="00FE3E6F"/>
    <w:rsid w:val="00FE400F"/>
    <w:rsid w:val="00FE4187"/>
    <w:rsid w:val="00FE4697"/>
    <w:rsid w:val="00FE58C5"/>
    <w:rsid w:val="00FE5ADE"/>
    <w:rsid w:val="00FE5C0B"/>
    <w:rsid w:val="00FE5E79"/>
    <w:rsid w:val="00FE788D"/>
    <w:rsid w:val="00FE797F"/>
    <w:rsid w:val="00FF052C"/>
    <w:rsid w:val="00FF05CB"/>
    <w:rsid w:val="00FF1B26"/>
    <w:rsid w:val="00FF211E"/>
    <w:rsid w:val="00FF27FB"/>
    <w:rsid w:val="00FF31B0"/>
    <w:rsid w:val="00FF3215"/>
    <w:rsid w:val="00FF3E5C"/>
    <w:rsid w:val="00FF4658"/>
    <w:rsid w:val="00FF473D"/>
    <w:rsid w:val="00FF4E8A"/>
    <w:rsid w:val="00FF556A"/>
    <w:rsid w:val="00FF5D50"/>
    <w:rsid w:val="00FF5E33"/>
    <w:rsid w:val="00FF609F"/>
    <w:rsid w:val="00FF6DE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A08FD0"/>
  <w15:docId w15:val="{A3C56C42-C2BB-4C69-A941-45FEB8511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8F7CC9"/>
    <w:pPr>
      <w:overflowPunct w:val="0"/>
      <w:autoSpaceDE w:val="0"/>
      <w:autoSpaceDN w:val="0"/>
      <w:adjustRightInd w:val="0"/>
      <w:spacing w:after="0" w:line="240" w:lineRule="auto"/>
      <w:jc w:val="both"/>
      <w:textAlignment w:val="baseline"/>
    </w:pPr>
    <w:rPr>
      <w:rFonts w:ascii="Arial" w:eastAsia="Times New Roman" w:hAnsi="Arial" w:cs="Times New Roman"/>
      <w:sz w:val="18"/>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F573F1"/>
    <w:pPr>
      <w:tabs>
        <w:tab w:val="center" w:pos="4536"/>
        <w:tab w:val="right" w:pos="9072"/>
      </w:tabs>
    </w:pPr>
  </w:style>
  <w:style w:type="character" w:customStyle="1" w:styleId="ZhlavChar">
    <w:name w:val="Záhlaví Char"/>
    <w:basedOn w:val="Standardnpsmoodstavce"/>
    <w:link w:val="Zhlav"/>
    <w:uiPriority w:val="99"/>
    <w:rsid w:val="00F573F1"/>
  </w:style>
  <w:style w:type="paragraph" w:styleId="Zpat">
    <w:name w:val="footer"/>
    <w:basedOn w:val="Normln"/>
    <w:link w:val="ZpatChar"/>
    <w:uiPriority w:val="99"/>
    <w:unhideWhenUsed/>
    <w:rsid w:val="00F573F1"/>
    <w:pPr>
      <w:tabs>
        <w:tab w:val="center" w:pos="4536"/>
        <w:tab w:val="right" w:pos="9072"/>
      </w:tabs>
    </w:pPr>
  </w:style>
  <w:style w:type="character" w:customStyle="1" w:styleId="ZpatChar">
    <w:name w:val="Zápatí Char"/>
    <w:basedOn w:val="Standardnpsmoodstavce"/>
    <w:link w:val="Zpat"/>
    <w:uiPriority w:val="99"/>
    <w:rsid w:val="00F573F1"/>
  </w:style>
  <w:style w:type="paragraph" w:customStyle="1" w:styleId="Standard">
    <w:name w:val="Standard"/>
    <w:rsid w:val="00F573F1"/>
    <w:pPr>
      <w:suppressAutoHyphens/>
      <w:autoSpaceDN w:val="0"/>
      <w:spacing w:after="0" w:line="240" w:lineRule="auto"/>
      <w:jc w:val="both"/>
      <w:textAlignment w:val="baseline"/>
    </w:pPr>
    <w:rPr>
      <w:rFonts w:ascii="Arial" w:eastAsia="Times New Roman" w:hAnsi="Arial" w:cs="Arial Unicode MS"/>
      <w:kern w:val="3"/>
      <w:sz w:val="18"/>
      <w:szCs w:val="20"/>
      <w:lang w:eastAsia="zh-CN" w:bidi="hi-IN"/>
    </w:rPr>
  </w:style>
  <w:style w:type="character" w:styleId="Hypertextovodkaz">
    <w:name w:val="Hyperlink"/>
    <w:basedOn w:val="Standardnpsmoodstavce"/>
    <w:uiPriority w:val="99"/>
    <w:rsid w:val="005A2501"/>
    <w:rPr>
      <w:rFonts w:cs="Times New Roman"/>
      <w:color w:val="0000FF"/>
      <w:u w:val="single"/>
    </w:rPr>
  </w:style>
  <w:style w:type="paragraph" w:styleId="Normlnweb">
    <w:name w:val="Normal (Web)"/>
    <w:basedOn w:val="Normln"/>
    <w:uiPriority w:val="99"/>
    <w:rsid w:val="005A2501"/>
    <w:pPr>
      <w:overflowPunct/>
      <w:autoSpaceDE/>
      <w:autoSpaceDN/>
      <w:adjustRightInd/>
      <w:spacing w:before="100" w:beforeAutospacing="1" w:after="100" w:afterAutospacing="1"/>
      <w:jc w:val="left"/>
      <w:textAlignment w:val="auto"/>
    </w:pPr>
    <w:rPr>
      <w:rFonts w:ascii="Times New Roman" w:eastAsia="Calibri" w:hAnsi="Times New Roman"/>
      <w:sz w:val="24"/>
      <w:szCs w:val="24"/>
    </w:rPr>
  </w:style>
  <w:style w:type="paragraph" w:styleId="Odstavecseseznamem">
    <w:name w:val="List Paragraph"/>
    <w:basedOn w:val="Normln"/>
    <w:uiPriority w:val="34"/>
    <w:qFormat/>
    <w:rsid w:val="00517111"/>
    <w:pPr>
      <w:ind w:left="720"/>
      <w:contextualSpacing/>
    </w:pPr>
  </w:style>
  <w:style w:type="paragraph" w:styleId="Textbubliny">
    <w:name w:val="Balloon Text"/>
    <w:basedOn w:val="Normln"/>
    <w:link w:val="TextbublinyChar"/>
    <w:uiPriority w:val="99"/>
    <w:semiHidden/>
    <w:unhideWhenUsed/>
    <w:rsid w:val="009139AF"/>
    <w:rPr>
      <w:rFonts w:cs="Arial"/>
      <w:szCs w:val="18"/>
    </w:rPr>
  </w:style>
  <w:style w:type="character" w:customStyle="1" w:styleId="TextbublinyChar">
    <w:name w:val="Text bubliny Char"/>
    <w:basedOn w:val="Standardnpsmoodstavce"/>
    <w:link w:val="Textbubliny"/>
    <w:uiPriority w:val="99"/>
    <w:semiHidden/>
    <w:rsid w:val="009139AF"/>
    <w:rPr>
      <w:rFonts w:ascii="Arial" w:eastAsia="Times New Roman" w:hAnsi="Arial" w:cs="Arial"/>
      <w:sz w:val="18"/>
      <w:szCs w:val="18"/>
      <w:lang w:eastAsia="cs-CZ"/>
    </w:rPr>
  </w:style>
  <w:style w:type="character" w:styleId="Odkaznakoment">
    <w:name w:val="annotation reference"/>
    <w:basedOn w:val="Standardnpsmoodstavce"/>
    <w:uiPriority w:val="99"/>
    <w:semiHidden/>
    <w:unhideWhenUsed/>
    <w:rsid w:val="00EA5747"/>
    <w:rPr>
      <w:sz w:val="16"/>
      <w:szCs w:val="16"/>
    </w:rPr>
  </w:style>
  <w:style w:type="paragraph" w:styleId="Textkomente">
    <w:name w:val="annotation text"/>
    <w:basedOn w:val="Normln"/>
    <w:link w:val="TextkomenteChar"/>
    <w:uiPriority w:val="99"/>
    <w:unhideWhenUsed/>
    <w:rsid w:val="00EA5747"/>
    <w:rPr>
      <w:sz w:val="20"/>
    </w:rPr>
  </w:style>
  <w:style w:type="character" w:customStyle="1" w:styleId="TextkomenteChar">
    <w:name w:val="Text komentáře Char"/>
    <w:basedOn w:val="Standardnpsmoodstavce"/>
    <w:link w:val="Textkomente"/>
    <w:uiPriority w:val="99"/>
    <w:rsid w:val="00EA5747"/>
    <w:rPr>
      <w:rFonts w:ascii="Arial" w:eastAsia="Times New Roman" w:hAnsi="Arial"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EA5747"/>
    <w:rPr>
      <w:b/>
      <w:bCs/>
    </w:rPr>
  </w:style>
  <w:style w:type="character" w:customStyle="1" w:styleId="PedmtkomenteChar">
    <w:name w:val="Předmět komentáře Char"/>
    <w:basedOn w:val="TextkomenteChar"/>
    <w:link w:val="Pedmtkomente"/>
    <w:uiPriority w:val="99"/>
    <w:semiHidden/>
    <w:rsid w:val="00EA5747"/>
    <w:rPr>
      <w:rFonts w:ascii="Arial" w:eastAsia="Times New Roman" w:hAnsi="Arial" w:cs="Times New Roman"/>
      <w:b/>
      <w:bCs/>
      <w:sz w:val="20"/>
      <w:szCs w:val="20"/>
      <w:lang w:eastAsia="cs-CZ"/>
    </w:rPr>
  </w:style>
  <w:style w:type="paragraph" w:styleId="Revize">
    <w:name w:val="Revision"/>
    <w:hidden/>
    <w:uiPriority w:val="99"/>
    <w:semiHidden/>
    <w:rsid w:val="0046651A"/>
    <w:pPr>
      <w:spacing w:after="0" w:line="240" w:lineRule="auto"/>
    </w:pPr>
    <w:rPr>
      <w:rFonts w:ascii="Arial" w:eastAsia="Times New Roman" w:hAnsi="Arial" w:cs="Times New Roman"/>
      <w:sz w:val="18"/>
      <w:szCs w:val="20"/>
      <w:lang w:eastAsia="cs-CZ"/>
    </w:rPr>
  </w:style>
  <w:style w:type="character" w:styleId="Siln">
    <w:name w:val="Strong"/>
    <w:basedOn w:val="Standardnpsmoodstavce"/>
    <w:uiPriority w:val="22"/>
    <w:qFormat/>
    <w:rsid w:val="00C12AFA"/>
    <w:rPr>
      <w:b/>
      <w:bCs/>
    </w:rPr>
  </w:style>
  <w:style w:type="paragraph" w:customStyle="1" w:styleId="THnorm">
    <w:name w:val="TH norm"/>
    <w:basedOn w:val="Normln"/>
    <w:rsid w:val="006A7BEA"/>
    <w:pPr>
      <w:tabs>
        <w:tab w:val="left" w:pos="0"/>
      </w:tabs>
      <w:overflowPunct/>
      <w:autoSpaceDE/>
      <w:autoSpaceDN/>
      <w:adjustRightInd/>
      <w:spacing w:after="120"/>
      <w:ind w:firstLine="709"/>
      <w:textAlignment w:val="auto"/>
    </w:pPr>
    <w:rPr>
      <w:rFonts w:ascii="Times New Roman" w:hAnsi="Times New Roman"/>
      <w:sz w:val="24"/>
      <w:szCs w:val="24"/>
    </w:rPr>
  </w:style>
  <w:style w:type="character" w:customStyle="1" w:styleId="Nevyeenzmnka1">
    <w:name w:val="Nevyřešená zmínka1"/>
    <w:basedOn w:val="Standardnpsmoodstavce"/>
    <w:uiPriority w:val="99"/>
    <w:semiHidden/>
    <w:unhideWhenUsed/>
    <w:rsid w:val="009968AC"/>
    <w:rPr>
      <w:color w:val="605E5C"/>
      <w:shd w:val="clear" w:color="auto" w:fill="E1DFDD"/>
    </w:rPr>
  </w:style>
  <w:style w:type="character" w:styleId="Sledovanodkaz">
    <w:name w:val="FollowedHyperlink"/>
    <w:basedOn w:val="Standardnpsmoodstavce"/>
    <w:uiPriority w:val="99"/>
    <w:semiHidden/>
    <w:unhideWhenUsed/>
    <w:rsid w:val="000444EA"/>
    <w:rPr>
      <w:color w:val="954F72" w:themeColor="followedHyperlink"/>
      <w:u w:val="single"/>
    </w:rPr>
  </w:style>
  <w:style w:type="character" w:customStyle="1" w:styleId="Nevyeenzmnka2">
    <w:name w:val="Nevyřešená zmínka2"/>
    <w:basedOn w:val="Standardnpsmoodstavce"/>
    <w:uiPriority w:val="99"/>
    <w:semiHidden/>
    <w:unhideWhenUsed/>
    <w:rsid w:val="005A0ACF"/>
    <w:rPr>
      <w:color w:val="605E5C"/>
      <w:shd w:val="clear" w:color="auto" w:fill="E1DFDD"/>
    </w:rPr>
  </w:style>
  <w:style w:type="character" w:styleId="Nevyeenzmnka">
    <w:name w:val="Unresolved Mention"/>
    <w:basedOn w:val="Standardnpsmoodstavce"/>
    <w:uiPriority w:val="99"/>
    <w:semiHidden/>
    <w:unhideWhenUsed/>
    <w:rsid w:val="00BA19E0"/>
    <w:rPr>
      <w:color w:val="605E5C"/>
      <w:shd w:val="clear" w:color="auto" w:fill="E1DFDD"/>
    </w:rPr>
  </w:style>
  <w:style w:type="table" w:styleId="Mkatabulky">
    <w:name w:val="Table Grid"/>
    <w:basedOn w:val="Normlntabulka"/>
    <w:uiPriority w:val="39"/>
    <w:rsid w:val="000122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podarou">
    <w:name w:val="footnote text"/>
    <w:basedOn w:val="Normln"/>
    <w:link w:val="TextpoznpodarouChar"/>
    <w:uiPriority w:val="99"/>
    <w:semiHidden/>
    <w:unhideWhenUsed/>
    <w:rsid w:val="006F7BDA"/>
    <w:rPr>
      <w:sz w:val="20"/>
    </w:rPr>
  </w:style>
  <w:style w:type="character" w:customStyle="1" w:styleId="TextpoznpodarouChar">
    <w:name w:val="Text pozn. pod čarou Char"/>
    <w:basedOn w:val="Standardnpsmoodstavce"/>
    <w:link w:val="Textpoznpodarou"/>
    <w:uiPriority w:val="99"/>
    <w:semiHidden/>
    <w:rsid w:val="006F7BDA"/>
    <w:rPr>
      <w:rFonts w:ascii="Arial" w:eastAsia="Times New Roman" w:hAnsi="Arial" w:cs="Times New Roman"/>
      <w:sz w:val="20"/>
      <w:szCs w:val="20"/>
      <w:lang w:eastAsia="cs-CZ"/>
    </w:rPr>
  </w:style>
  <w:style w:type="character" w:styleId="Znakapoznpodarou">
    <w:name w:val="footnote reference"/>
    <w:basedOn w:val="Standardnpsmoodstavce"/>
    <w:uiPriority w:val="99"/>
    <w:semiHidden/>
    <w:unhideWhenUsed/>
    <w:rsid w:val="006F7BDA"/>
    <w:rPr>
      <w:vertAlign w:val="superscript"/>
    </w:rPr>
  </w:style>
  <w:style w:type="paragraph" w:customStyle="1" w:styleId="xmsonormal">
    <w:name w:val="xmsonormal"/>
    <w:basedOn w:val="Normln"/>
    <w:rsid w:val="00051022"/>
    <w:pPr>
      <w:overflowPunct/>
      <w:autoSpaceDE/>
      <w:autoSpaceDN/>
      <w:adjustRightInd/>
      <w:spacing w:before="100" w:beforeAutospacing="1" w:after="100" w:afterAutospacing="1"/>
      <w:jc w:val="left"/>
      <w:textAlignment w:val="auto"/>
    </w:pPr>
    <w:rPr>
      <w:rFonts w:ascii="Calibri" w:eastAsia="Calibri" w:hAnsi="Calibri" w:cs="Calibri"/>
      <w:sz w:val="22"/>
      <w:szCs w:val="22"/>
    </w:rPr>
  </w:style>
  <w:style w:type="character" w:customStyle="1" w:styleId="xpk-token">
    <w:name w:val="xpk-token"/>
    <w:basedOn w:val="Standardnpsmoodstavce"/>
    <w:rsid w:val="00051022"/>
  </w:style>
  <w:style w:type="paragraph" w:customStyle="1" w:styleId="xmsonormal0">
    <w:name w:val="x_msonormal"/>
    <w:basedOn w:val="Normln"/>
    <w:rsid w:val="00162D23"/>
    <w:pPr>
      <w:overflowPunct/>
      <w:autoSpaceDE/>
      <w:autoSpaceDN/>
      <w:adjustRightInd/>
      <w:jc w:val="left"/>
      <w:textAlignment w:val="auto"/>
    </w:pPr>
    <w:rPr>
      <w:rFonts w:ascii="Calibri" w:eastAsiaTheme="minorHAnsi" w:hAnsi="Calibri" w:cs="Calibri"/>
      <w:sz w:val="22"/>
      <w:szCs w:val="22"/>
    </w:rPr>
  </w:style>
  <w:style w:type="paragraph" w:styleId="Textvysvtlivek">
    <w:name w:val="endnote text"/>
    <w:basedOn w:val="Normln"/>
    <w:link w:val="TextvysvtlivekChar"/>
    <w:uiPriority w:val="99"/>
    <w:semiHidden/>
    <w:unhideWhenUsed/>
    <w:rsid w:val="00AA4A27"/>
    <w:rPr>
      <w:sz w:val="20"/>
    </w:rPr>
  </w:style>
  <w:style w:type="character" w:customStyle="1" w:styleId="TextvysvtlivekChar">
    <w:name w:val="Text vysvětlivek Char"/>
    <w:basedOn w:val="Standardnpsmoodstavce"/>
    <w:link w:val="Textvysvtlivek"/>
    <w:uiPriority w:val="99"/>
    <w:semiHidden/>
    <w:rsid w:val="00AA4A27"/>
    <w:rPr>
      <w:rFonts w:ascii="Arial" w:eastAsia="Times New Roman" w:hAnsi="Arial" w:cs="Times New Roman"/>
      <w:sz w:val="20"/>
      <w:szCs w:val="20"/>
      <w:lang w:eastAsia="cs-CZ"/>
    </w:rPr>
  </w:style>
  <w:style w:type="character" w:styleId="Odkaznavysvtlivky">
    <w:name w:val="endnote reference"/>
    <w:basedOn w:val="Standardnpsmoodstavce"/>
    <w:uiPriority w:val="99"/>
    <w:semiHidden/>
    <w:unhideWhenUsed/>
    <w:rsid w:val="00AA4A27"/>
    <w:rPr>
      <w:vertAlign w:val="superscript"/>
    </w:rPr>
  </w:style>
  <w:style w:type="paragraph" w:customStyle="1" w:styleId="CBANadpisvTABULCE">
    <w:name w:val="CBA Nadpis v TABULCE"/>
    <w:basedOn w:val="Normln"/>
    <w:qFormat/>
    <w:rsid w:val="0028530F"/>
    <w:pPr>
      <w:spacing w:before="120" w:after="120"/>
      <w:jc w:val="left"/>
    </w:pPr>
    <w:rPr>
      <w:b/>
      <w:bCs/>
      <w:color w:val="13576B"/>
    </w:rPr>
  </w:style>
  <w:style w:type="paragraph" w:customStyle="1" w:styleId="CBAodstavecvTABULCE">
    <w:name w:val="CBA odstavec v TABULCE"/>
    <w:basedOn w:val="Normln"/>
    <w:qFormat/>
    <w:rsid w:val="0028530F"/>
    <w:pPr>
      <w:spacing w:before="120" w:after="120"/>
      <w:jc w:val="left"/>
    </w:pPr>
    <w:rPr>
      <w:color w:val="13576B"/>
    </w:rPr>
  </w:style>
  <w:style w:type="paragraph" w:styleId="Prosttext">
    <w:name w:val="Plain Text"/>
    <w:basedOn w:val="Normln"/>
    <w:link w:val="ProsttextChar"/>
    <w:uiPriority w:val="99"/>
    <w:semiHidden/>
    <w:unhideWhenUsed/>
    <w:rsid w:val="001177C9"/>
    <w:rPr>
      <w:rFonts w:ascii="Consolas" w:hAnsi="Consolas"/>
      <w:sz w:val="21"/>
      <w:szCs w:val="21"/>
    </w:rPr>
  </w:style>
  <w:style w:type="character" w:customStyle="1" w:styleId="ProsttextChar">
    <w:name w:val="Prostý text Char"/>
    <w:basedOn w:val="Standardnpsmoodstavce"/>
    <w:link w:val="Prosttext"/>
    <w:uiPriority w:val="99"/>
    <w:semiHidden/>
    <w:rsid w:val="001177C9"/>
    <w:rPr>
      <w:rFonts w:ascii="Consolas" w:eastAsia="Times New Roman" w:hAnsi="Consolas" w:cs="Times New Roman"/>
      <w:sz w:val="21"/>
      <w:szCs w:val="21"/>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78326">
      <w:bodyDiv w:val="1"/>
      <w:marLeft w:val="0"/>
      <w:marRight w:val="0"/>
      <w:marTop w:val="0"/>
      <w:marBottom w:val="0"/>
      <w:divBdr>
        <w:top w:val="none" w:sz="0" w:space="0" w:color="auto"/>
        <w:left w:val="none" w:sz="0" w:space="0" w:color="auto"/>
        <w:bottom w:val="none" w:sz="0" w:space="0" w:color="auto"/>
        <w:right w:val="none" w:sz="0" w:space="0" w:color="auto"/>
      </w:divBdr>
    </w:div>
    <w:div w:id="5329771">
      <w:bodyDiv w:val="1"/>
      <w:marLeft w:val="0"/>
      <w:marRight w:val="0"/>
      <w:marTop w:val="0"/>
      <w:marBottom w:val="0"/>
      <w:divBdr>
        <w:top w:val="none" w:sz="0" w:space="0" w:color="auto"/>
        <w:left w:val="none" w:sz="0" w:space="0" w:color="auto"/>
        <w:bottom w:val="none" w:sz="0" w:space="0" w:color="auto"/>
        <w:right w:val="none" w:sz="0" w:space="0" w:color="auto"/>
      </w:divBdr>
      <w:divsChild>
        <w:div w:id="655306342">
          <w:marLeft w:val="360"/>
          <w:marRight w:val="0"/>
          <w:marTop w:val="200"/>
          <w:marBottom w:val="0"/>
          <w:divBdr>
            <w:top w:val="none" w:sz="0" w:space="0" w:color="auto"/>
            <w:left w:val="none" w:sz="0" w:space="0" w:color="auto"/>
            <w:bottom w:val="none" w:sz="0" w:space="0" w:color="auto"/>
            <w:right w:val="none" w:sz="0" w:space="0" w:color="auto"/>
          </w:divBdr>
        </w:div>
        <w:div w:id="783503361">
          <w:marLeft w:val="360"/>
          <w:marRight w:val="0"/>
          <w:marTop w:val="200"/>
          <w:marBottom w:val="0"/>
          <w:divBdr>
            <w:top w:val="none" w:sz="0" w:space="0" w:color="auto"/>
            <w:left w:val="none" w:sz="0" w:space="0" w:color="auto"/>
            <w:bottom w:val="none" w:sz="0" w:space="0" w:color="auto"/>
            <w:right w:val="none" w:sz="0" w:space="0" w:color="auto"/>
          </w:divBdr>
        </w:div>
        <w:div w:id="987126633">
          <w:marLeft w:val="360"/>
          <w:marRight w:val="0"/>
          <w:marTop w:val="200"/>
          <w:marBottom w:val="0"/>
          <w:divBdr>
            <w:top w:val="none" w:sz="0" w:space="0" w:color="auto"/>
            <w:left w:val="none" w:sz="0" w:space="0" w:color="auto"/>
            <w:bottom w:val="none" w:sz="0" w:space="0" w:color="auto"/>
            <w:right w:val="none" w:sz="0" w:space="0" w:color="auto"/>
          </w:divBdr>
        </w:div>
      </w:divsChild>
    </w:div>
    <w:div w:id="8140468">
      <w:bodyDiv w:val="1"/>
      <w:marLeft w:val="0"/>
      <w:marRight w:val="0"/>
      <w:marTop w:val="0"/>
      <w:marBottom w:val="0"/>
      <w:divBdr>
        <w:top w:val="none" w:sz="0" w:space="0" w:color="auto"/>
        <w:left w:val="none" w:sz="0" w:space="0" w:color="auto"/>
        <w:bottom w:val="none" w:sz="0" w:space="0" w:color="auto"/>
        <w:right w:val="none" w:sz="0" w:space="0" w:color="auto"/>
      </w:divBdr>
    </w:div>
    <w:div w:id="10764336">
      <w:bodyDiv w:val="1"/>
      <w:marLeft w:val="0"/>
      <w:marRight w:val="0"/>
      <w:marTop w:val="0"/>
      <w:marBottom w:val="0"/>
      <w:divBdr>
        <w:top w:val="none" w:sz="0" w:space="0" w:color="auto"/>
        <w:left w:val="none" w:sz="0" w:space="0" w:color="auto"/>
        <w:bottom w:val="none" w:sz="0" w:space="0" w:color="auto"/>
        <w:right w:val="none" w:sz="0" w:space="0" w:color="auto"/>
      </w:divBdr>
    </w:div>
    <w:div w:id="54865042">
      <w:bodyDiv w:val="1"/>
      <w:marLeft w:val="0"/>
      <w:marRight w:val="0"/>
      <w:marTop w:val="0"/>
      <w:marBottom w:val="0"/>
      <w:divBdr>
        <w:top w:val="none" w:sz="0" w:space="0" w:color="auto"/>
        <w:left w:val="none" w:sz="0" w:space="0" w:color="auto"/>
        <w:bottom w:val="none" w:sz="0" w:space="0" w:color="auto"/>
        <w:right w:val="none" w:sz="0" w:space="0" w:color="auto"/>
      </w:divBdr>
    </w:div>
    <w:div w:id="65881925">
      <w:bodyDiv w:val="1"/>
      <w:marLeft w:val="0"/>
      <w:marRight w:val="0"/>
      <w:marTop w:val="0"/>
      <w:marBottom w:val="0"/>
      <w:divBdr>
        <w:top w:val="none" w:sz="0" w:space="0" w:color="auto"/>
        <w:left w:val="none" w:sz="0" w:space="0" w:color="auto"/>
        <w:bottom w:val="none" w:sz="0" w:space="0" w:color="auto"/>
        <w:right w:val="none" w:sz="0" w:space="0" w:color="auto"/>
      </w:divBdr>
    </w:div>
    <w:div w:id="66729864">
      <w:bodyDiv w:val="1"/>
      <w:marLeft w:val="0"/>
      <w:marRight w:val="0"/>
      <w:marTop w:val="0"/>
      <w:marBottom w:val="0"/>
      <w:divBdr>
        <w:top w:val="none" w:sz="0" w:space="0" w:color="auto"/>
        <w:left w:val="none" w:sz="0" w:space="0" w:color="auto"/>
        <w:bottom w:val="none" w:sz="0" w:space="0" w:color="auto"/>
        <w:right w:val="none" w:sz="0" w:space="0" w:color="auto"/>
      </w:divBdr>
    </w:div>
    <w:div w:id="75367933">
      <w:bodyDiv w:val="1"/>
      <w:marLeft w:val="0"/>
      <w:marRight w:val="0"/>
      <w:marTop w:val="0"/>
      <w:marBottom w:val="0"/>
      <w:divBdr>
        <w:top w:val="none" w:sz="0" w:space="0" w:color="auto"/>
        <w:left w:val="none" w:sz="0" w:space="0" w:color="auto"/>
        <w:bottom w:val="none" w:sz="0" w:space="0" w:color="auto"/>
        <w:right w:val="none" w:sz="0" w:space="0" w:color="auto"/>
      </w:divBdr>
    </w:div>
    <w:div w:id="97651239">
      <w:bodyDiv w:val="1"/>
      <w:marLeft w:val="0"/>
      <w:marRight w:val="0"/>
      <w:marTop w:val="0"/>
      <w:marBottom w:val="0"/>
      <w:divBdr>
        <w:top w:val="none" w:sz="0" w:space="0" w:color="auto"/>
        <w:left w:val="none" w:sz="0" w:space="0" w:color="auto"/>
        <w:bottom w:val="none" w:sz="0" w:space="0" w:color="auto"/>
        <w:right w:val="none" w:sz="0" w:space="0" w:color="auto"/>
      </w:divBdr>
    </w:div>
    <w:div w:id="104077534">
      <w:bodyDiv w:val="1"/>
      <w:marLeft w:val="0"/>
      <w:marRight w:val="0"/>
      <w:marTop w:val="0"/>
      <w:marBottom w:val="0"/>
      <w:divBdr>
        <w:top w:val="none" w:sz="0" w:space="0" w:color="auto"/>
        <w:left w:val="none" w:sz="0" w:space="0" w:color="auto"/>
        <w:bottom w:val="none" w:sz="0" w:space="0" w:color="auto"/>
        <w:right w:val="none" w:sz="0" w:space="0" w:color="auto"/>
      </w:divBdr>
    </w:div>
    <w:div w:id="105078644">
      <w:bodyDiv w:val="1"/>
      <w:marLeft w:val="0"/>
      <w:marRight w:val="0"/>
      <w:marTop w:val="0"/>
      <w:marBottom w:val="0"/>
      <w:divBdr>
        <w:top w:val="none" w:sz="0" w:space="0" w:color="auto"/>
        <w:left w:val="none" w:sz="0" w:space="0" w:color="auto"/>
        <w:bottom w:val="none" w:sz="0" w:space="0" w:color="auto"/>
        <w:right w:val="none" w:sz="0" w:space="0" w:color="auto"/>
      </w:divBdr>
    </w:div>
    <w:div w:id="132212633">
      <w:bodyDiv w:val="1"/>
      <w:marLeft w:val="0"/>
      <w:marRight w:val="0"/>
      <w:marTop w:val="0"/>
      <w:marBottom w:val="0"/>
      <w:divBdr>
        <w:top w:val="none" w:sz="0" w:space="0" w:color="auto"/>
        <w:left w:val="none" w:sz="0" w:space="0" w:color="auto"/>
        <w:bottom w:val="none" w:sz="0" w:space="0" w:color="auto"/>
        <w:right w:val="none" w:sz="0" w:space="0" w:color="auto"/>
      </w:divBdr>
    </w:div>
    <w:div w:id="144977189">
      <w:bodyDiv w:val="1"/>
      <w:marLeft w:val="0"/>
      <w:marRight w:val="0"/>
      <w:marTop w:val="0"/>
      <w:marBottom w:val="0"/>
      <w:divBdr>
        <w:top w:val="none" w:sz="0" w:space="0" w:color="auto"/>
        <w:left w:val="none" w:sz="0" w:space="0" w:color="auto"/>
        <w:bottom w:val="none" w:sz="0" w:space="0" w:color="auto"/>
        <w:right w:val="none" w:sz="0" w:space="0" w:color="auto"/>
      </w:divBdr>
    </w:div>
    <w:div w:id="156385367">
      <w:bodyDiv w:val="1"/>
      <w:marLeft w:val="0"/>
      <w:marRight w:val="0"/>
      <w:marTop w:val="0"/>
      <w:marBottom w:val="0"/>
      <w:divBdr>
        <w:top w:val="none" w:sz="0" w:space="0" w:color="auto"/>
        <w:left w:val="none" w:sz="0" w:space="0" w:color="auto"/>
        <w:bottom w:val="none" w:sz="0" w:space="0" w:color="auto"/>
        <w:right w:val="none" w:sz="0" w:space="0" w:color="auto"/>
      </w:divBdr>
    </w:div>
    <w:div w:id="158036286">
      <w:bodyDiv w:val="1"/>
      <w:marLeft w:val="0"/>
      <w:marRight w:val="0"/>
      <w:marTop w:val="0"/>
      <w:marBottom w:val="0"/>
      <w:divBdr>
        <w:top w:val="none" w:sz="0" w:space="0" w:color="auto"/>
        <w:left w:val="none" w:sz="0" w:space="0" w:color="auto"/>
        <w:bottom w:val="none" w:sz="0" w:space="0" w:color="auto"/>
        <w:right w:val="none" w:sz="0" w:space="0" w:color="auto"/>
      </w:divBdr>
    </w:div>
    <w:div w:id="165872005">
      <w:bodyDiv w:val="1"/>
      <w:marLeft w:val="0"/>
      <w:marRight w:val="0"/>
      <w:marTop w:val="0"/>
      <w:marBottom w:val="0"/>
      <w:divBdr>
        <w:top w:val="none" w:sz="0" w:space="0" w:color="auto"/>
        <w:left w:val="none" w:sz="0" w:space="0" w:color="auto"/>
        <w:bottom w:val="none" w:sz="0" w:space="0" w:color="auto"/>
        <w:right w:val="none" w:sz="0" w:space="0" w:color="auto"/>
      </w:divBdr>
      <w:divsChild>
        <w:div w:id="570114465">
          <w:marLeft w:val="360"/>
          <w:marRight w:val="0"/>
          <w:marTop w:val="200"/>
          <w:marBottom w:val="0"/>
          <w:divBdr>
            <w:top w:val="none" w:sz="0" w:space="0" w:color="auto"/>
            <w:left w:val="none" w:sz="0" w:space="0" w:color="auto"/>
            <w:bottom w:val="none" w:sz="0" w:space="0" w:color="auto"/>
            <w:right w:val="none" w:sz="0" w:space="0" w:color="auto"/>
          </w:divBdr>
        </w:div>
        <w:div w:id="1910266459">
          <w:marLeft w:val="360"/>
          <w:marRight w:val="0"/>
          <w:marTop w:val="200"/>
          <w:marBottom w:val="0"/>
          <w:divBdr>
            <w:top w:val="none" w:sz="0" w:space="0" w:color="auto"/>
            <w:left w:val="none" w:sz="0" w:space="0" w:color="auto"/>
            <w:bottom w:val="none" w:sz="0" w:space="0" w:color="auto"/>
            <w:right w:val="none" w:sz="0" w:space="0" w:color="auto"/>
          </w:divBdr>
        </w:div>
        <w:div w:id="178393963">
          <w:marLeft w:val="360"/>
          <w:marRight w:val="0"/>
          <w:marTop w:val="200"/>
          <w:marBottom w:val="0"/>
          <w:divBdr>
            <w:top w:val="none" w:sz="0" w:space="0" w:color="auto"/>
            <w:left w:val="none" w:sz="0" w:space="0" w:color="auto"/>
            <w:bottom w:val="none" w:sz="0" w:space="0" w:color="auto"/>
            <w:right w:val="none" w:sz="0" w:space="0" w:color="auto"/>
          </w:divBdr>
        </w:div>
      </w:divsChild>
    </w:div>
    <w:div w:id="175731695">
      <w:bodyDiv w:val="1"/>
      <w:marLeft w:val="0"/>
      <w:marRight w:val="0"/>
      <w:marTop w:val="0"/>
      <w:marBottom w:val="0"/>
      <w:divBdr>
        <w:top w:val="none" w:sz="0" w:space="0" w:color="auto"/>
        <w:left w:val="none" w:sz="0" w:space="0" w:color="auto"/>
        <w:bottom w:val="none" w:sz="0" w:space="0" w:color="auto"/>
        <w:right w:val="none" w:sz="0" w:space="0" w:color="auto"/>
      </w:divBdr>
      <w:divsChild>
        <w:div w:id="1685135723">
          <w:marLeft w:val="288"/>
          <w:marRight w:val="0"/>
          <w:marTop w:val="360"/>
          <w:marBottom w:val="0"/>
          <w:divBdr>
            <w:top w:val="none" w:sz="0" w:space="0" w:color="auto"/>
            <w:left w:val="none" w:sz="0" w:space="0" w:color="auto"/>
            <w:bottom w:val="none" w:sz="0" w:space="0" w:color="auto"/>
            <w:right w:val="none" w:sz="0" w:space="0" w:color="auto"/>
          </w:divBdr>
        </w:div>
      </w:divsChild>
    </w:div>
    <w:div w:id="180977078">
      <w:bodyDiv w:val="1"/>
      <w:marLeft w:val="0"/>
      <w:marRight w:val="0"/>
      <w:marTop w:val="0"/>
      <w:marBottom w:val="0"/>
      <w:divBdr>
        <w:top w:val="none" w:sz="0" w:space="0" w:color="auto"/>
        <w:left w:val="none" w:sz="0" w:space="0" w:color="auto"/>
        <w:bottom w:val="none" w:sz="0" w:space="0" w:color="auto"/>
        <w:right w:val="none" w:sz="0" w:space="0" w:color="auto"/>
      </w:divBdr>
    </w:div>
    <w:div w:id="184709785">
      <w:bodyDiv w:val="1"/>
      <w:marLeft w:val="0"/>
      <w:marRight w:val="0"/>
      <w:marTop w:val="0"/>
      <w:marBottom w:val="0"/>
      <w:divBdr>
        <w:top w:val="none" w:sz="0" w:space="0" w:color="auto"/>
        <w:left w:val="none" w:sz="0" w:space="0" w:color="auto"/>
        <w:bottom w:val="none" w:sz="0" w:space="0" w:color="auto"/>
        <w:right w:val="none" w:sz="0" w:space="0" w:color="auto"/>
      </w:divBdr>
    </w:div>
    <w:div w:id="211889271">
      <w:bodyDiv w:val="1"/>
      <w:marLeft w:val="0"/>
      <w:marRight w:val="0"/>
      <w:marTop w:val="0"/>
      <w:marBottom w:val="0"/>
      <w:divBdr>
        <w:top w:val="none" w:sz="0" w:space="0" w:color="auto"/>
        <w:left w:val="none" w:sz="0" w:space="0" w:color="auto"/>
        <w:bottom w:val="none" w:sz="0" w:space="0" w:color="auto"/>
        <w:right w:val="none" w:sz="0" w:space="0" w:color="auto"/>
      </w:divBdr>
    </w:div>
    <w:div w:id="212281255">
      <w:bodyDiv w:val="1"/>
      <w:marLeft w:val="0"/>
      <w:marRight w:val="0"/>
      <w:marTop w:val="0"/>
      <w:marBottom w:val="0"/>
      <w:divBdr>
        <w:top w:val="none" w:sz="0" w:space="0" w:color="auto"/>
        <w:left w:val="none" w:sz="0" w:space="0" w:color="auto"/>
        <w:bottom w:val="none" w:sz="0" w:space="0" w:color="auto"/>
        <w:right w:val="none" w:sz="0" w:space="0" w:color="auto"/>
      </w:divBdr>
    </w:div>
    <w:div w:id="212424732">
      <w:bodyDiv w:val="1"/>
      <w:marLeft w:val="0"/>
      <w:marRight w:val="0"/>
      <w:marTop w:val="0"/>
      <w:marBottom w:val="0"/>
      <w:divBdr>
        <w:top w:val="none" w:sz="0" w:space="0" w:color="auto"/>
        <w:left w:val="none" w:sz="0" w:space="0" w:color="auto"/>
        <w:bottom w:val="none" w:sz="0" w:space="0" w:color="auto"/>
        <w:right w:val="none" w:sz="0" w:space="0" w:color="auto"/>
      </w:divBdr>
    </w:div>
    <w:div w:id="213932845">
      <w:bodyDiv w:val="1"/>
      <w:marLeft w:val="0"/>
      <w:marRight w:val="0"/>
      <w:marTop w:val="0"/>
      <w:marBottom w:val="0"/>
      <w:divBdr>
        <w:top w:val="none" w:sz="0" w:space="0" w:color="auto"/>
        <w:left w:val="none" w:sz="0" w:space="0" w:color="auto"/>
        <w:bottom w:val="none" w:sz="0" w:space="0" w:color="auto"/>
        <w:right w:val="none" w:sz="0" w:space="0" w:color="auto"/>
      </w:divBdr>
      <w:divsChild>
        <w:div w:id="417947238">
          <w:marLeft w:val="288"/>
          <w:marRight w:val="0"/>
          <w:marTop w:val="360"/>
          <w:marBottom w:val="0"/>
          <w:divBdr>
            <w:top w:val="none" w:sz="0" w:space="0" w:color="auto"/>
            <w:left w:val="none" w:sz="0" w:space="0" w:color="auto"/>
            <w:bottom w:val="none" w:sz="0" w:space="0" w:color="auto"/>
            <w:right w:val="none" w:sz="0" w:space="0" w:color="auto"/>
          </w:divBdr>
        </w:div>
        <w:div w:id="1857307784">
          <w:marLeft w:val="1080"/>
          <w:marRight w:val="0"/>
          <w:marTop w:val="360"/>
          <w:marBottom w:val="50"/>
          <w:divBdr>
            <w:top w:val="none" w:sz="0" w:space="0" w:color="auto"/>
            <w:left w:val="none" w:sz="0" w:space="0" w:color="auto"/>
            <w:bottom w:val="none" w:sz="0" w:space="0" w:color="auto"/>
            <w:right w:val="none" w:sz="0" w:space="0" w:color="auto"/>
          </w:divBdr>
        </w:div>
        <w:div w:id="116265497">
          <w:marLeft w:val="1080"/>
          <w:marRight w:val="0"/>
          <w:marTop w:val="360"/>
          <w:marBottom w:val="50"/>
          <w:divBdr>
            <w:top w:val="none" w:sz="0" w:space="0" w:color="auto"/>
            <w:left w:val="none" w:sz="0" w:space="0" w:color="auto"/>
            <w:bottom w:val="none" w:sz="0" w:space="0" w:color="auto"/>
            <w:right w:val="none" w:sz="0" w:space="0" w:color="auto"/>
          </w:divBdr>
        </w:div>
        <w:div w:id="1898468414">
          <w:marLeft w:val="288"/>
          <w:marRight w:val="0"/>
          <w:marTop w:val="360"/>
          <w:marBottom w:val="0"/>
          <w:divBdr>
            <w:top w:val="none" w:sz="0" w:space="0" w:color="auto"/>
            <w:left w:val="none" w:sz="0" w:space="0" w:color="auto"/>
            <w:bottom w:val="none" w:sz="0" w:space="0" w:color="auto"/>
            <w:right w:val="none" w:sz="0" w:space="0" w:color="auto"/>
          </w:divBdr>
        </w:div>
        <w:div w:id="1770351847">
          <w:marLeft w:val="288"/>
          <w:marRight w:val="0"/>
          <w:marTop w:val="360"/>
          <w:marBottom w:val="0"/>
          <w:divBdr>
            <w:top w:val="none" w:sz="0" w:space="0" w:color="auto"/>
            <w:left w:val="none" w:sz="0" w:space="0" w:color="auto"/>
            <w:bottom w:val="none" w:sz="0" w:space="0" w:color="auto"/>
            <w:right w:val="none" w:sz="0" w:space="0" w:color="auto"/>
          </w:divBdr>
        </w:div>
        <w:div w:id="201289034">
          <w:marLeft w:val="288"/>
          <w:marRight w:val="0"/>
          <w:marTop w:val="360"/>
          <w:marBottom w:val="0"/>
          <w:divBdr>
            <w:top w:val="none" w:sz="0" w:space="0" w:color="auto"/>
            <w:left w:val="none" w:sz="0" w:space="0" w:color="auto"/>
            <w:bottom w:val="none" w:sz="0" w:space="0" w:color="auto"/>
            <w:right w:val="none" w:sz="0" w:space="0" w:color="auto"/>
          </w:divBdr>
        </w:div>
        <w:div w:id="784738889">
          <w:marLeft w:val="288"/>
          <w:marRight w:val="0"/>
          <w:marTop w:val="360"/>
          <w:marBottom w:val="0"/>
          <w:divBdr>
            <w:top w:val="none" w:sz="0" w:space="0" w:color="auto"/>
            <w:left w:val="none" w:sz="0" w:space="0" w:color="auto"/>
            <w:bottom w:val="none" w:sz="0" w:space="0" w:color="auto"/>
            <w:right w:val="none" w:sz="0" w:space="0" w:color="auto"/>
          </w:divBdr>
        </w:div>
        <w:div w:id="961959719">
          <w:marLeft w:val="288"/>
          <w:marRight w:val="0"/>
          <w:marTop w:val="360"/>
          <w:marBottom w:val="0"/>
          <w:divBdr>
            <w:top w:val="none" w:sz="0" w:space="0" w:color="auto"/>
            <w:left w:val="none" w:sz="0" w:space="0" w:color="auto"/>
            <w:bottom w:val="none" w:sz="0" w:space="0" w:color="auto"/>
            <w:right w:val="none" w:sz="0" w:space="0" w:color="auto"/>
          </w:divBdr>
        </w:div>
      </w:divsChild>
    </w:div>
    <w:div w:id="214389258">
      <w:bodyDiv w:val="1"/>
      <w:marLeft w:val="0"/>
      <w:marRight w:val="0"/>
      <w:marTop w:val="0"/>
      <w:marBottom w:val="0"/>
      <w:divBdr>
        <w:top w:val="none" w:sz="0" w:space="0" w:color="auto"/>
        <w:left w:val="none" w:sz="0" w:space="0" w:color="auto"/>
        <w:bottom w:val="none" w:sz="0" w:space="0" w:color="auto"/>
        <w:right w:val="none" w:sz="0" w:space="0" w:color="auto"/>
      </w:divBdr>
    </w:div>
    <w:div w:id="215168246">
      <w:bodyDiv w:val="1"/>
      <w:marLeft w:val="0"/>
      <w:marRight w:val="0"/>
      <w:marTop w:val="0"/>
      <w:marBottom w:val="0"/>
      <w:divBdr>
        <w:top w:val="none" w:sz="0" w:space="0" w:color="auto"/>
        <w:left w:val="none" w:sz="0" w:space="0" w:color="auto"/>
        <w:bottom w:val="none" w:sz="0" w:space="0" w:color="auto"/>
        <w:right w:val="none" w:sz="0" w:space="0" w:color="auto"/>
      </w:divBdr>
    </w:div>
    <w:div w:id="220482590">
      <w:bodyDiv w:val="1"/>
      <w:marLeft w:val="0"/>
      <w:marRight w:val="0"/>
      <w:marTop w:val="0"/>
      <w:marBottom w:val="0"/>
      <w:divBdr>
        <w:top w:val="none" w:sz="0" w:space="0" w:color="auto"/>
        <w:left w:val="none" w:sz="0" w:space="0" w:color="auto"/>
        <w:bottom w:val="none" w:sz="0" w:space="0" w:color="auto"/>
        <w:right w:val="none" w:sz="0" w:space="0" w:color="auto"/>
      </w:divBdr>
      <w:divsChild>
        <w:div w:id="1975969">
          <w:marLeft w:val="360"/>
          <w:marRight w:val="0"/>
          <w:marTop w:val="200"/>
          <w:marBottom w:val="0"/>
          <w:divBdr>
            <w:top w:val="none" w:sz="0" w:space="0" w:color="auto"/>
            <w:left w:val="none" w:sz="0" w:space="0" w:color="auto"/>
            <w:bottom w:val="none" w:sz="0" w:space="0" w:color="auto"/>
            <w:right w:val="none" w:sz="0" w:space="0" w:color="auto"/>
          </w:divBdr>
        </w:div>
      </w:divsChild>
    </w:div>
    <w:div w:id="223495743">
      <w:bodyDiv w:val="1"/>
      <w:marLeft w:val="0"/>
      <w:marRight w:val="0"/>
      <w:marTop w:val="0"/>
      <w:marBottom w:val="0"/>
      <w:divBdr>
        <w:top w:val="none" w:sz="0" w:space="0" w:color="auto"/>
        <w:left w:val="none" w:sz="0" w:space="0" w:color="auto"/>
        <w:bottom w:val="none" w:sz="0" w:space="0" w:color="auto"/>
        <w:right w:val="none" w:sz="0" w:space="0" w:color="auto"/>
      </w:divBdr>
    </w:div>
    <w:div w:id="231698303">
      <w:bodyDiv w:val="1"/>
      <w:marLeft w:val="0"/>
      <w:marRight w:val="0"/>
      <w:marTop w:val="0"/>
      <w:marBottom w:val="0"/>
      <w:divBdr>
        <w:top w:val="none" w:sz="0" w:space="0" w:color="auto"/>
        <w:left w:val="none" w:sz="0" w:space="0" w:color="auto"/>
        <w:bottom w:val="none" w:sz="0" w:space="0" w:color="auto"/>
        <w:right w:val="none" w:sz="0" w:space="0" w:color="auto"/>
      </w:divBdr>
    </w:div>
    <w:div w:id="236210548">
      <w:bodyDiv w:val="1"/>
      <w:marLeft w:val="0"/>
      <w:marRight w:val="0"/>
      <w:marTop w:val="0"/>
      <w:marBottom w:val="0"/>
      <w:divBdr>
        <w:top w:val="none" w:sz="0" w:space="0" w:color="auto"/>
        <w:left w:val="none" w:sz="0" w:space="0" w:color="auto"/>
        <w:bottom w:val="none" w:sz="0" w:space="0" w:color="auto"/>
        <w:right w:val="none" w:sz="0" w:space="0" w:color="auto"/>
      </w:divBdr>
    </w:div>
    <w:div w:id="253131029">
      <w:bodyDiv w:val="1"/>
      <w:marLeft w:val="0"/>
      <w:marRight w:val="0"/>
      <w:marTop w:val="0"/>
      <w:marBottom w:val="0"/>
      <w:divBdr>
        <w:top w:val="none" w:sz="0" w:space="0" w:color="auto"/>
        <w:left w:val="none" w:sz="0" w:space="0" w:color="auto"/>
        <w:bottom w:val="none" w:sz="0" w:space="0" w:color="auto"/>
        <w:right w:val="none" w:sz="0" w:space="0" w:color="auto"/>
      </w:divBdr>
    </w:div>
    <w:div w:id="294987942">
      <w:bodyDiv w:val="1"/>
      <w:marLeft w:val="0"/>
      <w:marRight w:val="0"/>
      <w:marTop w:val="0"/>
      <w:marBottom w:val="0"/>
      <w:divBdr>
        <w:top w:val="none" w:sz="0" w:space="0" w:color="auto"/>
        <w:left w:val="none" w:sz="0" w:space="0" w:color="auto"/>
        <w:bottom w:val="none" w:sz="0" w:space="0" w:color="auto"/>
        <w:right w:val="none" w:sz="0" w:space="0" w:color="auto"/>
      </w:divBdr>
    </w:div>
    <w:div w:id="304507614">
      <w:bodyDiv w:val="1"/>
      <w:marLeft w:val="0"/>
      <w:marRight w:val="0"/>
      <w:marTop w:val="0"/>
      <w:marBottom w:val="0"/>
      <w:divBdr>
        <w:top w:val="none" w:sz="0" w:space="0" w:color="auto"/>
        <w:left w:val="none" w:sz="0" w:space="0" w:color="auto"/>
        <w:bottom w:val="none" w:sz="0" w:space="0" w:color="auto"/>
        <w:right w:val="none" w:sz="0" w:space="0" w:color="auto"/>
      </w:divBdr>
    </w:div>
    <w:div w:id="313801545">
      <w:bodyDiv w:val="1"/>
      <w:marLeft w:val="0"/>
      <w:marRight w:val="0"/>
      <w:marTop w:val="0"/>
      <w:marBottom w:val="0"/>
      <w:divBdr>
        <w:top w:val="none" w:sz="0" w:space="0" w:color="auto"/>
        <w:left w:val="none" w:sz="0" w:space="0" w:color="auto"/>
        <w:bottom w:val="none" w:sz="0" w:space="0" w:color="auto"/>
        <w:right w:val="none" w:sz="0" w:space="0" w:color="auto"/>
      </w:divBdr>
    </w:div>
    <w:div w:id="331490063">
      <w:bodyDiv w:val="1"/>
      <w:marLeft w:val="0"/>
      <w:marRight w:val="0"/>
      <w:marTop w:val="0"/>
      <w:marBottom w:val="0"/>
      <w:divBdr>
        <w:top w:val="none" w:sz="0" w:space="0" w:color="auto"/>
        <w:left w:val="none" w:sz="0" w:space="0" w:color="auto"/>
        <w:bottom w:val="none" w:sz="0" w:space="0" w:color="auto"/>
        <w:right w:val="none" w:sz="0" w:space="0" w:color="auto"/>
      </w:divBdr>
    </w:div>
    <w:div w:id="334265626">
      <w:bodyDiv w:val="1"/>
      <w:marLeft w:val="0"/>
      <w:marRight w:val="0"/>
      <w:marTop w:val="0"/>
      <w:marBottom w:val="0"/>
      <w:divBdr>
        <w:top w:val="none" w:sz="0" w:space="0" w:color="auto"/>
        <w:left w:val="none" w:sz="0" w:space="0" w:color="auto"/>
        <w:bottom w:val="none" w:sz="0" w:space="0" w:color="auto"/>
        <w:right w:val="none" w:sz="0" w:space="0" w:color="auto"/>
      </w:divBdr>
    </w:div>
    <w:div w:id="343899673">
      <w:bodyDiv w:val="1"/>
      <w:marLeft w:val="0"/>
      <w:marRight w:val="0"/>
      <w:marTop w:val="0"/>
      <w:marBottom w:val="0"/>
      <w:divBdr>
        <w:top w:val="none" w:sz="0" w:space="0" w:color="auto"/>
        <w:left w:val="none" w:sz="0" w:space="0" w:color="auto"/>
        <w:bottom w:val="none" w:sz="0" w:space="0" w:color="auto"/>
        <w:right w:val="none" w:sz="0" w:space="0" w:color="auto"/>
      </w:divBdr>
    </w:div>
    <w:div w:id="358311346">
      <w:bodyDiv w:val="1"/>
      <w:marLeft w:val="0"/>
      <w:marRight w:val="0"/>
      <w:marTop w:val="0"/>
      <w:marBottom w:val="0"/>
      <w:divBdr>
        <w:top w:val="none" w:sz="0" w:space="0" w:color="auto"/>
        <w:left w:val="none" w:sz="0" w:space="0" w:color="auto"/>
        <w:bottom w:val="none" w:sz="0" w:space="0" w:color="auto"/>
        <w:right w:val="none" w:sz="0" w:space="0" w:color="auto"/>
      </w:divBdr>
    </w:div>
    <w:div w:id="372461916">
      <w:bodyDiv w:val="1"/>
      <w:marLeft w:val="0"/>
      <w:marRight w:val="0"/>
      <w:marTop w:val="0"/>
      <w:marBottom w:val="0"/>
      <w:divBdr>
        <w:top w:val="none" w:sz="0" w:space="0" w:color="auto"/>
        <w:left w:val="none" w:sz="0" w:space="0" w:color="auto"/>
        <w:bottom w:val="none" w:sz="0" w:space="0" w:color="auto"/>
        <w:right w:val="none" w:sz="0" w:space="0" w:color="auto"/>
      </w:divBdr>
    </w:div>
    <w:div w:id="376399311">
      <w:bodyDiv w:val="1"/>
      <w:marLeft w:val="0"/>
      <w:marRight w:val="0"/>
      <w:marTop w:val="0"/>
      <w:marBottom w:val="0"/>
      <w:divBdr>
        <w:top w:val="none" w:sz="0" w:space="0" w:color="auto"/>
        <w:left w:val="none" w:sz="0" w:space="0" w:color="auto"/>
        <w:bottom w:val="none" w:sz="0" w:space="0" w:color="auto"/>
        <w:right w:val="none" w:sz="0" w:space="0" w:color="auto"/>
      </w:divBdr>
    </w:div>
    <w:div w:id="383871093">
      <w:bodyDiv w:val="1"/>
      <w:marLeft w:val="0"/>
      <w:marRight w:val="0"/>
      <w:marTop w:val="0"/>
      <w:marBottom w:val="0"/>
      <w:divBdr>
        <w:top w:val="none" w:sz="0" w:space="0" w:color="auto"/>
        <w:left w:val="none" w:sz="0" w:space="0" w:color="auto"/>
        <w:bottom w:val="none" w:sz="0" w:space="0" w:color="auto"/>
        <w:right w:val="none" w:sz="0" w:space="0" w:color="auto"/>
      </w:divBdr>
    </w:div>
    <w:div w:id="386539390">
      <w:bodyDiv w:val="1"/>
      <w:marLeft w:val="0"/>
      <w:marRight w:val="0"/>
      <w:marTop w:val="0"/>
      <w:marBottom w:val="0"/>
      <w:divBdr>
        <w:top w:val="none" w:sz="0" w:space="0" w:color="auto"/>
        <w:left w:val="none" w:sz="0" w:space="0" w:color="auto"/>
        <w:bottom w:val="none" w:sz="0" w:space="0" w:color="auto"/>
        <w:right w:val="none" w:sz="0" w:space="0" w:color="auto"/>
      </w:divBdr>
    </w:div>
    <w:div w:id="408618435">
      <w:bodyDiv w:val="1"/>
      <w:marLeft w:val="0"/>
      <w:marRight w:val="0"/>
      <w:marTop w:val="0"/>
      <w:marBottom w:val="0"/>
      <w:divBdr>
        <w:top w:val="none" w:sz="0" w:space="0" w:color="auto"/>
        <w:left w:val="none" w:sz="0" w:space="0" w:color="auto"/>
        <w:bottom w:val="none" w:sz="0" w:space="0" w:color="auto"/>
        <w:right w:val="none" w:sz="0" w:space="0" w:color="auto"/>
      </w:divBdr>
    </w:div>
    <w:div w:id="411201801">
      <w:bodyDiv w:val="1"/>
      <w:marLeft w:val="0"/>
      <w:marRight w:val="0"/>
      <w:marTop w:val="0"/>
      <w:marBottom w:val="0"/>
      <w:divBdr>
        <w:top w:val="none" w:sz="0" w:space="0" w:color="auto"/>
        <w:left w:val="none" w:sz="0" w:space="0" w:color="auto"/>
        <w:bottom w:val="none" w:sz="0" w:space="0" w:color="auto"/>
        <w:right w:val="none" w:sz="0" w:space="0" w:color="auto"/>
      </w:divBdr>
    </w:div>
    <w:div w:id="411973544">
      <w:bodyDiv w:val="1"/>
      <w:marLeft w:val="0"/>
      <w:marRight w:val="0"/>
      <w:marTop w:val="0"/>
      <w:marBottom w:val="0"/>
      <w:divBdr>
        <w:top w:val="none" w:sz="0" w:space="0" w:color="auto"/>
        <w:left w:val="none" w:sz="0" w:space="0" w:color="auto"/>
        <w:bottom w:val="none" w:sz="0" w:space="0" w:color="auto"/>
        <w:right w:val="none" w:sz="0" w:space="0" w:color="auto"/>
      </w:divBdr>
    </w:div>
    <w:div w:id="420875207">
      <w:bodyDiv w:val="1"/>
      <w:marLeft w:val="0"/>
      <w:marRight w:val="0"/>
      <w:marTop w:val="0"/>
      <w:marBottom w:val="0"/>
      <w:divBdr>
        <w:top w:val="none" w:sz="0" w:space="0" w:color="auto"/>
        <w:left w:val="none" w:sz="0" w:space="0" w:color="auto"/>
        <w:bottom w:val="none" w:sz="0" w:space="0" w:color="auto"/>
        <w:right w:val="none" w:sz="0" w:space="0" w:color="auto"/>
      </w:divBdr>
    </w:div>
    <w:div w:id="421756657">
      <w:bodyDiv w:val="1"/>
      <w:marLeft w:val="0"/>
      <w:marRight w:val="0"/>
      <w:marTop w:val="0"/>
      <w:marBottom w:val="0"/>
      <w:divBdr>
        <w:top w:val="none" w:sz="0" w:space="0" w:color="auto"/>
        <w:left w:val="none" w:sz="0" w:space="0" w:color="auto"/>
        <w:bottom w:val="none" w:sz="0" w:space="0" w:color="auto"/>
        <w:right w:val="none" w:sz="0" w:space="0" w:color="auto"/>
      </w:divBdr>
    </w:div>
    <w:div w:id="426123723">
      <w:bodyDiv w:val="1"/>
      <w:marLeft w:val="0"/>
      <w:marRight w:val="0"/>
      <w:marTop w:val="0"/>
      <w:marBottom w:val="0"/>
      <w:divBdr>
        <w:top w:val="none" w:sz="0" w:space="0" w:color="auto"/>
        <w:left w:val="none" w:sz="0" w:space="0" w:color="auto"/>
        <w:bottom w:val="none" w:sz="0" w:space="0" w:color="auto"/>
        <w:right w:val="none" w:sz="0" w:space="0" w:color="auto"/>
      </w:divBdr>
    </w:div>
    <w:div w:id="430663453">
      <w:bodyDiv w:val="1"/>
      <w:marLeft w:val="0"/>
      <w:marRight w:val="0"/>
      <w:marTop w:val="0"/>
      <w:marBottom w:val="0"/>
      <w:divBdr>
        <w:top w:val="none" w:sz="0" w:space="0" w:color="auto"/>
        <w:left w:val="none" w:sz="0" w:space="0" w:color="auto"/>
        <w:bottom w:val="none" w:sz="0" w:space="0" w:color="auto"/>
        <w:right w:val="none" w:sz="0" w:space="0" w:color="auto"/>
      </w:divBdr>
    </w:div>
    <w:div w:id="443963842">
      <w:bodyDiv w:val="1"/>
      <w:marLeft w:val="0"/>
      <w:marRight w:val="0"/>
      <w:marTop w:val="0"/>
      <w:marBottom w:val="0"/>
      <w:divBdr>
        <w:top w:val="none" w:sz="0" w:space="0" w:color="auto"/>
        <w:left w:val="none" w:sz="0" w:space="0" w:color="auto"/>
        <w:bottom w:val="none" w:sz="0" w:space="0" w:color="auto"/>
        <w:right w:val="none" w:sz="0" w:space="0" w:color="auto"/>
      </w:divBdr>
    </w:div>
    <w:div w:id="448546075">
      <w:bodyDiv w:val="1"/>
      <w:marLeft w:val="0"/>
      <w:marRight w:val="0"/>
      <w:marTop w:val="0"/>
      <w:marBottom w:val="0"/>
      <w:divBdr>
        <w:top w:val="none" w:sz="0" w:space="0" w:color="auto"/>
        <w:left w:val="none" w:sz="0" w:space="0" w:color="auto"/>
        <w:bottom w:val="none" w:sz="0" w:space="0" w:color="auto"/>
        <w:right w:val="none" w:sz="0" w:space="0" w:color="auto"/>
      </w:divBdr>
    </w:div>
    <w:div w:id="467934595">
      <w:bodyDiv w:val="1"/>
      <w:marLeft w:val="0"/>
      <w:marRight w:val="0"/>
      <w:marTop w:val="0"/>
      <w:marBottom w:val="0"/>
      <w:divBdr>
        <w:top w:val="none" w:sz="0" w:space="0" w:color="auto"/>
        <w:left w:val="none" w:sz="0" w:space="0" w:color="auto"/>
        <w:bottom w:val="none" w:sz="0" w:space="0" w:color="auto"/>
        <w:right w:val="none" w:sz="0" w:space="0" w:color="auto"/>
      </w:divBdr>
    </w:div>
    <w:div w:id="507059065">
      <w:bodyDiv w:val="1"/>
      <w:marLeft w:val="0"/>
      <w:marRight w:val="0"/>
      <w:marTop w:val="0"/>
      <w:marBottom w:val="0"/>
      <w:divBdr>
        <w:top w:val="none" w:sz="0" w:space="0" w:color="auto"/>
        <w:left w:val="none" w:sz="0" w:space="0" w:color="auto"/>
        <w:bottom w:val="none" w:sz="0" w:space="0" w:color="auto"/>
        <w:right w:val="none" w:sz="0" w:space="0" w:color="auto"/>
      </w:divBdr>
    </w:div>
    <w:div w:id="512230630">
      <w:bodyDiv w:val="1"/>
      <w:marLeft w:val="0"/>
      <w:marRight w:val="0"/>
      <w:marTop w:val="0"/>
      <w:marBottom w:val="0"/>
      <w:divBdr>
        <w:top w:val="none" w:sz="0" w:space="0" w:color="auto"/>
        <w:left w:val="none" w:sz="0" w:space="0" w:color="auto"/>
        <w:bottom w:val="none" w:sz="0" w:space="0" w:color="auto"/>
        <w:right w:val="none" w:sz="0" w:space="0" w:color="auto"/>
      </w:divBdr>
    </w:div>
    <w:div w:id="513692315">
      <w:bodyDiv w:val="1"/>
      <w:marLeft w:val="0"/>
      <w:marRight w:val="0"/>
      <w:marTop w:val="0"/>
      <w:marBottom w:val="0"/>
      <w:divBdr>
        <w:top w:val="none" w:sz="0" w:space="0" w:color="auto"/>
        <w:left w:val="none" w:sz="0" w:space="0" w:color="auto"/>
        <w:bottom w:val="none" w:sz="0" w:space="0" w:color="auto"/>
        <w:right w:val="none" w:sz="0" w:space="0" w:color="auto"/>
      </w:divBdr>
    </w:div>
    <w:div w:id="529345210">
      <w:bodyDiv w:val="1"/>
      <w:marLeft w:val="0"/>
      <w:marRight w:val="0"/>
      <w:marTop w:val="0"/>
      <w:marBottom w:val="0"/>
      <w:divBdr>
        <w:top w:val="none" w:sz="0" w:space="0" w:color="auto"/>
        <w:left w:val="none" w:sz="0" w:space="0" w:color="auto"/>
        <w:bottom w:val="none" w:sz="0" w:space="0" w:color="auto"/>
        <w:right w:val="none" w:sz="0" w:space="0" w:color="auto"/>
      </w:divBdr>
    </w:div>
    <w:div w:id="530805065">
      <w:bodyDiv w:val="1"/>
      <w:marLeft w:val="0"/>
      <w:marRight w:val="0"/>
      <w:marTop w:val="0"/>
      <w:marBottom w:val="0"/>
      <w:divBdr>
        <w:top w:val="none" w:sz="0" w:space="0" w:color="auto"/>
        <w:left w:val="none" w:sz="0" w:space="0" w:color="auto"/>
        <w:bottom w:val="none" w:sz="0" w:space="0" w:color="auto"/>
        <w:right w:val="none" w:sz="0" w:space="0" w:color="auto"/>
      </w:divBdr>
    </w:div>
    <w:div w:id="534119866">
      <w:bodyDiv w:val="1"/>
      <w:marLeft w:val="0"/>
      <w:marRight w:val="0"/>
      <w:marTop w:val="0"/>
      <w:marBottom w:val="0"/>
      <w:divBdr>
        <w:top w:val="none" w:sz="0" w:space="0" w:color="auto"/>
        <w:left w:val="none" w:sz="0" w:space="0" w:color="auto"/>
        <w:bottom w:val="none" w:sz="0" w:space="0" w:color="auto"/>
        <w:right w:val="none" w:sz="0" w:space="0" w:color="auto"/>
      </w:divBdr>
    </w:div>
    <w:div w:id="541747342">
      <w:bodyDiv w:val="1"/>
      <w:marLeft w:val="0"/>
      <w:marRight w:val="0"/>
      <w:marTop w:val="0"/>
      <w:marBottom w:val="0"/>
      <w:divBdr>
        <w:top w:val="none" w:sz="0" w:space="0" w:color="auto"/>
        <w:left w:val="none" w:sz="0" w:space="0" w:color="auto"/>
        <w:bottom w:val="none" w:sz="0" w:space="0" w:color="auto"/>
        <w:right w:val="none" w:sz="0" w:space="0" w:color="auto"/>
      </w:divBdr>
    </w:div>
    <w:div w:id="547766773">
      <w:bodyDiv w:val="1"/>
      <w:marLeft w:val="0"/>
      <w:marRight w:val="0"/>
      <w:marTop w:val="0"/>
      <w:marBottom w:val="0"/>
      <w:divBdr>
        <w:top w:val="none" w:sz="0" w:space="0" w:color="auto"/>
        <w:left w:val="none" w:sz="0" w:space="0" w:color="auto"/>
        <w:bottom w:val="none" w:sz="0" w:space="0" w:color="auto"/>
        <w:right w:val="none" w:sz="0" w:space="0" w:color="auto"/>
      </w:divBdr>
    </w:div>
    <w:div w:id="558173341">
      <w:bodyDiv w:val="1"/>
      <w:marLeft w:val="0"/>
      <w:marRight w:val="0"/>
      <w:marTop w:val="0"/>
      <w:marBottom w:val="0"/>
      <w:divBdr>
        <w:top w:val="none" w:sz="0" w:space="0" w:color="auto"/>
        <w:left w:val="none" w:sz="0" w:space="0" w:color="auto"/>
        <w:bottom w:val="none" w:sz="0" w:space="0" w:color="auto"/>
        <w:right w:val="none" w:sz="0" w:space="0" w:color="auto"/>
      </w:divBdr>
    </w:div>
    <w:div w:id="566258281">
      <w:bodyDiv w:val="1"/>
      <w:marLeft w:val="0"/>
      <w:marRight w:val="0"/>
      <w:marTop w:val="0"/>
      <w:marBottom w:val="0"/>
      <w:divBdr>
        <w:top w:val="none" w:sz="0" w:space="0" w:color="auto"/>
        <w:left w:val="none" w:sz="0" w:space="0" w:color="auto"/>
        <w:bottom w:val="none" w:sz="0" w:space="0" w:color="auto"/>
        <w:right w:val="none" w:sz="0" w:space="0" w:color="auto"/>
      </w:divBdr>
    </w:div>
    <w:div w:id="569268724">
      <w:bodyDiv w:val="1"/>
      <w:marLeft w:val="0"/>
      <w:marRight w:val="0"/>
      <w:marTop w:val="0"/>
      <w:marBottom w:val="0"/>
      <w:divBdr>
        <w:top w:val="none" w:sz="0" w:space="0" w:color="auto"/>
        <w:left w:val="none" w:sz="0" w:space="0" w:color="auto"/>
        <w:bottom w:val="none" w:sz="0" w:space="0" w:color="auto"/>
        <w:right w:val="none" w:sz="0" w:space="0" w:color="auto"/>
      </w:divBdr>
    </w:div>
    <w:div w:id="596527678">
      <w:bodyDiv w:val="1"/>
      <w:marLeft w:val="0"/>
      <w:marRight w:val="0"/>
      <w:marTop w:val="0"/>
      <w:marBottom w:val="0"/>
      <w:divBdr>
        <w:top w:val="none" w:sz="0" w:space="0" w:color="auto"/>
        <w:left w:val="none" w:sz="0" w:space="0" w:color="auto"/>
        <w:bottom w:val="none" w:sz="0" w:space="0" w:color="auto"/>
        <w:right w:val="none" w:sz="0" w:space="0" w:color="auto"/>
      </w:divBdr>
    </w:div>
    <w:div w:id="615522263">
      <w:bodyDiv w:val="1"/>
      <w:marLeft w:val="0"/>
      <w:marRight w:val="0"/>
      <w:marTop w:val="0"/>
      <w:marBottom w:val="0"/>
      <w:divBdr>
        <w:top w:val="none" w:sz="0" w:space="0" w:color="auto"/>
        <w:left w:val="none" w:sz="0" w:space="0" w:color="auto"/>
        <w:bottom w:val="none" w:sz="0" w:space="0" w:color="auto"/>
        <w:right w:val="none" w:sz="0" w:space="0" w:color="auto"/>
      </w:divBdr>
    </w:div>
    <w:div w:id="620036621">
      <w:bodyDiv w:val="1"/>
      <w:marLeft w:val="0"/>
      <w:marRight w:val="0"/>
      <w:marTop w:val="0"/>
      <w:marBottom w:val="0"/>
      <w:divBdr>
        <w:top w:val="none" w:sz="0" w:space="0" w:color="auto"/>
        <w:left w:val="none" w:sz="0" w:space="0" w:color="auto"/>
        <w:bottom w:val="none" w:sz="0" w:space="0" w:color="auto"/>
        <w:right w:val="none" w:sz="0" w:space="0" w:color="auto"/>
      </w:divBdr>
    </w:div>
    <w:div w:id="624774902">
      <w:bodyDiv w:val="1"/>
      <w:marLeft w:val="0"/>
      <w:marRight w:val="0"/>
      <w:marTop w:val="0"/>
      <w:marBottom w:val="0"/>
      <w:divBdr>
        <w:top w:val="none" w:sz="0" w:space="0" w:color="auto"/>
        <w:left w:val="none" w:sz="0" w:space="0" w:color="auto"/>
        <w:bottom w:val="none" w:sz="0" w:space="0" w:color="auto"/>
        <w:right w:val="none" w:sz="0" w:space="0" w:color="auto"/>
      </w:divBdr>
    </w:div>
    <w:div w:id="630671323">
      <w:bodyDiv w:val="1"/>
      <w:marLeft w:val="0"/>
      <w:marRight w:val="0"/>
      <w:marTop w:val="0"/>
      <w:marBottom w:val="0"/>
      <w:divBdr>
        <w:top w:val="none" w:sz="0" w:space="0" w:color="auto"/>
        <w:left w:val="none" w:sz="0" w:space="0" w:color="auto"/>
        <w:bottom w:val="none" w:sz="0" w:space="0" w:color="auto"/>
        <w:right w:val="none" w:sz="0" w:space="0" w:color="auto"/>
      </w:divBdr>
    </w:div>
    <w:div w:id="664868437">
      <w:bodyDiv w:val="1"/>
      <w:marLeft w:val="0"/>
      <w:marRight w:val="0"/>
      <w:marTop w:val="0"/>
      <w:marBottom w:val="0"/>
      <w:divBdr>
        <w:top w:val="none" w:sz="0" w:space="0" w:color="auto"/>
        <w:left w:val="none" w:sz="0" w:space="0" w:color="auto"/>
        <w:bottom w:val="none" w:sz="0" w:space="0" w:color="auto"/>
        <w:right w:val="none" w:sz="0" w:space="0" w:color="auto"/>
      </w:divBdr>
    </w:div>
    <w:div w:id="704403528">
      <w:bodyDiv w:val="1"/>
      <w:marLeft w:val="0"/>
      <w:marRight w:val="0"/>
      <w:marTop w:val="0"/>
      <w:marBottom w:val="0"/>
      <w:divBdr>
        <w:top w:val="none" w:sz="0" w:space="0" w:color="auto"/>
        <w:left w:val="none" w:sz="0" w:space="0" w:color="auto"/>
        <w:bottom w:val="none" w:sz="0" w:space="0" w:color="auto"/>
        <w:right w:val="none" w:sz="0" w:space="0" w:color="auto"/>
      </w:divBdr>
    </w:div>
    <w:div w:id="739715590">
      <w:bodyDiv w:val="1"/>
      <w:marLeft w:val="0"/>
      <w:marRight w:val="0"/>
      <w:marTop w:val="0"/>
      <w:marBottom w:val="0"/>
      <w:divBdr>
        <w:top w:val="none" w:sz="0" w:space="0" w:color="auto"/>
        <w:left w:val="none" w:sz="0" w:space="0" w:color="auto"/>
        <w:bottom w:val="none" w:sz="0" w:space="0" w:color="auto"/>
        <w:right w:val="none" w:sz="0" w:space="0" w:color="auto"/>
      </w:divBdr>
    </w:div>
    <w:div w:id="746734854">
      <w:bodyDiv w:val="1"/>
      <w:marLeft w:val="0"/>
      <w:marRight w:val="0"/>
      <w:marTop w:val="0"/>
      <w:marBottom w:val="0"/>
      <w:divBdr>
        <w:top w:val="none" w:sz="0" w:space="0" w:color="auto"/>
        <w:left w:val="none" w:sz="0" w:space="0" w:color="auto"/>
        <w:bottom w:val="none" w:sz="0" w:space="0" w:color="auto"/>
        <w:right w:val="none" w:sz="0" w:space="0" w:color="auto"/>
      </w:divBdr>
      <w:divsChild>
        <w:div w:id="1120420196">
          <w:marLeft w:val="360"/>
          <w:marRight w:val="0"/>
          <w:marTop w:val="200"/>
          <w:marBottom w:val="0"/>
          <w:divBdr>
            <w:top w:val="none" w:sz="0" w:space="0" w:color="auto"/>
            <w:left w:val="none" w:sz="0" w:space="0" w:color="auto"/>
            <w:bottom w:val="none" w:sz="0" w:space="0" w:color="auto"/>
            <w:right w:val="none" w:sz="0" w:space="0" w:color="auto"/>
          </w:divBdr>
        </w:div>
      </w:divsChild>
    </w:div>
    <w:div w:id="759524415">
      <w:bodyDiv w:val="1"/>
      <w:marLeft w:val="0"/>
      <w:marRight w:val="0"/>
      <w:marTop w:val="0"/>
      <w:marBottom w:val="0"/>
      <w:divBdr>
        <w:top w:val="none" w:sz="0" w:space="0" w:color="auto"/>
        <w:left w:val="none" w:sz="0" w:space="0" w:color="auto"/>
        <w:bottom w:val="none" w:sz="0" w:space="0" w:color="auto"/>
        <w:right w:val="none" w:sz="0" w:space="0" w:color="auto"/>
      </w:divBdr>
    </w:div>
    <w:div w:id="779027833">
      <w:bodyDiv w:val="1"/>
      <w:marLeft w:val="0"/>
      <w:marRight w:val="0"/>
      <w:marTop w:val="0"/>
      <w:marBottom w:val="0"/>
      <w:divBdr>
        <w:top w:val="none" w:sz="0" w:space="0" w:color="auto"/>
        <w:left w:val="none" w:sz="0" w:space="0" w:color="auto"/>
        <w:bottom w:val="none" w:sz="0" w:space="0" w:color="auto"/>
        <w:right w:val="none" w:sz="0" w:space="0" w:color="auto"/>
      </w:divBdr>
    </w:div>
    <w:div w:id="783886223">
      <w:bodyDiv w:val="1"/>
      <w:marLeft w:val="0"/>
      <w:marRight w:val="0"/>
      <w:marTop w:val="0"/>
      <w:marBottom w:val="0"/>
      <w:divBdr>
        <w:top w:val="none" w:sz="0" w:space="0" w:color="auto"/>
        <w:left w:val="none" w:sz="0" w:space="0" w:color="auto"/>
        <w:bottom w:val="none" w:sz="0" w:space="0" w:color="auto"/>
        <w:right w:val="none" w:sz="0" w:space="0" w:color="auto"/>
      </w:divBdr>
    </w:div>
    <w:div w:id="801191573">
      <w:bodyDiv w:val="1"/>
      <w:marLeft w:val="0"/>
      <w:marRight w:val="0"/>
      <w:marTop w:val="0"/>
      <w:marBottom w:val="0"/>
      <w:divBdr>
        <w:top w:val="none" w:sz="0" w:space="0" w:color="auto"/>
        <w:left w:val="none" w:sz="0" w:space="0" w:color="auto"/>
        <w:bottom w:val="none" w:sz="0" w:space="0" w:color="auto"/>
        <w:right w:val="none" w:sz="0" w:space="0" w:color="auto"/>
      </w:divBdr>
    </w:div>
    <w:div w:id="806968104">
      <w:bodyDiv w:val="1"/>
      <w:marLeft w:val="0"/>
      <w:marRight w:val="0"/>
      <w:marTop w:val="0"/>
      <w:marBottom w:val="0"/>
      <w:divBdr>
        <w:top w:val="none" w:sz="0" w:space="0" w:color="auto"/>
        <w:left w:val="none" w:sz="0" w:space="0" w:color="auto"/>
        <w:bottom w:val="none" w:sz="0" w:space="0" w:color="auto"/>
        <w:right w:val="none" w:sz="0" w:space="0" w:color="auto"/>
      </w:divBdr>
    </w:div>
    <w:div w:id="816918479">
      <w:bodyDiv w:val="1"/>
      <w:marLeft w:val="0"/>
      <w:marRight w:val="0"/>
      <w:marTop w:val="0"/>
      <w:marBottom w:val="0"/>
      <w:divBdr>
        <w:top w:val="none" w:sz="0" w:space="0" w:color="auto"/>
        <w:left w:val="none" w:sz="0" w:space="0" w:color="auto"/>
        <w:bottom w:val="none" w:sz="0" w:space="0" w:color="auto"/>
        <w:right w:val="none" w:sz="0" w:space="0" w:color="auto"/>
      </w:divBdr>
    </w:div>
    <w:div w:id="817648807">
      <w:bodyDiv w:val="1"/>
      <w:marLeft w:val="0"/>
      <w:marRight w:val="0"/>
      <w:marTop w:val="0"/>
      <w:marBottom w:val="0"/>
      <w:divBdr>
        <w:top w:val="none" w:sz="0" w:space="0" w:color="auto"/>
        <w:left w:val="none" w:sz="0" w:space="0" w:color="auto"/>
        <w:bottom w:val="none" w:sz="0" w:space="0" w:color="auto"/>
        <w:right w:val="none" w:sz="0" w:space="0" w:color="auto"/>
      </w:divBdr>
    </w:div>
    <w:div w:id="822359253">
      <w:bodyDiv w:val="1"/>
      <w:marLeft w:val="0"/>
      <w:marRight w:val="0"/>
      <w:marTop w:val="0"/>
      <w:marBottom w:val="0"/>
      <w:divBdr>
        <w:top w:val="none" w:sz="0" w:space="0" w:color="auto"/>
        <w:left w:val="none" w:sz="0" w:space="0" w:color="auto"/>
        <w:bottom w:val="none" w:sz="0" w:space="0" w:color="auto"/>
        <w:right w:val="none" w:sz="0" w:space="0" w:color="auto"/>
      </w:divBdr>
    </w:div>
    <w:div w:id="832257858">
      <w:bodyDiv w:val="1"/>
      <w:marLeft w:val="0"/>
      <w:marRight w:val="0"/>
      <w:marTop w:val="0"/>
      <w:marBottom w:val="0"/>
      <w:divBdr>
        <w:top w:val="none" w:sz="0" w:space="0" w:color="auto"/>
        <w:left w:val="none" w:sz="0" w:space="0" w:color="auto"/>
        <w:bottom w:val="none" w:sz="0" w:space="0" w:color="auto"/>
        <w:right w:val="none" w:sz="0" w:space="0" w:color="auto"/>
      </w:divBdr>
    </w:div>
    <w:div w:id="832260493">
      <w:bodyDiv w:val="1"/>
      <w:marLeft w:val="0"/>
      <w:marRight w:val="0"/>
      <w:marTop w:val="0"/>
      <w:marBottom w:val="0"/>
      <w:divBdr>
        <w:top w:val="none" w:sz="0" w:space="0" w:color="auto"/>
        <w:left w:val="none" w:sz="0" w:space="0" w:color="auto"/>
        <w:bottom w:val="none" w:sz="0" w:space="0" w:color="auto"/>
        <w:right w:val="none" w:sz="0" w:space="0" w:color="auto"/>
      </w:divBdr>
    </w:div>
    <w:div w:id="845289396">
      <w:bodyDiv w:val="1"/>
      <w:marLeft w:val="0"/>
      <w:marRight w:val="0"/>
      <w:marTop w:val="0"/>
      <w:marBottom w:val="0"/>
      <w:divBdr>
        <w:top w:val="none" w:sz="0" w:space="0" w:color="auto"/>
        <w:left w:val="none" w:sz="0" w:space="0" w:color="auto"/>
        <w:bottom w:val="none" w:sz="0" w:space="0" w:color="auto"/>
        <w:right w:val="none" w:sz="0" w:space="0" w:color="auto"/>
      </w:divBdr>
    </w:div>
    <w:div w:id="860356969">
      <w:bodyDiv w:val="1"/>
      <w:marLeft w:val="0"/>
      <w:marRight w:val="0"/>
      <w:marTop w:val="0"/>
      <w:marBottom w:val="0"/>
      <w:divBdr>
        <w:top w:val="none" w:sz="0" w:space="0" w:color="auto"/>
        <w:left w:val="none" w:sz="0" w:space="0" w:color="auto"/>
        <w:bottom w:val="none" w:sz="0" w:space="0" w:color="auto"/>
        <w:right w:val="none" w:sz="0" w:space="0" w:color="auto"/>
      </w:divBdr>
    </w:div>
    <w:div w:id="881332576">
      <w:bodyDiv w:val="1"/>
      <w:marLeft w:val="0"/>
      <w:marRight w:val="0"/>
      <w:marTop w:val="0"/>
      <w:marBottom w:val="0"/>
      <w:divBdr>
        <w:top w:val="none" w:sz="0" w:space="0" w:color="auto"/>
        <w:left w:val="none" w:sz="0" w:space="0" w:color="auto"/>
        <w:bottom w:val="none" w:sz="0" w:space="0" w:color="auto"/>
        <w:right w:val="none" w:sz="0" w:space="0" w:color="auto"/>
      </w:divBdr>
    </w:div>
    <w:div w:id="912815054">
      <w:bodyDiv w:val="1"/>
      <w:marLeft w:val="0"/>
      <w:marRight w:val="0"/>
      <w:marTop w:val="0"/>
      <w:marBottom w:val="0"/>
      <w:divBdr>
        <w:top w:val="none" w:sz="0" w:space="0" w:color="auto"/>
        <w:left w:val="none" w:sz="0" w:space="0" w:color="auto"/>
        <w:bottom w:val="none" w:sz="0" w:space="0" w:color="auto"/>
        <w:right w:val="none" w:sz="0" w:space="0" w:color="auto"/>
      </w:divBdr>
    </w:div>
    <w:div w:id="943684580">
      <w:bodyDiv w:val="1"/>
      <w:marLeft w:val="0"/>
      <w:marRight w:val="0"/>
      <w:marTop w:val="0"/>
      <w:marBottom w:val="0"/>
      <w:divBdr>
        <w:top w:val="none" w:sz="0" w:space="0" w:color="auto"/>
        <w:left w:val="none" w:sz="0" w:space="0" w:color="auto"/>
        <w:bottom w:val="none" w:sz="0" w:space="0" w:color="auto"/>
        <w:right w:val="none" w:sz="0" w:space="0" w:color="auto"/>
      </w:divBdr>
    </w:div>
    <w:div w:id="944657113">
      <w:bodyDiv w:val="1"/>
      <w:marLeft w:val="0"/>
      <w:marRight w:val="0"/>
      <w:marTop w:val="0"/>
      <w:marBottom w:val="0"/>
      <w:divBdr>
        <w:top w:val="none" w:sz="0" w:space="0" w:color="auto"/>
        <w:left w:val="none" w:sz="0" w:space="0" w:color="auto"/>
        <w:bottom w:val="none" w:sz="0" w:space="0" w:color="auto"/>
        <w:right w:val="none" w:sz="0" w:space="0" w:color="auto"/>
      </w:divBdr>
      <w:divsChild>
        <w:div w:id="174616939">
          <w:marLeft w:val="360"/>
          <w:marRight w:val="0"/>
          <w:marTop w:val="200"/>
          <w:marBottom w:val="0"/>
          <w:divBdr>
            <w:top w:val="none" w:sz="0" w:space="0" w:color="auto"/>
            <w:left w:val="none" w:sz="0" w:space="0" w:color="auto"/>
            <w:bottom w:val="none" w:sz="0" w:space="0" w:color="auto"/>
            <w:right w:val="none" w:sz="0" w:space="0" w:color="auto"/>
          </w:divBdr>
        </w:div>
      </w:divsChild>
    </w:div>
    <w:div w:id="952442645">
      <w:bodyDiv w:val="1"/>
      <w:marLeft w:val="0"/>
      <w:marRight w:val="0"/>
      <w:marTop w:val="0"/>
      <w:marBottom w:val="0"/>
      <w:divBdr>
        <w:top w:val="none" w:sz="0" w:space="0" w:color="auto"/>
        <w:left w:val="none" w:sz="0" w:space="0" w:color="auto"/>
        <w:bottom w:val="none" w:sz="0" w:space="0" w:color="auto"/>
        <w:right w:val="none" w:sz="0" w:space="0" w:color="auto"/>
      </w:divBdr>
    </w:div>
    <w:div w:id="966008203">
      <w:bodyDiv w:val="1"/>
      <w:marLeft w:val="0"/>
      <w:marRight w:val="0"/>
      <w:marTop w:val="0"/>
      <w:marBottom w:val="0"/>
      <w:divBdr>
        <w:top w:val="none" w:sz="0" w:space="0" w:color="auto"/>
        <w:left w:val="none" w:sz="0" w:space="0" w:color="auto"/>
        <w:bottom w:val="none" w:sz="0" w:space="0" w:color="auto"/>
        <w:right w:val="none" w:sz="0" w:space="0" w:color="auto"/>
      </w:divBdr>
    </w:div>
    <w:div w:id="968975400">
      <w:bodyDiv w:val="1"/>
      <w:marLeft w:val="0"/>
      <w:marRight w:val="0"/>
      <w:marTop w:val="0"/>
      <w:marBottom w:val="0"/>
      <w:divBdr>
        <w:top w:val="none" w:sz="0" w:space="0" w:color="auto"/>
        <w:left w:val="none" w:sz="0" w:space="0" w:color="auto"/>
        <w:bottom w:val="none" w:sz="0" w:space="0" w:color="auto"/>
        <w:right w:val="none" w:sz="0" w:space="0" w:color="auto"/>
      </w:divBdr>
      <w:divsChild>
        <w:div w:id="1350522814">
          <w:marLeft w:val="0"/>
          <w:marRight w:val="150"/>
          <w:marTop w:val="0"/>
          <w:marBottom w:val="0"/>
          <w:divBdr>
            <w:top w:val="single" w:sz="2" w:space="0" w:color="000000"/>
            <w:left w:val="single" w:sz="2" w:space="0" w:color="000000"/>
            <w:bottom w:val="single" w:sz="2" w:space="0" w:color="000000"/>
            <w:right w:val="single" w:sz="2" w:space="0" w:color="000000"/>
          </w:divBdr>
          <w:divsChild>
            <w:div w:id="419184993">
              <w:marLeft w:val="0"/>
              <w:marRight w:val="0"/>
              <w:marTop w:val="0"/>
              <w:marBottom w:val="0"/>
              <w:divBdr>
                <w:top w:val="single" w:sz="2" w:space="0" w:color="000000"/>
                <w:left w:val="single" w:sz="2" w:space="0" w:color="000000"/>
                <w:bottom w:val="single" w:sz="2" w:space="0" w:color="000000"/>
                <w:right w:val="single" w:sz="2" w:space="0" w:color="000000"/>
              </w:divBdr>
              <w:divsChild>
                <w:div w:id="1983074791">
                  <w:marLeft w:val="0"/>
                  <w:marRight w:val="0"/>
                  <w:marTop w:val="0"/>
                  <w:marBottom w:val="0"/>
                  <w:divBdr>
                    <w:top w:val="single" w:sz="2" w:space="0" w:color="000000"/>
                    <w:left w:val="single" w:sz="2" w:space="0" w:color="000000"/>
                    <w:bottom w:val="single" w:sz="2" w:space="0" w:color="000000"/>
                    <w:right w:val="single" w:sz="2" w:space="0" w:color="000000"/>
                  </w:divBdr>
                  <w:divsChild>
                    <w:div w:id="914239938">
                      <w:marLeft w:val="0"/>
                      <w:marRight w:val="0"/>
                      <w:marTop w:val="0"/>
                      <w:marBottom w:val="0"/>
                      <w:divBdr>
                        <w:top w:val="single" w:sz="2" w:space="0" w:color="000000"/>
                        <w:left w:val="single" w:sz="2" w:space="0" w:color="000000"/>
                        <w:bottom w:val="single" w:sz="2" w:space="0" w:color="000000"/>
                        <w:right w:val="single" w:sz="2" w:space="0" w:color="000000"/>
                      </w:divBdr>
                      <w:divsChild>
                        <w:div w:id="929580508">
                          <w:marLeft w:val="0"/>
                          <w:marRight w:val="0"/>
                          <w:marTop w:val="0"/>
                          <w:marBottom w:val="0"/>
                          <w:divBdr>
                            <w:top w:val="none" w:sz="0" w:space="0" w:color="auto"/>
                            <w:left w:val="none" w:sz="0" w:space="0" w:color="auto"/>
                            <w:bottom w:val="none" w:sz="0" w:space="0" w:color="auto"/>
                            <w:right w:val="none" w:sz="0" w:space="0" w:color="auto"/>
                          </w:divBdr>
                          <w:divsChild>
                            <w:div w:id="2019498381">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sChild>
                </w:div>
              </w:divsChild>
            </w:div>
          </w:divsChild>
        </w:div>
        <w:div w:id="1058825838">
          <w:marLeft w:val="0"/>
          <w:marRight w:val="0"/>
          <w:marTop w:val="0"/>
          <w:marBottom w:val="0"/>
          <w:divBdr>
            <w:top w:val="single" w:sz="2" w:space="0" w:color="000000"/>
            <w:left w:val="single" w:sz="2" w:space="0" w:color="000000"/>
            <w:bottom w:val="single" w:sz="2" w:space="8" w:color="000000"/>
            <w:right w:val="single" w:sz="2" w:space="0" w:color="000000"/>
          </w:divBdr>
          <w:divsChild>
            <w:div w:id="2075395400">
              <w:marLeft w:val="0"/>
              <w:marRight w:val="0"/>
              <w:marTop w:val="0"/>
              <w:marBottom w:val="0"/>
              <w:divBdr>
                <w:top w:val="single" w:sz="2" w:space="0" w:color="000000"/>
                <w:left w:val="single" w:sz="2" w:space="0" w:color="000000"/>
                <w:bottom w:val="single" w:sz="2" w:space="0" w:color="000000"/>
                <w:right w:val="single" w:sz="2" w:space="0" w:color="000000"/>
              </w:divBdr>
              <w:divsChild>
                <w:div w:id="201989819">
                  <w:marLeft w:val="0"/>
                  <w:marRight w:val="0"/>
                  <w:marTop w:val="0"/>
                  <w:marBottom w:val="30"/>
                  <w:divBdr>
                    <w:top w:val="single" w:sz="2" w:space="0" w:color="000000"/>
                    <w:left w:val="single" w:sz="2" w:space="0" w:color="000000"/>
                    <w:bottom w:val="single" w:sz="2" w:space="0" w:color="000000"/>
                    <w:right w:val="single" w:sz="2" w:space="0" w:color="000000"/>
                  </w:divBdr>
                  <w:divsChild>
                    <w:div w:id="1779834749">
                      <w:marLeft w:val="0"/>
                      <w:marRight w:val="0"/>
                      <w:marTop w:val="0"/>
                      <w:marBottom w:val="0"/>
                      <w:divBdr>
                        <w:top w:val="single" w:sz="2" w:space="0" w:color="000000"/>
                        <w:left w:val="single" w:sz="2" w:space="0" w:color="000000"/>
                        <w:bottom w:val="single" w:sz="2" w:space="0" w:color="000000"/>
                        <w:right w:val="single" w:sz="2" w:space="0" w:color="000000"/>
                      </w:divBdr>
                      <w:divsChild>
                        <w:div w:id="70584360">
                          <w:marLeft w:val="0"/>
                          <w:marRight w:val="0"/>
                          <w:marTop w:val="0"/>
                          <w:marBottom w:val="0"/>
                          <w:divBdr>
                            <w:top w:val="single" w:sz="2" w:space="0" w:color="000000"/>
                            <w:left w:val="single" w:sz="2" w:space="0" w:color="000000"/>
                            <w:bottom w:val="single" w:sz="2" w:space="0" w:color="000000"/>
                            <w:right w:val="single" w:sz="2" w:space="0" w:color="000000"/>
                          </w:divBdr>
                          <w:divsChild>
                            <w:div w:id="1392079576">
                              <w:marLeft w:val="0"/>
                              <w:marRight w:val="0"/>
                              <w:marTop w:val="0"/>
                              <w:marBottom w:val="0"/>
                              <w:divBdr>
                                <w:top w:val="single" w:sz="2" w:space="0" w:color="000000"/>
                                <w:left w:val="single" w:sz="2" w:space="0" w:color="000000"/>
                                <w:bottom w:val="single" w:sz="2" w:space="0" w:color="000000"/>
                                <w:right w:val="single" w:sz="2" w:space="0" w:color="000000"/>
                              </w:divBdr>
                              <w:divsChild>
                                <w:div w:id="1962956154">
                                  <w:marLeft w:val="0"/>
                                  <w:marRight w:val="0"/>
                                  <w:marTop w:val="0"/>
                                  <w:marBottom w:val="0"/>
                                  <w:divBdr>
                                    <w:top w:val="single" w:sz="2" w:space="0" w:color="000000"/>
                                    <w:left w:val="single" w:sz="2" w:space="0" w:color="000000"/>
                                    <w:bottom w:val="single" w:sz="2" w:space="0" w:color="000000"/>
                                    <w:right w:val="single" w:sz="2" w:space="0" w:color="000000"/>
                                  </w:divBdr>
                                  <w:divsChild>
                                    <w:div w:id="1719091966">
                                      <w:marLeft w:val="0"/>
                                      <w:marRight w:val="0"/>
                                      <w:marTop w:val="0"/>
                                      <w:marBottom w:val="0"/>
                                      <w:divBdr>
                                        <w:top w:val="single" w:sz="2" w:space="0" w:color="000000"/>
                                        <w:left w:val="single" w:sz="2" w:space="0" w:color="000000"/>
                                        <w:bottom w:val="single" w:sz="2" w:space="0" w:color="000000"/>
                                        <w:right w:val="single" w:sz="2" w:space="0" w:color="000000"/>
                                      </w:divBdr>
                                      <w:divsChild>
                                        <w:div w:id="2044553272">
                                          <w:marLeft w:val="0"/>
                                          <w:marRight w:val="0"/>
                                          <w:marTop w:val="0"/>
                                          <w:marBottom w:val="0"/>
                                          <w:divBdr>
                                            <w:top w:val="single" w:sz="2" w:space="0" w:color="000000"/>
                                            <w:left w:val="single" w:sz="2" w:space="0" w:color="000000"/>
                                            <w:bottom w:val="single" w:sz="2" w:space="0" w:color="000000"/>
                                            <w:right w:val="single" w:sz="2" w:space="0" w:color="000000"/>
                                          </w:divBdr>
                                        </w:div>
                                      </w:divsChild>
                                    </w:div>
                                    <w:div w:id="1449860268">
                                      <w:marLeft w:val="75"/>
                                      <w:marRight w:val="0"/>
                                      <w:marTop w:val="0"/>
                                      <w:marBottom w:val="0"/>
                                      <w:divBdr>
                                        <w:top w:val="single" w:sz="2" w:space="0" w:color="000000"/>
                                        <w:left w:val="single" w:sz="2" w:space="0" w:color="000000"/>
                                        <w:bottom w:val="single" w:sz="2" w:space="0" w:color="000000"/>
                                        <w:right w:val="single" w:sz="2" w:space="0" w:color="000000"/>
                                      </w:divBdr>
                                      <w:divsChild>
                                        <w:div w:id="854464886">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sChild>
                            </w:div>
                            <w:div w:id="1722902919">
                              <w:marLeft w:val="0"/>
                              <w:marRight w:val="0"/>
                              <w:marTop w:val="0"/>
                              <w:marBottom w:val="0"/>
                              <w:divBdr>
                                <w:top w:val="single" w:sz="2" w:space="0" w:color="000000"/>
                                <w:left w:val="single" w:sz="2" w:space="4" w:color="000000"/>
                                <w:bottom w:val="single" w:sz="2" w:space="0" w:color="000000"/>
                                <w:right w:val="single" w:sz="2" w:space="4" w:color="000000"/>
                              </w:divBdr>
                            </w:div>
                          </w:divsChild>
                        </w:div>
                      </w:divsChild>
                    </w:div>
                  </w:divsChild>
                </w:div>
              </w:divsChild>
            </w:div>
            <w:div w:id="596210244">
              <w:marLeft w:val="0"/>
              <w:marRight w:val="0"/>
              <w:marTop w:val="0"/>
              <w:marBottom w:val="0"/>
              <w:divBdr>
                <w:top w:val="single" w:sz="2" w:space="0" w:color="000000"/>
                <w:left w:val="single" w:sz="2" w:space="0" w:color="000000"/>
                <w:bottom w:val="single" w:sz="2" w:space="0" w:color="000000"/>
                <w:right w:val="single" w:sz="2" w:space="0" w:color="000000"/>
              </w:divBdr>
              <w:divsChild>
                <w:div w:id="1702171599">
                  <w:marLeft w:val="0"/>
                  <w:marRight w:val="0"/>
                  <w:marTop w:val="0"/>
                  <w:marBottom w:val="0"/>
                  <w:divBdr>
                    <w:top w:val="single" w:sz="2" w:space="0" w:color="000000"/>
                    <w:left w:val="single" w:sz="2" w:space="0" w:color="000000"/>
                    <w:bottom w:val="single" w:sz="2" w:space="0" w:color="000000"/>
                    <w:right w:val="single" w:sz="2" w:space="0" w:color="000000"/>
                  </w:divBdr>
                  <w:divsChild>
                    <w:div w:id="555556128">
                      <w:marLeft w:val="0"/>
                      <w:marRight w:val="0"/>
                      <w:marTop w:val="0"/>
                      <w:marBottom w:val="0"/>
                      <w:divBdr>
                        <w:top w:val="single" w:sz="2" w:space="0" w:color="000000"/>
                        <w:left w:val="single" w:sz="2" w:space="0" w:color="000000"/>
                        <w:bottom w:val="single" w:sz="2" w:space="0" w:color="000000"/>
                        <w:right w:val="single" w:sz="2" w:space="0" w:color="000000"/>
                      </w:divBdr>
                    </w:div>
                  </w:divsChild>
                </w:div>
                <w:div w:id="1982033238">
                  <w:marLeft w:val="0"/>
                  <w:marRight w:val="0"/>
                  <w:marTop w:val="0"/>
                  <w:marBottom w:val="0"/>
                  <w:divBdr>
                    <w:top w:val="single" w:sz="2" w:space="0" w:color="000000"/>
                    <w:left w:val="single" w:sz="2" w:space="0" w:color="000000"/>
                    <w:bottom w:val="single" w:sz="2" w:space="0" w:color="000000"/>
                    <w:right w:val="single" w:sz="2" w:space="0" w:color="000000"/>
                  </w:divBdr>
                  <w:divsChild>
                    <w:div w:id="1143278826">
                      <w:marLeft w:val="0"/>
                      <w:marRight w:val="0"/>
                      <w:marTop w:val="0"/>
                      <w:marBottom w:val="0"/>
                      <w:divBdr>
                        <w:top w:val="single" w:sz="2" w:space="0" w:color="000000"/>
                        <w:left w:val="single" w:sz="2" w:space="0" w:color="000000"/>
                        <w:bottom w:val="single" w:sz="2" w:space="0" w:color="000000"/>
                        <w:right w:val="single" w:sz="2" w:space="0" w:color="000000"/>
                      </w:divBdr>
                      <w:divsChild>
                        <w:div w:id="1894271443">
                          <w:marLeft w:val="0"/>
                          <w:marRight w:val="0"/>
                          <w:marTop w:val="150"/>
                          <w:marBottom w:val="0"/>
                          <w:divBdr>
                            <w:top w:val="single" w:sz="2" w:space="0" w:color="000000"/>
                            <w:left w:val="single" w:sz="2" w:space="0" w:color="000000"/>
                            <w:bottom w:val="single" w:sz="2" w:space="0" w:color="000000"/>
                            <w:right w:val="single" w:sz="2" w:space="0" w:color="000000"/>
                          </w:divBdr>
                          <w:divsChild>
                            <w:div w:id="1464040857">
                              <w:marLeft w:val="0"/>
                              <w:marRight w:val="0"/>
                              <w:marTop w:val="0"/>
                              <w:marBottom w:val="0"/>
                              <w:divBdr>
                                <w:top w:val="single" w:sz="2" w:space="0" w:color="000000"/>
                                <w:left w:val="single" w:sz="2" w:space="0" w:color="000000"/>
                                <w:bottom w:val="single" w:sz="2" w:space="0" w:color="000000"/>
                                <w:right w:val="single" w:sz="2" w:space="0" w:color="000000"/>
                              </w:divBdr>
                              <w:divsChild>
                                <w:div w:id="1662074022">
                                  <w:marLeft w:val="0"/>
                                  <w:marRight w:val="0"/>
                                  <w:marTop w:val="0"/>
                                  <w:marBottom w:val="0"/>
                                  <w:divBdr>
                                    <w:top w:val="single" w:sz="2" w:space="0" w:color="000000"/>
                                    <w:left w:val="single" w:sz="2" w:space="0" w:color="000000"/>
                                    <w:bottom w:val="single" w:sz="2" w:space="0" w:color="000000"/>
                                    <w:right w:val="single" w:sz="2" w:space="0" w:color="000000"/>
                                  </w:divBdr>
                                  <w:divsChild>
                                    <w:div w:id="1497575823">
                                      <w:marLeft w:val="0"/>
                                      <w:marRight w:val="0"/>
                                      <w:marTop w:val="0"/>
                                      <w:marBottom w:val="0"/>
                                      <w:divBdr>
                                        <w:top w:val="single" w:sz="2" w:space="0" w:color="000000"/>
                                        <w:left w:val="single" w:sz="2" w:space="0" w:color="000000"/>
                                        <w:bottom w:val="single" w:sz="2" w:space="0" w:color="000000"/>
                                        <w:right w:val="single" w:sz="2" w:space="0" w:color="000000"/>
                                      </w:divBdr>
                                      <w:divsChild>
                                        <w:div w:id="172844713">
                                          <w:marLeft w:val="0"/>
                                          <w:marRight w:val="0"/>
                                          <w:marTop w:val="0"/>
                                          <w:marBottom w:val="0"/>
                                          <w:divBdr>
                                            <w:top w:val="single" w:sz="2" w:space="0" w:color="000000"/>
                                            <w:left w:val="single" w:sz="2" w:space="0" w:color="000000"/>
                                            <w:bottom w:val="single" w:sz="2" w:space="0" w:color="000000"/>
                                            <w:right w:val="single" w:sz="2" w:space="0" w:color="000000"/>
                                          </w:divBdr>
                                          <w:divsChild>
                                            <w:div w:id="145826655">
                                              <w:marLeft w:val="0"/>
                                              <w:marRight w:val="0"/>
                                              <w:marTop w:val="0"/>
                                              <w:marBottom w:val="0"/>
                                              <w:divBdr>
                                                <w:top w:val="single" w:sz="2" w:space="0" w:color="000000"/>
                                                <w:left w:val="single" w:sz="2" w:space="0" w:color="000000"/>
                                                <w:bottom w:val="single" w:sz="2" w:space="0" w:color="000000"/>
                                                <w:right w:val="single" w:sz="2" w:space="0" w:color="000000"/>
                                              </w:divBdr>
                                              <w:divsChild>
                                                <w:div w:id="1208638256">
                                                  <w:marLeft w:val="0"/>
                                                  <w:marRight w:val="0"/>
                                                  <w:marTop w:val="0"/>
                                                  <w:marBottom w:val="0"/>
                                                  <w:divBdr>
                                                    <w:top w:val="single" w:sz="2" w:space="0" w:color="000000"/>
                                                    <w:left w:val="single" w:sz="2" w:space="8" w:color="000000"/>
                                                    <w:bottom w:val="single" w:sz="2" w:space="0" w:color="000000"/>
                                                    <w:right w:val="single" w:sz="2" w:space="8" w:color="000000"/>
                                                  </w:divBdr>
                                                  <w:divsChild>
                                                    <w:div w:id="1928464049">
                                                      <w:marLeft w:val="0"/>
                                                      <w:marRight w:val="0"/>
                                                      <w:marTop w:val="0"/>
                                                      <w:marBottom w:val="0"/>
                                                      <w:divBdr>
                                                        <w:top w:val="single" w:sz="2" w:space="0" w:color="000000"/>
                                                        <w:left w:val="single" w:sz="2" w:space="0" w:color="000000"/>
                                                        <w:bottom w:val="single" w:sz="2" w:space="0" w:color="000000"/>
                                                        <w:right w:val="single" w:sz="2" w:space="0" w:color="000000"/>
                                                      </w:divBdr>
                                                    </w:div>
                                                  </w:divsChild>
                                                </w:div>
                                                <w:div w:id="804856711">
                                                  <w:marLeft w:val="0"/>
                                                  <w:marRight w:val="0"/>
                                                  <w:marTop w:val="0"/>
                                                  <w:marBottom w:val="0"/>
                                                  <w:divBdr>
                                                    <w:top w:val="single" w:sz="2" w:space="0" w:color="000000"/>
                                                    <w:left w:val="single" w:sz="2" w:space="8" w:color="000000"/>
                                                    <w:bottom w:val="single" w:sz="2" w:space="0" w:color="000000"/>
                                                    <w:right w:val="single" w:sz="2" w:space="0" w:color="000000"/>
                                                  </w:divBdr>
                                                  <w:divsChild>
                                                    <w:div w:id="1904020702">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sChild>
                                        </w:div>
                                        <w:div w:id="2102988206">
                                          <w:marLeft w:val="0"/>
                                          <w:marRight w:val="0"/>
                                          <w:marTop w:val="75"/>
                                          <w:marBottom w:val="0"/>
                                          <w:divBdr>
                                            <w:top w:val="single" w:sz="2" w:space="0" w:color="000000"/>
                                            <w:left w:val="single" w:sz="2" w:space="0" w:color="000000"/>
                                            <w:bottom w:val="single" w:sz="2" w:space="0" w:color="000000"/>
                                            <w:right w:val="single" w:sz="2" w:space="0" w:color="000000"/>
                                          </w:divBdr>
                                          <w:divsChild>
                                            <w:div w:id="1491291521">
                                              <w:marLeft w:val="0"/>
                                              <w:marRight w:val="0"/>
                                              <w:marTop w:val="0"/>
                                              <w:marBottom w:val="0"/>
                                              <w:divBdr>
                                                <w:top w:val="single" w:sz="2" w:space="0" w:color="000000"/>
                                                <w:left w:val="single" w:sz="2" w:space="0" w:color="000000"/>
                                                <w:bottom w:val="single" w:sz="2" w:space="0" w:color="000000"/>
                                                <w:right w:val="single" w:sz="2" w:space="0" w:color="000000"/>
                                              </w:divBdr>
                                              <w:divsChild>
                                                <w:div w:id="354237189">
                                                  <w:marLeft w:val="0"/>
                                                  <w:marRight w:val="0"/>
                                                  <w:marTop w:val="0"/>
                                                  <w:marBottom w:val="0"/>
                                                  <w:divBdr>
                                                    <w:top w:val="single" w:sz="2" w:space="0" w:color="000000"/>
                                                    <w:left w:val="single" w:sz="2" w:space="8" w:color="000000"/>
                                                    <w:bottom w:val="single" w:sz="2" w:space="0" w:color="000000"/>
                                                    <w:right w:val="single" w:sz="2" w:space="8" w:color="000000"/>
                                                  </w:divBdr>
                                                  <w:divsChild>
                                                    <w:div w:id="101464732">
                                                      <w:marLeft w:val="0"/>
                                                      <w:marRight w:val="0"/>
                                                      <w:marTop w:val="0"/>
                                                      <w:marBottom w:val="0"/>
                                                      <w:divBdr>
                                                        <w:top w:val="single" w:sz="2" w:space="0" w:color="000000"/>
                                                        <w:left w:val="single" w:sz="2" w:space="0" w:color="000000"/>
                                                        <w:bottom w:val="single" w:sz="2" w:space="0" w:color="000000"/>
                                                        <w:right w:val="single" w:sz="2" w:space="0" w:color="000000"/>
                                                      </w:divBdr>
                                                    </w:div>
                                                  </w:divsChild>
                                                </w:div>
                                                <w:div w:id="1842356615">
                                                  <w:marLeft w:val="0"/>
                                                  <w:marRight w:val="0"/>
                                                  <w:marTop w:val="0"/>
                                                  <w:marBottom w:val="0"/>
                                                  <w:divBdr>
                                                    <w:top w:val="single" w:sz="2" w:space="0" w:color="000000"/>
                                                    <w:left w:val="single" w:sz="2" w:space="8" w:color="000000"/>
                                                    <w:bottom w:val="single" w:sz="2" w:space="0" w:color="000000"/>
                                                    <w:right w:val="single" w:sz="2" w:space="0" w:color="000000"/>
                                                  </w:divBdr>
                                                  <w:divsChild>
                                                    <w:div w:id="1110931951">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sChild>
                                        </w:div>
                                        <w:div w:id="1564566048">
                                          <w:marLeft w:val="0"/>
                                          <w:marRight w:val="0"/>
                                          <w:marTop w:val="75"/>
                                          <w:marBottom w:val="0"/>
                                          <w:divBdr>
                                            <w:top w:val="single" w:sz="2" w:space="0" w:color="000000"/>
                                            <w:left w:val="single" w:sz="2" w:space="0" w:color="000000"/>
                                            <w:bottom w:val="single" w:sz="2" w:space="0" w:color="000000"/>
                                            <w:right w:val="single" w:sz="2" w:space="0" w:color="000000"/>
                                          </w:divBdr>
                                          <w:divsChild>
                                            <w:div w:id="1746099576">
                                              <w:marLeft w:val="0"/>
                                              <w:marRight w:val="0"/>
                                              <w:marTop w:val="0"/>
                                              <w:marBottom w:val="0"/>
                                              <w:divBdr>
                                                <w:top w:val="single" w:sz="2" w:space="0" w:color="000000"/>
                                                <w:left w:val="single" w:sz="2" w:space="0" w:color="000000"/>
                                                <w:bottom w:val="single" w:sz="2" w:space="0" w:color="000000"/>
                                                <w:right w:val="single" w:sz="2" w:space="0" w:color="000000"/>
                                              </w:divBdr>
                                              <w:divsChild>
                                                <w:div w:id="2134010985">
                                                  <w:marLeft w:val="0"/>
                                                  <w:marRight w:val="0"/>
                                                  <w:marTop w:val="0"/>
                                                  <w:marBottom w:val="0"/>
                                                  <w:divBdr>
                                                    <w:top w:val="single" w:sz="2" w:space="0" w:color="000000"/>
                                                    <w:left w:val="single" w:sz="2" w:space="8" w:color="000000"/>
                                                    <w:bottom w:val="single" w:sz="2" w:space="0" w:color="000000"/>
                                                    <w:right w:val="single" w:sz="2" w:space="8" w:color="000000"/>
                                                  </w:divBdr>
                                                  <w:divsChild>
                                                    <w:div w:id="1329213680">
                                                      <w:marLeft w:val="0"/>
                                                      <w:marRight w:val="0"/>
                                                      <w:marTop w:val="0"/>
                                                      <w:marBottom w:val="0"/>
                                                      <w:divBdr>
                                                        <w:top w:val="single" w:sz="2" w:space="0" w:color="000000"/>
                                                        <w:left w:val="single" w:sz="2" w:space="0" w:color="000000"/>
                                                        <w:bottom w:val="single" w:sz="2" w:space="0" w:color="000000"/>
                                                        <w:right w:val="single" w:sz="2" w:space="0" w:color="000000"/>
                                                      </w:divBdr>
                                                    </w:div>
                                                  </w:divsChild>
                                                </w:div>
                                                <w:div w:id="1594777583">
                                                  <w:marLeft w:val="0"/>
                                                  <w:marRight w:val="0"/>
                                                  <w:marTop w:val="0"/>
                                                  <w:marBottom w:val="0"/>
                                                  <w:divBdr>
                                                    <w:top w:val="single" w:sz="2" w:space="0" w:color="000000"/>
                                                    <w:left w:val="single" w:sz="2" w:space="8" w:color="000000"/>
                                                    <w:bottom w:val="single" w:sz="2" w:space="0" w:color="000000"/>
                                                    <w:right w:val="single" w:sz="2" w:space="0" w:color="000000"/>
                                                  </w:divBdr>
                                                  <w:divsChild>
                                                    <w:div w:id="479616446">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sChild>
                                        </w:div>
                                        <w:div w:id="400835978">
                                          <w:marLeft w:val="0"/>
                                          <w:marRight w:val="0"/>
                                          <w:marTop w:val="150"/>
                                          <w:marBottom w:val="0"/>
                                          <w:divBdr>
                                            <w:top w:val="single" w:sz="2" w:space="0" w:color="000000"/>
                                            <w:left w:val="single" w:sz="2" w:space="0" w:color="000000"/>
                                            <w:bottom w:val="single" w:sz="2" w:space="0" w:color="000000"/>
                                            <w:right w:val="single" w:sz="2" w:space="0" w:color="000000"/>
                                          </w:divBdr>
                                          <w:divsChild>
                                            <w:div w:id="427583115">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sChild>
                                </w:div>
                              </w:divsChild>
                            </w:div>
                          </w:divsChild>
                        </w:div>
                      </w:divsChild>
                    </w:div>
                  </w:divsChild>
                </w:div>
              </w:divsChild>
            </w:div>
          </w:divsChild>
        </w:div>
      </w:divsChild>
    </w:div>
    <w:div w:id="998969751">
      <w:bodyDiv w:val="1"/>
      <w:marLeft w:val="0"/>
      <w:marRight w:val="0"/>
      <w:marTop w:val="0"/>
      <w:marBottom w:val="0"/>
      <w:divBdr>
        <w:top w:val="none" w:sz="0" w:space="0" w:color="auto"/>
        <w:left w:val="none" w:sz="0" w:space="0" w:color="auto"/>
        <w:bottom w:val="none" w:sz="0" w:space="0" w:color="auto"/>
        <w:right w:val="none" w:sz="0" w:space="0" w:color="auto"/>
      </w:divBdr>
    </w:div>
    <w:div w:id="1002588299">
      <w:bodyDiv w:val="1"/>
      <w:marLeft w:val="0"/>
      <w:marRight w:val="0"/>
      <w:marTop w:val="0"/>
      <w:marBottom w:val="0"/>
      <w:divBdr>
        <w:top w:val="none" w:sz="0" w:space="0" w:color="auto"/>
        <w:left w:val="none" w:sz="0" w:space="0" w:color="auto"/>
        <w:bottom w:val="none" w:sz="0" w:space="0" w:color="auto"/>
        <w:right w:val="none" w:sz="0" w:space="0" w:color="auto"/>
      </w:divBdr>
    </w:div>
    <w:div w:id="1005596062">
      <w:bodyDiv w:val="1"/>
      <w:marLeft w:val="0"/>
      <w:marRight w:val="0"/>
      <w:marTop w:val="0"/>
      <w:marBottom w:val="0"/>
      <w:divBdr>
        <w:top w:val="none" w:sz="0" w:space="0" w:color="auto"/>
        <w:left w:val="none" w:sz="0" w:space="0" w:color="auto"/>
        <w:bottom w:val="none" w:sz="0" w:space="0" w:color="auto"/>
        <w:right w:val="none" w:sz="0" w:space="0" w:color="auto"/>
      </w:divBdr>
    </w:div>
    <w:div w:id="1007630827">
      <w:bodyDiv w:val="1"/>
      <w:marLeft w:val="0"/>
      <w:marRight w:val="0"/>
      <w:marTop w:val="0"/>
      <w:marBottom w:val="0"/>
      <w:divBdr>
        <w:top w:val="none" w:sz="0" w:space="0" w:color="auto"/>
        <w:left w:val="none" w:sz="0" w:space="0" w:color="auto"/>
        <w:bottom w:val="none" w:sz="0" w:space="0" w:color="auto"/>
        <w:right w:val="none" w:sz="0" w:space="0" w:color="auto"/>
      </w:divBdr>
    </w:div>
    <w:div w:id="1011301086">
      <w:bodyDiv w:val="1"/>
      <w:marLeft w:val="0"/>
      <w:marRight w:val="0"/>
      <w:marTop w:val="0"/>
      <w:marBottom w:val="0"/>
      <w:divBdr>
        <w:top w:val="none" w:sz="0" w:space="0" w:color="auto"/>
        <w:left w:val="none" w:sz="0" w:space="0" w:color="auto"/>
        <w:bottom w:val="none" w:sz="0" w:space="0" w:color="auto"/>
        <w:right w:val="none" w:sz="0" w:space="0" w:color="auto"/>
      </w:divBdr>
    </w:div>
    <w:div w:id="1014117436">
      <w:bodyDiv w:val="1"/>
      <w:marLeft w:val="0"/>
      <w:marRight w:val="0"/>
      <w:marTop w:val="0"/>
      <w:marBottom w:val="0"/>
      <w:divBdr>
        <w:top w:val="none" w:sz="0" w:space="0" w:color="auto"/>
        <w:left w:val="none" w:sz="0" w:space="0" w:color="auto"/>
        <w:bottom w:val="none" w:sz="0" w:space="0" w:color="auto"/>
        <w:right w:val="none" w:sz="0" w:space="0" w:color="auto"/>
      </w:divBdr>
    </w:div>
    <w:div w:id="1020621603">
      <w:bodyDiv w:val="1"/>
      <w:marLeft w:val="0"/>
      <w:marRight w:val="0"/>
      <w:marTop w:val="0"/>
      <w:marBottom w:val="0"/>
      <w:divBdr>
        <w:top w:val="none" w:sz="0" w:space="0" w:color="auto"/>
        <w:left w:val="none" w:sz="0" w:space="0" w:color="auto"/>
        <w:bottom w:val="none" w:sz="0" w:space="0" w:color="auto"/>
        <w:right w:val="none" w:sz="0" w:space="0" w:color="auto"/>
      </w:divBdr>
    </w:div>
    <w:div w:id="1034380407">
      <w:bodyDiv w:val="1"/>
      <w:marLeft w:val="0"/>
      <w:marRight w:val="0"/>
      <w:marTop w:val="0"/>
      <w:marBottom w:val="0"/>
      <w:divBdr>
        <w:top w:val="none" w:sz="0" w:space="0" w:color="auto"/>
        <w:left w:val="none" w:sz="0" w:space="0" w:color="auto"/>
        <w:bottom w:val="none" w:sz="0" w:space="0" w:color="auto"/>
        <w:right w:val="none" w:sz="0" w:space="0" w:color="auto"/>
      </w:divBdr>
    </w:div>
    <w:div w:id="1048455468">
      <w:bodyDiv w:val="1"/>
      <w:marLeft w:val="0"/>
      <w:marRight w:val="0"/>
      <w:marTop w:val="0"/>
      <w:marBottom w:val="0"/>
      <w:divBdr>
        <w:top w:val="none" w:sz="0" w:space="0" w:color="auto"/>
        <w:left w:val="none" w:sz="0" w:space="0" w:color="auto"/>
        <w:bottom w:val="none" w:sz="0" w:space="0" w:color="auto"/>
        <w:right w:val="none" w:sz="0" w:space="0" w:color="auto"/>
      </w:divBdr>
    </w:div>
    <w:div w:id="1063288314">
      <w:bodyDiv w:val="1"/>
      <w:marLeft w:val="0"/>
      <w:marRight w:val="0"/>
      <w:marTop w:val="0"/>
      <w:marBottom w:val="0"/>
      <w:divBdr>
        <w:top w:val="none" w:sz="0" w:space="0" w:color="auto"/>
        <w:left w:val="none" w:sz="0" w:space="0" w:color="auto"/>
        <w:bottom w:val="none" w:sz="0" w:space="0" w:color="auto"/>
        <w:right w:val="none" w:sz="0" w:space="0" w:color="auto"/>
      </w:divBdr>
    </w:div>
    <w:div w:id="1065756110">
      <w:bodyDiv w:val="1"/>
      <w:marLeft w:val="0"/>
      <w:marRight w:val="0"/>
      <w:marTop w:val="0"/>
      <w:marBottom w:val="0"/>
      <w:divBdr>
        <w:top w:val="none" w:sz="0" w:space="0" w:color="auto"/>
        <w:left w:val="none" w:sz="0" w:space="0" w:color="auto"/>
        <w:bottom w:val="none" w:sz="0" w:space="0" w:color="auto"/>
        <w:right w:val="none" w:sz="0" w:space="0" w:color="auto"/>
      </w:divBdr>
    </w:div>
    <w:div w:id="1066416294">
      <w:bodyDiv w:val="1"/>
      <w:marLeft w:val="0"/>
      <w:marRight w:val="0"/>
      <w:marTop w:val="0"/>
      <w:marBottom w:val="0"/>
      <w:divBdr>
        <w:top w:val="none" w:sz="0" w:space="0" w:color="auto"/>
        <w:left w:val="none" w:sz="0" w:space="0" w:color="auto"/>
        <w:bottom w:val="none" w:sz="0" w:space="0" w:color="auto"/>
        <w:right w:val="none" w:sz="0" w:space="0" w:color="auto"/>
      </w:divBdr>
    </w:div>
    <w:div w:id="1074622778">
      <w:bodyDiv w:val="1"/>
      <w:marLeft w:val="0"/>
      <w:marRight w:val="0"/>
      <w:marTop w:val="0"/>
      <w:marBottom w:val="0"/>
      <w:divBdr>
        <w:top w:val="none" w:sz="0" w:space="0" w:color="auto"/>
        <w:left w:val="none" w:sz="0" w:space="0" w:color="auto"/>
        <w:bottom w:val="none" w:sz="0" w:space="0" w:color="auto"/>
        <w:right w:val="none" w:sz="0" w:space="0" w:color="auto"/>
      </w:divBdr>
    </w:div>
    <w:div w:id="1090395961">
      <w:bodyDiv w:val="1"/>
      <w:marLeft w:val="0"/>
      <w:marRight w:val="0"/>
      <w:marTop w:val="0"/>
      <w:marBottom w:val="0"/>
      <w:divBdr>
        <w:top w:val="none" w:sz="0" w:space="0" w:color="auto"/>
        <w:left w:val="none" w:sz="0" w:space="0" w:color="auto"/>
        <w:bottom w:val="none" w:sz="0" w:space="0" w:color="auto"/>
        <w:right w:val="none" w:sz="0" w:space="0" w:color="auto"/>
      </w:divBdr>
    </w:div>
    <w:div w:id="1093933032">
      <w:bodyDiv w:val="1"/>
      <w:marLeft w:val="0"/>
      <w:marRight w:val="0"/>
      <w:marTop w:val="0"/>
      <w:marBottom w:val="0"/>
      <w:divBdr>
        <w:top w:val="none" w:sz="0" w:space="0" w:color="auto"/>
        <w:left w:val="none" w:sz="0" w:space="0" w:color="auto"/>
        <w:bottom w:val="none" w:sz="0" w:space="0" w:color="auto"/>
        <w:right w:val="none" w:sz="0" w:space="0" w:color="auto"/>
      </w:divBdr>
    </w:div>
    <w:div w:id="1094859030">
      <w:bodyDiv w:val="1"/>
      <w:marLeft w:val="0"/>
      <w:marRight w:val="0"/>
      <w:marTop w:val="0"/>
      <w:marBottom w:val="0"/>
      <w:divBdr>
        <w:top w:val="none" w:sz="0" w:space="0" w:color="auto"/>
        <w:left w:val="none" w:sz="0" w:space="0" w:color="auto"/>
        <w:bottom w:val="none" w:sz="0" w:space="0" w:color="auto"/>
        <w:right w:val="none" w:sz="0" w:space="0" w:color="auto"/>
      </w:divBdr>
    </w:div>
    <w:div w:id="1135484086">
      <w:bodyDiv w:val="1"/>
      <w:marLeft w:val="0"/>
      <w:marRight w:val="0"/>
      <w:marTop w:val="0"/>
      <w:marBottom w:val="0"/>
      <w:divBdr>
        <w:top w:val="none" w:sz="0" w:space="0" w:color="auto"/>
        <w:left w:val="none" w:sz="0" w:space="0" w:color="auto"/>
        <w:bottom w:val="none" w:sz="0" w:space="0" w:color="auto"/>
        <w:right w:val="none" w:sz="0" w:space="0" w:color="auto"/>
      </w:divBdr>
    </w:div>
    <w:div w:id="1142767651">
      <w:bodyDiv w:val="1"/>
      <w:marLeft w:val="0"/>
      <w:marRight w:val="0"/>
      <w:marTop w:val="0"/>
      <w:marBottom w:val="0"/>
      <w:divBdr>
        <w:top w:val="none" w:sz="0" w:space="0" w:color="auto"/>
        <w:left w:val="none" w:sz="0" w:space="0" w:color="auto"/>
        <w:bottom w:val="none" w:sz="0" w:space="0" w:color="auto"/>
        <w:right w:val="none" w:sz="0" w:space="0" w:color="auto"/>
      </w:divBdr>
    </w:div>
    <w:div w:id="1149251152">
      <w:bodyDiv w:val="1"/>
      <w:marLeft w:val="0"/>
      <w:marRight w:val="0"/>
      <w:marTop w:val="0"/>
      <w:marBottom w:val="0"/>
      <w:divBdr>
        <w:top w:val="none" w:sz="0" w:space="0" w:color="auto"/>
        <w:left w:val="none" w:sz="0" w:space="0" w:color="auto"/>
        <w:bottom w:val="none" w:sz="0" w:space="0" w:color="auto"/>
        <w:right w:val="none" w:sz="0" w:space="0" w:color="auto"/>
      </w:divBdr>
    </w:div>
    <w:div w:id="1154027908">
      <w:bodyDiv w:val="1"/>
      <w:marLeft w:val="0"/>
      <w:marRight w:val="0"/>
      <w:marTop w:val="0"/>
      <w:marBottom w:val="0"/>
      <w:divBdr>
        <w:top w:val="none" w:sz="0" w:space="0" w:color="auto"/>
        <w:left w:val="none" w:sz="0" w:space="0" w:color="auto"/>
        <w:bottom w:val="none" w:sz="0" w:space="0" w:color="auto"/>
        <w:right w:val="none" w:sz="0" w:space="0" w:color="auto"/>
      </w:divBdr>
    </w:div>
    <w:div w:id="1166476524">
      <w:bodyDiv w:val="1"/>
      <w:marLeft w:val="0"/>
      <w:marRight w:val="0"/>
      <w:marTop w:val="0"/>
      <w:marBottom w:val="0"/>
      <w:divBdr>
        <w:top w:val="none" w:sz="0" w:space="0" w:color="auto"/>
        <w:left w:val="none" w:sz="0" w:space="0" w:color="auto"/>
        <w:bottom w:val="none" w:sz="0" w:space="0" w:color="auto"/>
        <w:right w:val="none" w:sz="0" w:space="0" w:color="auto"/>
      </w:divBdr>
    </w:div>
    <w:div w:id="1174028343">
      <w:bodyDiv w:val="1"/>
      <w:marLeft w:val="0"/>
      <w:marRight w:val="0"/>
      <w:marTop w:val="0"/>
      <w:marBottom w:val="0"/>
      <w:divBdr>
        <w:top w:val="none" w:sz="0" w:space="0" w:color="auto"/>
        <w:left w:val="none" w:sz="0" w:space="0" w:color="auto"/>
        <w:bottom w:val="none" w:sz="0" w:space="0" w:color="auto"/>
        <w:right w:val="none" w:sz="0" w:space="0" w:color="auto"/>
      </w:divBdr>
    </w:div>
    <w:div w:id="1178081212">
      <w:bodyDiv w:val="1"/>
      <w:marLeft w:val="0"/>
      <w:marRight w:val="0"/>
      <w:marTop w:val="0"/>
      <w:marBottom w:val="0"/>
      <w:divBdr>
        <w:top w:val="none" w:sz="0" w:space="0" w:color="auto"/>
        <w:left w:val="none" w:sz="0" w:space="0" w:color="auto"/>
        <w:bottom w:val="none" w:sz="0" w:space="0" w:color="auto"/>
        <w:right w:val="none" w:sz="0" w:space="0" w:color="auto"/>
      </w:divBdr>
      <w:divsChild>
        <w:div w:id="810363461">
          <w:marLeft w:val="360"/>
          <w:marRight w:val="0"/>
          <w:marTop w:val="200"/>
          <w:marBottom w:val="0"/>
          <w:divBdr>
            <w:top w:val="none" w:sz="0" w:space="0" w:color="auto"/>
            <w:left w:val="none" w:sz="0" w:space="0" w:color="auto"/>
            <w:bottom w:val="none" w:sz="0" w:space="0" w:color="auto"/>
            <w:right w:val="none" w:sz="0" w:space="0" w:color="auto"/>
          </w:divBdr>
        </w:div>
        <w:div w:id="597561776">
          <w:marLeft w:val="360"/>
          <w:marRight w:val="0"/>
          <w:marTop w:val="200"/>
          <w:marBottom w:val="0"/>
          <w:divBdr>
            <w:top w:val="none" w:sz="0" w:space="0" w:color="auto"/>
            <w:left w:val="none" w:sz="0" w:space="0" w:color="auto"/>
            <w:bottom w:val="none" w:sz="0" w:space="0" w:color="auto"/>
            <w:right w:val="none" w:sz="0" w:space="0" w:color="auto"/>
          </w:divBdr>
        </w:div>
        <w:div w:id="1840803065">
          <w:marLeft w:val="360"/>
          <w:marRight w:val="0"/>
          <w:marTop w:val="200"/>
          <w:marBottom w:val="0"/>
          <w:divBdr>
            <w:top w:val="none" w:sz="0" w:space="0" w:color="auto"/>
            <w:left w:val="none" w:sz="0" w:space="0" w:color="auto"/>
            <w:bottom w:val="none" w:sz="0" w:space="0" w:color="auto"/>
            <w:right w:val="none" w:sz="0" w:space="0" w:color="auto"/>
          </w:divBdr>
        </w:div>
      </w:divsChild>
    </w:div>
    <w:div w:id="1184320010">
      <w:bodyDiv w:val="1"/>
      <w:marLeft w:val="0"/>
      <w:marRight w:val="0"/>
      <w:marTop w:val="0"/>
      <w:marBottom w:val="0"/>
      <w:divBdr>
        <w:top w:val="none" w:sz="0" w:space="0" w:color="auto"/>
        <w:left w:val="none" w:sz="0" w:space="0" w:color="auto"/>
        <w:bottom w:val="none" w:sz="0" w:space="0" w:color="auto"/>
        <w:right w:val="none" w:sz="0" w:space="0" w:color="auto"/>
      </w:divBdr>
    </w:div>
    <w:div w:id="1200315711">
      <w:bodyDiv w:val="1"/>
      <w:marLeft w:val="0"/>
      <w:marRight w:val="0"/>
      <w:marTop w:val="0"/>
      <w:marBottom w:val="0"/>
      <w:divBdr>
        <w:top w:val="none" w:sz="0" w:space="0" w:color="auto"/>
        <w:left w:val="none" w:sz="0" w:space="0" w:color="auto"/>
        <w:bottom w:val="none" w:sz="0" w:space="0" w:color="auto"/>
        <w:right w:val="none" w:sz="0" w:space="0" w:color="auto"/>
      </w:divBdr>
    </w:div>
    <w:div w:id="1200707317">
      <w:bodyDiv w:val="1"/>
      <w:marLeft w:val="0"/>
      <w:marRight w:val="0"/>
      <w:marTop w:val="0"/>
      <w:marBottom w:val="0"/>
      <w:divBdr>
        <w:top w:val="none" w:sz="0" w:space="0" w:color="auto"/>
        <w:left w:val="none" w:sz="0" w:space="0" w:color="auto"/>
        <w:bottom w:val="none" w:sz="0" w:space="0" w:color="auto"/>
        <w:right w:val="none" w:sz="0" w:space="0" w:color="auto"/>
      </w:divBdr>
    </w:div>
    <w:div w:id="1208109095">
      <w:bodyDiv w:val="1"/>
      <w:marLeft w:val="0"/>
      <w:marRight w:val="0"/>
      <w:marTop w:val="0"/>
      <w:marBottom w:val="0"/>
      <w:divBdr>
        <w:top w:val="none" w:sz="0" w:space="0" w:color="auto"/>
        <w:left w:val="none" w:sz="0" w:space="0" w:color="auto"/>
        <w:bottom w:val="none" w:sz="0" w:space="0" w:color="auto"/>
        <w:right w:val="none" w:sz="0" w:space="0" w:color="auto"/>
      </w:divBdr>
    </w:div>
    <w:div w:id="1209335892">
      <w:bodyDiv w:val="1"/>
      <w:marLeft w:val="0"/>
      <w:marRight w:val="0"/>
      <w:marTop w:val="0"/>
      <w:marBottom w:val="0"/>
      <w:divBdr>
        <w:top w:val="none" w:sz="0" w:space="0" w:color="auto"/>
        <w:left w:val="none" w:sz="0" w:space="0" w:color="auto"/>
        <w:bottom w:val="none" w:sz="0" w:space="0" w:color="auto"/>
        <w:right w:val="none" w:sz="0" w:space="0" w:color="auto"/>
      </w:divBdr>
    </w:div>
    <w:div w:id="1215972820">
      <w:bodyDiv w:val="1"/>
      <w:marLeft w:val="0"/>
      <w:marRight w:val="0"/>
      <w:marTop w:val="0"/>
      <w:marBottom w:val="0"/>
      <w:divBdr>
        <w:top w:val="none" w:sz="0" w:space="0" w:color="auto"/>
        <w:left w:val="none" w:sz="0" w:space="0" w:color="auto"/>
        <w:bottom w:val="none" w:sz="0" w:space="0" w:color="auto"/>
        <w:right w:val="none" w:sz="0" w:space="0" w:color="auto"/>
      </w:divBdr>
    </w:div>
    <w:div w:id="1233589226">
      <w:bodyDiv w:val="1"/>
      <w:marLeft w:val="0"/>
      <w:marRight w:val="0"/>
      <w:marTop w:val="0"/>
      <w:marBottom w:val="0"/>
      <w:divBdr>
        <w:top w:val="none" w:sz="0" w:space="0" w:color="auto"/>
        <w:left w:val="none" w:sz="0" w:space="0" w:color="auto"/>
        <w:bottom w:val="none" w:sz="0" w:space="0" w:color="auto"/>
        <w:right w:val="none" w:sz="0" w:space="0" w:color="auto"/>
      </w:divBdr>
    </w:div>
    <w:div w:id="1234389943">
      <w:bodyDiv w:val="1"/>
      <w:marLeft w:val="0"/>
      <w:marRight w:val="0"/>
      <w:marTop w:val="0"/>
      <w:marBottom w:val="0"/>
      <w:divBdr>
        <w:top w:val="none" w:sz="0" w:space="0" w:color="auto"/>
        <w:left w:val="none" w:sz="0" w:space="0" w:color="auto"/>
        <w:bottom w:val="none" w:sz="0" w:space="0" w:color="auto"/>
        <w:right w:val="none" w:sz="0" w:space="0" w:color="auto"/>
      </w:divBdr>
      <w:divsChild>
        <w:div w:id="991954521">
          <w:marLeft w:val="360"/>
          <w:marRight w:val="0"/>
          <w:marTop w:val="200"/>
          <w:marBottom w:val="0"/>
          <w:divBdr>
            <w:top w:val="none" w:sz="0" w:space="0" w:color="auto"/>
            <w:left w:val="none" w:sz="0" w:space="0" w:color="auto"/>
            <w:bottom w:val="none" w:sz="0" w:space="0" w:color="auto"/>
            <w:right w:val="none" w:sz="0" w:space="0" w:color="auto"/>
          </w:divBdr>
        </w:div>
        <w:div w:id="2089380503">
          <w:marLeft w:val="360"/>
          <w:marRight w:val="0"/>
          <w:marTop w:val="200"/>
          <w:marBottom w:val="0"/>
          <w:divBdr>
            <w:top w:val="none" w:sz="0" w:space="0" w:color="auto"/>
            <w:left w:val="none" w:sz="0" w:space="0" w:color="auto"/>
            <w:bottom w:val="none" w:sz="0" w:space="0" w:color="auto"/>
            <w:right w:val="none" w:sz="0" w:space="0" w:color="auto"/>
          </w:divBdr>
        </w:div>
        <w:div w:id="16002883">
          <w:marLeft w:val="360"/>
          <w:marRight w:val="0"/>
          <w:marTop w:val="200"/>
          <w:marBottom w:val="0"/>
          <w:divBdr>
            <w:top w:val="none" w:sz="0" w:space="0" w:color="auto"/>
            <w:left w:val="none" w:sz="0" w:space="0" w:color="auto"/>
            <w:bottom w:val="none" w:sz="0" w:space="0" w:color="auto"/>
            <w:right w:val="none" w:sz="0" w:space="0" w:color="auto"/>
          </w:divBdr>
        </w:div>
        <w:div w:id="1818842063">
          <w:marLeft w:val="360"/>
          <w:marRight w:val="0"/>
          <w:marTop w:val="200"/>
          <w:marBottom w:val="0"/>
          <w:divBdr>
            <w:top w:val="none" w:sz="0" w:space="0" w:color="auto"/>
            <w:left w:val="none" w:sz="0" w:space="0" w:color="auto"/>
            <w:bottom w:val="none" w:sz="0" w:space="0" w:color="auto"/>
            <w:right w:val="none" w:sz="0" w:space="0" w:color="auto"/>
          </w:divBdr>
        </w:div>
      </w:divsChild>
    </w:div>
    <w:div w:id="1246841300">
      <w:bodyDiv w:val="1"/>
      <w:marLeft w:val="0"/>
      <w:marRight w:val="0"/>
      <w:marTop w:val="0"/>
      <w:marBottom w:val="0"/>
      <w:divBdr>
        <w:top w:val="none" w:sz="0" w:space="0" w:color="auto"/>
        <w:left w:val="none" w:sz="0" w:space="0" w:color="auto"/>
        <w:bottom w:val="none" w:sz="0" w:space="0" w:color="auto"/>
        <w:right w:val="none" w:sz="0" w:space="0" w:color="auto"/>
      </w:divBdr>
    </w:div>
    <w:div w:id="1251349081">
      <w:bodyDiv w:val="1"/>
      <w:marLeft w:val="0"/>
      <w:marRight w:val="0"/>
      <w:marTop w:val="0"/>
      <w:marBottom w:val="0"/>
      <w:divBdr>
        <w:top w:val="none" w:sz="0" w:space="0" w:color="auto"/>
        <w:left w:val="none" w:sz="0" w:space="0" w:color="auto"/>
        <w:bottom w:val="none" w:sz="0" w:space="0" w:color="auto"/>
        <w:right w:val="none" w:sz="0" w:space="0" w:color="auto"/>
      </w:divBdr>
    </w:div>
    <w:div w:id="1253078867">
      <w:bodyDiv w:val="1"/>
      <w:marLeft w:val="0"/>
      <w:marRight w:val="0"/>
      <w:marTop w:val="0"/>
      <w:marBottom w:val="0"/>
      <w:divBdr>
        <w:top w:val="none" w:sz="0" w:space="0" w:color="auto"/>
        <w:left w:val="none" w:sz="0" w:space="0" w:color="auto"/>
        <w:bottom w:val="none" w:sz="0" w:space="0" w:color="auto"/>
        <w:right w:val="none" w:sz="0" w:space="0" w:color="auto"/>
      </w:divBdr>
    </w:div>
    <w:div w:id="1268585387">
      <w:bodyDiv w:val="1"/>
      <w:marLeft w:val="0"/>
      <w:marRight w:val="0"/>
      <w:marTop w:val="0"/>
      <w:marBottom w:val="0"/>
      <w:divBdr>
        <w:top w:val="none" w:sz="0" w:space="0" w:color="auto"/>
        <w:left w:val="none" w:sz="0" w:space="0" w:color="auto"/>
        <w:bottom w:val="none" w:sz="0" w:space="0" w:color="auto"/>
        <w:right w:val="none" w:sz="0" w:space="0" w:color="auto"/>
      </w:divBdr>
    </w:div>
    <w:div w:id="1283875638">
      <w:bodyDiv w:val="1"/>
      <w:marLeft w:val="0"/>
      <w:marRight w:val="0"/>
      <w:marTop w:val="0"/>
      <w:marBottom w:val="0"/>
      <w:divBdr>
        <w:top w:val="none" w:sz="0" w:space="0" w:color="auto"/>
        <w:left w:val="none" w:sz="0" w:space="0" w:color="auto"/>
        <w:bottom w:val="none" w:sz="0" w:space="0" w:color="auto"/>
        <w:right w:val="none" w:sz="0" w:space="0" w:color="auto"/>
      </w:divBdr>
    </w:div>
    <w:div w:id="1285237181">
      <w:bodyDiv w:val="1"/>
      <w:marLeft w:val="0"/>
      <w:marRight w:val="0"/>
      <w:marTop w:val="0"/>
      <w:marBottom w:val="0"/>
      <w:divBdr>
        <w:top w:val="none" w:sz="0" w:space="0" w:color="auto"/>
        <w:left w:val="none" w:sz="0" w:space="0" w:color="auto"/>
        <w:bottom w:val="none" w:sz="0" w:space="0" w:color="auto"/>
        <w:right w:val="none" w:sz="0" w:space="0" w:color="auto"/>
      </w:divBdr>
    </w:div>
    <w:div w:id="1324624702">
      <w:bodyDiv w:val="1"/>
      <w:marLeft w:val="0"/>
      <w:marRight w:val="0"/>
      <w:marTop w:val="0"/>
      <w:marBottom w:val="0"/>
      <w:divBdr>
        <w:top w:val="none" w:sz="0" w:space="0" w:color="auto"/>
        <w:left w:val="none" w:sz="0" w:space="0" w:color="auto"/>
        <w:bottom w:val="none" w:sz="0" w:space="0" w:color="auto"/>
        <w:right w:val="none" w:sz="0" w:space="0" w:color="auto"/>
      </w:divBdr>
    </w:div>
    <w:div w:id="1366446254">
      <w:bodyDiv w:val="1"/>
      <w:marLeft w:val="0"/>
      <w:marRight w:val="0"/>
      <w:marTop w:val="0"/>
      <w:marBottom w:val="0"/>
      <w:divBdr>
        <w:top w:val="none" w:sz="0" w:space="0" w:color="auto"/>
        <w:left w:val="none" w:sz="0" w:space="0" w:color="auto"/>
        <w:bottom w:val="none" w:sz="0" w:space="0" w:color="auto"/>
        <w:right w:val="none" w:sz="0" w:space="0" w:color="auto"/>
      </w:divBdr>
    </w:div>
    <w:div w:id="1368138656">
      <w:bodyDiv w:val="1"/>
      <w:marLeft w:val="0"/>
      <w:marRight w:val="0"/>
      <w:marTop w:val="0"/>
      <w:marBottom w:val="0"/>
      <w:divBdr>
        <w:top w:val="none" w:sz="0" w:space="0" w:color="auto"/>
        <w:left w:val="none" w:sz="0" w:space="0" w:color="auto"/>
        <w:bottom w:val="none" w:sz="0" w:space="0" w:color="auto"/>
        <w:right w:val="none" w:sz="0" w:space="0" w:color="auto"/>
      </w:divBdr>
    </w:div>
    <w:div w:id="1373380894">
      <w:bodyDiv w:val="1"/>
      <w:marLeft w:val="0"/>
      <w:marRight w:val="0"/>
      <w:marTop w:val="0"/>
      <w:marBottom w:val="0"/>
      <w:divBdr>
        <w:top w:val="none" w:sz="0" w:space="0" w:color="auto"/>
        <w:left w:val="none" w:sz="0" w:space="0" w:color="auto"/>
        <w:bottom w:val="none" w:sz="0" w:space="0" w:color="auto"/>
        <w:right w:val="none" w:sz="0" w:space="0" w:color="auto"/>
      </w:divBdr>
    </w:div>
    <w:div w:id="1399672845">
      <w:bodyDiv w:val="1"/>
      <w:marLeft w:val="0"/>
      <w:marRight w:val="0"/>
      <w:marTop w:val="0"/>
      <w:marBottom w:val="0"/>
      <w:divBdr>
        <w:top w:val="none" w:sz="0" w:space="0" w:color="auto"/>
        <w:left w:val="none" w:sz="0" w:space="0" w:color="auto"/>
        <w:bottom w:val="none" w:sz="0" w:space="0" w:color="auto"/>
        <w:right w:val="none" w:sz="0" w:space="0" w:color="auto"/>
      </w:divBdr>
    </w:div>
    <w:div w:id="1402143847">
      <w:bodyDiv w:val="1"/>
      <w:marLeft w:val="0"/>
      <w:marRight w:val="0"/>
      <w:marTop w:val="0"/>
      <w:marBottom w:val="0"/>
      <w:divBdr>
        <w:top w:val="none" w:sz="0" w:space="0" w:color="auto"/>
        <w:left w:val="none" w:sz="0" w:space="0" w:color="auto"/>
        <w:bottom w:val="none" w:sz="0" w:space="0" w:color="auto"/>
        <w:right w:val="none" w:sz="0" w:space="0" w:color="auto"/>
      </w:divBdr>
    </w:div>
    <w:div w:id="1411075325">
      <w:bodyDiv w:val="1"/>
      <w:marLeft w:val="0"/>
      <w:marRight w:val="0"/>
      <w:marTop w:val="0"/>
      <w:marBottom w:val="0"/>
      <w:divBdr>
        <w:top w:val="none" w:sz="0" w:space="0" w:color="auto"/>
        <w:left w:val="none" w:sz="0" w:space="0" w:color="auto"/>
        <w:bottom w:val="none" w:sz="0" w:space="0" w:color="auto"/>
        <w:right w:val="none" w:sz="0" w:space="0" w:color="auto"/>
      </w:divBdr>
    </w:div>
    <w:div w:id="1421179395">
      <w:bodyDiv w:val="1"/>
      <w:marLeft w:val="0"/>
      <w:marRight w:val="0"/>
      <w:marTop w:val="0"/>
      <w:marBottom w:val="0"/>
      <w:divBdr>
        <w:top w:val="none" w:sz="0" w:space="0" w:color="auto"/>
        <w:left w:val="none" w:sz="0" w:space="0" w:color="auto"/>
        <w:bottom w:val="none" w:sz="0" w:space="0" w:color="auto"/>
        <w:right w:val="none" w:sz="0" w:space="0" w:color="auto"/>
      </w:divBdr>
    </w:div>
    <w:div w:id="1424909206">
      <w:bodyDiv w:val="1"/>
      <w:marLeft w:val="0"/>
      <w:marRight w:val="0"/>
      <w:marTop w:val="0"/>
      <w:marBottom w:val="0"/>
      <w:divBdr>
        <w:top w:val="none" w:sz="0" w:space="0" w:color="auto"/>
        <w:left w:val="none" w:sz="0" w:space="0" w:color="auto"/>
        <w:bottom w:val="none" w:sz="0" w:space="0" w:color="auto"/>
        <w:right w:val="none" w:sz="0" w:space="0" w:color="auto"/>
      </w:divBdr>
    </w:div>
    <w:div w:id="1436707664">
      <w:bodyDiv w:val="1"/>
      <w:marLeft w:val="0"/>
      <w:marRight w:val="0"/>
      <w:marTop w:val="0"/>
      <w:marBottom w:val="0"/>
      <w:divBdr>
        <w:top w:val="none" w:sz="0" w:space="0" w:color="auto"/>
        <w:left w:val="none" w:sz="0" w:space="0" w:color="auto"/>
        <w:bottom w:val="none" w:sz="0" w:space="0" w:color="auto"/>
        <w:right w:val="none" w:sz="0" w:space="0" w:color="auto"/>
      </w:divBdr>
    </w:div>
    <w:div w:id="1441560953">
      <w:bodyDiv w:val="1"/>
      <w:marLeft w:val="0"/>
      <w:marRight w:val="0"/>
      <w:marTop w:val="0"/>
      <w:marBottom w:val="0"/>
      <w:divBdr>
        <w:top w:val="none" w:sz="0" w:space="0" w:color="auto"/>
        <w:left w:val="none" w:sz="0" w:space="0" w:color="auto"/>
        <w:bottom w:val="none" w:sz="0" w:space="0" w:color="auto"/>
        <w:right w:val="none" w:sz="0" w:space="0" w:color="auto"/>
      </w:divBdr>
    </w:div>
    <w:div w:id="1453863550">
      <w:bodyDiv w:val="1"/>
      <w:marLeft w:val="0"/>
      <w:marRight w:val="0"/>
      <w:marTop w:val="0"/>
      <w:marBottom w:val="0"/>
      <w:divBdr>
        <w:top w:val="none" w:sz="0" w:space="0" w:color="auto"/>
        <w:left w:val="none" w:sz="0" w:space="0" w:color="auto"/>
        <w:bottom w:val="none" w:sz="0" w:space="0" w:color="auto"/>
        <w:right w:val="none" w:sz="0" w:space="0" w:color="auto"/>
      </w:divBdr>
    </w:div>
    <w:div w:id="1460342913">
      <w:bodyDiv w:val="1"/>
      <w:marLeft w:val="0"/>
      <w:marRight w:val="0"/>
      <w:marTop w:val="0"/>
      <w:marBottom w:val="0"/>
      <w:divBdr>
        <w:top w:val="none" w:sz="0" w:space="0" w:color="auto"/>
        <w:left w:val="none" w:sz="0" w:space="0" w:color="auto"/>
        <w:bottom w:val="none" w:sz="0" w:space="0" w:color="auto"/>
        <w:right w:val="none" w:sz="0" w:space="0" w:color="auto"/>
      </w:divBdr>
    </w:div>
    <w:div w:id="1471360023">
      <w:bodyDiv w:val="1"/>
      <w:marLeft w:val="0"/>
      <w:marRight w:val="0"/>
      <w:marTop w:val="0"/>
      <w:marBottom w:val="0"/>
      <w:divBdr>
        <w:top w:val="none" w:sz="0" w:space="0" w:color="auto"/>
        <w:left w:val="none" w:sz="0" w:space="0" w:color="auto"/>
        <w:bottom w:val="none" w:sz="0" w:space="0" w:color="auto"/>
        <w:right w:val="none" w:sz="0" w:space="0" w:color="auto"/>
      </w:divBdr>
    </w:div>
    <w:div w:id="1483740881">
      <w:bodyDiv w:val="1"/>
      <w:marLeft w:val="0"/>
      <w:marRight w:val="0"/>
      <w:marTop w:val="0"/>
      <w:marBottom w:val="0"/>
      <w:divBdr>
        <w:top w:val="none" w:sz="0" w:space="0" w:color="auto"/>
        <w:left w:val="none" w:sz="0" w:space="0" w:color="auto"/>
        <w:bottom w:val="none" w:sz="0" w:space="0" w:color="auto"/>
        <w:right w:val="none" w:sz="0" w:space="0" w:color="auto"/>
      </w:divBdr>
    </w:div>
    <w:div w:id="1513955578">
      <w:bodyDiv w:val="1"/>
      <w:marLeft w:val="0"/>
      <w:marRight w:val="0"/>
      <w:marTop w:val="0"/>
      <w:marBottom w:val="0"/>
      <w:divBdr>
        <w:top w:val="none" w:sz="0" w:space="0" w:color="auto"/>
        <w:left w:val="none" w:sz="0" w:space="0" w:color="auto"/>
        <w:bottom w:val="none" w:sz="0" w:space="0" w:color="auto"/>
        <w:right w:val="none" w:sz="0" w:space="0" w:color="auto"/>
      </w:divBdr>
    </w:div>
    <w:div w:id="1530332780">
      <w:bodyDiv w:val="1"/>
      <w:marLeft w:val="0"/>
      <w:marRight w:val="0"/>
      <w:marTop w:val="0"/>
      <w:marBottom w:val="0"/>
      <w:divBdr>
        <w:top w:val="none" w:sz="0" w:space="0" w:color="auto"/>
        <w:left w:val="none" w:sz="0" w:space="0" w:color="auto"/>
        <w:bottom w:val="none" w:sz="0" w:space="0" w:color="auto"/>
        <w:right w:val="none" w:sz="0" w:space="0" w:color="auto"/>
      </w:divBdr>
    </w:div>
    <w:div w:id="1534071791">
      <w:bodyDiv w:val="1"/>
      <w:marLeft w:val="0"/>
      <w:marRight w:val="0"/>
      <w:marTop w:val="0"/>
      <w:marBottom w:val="0"/>
      <w:divBdr>
        <w:top w:val="none" w:sz="0" w:space="0" w:color="auto"/>
        <w:left w:val="none" w:sz="0" w:space="0" w:color="auto"/>
        <w:bottom w:val="none" w:sz="0" w:space="0" w:color="auto"/>
        <w:right w:val="none" w:sz="0" w:space="0" w:color="auto"/>
      </w:divBdr>
    </w:div>
    <w:div w:id="1535385158">
      <w:bodyDiv w:val="1"/>
      <w:marLeft w:val="0"/>
      <w:marRight w:val="0"/>
      <w:marTop w:val="0"/>
      <w:marBottom w:val="0"/>
      <w:divBdr>
        <w:top w:val="none" w:sz="0" w:space="0" w:color="auto"/>
        <w:left w:val="none" w:sz="0" w:space="0" w:color="auto"/>
        <w:bottom w:val="none" w:sz="0" w:space="0" w:color="auto"/>
        <w:right w:val="none" w:sz="0" w:space="0" w:color="auto"/>
      </w:divBdr>
    </w:div>
    <w:div w:id="1536308343">
      <w:bodyDiv w:val="1"/>
      <w:marLeft w:val="0"/>
      <w:marRight w:val="0"/>
      <w:marTop w:val="0"/>
      <w:marBottom w:val="0"/>
      <w:divBdr>
        <w:top w:val="none" w:sz="0" w:space="0" w:color="auto"/>
        <w:left w:val="none" w:sz="0" w:space="0" w:color="auto"/>
        <w:bottom w:val="none" w:sz="0" w:space="0" w:color="auto"/>
        <w:right w:val="none" w:sz="0" w:space="0" w:color="auto"/>
      </w:divBdr>
    </w:div>
    <w:div w:id="1568108159">
      <w:bodyDiv w:val="1"/>
      <w:marLeft w:val="0"/>
      <w:marRight w:val="0"/>
      <w:marTop w:val="0"/>
      <w:marBottom w:val="0"/>
      <w:divBdr>
        <w:top w:val="none" w:sz="0" w:space="0" w:color="auto"/>
        <w:left w:val="none" w:sz="0" w:space="0" w:color="auto"/>
        <w:bottom w:val="none" w:sz="0" w:space="0" w:color="auto"/>
        <w:right w:val="none" w:sz="0" w:space="0" w:color="auto"/>
      </w:divBdr>
    </w:div>
    <w:div w:id="1585534784">
      <w:bodyDiv w:val="1"/>
      <w:marLeft w:val="0"/>
      <w:marRight w:val="0"/>
      <w:marTop w:val="0"/>
      <w:marBottom w:val="0"/>
      <w:divBdr>
        <w:top w:val="none" w:sz="0" w:space="0" w:color="auto"/>
        <w:left w:val="none" w:sz="0" w:space="0" w:color="auto"/>
        <w:bottom w:val="none" w:sz="0" w:space="0" w:color="auto"/>
        <w:right w:val="none" w:sz="0" w:space="0" w:color="auto"/>
      </w:divBdr>
    </w:div>
    <w:div w:id="1586260126">
      <w:bodyDiv w:val="1"/>
      <w:marLeft w:val="0"/>
      <w:marRight w:val="0"/>
      <w:marTop w:val="0"/>
      <w:marBottom w:val="0"/>
      <w:divBdr>
        <w:top w:val="none" w:sz="0" w:space="0" w:color="auto"/>
        <w:left w:val="none" w:sz="0" w:space="0" w:color="auto"/>
        <w:bottom w:val="none" w:sz="0" w:space="0" w:color="auto"/>
        <w:right w:val="none" w:sz="0" w:space="0" w:color="auto"/>
      </w:divBdr>
    </w:div>
    <w:div w:id="1591236043">
      <w:bodyDiv w:val="1"/>
      <w:marLeft w:val="0"/>
      <w:marRight w:val="0"/>
      <w:marTop w:val="0"/>
      <w:marBottom w:val="0"/>
      <w:divBdr>
        <w:top w:val="none" w:sz="0" w:space="0" w:color="auto"/>
        <w:left w:val="none" w:sz="0" w:space="0" w:color="auto"/>
        <w:bottom w:val="none" w:sz="0" w:space="0" w:color="auto"/>
        <w:right w:val="none" w:sz="0" w:space="0" w:color="auto"/>
      </w:divBdr>
    </w:div>
    <w:div w:id="1608003995">
      <w:bodyDiv w:val="1"/>
      <w:marLeft w:val="0"/>
      <w:marRight w:val="0"/>
      <w:marTop w:val="0"/>
      <w:marBottom w:val="0"/>
      <w:divBdr>
        <w:top w:val="none" w:sz="0" w:space="0" w:color="auto"/>
        <w:left w:val="none" w:sz="0" w:space="0" w:color="auto"/>
        <w:bottom w:val="none" w:sz="0" w:space="0" w:color="auto"/>
        <w:right w:val="none" w:sz="0" w:space="0" w:color="auto"/>
      </w:divBdr>
    </w:div>
    <w:div w:id="1610316242">
      <w:bodyDiv w:val="1"/>
      <w:marLeft w:val="0"/>
      <w:marRight w:val="0"/>
      <w:marTop w:val="0"/>
      <w:marBottom w:val="0"/>
      <w:divBdr>
        <w:top w:val="none" w:sz="0" w:space="0" w:color="auto"/>
        <w:left w:val="none" w:sz="0" w:space="0" w:color="auto"/>
        <w:bottom w:val="none" w:sz="0" w:space="0" w:color="auto"/>
        <w:right w:val="none" w:sz="0" w:space="0" w:color="auto"/>
      </w:divBdr>
    </w:div>
    <w:div w:id="1625690487">
      <w:bodyDiv w:val="1"/>
      <w:marLeft w:val="0"/>
      <w:marRight w:val="0"/>
      <w:marTop w:val="0"/>
      <w:marBottom w:val="0"/>
      <w:divBdr>
        <w:top w:val="none" w:sz="0" w:space="0" w:color="auto"/>
        <w:left w:val="none" w:sz="0" w:space="0" w:color="auto"/>
        <w:bottom w:val="none" w:sz="0" w:space="0" w:color="auto"/>
        <w:right w:val="none" w:sz="0" w:space="0" w:color="auto"/>
      </w:divBdr>
    </w:div>
    <w:div w:id="1635672542">
      <w:bodyDiv w:val="1"/>
      <w:marLeft w:val="0"/>
      <w:marRight w:val="0"/>
      <w:marTop w:val="0"/>
      <w:marBottom w:val="0"/>
      <w:divBdr>
        <w:top w:val="none" w:sz="0" w:space="0" w:color="auto"/>
        <w:left w:val="none" w:sz="0" w:space="0" w:color="auto"/>
        <w:bottom w:val="none" w:sz="0" w:space="0" w:color="auto"/>
        <w:right w:val="none" w:sz="0" w:space="0" w:color="auto"/>
      </w:divBdr>
    </w:div>
    <w:div w:id="1640383861">
      <w:bodyDiv w:val="1"/>
      <w:marLeft w:val="0"/>
      <w:marRight w:val="0"/>
      <w:marTop w:val="0"/>
      <w:marBottom w:val="0"/>
      <w:divBdr>
        <w:top w:val="none" w:sz="0" w:space="0" w:color="auto"/>
        <w:left w:val="none" w:sz="0" w:space="0" w:color="auto"/>
        <w:bottom w:val="none" w:sz="0" w:space="0" w:color="auto"/>
        <w:right w:val="none" w:sz="0" w:space="0" w:color="auto"/>
      </w:divBdr>
    </w:div>
    <w:div w:id="1652515071">
      <w:bodyDiv w:val="1"/>
      <w:marLeft w:val="0"/>
      <w:marRight w:val="0"/>
      <w:marTop w:val="0"/>
      <w:marBottom w:val="0"/>
      <w:divBdr>
        <w:top w:val="none" w:sz="0" w:space="0" w:color="auto"/>
        <w:left w:val="none" w:sz="0" w:space="0" w:color="auto"/>
        <w:bottom w:val="none" w:sz="0" w:space="0" w:color="auto"/>
        <w:right w:val="none" w:sz="0" w:space="0" w:color="auto"/>
      </w:divBdr>
    </w:div>
    <w:div w:id="1672639719">
      <w:bodyDiv w:val="1"/>
      <w:marLeft w:val="0"/>
      <w:marRight w:val="0"/>
      <w:marTop w:val="0"/>
      <w:marBottom w:val="0"/>
      <w:divBdr>
        <w:top w:val="none" w:sz="0" w:space="0" w:color="auto"/>
        <w:left w:val="none" w:sz="0" w:space="0" w:color="auto"/>
        <w:bottom w:val="none" w:sz="0" w:space="0" w:color="auto"/>
        <w:right w:val="none" w:sz="0" w:space="0" w:color="auto"/>
      </w:divBdr>
    </w:div>
    <w:div w:id="1685783644">
      <w:bodyDiv w:val="1"/>
      <w:marLeft w:val="0"/>
      <w:marRight w:val="0"/>
      <w:marTop w:val="0"/>
      <w:marBottom w:val="0"/>
      <w:divBdr>
        <w:top w:val="none" w:sz="0" w:space="0" w:color="auto"/>
        <w:left w:val="none" w:sz="0" w:space="0" w:color="auto"/>
        <w:bottom w:val="none" w:sz="0" w:space="0" w:color="auto"/>
        <w:right w:val="none" w:sz="0" w:space="0" w:color="auto"/>
      </w:divBdr>
    </w:div>
    <w:div w:id="1718161714">
      <w:bodyDiv w:val="1"/>
      <w:marLeft w:val="0"/>
      <w:marRight w:val="0"/>
      <w:marTop w:val="0"/>
      <w:marBottom w:val="0"/>
      <w:divBdr>
        <w:top w:val="none" w:sz="0" w:space="0" w:color="auto"/>
        <w:left w:val="none" w:sz="0" w:space="0" w:color="auto"/>
        <w:bottom w:val="none" w:sz="0" w:space="0" w:color="auto"/>
        <w:right w:val="none" w:sz="0" w:space="0" w:color="auto"/>
      </w:divBdr>
      <w:divsChild>
        <w:div w:id="2128498270">
          <w:marLeft w:val="547"/>
          <w:marRight w:val="0"/>
          <w:marTop w:val="200"/>
          <w:marBottom w:val="0"/>
          <w:divBdr>
            <w:top w:val="none" w:sz="0" w:space="0" w:color="auto"/>
            <w:left w:val="none" w:sz="0" w:space="0" w:color="auto"/>
            <w:bottom w:val="none" w:sz="0" w:space="0" w:color="auto"/>
            <w:right w:val="none" w:sz="0" w:space="0" w:color="auto"/>
          </w:divBdr>
        </w:div>
        <w:div w:id="1115370626">
          <w:marLeft w:val="547"/>
          <w:marRight w:val="0"/>
          <w:marTop w:val="200"/>
          <w:marBottom w:val="0"/>
          <w:divBdr>
            <w:top w:val="none" w:sz="0" w:space="0" w:color="auto"/>
            <w:left w:val="none" w:sz="0" w:space="0" w:color="auto"/>
            <w:bottom w:val="none" w:sz="0" w:space="0" w:color="auto"/>
            <w:right w:val="none" w:sz="0" w:space="0" w:color="auto"/>
          </w:divBdr>
        </w:div>
        <w:div w:id="412707738">
          <w:marLeft w:val="547"/>
          <w:marRight w:val="0"/>
          <w:marTop w:val="200"/>
          <w:marBottom w:val="0"/>
          <w:divBdr>
            <w:top w:val="none" w:sz="0" w:space="0" w:color="auto"/>
            <w:left w:val="none" w:sz="0" w:space="0" w:color="auto"/>
            <w:bottom w:val="none" w:sz="0" w:space="0" w:color="auto"/>
            <w:right w:val="none" w:sz="0" w:space="0" w:color="auto"/>
          </w:divBdr>
        </w:div>
        <w:div w:id="1107702886">
          <w:marLeft w:val="547"/>
          <w:marRight w:val="0"/>
          <w:marTop w:val="200"/>
          <w:marBottom w:val="0"/>
          <w:divBdr>
            <w:top w:val="none" w:sz="0" w:space="0" w:color="auto"/>
            <w:left w:val="none" w:sz="0" w:space="0" w:color="auto"/>
            <w:bottom w:val="none" w:sz="0" w:space="0" w:color="auto"/>
            <w:right w:val="none" w:sz="0" w:space="0" w:color="auto"/>
          </w:divBdr>
        </w:div>
        <w:div w:id="2005350507">
          <w:marLeft w:val="547"/>
          <w:marRight w:val="0"/>
          <w:marTop w:val="200"/>
          <w:marBottom w:val="0"/>
          <w:divBdr>
            <w:top w:val="none" w:sz="0" w:space="0" w:color="auto"/>
            <w:left w:val="none" w:sz="0" w:space="0" w:color="auto"/>
            <w:bottom w:val="none" w:sz="0" w:space="0" w:color="auto"/>
            <w:right w:val="none" w:sz="0" w:space="0" w:color="auto"/>
          </w:divBdr>
        </w:div>
        <w:div w:id="1819225086">
          <w:marLeft w:val="547"/>
          <w:marRight w:val="0"/>
          <w:marTop w:val="200"/>
          <w:marBottom w:val="0"/>
          <w:divBdr>
            <w:top w:val="none" w:sz="0" w:space="0" w:color="auto"/>
            <w:left w:val="none" w:sz="0" w:space="0" w:color="auto"/>
            <w:bottom w:val="none" w:sz="0" w:space="0" w:color="auto"/>
            <w:right w:val="none" w:sz="0" w:space="0" w:color="auto"/>
          </w:divBdr>
        </w:div>
        <w:div w:id="314721304">
          <w:marLeft w:val="547"/>
          <w:marRight w:val="0"/>
          <w:marTop w:val="200"/>
          <w:marBottom w:val="0"/>
          <w:divBdr>
            <w:top w:val="none" w:sz="0" w:space="0" w:color="auto"/>
            <w:left w:val="none" w:sz="0" w:space="0" w:color="auto"/>
            <w:bottom w:val="none" w:sz="0" w:space="0" w:color="auto"/>
            <w:right w:val="none" w:sz="0" w:space="0" w:color="auto"/>
          </w:divBdr>
        </w:div>
      </w:divsChild>
    </w:div>
    <w:div w:id="1737510226">
      <w:bodyDiv w:val="1"/>
      <w:marLeft w:val="0"/>
      <w:marRight w:val="0"/>
      <w:marTop w:val="0"/>
      <w:marBottom w:val="0"/>
      <w:divBdr>
        <w:top w:val="none" w:sz="0" w:space="0" w:color="auto"/>
        <w:left w:val="none" w:sz="0" w:space="0" w:color="auto"/>
        <w:bottom w:val="none" w:sz="0" w:space="0" w:color="auto"/>
        <w:right w:val="none" w:sz="0" w:space="0" w:color="auto"/>
      </w:divBdr>
    </w:div>
    <w:div w:id="1750931508">
      <w:bodyDiv w:val="1"/>
      <w:marLeft w:val="0"/>
      <w:marRight w:val="0"/>
      <w:marTop w:val="0"/>
      <w:marBottom w:val="0"/>
      <w:divBdr>
        <w:top w:val="none" w:sz="0" w:space="0" w:color="auto"/>
        <w:left w:val="none" w:sz="0" w:space="0" w:color="auto"/>
        <w:bottom w:val="none" w:sz="0" w:space="0" w:color="auto"/>
        <w:right w:val="none" w:sz="0" w:space="0" w:color="auto"/>
      </w:divBdr>
      <w:divsChild>
        <w:div w:id="409543285">
          <w:marLeft w:val="547"/>
          <w:marRight w:val="0"/>
          <w:marTop w:val="0"/>
          <w:marBottom w:val="0"/>
          <w:divBdr>
            <w:top w:val="none" w:sz="0" w:space="0" w:color="auto"/>
            <w:left w:val="none" w:sz="0" w:space="0" w:color="auto"/>
            <w:bottom w:val="none" w:sz="0" w:space="0" w:color="auto"/>
            <w:right w:val="none" w:sz="0" w:space="0" w:color="auto"/>
          </w:divBdr>
        </w:div>
      </w:divsChild>
    </w:div>
    <w:div w:id="1759474541">
      <w:bodyDiv w:val="1"/>
      <w:marLeft w:val="0"/>
      <w:marRight w:val="0"/>
      <w:marTop w:val="0"/>
      <w:marBottom w:val="0"/>
      <w:divBdr>
        <w:top w:val="none" w:sz="0" w:space="0" w:color="auto"/>
        <w:left w:val="none" w:sz="0" w:space="0" w:color="auto"/>
        <w:bottom w:val="none" w:sz="0" w:space="0" w:color="auto"/>
        <w:right w:val="none" w:sz="0" w:space="0" w:color="auto"/>
      </w:divBdr>
    </w:div>
    <w:div w:id="1781409061">
      <w:bodyDiv w:val="1"/>
      <w:marLeft w:val="0"/>
      <w:marRight w:val="0"/>
      <w:marTop w:val="0"/>
      <w:marBottom w:val="0"/>
      <w:divBdr>
        <w:top w:val="none" w:sz="0" w:space="0" w:color="auto"/>
        <w:left w:val="none" w:sz="0" w:space="0" w:color="auto"/>
        <w:bottom w:val="none" w:sz="0" w:space="0" w:color="auto"/>
        <w:right w:val="none" w:sz="0" w:space="0" w:color="auto"/>
      </w:divBdr>
    </w:div>
    <w:div w:id="1786845925">
      <w:bodyDiv w:val="1"/>
      <w:marLeft w:val="0"/>
      <w:marRight w:val="0"/>
      <w:marTop w:val="0"/>
      <w:marBottom w:val="0"/>
      <w:divBdr>
        <w:top w:val="none" w:sz="0" w:space="0" w:color="auto"/>
        <w:left w:val="none" w:sz="0" w:space="0" w:color="auto"/>
        <w:bottom w:val="none" w:sz="0" w:space="0" w:color="auto"/>
        <w:right w:val="none" w:sz="0" w:space="0" w:color="auto"/>
      </w:divBdr>
    </w:div>
    <w:div w:id="1808274903">
      <w:bodyDiv w:val="1"/>
      <w:marLeft w:val="0"/>
      <w:marRight w:val="0"/>
      <w:marTop w:val="0"/>
      <w:marBottom w:val="0"/>
      <w:divBdr>
        <w:top w:val="none" w:sz="0" w:space="0" w:color="auto"/>
        <w:left w:val="none" w:sz="0" w:space="0" w:color="auto"/>
        <w:bottom w:val="none" w:sz="0" w:space="0" w:color="auto"/>
        <w:right w:val="none" w:sz="0" w:space="0" w:color="auto"/>
      </w:divBdr>
    </w:div>
    <w:div w:id="1818692839">
      <w:bodyDiv w:val="1"/>
      <w:marLeft w:val="0"/>
      <w:marRight w:val="0"/>
      <w:marTop w:val="0"/>
      <w:marBottom w:val="0"/>
      <w:divBdr>
        <w:top w:val="none" w:sz="0" w:space="0" w:color="auto"/>
        <w:left w:val="none" w:sz="0" w:space="0" w:color="auto"/>
        <w:bottom w:val="none" w:sz="0" w:space="0" w:color="auto"/>
        <w:right w:val="none" w:sz="0" w:space="0" w:color="auto"/>
      </w:divBdr>
    </w:div>
    <w:div w:id="1829785376">
      <w:bodyDiv w:val="1"/>
      <w:marLeft w:val="0"/>
      <w:marRight w:val="0"/>
      <w:marTop w:val="0"/>
      <w:marBottom w:val="0"/>
      <w:divBdr>
        <w:top w:val="none" w:sz="0" w:space="0" w:color="auto"/>
        <w:left w:val="none" w:sz="0" w:space="0" w:color="auto"/>
        <w:bottom w:val="none" w:sz="0" w:space="0" w:color="auto"/>
        <w:right w:val="none" w:sz="0" w:space="0" w:color="auto"/>
      </w:divBdr>
    </w:div>
    <w:div w:id="1879589351">
      <w:bodyDiv w:val="1"/>
      <w:marLeft w:val="0"/>
      <w:marRight w:val="0"/>
      <w:marTop w:val="0"/>
      <w:marBottom w:val="0"/>
      <w:divBdr>
        <w:top w:val="none" w:sz="0" w:space="0" w:color="auto"/>
        <w:left w:val="none" w:sz="0" w:space="0" w:color="auto"/>
        <w:bottom w:val="none" w:sz="0" w:space="0" w:color="auto"/>
        <w:right w:val="none" w:sz="0" w:space="0" w:color="auto"/>
      </w:divBdr>
    </w:div>
    <w:div w:id="1884058316">
      <w:bodyDiv w:val="1"/>
      <w:marLeft w:val="0"/>
      <w:marRight w:val="0"/>
      <w:marTop w:val="0"/>
      <w:marBottom w:val="0"/>
      <w:divBdr>
        <w:top w:val="none" w:sz="0" w:space="0" w:color="auto"/>
        <w:left w:val="none" w:sz="0" w:space="0" w:color="auto"/>
        <w:bottom w:val="none" w:sz="0" w:space="0" w:color="auto"/>
        <w:right w:val="none" w:sz="0" w:space="0" w:color="auto"/>
      </w:divBdr>
    </w:div>
    <w:div w:id="1889797145">
      <w:bodyDiv w:val="1"/>
      <w:marLeft w:val="0"/>
      <w:marRight w:val="0"/>
      <w:marTop w:val="0"/>
      <w:marBottom w:val="0"/>
      <w:divBdr>
        <w:top w:val="none" w:sz="0" w:space="0" w:color="auto"/>
        <w:left w:val="none" w:sz="0" w:space="0" w:color="auto"/>
        <w:bottom w:val="none" w:sz="0" w:space="0" w:color="auto"/>
        <w:right w:val="none" w:sz="0" w:space="0" w:color="auto"/>
      </w:divBdr>
    </w:div>
    <w:div w:id="1900895321">
      <w:bodyDiv w:val="1"/>
      <w:marLeft w:val="0"/>
      <w:marRight w:val="0"/>
      <w:marTop w:val="0"/>
      <w:marBottom w:val="0"/>
      <w:divBdr>
        <w:top w:val="none" w:sz="0" w:space="0" w:color="auto"/>
        <w:left w:val="none" w:sz="0" w:space="0" w:color="auto"/>
        <w:bottom w:val="none" w:sz="0" w:space="0" w:color="auto"/>
        <w:right w:val="none" w:sz="0" w:space="0" w:color="auto"/>
      </w:divBdr>
    </w:div>
    <w:div w:id="1920940718">
      <w:bodyDiv w:val="1"/>
      <w:marLeft w:val="0"/>
      <w:marRight w:val="0"/>
      <w:marTop w:val="0"/>
      <w:marBottom w:val="0"/>
      <w:divBdr>
        <w:top w:val="none" w:sz="0" w:space="0" w:color="auto"/>
        <w:left w:val="none" w:sz="0" w:space="0" w:color="auto"/>
        <w:bottom w:val="none" w:sz="0" w:space="0" w:color="auto"/>
        <w:right w:val="none" w:sz="0" w:space="0" w:color="auto"/>
      </w:divBdr>
    </w:div>
    <w:div w:id="1938127327">
      <w:bodyDiv w:val="1"/>
      <w:marLeft w:val="0"/>
      <w:marRight w:val="0"/>
      <w:marTop w:val="0"/>
      <w:marBottom w:val="0"/>
      <w:divBdr>
        <w:top w:val="none" w:sz="0" w:space="0" w:color="auto"/>
        <w:left w:val="none" w:sz="0" w:space="0" w:color="auto"/>
        <w:bottom w:val="none" w:sz="0" w:space="0" w:color="auto"/>
        <w:right w:val="none" w:sz="0" w:space="0" w:color="auto"/>
      </w:divBdr>
    </w:div>
    <w:div w:id="1943412806">
      <w:bodyDiv w:val="1"/>
      <w:marLeft w:val="0"/>
      <w:marRight w:val="0"/>
      <w:marTop w:val="0"/>
      <w:marBottom w:val="0"/>
      <w:divBdr>
        <w:top w:val="none" w:sz="0" w:space="0" w:color="auto"/>
        <w:left w:val="none" w:sz="0" w:space="0" w:color="auto"/>
        <w:bottom w:val="none" w:sz="0" w:space="0" w:color="auto"/>
        <w:right w:val="none" w:sz="0" w:space="0" w:color="auto"/>
      </w:divBdr>
    </w:div>
    <w:div w:id="1944532815">
      <w:bodyDiv w:val="1"/>
      <w:marLeft w:val="0"/>
      <w:marRight w:val="0"/>
      <w:marTop w:val="0"/>
      <w:marBottom w:val="0"/>
      <w:divBdr>
        <w:top w:val="none" w:sz="0" w:space="0" w:color="auto"/>
        <w:left w:val="none" w:sz="0" w:space="0" w:color="auto"/>
        <w:bottom w:val="none" w:sz="0" w:space="0" w:color="auto"/>
        <w:right w:val="none" w:sz="0" w:space="0" w:color="auto"/>
      </w:divBdr>
    </w:div>
    <w:div w:id="1964920720">
      <w:bodyDiv w:val="1"/>
      <w:marLeft w:val="0"/>
      <w:marRight w:val="0"/>
      <w:marTop w:val="0"/>
      <w:marBottom w:val="0"/>
      <w:divBdr>
        <w:top w:val="none" w:sz="0" w:space="0" w:color="auto"/>
        <w:left w:val="none" w:sz="0" w:space="0" w:color="auto"/>
        <w:bottom w:val="none" w:sz="0" w:space="0" w:color="auto"/>
        <w:right w:val="none" w:sz="0" w:space="0" w:color="auto"/>
      </w:divBdr>
    </w:div>
    <w:div w:id="1981573451">
      <w:bodyDiv w:val="1"/>
      <w:marLeft w:val="0"/>
      <w:marRight w:val="0"/>
      <w:marTop w:val="0"/>
      <w:marBottom w:val="0"/>
      <w:divBdr>
        <w:top w:val="none" w:sz="0" w:space="0" w:color="auto"/>
        <w:left w:val="none" w:sz="0" w:space="0" w:color="auto"/>
        <w:bottom w:val="none" w:sz="0" w:space="0" w:color="auto"/>
        <w:right w:val="none" w:sz="0" w:space="0" w:color="auto"/>
      </w:divBdr>
    </w:div>
    <w:div w:id="1988048669">
      <w:bodyDiv w:val="1"/>
      <w:marLeft w:val="0"/>
      <w:marRight w:val="0"/>
      <w:marTop w:val="0"/>
      <w:marBottom w:val="0"/>
      <w:divBdr>
        <w:top w:val="none" w:sz="0" w:space="0" w:color="auto"/>
        <w:left w:val="none" w:sz="0" w:space="0" w:color="auto"/>
        <w:bottom w:val="none" w:sz="0" w:space="0" w:color="auto"/>
        <w:right w:val="none" w:sz="0" w:space="0" w:color="auto"/>
      </w:divBdr>
    </w:div>
    <w:div w:id="2002464024">
      <w:bodyDiv w:val="1"/>
      <w:marLeft w:val="0"/>
      <w:marRight w:val="0"/>
      <w:marTop w:val="0"/>
      <w:marBottom w:val="0"/>
      <w:divBdr>
        <w:top w:val="none" w:sz="0" w:space="0" w:color="auto"/>
        <w:left w:val="none" w:sz="0" w:space="0" w:color="auto"/>
        <w:bottom w:val="none" w:sz="0" w:space="0" w:color="auto"/>
        <w:right w:val="none" w:sz="0" w:space="0" w:color="auto"/>
      </w:divBdr>
    </w:div>
    <w:div w:id="2006467231">
      <w:bodyDiv w:val="1"/>
      <w:marLeft w:val="0"/>
      <w:marRight w:val="0"/>
      <w:marTop w:val="0"/>
      <w:marBottom w:val="0"/>
      <w:divBdr>
        <w:top w:val="none" w:sz="0" w:space="0" w:color="auto"/>
        <w:left w:val="none" w:sz="0" w:space="0" w:color="auto"/>
        <w:bottom w:val="none" w:sz="0" w:space="0" w:color="auto"/>
        <w:right w:val="none" w:sz="0" w:space="0" w:color="auto"/>
      </w:divBdr>
    </w:div>
    <w:div w:id="2016418330">
      <w:bodyDiv w:val="1"/>
      <w:marLeft w:val="0"/>
      <w:marRight w:val="0"/>
      <w:marTop w:val="0"/>
      <w:marBottom w:val="0"/>
      <w:divBdr>
        <w:top w:val="none" w:sz="0" w:space="0" w:color="auto"/>
        <w:left w:val="none" w:sz="0" w:space="0" w:color="auto"/>
        <w:bottom w:val="none" w:sz="0" w:space="0" w:color="auto"/>
        <w:right w:val="none" w:sz="0" w:space="0" w:color="auto"/>
      </w:divBdr>
    </w:div>
    <w:div w:id="2032954125">
      <w:bodyDiv w:val="1"/>
      <w:marLeft w:val="0"/>
      <w:marRight w:val="0"/>
      <w:marTop w:val="0"/>
      <w:marBottom w:val="0"/>
      <w:divBdr>
        <w:top w:val="none" w:sz="0" w:space="0" w:color="auto"/>
        <w:left w:val="none" w:sz="0" w:space="0" w:color="auto"/>
        <w:bottom w:val="none" w:sz="0" w:space="0" w:color="auto"/>
        <w:right w:val="none" w:sz="0" w:space="0" w:color="auto"/>
      </w:divBdr>
    </w:div>
    <w:div w:id="2046520279">
      <w:bodyDiv w:val="1"/>
      <w:marLeft w:val="0"/>
      <w:marRight w:val="0"/>
      <w:marTop w:val="0"/>
      <w:marBottom w:val="0"/>
      <w:divBdr>
        <w:top w:val="none" w:sz="0" w:space="0" w:color="auto"/>
        <w:left w:val="none" w:sz="0" w:space="0" w:color="auto"/>
        <w:bottom w:val="none" w:sz="0" w:space="0" w:color="auto"/>
        <w:right w:val="none" w:sz="0" w:space="0" w:color="auto"/>
      </w:divBdr>
    </w:div>
    <w:div w:id="2051300818">
      <w:bodyDiv w:val="1"/>
      <w:marLeft w:val="0"/>
      <w:marRight w:val="0"/>
      <w:marTop w:val="0"/>
      <w:marBottom w:val="0"/>
      <w:divBdr>
        <w:top w:val="none" w:sz="0" w:space="0" w:color="auto"/>
        <w:left w:val="none" w:sz="0" w:space="0" w:color="auto"/>
        <w:bottom w:val="none" w:sz="0" w:space="0" w:color="auto"/>
        <w:right w:val="none" w:sz="0" w:space="0" w:color="auto"/>
      </w:divBdr>
    </w:div>
    <w:div w:id="2071464247">
      <w:bodyDiv w:val="1"/>
      <w:marLeft w:val="0"/>
      <w:marRight w:val="0"/>
      <w:marTop w:val="0"/>
      <w:marBottom w:val="0"/>
      <w:divBdr>
        <w:top w:val="none" w:sz="0" w:space="0" w:color="auto"/>
        <w:left w:val="none" w:sz="0" w:space="0" w:color="auto"/>
        <w:bottom w:val="none" w:sz="0" w:space="0" w:color="auto"/>
        <w:right w:val="none" w:sz="0" w:space="0" w:color="auto"/>
      </w:divBdr>
    </w:div>
    <w:div w:id="2076471330">
      <w:bodyDiv w:val="1"/>
      <w:marLeft w:val="0"/>
      <w:marRight w:val="0"/>
      <w:marTop w:val="0"/>
      <w:marBottom w:val="0"/>
      <w:divBdr>
        <w:top w:val="none" w:sz="0" w:space="0" w:color="auto"/>
        <w:left w:val="none" w:sz="0" w:space="0" w:color="auto"/>
        <w:bottom w:val="none" w:sz="0" w:space="0" w:color="auto"/>
        <w:right w:val="none" w:sz="0" w:space="0" w:color="auto"/>
      </w:divBdr>
    </w:div>
    <w:div w:id="2077163629">
      <w:bodyDiv w:val="1"/>
      <w:marLeft w:val="0"/>
      <w:marRight w:val="0"/>
      <w:marTop w:val="0"/>
      <w:marBottom w:val="0"/>
      <w:divBdr>
        <w:top w:val="none" w:sz="0" w:space="0" w:color="auto"/>
        <w:left w:val="none" w:sz="0" w:space="0" w:color="auto"/>
        <w:bottom w:val="none" w:sz="0" w:space="0" w:color="auto"/>
        <w:right w:val="none" w:sz="0" w:space="0" w:color="auto"/>
      </w:divBdr>
    </w:div>
    <w:div w:id="2083524829">
      <w:bodyDiv w:val="1"/>
      <w:marLeft w:val="0"/>
      <w:marRight w:val="0"/>
      <w:marTop w:val="0"/>
      <w:marBottom w:val="0"/>
      <w:divBdr>
        <w:top w:val="none" w:sz="0" w:space="0" w:color="auto"/>
        <w:left w:val="none" w:sz="0" w:space="0" w:color="auto"/>
        <w:bottom w:val="none" w:sz="0" w:space="0" w:color="auto"/>
        <w:right w:val="none" w:sz="0" w:space="0" w:color="auto"/>
      </w:divBdr>
    </w:div>
    <w:div w:id="2087460467">
      <w:bodyDiv w:val="1"/>
      <w:marLeft w:val="0"/>
      <w:marRight w:val="0"/>
      <w:marTop w:val="0"/>
      <w:marBottom w:val="0"/>
      <w:divBdr>
        <w:top w:val="none" w:sz="0" w:space="0" w:color="auto"/>
        <w:left w:val="none" w:sz="0" w:space="0" w:color="auto"/>
        <w:bottom w:val="none" w:sz="0" w:space="0" w:color="auto"/>
        <w:right w:val="none" w:sz="0" w:space="0" w:color="auto"/>
      </w:divBdr>
    </w:div>
    <w:div w:id="2089568533">
      <w:bodyDiv w:val="1"/>
      <w:marLeft w:val="0"/>
      <w:marRight w:val="0"/>
      <w:marTop w:val="0"/>
      <w:marBottom w:val="0"/>
      <w:divBdr>
        <w:top w:val="none" w:sz="0" w:space="0" w:color="auto"/>
        <w:left w:val="none" w:sz="0" w:space="0" w:color="auto"/>
        <w:bottom w:val="none" w:sz="0" w:space="0" w:color="auto"/>
        <w:right w:val="none" w:sz="0" w:space="0" w:color="auto"/>
      </w:divBdr>
    </w:div>
    <w:div w:id="2106001260">
      <w:bodyDiv w:val="1"/>
      <w:marLeft w:val="0"/>
      <w:marRight w:val="0"/>
      <w:marTop w:val="0"/>
      <w:marBottom w:val="0"/>
      <w:divBdr>
        <w:top w:val="none" w:sz="0" w:space="0" w:color="auto"/>
        <w:left w:val="none" w:sz="0" w:space="0" w:color="auto"/>
        <w:bottom w:val="none" w:sz="0" w:space="0" w:color="auto"/>
        <w:right w:val="none" w:sz="0" w:space="0" w:color="auto"/>
      </w:divBdr>
    </w:div>
    <w:div w:id="2121292041">
      <w:bodyDiv w:val="1"/>
      <w:marLeft w:val="0"/>
      <w:marRight w:val="0"/>
      <w:marTop w:val="0"/>
      <w:marBottom w:val="0"/>
      <w:divBdr>
        <w:top w:val="none" w:sz="0" w:space="0" w:color="auto"/>
        <w:left w:val="none" w:sz="0" w:space="0" w:color="auto"/>
        <w:bottom w:val="none" w:sz="0" w:space="0" w:color="auto"/>
        <w:right w:val="none" w:sz="0" w:space="0" w:color="auto"/>
      </w:divBdr>
    </w:div>
    <w:div w:id="2123260324">
      <w:bodyDiv w:val="1"/>
      <w:marLeft w:val="0"/>
      <w:marRight w:val="0"/>
      <w:marTop w:val="0"/>
      <w:marBottom w:val="0"/>
      <w:divBdr>
        <w:top w:val="none" w:sz="0" w:space="0" w:color="auto"/>
        <w:left w:val="none" w:sz="0" w:space="0" w:color="auto"/>
        <w:bottom w:val="none" w:sz="0" w:space="0" w:color="auto"/>
        <w:right w:val="none" w:sz="0" w:space="0" w:color="auto"/>
      </w:divBdr>
    </w:div>
    <w:div w:id="2132819564">
      <w:bodyDiv w:val="1"/>
      <w:marLeft w:val="0"/>
      <w:marRight w:val="0"/>
      <w:marTop w:val="0"/>
      <w:marBottom w:val="0"/>
      <w:divBdr>
        <w:top w:val="none" w:sz="0" w:space="0" w:color="auto"/>
        <w:left w:val="none" w:sz="0" w:space="0" w:color="auto"/>
        <w:bottom w:val="none" w:sz="0" w:space="0" w:color="auto"/>
        <w:right w:val="none" w:sz="0" w:space="0" w:color="auto"/>
      </w:divBdr>
    </w:div>
    <w:div w:id="2135901973">
      <w:bodyDiv w:val="1"/>
      <w:marLeft w:val="0"/>
      <w:marRight w:val="0"/>
      <w:marTop w:val="0"/>
      <w:marBottom w:val="0"/>
      <w:divBdr>
        <w:top w:val="none" w:sz="0" w:space="0" w:color="auto"/>
        <w:left w:val="none" w:sz="0" w:space="0" w:color="auto"/>
        <w:bottom w:val="none" w:sz="0" w:space="0" w:color="auto"/>
        <w:right w:val="none" w:sz="0" w:space="0" w:color="auto"/>
      </w:divBdr>
    </w:div>
    <w:div w:id="21465039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hyperlink" Target="https://www.cbamonitor.cz/aktuality/vlna-refixaci-hypotek-sili-urokovy-sok-ale-slabne-rizikem-zustava-vyssi-inflace" TargetMode="External"/><Relationship Id="rId26" Type="http://schemas.openxmlformats.org/officeDocument/2006/relationships/image" Target="media/image9.emf"/><Relationship Id="rId39" Type="http://schemas.openxmlformats.org/officeDocument/2006/relationships/hyperlink" Target="http://www.cbaonline.cz" TargetMode="External"/><Relationship Id="rId21" Type="http://schemas.openxmlformats.org/officeDocument/2006/relationships/hyperlink" Target="https://www.cbamonitor.cz/aktuality/uspory-domacnosti-zustavaji-vysoko-a-ceny-nemovitosti-dal-rostou-a-silnejsi-produktivita-prilis-ulevy-cnb-neprinese" TargetMode="External"/><Relationship Id="rId34" Type="http://schemas.openxmlformats.org/officeDocument/2006/relationships/image" Target="media/image10.png"/><Relationship Id="rId42"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hyperlink" Target="https://www.cbamonitor.cz/aktuality/cnb-zvedla-sazby-na-375-a-pravdepodobne-tam-vycka-do-podzimu" TargetMode="External"/><Relationship Id="rId29" Type="http://schemas.openxmlformats.org/officeDocument/2006/relationships/hyperlink" Target="https://www.cbamonitor.cz/statistika/dynamika-mezd"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cbamonitor.cz/aktuality/cnb-zvysuje-kapitalovou-rezervu-bank-reaguje-na-rychlejsi-rust-uveru-i-nova-rizika" TargetMode="External"/><Relationship Id="rId24" Type="http://schemas.openxmlformats.org/officeDocument/2006/relationships/image" Target="media/image8.png"/><Relationship Id="rId32" Type="http://schemas.openxmlformats.org/officeDocument/2006/relationships/hyperlink" Target="https://www.cbamonitor.cz/aktuality/realizovane-ceny-bytu-zdrazuji-pomaleji-ale-regiony-zatim-neochlazuji" TargetMode="External"/><Relationship Id="rId37" Type="http://schemas.openxmlformats.org/officeDocument/2006/relationships/hyperlink" Target="https://www.cbamonitor.cz/statistika/prognoza-prumerna-mzda" TargetMode="External"/><Relationship Id="rId40" Type="http://schemas.openxmlformats.org/officeDocument/2006/relationships/hyperlink" Target="https://www.cbamonitor.cz/kategorie/cba-hypomonitor" TargetMode="Externa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image" Target="media/image7.png"/><Relationship Id="rId28" Type="http://schemas.openxmlformats.org/officeDocument/2006/relationships/hyperlink" Target="https://www.cbamonitor.cz/aktuality/nizsi-kvetnova-inflace-pri-silnejsim-rustu-mezd-predstavuje-pro-cnb-troji-dilema" TargetMode="External"/><Relationship Id="rId36" Type="http://schemas.openxmlformats.org/officeDocument/2006/relationships/image" Target="media/image12.png"/><Relationship Id="rId10" Type="http://schemas.openxmlformats.org/officeDocument/2006/relationships/endnotes" Target="endnotes.xml"/><Relationship Id="rId19" Type="http://schemas.openxmlformats.org/officeDocument/2006/relationships/hyperlink" Target="https://www.cbamonitor.cz/aktuality/trzni-sily-v-hypotecnich-sazbach-rust-trznich-uroku-se-do-hypotek-promitl-jen-castecne-pomaha-silna-konkurence-na-trhu" TargetMode="External"/><Relationship Id="rId31" Type="http://schemas.openxmlformats.org/officeDocument/2006/relationships/hyperlink" Target="https://www.cbamonitor.cz/aktuality/silne-tempo-rustu-nabidkovych-cen-bytu-i-na-zacatku-roku-2026"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hyperlink" Target="https://www.cbamonitor.cz/aktuality/smisene-signaly-z-cervnoveho-sentimentu-mirne-pozitivni-pro-rust-negativni-pro-nezamestnanost-a-jadrovou-inflaci" TargetMode="External"/><Relationship Id="rId27" Type="http://schemas.openxmlformats.org/officeDocument/2006/relationships/hyperlink" Target="https://www.cbamonitor.cz/aktuality/cnb-zprisnuje-podminky-pro-investicni-hypoteky-9-dopad-nebo-potrebna-redistribuce-poptavky" TargetMode="External"/><Relationship Id="rId30" Type="http://schemas.openxmlformats.org/officeDocument/2006/relationships/hyperlink" Target="https://www.cbamonitor.cz/aktuality/uspory-domacnosti-zustavaji-vysoko-a-ceny-nemovitosti-dal-rostou-a-silnejsi-produktivita-prilis-ulevy-cnb-neprinese" TargetMode="External"/><Relationship Id="rId35" Type="http://schemas.openxmlformats.org/officeDocument/2006/relationships/image" Target="media/image11.png"/><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image" Target="media/image1.png"/><Relationship Id="rId17" Type="http://schemas.openxmlformats.org/officeDocument/2006/relationships/image" Target="media/image6.png"/><Relationship Id="rId25" Type="http://schemas.openxmlformats.org/officeDocument/2006/relationships/hyperlink" Target="https://www.cbamonitor.cz/aktuality/vlna-refixaci-hypotek-sili-urokovy-sok-ale-slabne-rizikem-zustava-vyssi-inflace" TargetMode="External"/><Relationship Id="rId33" Type="http://schemas.openxmlformats.org/officeDocument/2006/relationships/hyperlink" Target="https://www.cbamonitor.cz/kategorie/ceny-nemovitosti" TargetMode="External"/><Relationship Id="rId38" Type="http://schemas.openxmlformats.org/officeDocument/2006/relationships/image" Target="media/image13.emf"/></Relationships>
</file>

<file path=word/_rels/footer1.xml.rels><?xml version="1.0" encoding="UTF-8" standalone="yes"?>
<Relationships xmlns="http://schemas.openxmlformats.org/package/2006/relationships"><Relationship Id="rId1" Type="http://schemas.openxmlformats.org/officeDocument/2006/relationships/image" Target="media/image4.jpeg"/></Relationships>
</file>

<file path=word/_rels/header1.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pn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Vlastní 1">
      <a:majorFont>
        <a:latin typeface="Calibri Light"/>
        <a:ea typeface=""/>
        <a:cs typeface=""/>
      </a:majorFont>
      <a:minorFont>
        <a:latin typeface="Calibri Light"/>
        <a:ea typeface=""/>
        <a:cs typeface=""/>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b09ec118-0c61-46db-bb00-952e09940a1f"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DC0CBE5B95D55468F8CF7D6D1C8CB6B" ma:contentTypeVersion="10" ma:contentTypeDescription="Create a new document." ma:contentTypeScope="" ma:versionID="03de8c559e19055c2732f6aae148e160">
  <xsd:schema xmlns:xsd="http://www.w3.org/2001/XMLSchema" xmlns:xs="http://www.w3.org/2001/XMLSchema" xmlns:p="http://schemas.microsoft.com/office/2006/metadata/properties" xmlns:ns3="b09ec118-0c61-46db-bb00-952e09940a1f" targetNamespace="http://schemas.microsoft.com/office/2006/metadata/properties" ma:root="true" ma:fieldsID="a58f24d30c88e6ff28d70a1926b856b7" ns3:_="">
    <xsd:import namespace="b09ec118-0c61-46db-bb00-952e09940a1f"/>
    <xsd:element name="properties">
      <xsd:complexType>
        <xsd:sequence>
          <xsd:element name="documentManagement">
            <xsd:complexType>
              <xsd:all>
                <xsd:element ref="ns3:MediaServiceDateTaken" minOccurs="0"/>
                <xsd:element ref="ns3:_activity" minOccurs="0"/>
                <xsd:element ref="ns3:MediaServiceMetadata" minOccurs="0"/>
                <xsd:element ref="ns3:MediaServiceFastMetadata" minOccurs="0"/>
                <xsd:element ref="ns3:MediaServiceSearchProperties" minOccurs="0"/>
                <xsd:element ref="ns3:MediaServiceObjectDetectorVersions" minOccurs="0"/>
                <xsd:element ref="ns3:MediaServiceSystem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09ec118-0c61-46db-bb00-952e09940a1f"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_activity" ma:index="9" nillable="true" ma:displayName="_activity" ma:hidden="true" ma:internalName="_activity">
      <xsd:simpleType>
        <xsd:restriction base="dms:Note"/>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SystemTags" ma:index="14" nillable="true" ma:displayName="MediaServiceSystemTags" ma:hidden="true" ma:internalName="MediaServiceSystemTags" ma:readOnly="true">
      <xsd:simpleType>
        <xsd:restriction base="dms:Note"/>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B935B7-8C88-4CAE-A0AA-13A352B0843E}">
  <ds:schemaRefs>
    <ds:schemaRef ds:uri="http://schemas.microsoft.com/office/2006/metadata/properties"/>
    <ds:schemaRef ds:uri="http://schemas.microsoft.com/office/infopath/2007/PartnerControls"/>
    <ds:schemaRef ds:uri="b09ec118-0c61-46db-bb00-952e09940a1f"/>
  </ds:schemaRefs>
</ds:datastoreItem>
</file>

<file path=customXml/itemProps2.xml><?xml version="1.0" encoding="utf-8"?>
<ds:datastoreItem xmlns:ds="http://schemas.openxmlformats.org/officeDocument/2006/customXml" ds:itemID="{90F695EA-D77D-4F66-A87E-5245D7A921CD}">
  <ds:schemaRefs>
    <ds:schemaRef ds:uri="http://schemas.microsoft.com/sharepoint/v3/contenttype/forms"/>
  </ds:schemaRefs>
</ds:datastoreItem>
</file>

<file path=customXml/itemProps3.xml><?xml version="1.0" encoding="utf-8"?>
<ds:datastoreItem xmlns:ds="http://schemas.openxmlformats.org/officeDocument/2006/customXml" ds:itemID="{C5464796-18D1-44D3-AEB3-40E11281906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09ec118-0c61-46db-bb00-952e09940a1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2A9F6F5-D843-4129-900A-FD170C2ABB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TotalTime>
  <Pages>10</Pages>
  <Words>2903</Words>
  <Characters>17128</Characters>
  <Application>Microsoft Office Word</Application>
  <DocSecurity>0</DocSecurity>
  <Lines>142</Lines>
  <Paragraphs>39</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19992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martina vlachova</dc:creator>
  <cp:lastModifiedBy>Duffek, Adam (ČBA)</cp:lastModifiedBy>
  <cp:revision>4</cp:revision>
  <cp:lastPrinted>2025-08-14T09:13:00Z</cp:lastPrinted>
  <dcterms:created xsi:type="dcterms:W3CDTF">2026-07-16T11:54:00Z</dcterms:created>
  <dcterms:modified xsi:type="dcterms:W3CDTF">2026-07-16T12:57:00Z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0x0101004DC0CBE5B95D55468F8CF7D6D1C8CB6B</vt:lpwstr>
  </property>
</Properties>
</file>