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D51CC" w14:textId="39494787" w:rsidR="006A0A19" w:rsidRPr="002F43DE" w:rsidRDefault="003D3759" w:rsidP="00F20F27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4C4605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C016C1">
        <w:rPr>
          <w:rFonts w:ascii="Calibri" w:hAnsi="Calibri" w:cs="Calibri"/>
          <w:b/>
          <w:color w:val="13576B"/>
          <w:sz w:val="32"/>
          <w:szCs w:val="32"/>
        </w:rPr>
        <w:t xml:space="preserve">Mírný růst hypoteční sazby na 4,67 % udržel solidní květnovou aktivitu </w:t>
      </w:r>
    </w:p>
    <w:bookmarkEnd w:id="0"/>
    <w:p w14:paraId="2236614D" w14:textId="2619E0E0" w:rsidR="00C1363D" w:rsidRDefault="007967E6" w:rsidP="004B61C3">
      <w:pPr>
        <w:tabs>
          <w:tab w:val="left" w:pos="8080"/>
        </w:tabs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Praha, 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>12</w:t>
      </w: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EE64D0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>červen</w:t>
      </w:r>
      <w:r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proofErr w:type="gramStart"/>
      <w:r w:rsidR="003C392F" w:rsidRPr="006B4CAC">
        <w:rPr>
          <w:rFonts w:ascii="Calibri" w:hAnsi="Calibri" w:cs="Calibri"/>
          <w:b/>
          <w:bCs/>
          <w:color w:val="13576B"/>
          <w:sz w:val="22"/>
          <w:szCs w:val="22"/>
        </w:rPr>
        <w:t>202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>6</w:t>
      </w:r>
      <w:r w:rsidR="003C392F" w:rsidRPr="006B4CAC">
        <w:rPr>
          <w:rFonts w:ascii="Calibri" w:hAnsi="Calibri" w:cs="Calibri"/>
          <w:b/>
          <w:bCs/>
          <w:color w:val="13576B"/>
          <w:sz w:val="22"/>
          <w:szCs w:val="22"/>
        </w:rPr>
        <w:t xml:space="preserve"> –</w:t>
      </w:r>
      <w:r w:rsidR="00C1363D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C1363D" w:rsidRPr="00C1363D">
        <w:rPr>
          <w:rFonts w:ascii="Calibri" w:hAnsi="Calibri" w:cs="Calibri"/>
          <w:b/>
          <w:bCs/>
          <w:color w:val="13576B"/>
          <w:sz w:val="22"/>
          <w:szCs w:val="22"/>
        </w:rPr>
        <w:t>V</w:t>
      </w:r>
      <w:proofErr w:type="gramEnd"/>
      <w:r w:rsidR="00C1363D" w:rsidRPr="00C1363D">
        <w:rPr>
          <w:rFonts w:ascii="Calibri" w:hAnsi="Calibri" w:cs="Calibri"/>
          <w:b/>
          <w:bCs/>
          <w:color w:val="13576B"/>
          <w:sz w:val="22"/>
          <w:szCs w:val="22"/>
        </w:rPr>
        <w:t xml:space="preserve"> květnu 2026 poskytly banky a stavební spořitelny skutečně nové hypotéky bez refinancování za 38,1 miliardy Kč. Oproti dubnu aktivita objemově zeslábla o 14 %, což </w:t>
      </w:r>
      <w:r w:rsidR="004B61C3" w:rsidRPr="004B61C3">
        <w:rPr>
          <w:rFonts w:ascii="Calibri" w:hAnsi="Calibri" w:cs="Calibri"/>
          <w:b/>
          <w:bCs/>
          <w:color w:val="13576B"/>
          <w:sz w:val="22"/>
          <w:szCs w:val="22"/>
        </w:rPr>
        <w:t>odráží korekci po silných letošních předchozích měsících</w:t>
      </w:r>
      <w:r w:rsidR="00C1363D" w:rsidRPr="00C1363D">
        <w:rPr>
          <w:rFonts w:ascii="Calibri" w:hAnsi="Calibri" w:cs="Calibri"/>
          <w:b/>
          <w:bCs/>
          <w:color w:val="13576B"/>
          <w:sz w:val="22"/>
          <w:szCs w:val="22"/>
        </w:rPr>
        <w:t>. Od začátku roku tak jejich objem dosáhl 179 miliard korun, tedy o 59 miliard více než před rokem. Průměrná realizovaná úroková sazba u nových hypoték dále vzrostla na 4,67 % z dubnových 4,52 %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, což ovšem představuje relativně mírný nárůst v porovnání s tržními úrokovými sazbami.</w:t>
      </w:r>
      <w:r w:rsidR="00C1363D" w:rsidRPr="00C1363D">
        <w:rPr>
          <w:rFonts w:ascii="Calibri" w:hAnsi="Calibri" w:cs="Calibri"/>
          <w:b/>
          <w:bCs/>
          <w:color w:val="13576B"/>
          <w:sz w:val="22"/>
          <w:szCs w:val="22"/>
        </w:rPr>
        <w:t xml:space="preserve"> Uvedené informace plynou z údajů ČBA </w:t>
      </w:r>
      <w:proofErr w:type="spellStart"/>
      <w:r w:rsidR="00C1363D" w:rsidRPr="00C1363D">
        <w:rPr>
          <w:rFonts w:ascii="Calibri" w:hAnsi="Calibri" w:cs="Calibri"/>
          <w:b/>
          <w:bCs/>
          <w:color w:val="13576B"/>
          <w:sz w:val="22"/>
          <w:szCs w:val="22"/>
        </w:rPr>
        <w:t>Hypomonitoru</w:t>
      </w:r>
      <w:proofErr w:type="spellEnd"/>
      <w:r w:rsidR="00C1363D" w:rsidRPr="00C1363D">
        <w:rPr>
          <w:rFonts w:ascii="Calibri" w:hAnsi="Calibri" w:cs="Calibri"/>
          <w:b/>
          <w:bCs/>
          <w:color w:val="13576B"/>
          <w:sz w:val="22"/>
          <w:szCs w:val="22"/>
        </w:rPr>
        <w:t xml:space="preserve">, který zachycuje data všech tuzemských bank a stavebních spořitelen poskytujících hypoteční úvěry. </w:t>
      </w:r>
    </w:p>
    <w:p w14:paraId="1709E15D" w14:textId="33B6BF65" w:rsidR="009E3555" w:rsidRPr="00C1363D" w:rsidRDefault="00100FC3" w:rsidP="004B61C3">
      <w:pPr>
        <w:tabs>
          <w:tab w:val="left" w:pos="8080"/>
        </w:tabs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Do 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květnových čís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el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p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>ravděpodobně přispěl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a sna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ha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vyhnout se vyšším úrokovým </w:t>
      </w:r>
      <w:r w:rsidR="005C382F">
        <w:rPr>
          <w:rFonts w:ascii="Calibri" w:hAnsi="Calibri" w:cs="Calibri"/>
          <w:b/>
          <w:bCs/>
          <w:color w:val="13576B"/>
          <w:sz w:val="22"/>
          <w:szCs w:val="22"/>
        </w:rPr>
        <w:t xml:space="preserve">sazbám 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>po efektu předzásobení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, a to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kvůli dubnovému zpřísnění podmínek ČNB pro tzv. investiční hypotéky. To 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ponechalo p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>růměrn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ou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velikost hypotéky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nad 4,7 miliony korun</w:t>
      </w:r>
      <w:r w:rsidR="00293873">
        <w:rPr>
          <w:rFonts w:ascii="Calibri" w:hAnsi="Calibri" w:cs="Calibri"/>
          <w:b/>
          <w:bCs/>
          <w:color w:val="13576B"/>
          <w:sz w:val="22"/>
          <w:szCs w:val="22"/>
        </w:rPr>
        <w:t>, což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se odráží 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>i v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e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vyšší měsíční splátce</w:t>
      </w:r>
      <w:r w:rsidR="00293873">
        <w:rPr>
          <w:rFonts w:ascii="Calibri" w:hAnsi="Calibri" w:cs="Calibri"/>
          <w:b/>
          <w:bCs/>
          <w:color w:val="13576B"/>
          <w:sz w:val="22"/>
          <w:szCs w:val="22"/>
        </w:rPr>
        <w:t>. Ta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v 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květnu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u nově poskytnuté hypotéky 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>překonala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 26 tisíc korun</w:t>
      </w:r>
      <w:r w:rsidR="009E3555">
        <w:rPr>
          <w:rFonts w:ascii="Calibri" w:hAnsi="Calibri" w:cs="Calibri"/>
          <w:b/>
          <w:bCs/>
          <w:color w:val="13576B"/>
          <w:sz w:val="22"/>
          <w:szCs w:val="22"/>
        </w:rPr>
        <w:t xml:space="preserve">, zatímco u mediánu se pohybuje okolo </w:t>
      </w:r>
      <w:r w:rsidR="009E3555" w:rsidRPr="009E3555">
        <w:rPr>
          <w:rFonts w:ascii="Calibri" w:hAnsi="Calibri" w:cs="Calibri"/>
          <w:b/>
          <w:bCs/>
          <w:color w:val="13576B"/>
          <w:sz w:val="22"/>
          <w:szCs w:val="22"/>
        </w:rPr>
        <w:t>21 tisíc Kč.</w:t>
      </w:r>
    </w:p>
    <w:p w14:paraId="49FA0DA4" w14:textId="73398D9D" w:rsidR="006B4CAC" w:rsidRPr="00C016C1" w:rsidRDefault="006B4CAC" w:rsidP="006B4CAC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Další zasedání ČNB spojené s nastavením </w:t>
      </w:r>
      <w:proofErr w:type="spellStart"/>
      <w:r w:rsidRPr="00C016C1">
        <w:rPr>
          <w:rFonts w:ascii="Calibri" w:hAnsi="Calibri" w:cs="Calibri"/>
          <w:b/>
          <w:bCs/>
          <w:color w:val="13576B"/>
          <w:sz w:val="22"/>
          <w:szCs w:val="22"/>
        </w:rPr>
        <w:t>makroobezřetnostní</w:t>
      </w:r>
      <w:proofErr w:type="spellEnd"/>
      <w:r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 politiky hypoték proběhne </w:t>
      </w:r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>10</w:t>
      </w:r>
      <w:r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září. Zatímco 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>její</w:t>
      </w:r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 nastavení 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zůstalo v červnu </w:t>
      </w:r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beze změny, </w:t>
      </w:r>
      <w:r w:rsid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bankovní rada se </w:t>
      </w:r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>odhodlala k </w:t>
      </w:r>
      <w:proofErr w:type="gramStart"/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navýšení </w:t>
      </w:r>
      <w:r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 proticyklické</w:t>
      </w:r>
      <w:proofErr w:type="gramEnd"/>
      <w:r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 kapitálové rezervy </w:t>
      </w:r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o 0,25 </w:t>
      </w:r>
      <w:proofErr w:type="spellStart"/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>p.b</w:t>
      </w:r>
      <w:proofErr w:type="spellEnd"/>
      <w:r w:rsidR="00C016C1" w:rsidRPr="00C016C1">
        <w:rPr>
          <w:rFonts w:ascii="Calibri" w:hAnsi="Calibri" w:cs="Calibri"/>
          <w:b/>
          <w:bCs/>
          <w:color w:val="13576B"/>
          <w:sz w:val="22"/>
          <w:szCs w:val="22"/>
        </w:rPr>
        <w:t xml:space="preserve">. na 1,5 % od července 2027. Blíže viz </w:t>
      </w:r>
      <w:hyperlink r:id="rId11" w:history="1">
        <w:r w:rsidR="00C016C1" w:rsidRPr="00C016C1">
          <w:rPr>
            <w:rStyle w:val="Hypertextovodkaz"/>
            <w:b/>
            <w:bCs/>
          </w:rPr>
          <w:t>ČNB zpřísňuje kapitálovou rezervu bank. Reaguje na rychlejší růst úvěrů i nová rizika</w:t>
        </w:r>
      </w:hyperlink>
    </w:p>
    <w:p w14:paraId="11395EF2" w14:textId="77777777" w:rsidR="00D66E1F" w:rsidRPr="00DA2CF3" w:rsidRDefault="00D66E1F" w:rsidP="006B4CAC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EE0000"/>
          <w:sz w:val="22"/>
          <w:szCs w:val="22"/>
        </w:rPr>
      </w:pPr>
    </w:p>
    <w:p w14:paraId="4A7C2A28" w14:textId="3D69EC01" w:rsidR="00425883" w:rsidRDefault="00425883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C016C1">
        <w:rPr>
          <w:rFonts w:ascii="Calibri" w:hAnsi="Calibri" w:cs="Calibri"/>
          <w:b/>
          <w:color w:val="13576B"/>
          <w:sz w:val="23"/>
          <w:szCs w:val="23"/>
        </w:rPr>
        <w:t>květen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</w:t>
      </w:r>
      <w:r w:rsidR="00BA3140">
        <w:rPr>
          <w:rFonts w:ascii="Calibri" w:hAnsi="Calibri" w:cs="Calibri"/>
          <w:b/>
          <w:color w:val="13576B"/>
          <w:sz w:val="23"/>
          <w:szCs w:val="23"/>
        </w:rPr>
        <w:t>6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992"/>
        <w:gridCol w:w="774"/>
      </w:tblGrid>
      <w:tr w:rsidR="003C3451" w:rsidRPr="00A06A94" w14:paraId="23438AFD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3B728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07A4A00D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519CB663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040DDF7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3C3451" w:rsidRPr="00A06A94" w14:paraId="384D4BC7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7D7CF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F207B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DC0F7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F9072A3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538AA5D0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09080B29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0DB45" w14:textId="77777777" w:rsidR="003C3451" w:rsidRPr="00A06A94" w:rsidRDefault="003C3451" w:rsidP="006E30DB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7A08A275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3C3451" w:rsidRPr="00A06A94" w14:paraId="6FF8CBA7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60F314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9FB52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B1CFB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398C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59E82091" w14:textId="77777777" w:rsidR="003C3451" w:rsidRPr="00072DB9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9364FA4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A0EC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836F8EE" w14:textId="77777777" w:rsidR="003C3451" w:rsidRPr="00A06A94" w:rsidRDefault="003C3451" w:rsidP="006E30DB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C016C1" w:rsidRPr="00A06A94" w14:paraId="776CBD73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A9B5FD" w14:textId="77777777" w:rsidR="00C016C1" w:rsidRPr="00072DB9" w:rsidRDefault="00C016C1" w:rsidP="00C016C1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7692D" w14:textId="072EA083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52,6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ABB04" w14:textId="318CA5D5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11 449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F54FDC" w14:textId="769EE1FB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4,63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290588BC" w14:textId="4B52749C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57A8" w14:textId="6A3A973F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245,3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EAD2F" w14:textId="17F4D17D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54 434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86C628" w14:textId="1F4464AE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4,50</w:t>
            </w:r>
          </w:p>
        </w:tc>
      </w:tr>
      <w:tr w:rsidR="00C016C1" w:rsidRPr="00A06A94" w14:paraId="1B1E7FB2" w14:textId="77777777" w:rsidTr="006E30DB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21ACEB93" w14:textId="77777777" w:rsidR="00C016C1" w:rsidRPr="00072DB9" w:rsidRDefault="00C016C1" w:rsidP="00C016C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01D6378E" w14:textId="604D01ED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38,1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121DEB33" w14:textId="622A53AC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7 871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20D4C83E" w14:textId="75EA4FB9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4,67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1E12AC4C" w14:textId="059D75FF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4D6894CF" w14:textId="00451294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179,4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4021A1B1" w14:textId="47C3CEA7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37 727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6544CAA1" w14:textId="30A4EE85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4,52</w:t>
            </w:r>
          </w:p>
        </w:tc>
      </w:tr>
      <w:tr w:rsidR="00C016C1" w:rsidRPr="00A06A94" w14:paraId="75B50A3D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59724" w14:textId="77777777" w:rsidR="00C016C1" w:rsidRPr="00072DB9" w:rsidRDefault="00C016C1" w:rsidP="00C016C1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44B38" w14:textId="5ADA9676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68906" w14:textId="1EF811FA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37150" w14:textId="17915A3A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EE480" w14:textId="15CF44D8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600E58E" w14:textId="0D87D542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73575E" w14:textId="230E2480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EBA8BD" w14:textId="05C3F383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C016C1" w:rsidRPr="00A06A94" w14:paraId="7625D4E3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6AD1D" w14:textId="77777777" w:rsidR="00C016C1" w:rsidRPr="00072DB9" w:rsidRDefault="00C016C1" w:rsidP="00C016C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BFB31" w14:textId="3F1A9BF4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04F7B" w14:textId="2749B38C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5 399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602DE" w14:textId="47F755D7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8C8AE" w14:textId="3308A891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F378060" w14:textId="65B8CE6B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129,5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F448916" w14:textId="4016DC22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27 281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634C0342" w14:textId="6EF565B7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4,51</w:t>
            </w:r>
          </w:p>
        </w:tc>
      </w:tr>
      <w:tr w:rsidR="00C016C1" w:rsidRPr="00A06A94" w14:paraId="0E99D021" w14:textId="77777777" w:rsidTr="00976966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650778" w14:textId="77777777" w:rsidR="00C016C1" w:rsidRPr="00072DB9" w:rsidRDefault="00C016C1" w:rsidP="00C016C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C5BF0" w14:textId="1B07F7C2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FDBC1" w14:textId="13B01A5B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E6596" w14:textId="39BF2F05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C099B" w14:textId="032548FD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0B9382F" w14:textId="37CCA689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29,2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AD1162" w14:textId="284EC338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6 188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68099D2" w14:textId="60AB2ACE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4,47</w:t>
            </w:r>
          </w:p>
        </w:tc>
      </w:tr>
      <w:tr w:rsidR="00C016C1" w:rsidRPr="00A06A94" w14:paraId="501771B5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D2365D" w14:textId="77777777" w:rsidR="00C016C1" w:rsidRPr="00072DB9" w:rsidRDefault="00C016C1" w:rsidP="00C016C1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C665A" w14:textId="169298EA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F58FE" w14:textId="6CB8002B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B6015C" w14:textId="03A67503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4,77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E5EEE48" w14:textId="71B3FF6B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E7FB0C" w14:textId="2F31BF18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20,7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6F2B8" w14:textId="2A2DBFB8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4 258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EA6453" w14:textId="596850D0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4,59</w:t>
            </w:r>
          </w:p>
        </w:tc>
      </w:tr>
      <w:tr w:rsidR="00C016C1" w:rsidRPr="00A06A94" w14:paraId="5D723CBB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721761" w14:textId="77777777" w:rsidR="00C016C1" w:rsidRPr="00072DB9" w:rsidRDefault="00C016C1" w:rsidP="00C016C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7A9EB" w14:textId="68C082BC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E99BA" w14:textId="70028D98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3 095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9C49FD" w14:textId="4E471AFA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4,50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17CF4B73" w14:textId="50102B05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E3AC5" w14:textId="572EA054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55,6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14FB1" w14:textId="7C06C9F5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14 205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0AEEA7" w14:textId="3699FF5A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4,43</w:t>
            </w:r>
          </w:p>
        </w:tc>
      </w:tr>
      <w:tr w:rsidR="00C016C1" w:rsidRPr="00A06A94" w14:paraId="2265D080" w14:textId="77777777" w:rsidTr="006E30DB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90B764" w14:textId="77777777" w:rsidR="00C016C1" w:rsidRPr="00072DB9" w:rsidRDefault="00C016C1" w:rsidP="00C016C1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8288F" w14:textId="2B8386E3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8B663" w14:textId="2A31ECF4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99ECE4" w14:textId="62260F63" w:rsidR="00C016C1" w:rsidRPr="00072DB9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4,64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021B7F9" w14:textId="6F089261" w:rsidR="00C016C1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BC0CC" w14:textId="7655D1B2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10,3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016D1" w14:textId="0FA84D28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2 502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B83F6B" w14:textId="34CE6E15" w:rsidR="00C016C1" w:rsidRPr="00A06A94" w:rsidRDefault="00C016C1" w:rsidP="00C01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4,47</w:t>
            </w:r>
          </w:p>
        </w:tc>
      </w:tr>
    </w:tbl>
    <w:p w14:paraId="7749A713" w14:textId="7DA80B2C" w:rsidR="003C3451" w:rsidRPr="007821A2" w:rsidRDefault="007821A2" w:rsidP="0009562F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Cs/>
          <w:color w:val="13576B"/>
          <w:sz w:val="20"/>
        </w:rPr>
      </w:pPr>
      <w:r w:rsidRPr="007821A2">
        <w:rPr>
          <w:rFonts w:asciiTheme="minorHAnsi" w:hAnsiTheme="minorHAnsi" w:cstheme="minorHAnsi"/>
          <w:bCs/>
          <w:color w:val="13576B"/>
          <w:sz w:val="20"/>
        </w:rPr>
        <w:t xml:space="preserve">Pramen: ČBA </w:t>
      </w:r>
      <w:proofErr w:type="spellStart"/>
      <w:r w:rsidRPr="007821A2">
        <w:rPr>
          <w:rFonts w:asciiTheme="minorHAnsi" w:hAnsiTheme="minorHAnsi" w:cstheme="minorHAnsi"/>
          <w:bCs/>
          <w:color w:val="13576B"/>
          <w:sz w:val="20"/>
        </w:rPr>
        <w:t>Hypomonitor</w:t>
      </w:r>
      <w:proofErr w:type="spellEnd"/>
      <w:r w:rsidRPr="007821A2">
        <w:rPr>
          <w:rFonts w:asciiTheme="minorHAnsi" w:hAnsiTheme="minorHAnsi" w:cstheme="minorHAnsi"/>
          <w:bCs/>
          <w:color w:val="13576B"/>
          <w:sz w:val="20"/>
        </w:rPr>
        <w:t>. Poznámka: sezónně neočištěná data</w:t>
      </w:r>
    </w:p>
    <w:p w14:paraId="0890E395" w14:textId="77777777" w:rsidR="003C3451" w:rsidRPr="007821A2" w:rsidRDefault="003C3451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Cs/>
          <w:color w:val="13576B"/>
          <w:sz w:val="23"/>
          <w:szCs w:val="23"/>
        </w:rPr>
      </w:pPr>
    </w:p>
    <w:p w14:paraId="0A5C07AA" w14:textId="7CF79406" w:rsidR="006A4CF3" w:rsidRPr="003C3451" w:rsidRDefault="00D16FB5" w:rsidP="006A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bookmarkStart w:id="2" w:name="_Hlk111121228"/>
      <w:bookmarkStart w:id="3" w:name="_Hlk119308742"/>
      <w:r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4934D9">
        <w:rPr>
          <w:rFonts w:ascii="Calibri" w:hAnsi="Calibri" w:cs="Calibri"/>
          <w:i/>
          <w:iCs/>
          <w:color w:val="000000" w:themeColor="text1"/>
          <w:sz w:val="22"/>
          <w:szCs w:val="22"/>
        </w:rPr>
        <w:t>Květnová hypoteční aktivita polevila</w:t>
      </w:r>
      <w:r w:rsidR="009E3555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 což není </w:t>
      </w:r>
      <w:r w:rsidR="00641C58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po </w:t>
      </w:r>
      <w:r w:rsidR="004934D9">
        <w:rPr>
          <w:rFonts w:ascii="Calibri" w:hAnsi="Calibri" w:cs="Calibri"/>
          <w:i/>
          <w:iCs/>
          <w:color w:val="000000" w:themeColor="text1"/>
          <w:sz w:val="22"/>
          <w:szCs w:val="22"/>
        </w:rPr>
        <w:t>pravděpodobně silném předzásobení v přecházejících měsících překvapivé. Nicméně jak počty přes 7 tisíc, tak objem okolo 35 miliard nových hypoték po sezónním očištění zůstaly silnější než v závěru loňského roku. K tomu rovněž napomohl relativně mírný nárůst hypoteční úrokové sazby na 4,67 % u nových hypoték a na 4,5 % u externího refinancování</w:t>
      </w:r>
      <w:r w:rsidR="000B7D19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  <w:r w:rsidR="006A4CF3" w:rsidRPr="0026268C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4934D9">
        <w:rPr>
          <w:rFonts w:ascii="Calibri" w:hAnsi="Calibri" w:cs="Calibri"/>
          <w:color w:val="000000" w:themeColor="text1"/>
          <w:sz w:val="22"/>
          <w:szCs w:val="22"/>
        </w:rPr>
        <w:t>doplňuje</w:t>
      </w:r>
      <w:r w:rsidR="006A4CF3" w:rsidRPr="00882EFB">
        <w:rPr>
          <w:rFonts w:ascii="Calibri" w:hAnsi="Calibri" w:cs="Calibri"/>
          <w:sz w:val="22"/>
          <w:szCs w:val="22"/>
        </w:rPr>
        <w:t xml:space="preserve"> </w:t>
      </w:r>
      <w:r w:rsidR="006A4CF3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asociace. </w:t>
      </w:r>
    </w:p>
    <w:p w14:paraId="5C0445D2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B7D1662" w14:textId="4524D66D" w:rsidR="00677FE7" w:rsidRDefault="00C016C1" w:rsidP="007E142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noProof/>
          <w:color w:val="13576B"/>
          <w:sz w:val="23"/>
          <w:szCs w:val="23"/>
        </w:rPr>
        <w:lastRenderedPageBreak/>
        <w:drawing>
          <wp:inline distT="0" distB="0" distL="0" distR="0" wp14:anchorId="274184D2" wp14:editId="3E50EC59">
            <wp:extent cx="4972050" cy="4052159"/>
            <wp:effectExtent l="0" t="0" r="0" b="5715"/>
            <wp:docPr id="42638140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65" cy="406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52A9F" w14:textId="58DA04AB" w:rsidR="007E1421" w:rsidRDefault="00E16BD3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>Poznámka: výhled do konce roku je momentový – vychází z aktuálního trendu, nikoli z modelové predikce.</w:t>
      </w:r>
      <w:r w:rsidR="00795550">
        <w:rPr>
          <w:rFonts w:ascii="Calibri Light" w:hAnsi="Calibri Light" w:cs="Calibri Light"/>
          <w:color w:val="13576B"/>
          <w:sz w:val="20"/>
        </w:rPr>
        <w:t xml:space="preserve"> Nicméně pro zbytek roku předpokládá 7 % korekci do počtu hypoték. </w:t>
      </w:r>
    </w:p>
    <w:p w14:paraId="05D7F9BE" w14:textId="6DE03A81" w:rsidR="00795550" w:rsidRDefault="003F45B7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3F45B7">
        <w:rPr>
          <w:noProof/>
        </w:rPr>
        <w:drawing>
          <wp:inline distT="0" distB="0" distL="0" distR="0" wp14:anchorId="549E80D1" wp14:editId="44624FD6">
            <wp:extent cx="5645150" cy="3544629"/>
            <wp:effectExtent l="0" t="0" r="0" b="0"/>
            <wp:docPr id="7415939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116" cy="354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E850E" w14:textId="364ADBBC" w:rsidR="0009562F" w:rsidRDefault="003F45B7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lastRenderedPageBreak/>
        <w:t>Květnová aktivita zvolnila, ale navrátila</w:t>
      </w:r>
      <w:r w:rsidR="005C382F">
        <w:rPr>
          <w:rFonts w:ascii="Calibri" w:hAnsi="Calibri" w:cs="Calibri"/>
          <w:b/>
          <w:color w:val="13576B"/>
          <w:sz w:val="23"/>
          <w:szCs w:val="23"/>
        </w:rPr>
        <w:t xml:space="preserve"> se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na stále silné úrovně z konce loňského roku</w:t>
      </w:r>
    </w:p>
    <w:p w14:paraId="0EEDAD3F" w14:textId="77777777" w:rsidR="00D1522E" w:rsidRPr="00FC623B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0BC6FE6B" w14:textId="2DD852C9" w:rsidR="002F416F" w:rsidRDefault="003F45B7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F45B7">
        <w:rPr>
          <w:rFonts w:ascii="Calibri" w:hAnsi="Calibri" w:cs="Calibri"/>
          <w:b/>
          <w:bCs/>
          <w:color w:val="000000"/>
          <w:sz w:val="22"/>
          <w:szCs w:val="22"/>
        </w:rPr>
        <w:t>Celkově banky a stavební spořitelny v květnu vykázaly nový nekonsolidovaný business v podobě nových a refinancovaných hypoték v objemu 52,6 mld. Kč, což je o 14,5 % méně než před měsícem. V meziročním srovnání stoupl o 54 %. Jejich celkový objem v letošním roce prozatím dosáhl 245 mld. Kč, což představuje 66% nárůst ve srovnání s lednem až květnem předcházejícího roku.</w:t>
      </w:r>
    </w:p>
    <w:p w14:paraId="37F9C8D3" w14:textId="77777777" w:rsidR="003F45B7" w:rsidRDefault="003F45B7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95BA23F" w14:textId="0E677E71" w:rsidR="003F45B7" w:rsidRDefault="003F45B7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F45B7">
        <w:rPr>
          <w:rFonts w:ascii="Calibri" w:hAnsi="Calibri" w:cs="Calibri"/>
          <w:b/>
          <w:bCs/>
          <w:color w:val="000000"/>
          <w:sz w:val="22"/>
          <w:szCs w:val="22"/>
        </w:rPr>
        <w:t xml:space="preserve">V květnu poskytly banky a stavební spořitelny skutečně nové hypoteční úvěry bez refinancování za 38,1 mld. Kč. </w:t>
      </w:r>
      <w:r w:rsidRPr="003F45B7">
        <w:rPr>
          <w:rFonts w:ascii="Calibri" w:hAnsi="Calibri" w:cs="Calibri"/>
          <w:color w:val="000000"/>
          <w:sz w:val="22"/>
          <w:szCs w:val="22"/>
        </w:rPr>
        <w:t>Oproti dubnu tak nová hypoteční aktivita objemově klesla přibližně o 14 %</w:t>
      </w:r>
      <w:r>
        <w:rPr>
          <w:rFonts w:ascii="Calibri" w:hAnsi="Calibri" w:cs="Calibri"/>
          <w:color w:val="000000"/>
          <w:sz w:val="22"/>
          <w:szCs w:val="22"/>
        </w:rPr>
        <w:t xml:space="preserve">, což odráží korekci po silných </w:t>
      </w:r>
      <w:r w:rsidR="004B61C3">
        <w:rPr>
          <w:rFonts w:ascii="Calibri" w:hAnsi="Calibri" w:cs="Calibri"/>
          <w:color w:val="000000"/>
          <w:sz w:val="22"/>
          <w:szCs w:val="22"/>
        </w:rPr>
        <w:t xml:space="preserve">letošních </w:t>
      </w:r>
      <w:r>
        <w:rPr>
          <w:rFonts w:ascii="Calibri" w:hAnsi="Calibri" w:cs="Calibri"/>
          <w:color w:val="000000"/>
          <w:sz w:val="22"/>
          <w:szCs w:val="22"/>
        </w:rPr>
        <w:t>předch</w:t>
      </w:r>
      <w:r w:rsidR="004B61C3">
        <w:rPr>
          <w:rFonts w:ascii="Calibri" w:hAnsi="Calibri" w:cs="Calibri"/>
          <w:color w:val="000000"/>
          <w:sz w:val="22"/>
          <w:szCs w:val="22"/>
        </w:rPr>
        <w:t>ozích</w:t>
      </w:r>
      <w:r>
        <w:rPr>
          <w:rFonts w:ascii="Calibri" w:hAnsi="Calibri" w:cs="Calibri"/>
          <w:color w:val="000000"/>
          <w:sz w:val="22"/>
          <w:szCs w:val="22"/>
        </w:rPr>
        <w:t xml:space="preserve"> měsících. To odpovídá i číslům p</w:t>
      </w:r>
      <w:r w:rsidRPr="003F45B7">
        <w:rPr>
          <w:rFonts w:ascii="Calibri" w:hAnsi="Calibri" w:cs="Calibri"/>
          <w:color w:val="000000"/>
          <w:sz w:val="22"/>
          <w:szCs w:val="22"/>
        </w:rPr>
        <w:t>o sezónní úpravě</w:t>
      </w:r>
      <w:r>
        <w:rPr>
          <w:rFonts w:ascii="Calibri" w:hAnsi="Calibri" w:cs="Calibri"/>
          <w:color w:val="000000"/>
          <w:sz w:val="22"/>
          <w:szCs w:val="22"/>
        </w:rPr>
        <w:t xml:space="preserve">. Ta 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přinesla 12,7% zhoršení na 35,4 mld. Kč ve srovnání s dubnovými 40,5 mld. </w:t>
      </w:r>
      <w:r w:rsidR="005C382F">
        <w:rPr>
          <w:rFonts w:ascii="Calibri" w:hAnsi="Calibri" w:cs="Calibri"/>
          <w:color w:val="000000"/>
          <w:sz w:val="22"/>
          <w:szCs w:val="22"/>
        </w:rPr>
        <w:t xml:space="preserve">Kč 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a zároveň se nachází pod průměrným objemem z předchozích tří měsíců (36,7 mld. Kč). </w:t>
      </w:r>
      <w:r>
        <w:rPr>
          <w:rFonts w:ascii="Calibri" w:hAnsi="Calibri" w:cs="Calibri"/>
          <w:color w:val="000000"/>
          <w:sz w:val="22"/>
          <w:szCs w:val="22"/>
        </w:rPr>
        <w:t>Ovšem objem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 nově poskytnutých hypoték se v květnu dostal na přibližně o 46 % vyšší úroveň ve srovnání s první polovinou loňského roku</w:t>
      </w:r>
      <w:r>
        <w:rPr>
          <w:rFonts w:ascii="Calibri" w:hAnsi="Calibri" w:cs="Calibri"/>
          <w:color w:val="000000"/>
          <w:sz w:val="22"/>
          <w:szCs w:val="22"/>
        </w:rPr>
        <w:t xml:space="preserve"> a rovněž zůstává </w:t>
      </w:r>
      <w:r w:rsidR="00A15939">
        <w:rPr>
          <w:rFonts w:ascii="Calibri" w:hAnsi="Calibri" w:cs="Calibri"/>
          <w:color w:val="000000"/>
          <w:sz w:val="22"/>
          <w:szCs w:val="22"/>
        </w:rPr>
        <w:t>na</w:t>
      </w:r>
      <w:r>
        <w:rPr>
          <w:rFonts w:ascii="Calibri" w:hAnsi="Calibri" w:cs="Calibri"/>
          <w:color w:val="000000"/>
          <w:sz w:val="22"/>
          <w:szCs w:val="22"/>
        </w:rPr>
        <w:t xml:space="preserve"> průměrn</w:t>
      </w:r>
      <w:r w:rsidR="00A15939">
        <w:rPr>
          <w:rFonts w:ascii="Calibri" w:hAnsi="Calibri" w:cs="Calibri"/>
          <w:color w:val="000000"/>
          <w:sz w:val="22"/>
          <w:szCs w:val="22"/>
        </w:rPr>
        <w:t>é</w:t>
      </w:r>
      <w:r>
        <w:rPr>
          <w:rFonts w:ascii="Calibri" w:hAnsi="Calibri" w:cs="Calibri"/>
          <w:color w:val="000000"/>
          <w:sz w:val="22"/>
          <w:szCs w:val="22"/>
        </w:rPr>
        <w:t>m objem</w:t>
      </w:r>
      <w:r w:rsidR="00A15939">
        <w:rPr>
          <w:rFonts w:ascii="Calibri" w:hAnsi="Calibri" w:cs="Calibri"/>
          <w:color w:val="000000"/>
          <w:sz w:val="22"/>
          <w:szCs w:val="22"/>
        </w:rPr>
        <w:t>u</w:t>
      </w:r>
      <w:r>
        <w:rPr>
          <w:rFonts w:ascii="Calibri" w:hAnsi="Calibri" w:cs="Calibri"/>
          <w:color w:val="000000"/>
          <w:sz w:val="22"/>
          <w:szCs w:val="22"/>
        </w:rPr>
        <w:t xml:space="preserve"> 30 miliard v závěrečném loňském čtvrtletí.  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8C068D7" w14:textId="77777777" w:rsidR="003F45B7" w:rsidRDefault="003F45B7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12DE69C" w14:textId="0CDCFC5C" w:rsidR="003F45B7" w:rsidRPr="003F45B7" w:rsidRDefault="003F45B7" w:rsidP="003F45B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3F45B7">
        <w:rPr>
          <w:rFonts w:ascii="Calibri" w:hAnsi="Calibri" w:cs="Calibri"/>
          <w:b/>
          <w:bCs/>
          <w:color w:val="000000"/>
          <w:sz w:val="22"/>
          <w:szCs w:val="22"/>
        </w:rPr>
        <w:t xml:space="preserve">Počet nových hypoték v květnu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rovněž </w:t>
      </w:r>
      <w:r w:rsidRPr="003F45B7">
        <w:rPr>
          <w:rFonts w:ascii="Calibri" w:hAnsi="Calibri" w:cs="Calibri"/>
          <w:b/>
          <w:bCs/>
          <w:color w:val="000000"/>
          <w:sz w:val="22"/>
          <w:szCs w:val="22"/>
        </w:rPr>
        <w:t>poklesl o 13 % meziměsíčně na 7 871 kusů, což je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nicméně stále</w:t>
      </w:r>
      <w:r w:rsidRPr="003F45B7">
        <w:rPr>
          <w:rFonts w:ascii="Calibri" w:hAnsi="Calibri" w:cs="Calibri"/>
          <w:b/>
          <w:bCs/>
          <w:color w:val="000000"/>
          <w:sz w:val="22"/>
          <w:szCs w:val="22"/>
        </w:rPr>
        <w:t xml:space="preserve"> o 20 % více než před rokem. </w:t>
      </w:r>
      <w:r w:rsidRPr="003F45B7">
        <w:rPr>
          <w:rFonts w:ascii="Calibri" w:hAnsi="Calibri" w:cs="Calibri"/>
          <w:color w:val="000000"/>
          <w:sz w:val="22"/>
          <w:szCs w:val="22"/>
        </w:rPr>
        <w:t>Odhadujeme, že po sezónním očištění se jejich počet pohybuje okolo 7 284, přibližně 6 % pod průměrným počtem (7 729) v předchozích třech měsících. Od počátku roku dosáhl počet nových hypoték 37,7 tisíc kusů, což o více než čtvrtinu více než loni. Dynamika počtu nových hypoték z posledních tří měsíců, tedy za březen až květen</w:t>
      </w:r>
      <w:r>
        <w:rPr>
          <w:rFonts w:ascii="Calibri" w:hAnsi="Calibri" w:cs="Calibri"/>
          <w:color w:val="000000"/>
          <w:sz w:val="22"/>
          <w:szCs w:val="22"/>
        </w:rPr>
        <w:t xml:space="preserve">, by implikovala 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jejich letošní nárůst </w:t>
      </w:r>
      <w:r>
        <w:rPr>
          <w:rFonts w:ascii="Calibri" w:hAnsi="Calibri" w:cs="Calibri"/>
          <w:color w:val="000000"/>
          <w:sz w:val="22"/>
          <w:szCs w:val="22"/>
        </w:rPr>
        <w:t xml:space="preserve">přes 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92 tisíc. To by bylo </w:t>
      </w:r>
      <w:r>
        <w:rPr>
          <w:rFonts w:ascii="Calibri" w:hAnsi="Calibri" w:cs="Calibri"/>
          <w:color w:val="000000"/>
          <w:sz w:val="22"/>
          <w:szCs w:val="22"/>
        </w:rPr>
        <w:t xml:space="preserve">poblíž let </w:t>
      </w:r>
      <w:r w:rsidRPr="003F45B7">
        <w:rPr>
          <w:rFonts w:ascii="Calibri" w:hAnsi="Calibri" w:cs="Calibri"/>
          <w:color w:val="000000"/>
          <w:sz w:val="22"/>
          <w:szCs w:val="22"/>
        </w:rPr>
        <w:t>2016 až 2018, ale stále hluboko pod 114 tisíci z roku 2021. Ale po dubnovém zpřísnění podmínek ČNB lze očekávat menší počty nových hypoték. Ty by pak při 7% negativní korekci do počtu nových hypoték do konce roku uzavřely letošní rok okolo 81 tisíc, což by bylo o 6,3 % více než v loňském roce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228A7EDF" w14:textId="77777777" w:rsidR="003F45B7" w:rsidRDefault="003F45B7" w:rsidP="003F45B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6320F93" w14:textId="55D6C8E2" w:rsidR="00795550" w:rsidRPr="004E3F0C" w:rsidRDefault="00795550" w:rsidP="0079555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4934D9" w:rsidRPr="004934D9">
        <w:rPr>
          <w:rFonts w:ascii="Calibri" w:hAnsi="Calibri" w:cs="Calibri"/>
          <w:i/>
          <w:iCs/>
          <w:color w:val="000000" w:themeColor="text1"/>
          <w:sz w:val="22"/>
          <w:szCs w:val="22"/>
        </w:rPr>
        <w:t>Vývoj hypotečního trhu zůstává pod tlakem externích faktorů. Aktuální geopolitická situace na Blízkém východě přispívá k nejistotě na finančních trzích a udržuje úrokové sazby hypotečních úvěrů na zvýšených úrovních. Bohužel zatím nevidíme jasné signály, že by se situace měla v nejbližší době výrazně zlepšit</w:t>
      </w:r>
      <w:r w:rsidR="00E2267B" w:rsidRPr="00E2267B">
        <w:rPr>
          <w:rFonts w:ascii="Calibri" w:hAnsi="Calibri" w:cs="Calibri"/>
          <w:i/>
          <w:iCs/>
          <w:color w:val="000000" w:themeColor="text1"/>
          <w:sz w:val="22"/>
          <w:szCs w:val="22"/>
        </w:rPr>
        <w:t>%</w:t>
      </w: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>
        <w:rPr>
          <w:rFonts w:ascii="Calibri" w:hAnsi="Calibri" w:cs="Calibri"/>
          <w:color w:val="000000" w:themeColor="text1"/>
          <w:sz w:val="22"/>
          <w:szCs w:val="22"/>
        </w:rPr>
        <w:t>doplňuje</w:t>
      </w:r>
      <w:r w:rsidRPr="006337E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142116">
        <w:rPr>
          <w:rFonts w:ascii="Calibri" w:hAnsi="Calibri" w:cs="Calibri"/>
          <w:b/>
          <w:bCs/>
          <w:color w:val="000000" w:themeColor="text1"/>
          <w:sz w:val="22"/>
          <w:szCs w:val="22"/>
        </w:rPr>
        <w:t>M</w:t>
      </w:r>
      <w:r w:rsid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>ichal Neubauer</w:t>
      </w:r>
      <w:r w:rsidRPr="007D77FB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004934D9" w:rsidRP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specialista hypotečních úvěrů </w:t>
      </w:r>
      <w:proofErr w:type="spellStart"/>
      <w:r w:rsidR="004934D9" w:rsidRP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>UniCredit</w:t>
      </w:r>
      <w:proofErr w:type="spellEnd"/>
      <w:r w:rsidR="004934D9" w:rsidRP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Bank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</w:p>
    <w:p w14:paraId="78E132BE" w14:textId="5AD7C097" w:rsidR="00142116" w:rsidRPr="00142116" w:rsidRDefault="00142116" w:rsidP="00142116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296189D" w14:textId="77777777" w:rsidR="00F0147C" w:rsidRDefault="00F0147C" w:rsidP="001B2E5E">
      <w:pPr>
        <w:rPr>
          <w:rFonts w:ascii="Calibri" w:hAnsi="Calibri" w:cs="Calibri"/>
          <w:b/>
          <w:color w:val="13576B"/>
          <w:sz w:val="23"/>
          <w:szCs w:val="23"/>
        </w:rPr>
        <w:sectPr w:rsidR="00F0147C" w:rsidSect="00A06A94">
          <w:headerReference w:type="default" r:id="rId14"/>
          <w:footerReference w:type="default" r:id="rId15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198A354A" w14:textId="77777777" w:rsidR="00A71689" w:rsidRDefault="00616F34" w:rsidP="00F0147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F463BF"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 w:rsidRPr="00F463BF">
        <w:rPr>
          <w:rFonts w:ascii="Calibri" w:hAnsi="Calibri" w:cs="Calibri"/>
          <w:b/>
          <w:color w:val="13576B"/>
          <w:sz w:val="23"/>
          <w:szCs w:val="23"/>
        </w:rPr>
        <w:t>2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>: Nov</w:t>
      </w:r>
      <w:r w:rsidR="00D66E1F">
        <w:rPr>
          <w:rFonts w:ascii="Calibri" w:hAnsi="Calibri" w:cs="Calibri"/>
          <w:b/>
          <w:color w:val="13576B"/>
          <w:sz w:val="23"/>
          <w:szCs w:val="23"/>
        </w:rPr>
        <w:t>ě posk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y</w:t>
      </w:r>
      <w:r w:rsidR="00D66E1F">
        <w:rPr>
          <w:rFonts w:ascii="Calibri" w:hAnsi="Calibri" w:cs="Calibri"/>
          <w:b/>
          <w:color w:val="13576B"/>
          <w:sz w:val="23"/>
          <w:szCs w:val="23"/>
        </w:rPr>
        <w:t xml:space="preserve">tnuté </w:t>
      </w:r>
      <w:r w:rsidR="001B2E5E" w:rsidRPr="00F463BF">
        <w:rPr>
          <w:rFonts w:ascii="Calibri" w:hAnsi="Calibri" w:cs="Calibri"/>
          <w:b/>
          <w:color w:val="13576B"/>
          <w:sz w:val="23"/>
          <w:szCs w:val="23"/>
        </w:rPr>
        <w:t>hypotéky bez refinancování</w:t>
      </w:r>
      <w:r w:rsidR="00BC63D5" w:rsidRPr="00F463BF">
        <w:rPr>
          <w:rFonts w:ascii="Calibri" w:hAnsi="Calibri" w:cs="Calibri"/>
          <w:b/>
          <w:color w:val="13576B"/>
          <w:sz w:val="23"/>
          <w:szCs w:val="23"/>
        </w:rPr>
        <w:br/>
      </w:r>
      <w:r w:rsidR="004934D9">
        <w:rPr>
          <w:rFonts w:ascii="Calibri" w:hAnsi="Calibri" w:cs="Calibri"/>
          <w:bCs/>
          <w:i/>
          <w:iCs/>
          <w:color w:val="13576B"/>
          <w:sz w:val="23"/>
          <w:szCs w:val="23"/>
        </w:rPr>
        <w:t>Květen zůstal s mírnějším, ale stále</w:t>
      </w:r>
      <w:r w:rsidR="0068661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nadprůměrn</w:t>
      </w:r>
      <w:r w:rsidR="004934D9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ými </w:t>
      </w:r>
      <w:r w:rsidR="00686618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objemy, </w:t>
      </w:r>
      <w:r w:rsidR="00436085">
        <w:rPr>
          <w:rFonts w:ascii="Calibri" w:hAnsi="Calibri" w:cs="Calibri"/>
          <w:bCs/>
          <w:i/>
          <w:iCs/>
          <w:color w:val="13576B"/>
          <w:sz w:val="23"/>
          <w:szCs w:val="23"/>
        </w:rPr>
        <w:t>a to i v procentech výkonu ekonomiky.</w:t>
      </w:r>
    </w:p>
    <w:p w14:paraId="593F8D50" w14:textId="44DC5604" w:rsidR="001B2E5E" w:rsidRDefault="001B2E5E" w:rsidP="00F0147C">
      <w:pPr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3: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 Průměrná výše hypotéky podle účelu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133B2338" w14:textId="52D461D1" w:rsidR="001B2E5E" w:rsidRDefault="00795550" w:rsidP="00A71689">
      <w:pPr>
        <w:spacing w:after="120"/>
        <w:rPr>
          <w:rFonts w:ascii="Calibri" w:hAnsi="Calibri" w:cs="Calibri"/>
          <w:color w:val="000000"/>
          <w:sz w:val="22"/>
          <w:szCs w:val="22"/>
        </w:rPr>
        <w:sectPr w:rsidR="001B2E5E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V</w:t>
      </w:r>
      <w:r w:rsidRPr="00795550">
        <w:rPr>
          <w:rFonts w:ascii="Calibri" w:hAnsi="Calibri" w:cs="Calibri"/>
          <w:bCs/>
          <w:i/>
          <w:iCs/>
          <w:color w:val="13576B"/>
          <w:sz w:val="23"/>
          <w:szCs w:val="23"/>
        </w:rPr>
        <w:t> </w:t>
      </w:r>
      <w:r w:rsidR="004934D9">
        <w:rPr>
          <w:rFonts w:ascii="Calibri" w:hAnsi="Calibri" w:cs="Calibri"/>
          <w:bCs/>
          <w:i/>
          <w:iCs/>
          <w:color w:val="13576B"/>
          <w:sz w:val="23"/>
          <w:szCs w:val="23"/>
        </w:rPr>
        <w:t>květnu</w:t>
      </w:r>
      <w:r w:rsidRPr="0079555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stoupla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 w:rsidR="00A71689" w:rsidRP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>mírně klesla o 1 % meziměsíčně</w:t>
      </w:r>
      <w:r w:rsid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, ale zůstává o </w:t>
      </w:r>
      <w:r w:rsidR="00A71689" w:rsidRP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>17 % vyšší než 4,15 mil. Kč před roke</w:t>
      </w:r>
      <w:r w:rsid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m. </w:t>
      </w:r>
      <w:r w:rsidR="00A71689" w:rsidRP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="00A71689" w:rsidRPr="00A71689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64EBBCB8" w14:textId="5088D85C" w:rsidR="00686618" w:rsidRDefault="00A71689" w:rsidP="00606031">
      <w:pPr>
        <w:rPr>
          <w:rFonts w:ascii="Calibri Light" w:hAnsi="Calibri Light" w:cs="Calibri Light"/>
          <w:noProof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668B86DB" wp14:editId="6D61764E">
            <wp:extent cx="3001645" cy="2141530"/>
            <wp:effectExtent l="0" t="0" r="8255" b="0"/>
            <wp:docPr id="145652825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47" cy="2154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1F1E51" w14:textId="77777777" w:rsidR="00436085" w:rsidRPr="00606031" w:rsidRDefault="00436085" w:rsidP="00436085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>
        <w:rPr>
          <w:rFonts w:ascii="Calibri Light" w:hAnsi="Calibri Light" w:cs="Calibri Light"/>
          <w:color w:val="13576B"/>
          <w:sz w:val="20"/>
        </w:rPr>
        <w:t>P</w:t>
      </w:r>
      <w:r w:rsidRPr="00277397">
        <w:rPr>
          <w:rFonts w:ascii="Calibri Light" w:hAnsi="Calibri Light" w:cs="Calibri Light"/>
          <w:color w:val="13576B"/>
          <w:sz w:val="20"/>
        </w:rPr>
        <w:t>ramen:</w:t>
      </w:r>
      <w:r w:rsidRPr="00686618">
        <w:rPr>
          <w:rFonts w:ascii="Calibri Light" w:hAnsi="Calibri Light" w:cs="Calibri Light"/>
          <w:color w:val="13576B"/>
          <w:sz w:val="20"/>
        </w:rPr>
        <w:t xml:space="preserve"> Česká bankovní asociace, ČNB, ČSÚ, </w:t>
      </w:r>
      <w:proofErr w:type="spellStart"/>
      <w:r w:rsidRPr="00686618">
        <w:rPr>
          <w:rFonts w:ascii="Calibri Light" w:hAnsi="Calibri Light" w:cs="Calibri Light"/>
          <w:color w:val="13576B"/>
          <w:sz w:val="20"/>
        </w:rPr>
        <w:t>Flat</w:t>
      </w:r>
      <w:proofErr w:type="spellEnd"/>
      <w:r w:rsidRPr="00686618"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 w:rsidRPr="00686618">
        <w:rPr>
          <w:rFonts w:ascii="Calibri Light" w:hAnsi="Calibri Light" w:cs="Calibri Light"/>
          <w:color w:val="13576B"/>
          <w:sz w:val="20"/>
        </w:rPr>
        <w:t>Zone</w:t>
      </w:r>
      <w:proofErr w:type="spellEnd"/>
      <w:r w:rsidRPr="00277397">
        <w:rPr>
          <w:rFonts w:ascii="Calibri Light" w:hAnsi="Calibri Light" w:cs="Calibri Light"/>
          <w:color w:val="13576B"/>
          <w:sz w:val="20"/>
        </w:rPr>
        <w:t>.</w:t>
      </w:r>
    </w:p>
    <w:p w14:paraId="4DD0766A" w14:textId="2755B280" w:rsidR="00D2301A" w:rsidRPr="00D24B00" w:rsidRDefault="00867322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3D129A56" wp14:editId="0A38C101">
            <wp:extent cx="3081655" cy="1971768"/>
            <wp:effectExtent l="0" t="0" r="4445" b="9525"/>
            <wp:docPr id="18257307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362" cy="1979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F9ABC" w14:textId="77777777" w:rsidR="00606031" w:rsidRDefault="004A5428" w:rsidP="004A5428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bookmarkEnd w:id="1"/>
    <w:bookmarkEnd w:id="2"/>
    <w:bookmarkEnd w:id="3"/>
    <w:p w14:paraId="3F4E447D" w14:textId="77777777" w:rsidR="00436085" w:rsidRDefault="00436085" w:rsidP="004360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8D7FD2F" w14:textId="6E065114" w:rsidR="00DA2CF3" w:rsidRPr="00DA2CF3" w:rsidRDefault="0041772D" w:rsidP="00DA2CF3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3F45B7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 xml:space="preserve">Objem refinancovaných a navýšených úvěrů (interně či z jiné instituce) v květnu poklesl na 14,5 mld. Kč. 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Nicméně je to o 105 % více než průměrných 7,1 miliardy refinancovaných v loňském roce a téměř trojnásobně více než refinancované objemy v roce 2024. Podíl refinancovaných úvěrů na celkovém objemu poskytnutých hypoték pak </w:t>
      </w:r>
      <w:r>
        <w:rPr>
          <w:rFonts w:ascii="Calibri" w:hAnsi="Calibri" w:cs="Calibri"/>
          <w:color w:val="000000"/>
          <w:sz w:val="22"/>
          <w:szCs w:val="22"/>
        </w:rPr>
        <w:t>nepatrně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 klesl </w:t>
      </w:r>
      <w:r>
        <w:rPr>
          <w:rFonts w:ascii="Calibri" w:hAnsi="Calibri" w:cs="Calibri"/>
          <w:color w:val="000000"/>
          <w:sz w:val="22"/>
          <w:szCs w:val="22"/>
        </w:rPr>
        <w:t>pod 28 %, ale zůstává výrazně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 nad loňským průměrem </w:t>
      </w:r>
      <w:r>
        <w:rPr>
          <w:rFonts w:ascii="Calibri" w:hAnsi="Calibri" w:cs="Calibri"/>
          <w:color w:val="000000"/>
          <w:sz w:val="22"/>
          <w:szCs w:val="22"/>
        </w:rPr>
        <w:t>21</w:t>
      </w:r>
      <w:r w:rsidRPr="003F45B7">
        <w:rPr>
          <w:rFonts w:ascii="Calibri" w:hAnsi="Calibri" w:cs="Calibri"/>
          <w:color w:val="000000"/>
          <w:sz w:val="22"/>
          <w:szCs w:val="22"/>
        </w:rPr>
        <w:t xml:space="preserve"> %. Nachází se tak nad 17,2% podílem z let 2022-2023, ovšem stále pod téměř 29% podílem z let 2020-2021, kdy domácnosti refinancovaly za hypoteční sazbu 2,14 %. V květnu 2026 se domácnosti refinancovaly za úrokovou sazbu 4,52 %, což je ovšem stále o </w:t>
      </w:r>
      <w:proofErr w:type="gramStart"/>
      <w:r w:rsidRPr="003F45B7">
        <w:rPr>
          <w:rFonts w:ascii="Calibri" w:hAnsi="Calibri" w:cs="Calibri"/>
          <w:color w:val="000000"/>
          <w:sz w:val="22"/>
          <w:szCs w:val="22"/>
        </w:rPr>
        <w:t>0,05 procentního</w:t>
      </w:r>
      <w:proofErr w:type="gramEnd"/>
      <w:r w:rsidRPr="003F45B7">
        <w:rPr>
          <w:rFonts w:ascii="Calibri" w:hAnsi="Calibri" w:cs="Calibri"/>
          <w:color w:val="000000"/>
          <w:sz w:val="22"/>
          <w:szCs w:val="22"/>
        </w:rPr>
        <w:t xml:space="preserve"> bodu méně než 4,57 % před rokem</w:t>
      </w:r>
      <w:r>
        <w:rPr>
          <w:rFonts w:ascii="Calibri" w:hAnsi="Calibri" w:cs="Calibri"/>
          <w:color w:val="000000"/>
          <w:sz w:val="22"/>
          <w:szCs w:val="22"/>
        </w:rPr>
        <w:t xml:space="preserve">. Tato sazba také stoupla méně než v případě úrokové sazby na nové hypotéky. </w:t>
      </w:r>
      <w:r w:rsidRPr="003F45B7">
        <w:rPr>
          <w:rFonts w:ascii="Calibri" w:hAnsi="Calibri" w:cs="Calibri"/>
          <w:color w:val="000000"/>
          <w:sz w:val="22"/>
          <w:szCs w:val="22"/>
        </w:rPr>
        <w:t>Vyšší objemy refinancování odrážejí souběh končících delších fixací z období nízkých úrokových sazeb a kratších fixací z nedávného období vyšších úrokových sazeb.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A2CF3" w:rsidRPr="00DA2CF3">
        <w:rPr>
          <w:rFonts w:ascii="Calibri" w:hAnsi="Calibri" w:cs="Calibri"/>
          <w:color w:val="000000"/>
          <w:sz w:val="22"/>
          <w:szCs w:val="22"/>
        </w:rPr>
        <w:t xml:space="preserve">Blíže k stoupající vlně refixací viz Fokus ČBA: </w:t>
      </w:r>
      <w:hyperlink r:id="rId18" w:history="1">
        <w:r w:rsidR="00DA2CF3" w:rsidRPr="00DA2CF3">
          <w:rPr>
            <w:rStyle w:val="Hypertextovodkaz"/>
            <w:rFonts w:ascii="Calibri" w:hAnsi="Calibri" w:cs="Calibri"/>
            <w:sz w:val="22"/>
            <w:szCs w:val="22"/>
          </w:rPr>
          <w:t>Vlna refixací hypoték sílí, úrokový šok ale slábne. Rizikem zůstává vyšší inflace</w:t>
        </w:r>
      </w:hyperlink>
      <w:r w:rsidR="00DA2CF3" w:rsidRPr="00DA2CF3">
        <w:rPr>
          <w:rFonts w:ascii="Calibri" w:hAnsi="Calibri" w:cs="Calibri"/>
          <w:sz w:val="22"/>
          <w:szCs w:val="22"/>
        </w:rPr>
        <w:t>.</w:t>
      </w:r>
      <w:r w:rsidR="00DA2CF3">
        <w:t xml:space="preserve"> </w:t>
      </w:r>
    </w:p>
    <w:p w14:paraId="3339B245" w14:textId="77777777" w:rsidR="00652484" w:rsidRPr="00FF3215" w:rsidRDefault="00652484" w:rsidP="0043608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8A6516B" w14:textId="47528F45" w:rsidR="00436085" w:rsidRPr="00CC5202" w:rsidRDefault="00436085" w:rsidP="00436085">
      <w:pPr>
        <w:pBdr>
          <w:top w:val="single" w:sz="4" w:space="4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AB747A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4934D9" w:rsidRPr="004934D9">
        <w:rPr>
          <w:rFonts w:ascii="Calibri" w:hAnsi="Calibri" w:cs="Calibri"/>
          <w:i/>
          <w:iCs/>
          <w:color w:val="000000" w:themeColor="text1"/>
          <w:sz w:val="22"/>
          <w:szCs w:val="22"/>
        </w:rPr>
        <w:t>Hypoteční trh zůstává aktivní, ale hlavním tématem pro klienty už není pouze samotná výše úrokové sazby. Stále významnější roli hraje růst cen nemovitostí, který zvyšuje průměrnou výši hypotéky i požadavky na vlastní zdroje. Sazby v lednu až březnu ještě mírně klesaly, ale v dubnu se vrátily opět výše, což se promítlo i do naší nabídky.  Další výraznější snižování sazeb naráží na vývoj delších tržních sazeb. Z pohledu klientů proto bude v dalších měsících klíčová nejen sazba, ale hlavně celková udržitelnost splátky a dostatečná finanční rezerva. Na realitním trhu nadále vidíme silnou poptávku při omezené nabídce, což zejména u bytů drží ceny vysoko a dostupnost bydlení dále komplikuje</w:t>
      </w:r>
      <w:r w:rsidR="00586686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“ </w:t>
      </w:r>
      <w:r>
        <w:rPr>
          <w:rFonts w:ascii="Calibri" w:hAnsi="Calibri" w:cs="Calibri"/>
          <w:color w:val="000000" w:themeColor="text1"/>
          <w:sz w:val="22"/>
          <w:szCs w:val="22"/>
        </w:rPr>
        <w:t>podotýká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4934D9" w:rsidRP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>Miloš Jelín</w:t>
      </w:r>
      <w:r w:rsid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>e</w:t>
      </w:r>
      <w:r w:rsidR="004934D9" w:rsidRP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>k, vedoucí úvěrových pracovníků hypoték</w:t>
      </w:r>
      <w:r w:rsidR="004934D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Fio banky.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0A09737B" w14:textId="77777777" w:rsidR="00652484" w:rsidRDefault="00652484" w:rsidP="00436085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9DB8501" w14:textId="2BE55886" w:rsidR="00436085" w:rsidRDefault="00436085" w:rsidP="00436085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>P</w:t>
      </w: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růměrná hypoteční sazba </w:t>
      </w:r>
      <w:r>
        <w:rPr>
          <w:rFonts w:ascii="Calibri" w:hAnsi="Calibri" w:cs="Calibri"/>
          <w:b/>
          <w:color w:val="13576B"/>
          <w:sz w:val="23"/>
          <w:szCs w:val="23"/>
        </w:rPr>
        <w:t>v</w:t>
      </w:r>
      <w:r w:rsidR="00A71689">
        <w:rPr>
          <w:rFonts w:ascii="Calibri" w:hAnsi="Calibri" w:cs="Calibri"/>
          <w:b/>
          <w:color w:val="13576B"/>
          <w:sz w:val="23"/>
          <w:szCs w:val="23"/>
        </w:rPr>
        <w:t> květnu vzrostla na 4,67 %, relativně mírně vůči růst</w:t>
      </w:r>
      <w:r w:rsidR="00A15939">
        <w:rPr>
          <w:rFonts w:ascii="Calibri" w:hAnsi="Calibri" w:cs="Calibri"/>
          <w:b/>
          <w:color w:val="13576B"/>
          <w:sz w:val="23"/>
          <w:szCs w:val="23"/>
        </w:rPr>
        <w:t>u</w:t>
      </w:r>
      <w:r w:rsidR="00A71689">
        <w:rPr>
          <w:rFonts w:ascii="Calibri" w:hAnsi="Calibri" w:cs="Calibri"/>
          <w:b/>
          <w:color w:val="13576B"/>
          <w:sz w:val="23"/>
          <w:szCs w:val="23"/>
        </w:rPr>
        <w:t xml:space="preserve"> tržních úrokových sazeb </w:t>
      </w:r>
    </w:p>
    <w:p w14:paraId="17D6276F" w14:textId="77777777" w:rsidR="00B12AAF" w:rsidRDefault="00B12AAF" w:rsidP="00436085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4266B066" w14:textId="180D22D3" w:rsidR="00A71689" w:rsidRDefault="00A71689" w:rsidP="00A71689">
      <w:pPr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A71689">
        <w:rPr>
          <w:rFonts w:ascii="Calibri" w:hAnsi="Calibri" w:cs="Calibri"/>
          <w:b/>
          <w:color w:val="000000" w:themeColor="text1"/>
          <w:sz w:val="23"/>
          <w:szCs w:val="23"/>
        </w:rPr>
        <w:t xml:space="preserve">Průměrná realizovaná úroková sazba u nových hypoték v květnu dále vzrostla na 4,67 % z dubnových 4,52 %. </w:t>
      </w:r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 xml:space="preserve">Její květnová úroveň je o </w:t>
      </w:r>
      <w:proofErr w:type="gramStart"/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>0,07 procentního</w:t>
      </w:r>
      <w:proofErr w:type="gramEnd"/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bodu výše než 4,6% sazba před rokem, což snižuje měsíční splátky hypotéky o 200 Kč, tedy přibližně o 0,2 % čistého příjmu žadatele. Pro srovnání průměrná hodnota hypoteční sazby v roce 2025 dosáhla 4,58 %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a </w:t>
      </w:r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>5,07 % v roce 2024.</w:t>
      </w:r>
      <w:r w:rsidRPr="00A71689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</w:p>
    <w:p w14:paraId="031724C4" w14:textId="77777777" w:rsidR="00A71689" w:rsidRPr="00A71689" w:rsidRDefault="00A71689" w:rsidP="00A71689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0836332E" w14:textId="10197F8C" w:rsidR="00A71689" w:rsidRPr="00A71689" w:rsidRDefault="00A71689" w:rsidP="00A71689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A71689">
        <w:rPr>
          <w:rFonts w:ascii="Calibri" w:hAnsi="Calibri" w:cs="Calibri"/>
          <w:b/>
          <w:color w:val="000000" w:themeColor="text1"/>
          <w:sz w:val="23"/>
          <w:szCs w:val="23"/>
        </w:rPr>
        <w:t>Květnová úroková hypoteční sazba se se 4,67 % nacházela</w:t>
      </w:r>
      <w:r>
        <w:rPr>
          <w:rFonts w:ascii="Calibri" w:hAnsi="Calibri" w:cs="Calibri"/>
          <w:b/>
          <w:color w:val="000000" w:themeColor="text1"/>
          <w:sz w:val="23"/>
          <w:szCs w:val="23"/>
        </w:rPr>
        <w:t xml:space="preserve"> pouze</w:t>
      </w:r>
      <w:r w:rsidRPr="00A71689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proofErr w:type="gramStart"/>
      <w:r w:rsidRPr="00A71689">
        <w:rPr>
          <w:rFonts w:ascii="Calibri" w:hAnsi="Calibri" w:cs="Calibri"/>
          <w:b/>
          <w:color w:val="000000" w:themeColor="text1"/>
          <w:sz w:val="23"/>
          <w:szCs w:val="23"/>
        </w:rPr>
        <w:t>0,36 procentního</w:t>
      </w:r>
      <w:proofErr w:type="gramEnd"/>
      <w:r w:rsidRPr="00A71689">
        <w:rPr>
          <w:rFonts w:ascii="Calibri" w:hAnsi="Calibri" w:cs="Calibri"/>
          <w:b/>
          <w:color w:val="000000" w:themeColor="text1"/>
          <w:sz w:val="23"/>
          <w:szCs w:val="23"/>
        </w:rPr>
        <w:t xml:space="preserve"> bodu nad průměrnými tržními swapovými sazbami. </w:t>
      </w:r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 xml:space="preserve">To je významně o </w:t>
      </w:r>
      <w:proofErr w:type="gramStart"/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>0,7 procentního</w:t>
      </w:r>
      <w:proofErr w:type="gramEnd"/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bodu pod dlouhodobým průměrným jednoprocentním rozdílem mezi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hypoteční</w:t>
      </w:r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a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tržní</w:t>
      </w:r>
      <w:r w:rsidRPr="00A71689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úrokovou sazbou (od roku 2014 činil tento průměrný rozdíl 1,05 p. b.).</w:t>
      </w:r>
      <w:r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Ponechání obdobného rozdílu i v červnu by při současných tržních úrokových sazbách implikovala hypoteční sazbu okolo 4,75 %. </w:t>
      </w:r>
      <w:hyperlink r:id="rId19" w:history="1">
        <w:r w:rsidRPr="005A4638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V naší studii</w:t>
        </w:r>
      </w:hyperlink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Pr="00A71689">
        <w:rPr>
          <w:rFonts w:ascii="Calibri" w:hAnsi="Calibri" w:cs="Calibri"/>
          <w:color w:val="000000" w:themeColor="text1"/>
          <w:sz w:val="22"/>
          <w:szCs w:val="22"/>
        </w:rPr>
        <w:t xml:space="preserve">jsme </w:t>
      </w:r>
      <w:r w:rsidRPr="00D66E1F">
        <w:rPr>
          <w:rFonts w:ascii="Calibri" w:hAnsi="Calibri" w:cs="Calibri"/>
          <w:color w:val="000000" w:themeColor="text1"/>
          <w:sz w:val="22"/>
          <w:szCs w:val="22"/>
        </w:rPr>
        <w:t>poukázali na strukturální faktory, především sílu poptávky na konkurenčním trhu, které ovlivňují působení tržních úrokových sazeb na hypoteční sazby.</w:t>
      </w:r>
    </w:p>
    <w:p w14:paraId="788A1C8E" w14:textId="22562D5A" w:rsidR="00A71689" w:rsidRDefault="00A71689" w:rsidP="00A71689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5CBCA195" w14:textId="1881DF07" w:rsidR="00A71689" w:rsidRPr="00B17A43" w:rsidRDefault="00A71689" w:rsidP="00A71689">
      <w:pPr>
        <w:rPr>
          <w:rFonts w:ascii="Calibri" w:hAnsi="Calibri" w:cs="Calibri"/>
          <w:b/>
          <w:color w:val="000000" w:themeColor="text1"/>
          <w:sz w:val="23"/>
          <w:szCs w:val="23"/>
        </w:rPr>
      </w:pPr>
      <w:r w:rsidRPr="00B17A43">
        <w:rPr>
          <w:rFonts w:ascii="Calibri" w:hAnsi="Calibri" w:cs="Calibri"/>
          <w:b/>
          <w:color w:val="000000" w:themeColor="text1"/>
          <w:sz w:val="23"/>
          <w:szCs w:val="23"/>
        </w:rPr>
        <w:t xml:space="preserve">Mezi domácí faktory, které ovlivnily vývoj úrokových swapů především patřily stále vysoká jádrová inflace, vyšší růst mezd bez produktivity práce, a to v prostředí stále nevyjasněné situace okolo </w:t>
      </w:r>
      <w:proofErr w:type="spellStart"/>
      <w:r w:rsidRPr="00B17A43">
        <w:rPr>
          <w:rFonts w:ascii="Calibri" w:hAnsi="Calibri" w:cs="Calibri"/>
          <w:b/>
          <w:color w:val="000000" w:themeColor="text1"/>
          <w:sz w:val="23"/>
          <w:szCs w:val="23"/>
        </w:rPr>
        <w:t>Hormuzkého</w:t>
      </w:r>
      <w:proofErr w:type="spellEnd"/>
      <w:r w:rsidRPr="00B17A43">
        <w:rPr>
          <w:rFonts w:ascii="Calibri" w:hAnsi="Calibri" w:cs="Calibri"/>
          <w:b/>
          <w:color w:val="000000" w:themeColor="text1"/>
          <w:sz w:val="23"/>
          <w:szCs w:val="23"/>
        </w:rPr>
        <w:t xml:space="preserve"> průlivu. </w:t>
      </w:r>
      <w:r w:rsidRPr="00B17A43">
        <w:rPr>
          <w:rFonts w:ascii="Calibri" w:hAnsi="Calibri" w:cs="Calibri"/>
          <w:bCs/>
          <w:color w:val="000000" w:themeColor="text1"/>
          <w:sz w:val="23"/>
          <w:szCs w:val="23"/>
        </w:rPr>
        <w:t>Toto se odráží v tržní</w:t>
      </w:r>
      <w:r w:rsidR="00A15939" w:rsidRPr="00B17A43">
        <w:rPr>
          <w:rFonts w:ascii="Calibri" w:hAnsi="Calibri" w:cs="Calibri"/>
          <w:bCs/>
          <w:color w:val="000000" w:themeColor="text1"/>
          <w:sz w:val="23"/>
          <w:szCs w:val="23"/>
        </w:rPr>
        <w:t>m</w:t>
      </w:r>
      <w:r w:rsidRPr="00B17A43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očekávání zvýšení úrokové sazby ČNB. Blíže k těmto fakt</w:t>
      </w:r>
      <w:r w:rsidR="00C1363D" w:rsidRPr="00B17A43">
        <w:rPr>
          <w:rFonts w:ascii="Calibri" w:hAnsi="Calibri" w:cs="Calibri"/>
          <w:bCs/>
          <w:color w:val="000000" w:themeColor="text1"/>
          <w:sz w:val="23"/>
          <w:szCs w:val="23"/>
        </w:rPr>
        <w:t xml:space="preserve">orům viz analýzy na ČBA Monitoru: </w:t>
      </w:r>
      <w:hyperlink r:id="rId20" w:history="1">
        <w:r w:rsidR="00C1363D" w:rsidRPr="00B17A43">
          <w:rPr>
            <w:rStyle w:val="Hypertextovodkaz"/>
            <w:rFonts w:ascii="Calibri" w:hAnsi="Calibri" w:cs="Calibri"/>
            <w:sz w:val="23"/>
            <w:szCs w:val="23"/>
          </w:rPr>
          <w:t>Nízká inflace klame. Domácí tlaky mohou ČNB přimět ke zvýšení sazeb</w:t>
        </w:r>
      </w:hyperlink>
      <w:r w:rsidR="00C1363D" w:rsidRPr="00B17A43">
        <w:rPr>
          <w:rFonts w:ascii="Calibri" w:hAnsi="Calibri" w:cs="Calibri"/>
          <w:sz w:val="23"/>
          <w:szCs w:val="23"/>
        </w:rPr>
        <w:t xml:space="preserve">, </w:t>
      </w:r>
      <w:hyperlink r:id="rId21" w:history="1">
        <w:r w:rsidR="00C1363D" w:rsidRPr="00B17A43">
          <w:rPr>
            <w:rStyle w:val="Hypertextovodkaz"/>
            <w:rFonts w:ascii="Calibri" w:hAnsi="Calibri" w:cs="Calibri"/>
            <w:sz w:val="23"/>
            <w:szCs w:val="23"/>
          </w:rPr>
          <w:t>Nižší květnová inflace při silnějším růstu mezd představuje pro ČNB trojí dilema</w:t>
        </w:r>
      </w:hyperlink>
      <w:r w:rsidR="00C1363D" w:rsidRPr="00B17A43">
        <w:rPr>
          <w:rFonts w:ascii="Calibri" w:hAnsi="Calibri" w:cs="Calibri"/>
          <w:sz w:val="23"/>
          <w:szCs w:val="23"/>
        </w:rPr>
        <w:t xml:space="preserve">, </w:t>
      </w:r>
      <w:hyperlink r:id="rId22" w:history="1">
        <w:r w:rsidR="00C1363D" w:rsidRPr="00B17A43">
          <w:rPr>
            <w:rStyle w:val="Hypertextovodkaz"/>
            <w:rFonts w:ascii="Calibri" w:hAnsi="Calibri" w:cs="Calibri"/>
            <w:sz w:val="23"/>
            <w:szCs w:val="23"/>
          </w:rPr>
          <w:t>Ekonomika v prvním čtvrtletí zpomalila, její struktura ale zůstává povzbudivá</w:t>
        </w:r>
      </w:hyperlink>
      <w:r w:rsidR="00C1363D" w:rsidRPr="00B17A43">
        <w:rPr>
          <w:rFonts w:ascii="Calibri" w:hAnsi="Calibri" w:cs="Calibri"/>
          <w:sz w:val="23"/>
          <w:szCs w:val="23"/>
        </w:rPr>
        <w:t xml:space="preserve">. </w:t>
      </w:r>
    </w:p>
    <w:p w14:paraId="57B12212" w14:textId="77777777" w:rsidR="00DA2CF3" w:rsidRDefault="00DA2CF3" w:rsidP="00436085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1A8319A8" w14:textId="6E883753" w:rsidR="00544E51" w:rsidRPr="00C1363D" w:rsidRDefault="00612FFF" w:rsidP="00436085">
      <w:pPr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486BC4">
        <w:rPr>
          <w:rFonts w:ascii="Calibri" w:hAnsi="Calibri" w:cs="Calibri"/>
          <w:b/>
          <w:color w:val="000000" w:themeColor="text1"/>
          <w:sz w:val="23"/>
          <w:szCs w:val="23"/>
        </w:rPr>
        <w:t>České tržní delší úrokové sazby,</w:t>
      </w:r>
      <w:r w:rsidRPr="00486BC4">
        <w:rPr>
          <w:rStyle w:val="Znakapoznpodarou"/>
          <w:rFonts w:ascii="Calibri" w:hAnsi="Calibri" w:cs="Calibri"/>
          <w:b/>
          <w:i/>
          <w:iCs/>
          <w:color w:val="000000" w:themeColor="text1"/>
          <w:sz w:val="22"/>
          <w:szCs w:val="22"/>
        </w:rPr>
        <w:footnoteReference w:id="1"/>
      </w:r>
      <w:r w:rsidR="00A71689">
        <w:rPr>
          <w:rFonts w:ascii="Calibri" w:hAnsi="Calibri" w:cs="Calibri"/>
          <w:b/>
          <w:color w:val="000000" w:themeColor="text1"/>
          <w:sz w:val="23"/>
          <w:szCs w:val="23"/>
        </w:rPr>
        <w:t xml:space="preserve"> </w:t>
      </w:r>
      <w:r w:rsidR="00A71689" w:rsidRPr="00A71689">
        <w:rPr>
          <w:rFonts w:ascii="Calibri" w:hAnsi="Calibri" w:cs="Calibri"/>
          <w:b/>
          <w:color w:val="000000" w:themeColor="text1"/>
          <w:sz w:val="22"/>
          <w:szCs w:val="22"/>
        </w:rPr>
        <w:t>které mají klíčový vliv na hypoteční sazby</w:t>
      </w:r>
      <w:r w:rsidR="00C1363D">
        <w:rPr>
          <w:rFonts w:ascii="Calibri" w:hAnsi="Calibri" w:cs="Calibri"/>
          <w:b/>
          <w:color w:val="000000" w:themeColor="text1"/>
          <w:sz w:val="22"/>
          <w:szCs w:val="22"/>
        </w:rPr>
        <w:t>, kde převládají tříleté fixace</w:t>
      </w:r>
      <w:r w:rsidR="00A71689" w:rsidRPr="00A71689">
        <w:rPr>
          <w:rFonts w:ascii="Calibri" w:hAnsi="Calibri" w:cs="Calibri"/>
          <w:b/>
          <w:color w:val="000000" w:themeColor="text1"/>
          <w:sz w:val="22"/>
          <w:szCs w:val="22"/>
        </w:rPr>
        <w:t xml:space="preserve">, </w:t>
      </w:r>
      <w:r w:rsidR="00C1363D">
        <w:rPr>
          <w:rFonts w:ascii="Calibri" w:hAnsi="Calibri" w:cs="Calibri"/>
          <w:b/>
          <w:color w:val="000000" w:themeColor="text1"/>
          <w:sz w:val="22"/>
          <w:szCs w:val="22"/>
        </w:rPr>
        <w:t xml:space="preserve">zůstaly </w:t>
      </w:r>
      <w:r w:rsidR="00A71689">
        <w:rPr>
          <w:rFonts w:ascii="Calibri" w:hAnsi="Calibri" w:cs="Calibri"/>
          <w:b/>
          <w:color w:val="000000" w:themeColor="text1"/>
          <w:sz w:val="22"/>
          <w:szCs w:val="22"/>
        </w:rPr>
        <w:t xml:space="preserve">i v červnu nadále </w:t>
      </w:r>
      <w:r w:rsidR="00C1363D">
        <w:rPr>
          <w:rFonts w:ascii="Calibri" w:hAnsi="Calibri" w:cs="Calibri"/>
          <w:b/>
          <w:color w:val="000000" w:themeColor="text1"/>
          <w:sz w:val="22"/>
          <w:szCs w:val="22"/>
        </w:rPr>
        <w:t xml:space="preserve">vysoké. </w:t>
      </w:r>
      <w:r w:rsidR="00A71689" w:rsidRPr="00C1363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České pětileté úrokové swapy v květnu stouply o </w:t>
      </w:r>
      <w:proofErr w:type="gramStart"/>
      <w:r w:rsidR="00A71689" w:rsidRPr="00C1363D">
        <w:rPr>
          <w:rFonts w:ascii="Calibri" w:hAnsi="Calibri" w:cs="Calibri"/>
          <w:bCs/>
          <w:color w:val="000000" w:themeColor="text1"/>
          <w:sz w:val="22"/>
          <w:szCs w:val="22"/>
        </w:rPr>
        <w:t>0,2 procentního</w:t>
      </w:r>
      <w:proofErr w:type="gramEnd"/>
      <w:r w:rsidR="00A71689" w:rsidRPr="00C1363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bodu na 4,39 % z </w:t>
      </w:r>
      <w:r w:rsidR="00A71689" w:rsidRPr="00C1363D">
        <w:rPr>
          <w:rFonts w:ascii="Calibri" w:hAnsi="Calibri" w:cs="Calibri"/>
          <w:bCs/>
          <w:color w:val="000000" w:themeColor="text1"/>
          <w:sz w:val="22"/>
          <w:szCs w:val="22"/>
        </w:rPr>
        <w:lastRenderedPageBreak/>
        <w:t>dubnových 4,19 % a nacházely se nad březnovými 4,19 %</w:t>
      </w:r>
      <w:r w:rsidR="00C1363D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  <w:r w:rsidR="00A71689" w:rsidRPr="00C1363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="00C1363D">
        <w:rPr>
          <w:rFonts w:ascii="Calibri" w:hAnsi="Calibri" w:cs="Calibri"/>
          <w:bCs/>
          <w:color w:val="000000" w:themeColor="text1"/>
          <w:sz w:val="22"/>
          <w:szCs w:val="22"/>
        </w:rPr>
        <w:t xml:space="preserve">Jejich prozatímní červnové úrovně překonaly 4,4 %, což jsou opět nejvyšší hodnoty za posledních dvanáct měsíců, zatímco nejnižší hodnoty byly v loňském červnu okolo 3,54 %. </w:t>
      </w:r>
      <w:r w:rsidR="00A71689" w:rsidRPr="00C1363D">
        <w:rPr>
          <w:rFonts w:ascii="Calibri" w:hAnsi="Calibri" w:cs="Calibri"/>
          <w:bCs/>
          <w:color w:val="000000" w:themeColor="text1"/>
          <w:sz w:val="22"/>
          <w:szCs w:val="22"/>
        </w:rPr>
        <w:t>V případě amerických pětiletých úrokových swapů došlo v květnu k jejich růstu na 4,13 % z dubnových 3,89 % a nacházely se 0,27 p. b. nad jejich průměrnou hodnotou z roku 2025. Eurové pětileté swapy v květnu stouply na 2,89 % z dubnových 2,85 % a byly 0,55 p. b. nad jejich průměrnou loňskou úrovní 2,34 %.</w:t>
      </w:r>
    </w:p>
    <w:p w14:paraId="3EDC2E0C" w14:textId="77777777" w:rsidR="00436085" w:rsidRDefault="00436085" w:rsidP="00436085">
      <w:pPr>
        <w:rPr>
          <w:rFonts w:ascii="Calibri" w:hAnsi="Calibri" w:cs="Calibri"/>
          <w:b/>
          <w:color w:val="000000" w:themeColor="text1"/>
          <w:sz w:val="23"/>
          <w:szCs w:val="23"/>
        </w:rPr>
      </w:pPr>
    </w:p>
    <w:p w14:paraId="479EF412" w14:textId="4D40C121" w:rsidR="00616F34" w:rsidRP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  <w:sectPr w:rsidR="00616F34" w:rsidRPr="00616F34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636F55D4" w14:textId="535B8789" w:rsidR="001B2E5E" w:rsidRDefault="001B2E5E" w:rsidP="001B2E5E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4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úroková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>sazba – nové obchody</w:t>
      </w:r>
    </w:p>
    <w:p w14:paraId="00505FA7" w14:textId="1F172026" w:rsidR="005A4638" w:rsidRDefault="00867322" w:rsidP="008E3BA7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Květnové</w:t>
      </w:r>
      <w:r w:rsidR="00F463BF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hypoteční sazby </w:t>
      </w:r>
      <w:r w:rsidR="0025756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začaly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mírně</w:t>
      </w:r>
      <w:r w:rsidR="0025756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reflektovat růst tržních sazeb … </w:t>
      </w:r>
    </w:p>
    <w:p w14:paraId="45164D8D" w14:textId="77777777" w:rsidR="001B2E5E" w:rsidRDefault="001B2E5E" w:rsidP="006D5361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5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AD4353">
        <w:rPr>
          <w:rFonts w:ascii="Calibri" w:hAnsi="Calibri" w:cs="Calibri"/>
          <w:b/>
          <w:color w:val="13576B"/>
          <w:sz w:val="23"/>
          <w:szCs w:val="23"/>
        </w:rPr>
        <w:t xml:space="preserve">Americký útok na Írán </w:t>
      </w:r>
      <w:r w:rsidR="00486BC4">
        <w:rPr>
          <w:rFonts w:ascii="Calibri" w:hAnsi="Calibri" w:cs="Calibri"/>
          <w:b/>
          <w:color w:val="13576B"/>
          <w:sz w:val="23"/>
          <w:szCs w:val="23"/>
        </w:rPr>
        <w:t>výrazně navýšil tržní swapové úrokové sazby</w:t>
      </w:r>
    </w:p>
    <w:p w14:paraId="380635EC" w14:textId="0B7B1AC2" w:rsidR="0025756A" w:rsidRPr="0025756A" w:rsidRDefault="0025756A" w:rsidP="006D5361">
      <w:pPr>
        <w:overflowPunct/>
        <w:autoSpaceDE/>
        <w:adjustRightInd/>
        <w:rPr>
          <w:rFonts w:ascii="Calibri" w:hAnsi="Calibri" w:cs="Calibri"/>
          <w:bCs/>
          <w:color w:val="13576B"/>
          <w:sz w:val="23"/>
          <w:szCs w:val="23"/>
        </w:rPr>
        <w:sectPr w:rsidR="0025756A" w:rsidRPr="0025756A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>
        <w:rPr>
          <w:rFonts w:ascii="Calibri" w:hAnsi="Calibri" w:cs="Calibri"/>
          <w:bCs/>
          <w:color w:val="13576B"/>
          <w:sz w:val="23"/>
          <w:szCs w:val="23"/>
        </w:rPr>
        <w:t xml:space="preserve">… které </w:t>
      </w:r>
      <w:r w:rsidR="00867322">
        <w:rPr>
          <w:rFonts w:ascii="Calibri" w:hAnsi="Calibri" w:cs="Calibri"/>
          <w:bCs/>
          <w:color w:val="13576B"/>
          <w:sz w:val="23"/>
          <w:szCs w:val="23"/>
        </w:rPr>
        <w:t>překovávají</w:t>
      </w:r>
      <w:r>
        <w:rPr>
          <w:rFonts w:ascii="Calibri" w:hAnsi="Calibri" w:cs="Calibri"/>
          <w:bCs/>
          <w:color w:val="13576B"/>
          <w:sz w:val="23"/>
          <w:szCs w:val="23"/>
        </w:rPr>
        <w:t xml:space="preserve"> úrovn</w:t>
      </w:r>
      <w:r w:rsidR="00867322">
        <w:rPr>
          <w:rFonts w:ascii="Calibri" w:hAnsi="Calibri" w:cs="Calibri"/>
          <w:bCs/>
          <w:color w:val="13576B"/>
          <w:sz w:val="23"/>
          <w:szCs w:val="23"/>
        </w:rPr>
        <w:t>ě</w:t>
      </w:r>
      <w:r>
        <w:rPr>
          <w:rFonts w:ascii="Calibri" w:hAnsi="Calibri" w:cs="Calibri"/>
          <w:bCs/>
          <w:color w:val="13576B"/>
          <w:sz w:val="23"/>
          <w:szCs w:val="23"/>
        </w:rPr>
        <w:t xml:space="preserve"> z poloviny roku 2024 kvůli n</w:t>
      </w:r>
      <w:r w:rsidRPr="0025756A">
        <w:rPr>
          <w:rFonts w:ascii="Calibri" w:hAnsi="Calibri" w:cs="Calibri"/>
          <w:bCs/>
          <w:color w:val="13576B"/>
          <w:sz w:val="23"/>
          <w:szCs w:val="23"/>
        </w:rPr>
        <w:t>evyřešen</w:t>
      </w:r>
      <w:r>
        <w:rPr>
          <w:rFonts w:ascii="Calibri" w:hAnsi="Calibri" w:cs="Calibri"/>
          <w:bCs/>
          <w:color w:val="13576B"/>
          <w:sz w:val="23"/>
          <w:szCs w:val="23"/>
        </w:rPr>
        <w:t>ému</w:t>
      </w:r>
      <w:r w:rsidRPr="0025756A">
        <w:rPr>
          <w:rFonts w:ascii="Calibri" w:hAnsi="Calibri" w:cs="Calibri"/>
          <w:bCs/>
          <w:color w:val="13576B"/>
          <w:sz w:val="23"/>
          <w:szCs w:val="23"/>
        </w:rPr>
        <w:t xml:space="preserve"> </w:t>
      </w:r>
      <w:proofErr w:type="spellStart"/>
      <w:r w:rsidRPr="0025756A">
        <w:rPr>
          <w:rFonts w:ascii="Calibri" w:hAnsi="Calibri" w:cs="Calibri"/>
          <w:bCs/>
          <w:color w:val="13576B"/>
          <w:sz w:val="23"/>
          <w:szCs w:val="23"/>
        </w:rPr>
        <w:t>Horm</w:t>
      </w:r>
      <w:r>
        <w:rPr>
          <w:rFonts w:ascii="Calibri" w:hAnsi="Calibri" w:cs="Calibri"/>
          <w:bCs/>
          <w:color w:val="13576B"/>
          <w:sz w:val="23"/>
          <w:szCs w:val="23"/>
        </w:rPr>
        <w:t>u</w:t>
      </w:r>
      <w:r w:rsidRPr="0025756A">
        <w:rPr>
          <w:rFonts w:ascii="Calibri" w:hAnsi="Calibri" w:cs="Calibri"/>
          <w:bCs/>
          <w:color w:val="13576B"/>
          <w:sz w:val="23"/>
          <w:szCs w:val="23"/>
        </w:rPr>
        <w:t>zsk</w:t>
      </w:r>
      <w:r>
        <w:rPr>
          <w:rFonts w:ascii="Calibri" w:hAnsi="Calibri" w:cs="Calibri"/>
          <w:bCs/>
          <w:color w:val="13576B"/>
          <w:sz w:val="23"/>
          <w:szCs w:val="23"/>
        </w:rPr>
        <w:t>ému</w:t>
      </w:r>
      <w:proofErr w:type="spellEnd"/>
      <w:r w:rsidRPr="0025756A">
        <w:rPr>
          <w:rFonts w:ascii="Calibri" w:hAnsi="Calibri" w:cs="Calibri"/>
          <w:bCs/>
          <w:color w:val="13576B"/>
          <w:sz w:val="23"/>
          <w:szCs w:val="23"/>
        </w:rPr>
        <w:t xml:space="preserve"> průliv</w:t>
      </w:r>
      <w:r>
        <w:rPr>
          <w:rFonts w:ascii="Calibri" w:hAnsi="Calibri" w:cs="Calibri"/>
          <w:bCs/>
          <w:color w:val="13576B"/>
          <w:sz w:val="23"/>
          <w:szCs w:val="23"/>
        </w:rPr>
        <w:t>u</w:t>
      </w:r>
    </w:p>
    <w:p w14:paraId="7CBC6B5A" w14:textId="77777777" w:rsidR="001B2E5E" w:rsidRPr="004803D6" w:rsidRDefault="001B2E5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0230887A" w14:textId="77777777" w:rsidR="00606031" w:rsidRDefault="00606031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5C054A6D" w14:textId="7FBE2431" w:rsidR="00D2301A" w:rsidRPr="002138C0" w:rsidRDefault="003F2394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409CA02D" wp14:editId="7F87724C">
            <wp:extent cx="3015615" cy="1836997"/>
            <wp:effectExtent l="0" t="0" r="0" b="0"/>
            <wp:docPr id="1371444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1836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88724" w14:textId="17255E86" w:rsidR="001B2E5E" w:rsidRDefault="00691287" w:rsidP="001B2E5E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bookmarkStart w:id="4" w:name="_Hlk137652102"/>
      <w:proofErr w:type="spellEnd"/>
    </w:p>
    <w:p w14:paraId="53F00851" w14:textId="356006A9" w:rsidR="006337E7" w:rsidRDefault="00867322" w:rsidP="006337E7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1094000E" wp14:editId="42A735CF">
            <wp:extent cx="3075940" cy="1944728"/>
            <wp:effectExtent l="0" t="0" r="0" b="0"/>
            <wp:docPr id="118205170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705" cy="1947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50194" w14:textId="618AFF1D" w:rsidR="00F20967" w:rsidRDefault="006337E7" w:rsidP="00DD1BFF">
      <w:pPr>
        <w:rPr>
          <w:rFonts w:asciiTheme="minorHAnsi" w:hAnsiTheme="minorHAnsi" w:cstheme="minorHAnsi"/>
          <w:color w:val="13576B"/>
          <w:sz w:val="20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>
        <w:rPr>
          <w:rFonts w:asciiTheme="minorHAnsi" w:hAnsiTheme="minorHAnsi" w:cstheme="minorHAnsi"/>
          <w:color w:val="13576B"/>
          <w:sz w:val="20"/>
        </w:rPr>
        <w:t xml:space="preserve">LSEG, </w:t>
      </w:r>
      <w:proofErr w:type="spellStart"/>
      <w:r>
        <w:rPr>
          <w:rFonts w:asciiTheme="minorHAnsi" w:hAnsiTheme="minorHAnsi" w:cstheme="minorHAnsi"/>
          <w:color w:val="13576B"/>
          <w:sz w:val="20"/>
        </w:rPr>
        <w:t>Macrobond</w:t>
      </w:r>
      <w:proofErr w:type="spellEnd"/>
      <w:r>
        <w:rPr>
          <w:rFonts w:asciiTheme="minorHAnsi" w:hAnsiTheme="minorHAnsi" w:cstheme="minorHAnsi"/>
          <w:color w:val="13576B"/>
          <w:sz w:val="20"/>
        </w:rPr>
        <w:t xml:space="preserve"> (</w:t>
      </w:r>
      <w:r w:rsidR="00BA3140">
        <w:rPr>
          <w:rFonts w:asciiTheme="minorHAnsi" w:hAnsiTheme="minorHAnsi" w:cstheme="minorHAnsi"/>
          <w:color w:val="13576B"/>
          <w:sz w:val="20"/>
        </w:rPr>
        <w:t>1</w:t>
      </w:r>
      <w:r w:rsidR="00766906">
        <w:rPr>
          <w:rFonts w:asciiTheme="minorHAnsi" w:hAnsiTheme="minorHAnsi" w:cstheme="minorHAnsi"/>
          <w:color w:val="13576B"/>
          <w:sz w:val="20"/>
        </w:rPr>
        <w:t>4</w:t>
      </w:r>
      <w:r>
        <w:rPr>
          <w:rFonts w:asciiTheme="minorHAnsi" w:hAnsiTheme="minorHAnsi" w:cstheme="minorHAnsi"/>
          <w:color w:val="13576B"/>
          <w:sz w:val="20"/>
        </w:rPr>
        <w:t xml:space="preserve">. </w:t>
      </w:r>
      <w:r w:rsidR="00766906">
        <w:rPr>
          <w:rFonts w:asciiTheme="minorHAnsi" w:hAnsiTheme="minorHAnsi" w:cstheme="minorHAnsi"/>
          <w:color w:val="13576B"/>
          <w:sz w:val="20"/>
        </w:rPr>
        <w:t>května</w:t>
      </w:r>
      <w:r w:rsidR="00055000">
        <w:rPr>
          <w:rFonts w:asciiTheme="minorHAnsi" w:hAnsiTheme="minorHAnsi" w:cstheme="minorHAnsi"/>
          <w:color w:val="13576B"/>
          <w:sz w:val="20"/>
        </w:rPr>
        <w:t xml:space="preserve"> </w:t>
      </w:r>
      <w:r>
        <w:rPr>
          <w:rFonts w:asciiTheme="minorHAnsi" w:hAnsiTheme="minorHAnsi" w:cstheme="minorHAnsi"/>
          <w:color w:val="13576B"/>
          <w:sz w:val="20"/>
        </w:rPr>
        <w:t>202</w:t>
      </w:r>
      <w:r w:rsidR="00BA3140">
        <w:rPr>
          <w:rFonts w:asciiTheme="minorHAnsi" w:hAnsiTheme="minorHAnsi" w:cstheme="minorHAnsi"/>
          <w:color w:val="13576B"/>
          <w:sz w:val="20"/>
        </w:rPr>
        <w:t>6</w:t>
      </w:r>
      <w:r>
        <w:rPr>
          <w:rFonts w:asciiTheme="minorHAnsi" w:hAnsiTheme="minorHAnsi" w:cstheme="minorHAnsi"/>
          <w:color w:val="13576B"/>
          <w:sz w:val="20"/>
        </w:rPr>
        <w:t xml:space="preserve">), </w:t>
      </w:r>
      <w:r w:rsidRPr="00AA62A7">
        <w:rPr>
          <w:rFonts w:asciiTheme="minorHAnsi" w:hAnsiTheme="minorHAnsi" w:cstheme="minorHAnsi"/>
          <w:color w:val="13576B"/>
          <w:sz w:val="20"/>
        </w:rPr>
        <w:t>ČB</w:t>
      </w:r>
      <w:r w:rsidR="00F20967">
        <w:rPr>
          <w:rFonts w:asciiTheme="minorHAnsi" w:hAnsiTheme="minorHAnsi" w:cstheme="minorHAnsi"/>
          <w:color w:val="13576B"/>
          <w:sz w:val="20"/>
        </w:rPr>
        <w:t>A</w:t>
      </w:r>
    </w:p>
    <w:p w14:paraId="1AF065D2" w14:textId="464EA7CD" w:rsidR="00F20967" w:rsidRPr="00606031" w:rsidRDefault="00F20967" w:rsidP="00DD1BFF">
      <w:pPr>
        <w:rPr>
          <w:rFonts w:ascii="Calibri" w:hAnsi="Calibri" w:cs="Calibri"/>
          <w:color w:val="000000" w:themeColor="text1"/>
          <w:sz w:val="22"/>
          <w:szCs w:val="22"/>
        </w:rPr>
        <w:sectPr w:rsidR="00F20967" w:rsidRP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602A8F07" w14:textId="77777777" w:rsidR="001B2E5E" w:rsidRDefault="001B2E5E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077932C6" w14:textId="17602857" w:rsidR="00D1522E" w:rsidRPr="00D1522E" w:rsidRDefault="00C802D7" w:rsidP="009C5D66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C802D7">
        <w:rPr>
          <w:rFonts w:ascii="Calibri" w:hAnsi="Calibri" w:cs="Calibri"/>
          <w:b/>
          <w:color w:val="13576B"/>
          <w:sz w:val="24"/>
          <w:szCs w:val="24"/>
        </w:rPr>
        <w:t xml:space="preserve">Dopady na průměrnou měsíční hypoteční splátku </w:t>
      </w:r>
      <w:r w:rsidR="00B17A43">
        <w:rPr>
          <w:rFonts w:ascii="Calibri" w:hAnsi="Calibri" w:cs="Calibri"/>
          <w:b/>
          <w:color w:val="13576B"/>
          <w:sz w:val="24"/>
          <w:szCs w:val="24"/>
        </w:rPr>
        <w:t xml:space="preserve">jsou </w:t>
      </w:r>
      <w:r w:rsidR="0008300C">
        <w:rPr>
          <w:rFonts w:ascii="Calibri" w:hAnsi="Calibri" w:cs="Calibri"/>
          <w:b/>
          <w:color w:val="13576B"/>
          <w:sz w:val="24"/>
          <w:szCs w:val="24"/>
        </w:rPr>
        <w:t>přes</w:t>
      </w:r>
      <w:r w:rsidRPr="00C802D7">
        <w:rPr>
          <w:rFonts w:ascii="Calibri" w:hAnsi="Calibri" w:cs="Calibri"/>
          <w:b/>
          <w:color w:val="13576B"/>
          <w:sz w:val="24"/>
          <w:szCs w:val="24"/>
        </w:rPr>
        <w:t xml:space="preserve"> 26 tisíc Kč</w:t>
      </w:r>
      <w:r w:rsidR="00D1522E" w:rsidRPr="00D1522E">
        <w:rPr>
          <w:rFonts w:ascii="Calibri" w:hAnsi="Calibri" w:cs="Calibri"/>
          <w:b/>
          <w:color w:val="13576B"/>
          <w:sz w:val="24"/>
          <w:szCs w:val="24"/>
        </w:rPr>
        <w:t xml:space="preserve">, ovšem s mediánem </w:t>
      </w:r>
      <w:r w:rsidR="0008300C">
        <w:rPr>
          <w:rFonts w:ascii="Calibri" w:hAnsi="Calibri" w:cs="Calibri"/>
          <w:b/>
          <w:color w:val="13576B"/>
          <w:sz w:val="24"/>
          <w:szCs w:val="24"/>
        </w:rPr>
        <w:t>u 21</w:t>
      </w:r>
      <w:r w:rsidR="00D1522E" w:rsidRPr="00D1522E">
        <w:rPr>
          <w:rFonts w:ascii="Calibri" w:hAnsi="Calibri" w:cs="Calibri"/>
          <w:b/>
          <w:color w:val="13576B"/>
          <w:sz w:val="24"/>
          <w:szCs w:val="24"/>
        </w:rPr>
        <w:t xml:space="preserve"> tisíc</w:t>
      </w:r>
    </w:p>
    <w:p w14:paraId="21211815" w14:textId="77777777" w:rsidR="00D1522E" w:rsidRDefault="00D1522E" w:rsidP="009C5D66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62F2861C" w14:textId="77777777" w:rsidR="00C1363D" w:rsidRDefault="00C1363D" w:rsidP="00C1363D">
      <w:pPr>
        <w:rPr>
          <w:rFonts w:ascii="Calibri" w:hAnsi="Calibri" w:cs="Calibri"/>
          <w:color w:val="000000" w:themeColor="text1"/>
          <w:sz w:val="22"/>
          <w:szCs w:val="22"/>
        </w:rPr>
      </w:pPr>
      <w:r w:rsidRPr="00C1363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Kombinace nárůstu úrokové sazby a vyšší průměrné výše hypotéky v květnu 2026 ve srovnání s průměrnými hodnotami z roku 2025 zvýšily průměrnou měsíční splátku nově poskytnuté hypotéky o 3,6 tis. Kč. </w:t>
      </w:r>
      <w:r w:rsidRPr="00C1363D">
        <w:rPr>
          <w:rFonts w:ascii="Calibri" w:hAnsi="Calibri" w:cs="Calibri"/>
          <w:color w:val="000000" w:themeColor="text1"/>
          <w:sz w:val="22"/>
          <w:szCs w:val="22"/>
        </w:rPr>
        <w:t xml:space="preserve">Scénáře vývoje měsíční splátky pro různé délky splatnosti hypotéky znázorňuje tabulka č. 2. Ta napovídá, že nárůst hypotečních sazeb bezmála o </w:t>
      </w:r>
      <w:proofErr w:type="gramStart"/>
      <w:r w:rsidRPr="00C1363D">
        <w:rPr>
          <w:rFonts w:ascii="Calibri" w:hAnsi="Calibri" w:cs="Calibri"/>
          <w:color w:val="000000" w:themeColor="text1"/>
          <w:sz w:val="22"/>
          <w:szCs w:val="22"/>
        </w:rPr>
        <w:t>0,1 procentního</w:t>
      </w:r>
      <w:proofErr w:type="gramEnd"/>
      <w:r w:rsidRPr="00C1363D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4,58 % v roce 2025 přinesl, pro průměrnou velikost hypotéky při jejím obvyklém přibližně 26,9letém splácení, zvýšení měsíční splátky o necelých 200 Kč na přibližně 26,3 tis. Kč, tedy o 0,2 % čistého příjmu žadatele v porovnání s průměrnou splátkou v minulém roce. </w:t>
      </w:r>
    </w:p>
    <w:p w14:paraId="301D8E3A" w14:textId="77777777" w:rsidR="00C1363D" w:rsidRDefault="00C1363D" w:rsidP="00C1363D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8A9804C" w14:textId="472135B5" w:rsidR="00C1363D" w:rsidRDefault="00C1363D" w:rsidP="00C1363D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V</w:t>
      </w:r>
      <w:r w:rsidRPr="00C1363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e srovnání s průměrnou </w:t>
      </w:r>
      <w:proofErr w:type="gramStart"/>
      <w:r w:rsidRPr="00C1363D">
        <w:rPr>
          <w:rFonts w:ascii="Calibri" w:hAnsi="Calibri" w:cs="Calibri"/>
          <w:b/>
          <w:bCs/>
          <w:color w:val="000000" w:themeColor="text1"/>
          <w:sz w:val="22"/>
          <w:szCs w:val="22"/>
        </w:rPr>
        <w:t>2,33%</w:t>
      </w:r>
      <w:proofErr w:type="gramEnd"/>
      <w:r w:rsidRPr="00C1363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úrokovou hypoteční sazbou pro nové hypotéky v roce 2021 </w:t>
      </w:r>
      <w:r w:rsidRPr="00C1363D">
        <w:rPr>
          <w:rFonts w:ascii="Calibri" w:hAnsi="Calibri" w:cs="Calibri"/>
          <w:color w:val="000000" w:themeColor="text1"/>
          <w:sz w:val="22"/>
          <w:szCs w:val="22"/>
        </w:rPr>
        <w:t xml:space="preserve">tak současná hypoteční sazba pro refinancování ve výši 4,52 % při zkrácení splatnosti úvěru zvedá měsíční splátky u průměrné hypotéky téměř o 3100 Kč, tedy asi o 5,9 % současné hrubé průměrné mzdy.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Dopady a okolnosti jsme diskutovali ve </w:t>
      </w:r>
      <w:r w:rsidRPr="00DA2CF3">
        <w:rPr>
          <w:rFonts w:ascii="Calibri" w:hAnsi="Calibri" w:cs="Calibri"/>
          <w:color w:val="000000"/>
          <w:sz w:val="22"/>
          <w:szCs w:val="22"/>
        </w:rPr>
        <w:t xml:space="preserve">Fokus ČBA: </w:t>
      </w:r>
      <w:hyperlink r:id="rId25" w:history="1">
        <w:r w:rsidRPr="00DA2CF3">
          <w:rPr>
            <w:rStyle w:val="Hypertextovodkaz"/>
            <w:rFonts w:ascii="Calibri" w:hAnsi="Calibri" w:cs="Calibri"/>
            <w:sz w:val="22"/>
            <w:szCs w:val="22"/>
          </w:rPr>
          <w:t>Vlna refixací hypoték sílí, úrokový šok ale slábne. Rizikem zůstává vyšší inflace</w:t>
        </w:r>
      </w:hyperlink>
      <w:r w:rsidRPr="00DA2CF3">
        <w:rPr>
          <w:rFonts w:ascii="Calibri" w:hAnsi="Calibri" w:cs="Calibri"/>
          <w:sz w:val="22"/>
          <w:szCs w:val="22"/>
        </w:rPr>
        <w:t>.</w:t>
      </w:r>
      <w: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787F064" w14:textId="77777777" w:rsidR="00C1363D" w:rsidRDefault="00C1363D" w:rsidP="006D49D0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1A267256" w14:textId="6FC38244" w:rsidR="009D3067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</w:t>
      </w:r>
      <w:r w:rsidR="00D1522E">
        <w:rPr>
          <w:rFonts w:ascii="Calibri" w:hAnsi="Calibri" w:cs="Calibri"/>
          <w:b/>
          <w:color w:val="13576B"/>
          <w:sz w:val="23"/>
          <w:szCs w:val="23"/>
        </w:rPr>
        <w:t xml:space="preserve"> a mediánové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hypotéky v závislosti na délce splatnosti a úrokové sazbě</w:t>
      </w:r>
    </w:p>
    <w:p w14:paraId="284B4CCF" w14:textId="4F9203B7" w:rsidR="0025756A" w:rsidRDefault="00867322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867322">
        <w:rPr>
          <w:noProof/>
        </w:rPr>
        <w:lastRenderedPageBreak/>
        <w:drawing>
          <wp:inline distT="0" distB="0" distL="0" distR="0" wp14:anchorId="4E309A1C" wp14:editId="2A9E314B">
            <wp:extent cx="6489027" cy="1492250"/>
            <wp:effectExtent l="0" t="0" r="7620" b="0"/>
            <wp:docPr id="9586373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605" cy="149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1458" w14:textId="77777777" w:rsidR="007C411F" w:rsidRPr="007C411F" w:rsidRDefault="007C411F" w:rsidP="007C411F">
      <w:pPr>
        <w:overflowPunct/>
        <w:autoSpaceDE/>
        <w:adjustRightInd/>
        <w:rPr>
          <w:rFonts w:ascii="Poppins" w:hAnsi="Poppins" w:cs="Poppins"/>
          <w:color w:val="212529"/>
          <w:sz w:val="24"/>
          <w:szCs w:val="24"/>
        </w:rPr>
      </w:pPr>
      <w:r w:rsidRPr="007C411F">
        <w:rPr>
          <w:rFonts w:ascii="Calibri Light" w:hAnsi="Calibri Light" w:cs="Calibri Light"/>
          <w:color w:val="13576B"/>
          <w:sz w:val="20"/>
        </w:rPr>
        <w:t xml:space="preserve">Pramen: ČBA (tabulka s hodnotami je k dispozici v </w:t>
      </w:r>
      <w:proofErr w:type="spellStart"/>
      <w:r w:rsidRPr="007C411F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7C411F">
        <w:rPr>
          <w:rFonts w:ascii="Calibri Light" w:hAnsi="Calibri Light" w:cs="Calibri Light"/>
          <w:color w:val="13576B"/>
          <w:sz w:val="20"/>
        </w:rPr>
        <w:t xml:space="preserve"> souboru, který je přílohou této zprávy)</w:t>
      </w:r>
      <w:r w:rsidRPr="007C411F">
        <w:rPr>
          <w:rFonts w:ascii="Calibri Light" w:hAnsi="Calibri Light" w:cs="Calibri Light"/>
          <w:color w:val="13576B"/>
          <w:sz w:val="20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  <w:r w:rsidRPr="007C411F">
        <w:rPr>
          <w:rFonts w:ascii="Poppins" w:hAnsi="Poppins" w:cs="Poppins"/>
          <w:color w:val="212529"/>
          <w:sz w:val="27"/>
          <w:szCs w:val="27"/>
        </w:rPr>
        <w:tab/>
      </w:r>
    </w:p>
    <w:p w14:paraId="3F1ACB94" w14:textId="56CA1595" w:rsidR="00D1522E" w:rsidRDefault="00D1522E" w:rsidP="00D1522E">
      <w:pPr>
        <w:rPr>
          <w:rFonts w:ascii="Calibri" w:hAnsi="Calibri" w:cs="Calibri"/>
          <w:b/>
          <w:color w:val="13576B"/>
          <w:sz w:val="24"/>
          <w:szCs w:val="24"/>
        </w:rPr>
      </w:pPr>
      <w:r w:rsidRPr="00D03B38">
        <w:rPr>
          <w:rFonts w:ascii="Calibri" w:hAnsi="Calibri" w:cs="Calibri"/>
          <w:b/>
          <w:color w:val="13576B"/>
          <w:sz w:val="24"/>
          <w:szCs w:val="24"/>
        </w:rPr>
        <w:t xml:space="preserve">Průměrná velikost nově poskytnuté hypotéky 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se </w:t>
      </w:r>
      <w:r w:rsidR="00C1363D">
        <w:rPr>
          <w:rFonts w:ascii="Calibri" w:hAnsi="Calibri" w:cs="Calibri"/>
          <w:b/>
          <w:color w:val="13576B"/>
          <w:sz w:val="24"/>
          <w:szCs w:val="24"/>
        </w:rPr>
        <w:t xml:space="preserve">v květnu udržela nad </w:t>
      </w:r>
      <w:r w:rsidRPr="00D03B38">
        <w:rPr>
          <w:rFonts w:ascii="Calibri" w:hAnsi="Calibri" w:cs="Calibri"/>
          <w:b/>
          <w:color w:val="13576B"/>
          <w:sz w:val="24"/>
          <w:szCs w:val="24"/>
        </w:rPr>
        <w:t>4,</w:t>
      </w:r>
      <w:r w:rsidR="00EA163C">
        <w:rPr>
          <w:rFonts w:ascii="Calibri" w:hAnsi="Calibri" w:cs="Calibri"/>
          <w:b/>
          <w:color w:val="13576B"/>
          <w:sz w:val="24"/>
          <w:szCs w:val="24"/>
        </w:rPr>
        <w:t>8</w:t>
      </w:r>
      <w:r w:rsidRPr="00D03B3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</w:p>
    <w:p w14:paraId="0200B3F4" w14:textId="77777777" w:rsidR="00D1522E" w:rsidRDefault="00D1522E" w:rsidP="00D1522E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1EAE44F" w14:textId="5EBEDD65" w:rsidR="00C802D7" w:rsidRDefault="00C1363D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C1363D">
        <w:rPr>
          <w:rFonts w:ascii="Calibri" w:hAnsi="Calibri" w:cs="Calibri"/>
          <w:b/>
          <w:bCs/>
          <w:color w:val="000000"/>
          <w:sz w:val="22"/>
          <w:szCs w:val="22"/>
        </w:rPr>
        <w:t xml:space="preserve">Průměrná velikost skutečně nově poskytnuté hypotéky v květnu mírně klesla na 4,84 mil. Kč, tedy téměř o 1 % meziměsíčně. </w:t>
      </w:r>
      <w:r w:rsidRPr="00C1363D">
        <w:rPr>
          <w:rFonts w:ascii="Calibri" w:hAnsi="Calibri" w:cs="Calibri"/>
          <w:color w:val="000000"/>
          <w:sz w:val="22"/>
          <w:szCs w:val="22"/>
        </w:rPr>
        <w:t xml:space="preserve">Její velikost je ovšem stále o 17 % vyšší než 4,15 mil. Kč před rokem, což je mírné zpomalení z dubnového </w:t>
      </w:r>
      <w:proofErr w:type="gramStart"/>
      <w:r w:rsidRPr="00C1363D">
        <w:rPr>
          <w:rFonts w:ascii="Calibri" w:hAnsi="Calibri" w:cs="Calibri"/>
          <w:color w:val="000000"/>
          <w:sz w:val="22"/>
          <w:szCs w:val="22"/>
        </w:rPr>
        <w:t>20%</w:t>
      </w:r>
      <w:proofErr w:type="gramEnd"/>
      <w:r w:rsidRPr="00C1363D">
        <w:rPr>
          <w:rFonts w:ascii="Calibri" w:hAnsi="Calibri" w:cs="Calibri"/>
          <w:color w:val="000000"/>
          <w:sz w:val="22"/>
          <w:szCs w:val="22"/>
        </w:rPr>
        <w:t xml:space="preserve"> meziročního nárůstu</w:t>
      </w:r>
      <w:r w:rsidRPr="00C1363D">
        <w:rPr>
          <w:rFonts w:ascii="Calibri" w:hAnsi="Calibri" w:cs="Calibri"/>
          <w:b/>
          <w:bCs/>
          <w:color w:val="000000"/>
          <w:sz w:val="22"/>
          <w:szCs w:val="22"/>
        </w:rPr>
        <w:t xml:space="preserve">. </w:t>
      </w:r>
      <w:r w:rsidR="00C802D7">
        <w:rPr>
          <w:rFonts w:ascii="Calibri" w:hAnsi="Calibri" w:cs="Calibri"/>
          <w:color w:val="000000"/>
          <w:sz w:val="22"/>
          <w:szCs w:val="22"/>
        </w:rPr>
        <w:t xml:space="preserve">Vyšší průměrná velikost hypotéky </w:t>
      </w:r>
      <w:r w:rsidR="00295F01">
        <w:rPr>
          <w:rFonts w:ascii="Calibri" w:hAnsi="Calibri" w:cs="Calibri"/>
          <w:color w:val="000000"/>
          <w:sz w:val="22"/>
          <w:szCs w:val="22"/>
        </w:rPr>
        <w:t xml:space="preserve">na počátku letošního roku </w:t>
      </w:r>
      <w:r w:rsidR="00C802D7">
        <w:rPr>
          <w:rFonts w:ascii="Calibri" w:hAnsi="Calibri" w:cs="Calibri"/>
          <w:color w:val="000000"/>
          <w:sz w:val="22"/>
          <w:szCs w:val="22"/>
        </w:rPr>
        <w:t xml:space="preserve">pravděpodobně odráží </w:t>
      </w:r>
      <w:r w:rsidR="00295F01">
        <w:rPr>
          <w:rFonts w:ascii="Calibri" w:hAnsi="Calibri" w:cs="Calibri"/>
          <w:color w:val="000000"/>
          <w:sz w:val="22"/>
          <w:szCs w:val="22"/>
        </w:rPr>
        <w:t xml:space="preserve">doznívající </w:t>
      </w:r>
      <w:r w:rsidR="00C802D7">
        <w:rPr>
          <w:rFonts w:ascii="Calibri" w:hAnsi="Calibri" w:cs="Calibri"/>
          <w:color w:val="000000"/>
          <w:sz w:val="22"/>
          <w:szCs w:val="22"/>
        </w:rPr>
        <w:t xml:space="preserve">efekt předzásobení u tzv. investičních hypoték, kde od dubna </w:t>
      </w:r>
      <w:hyperlink r:id="rId27" w:history="1">
        <w:r w:rsidR="00C802D7" w:rsidRPr="00770E5B">
          <w:rPr>
            <w:rStyle w:val="Hypertextovodkaz"/>
            <w:rFonts w:ascii="Calibri" w:hAnsi="Calibri" w:cs="Calibri"/>
            <w:sz w:val="22"/>
            <w:szCs w:val="22"/>
          </w:rPr>
          <w:t>ČNB zpřísn</w:t>
        </w:r>
        <w:r w:rsidR="00295F01" w:rsidRPr="00770E5B">
          <w:rPr>
            <w:rStyle w:val="Hypertextovodkaz"/>
            <w:rFonts w:ascii="Calibri" w:hAnsi="Calibri" w:cs="Calibri"/>
            <w:sz w:val="22"/>
            <w:szCs w:val="22"/>
          </w:rPr>
          <w:t>ila</w:t>
        </w:r>
        <w:r w:rsidR="00C802D7" w:rsidRPr="00770E5B">
          <w:rPr>
            <w:rStyle w:val="Hypertextovodkaz"/>
            <w:rFonts w:ascii="Calibri" w:hAnsi="Calibri" w:cs="Calibri"/>
            <w:sz w:val="22"/>
            <w:szCs w:val="22"/>
          </w:rPr>
          <w:t xml:space="preserve"> požadavky</w:t>
        </w:r>
      </w:hyperlink>
      <w:r w:rsidR="00C802D7">
        <w:rPr>
          <w:rFonts w:ascii="Calibri" w:hAnsi="Calibri" w:cs="Calibri"/>
          <w:color w:val="000000"/>
          <w:sz w:val="22"/>
          <w:szCs w:val="22"/>
        </w:rPr>
        <w:t xml:space="preserve"> (LTV na 70 % a DTI na 7x)</w:t>
      </w:r>
      <w:r w:rsidR="00295F01">
        <w:rPr>
          <w:rFonts w:ascii="Calibri" w:hAnsi="Calibri" w:cs="Calibri"/>
          <w:color w:val="000000"/>
          <w:sz w:val="22"/>
          <w:szCs w:val="22"/>
        </w:rPr>
        <w:t>. Zároveň e</w:t>
      </w:r>
      <w:r w:rsidR="00C802D7">
        <w:rPr>
          <w:rFonts w:ascii="Calibri" w:hAnsi="Calibri" w:cs="Calibri"/>
          <w:color w:val="000000"/>
          <w:sz w:val="22"/>
          <w:szCs w:val="22"/>
        </w:rPr>
        <w:t>fekt předzásobení asi bude relevantní i kvůli zlomu v tržních úrokových sazbách</w:t>
      </w:r>
      <w:r w:rsidR="00295F01">
        <w:rPr>
          <w:rFonts w:ascii="Calibri" w:hAnsi="Calibri" w:cs="Calibri"/>
          <w:color w:val="000000"/>
          <w:sz w:val="22"/>
          <w:szCs w:val="22"/>
        </w:rPr>
        <w:t>, tedy využití stále nižších hypotečních úrokových sazeb</w:t>
      </w:r>
      <w:r w:rsidR="00C802D7">
        <w:rPr>
          <w:rFonts w:ascii="Calibri" w:hAnsi="Calibri" w:cs="Calibri"/>
          <w:color w:val="000000"/>
          <w:sz w:val="22"/>
          <w:szCs w:val="22"/>
        </w:rPr>
        <w:t xml:space="preserve">. Na pozadí také působí </w:t>
      </w:r>
      <w:r w:rsidR="00C802D7" w:rsidRPr="00650088">
        <w:rPr>
          <w:rFonts w:ascii="Calibri" w:hAnsi="Calibri" w:cs="Calibri"/>
          <w:color w:val="000000"/>
          <w:sz w:val="22"/>
          <w:szCs w:val="22"/>
        </w:rPr>
        <w:t xml:space="preserve">postupný růst reálných </w:t>
      </w:r>
      <w:r w:rsidR="00C802D7">
        <w:rPr>
          <w:rFonts w:ascii="Calibri" w:hAnsi="Calibri" w:cs="Calibri"/>
          <w:color w:val="000000"/>
          <w:sz w:val="22"/>
          <w:szCs w:val="22"/>
        </w:rPr>
        <w:t>mezd</w:t>
      </w:r>
      <w:r w:rsidR="00C802D7" w:rsidRPr="00650088">
        <w:rPr>
          <w:rFonts w:ascii="Calibri" w:hAnsi="Calibri" w:cs="Calibri"/>
          <w:color w:val="000000"/>
          <w:sz w:val="22"/>
          <w:szCs w:val="22"/>
        </w:rPr>
        <w:t xml:space="preserve"> domácností (</w:t>
      </w:r>
      <w:r>
        <w:rPr>
          <w:rFonts w:ascii="Calibri" w:hAnsi="Calibri" w:cs="Calibri"/>
          <w:color w:val="000000"/>
          <w:sz w:val="22"/>
          <w:szCs w:val="22"/>
        </w:rPr>
        <w:t>8</w:t>
      </w:r>
      <w:r w:rsidR="00C802D7">
        <w:rPr>
          <w:rFonts w:ascii="Calibri" w:hAnsi="Calibri" w:cs="Calibri"/>
          <w:color w:val="000000"/>
          <w:sz w:val="22"/>
          <w:szCs w:val="22"/>
        </w:rPr>
        <w:t>,1</w:t>
      </w:r>
      <w:r w:rsidR="00C802D7"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% meziročně </w:t>
      </w:r>
      <w:r w:rsidR="00C802D7">
        <w:rPr>
          <w:rFonts w:ascii="Calibri" w:hAnsi="Calibri" w:cs="Calibri"/>
          <w:color w:val="000000"/>
          <w:sz w:val="22"/>
          <w:szCs w:val="22"/>
        </w:rPr>
        <w:t>v </w:t>
      </w:r>
      <w:hyperlink r:id="rId28" w:history="1">
        <w:r>
          <w:rPr>
            <w:rStyle w:val="Hypertextovodkaz"/>
            <w:rFonts w:ascii="Calibri" w:hAnsi="Calibri" w:cs="Calibri"/>
            <w:sz w:val="22"/>
            <w:szCs w:val="22"/>
          </w:rPr>
          <w:t>Q1-2026</w:t>
        </w:r>
      </w:hyperlink>
      <w:r w:rsidR="00295F01">
        <w:t>;</w:t>
      </w:r>
      <w:r w:rsidR="00C802D7" w:rsidRPr="009C040E">
        <w:rPr>
          <w:rFonts w:ascii="Calibri" w:hAnsi="Calibri" w:cs="Calibri"/>
          <w:sz w:val="22"/>
          <w:szCs w:val="22"/>
        </w:rPr>
        <w:t xml:space="preserve"> graficky </w:t>
      </w:r>
      <w:hyperlink r:id="rId29" w:history="1">
        <w:r w:rsidR="00C802D7" w:rsidRPr="009C040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C802D7" w:rsidRPr="00650088">
        <w:rPr>
          <w:rFonts w:ascii="Calibri" w:hAnsi="Calibri" w:cs="Calibri"/>
          <w:color w:val="000000"/>
          <w:sz w:val="22"/>
          <w:szCs w:val="22"/>
        </w:rPr>
        <w:t>)</w:t>
      </w:r>
      <w:r w:rsidR="00C802D7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1A461AA6" w14:textId="77777777" w:rsidR="00EA163C" w:rsidRDefault="00EA163C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D390434" w14:textId="7173B230" w:rsidR="00C802D7" w:rsidRDefault="00C802D7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616F34">
        <w:rPr>
          <w:rFonts w:ascii="Calibri" w:hAnsi="Calibri" w:cs="Calibri"/>
          <w:b/>
          <w:bCs/>
          <w:color w:val="000000"/>
          <w:sz w:val="22"/>
          <w:szCs w:val="22"/>
        </w:rPr>
        <w:t>Výše hypotéky pak souvisí také s vývojem cen nemovitostí,</w:t>
      </w:r>
      <w:r w:rsidRPr="004803D6">
        <w:rPr>
          <w:rFonts w:ascii="Calibri" w:hAnsi="Calibri" w:cs="Calibri"/>
          <w:color w:val="000000"/>
          <w:sz w:val="22"/>
          <w:szCs w:val="22"/>
        </w:rPr>
        <w:t xml:space="preserve"> které </w:t>
      </w:r>
      <w:r>
        <w:rPr>
          <w:rFonts w:ascii="Calibri" w:hAnsi="Calibri" w:cs="Calibri"/>
          <w:color w:val="000000"/>
          <w:sz w:val="22"/>
          <w:szCs w:val="22"/>
        </w:rPr>
        <w:t>i ve čtvrt</w:t>
      </w:r>
      <w:r w:rsidR="000B7D19">
        <w:rPr>
          <w:rFonts w:ascii="Calibri" w:hAnsi="Calibri" w:cs="Calibri"/>
          <w:color w:val="000000"/>
          <w:sz w:val="22"/>
          <w:szCs w:val="22"/>
        </w:rPr>
        <w:t>é</w:t>
      </w:r>
      <w:r>
        <w:rPr>
          <w:rFonts w:ascii="Calibri" w:hAnsi="Calibri" w:cs="Calibri"/>
          <w:color w:val="000000"/>
          <w:sz w:val="22"/>
          <w:szCs w:val="22"/>
        </w:rPr>
        <w:t xml:space="preserve">m čtvrtletí roku 2025 pokračovaly se silným téměř </w:t>
      </w:r>
      <w:hyperlink r:id="rId30" w:history="1">
        <w:proofErr w:type="gramStart"/>
        <w:r w:rsidRPr="00356A6D">
          <w:rPr>
            <w:rStyle w:val="Hypertextovodkaz"/>
            <w:rFonts w:ascii="Calibri" w:hAnsi="Calibri" w:cs="Calibri"/>
            <w:sz w:val="22"/>
            <w:szCs w:val="22"/>
          </w:rPr>
          <w:t>11%</w:t>
        </w:r>
        <w:proofErr w:type="gramEnd"/>
        <w:r w:rsidRPr="00356A6D">
          <w:rPr>
            <w:rStyle w:val="Hypertextovodkaz"/>
            <w:rFonts w:ascii="Calibri" w:hAnsi="Calibri" w:cs="Calibri"/>
            <w:sz w:val="22"/>
            <w:szCs w:val="22"/>
          </w:rPr>
          <w:t xml:space="preserve"> meziročním růstem</w:t>
        </w:r>
      </w:hyperlink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Nabídkové ceny </w:t>
      </w:r>
      <w:hyperlink r:id="rId31" w:history="1">
        <w:r w:rsidRPr="00490E04">
          <w:rPr>
            <w:rStyle w:val="Hypertextovodkaz"/>
            <w:rFonts w:ascii="Calibri" w:hAnsi="Calibri" w:cs="Calibri"/>
            <w:sz w:val="22"/>
            <w:szCs w:val="22"/>
          </w:rPr>
          <w:t>v prvním čtvrtletí 2025</w:t>
        </w:r>
      </w:hyperlink>
      <w:r w:rsidRPr="00D43642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mírně zrychlily na </w:t>
      </w:r>
      <w:r w:rsidRPr="00D43642">
        <w:rPr>
          <w:rFonts w:ascii="Calibri" w:hAnsi="Calibri" w:cs="Calibri"/>
          <w:color w:val="000000"/>
          <w:sz w:val="22"/>
          <w:szCs w:val="22"/>
        </w:rPr>
        <w:t>2,</w:t>
      </w:r>
      <w:r>
        <w:rPr>
          <w:rFonts w:ascii="Calibri" w:hAnsi="Calibri" w:cs="Calibri"/>
          <w:color w:val="000000"/>
          <w:sz w:val="22"/>
          <w:szCs w:val="22"/>
        </w:rPr>
        <w:t>7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 %</w:t>
      </w:r>
      <w:r>
        <w:rPr>
          <w:rFonts w:ascii="Calibri" w:hAnsi="Calibri" w:cs="Calibri"/>
          <w:color w:val="000000"/>
          <w:sz w:val="22"/>
          <w:szCs w:val="22"/>
        </w:rPr>
        <w:t xml:space="preserve"> mezičtvrtletně, což stále převyšuje jejich </w:t>
      </w:r>
      <w:r w:rsidRPr="00D43642">
        <w:rPr>
          <w:rFonts w:ascii="Calibri" w:hAnsi="Calibri" w:cs="Calibri"/>
          <w:color w:val="000000"/>
          <w:sz w:val="22"/>
          <w:szCs w:val="22"/>
        </w:rPr>
        <w:t>dlouhodob</w:t>
      </w:r>
      <w:r>
        <w:rPr>
          <w:rFonts w:ascii="Calibri" w:hAnsi="Calibri" w:cs="Calibri"/>
          <w:color w:val="000000"/>
          <w:sz w:val="22"/>
          <w:szCs w:val="22"/>
        </w:rPr>
        <w:t xml:space="preserve">é průměrné navýšení o 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1,8 %. </w:t>
      </w:r>
      <w:r w:rsidRPr="00BA1D00">
        <w:rPr>
          <w:rFonts w:ascii="Calibri" w:hAnsi="Calibri" w:cs="Calibri"/>
          <w:color w:val="000000"/>
          <w:sz w:val="22"/>
          <w:szCs w:val="22"/>
        </w:rPr>
        <w:t xml:space="preserve">Podle dat od společnosti </w:t>
      </w:r>
      <w:proofErr w:type="spellStart"/>
      <w:r w:rsidRPr="00BA1D00"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 w:rsidRPr="00BA1D0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A1D00"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 w:rsidRPr="00BA1D00">
        <w:rPr>
          <w:rFonts w:ascii="Calibri" w:hAnsi="Calibri" w:cs="Calibri"/>
          <w:color w:val="000000"/>
          <w:sz w:val="22"/>
          <w:szCs w:val="22"/>
        </w:rPr>
        <w:t xml:space="preserve"> se průměrná transakční cena bytů</w:t>
      </w:r>
      <w:r w:rsidR="00770E5B">
        <w:rPr>
          <w:rFonts w:ascii="Calibri" w:hAnsi="Calibri" w:cs="Calibri"/>
          <w:color w:val="000000"/>
          <w:sz w:val="22"/>
          <w:szCs w:val="22"/>
        </w:rPr>
        <w:t xml:space="preserve">, </w:t>
      </w:r>
      <w:r w:rsidRPr="00BA1D00">
        <w:rPr>
          <w:rFonts w:ascii="Calibri" w:hAnsi="Calibri" w:cs="Calibri"/>
          <w:color w:val="000000"/>
          <w:sz w:val="22"/>
          <w:szCs w:val="22"/>
        </w:rPr>
        <w:t xml:space="preserve">jak nových, tak starších v ČR ve čtvrtém čtvrtletí </w:t>
      </w:r>
      <w:r w:rsidR="00770E5B">
        <w:rPr>
          <w:rFonts w:ascii="Calibri" w:hAnsi="Calibri" w:cs="Calibri"/>
          <w:color w:val="000000"/>
          <w:sz w:val="22"/>
          <w:szCs w:val="22"/>
        </w:rPr>
        <w:t xml:space="preserve">roku 2025 </w:t>
      </w:r>
      <w:r w:rsidRPr="00BA1D00">
        <w:rPr>
          <w:rFonts w:ascii="Calibri" w:hAnsi="Calibri" w:cs="Calibri"/>
          <w:color w:val="000000"/>
          <w:sz w:val="22"/>
          <w:szCs w:val="22"/>
        </w:rPr>
        <w:t xml:space="preserve">dostala na 97,5 tis. Kč/m2 (viz grafy na </w:t>
      </w:r>
      <w:hyperlink r:id="rId32" w:history="1">
        <w:r w:rsidRPr="00BA1D00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Pr="00BA1D00">
        <w:rPr>
          <w:rFonts w:ascii="Calibri" w:hAnsi="Calibri" w:cs="Calibri"/>
          <w:color w:val="000000"/>
          <w:sz w:val="22"/>
          <w:szCs w:val="22"/>
        </w:rPr>
        <w:t xml:space="preserve">), což odráží </w:t>
      </w:r>
      <w:proofErr w:type="gramStart"/>
      <w:r w:rsidRPr="00BA1D00">
        <w:rPr>
          <w:rFonts w:ascii="Calibri" w:hAnsi="Calibri" w:cs="Calibri"/>
          <w:color w:val="000000"/>
          <w:sz w:val="22"/>
          <w:szCs w:val="22"/>
        </w:rPr>
        <w:t>2%</w:t>
      </w:r>
      <w:proofErr w:type="gramEnd"/>
      <w:r w:rsidRPr="00BA1D0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Pr="00BA1D00">
        <w:rPr>
          <w:rFonts w:ascii="Calibri" w:hAnsi="Calibri" w:cs="Calibri"/>
          <w:color w:val="000000"/>
          <w:sz w:val="22"/>
          <w:szCs w:val="22"/>
        </w:rPr>
        <w:t>mezikvartální</w:t>
      </w:r>
      <w:proofErr w:type="spellEnd"/>
      <w:r w:rsidRPr="00BA1D00">
        <w:rPr>
          <w:rFonts w:ascii="Calibri" w:hAnsi="Calibri" w:cs="Calibri"/>
          <w:color w:val="000000"/>
          <w:sz w:val="22"/>
          <w:szCs w:val="22"/>
        </w:rPr>
        <w:t xml:space="preserve"> a 11,3% meziroční nárůst.</w:t>
      </w:r>
    </w:p>
    <w:p w14:paraId="36769E17" w14:textId="77777777" w:rsidR="00C802D7" w:rsidRDefault="00C802D7" w:rsidP="00C802D7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37433820" w14:textId="3A27D52D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 xml:space="preserve">Ilustrativní srovnání výše měsíční splátky </w:t>
      </w:r>
      <w:r w:rsidR="00EA163C">
        <w:rPr>
          <w:rFonts w:ascii="Calibri" w:hAnsi="Calibri" w:cs="Calibri"/>
          <w:b/>
          <w:color w:val="13576B"/>
          <w:sz w:val="23"/>
          <w:szCs w:val="23"/>
        </w:rPr>
        <w:t xml:space="preserve">u aktuální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 xml:space="preserve">průměrné </w:t>
      </w:r>
      <w:r w:rsidR="00490E04">
        <w:rPr>
          <w:rFonts w:ascii="Calibri" w:hAnsi="Calibri" w:cs="Calibri"/>
          <w:b/>
          <w:color w:val="13576B"/>
          <w:sz w:val="23"/>
          <w:szCs w:val="23"/>
        </w:rPr>
        <w:t xml:space="preserve">nově poskytnuté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0828FF02" w14:textId="5A8EC043" w:rsidR="00EA163C" w:rsidRDefault="00867322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 w:rsidRPr="00867322">
        <w:rPr>
          <w:rFonts w:ascii="Calibri" w:hAnsi="Calibri" w:cs="Calibri"/>
          <w:bCs/>
          <w:i/>
          <w:iCs/>
          <w:color w:val="13576B"/>
          <w:sz w:val="23"/>
          <w:szCs w:val="23"/>
        </w:rPr>
        <w:lastRenderedPageBreak/>
        <w:t xml:space="preserve">V meziročním srovnání přinesl pokles hypoteční sazby úsporu průměrné měsíční splátky o 210 Kč, ovšem růst průměrné výše hypotéky způsobil její navýšení o 3 760 Kč. </w:t>
      </w: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drawing>
          <wp:inline distT="0" distB="0" distL="0" distR="0" wp14:anchorId="6AF22084" wp14:editId="71E8BE77">
            <wp:extent cx="5755005" cy="3834765"/>
            <wp:effectExtent l="0" t="0" r="0" b="0"/>
            <wp:docPr id="89629314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20D9ACD" w14:textId="77777777" w:rsidR="00BA3140" w:rsidRDefault="00BA3140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A72B105" w14:textId="31FA153D" w:rsidR="002E4EFD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7D8CD8E4" w14:textId="77777777" w:rsidR="00582221" w:rsidRDefault="00582221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2FA0BE1C" w14:textId="532A5C10" w:rsidR="00582221" w:rsidRPr="00D24B00" w:rsidRDefault="00582221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7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Sezónnost nových hypotečních úvěrů</w:t>
      </w:r>
    </w:p>
    <w:p w14:paraId="384BA2E5" w14:textId="2F112A49" w:rsidR="0033440C" w:rsidRDefault="00867322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lastRenderedPageBreak/>
        <w:drawing>
          <wp:inline distT="0" distB="0" distL="0" distR="0" wp14:anchorId="1DF02BE9" wp14:editId="01E73FC1">
            <wp:extent cx="6474788" cy="4305300"/>
            <wp:effectExtent l="0" t="0" r="2540" b="0"/>
            <wp:docPr id="7152903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177" cy="4316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6EE963A0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Hypomonitoru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</w:t>
      </w:r>
      <w:proofErr w:type="spellStart"/>
      <w:r w:rsidR="00E16BD3">
        <w:rPr>
          <w:rFonts w:ascii="Calibri Light" w:hAnsi="Calibri Light" w:cs="Calibri Light"/>
          <w:color w:val="13576B"/>
          <w:sz w:val="20"/>
        </w:rPr>
        <w:t>fcst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  <w:r w:rsidR="0025756A" w:rsidRPr="0025756A">
        <w:t xml:space="preserve"> </w:t>
      </w:r>
      <w:r w:rsidR="0025756A" w:rsidRPr="0025756A">
        <w:rPr>
          <w:rFonts w:ascii="Calibri Light" w:hAnsi="Calibri Light" w:cs="Calibri Light"/>
          <w:color w:val="13576B"/>
          <w:sz w:val="20"/>
        </w:rPr>
        <w:t>Nicméně pro zbytek roku předpokládá 7 % korekci do počtu hypoték.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7028DE4" w14:textId="685D812B" w:rsidR="00582221" w:rsidRDefault="0058222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0B7D19">
        <w:rPr>
          <w:rFonts w:ascii="Calibri" w:hAnsi="Calibri" w:cs="Calibri"/>
          <w:b/>
          <w:color w:val="13576B"/>
          <w:sz w:val="23"/>
          <w:szCs w:val="23"/>
        </w:rPr>
        <w:t>8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Rozložení nových hypotečních úvěrů podle účelu</w:t>
      </w:r>
    </w:p>
    <w:p w14:paraId="6D87A84C" w14:textId="73218869" w:rsidR="00582221" w:rsidRDefault="00867322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30686F05" wp14:editId="3C7F6D0D">
            <wp:extent cx="6312535" cy="2115042"/>
            <wp:effectExtent l="0" t="0" r="0" b="0"/>
            <wp:docPr id="16686883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502" cy="2128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7AF75" w14:textId="77777777" w:rsidR="00582221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5303965F" w14:textId="6633A9B2" w:rsidR="0033440C" w:rsidRPr="00616069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Poslední údaj představuje průměr za posledních 12 měsíců. </w:t>
      </w:r>
      <w:r w:rsidR="00867322">
        <w:rPr>
          <w:rFonts w:ascii="Calibri Light" w:hAnsi="Calibri Light" w:cs="Calibri Light"/>
          <w:color w:val="13576B"/>
          <w:sz w:val="20"/>
        </w:rPr>
        <w:t xml:space="preserve">Intepretace segmentu ostatních může být zkreslena zařazením </w:t>
      </w:r>
      <w:proofErr w:type="spellStart"/>
      <w:r w:rsidR="00867322">
        <w:rPr>
          <w:rFonts w:ascii="Calibri Light" w:hAnsi="Calibri Light" w:cs="Calibri Light"/>
          <w:color w:val="13576B"/>
          <w:sz w:val="20"/>
        </w:rPr>
        <w:t>tvz</w:t>
      </w:r>
      <w:proofErr w:type="spellEnd"/>
      <w:r w:rsidR="00867322">
        <w:rPr>
          <w:rFonts w:ascii="Calibri Light" w:hAnsi="Calibri Light" w:cs="Calibri Light"/>
          <w:color w:val="13576B"/>
          <w:sz w:val="20"/>
        </w:rPr>
        <w:t xml:space="preserve">. hypoték bez nemovitosti </w:t>
      </w:r>
      <w:r w:rsidR="00867322" w:rsidRPr="00867322">
        <w:rPr>
          <w:rFonts w:ascii="Calibri Light" w:hAnsi="Calibri Light" w:cs="Calibri Light"/>
          <w:color w:val="13576B"/>
          <w:sz w:val="20"/>
        </w:rPr>
        <w:t>sjednané bez účelu</w:t>
      </w:r>
      <w:r w:rsidR="00867322">
        <w:rPr>
          <w:rFonts w:ascii="Calibri Light" w:hAnsi="Calibri Light" w:cs="Calibri Light"/>
          <w:color w:val="13576B"/>
          <w:sz w:val="20"/>
        </w:rPr>
        <w:t xml:space="preserve">. Blíže viz metodická poznámka níže. </w:t>
      </w:r>
    </w:p>
    <w:bookmarkEnd w:id="6"/>
    <w:p w14:paraId="045825E8" w14:textId="77777777" w:rsidR="00801B60" w:rsidRDefault="00801B60" w:rsidP="002A5D11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8F7CB3F" w14:textId="2FEEAD4C" w:rsidR="00BA3140" w:rsidRPr="002A5D11" w:rsidRDefault="00BA3140" w:rsidP="00BA3140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lastRenderedPageBreak/>
        <w:t>Hypoteční trh v roce 202</w:t>
      </w:r>
      <w:r>
        <w:rPr>
          <w:rFonts w:ascii="Calibri" w:hAnsi="Calibri" w:cs="Calibri"/>
          <w:b/>
          <w:color w:val="13576B"/>
          <w:sz w:val="24"/>
          <w:szCs w:val="24"/>
        </w:rPr>
        <w:t>5</w:t>
      </w:r>
      <w:r w:rsidR="00356A6D">
        <w:rPr>
          <w:rFonts w:ascii="Calibri" w:hAnsi="Calibri" w:cs="Calibri"/>
          <w:b/>
          <w:color w:val="13576B"/>
          <w:sz w:val="24"/>
          <w:szCs w:val="24"/>
        </w:rPr>
        <w:t xml:space="preserve"> přinesl </w:t>
      </w:r>
      <w:r>
        <w:rPr>
          <w:rFonts w:ascii="Calibri" w:hAnsi="Calibri" w:cs="Calibri"/>
          <w:b/>
          <w:color w:val="13576B"/>
          <w:sz w:val="24"/>
          <w:szCs w:val="24"/>
        </w:rPr>
        <w:t>silný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objemový 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růst o </w:t>
      </w:r>
      <w:r>
        <w:rPr>
          <w:rFonts w:ascii="Calibri" w:hAnsi="Calibri" w:cs="Calibri"/>
          <w:b/>
          <w:color w:val="13576B"/>
          <w:sz w:val="24"/>
          <w:szCs w:val="24"/>
        </w:rPr>
        <w:t>41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%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a o téměř čtvrtinu v počtech</w:t>
      </w:r>
    </w:p>
    <w:p w14:paraId="153D0109" w14:textId="77777777" w:rsidR="00BA3140" w:rsidRPr="00840F7C" w:rsidRDefault="00BA3140" w:rsidP="00BA3140">
      <w:pPr>
        <w:rPr>
          <w:rFonts w:ascii="Calibri" w:hAnsi="Calibri" w:cs="Calibri"/>
          <w:b/>
          <w:bCs/>
          <w:sz w:val="22"/>
          <w:szCs w:val="22"/>
        </w:rPr>
      </w:pPr>
    </w:p>
    <w:p w14:paraId="605D853E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>Za celý rok 202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poskytly banky a stavební spořitelny nové hypoteční úvěry v objemu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321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miliard Kč.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o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93 miliard korun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více než 228 miliard vytvořených v roce 2024. Tento meziroční skok odpovídá 41% nárůstu.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K tomu se navíc refinancovaly hypotéky v rozsahu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85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Kč a celý hypoteční trh tak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narostl na </w:t>
      </w:r>
      <w:r>
        <w:rPr>
          <w:rFonts w:ascii="Calibri" w:hAnsi="Calibri" w:cs="Calibri"/>
          <w:color w:val="000000" w:themeColor="text1"/>
          <w:sz w:val="22"/>
          <w:szCs w:val="22"/>
        </w:rPr>
        <w:t>406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miliard Kč z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 275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. Pokud upravíme objemy o nárůst cen </w:t>
      </w:r>
      <w:r>
        <w:rPr>
          <w:rFonts w:ascii="Calibri" w:hAnsi="Calibri" w:cs="Calibri"/>
          <w:color w:val="000000" w:themeColor="text1"/>
          <w:sz w:val="22"/>
          <w:szCs w:val="22"/>
        </w:rPr>
        <w:t>bytů okolo 15-16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% (dle různých statistik), objem nových hypoték vzrostl reálně o něco méně. To odpovídá i mírnějšímu nárůstu počtu nových hypoték v roce 202</w:t>
      </w:r>
      <w:r>
        <w:rPr>
          <w:rFonts w:ascii="Calibri" w:hAnsi="Calibri" w:cs="Calibri"/>
          <w:color w:val="000000" w:themeColor="text1"/>
          <w:sz w:val="22"/>
          <w:szCs w:val="22"/>
        </w:rPr>
        <w:t>5, o necelou čtvrtinu na více než 76,11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tisíc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a téměř </w:t>
      </w:r>
      <w:r>
        <w:rPr>
          <w:rFonts w:ascii="Calibri" w:hAnsi="Calibri" w:cs="Calibri"/>
          <w:color w:val="000000" w:themeColor="text1"/>
          <w:sz w:val="22"/>
          <w:szCs w:val="22"/>
        </w:rPr>
        <w:t>15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% nárůstu průměrné výše poskytnuté nové hypotéky na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4,21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milion</w:t>
      </w:r>
      <w:r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Kč. </w:t>
      </w:r>
    </w:p>
    <w:p w14:paraId="7ECD8698" w14:textId="77777777" w:rsidR="00BA3140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2DB164B7" w14:textId="77777777" w:rsidR="00BA3140" w:rsidRPr="009C5D66" w:rsidRDefault="00BA3140" w:rsidP="00BA3140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Nové hypotéky se v roce 2025 financovaly průměrnou úrokovou sazbu 4,58 %, což bylo o půl procentního bodu méně než v roce 2024, přičemž spread vůči tržní swapové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úrokové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křivce dosáhl necelého jednoho procentního bodu, což je mírně pod dlouhodobým průměrem. Průměrná měsíční výše hypoteční splátky v roce 2025 dosáhla necelých 22,8 tisíc</w:t>
      </w:r>
      <w:r>
        <w:rPr>
          <w:rFonts w:ascii="Calibri" w:hAnsi="Calibri" w:cs="Calibri"/>
          <w:color w:val="000000" w:themeColor="text1"/>
          <w:sz w:val="22"/>
          <w:szCs w:val="22"/>
        </w:rPr>
        <w:t>e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Kč, což je o 8,6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%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více než v roce 2024, </w:t>
      </w:r>
      <w:r>
        <w:rPr>
          <w:rFonts w:ascii="Calibri" w:hAnsi="Calibri" w:cs="Calibri"/>
          <w:color w:val="000000" w:themeColor="text1"/>
          <w:sz w:val="22"/>
          <w:szCs w:val="22"/>
        </w:rPr>
        <w:t>a mírně překonalo pravděpodobně více než 7% loňský nárůst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36" w:history="1">
        <w:r w:rsidRPr="009C5D66">
          <w:rPr>
            <w:rStyle w:val="Hypertextovodkaz"/>
            <w:rFonts w:ascii="Calibri" w:hAnsi="Calibri" w:cs="Calibri"/>
            <w:sz w:val="22"/>
            <w:szCs w:val="22"/>
          </w:rPr>
          <w:t>průměrn</w:t>
        </w:r>
        <w:r>
          <w:rPr>
            <w:rStyle w:val="Hypertextovodkaz"/>
            <w:rFonts w:ascii="Calibri" w:hAnsi="Calibri" w:cs="Calibri"/>
            <w:sz w:val="22"/>
            <w:szCs w:val="22"/>
          </w:rPr>
          <w:t>é</w:t>
        </w:r>
        <w:r w:rsidRPr="009C5D66">
          <w:rPr>
            <w:rStyle w:val="Hypertextovodkaz"/>
            <w:rFonts w:ascii="Calibri" w:hAnsi="Calibri" w:cs="Calibri"/>
            <w:sz w:val="22"/>
            <w:szCs w:val="22"/>
          </w:rPr>
          <w:t xml:space="preserve"> nominální mzdy</w:t>
        </w:r>
      </w:hyperlink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růměrný meziroční nárůst měsíční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hypoteční 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>splátky přibližně o 1 800 korun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v roce 2025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především odrážel vyšší průměrnou </w:t>
      </w:r>
      <w:r>
        <w:rPr>
          <w:rFonts w:ascii="Calibri" w:hAnsi="Calibri" w:cs="Calibri"/>
          <w:color w:val="000000" w:themeColor="text1"/>
          <w:sz w:val="22"/>
          <w:szCs w:val="22"/>
        </w:rPr>
        <w:t>úroveň</w:t>
      </w:r>
      <w:r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hypotéky s navýšením splátky téměř o 2,9 tis. Kč, zatímco nižší hypoteční úroková sazba snížila průměrnou měsíční splátku o více než 1,2 tis. Kč. </w:t>
      </w:r>
    </w:p>
    <w:p w14:paraId="09717EC0" w14:textId="77777777" w:rsidR="00BA3140" w:rsidRDefault="00BA3140" w:rsidP="00BA3140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62183D0D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1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>
        <w:rPr>
          <w:rFonts w:ascii="Calibri" w:hAnsi="Calibri" w:cs="Calibri"/>
          <w:b/>
          <w:color w:val="13576B"/>
          <w:sz w:val="23"/>
          <w:szCs w:val="23"/>
        </w:rPr>
        <w:t>5</w:t>
      </w:r>
    </w:p>
    <w:p w14:paraId="56EB097E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</w:p>
    <w:p w14:paraId="11D80496" w14:textId="77777777" w:rsidR="00BA3140" w:rsidRPr="002F4CBD" w:rsidRDefault="00BA3140" w:rsidP="00BA3140">
      <w:pPr>
        <w:rPr>
          <w:rFonts w:ascii="Calibri" w:hAnsi="Calibri" w:cs="Calibri"/>
          <w:sz w:val="22"/>
          <w:szCs w:val="22"/>
        </w:rPr>
      </w:pPr>
      <w:r w:rsidRPr="00E77326">
        <w:rPr>
          <w:noProof/>
        </w:rPr>
        <w:drawing>
          <wp:inline distT="0" distB="0" distL="0" distR="0" wp14:anchorId="2B97DD5A" wp14:editId="7C138169">
            <wp:extent cx="6480810" cy="2125345"/>
            <wp:effectExtent l="0" t="0" r="0" b="8255"/>
            <wp:docPr id="3917590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4B1DB" w14:textId="77777777" w:rsidR="00BA3140" w:rsidRPr="00616069" w:rsidRDefault="00BA3140" w:rsidP="00BA3140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22ED378A" w14:textId="017879D6" w:rsidR="006C53A0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28239FF" w14:textId="77777777" w:rsidR="00BA3140" w:rsidRPr="00616069" w:rsidRDefault="00BA314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38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39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69BE3C6A">
                <wp:simplePos x="0" y="0"/>
                <wp:positionH relativeFrom="margin">
                  <wp:posOffset>-50800</wp:posOffset>
                </wp:positionH>
                <wp:positionV relativeFrom="paragraph">
                  <wp:posOffset>281305</wp:posOffset>
                </wp:positionV>
                <wp:extent cx="6574790" cy="48279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8279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FBF1D5A" w14:textId="3FF8266F" w:rsidR="0001227F" w:rsidRDefault="0001227F" w:rsidP="001B1398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3F2394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3F2394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</w:t>
                            </w:r>
                            <w:r w:rsidR="003F23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pouze nové úvěry, které nijak nesouvisí s koupí nebo výstavbou nemovitosti</w:t>
                            </w:r>
                            <w:r w:rsidR="003F2394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(</w:t>
                            </w:r>
                            <w:r w:rsidR="003F2394" w:rsidRPr="006B00D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což neplatí v případě tzv. hypotéky bez nemovitosti sjedn</w:t>
                            </w:r>
                            <w:r w:rsidR="003F2394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</w:t>
                            </w:r>
                            <w:r w:rsidR="003F2394" w:rsidRPr="006B00D0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né bez účelu</w:t>
                            </w:r>
                            <w:r w:rsidR="003F2394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), tedy</w:t>
                            </w:r>
                            <w:r w:rsidR="003F23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např. tzv. americké hypotéky, vypořádání SJM, zpětná úhrada kupní ceny, vypořádání dědického podílu, vypořádání družstevního </w:t>
                            </w:r>
                            <w:proofErr w:type="gramStart"/>
                            <w:r w:rsidR="003F23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podílu,</w:t>
                            </w:r>
                            <w:proofErr w:type="gramEnd"/>
                            <w:r w:rsidR="003F23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atp.</w:t>
                            </w:r>
                          </w:p>
                          <w:p w14:paraId="60442405" w14:textId="77777777" w:rsidR="003F2394" w:rsidRPr="003F2394" w:rsidRDefault="003F2394" w:rsidP="003F2394">
                            <w:pPr>
                              <w:pStyle w:val="Odstavecseseznamem"/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72E4826" w14:textId="77777777" w:rsidR="003F2394" w:rsidRPr="00616069" w:rsidRDefault="003F2394" w:rsidP="003F2394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Bank,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Oberbank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Partners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Banka,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UniCredit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Bank.</w:t>
                            </w:r>
                          </w:p>
                          <w:p w14:paraId="65FC0189" w14:textId="3B5E995D" w:rsidR="006F08E1" w:rsidRPr="00616069" w:rsidRDefault="006F08E1" w:rsidP="003F2394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4pt;margin-top:22.15pt;width:517.7pt;height:380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FBF1D5A" w14:textId="3FF8266F" w:rsidR="0001227F" w:rsidRDefault="0001227F" w:rsidP="001B1398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3F2394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3F2394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</w:t>
                      </w:r>
                      <w:r w:rsidR="003F23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pouze nové úvěry, které nijak nesouvisí s koupí nebo výstavbou nemovitosti</w:t>
                      </w:r>
                      <w:r w:rsidR="003F2394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(</w:t>
                      </w:r>
                      <w:r w:rsidR="003F2394" w:rsidRPr="006B00D0">
                        <w:rPr>
                          <w:rFonts w:ascii="Calibri" w:hAnsi="Calibri" w:cs="Calibri"/>
                          <w:color w:val="FFFFFF" w:themeColor="background1"/>
                        </w:rPr>
                        <w:t>což neplatí v případě tzv. hypotéky bez nemovitosti sjedn</w:t>
                      </w:r>
                      <w:r w:rsidR="003F2394">
                        <w:rPr>
                          <w:rFonts w:ascii="Calibri" w:hAnsi="Calibri" w:cs="Calibri"/>
                          <w:color w:val="FFFFFF" w:themeColor="background1"/>
                        </w:rPr>
                        <w:t>a</w:t>
                      </w:r>
                      <w:r w:rsidR="003F2394" w:rsidRPr="006B00D0">
                        <w:rPr>
                          <w:rFonts w:ascii="Calibri" w:hAnsi="Calibri" w:cs="Calibri"/>
                          <w:color w:val="FFFFFF" w:themeColor="background1"/>
                        </w:rPr>
                        <w:t>né bez účelu</w:t>
                      </w:r>
                      <w:r w:rsidR="003F2394">
                        <w:rPr>
                          <w:rFonts w:ascii="Calibri" w:hAnsi="Calibri" w:cs="Calibri"/>
                          <w:color w:val="FFFFFF" w:themeColor="background1"/>
                        </w:rPr>
                        <w:t>), tedy</w:t>
                      </w:r>
                      <w:r w:rsidR="003F23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např. tzv. americké hypotéky, vypořádání SJM, zpětná úhrada kupní ceny, vypořádání dědického podílu, vypořádání družstevního </w:t>
                      </w:r>
                      <w:proofErr w:type="gramStart"/>
                      <w:r w:rsidR="003F23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podílu,</w:t>
                      </w:r>
                      <w:proofErr w:type="gramEnd"/>
                      <w:r w:rsidR="003F23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atp.</w:t>
                      </w:r>
                    </w:p>
                    <w:p w14:paraId="60442405" w14:textId="77777777" w:rsidR="003F2394" w:rsidRPr="003F2394" w:rsidRDefault="003F2394" w:rsidP="003F2394">
                      <w:pPr>
                        <w:pStyle w:val="Odstavecseseznamem"/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72E4826" w14:textId="77777777" w:rsidR="003F2394" w:rsidRPr="00616069" w:rsidRDefault="003F2394" w:rsidP="003F2394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Bank,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Oberbank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FFFFFF" w:themeColor="background1"/>
                        </w:rPr>
                        <w:t>Partners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Banka,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UniCredit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Bank.</w:t>
                      </w:r>
                    </w:p>
                    <w:p w14:paraId="65FC0189" w14:textId="3B5E995D" w:rsidR="006F08E1" w:rsidRPr="00616069" w:rsidRDefault="006F08E1" w:rsidP="003F2394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423A1391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 w:rsidR="00BA1D00">
              <w:rPr>
                <w:rFonts w:cs="Arial"/>
                <w:color w:val="FFFFFF" w:themeColor="background1"/>
              </w:rPr>
              <w:t>4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606031">
      <w:type w:val="continuous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CBE0" w14:textId="77777777" w:rsidR="00985705" w:rsidRPr="00616069" w:rsidRDefault="00985705" w:rsidP="00F573F1">
      <w:r w:rsidRPr="00616069">
        <w:separator/>
      </w:r>
    </w:p>
  </w:endnote>
  <w:endnote w:type="continuationSeparator" w:id="0">
    <w:p w14:paraId="2B5CF02D" w14:textId="77777777" w:rsidR="00985705" w:rsidRPr="00616069" w:rsidRDefault="00985705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961764387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89A9A" w14:textId="77777777" w:rsidR="00985705" w:rsidRPr="00616069" w:rsidRDefault="00985705" w:rsidP="00F573F1">
      <w:r w:rsidRPr="00616069">
        <w:separator/>
      </w:r>
    </w:p>
  </w:footnote>
  <w:footnote w:type="continuationSeparator" w:id="0">
    <w:p w14:paraId="7EA79542" w14:textId="77777777" w:rsidR="00985705" w:rsidRPr="00616069" w:rsidRDefault="00985705" w:rsidP="00F573F1">
      <w:r w:rsidRPr="00616069">
        <w:continuationSeparator/>
      </w:r>
    </w:p>
  </w:footnote>
  <w:footnote w:id="1">
    <w:p w14:paraId="07628A53" w14:textId="6CB368C3" w:rsidR="00612FFF" w:rsidRPr="00616069" w:rsidRDefault="00612FFF" w:rsidP="00612FFF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Jedná se především o dlouholeté úrokové swapy (interest rate swap, IRS), které odráží cenu peněz v delších splatnostech, </w:t>
      </w:r>
      <w:r>
        <w:rPr>
          <w:rFonts w:asciiTheme="majorHAnsi" w:hAnsiTheme="majorHAnsi" w:cstheme="majorHAnsi"/>
          <w:sz w:val="17"/>
          <w:szCs w:val="17"/>
        </w:rPr>
        <w:t>a to v posledních letech okolo 3 až 5 let, ale relevantní zůstává celá křivka 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</w:t>
      </w:r>
      <w:r>
        <w:rPr>
          <w:rFonts w:asciiTheme="majorHAnsi" w:hAnsiTheme="majorHAnsi" w:cstheme="majorHAnsi"/>
          <w:sz w:val="17"/>
          <w:szCs w:val="17"/>
        </w:rPr>
        <w:t xml:space="preserve">, i když </w:t>
      </w:r>
      <w:proofErr w:type="gramStart"/>
      <w:r>
        <w:rPr>
          <w:rFonts w:asciiTheme="majorHAnsi" w:hAnsiTheme="majorHAnsi" w:cstheme="majorHAnsi"/>
          <w:sz w:val="17"/>
          <w:szCs w:val="17"/>
        </w:rPr>
        <w:t>10 leté</w:t>
      </w:r>
      <w:proofErr w:type="gramEnd"/>
      <w:r>
        <w:rPr>
          <w:rFonts w:asciiTheme="majorHAnsi" w:hAnsiTheme="majorHAnsi" w:cstheme="majorHAnsi"/>
          <w:sz w:val="17"/>
          <w:szCs w:val="17"/>
        </w:rPr>
        <w:t xml:space="preserve"> splatnosti jsou méně relevantní kvůli vyšším sazbám centrálních bank v porovnání s předchozí dekádou</w:t>
      </w:r>
      <w:r w:rsidR="00EA163C">
        <w:rPr>
          <w:rFonts w:asciiTheme="majorHAnsi" w:hAnsiTheme="majorHAnsi" w:cstheme="majorHAnsi"/>
          <w:sz w:val="17"/>
          <w:szCs w:val="17"/>
        </w:rPr>
        <w:t>, ale i kvůli ú</w:t>
      </w:r>
      <w:r w:rsidR="00EA163C" w:rsidRPr="00EA163C">
        <w:rPr>
          <w:rFonts w:asciiTheme="majorHAnsi" w:hAnsiTheme="majorHAnsi" w:cstheme="majorHAnsi"/>
          <w:sz w:val="17"/>
          <w:szCs w:val="17"/>
        </w:rPr>
        <w:t>čelně vynaložený</w:t>
      </w:r>
      <w:r w:rsidR="00EA163C">
        <w:rPr>
          <w:rFonts w:asciiTheme="majorHAnsi" w:hAnsiTheme="majorHAnsi" w:cstheme="majorHAnsi"/>
          <w:sz w:val="17"/>
          <w:szCs w:val="17"/>
        </w:rPr>
        <w:t>m</w:t>
      </w:r>
      <w:r w:rsidR="00EA163C" w:rsidRPr="00EA163C">
        <w:rPr>
          <w:rFonts w:asciiTheme="majorHAnsi" w:hAnsiTheme="majorHAnsi" w:cstheme="majorHAnsi"/>
          <w:sz w:val="17"/>
          <w:szCs w:val="17"/>
        </w:rPr>
        <w:t xml:space="preserve"> nákladů</w:t>
      </w:r>
      <w:r w:rsidR="00EA163C">
        <w:rPr>
          <w:rFonts w:asciiTheme="majorHAnsi" w:hAnsiTheme="majorHAnsi" w:cstheme="majorHAnsi"/>
          <w:sz w:val="17"/>
          <w:szCs w:val="17"/>
        </w:rPr>
        <w:t xml:space="preserve">m </w:t>
      </w:r>
      <w:r w:rsidR="00EA163C" w:rsidRPr="00EA163C">
        <w:rPr>
          <w:rFonts w:asciiTheme="majorHAnsi" w:hAnsiTheme="majorHAnsi" w:cstheme="majorHAnsi"/>
          <w:sz w:val="17"/>
          <w:szCs w:val="17"/>
        </w:rPr>
        <w:t>při předčasném splacení hypoték</w:t>
      </w:r>
      <w:r w:rsidR="00EA163C">
        <w:rPr>
          <w:rFonts w:asciiTheme="majorHAnsi" w:hAnsiTheme="majorHAnsi" w:cstheme="majorHAnsi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1DE8A063" w:rsidR="00A86552" w:rsidRPr="00616069" w:rsidRDefault="00A86552" w:rsidP="00095055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1DE8A063" w:rsidR="00A86552" w:rsidRPr="00616069" w:rsidRDefault="00A86552" w:rsidP="00095055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10997868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307141265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6B669858" w:rsidR="002D4720" w:rsidRPr="00616069" w:rsidRDefault="002D4720" w:rsidP="000B7D19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</w:p>
                        <w:p w14:paraId="0A69756F" w14:textId="701DF7A3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9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6B669858" w:rsidR="002D4720" w:rsidRPr="00616069" w:rsidRDefault="002D4720" w:rsidP="000B7D19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</w:p>
                  <w:p w14:paraId="0A69756F" w14:textId="701DF7A3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2832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5805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47C5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000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00C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3324"/>
    <w:rsid w:val="0009491E"/>
    <w:rsid w:val="00095055"/>
    <w:rsid w:val="0009562F"/>
    <w:rsid w:val="00097293"/>
    <w:rsid w:val="000976B9"/>
    <w:rsid w:val="00097716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2E2"/>
    <w:rsid w:val="000B3BFA"/>
    <w:rsid w:val="000B4C8F"/>
    <w:rsid w:val="000B510F"/>
    <w:rsid w:val="000B51A4"/>
    <w:rsid w:val="000B70C8"/>
    <w:rsid w:val="000B79A4"/>
    <w:rsid w:val="000B7D19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349"/>
    <w:rsid w:val="000C6834"/>
    <w:rsid w:val="000C78A3"/>
    <w:rsid w:val="000D011A"/>
    <w:rsid w:val="000D02A4"/>
    <w:rsid w:val="000D0E54"/>
    <w:rsid w:val="000D1749"/>
    <w:rsid w:val="000D1D61"/>
    <w:rsid w:val="000D2F4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2A4"/>
    <w:rsid w:val="000E4810"/>
    <w:rsid w:val="000E4ABC"/>
    <w:rsid w:val="000E55F2"/>
    <w:rsid w:val="000E563F"/>
    <w:rsid w:val="000E59CE"/>
    <w:rsid w:val="000E5F43"/>
    <w:rsid w:val="000E7D75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6C58"/>
    <w:rsid w:val="000F70CA"/>
    <w:rsid w:val="00100269"/>
    <w:rsid w:val="001002CD"/>
    <w:rsid w:val="00100394"/>
    <w:rsid w:val="00100FC3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BE4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271C2"/>
    <w:rsid w:val="00130063"/>
    <w:rsid w:val="00130359"/>
    <w:rsid w:val="001306A2"/>
    <w:rsid w:val="00131D36"/>
    <w:rsid w:val="00131E24"/>
    <w:rsid w:val="00131E94"/>
    <w:rsid w:val="00132159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37659"/>
    <w:rsid w:val="00140854"/>
    <w:rsid w:val="00140E10"/>
    <w:rsid w:val="00142116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3692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579C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2E5E"/>
    <w:rsid w:val="001B3197"/>
    <w:rsid w:val="001B39D3"/>
    <w:rsid w:val="001B4DA8"/>
    <w:rsid w:val="001B59D5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4A3B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3B01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637"/>
    <w:rsid w:val="0020488B"/>
    <w:rsid w:val="00204F09"/>
    <w:rsid w:val="0020667A"/>
    <w:rsid w:val="0020698C"/>
    <w:rsid w:val="00206F7E"/>
    <w:rsid w:val="00207AE7"/>
    <w:rsid w:val="00207BE5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8A9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5756A"/>
    <w:rsid w:val="00260219"/>
    <w:rsid w:val="00260B2C"/>
    <w:rsid w:val="0026106F"/>
    <w:rsid w:val="0026210C"/>
    <w:rsid w:val="0026268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44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3873"/>
    <w:rsid w:val="0029502E"/>
    <w:rsid w:val="00295F01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D7231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16F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58FE"/>
    <w:rsid w:val="002F6432"/>
    <w:rsid w:val="002F6A6D"/>
    <w:rsid w:val="003012B9"/>
    <w:rsid w:val="0030161E"/>
    <w:rsid w:val="00301915"/>
    <w:rsid w:val="003028DC"/>
    <w:rsid w:val="003029D1"/>
    <w:rsid w:val="0030348A"/>
    <w:rsid w:val="00303B0E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A6D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451"/>
    <w:rsid w:val="003C373E"/>
    <w:rsid w:val="003C392F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2394"/>
    <w:rsid w:val="003F37CA"/>
    <w:rsid w:val="003F3922"/>
    <w:rsid w:val="003F45B7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E19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72D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085"/>
    <w:rsid w:val="00436F5C"/>
    <w:rsid w:val="004371EE"/>
    <w:rsid w:val="00437589"/>
    <w:rsid w:val="0043780A"/>
    <w:rsid w:val="00440A53"/>
    <w:rsid w:val="00441C0D"/>
    <w:rsid w:val="00442170"/>
    <w:rsid w:val="0044352D"/>
    <w:rsid w:val="004444EE"/>
    <w:rsid w:val="004445E7"/>
    <w:rsid w:val="0044491F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33E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3D6"/>
    <w:rsid w:val="00480B75"/>
    <w:rsid w:val="004828F3"/>
    <w:rsid w:val="00483136"/>
    <w:rsid w:val="0048354D"/>
    <w:rsid w:val="00483FA6"/>
    <w:rsid w:val="0048489E"/>
    <w:rsid w:val="004852E3"/>
    <w:rsid w:val="00485ADC"/>
    <w:rsid w:val="00486858"/>
    <w:rsid w:val="00486BC4"/>
    <w:rsid w:val="00486C1D"/>
    <w:rsid w:val="004904F6"/>
    <w:rsid w:val="00490505"/>
    <w:rsid w:val="004908DB"/>
    <w:rsid w:val="00490E04"/>
    <w:rsid w:val="00490E1A"/>
    <w:rsid w:val="00491DB6"/>
    <w:rsid w:val="00492636"/>
    <w:rsid w:val="004934D9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428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2E1A"/>
    <w:rsid w:val="004B3889"/>
    <w:rsid w:val="004B3E0D"/>
    <w:rsid w:val="004B3F04"/>
    <w:rsid w:val="004B441B"/>
    <w:rsid w:val="004B4571"/>
    <w:rsid w:val="004B4DE5"/>
    <w:rsid w:val="004B51F9"/>
    <w:rsid w:val="004B564F"/>
    <w:rsid w:val="004B61C3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605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347"/>
    <w:rsid w:val="004D3E58"/>
    <w:rsid w:val="004D4156"/>
    <w:rsid w:val="004D4333"/>
    <w:rsid w:val="004D6531"/>
    <w:rsid w:val="004D6F30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7C2"/>
    <w:rsid w:val="00502C28"/>
    <w:rsid w:val="00503D06"/>
    <w:rsid w:val="00504229"/>
    <w:rsid w:val="00504370"/>
    <w:rsid w:val="00505434"/>
    <w:rsid w:val="00506126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4960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2041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48A4"/>
    <w:rsid w:val="00544E5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4741"/>
    <w:rsid w:val="00554FF2"/>
    <w:rsid w:val="00555261"/>
    <w:rsid w:val="00555C70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53E"/>
    <w:rsid w:val="00562995"/>
    <w:rsid w:val="00563855"/>
    <w:rsid w:val="005642DD"/>
    <w:rsid w:val="00564453"/>
    <w:rsid w:val="00566025"/>
    <w:rsid w:val="0056611F"/>
    <w:rsid w:val="005666D7"/>
    <w:rsid w:val="0056769C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2221"/>
    <w:rsid w:val="00584718"/>
    <w:rsid w:val="00584D4C"/>
    <w:rsid w:val="005861DC"/>
    <w:rsid w:val="0058622F"/>
    <w:rsid w:val="00586418"/>
    <w:rsid w:val="00586686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638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2CDC"/>
    <w:rsid w:val="005B3025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382F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E7C7D"/>
    <w:rsid w:val="005F0A09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D52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031"/>
    <w:rsid w:val="00606E04"/>
    <w:rsid w:val="00607B8A"/>
    <w:rsid w:val="006102C4"/>
    <w:rsid w:val="00611A97"/>
    <w:rsid w:val="00611B3C"/>
    <w:rsid w:val="00611C5C"/>
    <w:rsid w:val="00612686"/>
    <w:rsid w:val="00612FFF"/>
    <w:rsid w:val="006131E9"/>
    <w:rsid w:val="0061392C"/>
    <w:rsid w:val="00613C92"/>
    <w:rsid w:val="00615685"/>
    <w:rsid w:val="00615849"/>
    <w:rsid w:val="00616069"/>
    <w:rsid w:val="00616F34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37E7"/>
    <w:rsid w:val="00634080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C58"/>
    <w:rsid w:val="00641E0B"/>
    <w:rsid w:val="0064225E"/>
    <w:rsid w:val="0064298D"/>
    <w:rsid w:val="0064364F"/>
    <w:rsid w:val="006445A3"/>
    <w:rsid w:val="00645115"/>
    <w:rsid w:val="006462F1"/>
    <w:rsid w:val="006464CF"/>
    <w:rsid w:val="00646CB6"/>
    <w:rsid w:val="00646DB1"/>
    <w:rsid w:val="00647A7A"/>
    <w:rsid w:val="00650088"/>
    <w:rsid w:val="00650724"/>
    <w:rsid w:val="0065124E"/>
    <w:rsid w:val="006513A0"/>
    <w:rsid w:val="00652484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6618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A19"/>
    <w:rsid w:val="006A0B4A"/>
    <w:rsid w:val="006A0D71"/>
    <w:rsid w:val="006A0E7E"/>
    <w:rsid w:val="006A0F4A"/>
    <w:rsid w:val="006A1D16"/>
    <w:rsid w:val="006A1EA8"/>
    <w:rsid w:val="006A4300"/>
    <w:rsid w:val="006A4428"/>
    <w:rsid w:val="006A4CF3"/>
    <w:rsid w:val="006A70CC"/>
    <w:rsid w:val="006A7BEA"/>
    <w:rsid w:val="006A7D62"/>
    <w:rsid w:val="006B00D0"/>
    <w:rsid w:val="006B120F"/>
    <w:rsid w:val="006B1FE2"/>
    <w:rsid w:val="006B2EBD"/>
    <w:rsid w:val="006B2F86"/>
    <w:rsid w:val="006B3690"/>
    <w:rsid w:val="006B37A6"/>
    <w:rsid w:val="006B3C0D"/>
    <w:rsid w:val="006B4649"/>
    <w:rsid w:val="006B4CAC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49D0"/>
    <w:rsid w:val="006D5361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81D"/>
    <w:rsid w:val="006E39D7"/>
    <w:rsid w:val="006E3BD0"/>
    <w:rsid w:val="006E3FA9"/>
    <w:rsid w:val="006E4444"/>
    <w:rsid w:val="006E4D14"/>
    <w:rsid w:val="006E6866"/>
    <w:rsid w:val="006E6C7D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07B85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9B8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8AB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198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37"/>
    <w:rsid w:val="00743577"/>
    <w:rsid w:val="007435D3"/>
    <w:rsid w:val="00744220"/>
    <w:rsid w:val="00744C66"/>
    <w:rsid w:val="007464CC"/>
    <w:rsid w:val="00747238"/>
    <w:rsid w:val="00747AB1"/>
    <w:rsid w:val="00747B4B"/>
    <w:rsid w:val="00747D5E"/>
    <w:rsid w:val="00750679"/>
    <w:rsid w:val="00751D79"/>
    <w:rsid w:val="00751EDA"/>
    <w:rsid w:val="007524A7"/>
    <w:rsid w:val="00754003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10A"/>
    <w:rsid w:val="0076473F"/>
    <w:rsid w:val="00764748"/>
    <w:rsid w:val="00765515"/>
    <w:rsid w:val="00765F2A"/>
    <w:rsid w:val="00766906"/>
    <w:rsid w:val="00766F28"/>
    <w:rsid w:val="00770E5B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A2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550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4230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1E59"/>
    <w:rsid w:val="007C411F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D77FB"/>
    <w:rsid w:val="007E0084"/>
    <w:rsid w:val="007E0678"/>
    <w:rsid w:val="007E0A18"/>
    <w:rsid w:val="007E0EF4"/>
    <w:rsid w:val="007E1035"/>
    <w:rsid w:val="007E1421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1B60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57D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6E95"/>
    <w:rsid w:val="00867322"/>
    <w:rsid w:val="00867E88"/>
    <w:rsid w:val="00870102"/>
    <w:rsid w:val="00870456"/>
    <w:rsid w:val="00871E82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627E"/>
    <w:rsid w:val="00877706"/>
    <w:rsid w:val="00877F7D"/>
    <w:rsid w:val="008811FC"/>
    <w:rsid w:val="00881D54"/>
    <w:rsid w:val="008825CE"/>
    <w:rsid w:val="00882EFB"/>
    <w:rsid w:val="00882F4A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97C3A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4F98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D3F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25B5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213"/>
    <w:rsid w:val="008E2336"/>
    <w:rsid w:val="008E27A7"/>
    <w:rsid w:val="008E33F9"/>
    <w:rsid w:val="008E34A2"/>
    <w:rsid w:val="008E34AE"/>
    <w:rsid w:val="008E3BA7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4916"/>
    <w:rsid w:val="008F6034"/>
    <w:rsid w:val="008F7859"/>
    <w:rsid w:val="008F7ADB"/>
    <w:rsid w:val="008F7CC9"/>
    <w:rsid w:val="009001B0"/>
    <w:rsid w:val="00900940"/>
    <w:rsid w:val="00900CC0"/>
    <w:rsid w:val="00902568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6F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6B3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6EEE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0FBE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51FA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AFA"/>
    <w:rsid w:val="00980C11"/>
    <w:rsid w:val="00981086"/>
    <w:rsid w:val="0098257D"/>
    <w:rsid w:val="0098302F"/>
    <w:rsid w:val="009831C8"/>
    <w:rsid w:val="00983D28"/>
    <w:rsid w:val="0098474E"/>
    <w:rsid w:val="00985705"/>
    <w:rsid w:val="009857EB"/>
    <w:rsid w:val="00986110"/>
    <w:rsid w:val="009869D5"/>
    <w:rsid w:val="00987232"/>
    <w:rsid w:val="009877E3"/>
    <w:rsid w:val="00990104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5D66"/>
    <w:rsid w:val="009C6CC1"/>
    <w:rsid w:val="009C73E9"/>
    <w:rsid w:val="009D05F1"/>
    <w:rsid w:val="009D089E"/>
    <w:rsid w:val="009D094F"/>
    <w:rsid w:val="009D0BF3"/>
    <w:rsid w:val="009D0E88"/>
    <w:rsid w:val="009D0EB6"/>
    <w:rsid w:val="009D1003"/>
    <w:rsid w:val="009D1B5A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548"/>
    <w:rsid w:val="009E1649"/>
    <w:rsid w:val="009E172B"/>
    <w:rsid w:val="009E1B55"/>
    <w:rsid w:val="009E204D"/>
    <w:rsid w:val="009E253A"/>
    <w:rsid w:val="009E25F5"/>
    <w:rsid w:val="009E355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D48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939"/>
    <w:rsid w:val="00A15F37"/>
    <w:rsid w:val="00A16191"/>
    <w:rsid w:val="00A163E3"/>
    <w:rsid w:val="00A16B96"/>
    <w:rsid w:val="00A16CAF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6EBB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272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1689"/>
    <w:rsid w:val="00A72C93"/>
    <w:rsid w:val="00A72DB7"/>
    <w:rsid w:val="00A72FF3"/>
    <w:rsid w:val="00A7410C"/>
    <w:rsid w:val="00A754A0"/>
    <w:rsid w:val="00A76082"/>
    <w:rsid w:val="00A7784F"/>
    <w:rsid w:val="00A77DE1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47A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353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5C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07EE5"/>
    <w:rsid w:val="00B10C3C"/>
    <w:rsid w:val="00B11271"/>
    <w:rsid w:val="00B112A5"/>
    <w:rsid w:val="00B116FF"/>
    <w:rsid w:val="00B118CF"/>
    <w:rsid w:val="00B12833"/>
    <w:rsid w:val="00B12AAF"/>
    <w:rsid w:val="00B12D4B"/>
    <w:rsid w:val="00B140E9"/>
    <w:rsid w:val="00B14557"/>
    <w:rsid w:val="00B1471D"/>
    <w:rsid w:val="00B15438"/>
    <w:rsid w:val="00B17281"/>
    <w:rsid w:val="00B17A43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1CC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636"/>
    <w:rsid w:val="00B47C1C"/>
    <w:rsid w:val="00B47F43"/>
    <w:rsid w:val="00B506AC"/>
    <w:rsid w:val="00B50773"/>
    <w:rsid w:val="00B50D1B"/>
    <w:rsid w:val="00B50E2C"/>
    <w:rsid w:val="00B51364"/>
    <w:rsid w:val="00B517ED"/>
    <w:rsid w:val="00B51F08"/>
    <w:rsid w:val="00B52041"/>
    <w:rsid w:val="00B52A2C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0139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D00"/>
    <w:rsid w:val="00BA1F8A"/>
    <w:rsid w:val="00BA258C"/>
    <w:rsid w:val="00BA280D"/>
    <w:rsid w:val="00BA3140"/>
    <w:rsid w:val="00BA321E"/>
    <w:rsid w:val="00BA3EDB"/>
    <w:rsid w:val="00BA4441"/>
    <w:rsid w:val="00BA46B0"/>
    <w:rsid w:val="00BA47DA"/>
    <w:rsid w:val="00BA4E91"/>
    <w:rsid w:val="00BA5E59"/>
    <w:rsid w:val="00BA62A1"/>
    <w:rsid w:val="00BA6D0B"/>
    <w:rsid w:val="00BA75F2"/>
    <w:rsid w:val="00BB0F17"/>
    <w:rsid w:val="00BB1A4D"/>
    <w:rsid w:val="00BB1A9F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3D5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018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E7555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6C1"/>
    <w:rsid w:val="00C01839"/>
    <w:rsid w:val="00C01BF8"/>
    <w:rsid w:val="00C02043"/>
    <w:rsid w:val="00C048AE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363D"/>
    <w:rsid w:val="00C1412B"/>
    <w:rsid w:val="00C15578"/>
    <w:rsid w:val="00C15648"/>
    <w:rsid w:val="00C16E21"/>
    <w:rsid w:val="00C17244"/>
    <w:rsid w:val="00C2000C"/>
    <w:rsid w:val="00C2020E"/>
    <w:rsid w:val="00C20265"/>
    <w:rsid w:val="00C2049A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02D7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3BE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3460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4F63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D755A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07C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3B38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22E"/>
    <w:rsid w:val="00D15D74"/>
    <w:rsid w:val="00D16D8E"/>
    <w:rsid w:val="00D16FB5"/>
    <w:rsid w:val="00D1722E"/>
    <w:rsid w:val="00D176B7"/>
    <w:rsid w:val="00D17F2A"/>
    <w:rsid w:val="00D20B08"/>
    <w:rsid w:val="00D211A5"/>
    <w:rsid w:val="00D21C7E"/>
    <w:rsid w:val="00D2261D"/>
    <w:rsid w:val="00D228B8"/>
    <w:rsid w:val="00D2301A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3642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38E"/>
    <w:rsid w:val="00D56E84"/>
    <w:rsid w:val="00D60759"/>
    <w:rsid w:val="00D6293F"/>
    <w:rsid w:val="00D662E4"/>
    <w:rsid w:val="00D66E1F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6233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47A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2CF3"/>
    <w:rsid w:val="00DA40F8"/>
    <w:rsid w:val="00DA47F0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46B"/>
    <w:rsid w:val="00DB761D"/>
    <w:rsid w:val="00DB7C28"/>
    <w:rsid w:val="00DC13F9"/>
    <w:rsid w:val="00DC1D72"/>
    <w:rsid w:val="00DC2A04"/>
    <w:rsid w:val="00DC2E2C"/>
    <w:rsid w:val="00DC46D1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3B5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0C89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4A38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57C"/>
    <w:rsid w:val="00E16BD3"/>
    <w:rsid w:val="00E16FAA"/>
    <w:rsid w:val="00E171C2"/>
    <w:rsid w:val="00E20598"/>
    <w:rsid w:val="00E20664"/>
    <w:rsid w:val="00E2148E"/>
    <w:rsid w:val="00E21C56"/>
    <w:rsid w:val="00E22425"/>
    <w:rsid w:val="00E2267B"/>
    <w:rsid w:val="00E22996"/>
    <w:rsid w:val="00E23F67"/>
    <w:rsid w:val="00E24926"/>
    <w:rsid w:val="00E24E04"/>
    <w:rsid w:val="00E2580D"/>
    <w:rsid w:val="00E2583C"/>
    <w:rsid w:val="00E2789E"/>
    <w:rsid w:val="00E27948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6DD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59EA"/>
    <w:rsid w:val="00E56000"/>
    <w:rsid w:val="00E56378"/>
    <w:rsid w:val="00E57208"/>
    <w:rsid w:val="00E57457"/>
    <w:rsid w:val="00E60175"/>
    <w:rsid w:val="00E6160E"/>
    <w:rsid w:val="00E63B64"/>
    <w:rsid w:val="00E63F00"/>
    <w:rsid w:val="00E642DC"/>
    <w:rsid w:val="00E64ABC"/>
    <w:rsid w:val="00E64E57"/>
    <w:rsid w:val="00E64F71"/>
    <w:rsid w:val="00E64FC2"/>
    <w:rsid w:val="00E65240"/>
    <w:rsid w:val="00E66FD1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77326"/>
    <w:rsid w:val="00E808C9"/>
    <w:rsid w:val="00E80943"/>
    <w:rsid w:val="00E8112D"/>
    <w:rsid w:val="00E81135"/>
    <w:rsid w:val="00E8148D"/>
    <w:rsid w:val="00E818C3"/>
    <w:rsid w:val="00E82DCF"/>
    <w:rsid w:val="00E84DC4"/>
    <w:rsid w:val="00E84E21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163C"/>
    <w:rsid w:val="00EA507E"/>
    <w:rsid w:val="00EA5747"/>
    <w:rsid w:val="00EA6103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263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E64D0"/>
    <w:rsid w:val="00EE7261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47C"/>
    <w:rsid w:val="00F01AED"/>
    <w:rsid w:val="00F02876"/>
    <w:rsid w:val="00F03CD8"/>
    <w:rsid w:val="00F06185"/>
    <w:rsid w:val="00F064C3"/>
    <w:rsid w:val="00F06A82"/>
    <w:rsid w:val="00F109A7"/>
    <w:rsid w:val="00F10BFD"/>
    <w:rsid w:val="00F10D7E"/>
    <w:rsid w:val="00F11D60"/>
    <w:rsid w:val="00F11FF2"/>
    <w:rsid w:val="00F12451"/>
    <w:rsid w:val="00F12C44"/>
    <w:rsid w:val="00F12F74"/>
    <w:rsid w:val="00F1303C"/>
    <w:rsid w:val="00F132E8"/>
    <w:rsid w:val="00F14FD4"/>
    <w:rsid w:val="00F15550"/>
    <w:rsid w:val="00F15E8D"/>
    <w:rsid w:val="00F175AF"/>
    <w:rsid w:val="00F205FB"/>
    <w:rsid w:val="00F20967"/>
    <w:rsid w:val="00F20DD7"/>
    <w:rsid w:val="00F20F27"/>
    <w:rsid w:val="00F21CF8"/>
    <w:rsid w:val="00F22A61"/>
    <w:rsid w:val="00F2357B"/>
    <w:rsid w:val="00F23602"/>
    <w:rsid w:val="00F236DC"/>
    <w:rsid w:val="00F2464A"/>
    <w:rsid w:val="00F247BC"/>
    <w:rsid w:val="00F2482C"/>
    <w:rsid w:val="00F24A8F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37CB3"/>
    <w:rsid w:val="00F40055"/>
    <w:rsid w:val="00F41E87"/>
    <w:rsid w:val="00F42120"/>
    <w:rsid w:val="00F428F8"/>
    <w:rsid w:val="00F43B83"/>
    <w:rsid w:val="00F44EBF"/>
    <w:rsid w:val="00F45EB3"/>
    <w:rsid w:val="00F463BF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3ED"/>
    <w:rsid w:val="00F71668"/>
    <w:rsid w:val="00F73140"/>
    <w:rsid w:val="00F74364"/>
    <w:rsid w:val="00F74666"/>
    <w:rsid w:val="00F7492D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4DC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36A5"/>
    <w:rsid w:val="00FA57BD"/>
    <w:rsid w:val="00FA59C4"/>
    <w:rsid w:val="00FA59C6"/>
    <w:rsid w:val="00FA5A3F"/>
    <w:rsid w:val="00FA5B04"/>
    <w:rsid w:val="00FA5F7E"/>
    <w:rsid w:val="00FA6140"/>
    <w:rsid w:val="00FA6AEF"/>
    <w:rsid w:val="00FB0167"/>
    <w:rsid w:val="00FB0EBB"/>
    <w:rsid w:val="00FB10F6"/>
    <w:rsid w:val="00FB13A2"/>
    <w:rsid w:val="00FB140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12E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3B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34E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1B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215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hyperlink" Target="https://www.cbamonitor.cz/aktuality/vlna-refixaci-hypotek-sili-urokovy-sok-ale-slabne-rizikem-zustava-vyssi-inflace" TargetMode="External"/><Relationship Id="rId26" Type="http://schemas.openxmlformats.org/officeDocument/2006/relationships/image" Target="media/image9.emf"/><Relationship Id="rId39" Type="http://schemas.openxmlformats.org/officeDocument/2006/relationships/hyperlink" Target="https://www.cbamonitor.cz/kategorie/cba-hypomonitor" TargetMode="External"/><Relationship Id="rId21" Type="http://schemas.openxmlformats.org/officeDocument/2006/relationships/hyperlink" Target="https://www.cbamonitor.cz/aktuality/nizsi-kvetnova-inflace-pri-silnejsim-rustu-mezd-predstavuje-pro-cnb-troji-dilema" TargetMode="External"/><Relationship Id="rId34" Type="http://schemas.openxmlformats.org/officeDocument/2006/relationships/image" Target="media/image11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cbamonitor.cz/aktuality/nizka-inflace-klame-domaci-tlaky-mohou-cnb-primet-ke-zvyseni-sazeb" TargetMode="External"/><Relationship Id="rId29" Type="http://schemas.openxmlformats.org/officeDocument/2006/relationships/hyperlink" Target="https://www.cbamonitor.cz/statistika/dynamika-mezd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bamonitor.cz/aktuality/cnb-zvysuje-kapitalovou-rezervu-bank-reaguje-na-rychlejsi-rust-uveru-i-nova-rizika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www.cbamonitor.cz/kategorie/ceny-nemovitosti" TargetMode="External"/><Relationship Id="rId37" Type="http://schemas.openxmlformats.org/officeDocument/2006/relationships/image" Target="media/image13.emf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s://www.cbamonitor.cz/aktuality/nizsi-kvetnova-inflace-pri-silnejsim-rustu-mezd-predstavuje-pro-cnb-troji-dilema" TargetMode="External"/><Relationship Id="rId36" Type="http://schemas.openxmlformats.org/officeDocument/2006/relationships/hyperlink" Target="https://www.cbamonitor.cz/statistika/prognoza-prumerna-mzd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bamonitor.cz/aktuality/trzni-sily-v-hypotecnich-sazbach-rust-trznich-uroku-se-do-hypotek-promitl-jen-castecne-pomaha-silna-konkurence-na-trhu" TargetMode="External"/><Relationship Id="rId31" Type="http://schemas.openxmlformats.org/officeDocument/2006/relationships/hyperlink" Target="https://www.cbamonitor.cz/aktuality/silne-tempo-rustu-nabidkovych-cen-bytu-i-na-zacatku-roku-202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cbamonitor.cz/aktuality/ekonomika-v-prvnim-ctvrtleti-zpomalila-struktura-rustu-ale-zustava-prizniva" TargetMode="External"/><Relationship Id="rId27" Type="http://schemas.openxmlformats.org/officeDocument/2006/relationships/hyperlink" Target="https://www.cbamonitor.cz/aktuality/cnb-zprisnuje-podminky-pro-investicni-hypoteky-9-dopad-nebo-potrebna-redistribuce-poptavky" TargetMode="External"/><Relationship Id="rId30" Type="http://schemas.openxmlformats.org/officeDocument/2006/relationships/hyperlink" Target="https://www.cbamonitor.cz/aktuality/mirnejsi-ale-silny-rust-cen-realit-v-zaveru-roku-doprovazely-silnejsi-prijmy-a-uspory-domacnosti" TargetMode="External"/><Relationship Id="rId35" Type="http://schemas.openxmlformats.org/officeDocument/2006/relationships/image" Target="media/image12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www.cbamonitor.cz/aktuality/vlna-refixaci-hypotek-sili-urokovy-sok-ale-slabne-rizikem-zustava-vyssi-inflace" TargetMode="External"/><Relationship Id="rId33" Type="http://schemas.openxmlformats.org/officeDocument/2006/relationships/image" Target="media/image10.png"/><Relationship Id="rId38" Type="http://schemas.openxmlformats.org/officeDocument/2006/relationships/hyperlink" Target="http://www.cbaonlin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3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2708</Words>
  <Characters>15981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Možná, Radana (ČBA)</cp:lastModifiedBy>
  <cp:revision>2</cp:revision>
  <cp:lastPrinted>2025-08-14T09:13:00Z</cp:lastPrinted>
  <dcterms:created xsi:type="dcterms:W3CDTF">2026-06-11T15:00:00Z</dcterms:created>
  <dcterms:modified xsi:type="dcterms:W3CDTF">2026-06-11T15:00:00Z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