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885432"/>
    <w:bookmarkStart w:id="1" w:name="_Hlk111121205"/>
    <w:bookmarkStart w:id="2" w:name="_Hlk116472656"/>
    <w:bookmarkEnd w:id="0"/>
    <w:p w14:paraId="037D51CC" w14:textId="5DA59D09" w:rsidR="006A0A19" w:rsidRPr="002F43DE" w:rsidRDefault="004C4605" w:rsidP="00F20F27">
      <w:pPr>
        <w:rPr>
          <w:rFonts w:ascii="Calibri" w:hAnsi="Calibri" w:cs="Calibri"/>
          <w:b/>
          <w:color w:val="EE0000"/>
          <w:sz w:val="32"/>
          <w:szCs w:val="32"/>
        </w:rPr>
      </w:pPr>
      <w:r w:rsidRPr="00616069">
        <w:rPr>
          <w:rFonts w:cs="Arial"/>
          <w:noProof/>
          <w:lang w:eastAsia="en-GB"/>
        </w:rPr>
        <mc:AlternateContent>
          <mc:Choice Requires="wps">
            <w:drawing>
              <wp:anchor distT="45720" distB="45720" distL="114300" distR="114300" simplePos="0" relativeHeight="251670528" behindDoc="0" locked="0" layoutInCell="1" allowOverlap="1" wp14:anchorId="2D226F0A" wp14:editId="7C880E22">
                <wp:simplePos x="0" y="0"/>
                <wp:positionH relativeFrom="margin">
                  <wp:posOffset>2228850</wp:posOffset>
                </wp:positionH>
                <wp:positionV relativeFrom="paragraph">
                  <wp:posOffset>-954405</wp:posOffset>
                </wp:positionV>
                <wp:extent cx="2941608" cy="1404620"/>
                <wp:effectExtent l="0" t="0" r="0" b="0"/>
                <wp:wrapNone/>
                <wp:docPr id="2647617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32B97BB3" w14:textId="7C1CA422" w:rsidR="004C4605" w:rsidRPr="00616069" w:rsidRDefault="004C4605" w:rsidP="004C460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26F0A" id="_x0000_t202" coordsize="21600,21600" o:spt="202" path="m,l,21600r21600,l21600,xe">
                <v:stroke joinstyle="miter"/>
                <v:path gradientshapeok="t" o:connecttype="rect"/>
              </v:shapetype>
              <v:shape id="Textové pole 2" o:spid="_x0000_s1026" type="#_x0000_t202" style="position:absolute;left:0;text-align:left;margin-left:175.5pt;margin-top:-75.15pt;width:231.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" filled="f" stroked="f">
                <v:textbox style="mso-fit-shape-to-text:t">
                  <w:txbxContent>
                    <w:p w14:paraId="32B97BB3" w14:textId="7C1CA422" w:rsidR="004C4605" w:rsidRPr="00616069" w:rsidRDefault="004C4605" w:rsidP="004C4605">
                      <w:pPr>
                        <w:spacing w:line="276" w:lineRule="auto"/>
                        <w:jc w:val="right"/>
                        <w:rPr>
                          <w:rFonts w:ascii="Calibri" w:hAnsi="Calibri" w:cs="Calibri"/>
                          <w:b/>
                          <w:color w:val="FF0000"/>
                          <w:sz w:val="40"/>
                          <w:szCs w:val="40"/>
                        </w:rPr>
                      </w:pPr>
                    </w:p>
                  </w:txbxContent>
                </v:textbox>
                <w10:wrap anchorx="margin"/>
              </v:shape>
            </w:pict>
          </mc:Fallback>
        </mc:AlternateContent>
      </w:r>
      <w:r w:rsidR="003D3759" w:rsidRPr="00616069">
        <w:rPr>
          <w:rFonts w:ascii="Calibri" w:hAnsi="Calibri" w:cs="Calibri"/>
          <w:b/>
          <w:color w:val="13576B"/>
          <w:sz w:val="32"/>
          <w:szCs w:val="32"/>
        </w:rPr>
        <w:t>ČBA Hypomonito</w:t>
      </w:r>
      <w:r w:rsidR="007C0E2D">
        <w:rPr>
          <w:rFonts w:ascii="Calibri" w:hAnsi="Calibri" w:cs="Calibri"/>
          <w:b/>
          <w:color w:val="13576B"/>
          <w:sz w:val="32"/>
          <w:szCs w:val="32"/>
        </w:rPr>
        <w:t>r</w:t>
      </w:r>
      <w:r w:rsidR="003D3759" w:rsidRPr="00616069">
        <w:rPr>
          <w:rFonts w:ascii="Calibri" w:hAnsi="Calibri" w:cs="Calibri"/>
          <w:b/>
          <w:color w:val="13576B"/>
          <w:sz w:val="32"/>
          <w:szCs w:val="32"/>
        </w:rPr>
        <w:t>:</w:t>
      </w:r>
      <w:r>
        <w:rPr>
          <w:rFonts w:ascii="Calibri" w:hAnsi="Calibri" w:cs="Calibri"/>
          <w:b/>
          <w:color w:val="13576B"/>
          <w:sz w:val="32"/>
          <w:szCs w:val="32"/>
        </w:rPr>
        <w:t xml:space="preserve"> I duben přepsal hypoteční maxima</w:t>
      </w:r>
      <w:r w:rsidR="00137659">
        <w:rPr>
          <w:rFonts w:ascii="Calibri" w:hAnsi="Calibri" w:cs="Calibri"/>
          <w:b/>
          <w:color w:val="13576B"/>
          <w:sz w:val="32"/>
          <w:szCs w:val="32"/>
        </w:rPr>
        <w:t xml:space="preserve"> se stále </w:t>
      </w:r>
      <w:r w:rsidR="00D66E1F">
        <w:rPr>
          <w:rFonts w:ascii="Calibri" w:hAnsi="Calibri" w:cs="Calibri"/>
          <w:b/>
          <w:color w:val="13576B"/>
          <w:sz w:val="32"/>
          <w:szCs w:val="32"/>
        </w:rPr>
        <w:t>nízkou</w:t>
      </w:r>
      <w:r w:rsidR="00137659">
        <w:rPr>
          <w:rFonts w:ascii="Calibri" w:hAnsi="Calibri" w:cs="Calibri"/>
          <w:b/>
          <w:color w:val="13576B"/>
          <w:sz w:val="32"/>
          <w:szCs w:val="32"/>
        </w:rPr>
        <w:t xml:space="preserve"> sazbo</w:t>
      </w:r>
      <w:r>
        <w:rPr>
          <w:rFonts w:ascii="Calibri" w:hAnsi="Calibri" w:cs="Calibri"/>
          <w:b/>
          <w:color w:val="13576B"/>
          <w:sz w:val="32"/>
          <w:szCs w:val="32"/>
        </w:rPr>
        <w:t xml:space="preserve">u </w:t>
      </w:r>
      <w:r w:rsidR="006B4CAC">
        <w:rPr>
          <w:rFonts w:ascii="Calibri" w:hAnsi="Calibri" w:cs="Calibri"/>
          <w:b/>
          <w:color w:val="13576B"/>
          <w:sz w:val="32"/>
          <w:szCs w:val="32"/>
        </w:rPr>
        <w:t>4</w:t>
      </w:r>
      <w:r>
        <w:rPr>
          <w:rFonts w:ascii="Calibri" w:hAnsi="Calibri" w:cs="Calibri"/>
          <w:b/>
          <w:color w:val="13576B"/>
          <w:sz w:val="32"/>
          <w:szCs w:val="32"/>
        </w:rPr>
        <w:t>,</w:t>
      </w:r>
      <w:r w:rsidR="00137659">
        <w:rPr>
          <w:rFonts w:ascii="Calibri" w:hAnsi="Calibri" w:cs="Calibri"/>
          <w:b/>
          <w:color w:val="13576B"/>
          <w:sz w:val="32"/>
          <w:szCs w:val="32"/>
        </w:rPr>
        <w:t>52</w:t>
      </w:r>
      <w:r w:rsidR="006B4CAC">
        <w:rPr>
          <w:rFonts w:ascii="Calibri" w:hAnsi="Calibri" w:cs="Calibri"/>
          <w:b/>
          <w:color w:val="13576B"/>
          <w:sz w:val="32"/>
          <w:szCs w:val="32"/>
        </w:rPr>
        <w:t xml:space="preserve"> %</w:t>
      </w:r>
    </w:p>
    <w:bookmarkEnd w:id="1"/>
    <w:p w14:paraId="7F8B30D0" w14:textId="4B88D993" w:rsidR="000F6C58" w:rsidRPr="000F6C58" w:rsidRDefault="007967E6" w:rsidP="000F6C58">
      <w:pPr>
        <w:overflowPunct/>
        <w:autoSpaceDE/>
        <w:autoSpaceDN/>
        <w:adjustRightInd/>
        <w:spacing w:before="120" w:after="120"/>
        <w:textAlignment w:val="auto"/>
        <w:rPr>
          <w:rFonts w:ascii="Calibri" w:hAnsi="Calibri" w:cs="Calibri"/>
          <w:b/>
          <w:bCs/>
          <w:color w:val="13576B"/>
          <w:sz w:val="22"/>
          <w:szCs w:val="22"/>
        </w:rPr>
      </w:pPr>
      <w:r w:rsidRPr="006B4CAC">
        <w:rPr>
          <w:rFonts w:ascii="Calibri" w:hAnsi="Calibri" w:cs="Calibri"/>
          <w:b/>
          <w:bCs/>
          <w:color w:val="13576B"/>
          <w:sz w:val="22"/>
          <w:szCs w:val="22"/>
        </w:rPr>
        <w:t>Praha, 1</w:t>
      </w:r>
      <w:r w:rsidR="004C4605">
        <w:rPr>
          <w:rFonts w:ascii="Calibri" w:hAnsi="Calibri" w:cs="Calibri"/>
          <w:b/>
          <w:bCs/>
          <w:color w:val="13576B"/>
          <w:sz w:val="22"/>
          <w:szCs w:val="22"/>
        </w:rPr>
        <w:t>8</w:t>
      </w:r>
      <w:r w:rsidRPr="006B4CAC">
        <w:rPr>
          <w:rFonts w:ascii="Calibri" w:hAnsi="Calibri" w:cs="Calibri"/>
          <w:b/>
          <w:bCs/>
          <w:color w:val="13576B"/>
          <w:sz w:val="22"/>
          <w:szCs w:val="22"/>
        </w:rPr>
        <w:t>.</w:t>
      </w:r>
      <w:r w:rsidR="00EE64D0">
        <w:rPr>
          <w:rFonts w:ascii="Calibri" w:hAnsi="Calibri" w:cs="Calibri"/>
          <w:b/>
          <w:bCs/>
          <w:color w:val="13576B"/>
          <w:sz w:val="22"/>
          <w:szCs w:val="22"/>
        </w:rPr>
        <w:t xml:space="preserve"> </w:t>
      </w:r>
      <w:r w:rsidR="004C4605">
        <w:rPr>
          <w:rFonts w:ascii="Calibri" w:hAnsi="Calibri" w:cs="Calibri"/>
          <w:b/>
          <w:bCs/>
          <w:color w:val="13576B"/>
          <w:sz w:val="22"/>
          <w:szCs w:val="22"/>
        </w:rPr>
        <w:t>květen</w:t>
      </w:r>
      <w:r w:rsidRPr="006B4CAC">
        <w:rPr>
          <w:rFonts w:ascii="Calibri" w:hAnsi="Calibri" w:cs="Calibri"/>
          <w:b/>
          <w:bCs/>
          <w:color w:val="13576B"/>
          <w:sz w:val="22"/>
          <w:szCs w:val="22"/>
        </w:rPr>
        <w:t xml:space="preserve"> </w:t>
      </w:r>
      <w:proofErr w:type="gramStart"/>
      <w:r w:rsidR="003C392F" w:rsidRPr="006B4CAC">
        <w:rPr>
          <w:rFonts w:ascii="Calibri" w:hAnsi="Calibri" w:cs="Calibri"/>
          <w:b/>
          <w:bCs/>
          <w:color w:val="13576B"/>
          <w:sz w:val="22"/>
          <w:szCs w:val="22"/>
        </w:rPr>
        <w:t xml:space="preserve">2025 – </w:t>
      </w:r>
      <w:r w:rsidR="000F6C58" w:rsidRPr="000F6C58">
        <w:rPr>
          <w:rFonts w:ascii="Calibri" w:hAnsi="Calibri" w:cs="Calibri"/>
          <w:b/>
          <w:bCs/>
          <w:color w:val="13576B"/>
          <w:sz w:val="22"/>
          <w:szCs w:val="22"/>
        </w:rPr>
        <w:t>V</w:t>
      </w:r>
      <w:proofErr w:type="gramEnd"/>
      <w:r w:rsidR="000F6C58" w:rsidRPr="000F6C58">
        <w:rPr>
          <w:rFonts w:ascii="Calibri" w:hAnsi="Calibri" w:cs="Calibri"/>
          <w:b/>
          <w:bCs/>
          <w:color w:val="13576B"/>
          <w:sz w:val="22"/>
          <w:szCs w:val="22"/>
        </w:rPr>
        <w:t xml:space="preserve"> dubnu 2026 poskytly banky a stavební spořitelny skutečně nové hypotéky bez refinancování za 44,2 miliardy Kč. Od začátku roku tak jejich objem dosáhl 141 miliard korun, tedy o 48 miliard více než před rokem. K tomu se přidává silný objem refinancovaných hypoték, jejichž podíl na celkovém téměř 62</w:t>
      </w:r>
      <w:r w:rsidR="000B7D19">
        <w:rPr>
          <w:rFonts w:ascii="Calibri" w:hAnsi="Calibri" w:cs="Calibri"/>
          <w:b/>
          <w:bCs/>
          <w:color w:val="13576B"/>
          <w:sz w:val="22"/>
          <w:szCs w:val="22"/>
        </w:rPr>
        <w:t xml:space="preserve"> </w:t>
      </w:r>
      <w:r w:rsidR="000F6C58" w:rsidRPr="000F6C58">
        <w:rPr>
          <w:rFonts w:ascii="Calibri" w:hAnsi="Calibri" w:cs="Calibri"/>
          <w:b/>
          <w:bCs/>
          <w:color w:val="13576B"/>
          <w:sz w:val="22"/>
          <w:szCs w:val="22"/>
        </w:rPr>
        <w:t>miliardovém objemu nových hypotečních obchodů v </w:t>
      </w:r>
      <w:r w:rsidR="00D66E1F">
        <w:rPr>
          <w:rFonts w:ascii="Calibri" w:hAnsi="Calibri" w:cs="Calibri"/>
          <w:b/>
          <w:bCs/>
          <w:color w:val="13576B"/>
          <w:sz w:val="22"/>
          <w:szCs w:val="22"/>
        </w:rPr>
        <w:t>dubnu</w:t>
      </w:r>
      <w:r w:rsidR="000F6C58" w:rsidRPr="000F6C58">
        <w:rPr>
          <w:rFonts w:ascii="Calibri" w:hAnsi="Calibri" w:cs="Calibri"/>
          <w:b/>
          <w:bCs/>
          <w:color w:val="13576B"/>
          <w:sz w:val="22"/>
          <w:szCs w:val="22"/>
        </w:rPr>
        <w:t xml:space="preserve"> dosáhl 28 %.</w:t>
      </w:r>
      <w:r w:rsidR="000F6C58" w:rsidRPr="00D66E1F">
        <w:rPr>
          <w:rFonts w:ascii="Calibri" w:hAnsi="Calibri" w:cs="Calibri"/>
          <w:b/>
          <w:bCs/>
          <w:color w:val="13576B"/>
          <w:sz w:val="22"/>
          <w:szCs w:val="22"/>
        </w:rPr>
        <w:t xml:space="preserve"> </w:t>
      </w:r>
      <w:r w:rsidR="00D66E1F" w:rsidRPr="00D66E1F">
        <w:rPr>
          <w:rFonts w:ascii="Calibri" w:hAnsi="Calibri" w:cs="Calibri"/>
          <w:b/>
          <w:bCs/>
          <w:color w:val="13576B"/>
          <w:sz w:val="22"/>
          <w:szCs w:val="22"/>
        </w:rPr>
        <w:t>Navzdory skoku v tržních úrokových sazbách vzrostla p</w:t>
      </w:r>
      <w:r w:rsidR="000F6C58" w:rsidRPr="000F6C58">
        <w:rPr>
          <w:rFonts w:ascii="Calibri" w:hAnsi="Calibri" w:cs="Calibri"/>
          <w:b/>
          <w:bCs/>
          <w:color w:val="13576B"/>
          <w:sz w:val="22"/>
          <w:szCs w:val="22"/>
        </w:rPr>
        <w:t xml:space="preserve">růměrná realizovaná úroková sazba u nových hypoték </w:t>
      </w:r>
      <w:r w:rsidR="00D66E1F">
        <w:rPr>
          <w:rFonts w:ascii="Calibri" w:hAnsi="Calibri" w:cs="Calibri"/>
          <w:b/>
          <w:bCs/>
          <w:color w:val="13576B"/>
          <w:sz w:val="22"/>
          <w:szCs w:val="22"/>
        </w:rPr>
        <w:t xml:space="preserve">prozatím nepatrně </w:t>
      </w:r>
      <w:r w:rsidR="000F6C58" w:rsidRPr="000F6C58">
        <w:rPr>
          <w:rFonts w:ascii="Calibri" w:hAnsi="Calibri" w:cs="Calibri"/>
          <w:b/>
          <w:bCs/>
          <w:color w:val="13576B"/>
          <w:sz w:val="22"/>
          <w:szCs w:val="22"/>
        </w:rPr>
        <w:t xml:space="preserve">na 4,52 % z březnových 4,43 %. Uvedené informace plynou z údajů ČBA Hypomonitoru, který zachycuje data všech tuzemských bank a stavebních spořitelen poskytujících hypoteční úvěry. </w:t>
      </w:r>
    </w:p>
    <w:p w14:paraId="1EE2E0C9" w14:textId="395CE2F5" w:rsidR="002D7231" w:rsidRPr="00DA2CF3" w:rsidRDefault="00D66E1F" w:rsidP="005F4D52">
      <w:pPr>
        <w:overflowPunct/>
        <w:autoSpaceDE/>
        <w:autoSpaceDN/>
        <w:adjustRightInd/>
        <w:spacing w:before="120" w:after="120"/>
        <w:textAlignment w:val="auto"/>
        <w:rPr>
          <w:rFonts w:ascii="Calibri" w:hAnsi="Calibri" w:cs="Calibri"/>
          <w:b/>
          <w:bCs/>
          <w:color w:val="EE0000"/>
          <w:sz w:val="22"/>
          <w:szCs w:val="22"/>
        </w:rPr>
      </w:pPr>
      <w:r>
        <w:rPr>
          <w:rFonts w:ascii="Calibri" w:hAnsi="Calibri" w:cs="Calibri"/>
          <w:b/>
          <w:bCs/>
          <w:color w:val="13576B"/>
          <w:sz w:val="22"/>
          <w:szCs w:val="22"/>
        </w:rPr>
        <w:t>Růst tržních úrokových sazeb pravděpodobně p</w:t>
      </w:r>
      <w:r w:rsidR="002D7231">
        <w:rPr>
          <w:rFonts w:ascii="Calibri" w:hAnsi="Calibri" w:cs="Calibri"/>
          <w:b/>
          <w:bCs/>
          <w:color w:val="13576B"/>
          <w:sz w:val="22"/>
          <w:szCs w:val="22"/>
        </w:rPr>
        <w:t>řispěl k</w:t>
      </w:r>
      <w:r>
        <w:rPr>
          <w:rFonts w:ascii="Calibri" w:hAnsi="Calibri" w:cs="Calibri"/>
          <w:b/>
          <w:bCs/>
          <w:color w:val="13576B"/>
          <w:sz w:val="22"/>
          <w:szCs w:val="22"/>
        </w:rPr>
        <w:t xml:space="preserve"> dalšímu efektu předzásobení se stále nižší úrokovou sazbou po efektu předzásobení kvůli dubnovému zpřísnění </w:t>
      </w:r>
      <w:r w:rsidR="00555C70" w:rsidRPr="00D66E1F">
        <w:rPr>
          <w:rFonts w:ascii="Calibri" w:hAnsi="Calibri" w:cs="Calibri"/>
          <w:b/>
          <w:bCs/>
          <w:color w:val="13576B"/>
          <w:sz w:val="22"/>
          <w:szCs w:val="22"/>
        </w:rPr>
        <w:t>podmínek</w:t>
      </w:r>
      <w:r w:rsidR="00555C70" w:rsidRPr="006B4CAC">
        <w:rPr>
          <w:rFonts w:ascii="Calibri" w:hAnsi="Calibri" w:cs="Calibri"/>
          <w:b/>
          <w:bCs/>
          <w:color w:val="13576B"/>
          <w:sz w:val="22"/>
          <w:szCs w:val="22"/>
        </w:rPr>
        <w:t xml:space="preserve"> ČNB </w:t>
      </w:r>
      <w:r w:rsidR="00490E04">
        <w:rPr>
          <w:rFonts w:ascii="Calibri" w:hAnsi="Calibri" w:cs="Calibri"/>
          <w:b/>
          <w:bCs/>
          <w:color w:val="13576B"/>
          <w:sz w:val="22"/>
          <w:szCs w:val="22"/>
        </w:rPr>
        <w:t>pro</w:t>
      </w:r>
      <w:r w:rsidR="00555C70" w:rsidRPr="006B4CAC">
        <w:rPr>
          <w:rFonts w:ascii="Calibri" w:hAnsi="Calibri" w:cs="Calibri"/>
          <w:b/>
          <w:bCs/>
          <w:color w:val="13576B"/>
          <w:sz w:val="22"/>
          <w:szCs w:val="22"/>
        </w:rPr>
        <w:t xml:space="preserve"> tzv. investiční hypoték</w:t>
      </w:r>
      <w:r w:rsidR="00131E24">
        <w:rPr>
          <w:rFonts w:ascii="Calibri" w:hAnsi="Calibri" w:cs="Calibri"/>
          <w:b/>
          <w:bCs/>
          <w:color w:val="13576B"/>
          <w:sz w:val="22"/>
          <w:szCs w:val="22"/>
        </w:rPr>
        <w:t>y</w:t>
      </w:r>
      <w:r>
        <w:rPr>
          <w:rFonts w:ascii="Calibri" w:hAnsi="Calibri" w:cs="Calibri"/>
          <w:b/>
          <w:bCs/>
          <w:color w:val="13576B"/>
          <w:sz w:val="22"/>
          <w:szCs w:val="22"/>
        </w:rPr>
        <w:t>. To</w:t>
      </w:r>
      <w:r w:rsidR="002D7231" w:rsidRPr="00D66E1F">
        <w:rPr>
          <w:rFonts w:ascii="Calibri" w:hAnsi="Calibri" w:cs="Calibri"/>
          <w:b/>
          <w:bCs/>
          <w:color w:val="13576B"/>
          <w:sz w:val="22"/>
          <w:szCs w:val="22"/>
        </w:rPr>
        <w:t xml:space="preserve"> se pravděpodobně </w:t>
      </w:r>
      <w:r>
        <w:rPr>
          <w:rFonts w:ascii="Calibri" w:hAnsi="Calibri" w:cs="Calibri"/>
          <w:b/>
          <w:bCs/>
          <w:color w:val="13576B"/>
          <w:sz w:val="22"/>
          <w:szCs w:val="22"/>
        </w:rPr>
        <w:t xml:space="preserve">i </w:t>
      </w:r>
      <w:r w:rsidR="002D7231" w:rsidRPr="00D66E1F">
        <w:rPr>
          <w:rFonts w:ascii="Calibri" w:hAnsi="Calibri" w:cs="Calibri"/>
          <w:b/>
          <w:bCs/>
          <w:color w:val="13576B"/>
          <w:sz w:val="22"/>
          <w:szCs w:val="22"/>
        </w:rPr>
        <w:t>odrazil</w:t>
      </w:r>
      <w:r>
        <w:rPr>
          <w:rFonts w:ascii="Calibri" w:hAnsi="Calibri" w:cs="Calibri"/>
          <w:b/>
          <w:bCs/>
          <w:color w:val="13576B"/>
          <w:sz w:val="22"/>
          <w:szCs w:val="22"/>
        </w:rPr>
        <w:t>o</w:t>
      </w:r>
      <w:r w:rsidR="002D7231" w:rsidRPr="00D66E1F">
        <w:rPr>
          <w:rFonts w:ascii="Calibri" w:hAnsi="Calibri" w:cs="Calibri"/>
          <w:b/>
          <w:bCs/>
          <w:color w:val="13576B"/>
          <w:sz w:val="22"/>
          <w:szCs w:val="22"/>
        </w:rPr>
        <w:t xml:space="preserve"> ve vyšší průměrné velikosti hypotéky. Ta v</w:t>
      </w:r>
      <w:r w:rsidRPr="00D66E1F">
        <w:rPr>
          <w:rFonts w:ascii="Calibri" w:hAnsi="Calibri" w:cs="Calibri"/>
          <w:b/>
          <w:bCs/>
          <w:color w:val="13576B"/>
          <w:sz w:val="22"/>
          <w:szCs w:val="22"/>
        </w:rPr>
        <w:t> dubnu mírně stoupl</w:t>
      </w:r>
      <w:r>
        <w:rPr>
          <w:rFonts w:ascii="Calibri" w:hAnsi="Calibri" w:cs="Calibri"/>
          <w:b/>
          <w:bCs/>
          <w:color w:val="13576B"/>
          <w:sz w:val="22"/>
          <w:szCs w:val="22"/>
        </w:rPr>
        <w:t>a na</w:t>
      </w:r>
      <w:r w:rsidRPr="00D66E1F">
        <w:rPr>
          <w:rFonts w:ascii="Calibri" w:hAnsi="Calibri" w:cs="Calibri"/>
          <w:b/>
          <w:bCs/>
          <w:color w:val="13576B"/>
          <w:sz w:val="22"/>
          <w:szCs w:val="22"/>
        </w:rPr>
        <w:t xml:space="preserve"> 4,9 milionu</w:t>
      </w:r>
      <w:r w:rsidR="002D7231" w:rsidRPr="00D66E1F">
        <w:rPr>
          <w:rFonts w:ascii="Calibri" w:hAnsi="Calibri" w:cs="Calibri"/>
          <w:b/>
          <w:bCs/>
          <w:color w:val="13576B"/>
          <w:sz w:val="22"/>
          <w:szCs w:val="22"/>
        </w:rPr>
        <w:t xml:space="preserve"> korun. Tento nárůst se odrazil i ve vyšší měsíční splátce, která v</w:t>
      </w:r>
      <w:r>
        <w:rPr>
          <w:rFonts w:ascii="Calibri" w:hAnsi="Calibri" w:cs="Calibri"/>
          <w:b/>
          <w:bCs/>
          <w:color w:val="13576B"/>
          <w:sz w:val="22"/>
          <w:szCs w:val="22"/>
        </w:rPr>
        <w:t> </w:t>
      </w:r>
      <w:r w:rsidRPr="00D66E1F">
        <w:rPr>
          <w:rFonts w:ascii="Calibri" w:hAnsi="Calibri" w:cs="Calibri"/>
          <w:b/>
          <w:bCs/>
          <w:color w:val="13576B"/>
          <w:sz w:val="22"/>
          <w:szCs w:val="22"/>
        </w:rPr>
        <w:t>dubnu</w:t>
      </w:r>
      <w:r>
        <w:rPr>
          <w:rFonts w:ascii="Calibri" w:hAnsi="Calibri" w:cs="Calibri"/>
          <w:b/>
          <w:bCs/>
          <w:color w:val="13576B"/>
          <w:sz w:val="22"/>
          <w:szCs w:val="22"/>
        </w:rPr>
        <w:t xml:space="preserve"> </w:t>
      </w:r>
      <w:r w:rsidRPr="00D66E1F">
        <w:rPr>
          <w:rFonts w:ascii="Calibri" w:hAnsi="Calibri" w:cs="Calibri"/>
          <w:b/>
          <w:bCs/>
          <w:color w:val="13576B"/>
          <w:sz w:val="22"/>
          <w:szCs w:val="22"/>
        </w:rPr>
        <w:t>u nově poskytnuté hypotéky dosáhla 26</w:t>
      </w:r>
      <w:r w:rsidR="0046433E" w:rsidRPr="00D66E1F">
        <w:rPr>
          <w:rFonts w:ascii="Calibri" w:hAnsi="Calibri" w:cs="Calibri"/>
          <w:b/>
          <w:bCs/>
          <w:color w:val="13576B"/>
          <w:sz w:val="22"/>
          <w:szCs w:val="22"/>
        </w:rPr>
        <w:t xml:space="preserve"> tisíc korun a u mediánu </w:t>
      </w:r>
      <w:r w:rsidRPr="00D66E1F">
        <w:rPr>
          <w:rFonts w:ascii="Calibri" w:hAnsi="Calibri" w:cs="Calibri"/>
          <w:b/>
          <w:bCs/>
          <w:color w:val="13576B"/>
          <w:sz w:val="22"/>
          <w:szCs w:val="22"/>
        </w:rPr>
        <w:t xml:space="preserve">téměř 21 </w:t>
      </w:r>
      <w:r w:rsidR="0046433E" w:rsidRPr="00D66E1F">
        <w:rPr>
          <w:rFonts w:ascii="Calibri" w:hAnsi="Calibri" w:cs="Calibri"/>
          <w:b/>
          <w:bCs/>
          <w:color w:val="13576B"/>
          <w:sz w:val="22"/>
          <w:szCs w:val="22"/>
        </w:rPr>
        <w:t>tisíc Kč.</w:t>
      </w:r>
      <w:r w:rsidR="0046433E" w:rsidRPr="00DA2CF3">
        <w:rPr>
          <w:rFonts w:ascii="Calibri" w:hAnsi="Calibri" w:cs="Calibri"/>
          <w:b/>
          <w:bCs/>
          <w:color w:val="EE0000"/>
          <w:sz w:val="22"/>
          <w:szCs w:val="22"/>
        </w:rPr>
        <w:t xml:space="preserve"> </w:t>
      </w:r>
    </w:p>
    <w:p w14:paraId="49FA0DA4" w14:textId="21AEC161" w:rsidR="006B4CAC" w:rsidRDefault="006B4CAC" w:rsidP="006B4CAC">
      <w:pPr>
        <w:overflowPunct/>
        <w:autoSpaceDE/>
        <w:autoSpaceDN/>
        <w:adjustRightInd/>
        <w:spacing w:before="120" w:after="120"/>
        <w:textAlignment w:val="auto"/>
        <w:rPr>
          <w:rFonts w:ascii="Calibri" w:hAnsi="Calibri" w:cs="Calibri"/>
          <w:b/>
          <w:bCs/>
          <w:color w:val="13576B"/>
          <w:sz w:val="22"/>
          <w:szCs w:val="22"/>
        </w:rPr>
      </w:pPr>
      <w:r w:rsidRPr="000F6C58">
        <w:rPr>
          <w:rFonts w:ascii="Calibri" w:hAnsi="Calibri" w:cs="Calibri"/>
          <w:b/>
          <w:bCs/>
          <w:color w:val="13576B"/>
          <w:sz w:val="22"/>
          <w:szCs w:val="22"/>
        </w:rPr>
        <w:t>Další zasedání ČNB spojené s nastavením makroobezřetnostní politiky hypoték proběhne 4. června po březnovém relativně jestřábím komentáři k nastavení současné 1,25%</w:t>
      </w:r>
      <w:r w:rsidR="005A4638" w:rsidRPr="000F6C58">
        <w:rPr>
          <w:rFonts w:ascii="Calibri" w:hAnsi="Calibri" w:cs="Calibri"/>
          <w:b/>
          <w:bCs/>
          <w:color w:val="13576B"/>
          <w:sz w:val="22"/>
          <w:szCs w:val="22"/>
        </w:rPr>
        <w:t xml:space="preserve"> </w:t>
      </w:r>
      <w:r w:rsidRPr="000F6C58">
        <w:rPr>
          <w:rFonts w:ascii="Calibri" w:hAnsi="Calibri" w:cs="Calibri"/>
          <w:b/>
          <w:bCs/>
          <w:color w:val="13576B"/>
          <w:sz w:val="22"/>
          <w:szCs w:val="22"/>
        </w:rPr>
        <w:t>proticyklické kapitálové rezervy (následná jednání budou 10. září a 26. listopadu).</w:t>
      </w:r>
    </w:p>
    <w:p w14:paraId="11395EF2" w14:textId="77777777" w:rsidR="00D66E1F" w:rsidRPr="00DA2CF3" w:rsidRDefault="00D66E1F" w:rsidP="006B4CAC">
      <w:pPr>
        <w:overflowPunct/>
        <w:autoSpaceDE/>
        <w:autoSpaceDN/>
        <w:adjustRightInd/>
        <w:spacing w:before="120" w:after="120"/>
        <w:textAlignment w:val="auto"/>
        <w:rPr>
          <w:rFonts w:ascii="Calibri" w:hAnsi="Calibri" w:cs="Calibri"/>
          <w:b/>
          <w:bCs/>
          <w:color w:val="EE0000"/>
          <w:sz w:val="22"/>
          <w:szCs w:val="22"/>
        </w:rPr>
      </w:pPr>
    </w:p>
    <w:p w14:paraId="4A7C2A28" w14:textId="4AD321D9" w:rsidR="00425883" w:rsidRDefault="00425883" w:rsidP="0009562F">
      <w:pPr>
        <w:overflowPunct/>
        <w:autoSpaceDE/>
        <w:autoSpaceDN/>
        <w:adjustRightInd/>
        <w:spacing w:before="120" w:after="120"/>
        <w:textAlignment w:val="auto"/>
        <w:rPr>
          <w:rFonts w:ascii="Calibri" w:hAnsi="Calibri" w:cs="Calibri"/>
          <w:b/>
          <w:color w:val="13576B"/>
          <w:sz w:val="23"/>
          <w:szCs w:val="23"/>
        </w:rPr>
      </w:pPr>
      <w:r w:rsidRPr="003F159E">
        <w:rPr>
          <w:rFonts w:ascii="Calibri" w:hAnsi="Calibri" w:cs="Calibri"/>
          <w:b/>
          <w:color w:val="13576B"/>
          <w:sz w:val="23"/>
          <w:szCs w:val="23"/>
        </w:rPr>
        <w:t xml:space="preserve">Tabulka č. 1: Shrnutí objemu poskytnutých hypoték a průměrných úrokových sazeb za </w:t>
      </w:r>
      <w:r w:rsidR="00137659">
        <w:rPr>
          <w:rFonts w:ascii="Calibri" w:hAnsi="Calibri" w:cs="Calibri"/>
          <w:b/>
          <w:color w:val="13576B"/>
          <w:sz w:val="23"/>
          <w:szCs w:val="23"/>
        </w:rPr>
        <w:t>duben</w:t>
      </w:r>
      <w:r>
        <w:rPr>
          <w:rFonts w:ascii="Calibri" w:hAnsi="Calibri" w:cs="Calibri"/>
          <w:b/>
          <w:color w:val="13576B"/>
          <w:sz w:val="23"/>
          <w:szCs w:val="23"/>
        </w:rPr>
        <w:t xml:space="preserve"> 202</w:t>
      </w:r>
      <w:r w:rsidR="00BA3140">
        <w:rPr>
          <w:rFonts w:ascii="Calibri" w:hAnsi="Calibri" w:cs="Calibri"/>
          <w:b/>
          <w:color w:val="13576B"/>
          <w:sz w:val="23"/>
          <w:szCs w:val="23"/>
        </w:rPr>
        <w:t>6</w:t>
      </w:r>
    </w:p>
    <w:tbl>
      <w:tblPr>
        <w:tblW w:w="9563" w:type="dxa"/>
        <w:tblCellMar>
          <w:left w:w="70" w:type="dxa"/>
          <w:right w:w="70" w:type="dxa"/>
        </w:tblCellMar>
        <w:tblLook w:val="04A0" w:firstRow="1" w:lastRow="0" w:firstColumn="1" w:lastColumn="0" w:noHBand="0" w:noVBand="1"/>
      </w:tblPr>
      <w:tblGrid>
        <w:gridCol w:w="3540"/>
        <w:gridCol w:w="1102"/>
        <w:gridCol w:w="960"/>
        <w:gridCol w:w="960"/>
        <w:gridCol w:w="242"/>
        <w:gridCol w:w="993"/>
        <w:gridCol w:w="992"/>
        <w:gridCol w:w="774"/>
      </w:tblGrid>
      <w:tr w:rsidR="003C3451" w:rsidRPr="00A06A94" w14:paraId="23438AFD" w14:textId="77777777" w:rsidTr="006E30DB">
        <w:trPr>
          <w:trHeight w:val="300"/>
        </w:trPr>
        <w:tc>
          <w:tcPr>
            <w:tcW w:w="3540" w:type="dxa"/>
            <w:tcBorders>
              <w:top w:val="nil"/>
              <w:left w:val="nil"/>
              <w:bottom w:val="nil"/>
              <w:right w:val="nil"/>
            </w:tcBorders>
            <w:shd w:val="clear" w:color="000000" w:fill="FFFFFF"/>
            <w:noWrap/>
            <w:vAlign w:val="bottom"/>
          </w:tcPr>
          <w:p w14:paraId="543B7281"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p>
        </w:tc>
        <w:tc>
          <w:tcPr>
            <w:tcW w:w="3022" w:type="dxa"/>
            <w:gridSpan w:val="3"/>
            <w:tcBorders>
              <w:top w:val="nil"/>
              <w:left w:val="nil"/>
            </w:tcBorders>
            <w:shd w:val="clear" w:color="000000" w:fill="FFFFFF"/>
            <w:vAlign w:val="bottom"/>
          </w:tcPr>
          <w:p w14:paraId="07A4A00D"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Pr>
                <w:rFonts w:ascii="Calibri Light" w:hAnsi="Calibri Light" w:cs="Calibri Light"/>
                <w:b/>
                <w:bCs/>
                <w:color w:val="13576B"/>
                <w:sz w:val="22"/>
                <w:szCs w:val="22"/>
              </w:rPr>
              <w:t>měsíční hodnoty</w:t>
            </w:r>
          </w:p>
        </w:tc>
        <w:tc>
          <w:tcPr>
            <w:tcW w:w="242" w:type="dxa"/>
            <w:tcBorders>
              <w:top w:val="nil"/>
              <w:right w:val="nil"/>
            </w:tcBorders>
            <w:vAlign w:val="bottom"/>
          </w:tcPr>
          <w:p w14:paraId="519CB66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2759" w:type="dxa"/>
            <w:gridSpan w:val="3"/>
            <w:tcBorders>
              <w:top w:val="nil"/>
              <w:left w:val="nil"/>
              <w:right w:val="nil"/>
            </w:tcBorders>
            <w:shd w:val="clear" w:color="000000" w:fill="FFFFFF"/>
            <w:vAlign w:val="bottom"/>
          </w:tcPr>
          <w:p w14:paraId="040DDF7E"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hodnoty od začátku roku</w:t>
            </w:r>
          </w:p>
        </w:tc>
      </w:tr>
      <w:tr w:rsidR="003C3451" w:rsidRPr="00A06A94" w14:paraId="384D4BC7" w14:textId="77777777" w:rsidTr="006E30DB">
        <w:trPr>
          <w:trHeight w:val="300"/>
        </w:trPr>
        <w:tc>
          <w:tcPr>
            <w:tcW w:w="3540" w:type="dxa"/>
            <w:tcBorders>
              <w:top w:val="nil"/>
              <w:left w:val="nil"/>
              <w:bottom w:val="nil"/>
              <w:right w:val="nil"/>
            </w:tcBorders>
            <w:shd w:val="clear" w:color="000000" w:fill="FFFFFF"/>
            <w:noWrap/>
            <w:vAlign w:val="bottom"/>
            <w:hideMark/>
          </w:tcPr>
          <w:p w14:paraId="7137D7CF"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2" w:type="dxa"/>
            <w:vMerge w:val="restart"/>
            <w:tcBorders>
              <w:left w:val="nil"/>
              <w:bottom w:val="single" w:sz="4" w:space="0" w:color="000000"/>
              <w:right w:val="single" w:sz="4" w:space="0" w:color="auto"/>
            </w:tcBorders>
            <w:shd w:val="clear" w:color="000000" w:fill="FFFFFF"/>
            <w:vAlign w:val="bottom"/>
            <w:hideMark/>
          </w:tcPr>
          <w:p w14:paraId="065F207B"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left w:val="single" w:sz="4" w:space="0" w:color="auto"/>
              <w:bottom w:val="single" w:sz="4" w:space="0" w:color="000000"/>
              <w:right w:val="single" w:sz="4" w:space="0" w:color="auto"/>
            </w:tcBorders>
            <w:shd w:val="clear" w:color="000000" w:fill="FFFFFF"/>
            <w:noWrap/>
            <w:vAlign w:val="center"/>
            <w:hideMark/>
          </w:tcPr>
          <w:p w14:paraId="0A6DC0F7"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left w:val="nil"/>
              <w:bottom w:val="single" w:sz="4" w:space="0" w:color="000000"/>
              <w:right w:val="nil"/>
            </w:tcBorders>
            <w:shd w:val="clear" w:color="000000" w:fill="FFFFFF"/>
            <w:vAlign w:val="bottom"/>
            <w:hideMark/>
          </w:tcPr>
          <w:p w14:paraId="2F9072A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c>
          <w:tcPr>
            <w:tcW w:w="242" w:type="dxa"/>
            <w:tcBorders>
              <w:left w:val="nil"/>
              <w:right w:val="nil"/>
            </w:tcBorders>
            <w:vAlign w:val="bottom"/>
          </w:tcPr>
          <w:p w14:paraId="538AA5D0"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993" w:type="dxa"/>
            <w:vMerge w:val="restart"/>
            <w:tcBorders>
              <w:top w:val="nil"/>
              <w:left w:val="nil"/>
              <w:right w:val="single" w:sz="4" w:space="0" w:color="auto"/>
            </w:tcBorders>
            <w:shd w:val="clear" w:color="000000" w:fill="FFFFFF"/>
            <w:vAlign w:val="bottom"/>
          </w:tcPr>
          <w:p w14:paraId="09080B29"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Objem</w:t>
            </w:r>
            <w:r w:rsidRPr="00A06A94">
              <w:rPr>
                <w:rFonts w:ascii="Calibri Light" w:hAnsi="Calibri Light" w:cs="Calibri Light"/>
                <w:i/>
                <w:iCs/>
                <w:color w:val="13576B"/>
                <w:sz w:val="22"/>
                <w:szCs w:val="22"/>
              </w:rPr>
              <w:br/>
              <w:t>(mld. Kč)</w:t>
            </w:r>
          </w:p>
        </w:tc>
        <w:tc>
          <w:tcPr>
            <w:tcW w:w="992" w:type="dxa"/>
            <w:vMerge w:val="restart"/>
            <w:tcBorders>
              <w:top w:val="nil"/>
              <w:left w:val="single" w:sz="4" w:space="0" w:color="auto"/>
              <w:right w:val="single" w:sz="4" w:space="0" w:color="auto"/>
            </w:tcBorders>
            <w:shd w:val="clear" w:color="000000" w:fill="FFFFFF"/>
            <w:vAlign w:val="center"/>
          </w:tcPr>
          <w:p w14:paraId="14A0DB45" w14:textId="77777777" w:rsidR="003C3451" w:rsidRPr="00A06A94" w:rsidRDefault="003C3451" w:rsidP="006E30DB">
            <w:pPr>
              <w:overflowPunct/>
              <w:autoSpaceDE/>
              <w:autoSpaceDN/>
              <w:adjustRightInd/>
              <w:ind w:left="-73" w:firstLine="73"/>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Počet</w:t>
            </w:r>
          </w:p>
        </w:tc>
        <w:tc>
          <w:tcPr>
            <w:tcW w:w="774" w:type="dxa"/>
            <w:vMerge w:val="restart"/>
            <w:tcBorders>
              <w:top w:val="nil"/>
              <w:left w:val="single" w:sz="4" w:space="0" w:color="auto"/>
              <w:right w:val="nil"/>
            </w:tcBorders>
            <w:shd w:val="clear" w:color="000000" w:fill="FFFFFF"/>
            <w:vAlign w:val="bottom"/>
          </w:tcPr>
          <w:p w14:paraId="7A08A275"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Sazba</w:t>
            </w:r>
            <w:r w:rsidRPr="00A06A94">
              <w:rPr>
                <w:rFonts w:ascii="Calibri Light" w:hAnsi="Calibri Light" w:cs="Calibri Light"/>
                <w:i/>
                <w:iCs/>
                <w:color w:val="13576B"/>
                <w:sz w:val="22"/>
                <w:szCs w:val="22"/>
              </w:rPr>
              <w:br/>
              <w:t xml:space="preserve"> (%)</w:t>
            </w:r>
          </w:p>
        </w:tc>
      </w:tr>
      <w:tr w:rsidR="003C3451" w:rsidRPr="00A06A94" w14:paraId="6FF8CBA7"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860F314"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2" w:type="dxa"/>
            <w:vMerge/>
            <w:tcBorders>
              <w:top w:val="nil"/>
              <w:left w:val="nil"/>
              <w:bottom w:val="single" w:sz="4" w:space="0" w:color="000000"/>
              <w:right w:val="single" w:sz="4" w:space="0" w:color="auto"/>
            </w:tcBorders>
            <w:vAlign w:val="center"/>
            <w:hideMark/>
          </w:tcPr>
          <w:p w14:paraId="0A59FB52"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390B1CFB"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7A6398C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242" w:type="dxa"/>
            <w:tcBorders>
              <w:top w:val="nil"/>
              <w:left w:val="nil"/>
              <w:right w:val="nil"/>
            </w:tcBorders>
            <w:vAlign w:val="center"/>
          </w:tcPr>
          <w:p w14:paraId="59E8209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93" w:type="dxa"/>
            <w:vMerge/>
            <w:tcBorders>
              <w:left w:val="nil"/>
              <w:bottom w:val="single" w:sz="4" w:space="0" w:color="000000"/>
              <w:right w:val="single" w:sz="4" w:space="0" w:color="auto"/>
            </w:tcBorders>
            <w:vAlign w:val="center"/>
          </w:tcPr>
          <w:p w14:paraId="39364FA4"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992" w:type="dxa"/>
            <w:vMerge/>
            <w:tcBorders>
              <w:left w:val="single" w:sz="4" w:space="0" w:color="auto"/>
              <w:bottom w:val="single" w:sz="4" w:space="0" w:color="000000"/>
              <w:right w:val="single" w:sz="4" w:space="0" w:color="auto"/>
            </w:tcBorders>
            <w:vAlign w:val="center"/>
          </w:tcPr>
          <w:p w14:paraId="739A0EC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774" w:type="dxa"/>
            <w:vMerge/>
            <w:tcBorders>
              <w:left w:val="single" w:sz="4" w:space="0" w:color="auto"/>
              <w:bottom w:val="single" w:sz="4" w:space="0" w:color="000000"/>
              <w:right w:val="nil"/>
            </w:tcBorders>
            <w:vAlign w:val="center"/>
          </w:tcPr>
          <w:p w14:paraId="7836F8E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r>
      <w:tr w:rsidR="00795550" w:rsidRPr="00A06A94" w14:paraId="776CBD73"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6A9B5FD" w14:textId="77777777" w:rsidR="00795550" w:rsidRPr="00072DB9" w:rsidRDefault="00795550" w:rsidP="00795550">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2" w:type="dxa"/>
            <w:tcBorders>
              <w:top w:val="nil"/>
              <w:left w:val="nil"/>
              <w:bottom w:val="single" w:sz="4" w:space="0" w:color="auto"/>
              <w:right w:val="single" w:sz="4" w:space="0" w:color="auto"/>
            </w:tcBorders>
            <w:shd w:val="clear" w:color="000000" w:fill="FFFFFF"/>
            <w:noWrap/>
            <w:vAlign w:val="center"/>
            <w:hideMark/>
          </w:tcPr>
          <w:p w14:paraId="27B7692D" w14:textId="109C15EC"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61,5</w:t>
            </w:r>
          </w:p>
        </w:tc>
        <w:tc>
          <w:tcPr>
            <w:tcW w:w="960" w:type="dxa"/>
            <w:tcBorders>
              <w:top w:val="nil"/>
              <w:left w:val="nil"/>
              <w:bottom w:val="single" w:sz="4" w:space="0" w:color="auto"/>
              <w:right w:val="single" w:sz="4" w:space="0" w:color="auto"/>
            </w:tcBorders>
            <w:shd w:val="clear" w:color="000000" w:fill="FFFFFF"/>
            <w:noWrap/>
            <w:vAlign w:val="center"/>
            <w:hideMark/>
          </w:tcPr>
          <w:p w14:paraId="424ABB04" w14:textId="1071C408"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13 396</w:t>
            </w:r>
          </w:p>
        </w:tc>
        <w:tc>
          <w:tcPr>
            <w:tcW w:w="960" w:type="dxa"/>
            <w:tcBorders>
              <w:top w:val="nil"/>
              <w:left w:val="nil"/>
              <w:bottom w:val="single" w:sz="4" w:space="0" w:color="auto"/>
              <w:right w:val="nil"/>
            </w:tcBorders>
            <w:shd w:val="clear" w:color="000000" w:fill="FFFFFF"/>
            <w:noWrap/>
            <w:vAlign w:val="center"/>
            <w:hideMark/>
          </w:tcPr>
          <w:p w14:paraId="47F54FDC" w14:textId="241EDE95"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4,49</w:t>
            </w:r>
          </w:p>
        </w:tc>
        <w:tc>
          <w:tcPr>
            <w:tcW w:w="242" w:type="dxa"/>
            <w:tcBorders>
              <w:top w:val="nil"/>
              <w:left w:val="nil"/>
              <w:right w:val="nil"/>
            </w:tcBorders>
            <w:vAlign w:val="bottom"/>
          </w:tcPr>
          <w:p w14:paraId="290588BC" w14:textId="1D1DDE03"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545B57A8" w14:textId="62EFD89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192,7</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F3EAD2F" w14:textId="0758F19A"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42 985</w:t>
            </w:r>
          </w:p>
        </w:tc>
        <w:tc>
          <w:tcPr>
            <w:tcW w:w="774" w:type="dxa"/>
            <w:tcBorders>
              <w:top w:val="nil"/>
              <w:left w:val="single" w:sz="4" w:space="0" w:color="auto"/>
              <w:bottom w:val="single" w:sz="4" w:space="0" w:color="auto"/>
              <w:right w:val="nil"/>
            </w:tcBorders>
            <w:shd w:val="clear" w:color="000000" w:fill="FFFFFF"/>
            <w:vAlign w:val="center"/>
          </w:tcPr>
          <w:p w14:paraId="3286C628" w14:textId="073164D6"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4,46</w:t>
            </w:r>
          </w:p>
        </w:tc>
      </w:tr>
      <w:tr w:rsidR="00795550" w:rsidRPr="00A06A94" w14:paraId="1B1E7FB2" w14:textId="77777777" w:rsidTr="006E30DB">
        <w:trPr>
          <w:trHeight w:val="300"/>
        </w:trPr>
        <w:tc>
          <w:tcPr>
            <w:tcW w:w="3540" w:type="dxa"/>
            <w:tcBorders>
              <w:top w:val="single" w:sz="4" w:space="0" w:color="auto"/>
              <w:left w:val="nil"/>
              <w:bottom w:val="nil"/>
              <w:right w:val="nil"/>
            </w:tcBorders>
            <w:shd w:val="solid" w:color="DAF3EA" w:fill="C1F7E9"/>
            <w:noWrap/>
            <w:vAlign w:val="bottom"/>
            <w:hideMark/>
          </w:tcPr>
          <w:p w14:paraId="21ACEB93" w14:textId="77777777" w:rsidR="00795550" w:rsidRPr="00072DB9" w:rsidRDefault="00795550" w:rsidP="0079555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2" w:type="dxa"/>
            <w:tcBorders>
              <w:top w:val="single" w:sz="4" w:space="0" w:color="auto"/>
              <w:left w:val="nil"/>
              <w:bottom w:val="nil"/>
              <w:right w:val="single" w:sz="4" w:space="0" w:color="auto"/>
            </w:tcBorders>
            <w:shd w:val="solid" w:color="DAF3EA" w:fill="C1F7E9"/>
            <w:noWrap/>
            <w:vAlign w:val="center"/>
            <w:hideMark/>
          </w:tcPr>
          <w:p w14:paraId="01D6378E" w14:textId="76AA2FB2"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44,2</w:t>
            </w:r>
          </w:p>
        </w:tc>
        <w:tc>
          <w:tcPr>
            <w:tcW w:w="960" w:type="dxa"/>
            <w:tcBorders>
              <w:top w:val="single" w:sz="4" w:space="0" w:color="auto"/>
              <w:left w:val="nil"/>
              <w:bottom w:val="nil"/>
              <w:right w:val="single" w:sz="4" w:space="0" w:color="auto"/>
            </w:tcBorders>
            <w:shd w:val="solid" w:color="DAF3EA" w:fill="C1F7E9"/>
            <w:noWrap/>
            <w:vAlign w:val="center"/>
            <w:hideMark/>
          </w:tcPr>
          <w:p w14:paraId="121DEB33" w14:textId="3BE4CB3E"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9 049</w:t>
            </w:r>
          </w:p>
        </w:tc>
        <w:tc>
          <w:tcPr>
            <w:tcW w:w="960" w:type="dxa"/>
            <w:tcBorders>
              <w:top w:val="single" w:sz="4" w:space="0" w:color="auto"/>
              <w:left w:val="nil"/>
              <w:bottom w:val="nil"/>
              <w:right w:val="nil"/>
            </w:tcBorders>
            <w:shd w:val="solid" w:color="DAF3EA" w:fill="C1F7E9"/>
            <w:noWrap/>
            <w:vAlign w:val="center"/>
            <w:hideMark/>
          </w:tcPr>
          <w:p w14:paraId="20D4C83E" w14:textId="20FA78B8"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4,52</w:t>
            </w:r>
          </w:p>
        </w:tc>
        <w:tc>
          <w:tcPr>
            <w:tcW w:w="242" w:type="dxa"/>
            <w:tcBorders>
              <w:left w:val="nil"/>
              <w:bottom w:val="nil"/>
              <w:right w:val="nil"/>
            </w:tcBorders>
            <w:vAlign w:val="bottom"/>
          </w:tcPr>
          <w:p w14:paraId="1E12AC4C" w14:textId="0BF824E7" w:rsidR="00795550" w:rsidRDefault="00795550" w:rsidP="00795550">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color w:val="000000"/>
                <w:sz w:val="22"/>
                <w:szCs w:val="22"/>
              </w:rPr>
              <w:t> </w:t>
            </w:r>
          </w:p>
        </w:tc>
        <w:tc>
          <w:tcPr>
            <w:tcW w:w="993" w:type="dxa"/>
            <w:tcBorders>
              <w:top w:val="single" w:sz="4" w:space="0" w:color="auto"/>
              <w:left w:val="nil"/>
              <w:bottom w:val="nil"/>
              <w:right w:val="single" w:sz="4" w:space="0" w:color="auto"/>
            </w:tcBorders>
            <w:shd w:val="solid" w:color="DAF3EA" w:fill="C1F7E9"/>
            <w:vAlign w:val="center"/>
          </w:tcPr>
          <w:p w14:paraId="4D6894CF" w14:textId="5A37B3BC"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141,3</w:t>
            </w:r>
          </w:p>
        </w:tc>
        <w:tc>
          <w:tcPr>
            <w:tcW w:w="992" w:type="dxa"/>
            <w:tcBorders>
              <w:top w:val="single" w:sz="4" w:space="0" w:color="auto"/>
              <w:left w:val="single" w:sz="4" w:space="0" w:color="auto"/>
              <w:bottom w:val="nil"/>
              <w:right w:val="single" w:sz="4" w:space="0" w:color="auto"/>
            </w:tcBorders>
            <w:shd w:val="solid" w:color="DAF3EA" w:fill="C1F7E9"/>
            <w:vAlign w:val="center"/>
          </w:tcPr>
          <w:p w14:paraId="4021A1B1" w14:textId="157FDE3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29 856</w:t>
            </w:r>
          </w:p>
        </w:tc>
        <w:tc>
          <w:tcPr>
            <w:tcW w:w="774" w:type="dxa"/>
            <w:tcBorders>
              <w:top w:val="single" w:sz="4" w:space="0" w:color="auto"/>
              <w:left w:val="single" w:sz="4" w:space="0" w:color="auto"/>
              <w:bottom w:val="nil"/>
              <w:right w:val="nil"/>
            </w:tcBorders>
            <w:shd w:val="solid" w:color="DAF3EA" w:fill="C1F7E9"/>
            <w:vAlign w:val="center"/>
          </w:tcPr>
          <w:p w14:paraId="6544CAA1" w14:textId="5BAD790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4,48</w:t>
            </w:r>
          </w:p>
        </w:tc>
      </w:tr>
      <w:tr w:rsidR="00795550" w:rsidRPr="00A06A94" w14:paraId="75B50A3D" w14:textId="77777777" w:rsidTr="006E30DB">
        <w:trPr>
          <w:trHeight w:val="300"/>
        </w:trPr>
        <w:tc>
          <w:tcPr>
            <w:tcW w:w="3540" w:type="dxa"/>
            <w:tcBorders>
              <w:top w:val="nil"/>
              <w:left w:val="nil"/>
              <w:bottom w:val="nil"/>
              <w:right w:val="nil"/>
            </w:tcBorders>
            <w:shd w:val="clear" w:color="000000" w:fill="FFFFFF"/>
            <w:noWrap/>
            <w:vAlign w:val="bottom"/>
            <w:hideMark/>
          </w:tcPr>
          <w:p w14:paraId="7C159724" w14:textId="77777777" w:rsidR="00795550" w:rsidRPr="00072DB9" w:rsidRDefault="00795550" w:rsidP="00795550">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2" w:type="dxa"/>
            <w:tcBorders>
              <w:top w:val="nil"/>
              <w:left w:val="nil"/>
              <w:bottom w:val="nil"/>
              <w:right w:val="single" w:sz="4" w:space="0" w:color="auto"/>
            </w:tcBorders>
            <w:shd w:val="clear" w:color="000000" w:fill="FFFFFF"/>
            <w:noWrap/>
            <w:vAlign w:val="center"/>
            <w:hideMark/>
          </w:tcPr>
          <w:p w14:paraId="63544B38" w14:textId="4B89B403"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33D68906" w14:textId="2C41384A"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8537150" w14:textId="2E862D31"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242" w:type="dxa"/>
            <w:tcBorders>
              <w:top w:val="nil"/>
              <w:left w:val="nil"/>
              <w:bottom w:val="nil"/>
              <w:right w:val="nil"/>
            </w:tcBorders>
            <w:vAlign w:val="bottom"/>
          </w:tcPr>
          <w:p w14:paraId="442EE480" w14:textId="53FB37C9"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5600E58E" w14:textId="36EE1D29"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992" w:type="dxa"/>
            <w:tcBorders>
              <w:top w:val="nil"/>
              <w:left w:val="single" w:sz="4" w:space="0" w:color="auto"/>
              <w:bottom w:val="nil"/>
              <w:right w:val="single" w:sz="4" w:space="0" w:color="auto"/>
            </w:tcBorders>
            <w:shd w:val="clear" w:color="000000" w:fill="FFFFFF"/>
            <w:vAlign w:val="center"/>
          </w:tcPr>
          <w:p w14:paraId="7B73575E" w14:textId="4F35AA98"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774" w:type="dxa"/>
            <w:tcBorders>
              <w:top w:val="nil"/>
              <w:left w:val="single" w:sz="4" w:space="0" w:color="auto"/>
              <w:bottom w:val="nil"/>
              <w:right w:val="nil"/>
            </w:tcBorders>
            <w:shd w:val="clear" w:color="000000" w:fill="FFFFFF"/>
            <w:vAlign w:val="center"/>
          </w:tcPr>
          <w:p w14:paraId="12EBA8BD" w14:textId="66124D8D"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r>
      <w:tr w:rsidR="00795550" w:rsidRPr="00A06A94" w14:paraId="7625D4E3" w14:textId="77777777" w:rsidTr="006E30DB">
        <w:trPr>
          <w:trHeight w:val="300"/>
        </w:trPr>
        <w:tc>
          <w:tcPr>
            <w:tcW w:w="3540" w:type="dxa"/>
            <w:tcBorders>
              <w:top w:val="nil"/>
              <w:left w:val="nil"/>
              <w:bottom w:val="nil"/>
              <w:right w:val="nil"/>
            </w:tcBorders>
            <w:shd w:val="clear" w:color="000000" w:fill="FFFFFF"/>
            <w:noWrap/>
            <w:vAlign w:val="bottom"/>
            <w:hideMark/>
          </w:tcPr>
          <w:p w14:paraId="3D56AD1D" w14:textId="77777777" w:rsidR="00795550" w:rsidRPr="00072DB9" w:rsidRDefault="00795550" w:rsidP="00795550">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2" w:type="dxa"/>
            <w:tcBorders>
              <w:top w:val="nil"/>
              <w:left w:val="nil"/>
              <w:bottom w:val="nil"/>
              <w:right w:val="single" w:sz="4" w:space="0" w:color="auto"/>
            </w:tcBorders>
            <w:shd w:val="clear" w:color="000000" w:fill="FFFFFF"/>
            <w:noWrap/>
            <w:vAlign w:val="center"/>
            <w:hideMark/>
          </w:tcPr>
          <w:p w14:paraId="413BFB31" w14:textId="1614F823"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29,9</w:t>
            </w:r>
          </w:p>
        </w:tc>
        <w:tc>
          <w:tcPr>
            <w:tcW w:w="960" w:type="dxa"/>
            <w:tcBorders>
              <w:top w:val="nil"/>
              <w:left w:val="nil"/>
              <w:bottom w:val="nil"/>
              <w:right w:val="single" w:sz="4" w:space="0" w:color="auto"/>
            </w:tcBorders>
            <w:shd w:val="clear" w:color="000000" w:fill="FFFFFF"/>
            <w:noWrap/>
            <w:vAlign w:val="center"/>
            <w:hideMark/>
          </w:tcPr>
          <w:p w14:paraId="35204F7B" w14:textId="777DA428"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6 166</w:t>
            </w:r>
          </w:p>
        </w:tc>
        <w:tc>
          <w:tcPr>
            <w:tcW w:w="960" w:type="dxa"/>
            <w:tcBorders>
              <w:top w:val="nil"/>
              <w:left w:val="nil"/>
              <w:bottom w:val="nil"/>
              <w:right w:val="nil"/>
            </w:tcBorders>
            <w:shd w:val="clear" w:color="000000" w:fill="FFFFFF"/>
            <w:noWrap/>
            <w:vAlign w:val="center"/>
            <w:hideMark/>
          </w:tcPr>
          <w:p w14:paraId="339602DE" w14:textId="2EA5F446"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4,52</w:t>
            </w:r>
          </w:p>
        </w:tc>
        <w:tc>
          <w:tcPr>
            <w:tcW w:w="242" w:type="dxa"/>
            <w:tcBorders>
              <w:top w:val="nil"/>
              <w:left w:val="nil"/>
              <w:bottom w:val="nil"/>
              <w:right w:val="nil"/>
            </w:tcBorders>
            <w:vAlign w:val="bottom"/>
          </w:tcPr>
          <w:p w14:paraId="1CF8C8AE" w14:textId="21821A10"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0F378060" w14:textId="1EC0BA61"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103,3</w:t>
            </w:r>
          </w:p>
        </w:tc>
        <w:tc>
          <w:tcPr>
            <w:tcW w:w="992" w:type="dxa"/>
            <w:tcBorders>
              <w:top w:val="nil"/>
              <w:left w:val="single" w:sz="4" w:space="0" w:color="auto"/>
              <w:bottom w:val="nil"/>
              <w:right w:val="single" w:sz="4" w:space="0" w:color="auto"/>
            </w:tcBorders>
            <w:shd w:val="clear" w:color="000000" w:fill="FFFFFF"/>
            <w:vAlign w:val="center"/>
          </w:tcPr>
          <w:p w14:paraId="5F448916" w14:textId="3667B3D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21 882</w:t>
            </w:r>
          </w:p>
        </w:tc>
        <w:tc>
          <w:tcPr>
            <w:tcW w:w="774" w:type="dxa"/>
            <w:tcBorders>
              <w:top w:val="nil"/>
              <w:left w:val="single" w:sz="4" w:space="0" w:color="auto"/>
              <w:bottom w:val="nil"/>
              <w:right w:val="nil"/>
            </w:tcBorders>
            <w:shd w:val="clear" w:color="000000" w:fill="FFFFFF"/>
            <w:vAlign w:val="center"/>
          </w:tcPr>
          <w:p w14:paraId="634C0342" w14:textId="62AD8FDD"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4,47</w:t>
            </w:r>
          </w:p>
        </w:tc>
      </w:tr>
      <w:tr w:rsidR="00795550" w:rsidRPr="00A06A94" w14:paraId="0E99D021" w14:textId="77777777" w:rsidTr="006E30DB">
        <w:trPr>
          <w:trHeight w:val="300"/>
        </w:trPr>
        <w:tc>
          <w:tcPr>
            <w:tcW w:w="3540" w:type="dxa"/>
            <w:tcBorders>
              <w:top w:val="nil"/>
              <w:left w:val="nil"/>
              <w:bottom w:val="nil"/>
              <w:right w:val="nil"/>
            </w:tcBorders>
            <w:shd w:val="clear" w:color="000000" w:fill="FFFFFF"/>
            <w:noWrap/>
            <w:vAlign w:val="bottom"/>
            <w:hideMark/>
          </w:tcPr>
          <w:p w14:paraId="24650778" w14:textId="77777777" w:rsidR="00795550" w:rsidRPr="00072DB9" w:rsidRDefault="00795550" w:rsidP="00795550">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2" w:type="dxa"/>
            <w:tcBorders>
              <w:top w:val="nil"/>
              <w:left w:val="nil"/>
              <w:bottom w:val="nil"/>
              <w:right w:val="single" w:sz="4" w:space="0" w:color="auto"/>
            </w:tcBorders>
            <w:shd w:val="clear" w:color="000000" w:fill="FFFFFF"/>
            <w:noWrap/>
            <w:vAlign w:val="center"/>
            <w:hideMark/>
          </w:tcPr>
          <w:p w14:paraId="52DC5BF0" w14:textId="1A653DD2"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7,7</w:t>
            </w:r>
          </w:p>
        </w:tc>
        <w:tc>
          <w:tcPr>
            <w:tcW w:w="960" w:type="dxa"/>
            <w:tcBorders>
              <w:top w:val="nil"/>
              <w:left w:val="nil"/>
              <w:bottom w:val="nil"/>
              <w:right w:val="single" w:sz="4" w:space="0" w:color="auto"/>
            </w:tcBorders>
            <w:shd w:val="clear" w:color="000000" w:fill="FFFFFF"/>
            <w:noWrap/>
            <w:vAlign w:val="center"/>
            <w:hideMark/>
          </w:tcPr>
          <w:p w14:paraId="6ABFDBC1" w14:textId="0354526C"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1 623</w:t>
            </w:r>
          </w:p>
        </w:tc>
        <w:tc>
          <w:tcPr>
            <w:tcW w:w="960" w:type="dxa"/>
            <w:tcBorders>
              <w:top w:val="nil"/>
              <w:left w:val="nil"/>
              <w:bottom w:val="nil"/>
              <w:right w:val="nil"/>
            </w:tcBorders>
            <w:shd w:val="clear" w:color="000000" w:fill="FFFFFF"/>
            <w:noWrap/>
            <w:vAlign w:val="center"/>
            <w:hideMark/>
          </w:tcPr>
          <w:p w14:paraId="5D5E6596" w14:textId="49A2F748"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4,45</w:t>
            </w:r>
          </w:p>
        </w:tc>
        <w:tc>
          <w:tcPr>
            <w:tcW w:w="242" w:type="dxa"/>
            <w:tcBorders>
              <w:top w:val="nil"/>
              <w:left w:val="nil"/>
              <w:bottom w:val="nil"/>
              <w:right w:val="nil"/>
            </w:tcBorders>
            <w:vAlign w:val="center"/>
          </w:tcPr>
          <w:p w14:paraId="096C099B" w14:textId="48E5CC03"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10B9382F" w14:textId="1F5B0F09"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21,7</w:t>
            </w:r>
          </w:p>
        </w:tc>
        <w:tc>
          <w:tcPr>
            <w:tcW w:w="992" w:type="dxa"/>
            <w:tcBorders>
              <w:top w:val="nil"/>
              <w:left w:val="single" w:sz="4" w:space="0" w:color="auto"/>
              <w:bottom w:val="nil"/>
              <w:right w:val="single" w:sz="4" w:space="0" w:color="auto"/>
            </w:tcBorders>
            <w:shd w:val="clear" w:color="000000" w:fill="FFFFFF"/>
            <w:vAlign w:val="center"/>
          </w:tcPr>
          <w:p w14:paraId="2CAD1162" w14:textId="10DC7A3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4 631</w:t>
            </w:r>
          </w:p>
        </w:tc>
        <w:tc>
          <w:tcPr>
            <w:tcW w:w="774" w:type="dxa"/>
            <w:tcBorders>
              <w:top w:val="nil"/>
              <w:left w:val="single" w:sz="4" w:space="0" w:color="auto"/>
              <w:bottom w:val="nil"/>
              <w:right w:val="nil"/>
            </w:tcBorders>
            <w:shd w:val="clear" w:color="000000" w:fill="FFFFFF"/>
            <w:vAlign w:val="center"/>
          </w:tcPr>
          <w:p w14:paraId="068099D2" w14:textId="7CD49AE1"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4,43</w:t>
            </w:r>
          </w:p>
        </w:tc>
      </w:tr>
      <w:tr w:rsidR="00795550" w:rsidRPr="00A06A94" w14:paraId="501771B5"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DD2365D" w14:textId="77777777" w:rsidR="00795550" w:rsidRPr="00072DB9" w:rsidRDefault="00795550" w:rsidP="00795550">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2" w:type="dxa"/>
            <w:tcBorders>
              <w:top w:val="nil"/>
              <w:left w:val="nil"/>
              <w:bottom w:val="single" w:sz="4" w:space="0" w:color="auto"/>
              <w:right w:val="single" w:sz="4" w:space="0" w:color="auto"/>
            </w:tcBorders>
            <w:shd w:val="clear" w:color="000000" w:fill="FFFFFF"/>
            <w:noWrap/>
            <w:vAlign w:val="center"/>
            <w:hideMark/>
          </w:tcPr>
          <w:p w14:paraId="447C665A" w14:textId="6218CDFA"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6,6</w:t>
            </w:r>
          </w:p>
        </w:tc>
        <w:tc>
          <w:tcPr>
            <w:tcW w:w="960" w:type="dxa"/>
            <w:tcBorders>
              <w:top w:val="nil"/>
              <w:left w:val="nil"/>
              <w:bottom w:val="single" w:sz="4" w:space="0" w:color="auto"/>
              <w:right w:val="single" w:sz="4" w:space="0" w:color="auto"/>
            </w:tcBorders>
            <w:shd w:val="clear" w:color="000000" w:fill="FFFFFF"/>
            <w:noWrap/>
            <w:vAlign w:val="center"/>
            <w:hideMark/>
          </w:tcPr>
          <w:p w14:paraId="736F58FE" w14:textId="3CE2A146"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1 260</w:t>
            </w:r>
          </w:p>
        </w:tc>
        <w:tc>
          <w:tcPr>
            <w:tcW w:w="960" w:type="dxa"/>
            <w:tcBorders>
              <w:top w:val="nil"/>
              <w:left w:val="nil"/>
              <w:bottom w:val="single" w:sz="4" w:space="0" w:color="auto"/>
              <w:right w:val="nil"/>
            </w:tcBorders>
            <w:shd w:val="clear" w:color="000000" w:fill="FFFFFF"/>
            <w:noWrap/>
            <w:vAlign w:val="center"/>
            <w:hideMark/>
          </w:tcPr>
          <w:p w14:paraId="11B6015C" w14:textId="257D416F"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4,58</w:t>
            </w:r>
          </w:p>
        </w:tc>
        <w:tc>
          <w:tcPr>
            <w:tcW w:w="242" w:type="dxa"/>
            <w:tcBorders>
              <w:top w:val="nil"/>
              <w:left w:val="nil"/>
              <w:right w:val="nil"/>
            </w:tcBorders>
            <w:vAlign w:val="bottom"/>
          </w:tcPr>
          <w:p w14:paraId="0E5EEE48" w14:textId="73EBC00C"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6AE7FB0C" w14:textId="4A84C231"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16,3</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096F2B8" w14:textId="34F83297"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3 343</w:t>
            </w:r>
          </w:p>
        </w:tc>
        <w:tc>
          <w:tcPr>
            <w:tcW w:w="774" w:type="dxa"/>
            <w:tcBorders>
              <w:top w:val="nil"/>
              <w:left w:val="single" w:sz="4" w:space="0" w:color="auto"/>
              <w:bottom w:val="single" w:sz="4" w:space="0" w:color="auto"/>
              <w:right w:val="nil"/>
            </w:tcBorders>
            <w:shd w:val="clear" w:color="000000" w:fill="FFFFFF"/>
            <w:vAlign w:val="center"/>
          </w:tcPr>
          <w:p w14:paraId="19EA6453" w14:textId="5A60AFD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4,54</w:t>
            </w:r>
          </w:p>
        </w:tc>
      </w:tr>
      <w:tr w:rsidR="00795550" w:rsidRPr="00A06A94" w14:paraId="5D723CBB"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2E721761" w14:textId="77777777" w:rsidR="00795550" w:rsidRPr="00072DB9" w:rsidRDefault="00795550" w:rsidP="0079555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2" w:type="dxa"/>
            <w:tcBorders>
              <w:top w:val="nil"/>
              <w:left w:val="nil"/>
              <w:bottom w:val="single" w:sz="4" w:space="0" w:color="auto"/>
              <w:right w:val="single" w:sz="4" w:space="0" w:color="auto"/>
            </w:tcBorders>
            <w:shd w:val="clear" w:color="000000" w:fill="FFFFFF"/>
            <w:noWrap/>
            <w:vAlign w:val="center"/>
            <w:hideMark/>
          </w:tcPr>
          <w:p w14:paraId="69F7A9EB" w14:textId="37C92882"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14,5</w:t>
            </w:r>
          </w:p>
        </w:tc>
        <w:tc>
          <w:tcPr>
            <w:tcW w:w="960" w:type="dxa"/>
            <w:tcBorders>
              <w:top w:val="nil"/>
              <w:left w:val="nil"/>
              <w:bottom w:val="single" w:sz="4" w:space="0" w:color="auto"/>
              <w:right w:val="single" w:sz="4" w:space="0" w:color="auto"/>
            </w:tcBorders>
            <w:shd w:val="clear" w:color="000000" w:fill="FFFFFF"/>
            <w:noWrap/>
            <w:vAlign w:val="center"/>
            <w:hideMark/>
          </w:tcPr>
          <w:p w14:paraId="5D3E99BA" w14:textId="65FC53DA"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3 696</w:t>
            </w:r>
          </w:p>
        </w:tc>
        <w:tc>
          <w:tcPr>
            <w:tcW w:w="960" w:type="dxa"/>
            <w:tcBorders>
              <w:top w:val="nil"/>
              <w:left w:val="nil"/>
              <w:bottom w:val="single" w:sz="4" w:space="0" w:color="auto"/>
              <w:right w:val="nil"/>
            </w:tcBorders>
            <w:shd w:val="clear" w:color="000000" w:fill="FFFFFF"/>
            <w:noWrap/>
            <w:vAlign w:val="center"/>
            <w:hideMark/>
          </w:tcPr>
          <w:p w14:paraId="459C49FD" w14:textId="07DBCE60"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4,41</w:t>
            </w:r>
          </w:p>
        </w:tc>
        <w:tc>
          <w:tcPr>
            <w:tcW w:w="242" w:type="dxa"/>
            <w:tcBorders>
              <w:top w:val="nil"/>
              <w:left w:val="nil"/>
              <w:right w:val="nil"/>
            </w:tcBorders>
            <w:vAlign w:val="bottom"/>
          </w:tcPr>
          <w:p w14:paraId="17CF4B73" w14:textId="230AB8E6"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68E3AC5" w14:textId="793714D8"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43,2</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9714FB1" w14:textId="76148F32"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11 110</w:t>
            </w:r>
          </w:p>
        </w:tc>
        <w:tc>
          <w:tcPr>
            <w:tcW w:w="774" w:type="dxa"/>
            <w:tcBorders>
              <w:top w:val="nil"/>
              <w:left w:val="single" w:sz="4" w:space="0" w:color="auto"/>
              <w:bottom w:val="single" w:sz="4" w:space="0" w:color="auto"/>
              <w:right w:val="nil"/>
            </w:tcBorders>
            <w:shd w:val="clear" w:color="000000" w:fill="FFFFFF"/>
            <w:vAlign w:val="center"/>
          </w:tcPr>
          <w:p w14:paraId="2B0AEEA7" w14:textId="124E0595"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4,41</w:t>
            </w:r>
          </w:p>
        </w:tc>
      </w:tr>
      <w:tr w:rsidR="00795550" w:rsidRPr="00A06A94" w14:paraId="2265D080"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290B764" w14:textId="77777777" w:rsidR="00795550" w:rsidRPr="00072DB9" w:rsidRDefault="00795550" w:rsidP="00795550">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r>
              <w:rPr>
                <w:rFonts w:ascii="Calibri Light" w:hAnsi="Calibri Light" w:cs="Calibri Light"/>
                <w:b/>
                <w:bCs/>
                <w:color w:val="000000"/>
                <w:sz w:val="22"/>
                <w:szCs w:val="22"/>
              </w:rPr>
              <w:t>, navýšené</w:t>
            </w:r>
          </w:p>
        </w:tc>
        <w:tc>
          <w:tcPr>
            <w:tcW w:w="1102" w:type="dxa"/>
            <w:tcBorders>
              <w:top w:val="nil"/>
              <w:left w:val="nil"/>
              <w:bottom w:val="single" w:sz="4" w:space="0" w:color="auto"/>
              <w:right w:val="single" w:sz="4" w:space="0" w:color="auto"/>
            </w:tcBorders>
            <w:shd w:val="clear" w:color="000000" w:fill="FFFFFF"/>
            <w:noWrap/>
            <w:vAlign w:val="center"/>
            <w:hideMark/>
          </w:tcPr>
          <w:p w14:paraId="04D8288F" w14:textId="1B73264E"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2,7</w:t>
            </w:r>
          </w:p>
        </w:tc>
        <w:tc>
          <w:tcPr>
            <w:tcW w:w="960" w:type="dxa"/>
            <w:tcBorders>
              <w:top w:val="nil"/>
              <w:left w:val="nil"/>
              <w:bottom w:val="single" w:sz="4" w:space="0" w:color="auto"/>
              <w:right w:val="single" w:sz="4" w:space="0" w:color="auto"/>
            </w:tcBorders>
            <w:shd w:val="clear" w:color="000000" w:fill="FFFFFF"/>
            <w:noWrap/>
            <w:vAlign w:val="center"/>
            <w:hideMark/>
          </w:tcPr>
          <w:p w14:paraId="7398B663" w14:textId="7D4A7D8F" w:rsidR="00795550" w:rsidRPr="00072DB9" w:rsidRDefault="00795550" w:rsidP="00795550">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651</w:t>
            </w:r>
          </w:p>
        </w:tc>
        <w:tc>
          <w:tcPr>
            <w:tcW w:w="960" w:type="dxa"/>
            <w:tcBorders>
              <w:top w:val="nil"/>
              <w:left w:val="nil"/>
              <w:bottom w:val="single" w:sz="4" w:space="0" w:color="auto"/>
              <w:right w:val="nil"/>
            </w:tcBorders>
            <w:shd w:val="clear" w:color="000000" w:fill="FFFFFF"/>
            <w:noWrap/>
            <w:vAlign w:val="center"/>
            <w:hideMark/>
          </w:tcPr>
          <w:p w14:paraId="4499ECE4" w14:textId="3094689C" w:rsidR="00795550" w:rsidRPr="00072DB9" w:rsidRDefault="00795550" w:rsidP="00795550">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4,45</w:t>
            </w:r>
          </w:p>
        </w:tc>
        <w:tc>
          <w:tcPr>
            <w:tcW w:w="242" w:type="dxa"/>
            <w:tcBorders>
              <w:top w:val="nil"/>
              <w:left w:val="nil"/>
              <w:right w:val="nil"/>
            </w:tcBorders>
            <w:vAlign w:val="bottom"/>
          </w:tcPr>
          <w:p w14:paraId="6021B7F9" w14:textId="6C6526D5" w:rsidR="00795550" w:rsidRDefault="00795550" w:rsidP="0079555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89BC0CC" w14:textId="611EFE58"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8,2</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A4016D1" w14:textId="7A02B9A1"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2 019</w:t>
            </w:r>
          </w:p>
        </w:tc>
        <w:tc>
          <w:tcPr>
            <w:tcW w:w="774" w:type="dxa"/>
            <w:tcBorders>
              <w:top w:val="nil"/>
              <w:left w:val="single" w:sz="4" w:space="0" w:color="auto"/>
              <w:bottom w:val="single" w:sz="4" w:space="0" w:color="auto"/>
              <w:right w:val="nil"/>
            </w:tcBorders>
            <w:shd w:val="clear" w:color="000000" w:fill="FFFFFF"/>
            <w:vAlign w:val="center"/>
          </w:tcPr>
          <w:p w14:paraId="67B83F6B" w14:textId="4FA93E38" w:rsidR="00795550" w:rsidRPr="00A06A94" w:rsidRDefault="00795550" w:rsidP="00795550">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4,43</w:t>
            </w:r>
          </w:p>
        </w:tc>
      </w:tr>
    </w:tbl>
    <w:p w14:paraId="7749A713" w14:textId="7DA80B2C" w:rsidR="003C3451" w:rsidRPr="007821A2" w:rsidRDefault="007821A2" w:rsidP="0009562F">
      <w:pPr>
        <w:overflowPunct/>
        <w:autoSpaceDE/>
        <w:autoSpaceDN/>
        <w:adjustRightInd/>
        <w:spacing w:before="120" w:after="120"/>
        <w:textAlignment w:val="auto"/>
        <w:rPr>
          <w:rFonts w:asciiTheme="minorHAnsi" w:hAnsiTheme="minorHAnsi" w:cstheme="minorHAnsi"/>
          <w:bCs/>
          <w:color w:val="13576B"/>
          <w:sz w:val="20"/>
        </w:rPr>
      </w:pPr>
      <w:r w:rsidRPr="007821A2">
        <w:rPr>
          <w:rFonts w:asciiTheme="minorHAnsi" w:hAnsiTheme="minorHAnsi" w:cstheme="minorHAnsi"/>
          <w:bCs/>
          <w:color w:val="13576B"/>
          <w:sz w:val="20"/>
        </w:rPr>
        <w:t>Pramen: ČBA Hypomonitor. Poznámka: sezónně neočištěná data</w:t>
      </w:r>
    </w:p>
    <w:p w14:paraId="0890E395" w14:textId="77777777" w:rsidR="003C3451" w:rsidRPr="007821A2" w:rsidRDefault="003C3451" w:rsidP="0009562F">
      <w:pPr>
        <w:overflowPunct/>
        <w:autoSpaceDE/>
        <w:autoSpaceDN/>
        <w:adjustRightInd/>
        <w:spacing w:before="120" w:after="120"/>
        <w:textAlignment w:val="auto"/>
        <w:rPr>
          <w:rFonts w:ascii="Calibri" w:hAnsi="Calibri" w:cs="Calibri"/>
          <w:bCs/>
          <w:color w:val="13576B"/>
          <w:sz w:val="23"/>
          <w:szCs w:val="23"/>
        </w:rPr>
      </w:pPr>
    </w:p>
    <w:p w14:paraId="0A5C07AA" w14:textId="10DA95E2" w:rsidR="006A4CF3" w:rsidRPr="003C3451" w:rsidRDefault="00D16FB5" w:rsidP="006A4C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i/>
          <w:iCs/>
          <w:color w:val="000000" w:themeColor="text1"/>
          <w:sz w:val="22"/>
          <w:szCs w:val="22"/>
        </w:rPr>
      </w:pPr>
      <w:bookmarkStart w:id="3" w:name="_Hlk111121228"/>
      <w:bookmarkStart w:id="4" w:name="_Hlk119308742"/>
      <w:r w:rsidRPr="0026268C">
        <w:rPr>
          <w:rFonts w:ascii="Calibri" w:hAnsi="Calibri" w:cs="Calibri"/>
          <w:i/>
          <w:iCs/>
          <w:color w:val="000000" w:themeColor="text1"/>
          <w:sz w:val="22"/>
          <w:szCs w:val="22"/>
        </w:rPr>
        <w:t>„</w:t>
      </w:r>
      <w:r w:rsidR="00A77DE1" w:rsidRPr="000F6C58">
        <w:rPr>
          <w:rFonts w:ascii="Calibri" w:hAnsi="Calibri" w:cs="Calibri"/>
          <w:i/>
          <w:iCs/>
          <w:color w:val="000000" w:themeColor="text1"/>
          <w:sz w:val="22"/>
          <w:szCs w:val="22"/>
        </w:rPr>
        <w:t xml:space="preserve">Do </w:t>
      </w:r>
      <w:r w:rsidR="005A4638" w:rsidRPr="000F6C58">
        <w:rPr>
          <w:rFonts w:ascii="Calibri" w:hAnsi="Calibri" w:cs="Calibri"/>
          <w:i/>
          <w:iCs/>
          <w:color w:val="000000" w:themeColor="text1"/>
          <w:sz w:val="22"/>
          <w:szCs w:val="22"/>
        </w:rPr>
        <w:t xml:space="preserve">silných </w:t>
      </w:r>
      <w:r w:rsidR="007B2266">
        <w:rPr>
          <w:rFonts w:ascii="Calibri" w:hAnsi="Calibri" w:cs="Calibri"/>
          <w:i/>
          <w:iCs/>
          <w:color w:val="000000" w:themeColor="text1"/>
          <w:sz w:val="22"/>
          <w:szCs w:val="22"/>
        </w:rPr>
        <w:t>dubnových</w:t>
      </w:r>
      <w:r w:rsidR="000F6C58" w:rsidRPr="000F6C58">
        <w:rPr>
          <w:rFonts w:ascii="Calibri" w:hAnsi="Calibri" w:cs="Calibri"/>
          <w:i/>
          <w:iCs/>
          <w:color w:val="000000" w:themeColor="text1"/>
          <w:sz w:val="22"/>
          <w:szCs w:val="22"/>
        </w:rPr>
        <w:t xml:space="preserve"> </w:t>
      </w:r>
      <w:r w:rsidR="00A77DE1" w:rsidRPr="000F6C58">
        <w:rPr>
          <w:rFonts w:ascii="Calibri" w:hAnsi="Calibri" w:cs="Calibri"/>
          <w:i/>
          <w:iCs/>
          <w:color w:val="000000" w:themeColor="text1"/>
          <w:sz w:val="22"/>
          <w:szCs w:val="22"/>
        </w:rPr>
        <w:t xml:space="preserve">čísel se </w:t>
      </w:r>
      <w:r w:rsidR="005A4638" w:rsidRPr="000F6C58">
        <w:rPr>
          <w:rFonts w:ascii="Calibri" w:hAnsi="Calibri" w:cs="Calibri"/>
          <w:i/>
          <w:iCs/>
          <w:color w:val="000000" w:themeColor="text1"/>
          <w:sz w:val="22"/>
          <w:szCs w:val="22"/>
        </w:rPr>
        <w:t xml:space="preserve">pravděpodobně promítl </w:t>
      </w:r>
      <w:r w:rsidR="000F6C58" w:rsidRPr="000F6C58">
        <w:rPr>
          <w:rFonts w:ascii="Calibri" w:hAnsi="Calibri" w:cs="Calibri"/>
          <w:i/>
          <w:iCs/>
          <w:color w:val="000000" w:themeColor="text1"/>
          <w:sz w:val="22"/>
          <w:szCs w:val="22"/>
        </w:rPr>
        <w:t xml:space="preserve">dvojí </w:t>
      </w:r>
      <w:r w:rsidR="005A4638" w:rsidRPr="000F6C58">
        <w:rPr>
          <w:rFonts w:ascii="Calibri" w:hAnsi="Calibri" w:cs="Calibri"/>
          <w:i/>
          <w:iCs/>
          <w:color w:val="000000" w:themeColor="text1"/>
          <w:sz w:val="22"/>
          <w:szCs w:val="22"/>
        </w:rPr>
        <w:t>faktor předzásobení</w:t>
      </w:r>
      <w:r w:rsidR="000F6C58" w:rsidRPr="000F6C58">
        <w:rPr>
          <w:rFonts w:ascii="Calibri" w:hAnsi="Calibri" w:cs="Calibri"/>
          <w:i/>
          <w:iCs/>
          <w:color w:val="000000" w:themeColor="text1"/>
          <w:sz w:val="22"/>
          <w:szCs w:val="22"/>
        </w:rPr>
        <w:t>, a to pravděpodobně s dozvuky dubnového zpřísnění podmínek p</w:t>
      </w:r>
      <w:r w:rsidR="005A4638" w:rsidRPr="000F6C58">
        <w:rPr>
          <w:rFonts w:ascii="Calibri" w:hAnsi="Calibri" w:cs="Calibri"/>
          <w:i/>
          <w:iCs/>
          <w:color w:val="000000" w:themeColor="text1"/>
          <w:sz w:val="22"/>
          <w:szCs w:val="22"/>
        </w:rPr>
        <w:t>ro investiční hypoték</w:t>
      </w:r>
      <w:r w:rsidR="000F6C58" w:rsidRPr="000F6C58">
        <w:rPr>
          <w:rFonts w:ascii="Calibri" w:hAnsi="Calibri" w:cs="Calibri"/>
          <w:i/>
          <w:iCs/>
          <w:color w:val="000000" w:themeColor="text1"/>
          <w:sz w:val="22"/>
          <w:szCs w:val="22"/>
        </w:rPr>
        <w:t>y, ale i se snahou vyhnout se vyšším úrokovým sazbám, jelikož duben přinesl prozatím nepatrné zvýšení hypoteční úrokové sazby ve srovnání se skokem tržních úrokových sazeb</w:t>
      </w:r>
      <w:r w:rsidR="000B7D19">
        <w:rPr>
          <w:rFonts w:ascii="Calibri" w:hAnsi="Calibri" w:cs="Calibri"/>
          <w:i/>
          <w:iCs/>
          <w:color w:val="000000" w:themeColor="text1"/>
          <w:sz w:val="22"/>
          <w:szCs w:val="22"/>
        </w:rPr>
        <w:t>,</w:t>
      </w:r>
      <w:r w:rsidRPr="0026268C">
        <w:rPr>
          <w:rFonts w:ascii="Calibri" w:hAnsi="Calibri" w:cs="Calibri"/>
          <w:i/>
          <w:iCs/>
          <w:color w:val="000000" w:themeColor="text1"/>
          <w:sz w:val="22"/>
          <w:szCs w:val="22"/>
        </w:rPr>
        <w:t>“</w:t>
      </w:r>
      <w:r w:rsidR="006A4CF3" w:rsidRPr="0026268C">
        <w:rPr>
          <w:rFonts w:ascii="Calibri" w:hAnsi="Calibri" w:cs="Calibri"/>
          <w:i/>
          <w:iCs/>
          <w:color w:val="000000" w:themeColor="text1"/>
          <w:sz w:val="22"/>
          <w:szCs w:val="22"/>
        </w:rPr>
        <w:t xml:space="preserve"> </w:t>
      </w:r>
      <w:r w:rsidR="000B7D19">
        <w:rPr>
          <w:rFonts w:ascii="Calibri" w:hAnsi="Calibri" w:cs="Calibri"/>
          <w:color w:val="000000" w:themeColor="text1"/>
          <w:sz w:val="22"/>
          <w:szCs w:val="22"/>
        </w:rPr>
        <w:t>d</w:t>
      </w:r>
      <w:r w:rsidR="00A77DE1">
        <w:rPr>
          <w:rFonts w:ascii="Calibri" w:hAnsi="Calibri" w:cs="Calibri"/>
          <w:sz w:val="22"/>
          <w:szCs w:val="22"/>
        </w:rPr>
        <w:t>omnívá se</w:t>
      </w:r>
      <w:r w:rsidR="006A4CF3" w:rsidRPr="00882EFB">
        <w:rPr>
          <w:rFonts w:ascii="Calibri" w:hAnsi="Calibri" w:cs="Calibri"/>
          <w:sz w:val="22"/>
          <w:szCs w:val="22"/>
        </w:rPr>
        <w:t xml:space="preserve"> </w:t>
      </w:r>
      <w:r w:rsidR="006A4CF3">
        <w:rPr>
          <w:rFonts w:ascii="Calibri" w:hAnsi="Calibri" w:cs="Calibri"/>
          <w:b/>
          <w:bCs/>
          <w:sz w:val="22"/>
          <w:szCs w:val="22"/>
        </w:rPr>
        <w:t xml:space="preserve">Jaromír Šindel, hlavní ekonom České bankovní asociace. </w:t>
      </w:r>
    </w:p>
    <w:p w14:paraId="5C0445D2" w14:textId="77777777" w:rsidR="00D17F2A" w:rsidRDefault="00D17F2A" w:rsidP="007E1421">
      <w:pPr>
        <w:rPr>
          <w:rFonts w:ascii="Calibri" w:hAnsi="Calibri" w:cs="Calibri"/>
          <w:b/>
          <w:color w:val="13576B"/>
          <w:sz w:val="23"/>
          <w:szCs w:val="23"/>
        </w:rPr>
      </w:pPr>
    </w:p>
    <w:p w14:paraId="6B7D1662" w14:textId="52B15F73" w:rsidR="00677FE7" w:rsidRDefault="00795550" w:rsidP="007E1421">
      <w:pPr>
        <w:rPr>
          <w:rFonts w:ascii="Calibri" w:hAnsi="Calibri" w:cs="Calibri"/>
          <w:b/>
          <w:color w:val="13576B"/>
          <w:sz w:val="23"/>
          <w:szCs w:val="23"/>
        </w:rPr>
      </w:pPr>
      <w:r>
        <w:rPr>
          <w:rFonts w:ascii="Calibri" w:hAnsi="Calibri" w:cs="Calibri"/>
          <w:b/>
          <w:noProof/>
          <w:color w:val="13576B"/>
          <w:sz w:val="23"/>
          <w:szCs w:val="23"/>
        </w:rPr>
        <w:lastRenderedPageBreak/>
        <w:drawing>
          <wp:inline distT="0" distB="0" distL="0" distR="0" wp14:anchorId="25C313BB" wp14:editId="6D7E0818">
            <wp:extent cx="4979626" cy="4067175"/>
            <wp:effectExtent l="0" t="0" r="0" b="0"/>
            <wp:docPr id="1961741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3089" cy="4078171"/>
                    </a:xfrm>
                    <a:prstGeom prst="rect">
                      <a:avLst/>
                    </a:prstGeom>
                    <a:noFill/>
                  </pic:spPr>
                </pic:pic>
              </a:graphicData>
            </a:graphic>
          </wp:inline>
        </w:drawing>
      </w:r>
    </w:p>
    <w:p w14:paraId="6C652A9F" w14:textId="58DA04AB" w:rsidR="007E1421" w:rsidRDefault="00E16BD3" w:rsidP="007E1421">
      <w:pPr>
        <w:overflowPunct/>
        <w:autoSpaceDE/>
        <w:autoSpaceDN/>
        <w:adjustRightInd/>
        <w:spacing w:after="120"/>
        <w:jc w:val="left"/>
        <w:textAlignment w:val="auto"/>
        <w:rPr>
          <w:rFonts w:ascii="Calibri Light" w:hAnsi="Calibri Light" w:cs="Calibri Light"/>
          <w:color w:val="13576B"/>
          <w:sz w:val="20"/>
        </w:rPr>
      </w:pPr>
      <w:r w:rsidRPr="00E16BD3">
        <w:rPr>
          <w:rFonts w:ascii="Calibri Light" w:hAnsi="Calibri Light" w:cs="Calibri Light"/>
          <w:color w:val="13576B"/>
          <w:sz w:val="20"/>
        </w:rPr>
        <w:t>Poznámka: výhled do konce roku je momentový – vychází z aktuálního trendu, nikoli z modelové predikce.</w:t>
      </w:r>
      <w:r w:rsidR="00795550">
        <w:rPr>
          <w:rFonts w:ascii="Calibri Light" w:hAnsi="Calibri Light" w:cs="Calibri Light"/>
          <w:color w:val="13576B"/>
          <w:sz w:val="20"/>
        </w:rPr>
        <w:t xml:space="preserve"> Nicméně pro zbytek roku předpokládá 7 % korekci do počtu hypoték. </w:t>
      </w:r>
    </w:p>
    <w:p w14:paraId="05D7F9BE" w14:textId="184CE9E3" w:rsidR="00795550" w:rsidRDefault="00795550" w:rsidP="007E1421">
      <w:pPr>
        <w:overflowPunct/>
        <w:autoSpaceDE/>
        <w:autoSpaceDN/>
        <w:adjustRightInd/>
        <w:spacing w:after="120"/>
        <w:jc w:val="left"/>
        <w:textAlignment w:val="auto"/>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67912B53" wp14:editId="31C1A906">
            <wp:extent cx="5994506" cy="3571875"/>
            <wp:effectExtent l="0" t="0" r="6350" b="0"/>
            <wp:docPr id="19222297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0115" cy="3593093"/>
                    </a:xfrm>
                    <a:prstGeom prst="rect">
                      <a:avLst/>
                    </a:prstGeom>
                    <a:noFill/>
                  </pic:spPr>
                </pic:pic>
              </a:graphicData>
            </a:graphic>
          </wp:inline>
        </w:drawing>
      </w:r>
    </w:p>
    <w:p w14:paraId="656E850E" w14:textId="50635C52" w:rsidR="0009562F" w:rsidRDefault="00DA2CF3" w:rsidP="0009562F">
      <w:pPr>
        <w:overflowPunct/>
        <w:autoSpaceDE/>
        <w:autoSpaceDN/>
        <w:adjustRightInd/>
        <w:textAlignment w:val="auto"/>
        <w:rPr>
          <w:rFonts w:ascii="Calibri" w:hAnsi="Calibri" w:cs="Calibri"/>
          <w:b/>
          <w:color w:val="13576B"/>
          <w:sz w:val="23"/>
          <w:szCs w:val="23"/>
        </w:rPr>
      </w:pPr>
      <w:r>
        <w:rPr>
          <w:rFonts w:ascii="Calibri" w:hAnsi="Calibri" w:cs="Calibri"/>
          <w:b/>
          <w:color w:val="13576B"/>
          <w:sz w:val="23"/>
          <w:szCs w:val="23"/>
        </w:rPr>
        <w:lastRenderedPageBreak/>
        <w:t>Do dubnových čísel se pravděpodobně ještě propsaly hypotéky předjednané v březnu</w:t>
      </w:r>
    </w:p>
    <w:p w14:paraId="0EEDAD3F" w14:textId="77777777" w:rsidR="00D1522E" w:rsidRPr="00FC623B" w:rsidRDefault="00D1522E" w:rsidP="00D1522E">
      <w:pPr>
        <w:overflowPunct/>
        <w:autoSpaceDE/>
        <w:autoSpaceDN/>
        <w:adjustRightInd/>
        <w:textAlignment w:val="auto"/>
        <w:rPr>
          <w:rFonts w:ascii="Calibri" w:hAnsi="Calibri" w:cs="Calibri"/>
          <w:color w:val="000000"/>
          <w:sz w:val="22"/>
          <w:szCs w:val="22"/>
        </w:rPr>
      </w:pPr>
    </w:p>
    <w:p w14:paraId="08E1428E" w14:textId="130FD1A1" w:rsidR="002268A9" w:rsidRDefault="002268A9" w:rsidP="002F416F">
      <w:pPr>
        <w:overflowPunct/>
        <w:autoSpaceDE/>
        <w:autoSpaceDN/>
        <w:adjustRightInd/>
        <w:textAlignment w:val="auto"/>
        <w:rPr>
          <w:rFonts w:ascii="Calibri" w:hAnsi="Calibri" w:cs="Calibri"/>
          <w:b/>
          <w:bCs/>
          <w:color w:val="000000"/>
          <w:sz w:val="22"/>
          <w:szCs w:val="22"/>
        </w:rPr>
      </w:pPr>
      <w:r w:rsidRPr="002268A9">
        <w:rPr>
          <w:rFonts w:ascii="Calibri" w:hAnsi="Calibri" w:cs="Calibri"/>
          <w:b/>
          <w:bCs/>
          <w:color w:val="000000"/>
          <w:sz w:val="22"/>
          <w:szCs w:val="22"/>
        </w:rPr>
        <w:t>Celkově banky a stavební spořitelny v dubnu vykázaly nový nekonsolidovaný business v podobě nových a refinancovaných hypoték v objemu 61,5 mld. Kč, což je o 11 % více než před měsícem. V meziročním srovnání stoupl o 90 %. Jejich celkový objem v letošním roce prozatím dosáhl 193 mld. Kč, což představuje 70% nárůst ve srovnání s lednem až dubnem předcházejícího roku.</w:t>
      </w:r>
    </w:p>
    <w:p w14:paraId="0BC6FE6B" w14:textId="77777777" w:rsidR="002F416F" w:rsidRDefault="002F416F" w:rsidP="00142116">
      <w:pPr>
        <w:overflowPunct/>
        <w:autoSpaceDE/>
        <w:autoSpaceDN/>
        <w:adjustRightInd/>
        <w:textAlignment w:val="auto"/>
        <w:rPr>
          <w:rFonts w:ascii="Calibri" w:hAnsi="Calibri" w:cs="Calibri"/>
          <w:b/>
          <w:bCs/>
          <w:color w:val="000000"/>
          <w:sz w:val="22"/>
          <w:szCs w:val="22"/>
        </w:rPr>
      </w:pPr>
    </w:p>
    <w:p w14:paraId="015AA3E4" w14:textId="50E4885E" w:rsidR="009C73E9" w:rsidRDefault="009C73E9" w:rsidP="00142116">
      <w:pPr>
        <w:overflowPunct/>
        <w:autoSpaceDE/>
        <w:autoSpaceDN/>
        <w:adjustRightInd/>
        <w:textAlignment w:val="auto"/>
        <w:rPr>
          <w:rFonts w:ascii="Calibri" w:hAnsi="Calibri" w:cs="Calibri"/>
          <w:color w:val="000000"/>
          <w:sz w:val="22"/>
          <w:szCs w:val="22"/>
        </w:rPr>
      </w:pPr>
      <w:r w:rsidRPr="009C73E9">
        <w:rPr>
          <w:rFonts w:ascii="Calibri" w:hAnsi="Calibri" w:cs="Calibri"/>
          <w:b/>
          <w:bCs/>
          <w:color w:val="000000"/>
          <w:sz w:val="22"/>
          <w:szCs w:val="22"/>
        </w:rPr>
        <w:t>V dubnu poskytly banky a stavební spořitelny skutečně nové hypoteční úvěry bez refinancování za 44,2 mld. Kč.</w:t>
      </w:r>
      <w:r w:rsidRPr="009C73E9">
        <w:rPr>
          <w:rFonts w:ascii="Calibri" w:hAnsi="Calibri" w:cs="Calibri"/>
          <w:color w:val="000000"/>
          <w:sz w:val="22"/>
          <w:szCs w:val="22"/>
        </w:rPr>
        <w:t xml:space="preserve"> Oproti březnu tak nová hypoteční aktivita objemově stoupla přibližně o 10 %,</w:t>
      </w:r>
      <w:r>
        <w:rPr>
          <w:rFonts w:ascii="Calibri" w:hAnsi="Calibri" w:cs="Calibri"/>
          <w:color w:val="000000"/>
          <w:sz w:val="22"/>
          <w:szCs w:val="22"/>
        </w:rPr>
        <w:t xml:space="preserve"> zatímco obvykle v dubnu částečně koriguje silný sezónní nástup v březnu. </w:t>
      </w:r>
      <w:r w:rsidRPr="009C73E9">
        <w:rPr>
          <w:rFonts w:ascii="Calibri" w:hAnsi="Calibri" w:cs="Calibri"/>
          <w:color w:val="000000"/>
          <w:sz w:val="22"/>
          <w:szCs w:val="22"/>
        </w:rPr>
        <w:t xml:space="preserve">Po sezónní úpravě přinesla dubnová čísla nových hypoték 13,2% zlepšení na 40,5 mld. Kč ve srovnání s březnovými 35,8 mld. </w:t>
      </w:r>
      <w:r w:rsidR="000B7D19">
        <w:rPr>
          <w:rFonts w:ascii="Calibri" w:hAnsi="Calibri" w:cs="Calibri"/>
          <w:color w:val="000000"/>
          <w:sz w:val="22"/>
          <w:szCs w:val="22"/>
        </w:rPr>
        <w:t xml:space="preserve">Kč </w:t>
      </w:r>
      <w:r w:rsidRPr="009C73E9">
        <w:rPr>
          <w:rFonts w:ascii="Calibri" w:hAnsi="Calibri" w:cs="Calibri"/>
          <w:color w:val="000000"/>
          <w:sz w:val="22"/>
          <w:szCs w:val="22"/>
        </w:rPr>
        <w:t xml:space="preserve">a zároveň se nachází nad průměrným objemem z předchozích tří měsíců (35 mld. Kč). Objem nově poskytnutých hypoték se v dubnu dostal na vyšší úroveň </w:t>
      </w:r>
      <w:r w:rsidR="000B7D19" w:rsidRPr="009C73E9">
        <w:rPr>
          <w:rFonts w:ascii="Calibri" w:hAnsi="Calibri" w:cs="Calibri"/>
          <w:color w:val="000000"/>
          <w:sz w:val="22"/>
          <w:szCs w:val="22"/>
        </w:rPr>
        <w:t xml:space="preserve">přibližně o 67 % </w:t>
      </w:r>
      <w:r w:rsidRPr="009C73E9">
        <w:rPr>
          <w:rFonts w:ascii="Calibri" w:hAnsi="Calibri" w:cs="Calibri"/>
          <w:color w:val="000000"/>
          <w:sz w:val="22"/>
          <w:szCs w:val="22"/>
        </w:rPr>
        <w:t xml:space="preserve">ve srovnání s první polovinou loňského roku. V meziročním vyjádření růst objemu poskytnutých hypoték v dubnu opět zesílil na 69 % z březnových 49 % po průměrném </w:t>
      </w:r>
      <w:proofErr w:type="gramStart"/>
      <w:r w:rsidRPr="009C73E9">
        <w:rPr>
          <w:rFonts w:ascii="Calibri" w:hAnsi="Calibri" w:cs="Calibri"/>
          <w:color w:val="000000"/>
          <w:sz w:val="22"/>
          <w:szCs w:val="22"/>
        </w:rPr>
        <w:t>41%</w:t>
      </w:r>
      <w:proofErr w:type="gramEnd"/>
      <w:r w:rsidRPr="009C73E9">
        <w:rPr>
          <w:rFonts w:ascii="Calibri" w:hAnsi="Calibri" w:cs="Calibri"/>
          <w:color w:val="000000"/>
          <w:sz w:val="22"/>
          <w:szCs w:val="22"/>
        </w:rPr>
        <w:t xml:space="preserve"> meziročním nárůstu v minulém roce. V letošním roce bylo okolo 73 % objemu nových úvěrů určeno ke koupi a 15 % na výstavbu, zatímco </w:t>
      </w:r>
      <w:r>
        <w:rPr>
          <w:rFonts w:ascii="Calibri" w:hAnsi="Calibri" w:cs="Calibri"/>
          <w:color w:val="000000"/>
          <w:sz w:val="22"/>
          <w:szCs w:val="22"/>
        </w:rPr>
        <w:t>podíl kategorie ostatní, kam v některých případech spadají i tzv. hypotéky bez nemovitostí, stoupl na 12 %.</w:t>
      </w:r>
    </w:p>
    <w:p w14:paraId="1EC567EC" w14:textId="77777777" w:rsidR="00142116" w:rsidRPr="00142116" w:rsidRDefault="00142116" w:rsidP="00142116">
      <w:pPr>
        <w:overflowPunct/>
        <w:autoSpaceDE/>
        <w:autoSpaceDN/>
        <w:adjustRightInd/>
        <w:textAlignment w:val="auto"/>
        <w:rPr>
          <w:rFonts w:ascii="Calibri" w:hAnsi="Calibri" w:cs="Calibri"/>
          <w:color w:val="000000"/>
          <w:sz w:val="22"/>
          <w:szCs w:val="22"/>
        </w:rPr>
      </w:pPr>
    </w:p>
    <w:p w14:paraId="1B55046F" w14:textId="4310F8B5" w:rsidR="009C73E9" w:rsidRPr="009C73E9" w:rsidRDefault="009C73E9" w:rsidP="009C73E9">
      <w:pPr>
        <w:overflowPunct/>
        <w:autoSpaceDE/>
        <w:autoSpaceDN/>
        <w:adjustRightInd/>
        <w:textAlignment w:val="auto"/>
        <w:rPr>
          <w:rFonts w:ascii="Calibri" w:hAnsi="Calibri" w:cs="Calibri"/>
          <w:color w:val="000000"/>
          <w:sz w:val="22"/>
          <w:szCs w:val="22"/>
        </w:rPr>
      </w:pPr>
      <w:r w:rsidRPr="009C73E9">
        <w:rPr>
          <w:rFonts w:ascii="Calibri" w:hAnsi="Calibri" w:cs="Calibri"/>
          <w:b/>
          <w:bCs/>
          <w:color w:val="000000"/>
          <w:sz w:val="22"/>
          <w:szCs w:val="22"/>
        </w:rPr>
        <w:t>Počet nových hypoték v dubnu narostl o 8 % meziměsíčně na 9 049 kusů, což je o 41 % více než před rokem.</w:t>
      </w:r>
      <w:r w:rsidRPr="009C73E9">
        <w:rPr>
          <w:rFonts w:ascii="Calibri" w:hAnsi="Calibri" w:cs="Calibri"/>
          <w:color w:val="000000"/>
          <w:sz w:val="22"/>
          <w:szCs w:val="22"/>
        </w:rPr>
        <w:t xml:space="preserve"> Odhadujeme, že po sezónním očištění se jejich počet pohybuje okolo 8 533, přibližně 15 % nad průměrným počtem (7 431) v předchozích třech měsících. Od počátku roku dosáhl počet nových hypoték 29,9 tisíc</w:t>
      </w:r>
      <w:r w:rsidR="000B7D19">
        <w:rPr>
          <w:rFonts w:ascii="Calibri" w:hAnsi="Calibri" w:cs="Calibri"/>
          <w:color w:val="000000"/>
          <w:sz w:val="22"/>
          <w:szCs w:val="22"/>
        </w:rPr>
        <w:t>e</w:t>
      </w:r>
      <w:r w:rsidRPr="009C73E9">
        <w:rPr>
          <w:rFonts w:ascii="Calibri" w:hAnsi="Calibri" w:cs="Calibri"/>
          <w:color w:val="000000"/>
          <w:sz w:val="22"/>
          <w:szCs w:val="22"/>
        </w:rPr>
        <w:t xml:space="preserve"> kusů (+28,5 % meziročně). Dynamika počtu nových hypoték z posledních tří měsíců, tedy za únor až duben implikuje jejich letošní nárůst na celkový počet okolo 92,7 tisíc, což by</w:t>
      </w:r>
      <w:r w:rsidR="000B7D19">
        <w:rPr>
          <w:rFonts w:ascii="Calibri" w:hAnsi="Calibri" w:cs="Calibri"/>
          <w:color w:val="000000"/>
          <w:sz w:val="22"/>
          <w:szCs w:val="22"/>
        </w:rPr>
        <w:t>lo</w:t>
      </w:r>
      <w:r w:rsidRPr="009C73E9">
        <w:rPr>
          <w:rFonts w:ascii="Calibri" w:hAnsi="Calibri" w:cs="Calibri"/>
          <w:color w:val="000000"/>
          <w:sz w:val="22"/>
          <w:szCs w:val="22"/>
        </w:rPr>
        <w:t xml:space="preserve"> </w:t>
      </w:r>
      <w:r>
        <w:rPr>
          <w:rFonts w:ascii="Calibri" w:hAnsi="Calibri" w:cs="Calibri"/>
          <w:color w:val="000000"/>
          <w:sz w:val="22"/>
          <w:szCs w:val="22"/>
        </w:rPr>
        <w:t xml:space="preserve">nedaleko </w:t>
      </w:r>
      <w:r w:rsidRPr="009C73E9">
        <w:rPr>
          <w:rFonts w:ascii="Calibri" w:hAnsi="Calibri" w:cs="Calibri"/>
          <w:color w:val="000000"/>
          <w:sz w:val="22"/>
          <w:szCs w:val="22"/>
        </w:rPr>
        <w:t>průměrný</w:t>
      </w:r>
      <w:r>
        <w:rPr>
          <w:rFonts w:ascii="Calibri" w:hAnsi="Calibri" w:cs="Calibri"/>
          <w:color w:val="000000"/>
          <w:sz w:val="22"/>
          <w:szCs w:val="22"/>
        </w:rPr>
        <w:t>ch</w:t>
      </w:r>
      <w:r w:rsidRPr="009C73E9">
        <w:rPr>
          <w:rFonts w:ascii="Calibri" w:hAnsi="Calibri" w:cs="Calibri"/>
          <w:color w:val="000000"/>
          <w:sz w:val="22"/>
          <w:szCs w:val="22"/>
        </w:rPr>
        <w:t xml:space="preserve"> počt</w:t>
      </w:r>
      <w:r>
        <w:rPr>
          <w:rFonts w:ascii="Calibri" w:hAnsi="Calibri" w:cs="Calibri"/>
          <w:color w:val="000000"/>
          <w:sz w:val="22"/>
          <w:szCs w:val="22"/>
        </w:rPr>
        <w:t>ů</w:t>
      </w:r>
      <w:r w:rsidRPr="009C73E9">
        <w:rPr>
          <w:rFonts w:ascii="Calibri" w:hAnsi="Calibri" w:cs="Calibri"/>
          <w:color w:val="000000"/>
          <w:sz w:val="22"/>
          <w:szCs w:val="22"/>
        </w:rPr>
        <w:t xml:space="preserve"> okolo 95 tisíc z let 2016 až 2018</w:t>
      </w:r>
      <w:r>
        <w:rPr>
          <w:rFonts w:ascii="Calibri" w:hAnsi="Calibri" w:cs="Calibri"/>
          <w:color w:val="000000"/>
          <w:sz w:val="22"/>
          <w:szCs w:val="22"/>
        </w:rPr>
        <w:t>, ale stále hluboko</w:t>
      </w:r>
      <w:r w:rsidRPr="009C73E9">
        <w:rPr>
          <w:rFonts w:ascii="Calibri" w:hAnsi="Calibri" w:cs="Calibri"/>
          <w:color w:val="000000"/>
          <w:sz w:val="22"/>
          <w:szCs w:val="22"/>
        </w:rPr>
        <w:t xml:space="preserve"> pod 114 tisíci z roku 2021. </w:t>
      </w:r>
      <w:r>
        <w:rPr>
          <w:rFonts w:ascii="Calibri" w:hAnsi="Calibri" w:cs="Calibri"/>
          <w:color w:val="000000"/>
          <w:sz w:val="22"/>
          <w:szCs w:val="22"/>
        </w:rPr>
        <w:t xml:space="preserve">Ale po </w:t>
      </w:r>
      <w:hyperlink r:id="rId13" w:history="1">
        <w:r w:rsidRPr="00990104">
          <w:rPr>
            <w:rStyle w:val="Hypertextovodkaz"/>
            <w:rFonts w:ascii="Calibri" w:hAnsi="Calibri" w:cs="Calibri"/>
            <w:sz w:val="22"/>
            <w:szCs w:val="22"/>
          </w:rPr>
          <w:t>dubnovém zpřísnění podmínek ČNB</w:t>
        </w:r>
      </w:hyperlink>
      <w:r>
        <w:rPr>
          <w:rFonts w:ascii="Calibri" w:hAnsi="Calibri" w:cs="Calibri"/>
          <w:color w:val="000000"/>
          <w:sz w:val="22"/>
          <w:szCs w:val="22"/>
        </w:rPr>
        <w:t xml:space="preserve"> lze očekávat menší počty nových hypoték</w:t>
      </w:r>
      <w:r w:rsidR="00DA2CF3">
        <w:rPr>
          <w:rFonts w:ascii="Calibri" w:hAnsi="Calibri" w:cs="Calibri"/>
          <w:color w:val="000000"/>
          <w:sz w:val="22"/>
          <w:szCs w:val="22"/>
        </w:rPr>
        <w:t xml:space="preserve">. Ty by pak </w:t>
      </w:r>
      <w:r>
        <w:rPr>
          <w:rFonts w:ascii="Calibri" w:hAnsi="Calibri" w:cs="Calibri"/>
          <w:color w:val="000000"/>
          <w:sz w:val="22"/>
          <w:szCs w:val="22"/>
        </w:rPr>
        <w:t xml:space="preserve">při </w:t>
      </w:r>
      <w:proofErr w:type="gramStart"/>
      <w:r>
        <w:rPr>
          <w:rFonts w:ascii="Calibri" w:hAnsi="Calibri" w:cs="Calibri"/>
          <w:color w:val="000000"/>
          <w:sz w:val="22"/>
          <w:szCs w:val="22"/>
        </w:rPr>
        <w:t>7%</w:t>
      </w:r>
      <w:proofErr w:type="gramEnd"/>
      <w:r>
        <w:rPr>
          <w:rFonts w:ascii="Calibri" w:hAnsi="Calibri" w:cs="Calibri"/>
          <w:color w:val="000000"/>
          <w:sz w:val="22"/>
          <w:szCs w:val="22"/>
        </w:rPr>
        <w:t xml:space="preserve"> </w:t>
      </w:r>
      <w:r w:rsidR="00DA2CF3">
        <w:rPr>
          <w:rFonts w:ascii="Calibri" w:hAnsi="Calibri" w:cs="Calibri"/>
          <w:color w:val="000000"/>
          <w:sz w:val="22"/>
          <w:szCs w:val="22"/>
        </w:rPr>
        <w:t xml:space="preserve">korekci uzavřely </w:t>
      </w:r>
      <w:r>
        <w:rPr>
          <w:rFonts w:ascii="Calibri" w:hAnsi="Calibri" w:cs="Calibri"/>
          <w:color w:val="000000"/>
          <w:sz w:val="22"/>
          <w:szCs w:val="22"/>
        </w:rPr>
        <w:t>letošní rok okolo 79 tisíc, c</w:t>
      </w:r>
      <w:r w:rsidRPr="00990104">
        <w:rPr>
          <w:rFonts w:ascii="Calibri" w:hAnsi="Calibri" w:cs="Calibri"/>
          <w:color w:val="000000"/>
          <w:sz w:val="22"/>
          <w:szCs w:val="22"/>
        </w:rPr>
        <w:t xml:space="preserve">ož by bylo </w:t>
      </w:r>
      <w:r>
        <w:rPr>
          <w:rFonts w:ascii="Calibri" w:hAnsi="Calibri" w:cs="Calibri"/>
          <w:color w:val="000000"/>
          <w:sz w:val="22"/>
          <w:szCs w:val="22"/>
        </w:rPr>
        <w:t xml:space="preserve">o </w:t>
      </w:r>
      <w:r w:rsidR="00DA2CF3">
        <w:rPr>
          <w:rFonts w:ascii="Calibri" w:hAnsi="Calibri" w:cs="Calibri"/>
          <w:color w:val="000000"/>
          <w:sz w:val="22"/>
          <w:szCs w:val="22"/>
        </w:rPr>
        <w:t xml:space="preserve">3,5 </w:t>
      </w:r>
      <w:r w:rsidRPr="00990104">
        <w:rPr>
          <w:rFonts w:ascii="Calibri" w:hAnsi="Calibri" w:cs="Calibri"/>
          <w:color w:val="000000"/>
          <w:sz w:val="22"/>
          <w:szCs w:val="22"/>
        </w:rPr>
        <w:t>% více než v loňském roce</w:t>
      </w:r>
      <w:r>
        <w:rPr>
          <w:rFonts w:ascii="Calibri" w:hAnsi="Calibri" w:cs="Calibri"/>
          <w:color w:val="000000"/>
          <w:sz w:val="22"/>
          <w:szCs w:val="22"/>
        </w:rPr>
        <w:t xml:space="preserve">. </w:t>
      </w:r>
    </w:p>
    <w:p w14:paraId="77B69E1F" w14:textId="77777777" w:rsidR="00795550" w:rsidRDefault="00795550" w:rsidP="002F416F">
      <w:pPr>
        <w:overflowPunct/>
        <w:autoSpaceDE/>
        <w:autoSpaceDN/>
        <w:adjustRightInd/>
        <w:textAlignment w:val="auto"/>
        <w:rPr>
          <w:rFonts w:ascii="Calibri" w:hAnsi="Calibri" w:cs="Calibri"/>
          <w:color w:val="000000"/>
          <w:sz w:val="22"/>
          <w:szCs w:val="22"/>
        </w:rPr>
      </w:pPr>
    </w:p>
    <w:p w14:paraId="56320F93" w14:textId="7D22127D" w:rsidR="00795550" w:rsidRPr="004E3F0C" w:rsidRDefault="00795550" w:rsidP="00795550">
      <w:pPr>
        <w:pBdr>
          <w:top w:val="single" w:sz="4" w:space="1" w:color="auto"/>
          <w:left w:val="single" w:sz="4" w:space="0" w:color="auto"/>
          <w:bottom w:val="single" w:sz="4" w:space="1" w:color="auto"/>
          <w:right w:val="single" w:sz="4" w:space="4" w:color="auto"/>
          <w:between w:val="single" w:sz="4" w:space="1" w:color="auto"/>
          <w:bar w:val="single" w:sz="4" w:color="auto"/>
        </w:pBdr>
        <w:rPr>
          <w:b/>
          <w:bCs/>
          <w:color w:val="000000" w:themeColor="text1"/>
        </w:rPr>
      </w:pPr>
      <w:r w:rsidRPr="006337E7">
        <w:rPr>
          <w:rFonts w:ascii="Calibri" w:hAnsi="Calibri" w:cs="Calibri"/>
          <w:i/>
          <w:iCs/>
          <w:color w:val="000000" w:themeColor="text1"/>
          <w:sz w:val="22"/>
          <w:szCs w:val="22"/>
        </w:rPr>
        <w:t>„</w:t>
      </w:r>
      <w:r w:rsidR="00E2267B" w:rsidRPr="00E2267B">
        <w:rPr>
          <w:rFonts w:ascii="Calibri" w:hAnsi="Calibri" w:cs="Calibri"/>
          <w:i/>
          <w:iCs/>
          <w:color w:val="000000" w:themeColor="text1"/>
          <w:sz w:val="22"/>
          <w:szCs w:val="22"/>
        </w:rPr>
        <w:t xml:space="preserve">Hlavní událostí uplynulých dvou měsíců je nejistota ohledně vývoje cen zdrojů, která ovlivňuje sazby hypoték. Cena zdrojů výrazně vzrostla kvůli geopolitickým rizikům od března 2026. Růst úrokových sazeb je nepříjemným překvapením pro klienty, kterým bude v roce 2026 končit platnost fixace úrokové sazby. Sazby </w:t>
      </w:r>
      <w:r w:rsidR="00E2267B">
        <w:rPr>
          <w:rFonts w:ascii="Calibri" w:hAnsi="Calibri" w:cs="Calibri"/>
          <w:i/>
          <w:iCs/>
          <w:color w:val="000000" w:themeColor="text1"/>
          <w:sz w:val="22"/>
          <w:szCs w:val="22"/>
        </w:rPr>
        <w:t xml:space="preserve">se </w:t>
      </w:r>
      <w:r w:rsidR="00E2267B" w:rsidRPr="00E2267B">
        <w:rPr>
          <w:rFonts w:ascii="Calibri" w:hAnsi="Calibri" w:cs="Calibri"/>
          <w:i/>
          <w:iCs/>
          <w:color w:val="000000" w:themeColor="text1"/>
          <w:sz w:val="22"/>
          <w:szCs w:val="22"/>
        </w:rPr>
        <w:t>před 5 lety totiž pohyboval</w:t>
      </w:r>
      <w:r w:rsidR="00E2267B">
        <w:rPr>
          <w:rFonts w:ascii="Calibri" w:hAnsi="Calibri" w:cs="Calibri"/>
          <w:i/>
          <w:iCs/>
          <w:color w:val="000000" w:themeColor="text1"/>
          <w:sz w:val="22"/>
          <w:szCs w:val="22"/>
        </w:rPr>
        <w:t>y</w:t>
      </w:r>
      <w:r w:rsidR="00E2267B" w:rsidRPr="00E2267B">
        <w:rPr>
          <w:rFonts w:ascii="Calibri" w:hAnsi="Calibri" w:cs="Calibri"/>
          <w:i/>
          <w:iCs/>
          <w:color w:val="000000" w:themeColor="text1"/>
          <w:sz w:val="22"/>
          <w:szCs w:val="22"/>
        </w:rPr>
        <w:t xml:space="preserve"> okolo 2,5 % zatímco nyní atakují hranici </w:t>
      </w:r>
      <w:proofErr w:type="gramStart"/>
      <w:r w:rsidR="00E2267B" w:rsidRPr="00E2267B">
        <w:rPr>
          <w:rFonts w:ascii="Calibri" w:hAnsi="Calibri" w:cs="Calibri"/>
          <w:i/>
          <w:iCs/>
          <w:color w:val="000000" w:themeColor="text1"/>
          <w:sz w:val="22"/>
          <w:szCs w:val="22"/>
        </w:rPr>
        <w:t>5%</w:t>
      </w:r>
      <w:proofErr w:type="gramEnd"/>
      <w:r w:rsidRPr="006337E7">
        <w:rPr>
          <w:rFonts w:ascii="Calibri" w:hAnsi="Calibri" w:cs="Calibri"/>
          <w:i/>
          <w:iCs/>
          <w:color w:val="000000" w:themeColor="text1"/>
          <w:sz w:val="22"/>
          <w:szCs w:val="22"/>
        </w:rPr>
        <w:t xml:space="preserve">,“ </w:t>
      </w:r>
      <w:r>
        <w:rPr>
          <w:rFonts w:ascii="Calibri" w:hAnsi="Calibri" w:cs="Calibri"/>
          <w:color w:val="000000" w:themeColor="text1"/>
          <w:sz w:val="22"/>
          <w:szCs w:val="22"/>
        </w:rPr>
        <w:t>doplňuje</w:t>
      </w:r>
      <w:r w:rsidRPr="006337E7">
        <w:rPr>
          <w:rFonts w:ascii="Calibri" w:hAnsi="Calibri" w:cs="Calibri"/>
          <w:color w:val="000000" w:themeColor="text1"/>
          <w:sz w:val="22"/>
          <w:szCs w:val="22"/>
        </w:rPr>
        <w:t xml:space="preserve"> </w:t>
      </w:r>
      <w:r w:rsidRPr="00142116">
        <w:rPr>
          <w:rFonts w:ascii="Calibri" w:hAnsi="Calibri" w:cs="Calibri"/>
          <w:b/>
          <w:bCs/>
          <w:color w:val="000000" w:themeColor="text1"/>
          <w:sz w:val="22"/>
          <w:szCs w:val="22"/>
        </w:rPr>
        <w:t>Mar</w:t>
      </w:r>
      <w:r w:rsidR="00E2267B">
        <w:rPr>
          <w:rFonts w:ascii="Calibri" w:hAnsi="Calibri" w:cs="Calibri"/>
          <w:b/>
          <w:bCs/>
          <w:color w:val="000000" w:themeColor="text1"/>
          <w:sz w:val="22"/>
          <w:szCs w:val="22"/>
        </w:rPr>
        <w:t>ian Holub</w:t>
      </w:r>
      <w:r w:rsidRPr="007D77FB">
        <w:rPr>
          <w:rFonts w:ascii="Calibri" w:hAnsi="Calibri" w:cs="Calibri"/>
          <w:b/>
          <w:bCs/>
          <w:color w:val="000000" w:themeColor="text1"/>
          <w:sz w:val="22"/>
          <w:szCs w:val="22"/>
        </w:rPr>
        <w:t xml:space="preserve">, </w:t>
      </w:r>
      <w:r w:rsidR="00E2267B" w:rsidRPr="00E2267B">
        <w:rPr>
          <w:rFonts w:ascii="Calibri" w:hAnsi="Calibri" w:cs="Calibri"/>
          <w:b/>
          <w:bCs/>
          <w:color w:val="000000" w:themeColor="text1"/>
          <w:sz w:val="22"/>
          <w:szCs w:val="22"/>
        </w:rPr>
        <w:t>expert na financování bydlení České spořitelny</w:t>
      </w:r>
      <w:r>
        <w:rPr>
          <w:rFonts w:ascii="Calibri" w:hAnsi="Calibri" w:cs="Calibri"/>
          <w:b/>
          <w:bCs/>
          <w:color w:val="000000" w:themeColor="text1"/>
          <w:sz w:val="22"/>
          <w:szCs w:val="22"/>
        </w:rPr>
        <w:t xml:space="preserve">. </w:t>
      </w:r>
    </w:p>
    <w:p w14:paraId="78E132BE" w14:textId="5AD7C097" w:rsidR="00142116" w:rsidRPr="00142116" w:rsidRDefault="00142116" w:rsidP="00142116">
      <w:pPr>
        <w:overflowPunct/>
        <w:autoSpaceDE/>
        <w:autoSpaceDN/>
        <w:adjustRightInd/>
        <w:textAlignment w:val="auto"/>
        <w:rPr>
          <w:rFonts w:ascii="Calibri" w:hAnsi="Calibri" w:cs="Calibri"/>
          <w:b/>
          <w:bCs/>
          <w:color w:val="000000"/>
          <w:sz w:val="22"/>
          <w:szCs w:val="22"/>
        </w:rPr>
      </w:pPr>
    </w:p>
    <w:p w14:paraId="4296189D" w14:textId="77777777" w:rsidR="00F0147C" w:rsidRDefault="00F0147C" w:rsidP="001B2E5E">
      <w:pPr>
        <w:rPr>
          <w:rFonts w:ascii="Calibri" w:hAnsi="Calibri" w:cs="Calibri"/>
          <w:b/>
          <w:color w:val="13576B"/>
          <w:sz w:val="23"/>
          <w:szCs w:val="23"/>
        </w:rPr>
        <w:sectPr w:rsidR="00F0147C" w:rsidSect="00A06A94">
          <w:headerReference w:type="default" r:id="rId14"/>
          <w:footerReference w:type="default" r:id="rId15"/>
          <w:pgSz w:w="11906" w:h="16838"/>
          <w:pgMar w:top="2552" w:right="849" w:bottom="1560" w:left="851" w:header="709" w:footer="283" w:gutter="0"/>
          <w:cols w:space="708"/>
          <w:docGrid w:linePitch="360"/>
        </w:sectPr>
      </w:pPr>
    </w:p>
    <w:p w14:paraId="4D78CAE8" w14:textId="00468C0F" w:rsidR="00795550" w:rsidRDefault="00616F34" w:rsidP="00F0147C">
      <w:pPr>
        <w:rPr>
          <w:rFonts w:ascii="Calibri" w:hAnsi="Calibri" w:cs="Calibri"/>
          <w:bCs/>
          <w:i/>
          <w:iCs/>
          <w:color w:val="13576B"/>
          <w:sz w:val="23"/>
          <w:szCs w:val="23"/>
        </w:rPr>
      </w:pPr>
      <w:r w:rsidRPr="00F463BF">
        <w:rPr>
          <w:rFonts w:ascii="Calibri" w:hAnsi="Calibri" w:cs="Calibri"/>
          <w:b/>
          <w:color w:val="13576B"/>
          <w:sz w:val="23"/>
          <w:szCs w:val="23"/>
        </w:rPr>
        <w:t xml:space="preserve">Graf </w:t>
      </w:r>
      <w:r w:rsidR="001B2E5E" w:rsidRPr="00F463BF">
        <w:rPr>
          <w:rFonts w:ascii="Calibri" w:hAnsi="Calibri" w:cs="Calibri"/>
          <w:b/>
          <w:color w:val="13576B"/>
          <w:sz w:val="23"/>
          <w:szCs w:val="23"/>
        </w:rPr>
        <w:t xml:space="preserve">č. </w:t>
      </w:r>
      <w:r w:rsidR="00E27948" w:rsidRPr="00F463BF">
        <w:rPr>
          <w:rFonts w:ascii="Calibri" w:hAnsi="Calibri" w:cs="Calibri"/>
          <w:b/>
          <w:color w:val="13576B"/>
          <w:sz w:val="23"/>
          <w:szCs w:val="23"/>
        </w:rPr>
        <w:t>2</w:t>
      </w:r>
      <w:r w:rsidR="001B2E5E" w:rsidRPr="00F463BF">
        <w:rPr>
          <w:rFonts w:ascii="Calibri" w:hAnsi="Calibri" w:cs="Calibri"/>
          <w:b/>
          <w:color w:val="13576B"/>
          <w:sz w:val="23"/>
          <w:szCs w:val="23"/>
        </w:rPr>
        <w:t>: Nov</w:t>
      </w:r>
      <w:r w:rsidR="00D66E1F">
        <w:rPr>
          <w:rFonts w:ascii="Calibri" w:hAnsi="Calibri" w:cs="Calibri"/>
          <w:b/>
          <w:color w:val="13576B"/>
          <w:sz w:val="23"/>
          <w:szCs w:val="23"/>
        </w:rPr>
        <w:t>ě posk</w:t>
      </w:r>
      <w:r w:rsidR="000B7D19">
        <w:rPr>
          <w:rFonts w:ascii="Calibri" w:hAnsi="Calibri" w:cs="Calibri"/>
          <w:b/>
          <w:color w:val="13576B"/>
          <w:sz w:val="23"/>
          <w:szCs w:val="23"/>
        </w:rPr>
        <w:t>y</w:t>
      </w:r>
      <w:r w:rsidR="00D66E1F">
        <w:rPr>
          <w:rFonts w:ascii="Calibri" w:hAnsi="Calibri" w:cs="Calibri"/>
          <w:b/>
          <w:color w:val="13576B"/>
          <w:sz w:val="23"/>
          <w:szCs w:val="23"/>
        </w:rPr>
        <w:t xml:space="preserve">tnuté </w:t>
      </w:r>
      <w:r w:rsidR="001B2E5E" w:rsidRPr="00F463BF">
        <w:rPr>
          <w:rFonts w:ascii="Calibri" w:hAnsi="Calibri" w:cs="Calibri"/>
          <w:b/>
          <w:color w:val="13576B"/>
          <w:sz w:val="23"/>
          <w:szCs w:val="23"/>
        </w:rPr>
        <w:t>hypotéky bez refinancování</w:t>
      </w:r>
      <w:r w:rsidR="00BC63D5" w:rsidRPr="00F463BF">
        <w:rPr>
          <w:rFonts w:ascii="Calibri" w:hAnsi="Calibri" w:cs="Calibri"/>
          <w:b/>
          <w:color w:val="13576B"/>
          <w:sz w:val="23"/>
          <w:szCs w:val="23"/>
        </w:rPr>
        <w:br/>
      </w:r>
      <w:r w:rsidR="00436085">
        <w:rPr>
          <w:rFonts w:ascii="Calibri" w:hAnsi="Calibri" w:cs="Calibri"/>
          <w:bCs/>
          <w:i/>
          <w:iCs/>
          <w:color w:val="13576B"/>
          <w:sz w:val="23"/>
          <w:szCs w:val="23"/>
        </w:rPr>
        <w:t xml:space="preserve">Počátek letošního roku ukázal </w:t>
      </w:r>
      <w:r w:rsidR="00686618">
        <w:rPr>
          <w:rFonts w:ascii="Calibri" w:hAnsi="Calibri" w:cs="Calibri"/>
          <w:bCs/>
          <w:i/>
          <w:iCs/>
          <w:color w:val="13576B"/>
          <w:sz w:val="23"/>
          <w:szCs w:val="23"/>
        </w:rPr>
        <w:t xml:space="preserve">silné nadprůměrné objemy, </w:t>
      </w:r>
      <w:r w:rsidR="00436085">
        <w:rPr>
          <w:rFonts w:ascii="Calibri" w:hAnsi="Calibri" w:cs="Calibri"/>
          <w:bCs/>
          <w:i/>
          <w:iCs/>
          <w:color w:val="13576B"/>
          <w:sz w:val="23"/>
          <w:szCs w:val="23"/>
        </w:rPr>
        <w:t>a to i v procentech výkonu ekonomiky.</w:t>
      </w:r>
      <w:r w:rsidR="00F0147C" w:rsidRPr="00F463BF">
        <w:rPr>
          <w:rFonts w:ascii="Calibri" w:hAnsi="Calibri" w:cs="Calibri"/>
          <w:bCs/>
          <w:i/>
          <w:iCs/>
          <w:color w:val="13576B"/>
          <w:sz w:val="23"/>
          <w:szCs w:val="23"/>
        </w:rPr>
        <w:t xml:space="preserve"> </w:t>
      </w:r>
    </w:p>
    <w:p w14:paraId="593F8D50" w14:textId="44DC5604" w:rsidR="001B2E5E" w:rsidRDefault="001B2E5E" w:rsidP="00F0147C">
      <w:pPr>
        <w:rPr>
          <w:rFonts w:ascii="Calibri" w:hAnsi="Calibri" w:cs="Calibri"/>
          <w:b/>
          <w:color w:val="13576B"/>
          <w:sz w:val="23"/>
          <w:szCs w:val="23"/>
        </w:rPr>
      </w:pPr>
      <w:r w:rsidRPr="00C42E87">
        <w:rPr>
          <w:rFonts w:ascii="Calibri" w:hAnsi="Calibri" w:cs="Calibri"/>
          <w:b/>
          <w:color w:val="13576B"/>
          <w:sz w:val="23"/>
          <w:szCs w:val="23"/>
        </w:rPr>
        <w:t xml:space="preserve">Graf č. </w:t>
      </w:r>
      <w:r w:rsidR="00E27948">
        <w:rPr>
          <w:rFonts w:ascii="Calibri" w:hAnsi="Calibri" w:cs="Calibri"/>
          <w:b/>
          <w:color w:val="13576B"/>
          <w:sz w:val="23"/>
          <w:szCs w:val="23"/>
        </w:rPr>
        <w:t>3:</w:t>
      </w:r>
      <w:r w:rsidRPr="00C42E87">
        <w:rPr>
          <w:rFonts w:ascii="Calibri" w:hAnsi="Calibri" w:cs="Calibri"/>
          <w:b/>
          <w:color w:val="13576B"/>
          <w:sz w:val="23"/>
          <w:szCs w:val="23"/>
        </w:rPr>
        <w:t xml:space="preserve"> Průměrná výše hypotéky podle účelu</w:t>
      </w:r>
      <w:r>
        <w:rPr>
          <w:rFonts w:ascii="Calibri" w:hAnsi="Calibri" w:cs="Calibri"/>
          <w:b/>
          <w:color w:val="13576B"/>
          <w:sz w:val="23"/>
          <w:szCs w:val="23"/>
        </w:rPr>
        <w:t xml:space="preserve"> </w:t>
      </w:r>
    </w:p>
    <w:p w14:paraId="133B2338" w14:textId="51A9855F" w:rsidR="001B2E5E" w:rsidRDefault="00795550" w:rsidP="00795550">
      <w:pPr>
        <w:spacing w:after="120"/>
        <w:rPr>
          <w:rFonts w:ascii="Calibri" w:hAnsi="Calibri" w:cs="Calibri"/>
          <w:color w:val="000000"/>
          <w:sz w:val="22"/>
          <w:szCs w:val="22"/>
        </w:rPr>
        <w:sectPr w:rsidR="001B2E5E" w:rsidSect="001B2E5E">
          <w:type w:val="continuous"/>
          <w:pgSz w:w="11906" w:h="16838"/>
          <w:pgMar w:top="2552" w:right="849" w:bottom="1560" w:left="851" w:header="709" w:footer="283" w:gutter="0"/>
          <w:cols w:num="2" w:space="708"/>
          <w:docGrid w:linePitch="360"/>
        </w:sectPr>
      </w:pPr>
      <w:r>
        <w:rPr>
          <w:rFonts w:ascii="Calibri" w:hAnsi="Calibri" w:cs="Calibri"/>
          <w:bCs/>
          <w:i/>
          <w:iCs/>
          <w:color w:val="13576B"/>
          <w:sz w:val="23"/>
          <w:szCs w:val="23"/>
        </w:rPr>
        <w:t>V</w:t>
      </w:r>
      <w:r w:rsidRPr="00795550">
        <w:rPr>
          <w:rFonts w:ascii="Calibri" w:hAnsi="Calibri" w:cs="Calibri"/>
          <w:bCs/>
          <w:i/>
          <w:iCs/>
          <w:color w:val="13576B"/>
          <w:sz w:val="23"/>
          <w:szCs w:val="23"/>
        </w:rPr>
        <w:t> dubnu stoupla</w:t>
      </w:r>
      <w:r>
        <w:rPr>
          <w:rFonts w:ascii="Calibri" w:hAnsi="Calibri" w:cs="Calibri"/>
          <w:bCs/>
          <w:i/>
          <w:iCs/>
          <w:color w:val="13576B"/>
          <w:sz w:val="23"/>
          <w:szCs w:val="23"/>
        </w:rPr>
        <w:t xml:space="preserve"> o 2 %</w:t>
      </w:r>
      <w:r w:rsidRPr="00795550">
        <w:rPr>
          <w:rFonts w:ascii="Calibri" w:hAnsi="Calibri" w:cs="Calibri"/>
          <w:bCs/>
          <w:i/>
          <w:iCs/>
          <w:color w:val="13576B"/>
          <w:sz w:val="23"/>
          <w:szCs w:val="23"/>
        </w:rPr>
        <w:t xml:space="preserve"> na 4,89 mil. Kč, </w:t>
      </w:r>
      <w:r>
        <w:rPr>
          <w:rFonts w:ascii="Calibri" w:hAnsi="Calibri" w:cs="Calibri"/>
          <w:bCs/>
          <w:i/>
          <w:iCs/>
          <w:color w:val="13576B"/>
          <w:sz w:val="23"/>
          <w:szCs w:val="23"/>
        </w:rPr>
        <w:t>což znamená 20% meziroční nárůst o 815 tisíc korun</w:t>
      </w:r>
    </w:p>
    <w:p w14:paraId="64EBBCB8" w14:textId="440329EF" w:rsidR="00686618" w:rsidRDefault="00795550" w:rsidP="00606031">
      <w:pPr>
        <w:rPr>
          <w:rFonts w:ascii="Calibri Light" w:hAnsi="Calibri Light" w:cs="Calibri Light"/>
          <w:noProof/>
          <w:color w:val="13576B"/>
          <w:sz w:val="20"/>
        </w:rPr>
      </w:pPr>
      <w:r>
        <w:rPr>
          <w:rFonts w:ascii="Calibri Light" w:hAnsi="Calibri Light" w:cs="Calibri Light"/>
          <w:noProof/>
          <w:color w:val="13576B"/>
          <w:sz w:val="20"/>
        </w:rPr>
        <w:lastRenderedPageBreak/>
        <w:drawing>
          <wp:inline distT="0" distB="0" distL="0" distR="0" wp14:anchorId="56462C74" wp14:editId="6F6E6E2B">
            <wp:extent cx="3019425" cy="2140458"/>
            <wp:effectExtent l="0" t="0" r="0" b="0"/>
            <wp:docPr id="19452032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2781" cy="2149926"/>
                    </a:xfrm>
                    <a:prstGeom prst="rect">
                      <a:avLst/>
                    </a:prstGeom>
                    <a:noFill/>
                  </pic:spPr>
                </pic:pic>
              </a:graphicData>
            </a:graphic>
          </wp:inline>
        </w:drawing>
      </w:r>
    </w:p>
    <w:p w14:paraId="2A1F1E51" w14:textId="77777777" w:rsidR="00436085" w:rsidRPr="00606031" w:rsidRDefault="00436085" w:rsidP="00436085">
      <w:pPr>
        <w:rPr>
          <w:rFonts w:ascii="Calibri" w:hAnsi="Calibri" w:cs="Calibri"/>
          <w:bCs/>
          <w:i/>
          <w:iCs/>
          <w:color w:val="EE0000"/>
          <w:sz w:val="23"/>
          <w:szCs w:val="23"/>
        </w:rPr>
      </w:pPr>
      <w:r>
        <w:rPr>
          <w:rFonts w:ascii="Calibri Light" w:hAnsi="Calibri Light" w:cs="Calibri Light"/>
          <w:color w:val="13576B"/>
          <w:sz w:val="20"/>
        </w:rPr>
        <w:t>P</w:t>
      </w:r>
      <w:r w:rsidRPr="00277397">
        <w:rPr>
          <w:rFonts w:ascii="Calibri Light" w:hAnsi="Calibri Light" w:cs="Calibri Light"/>
          <w:color w:val="13576B"/>
          <w:sz w:val="20"/>
        </w:rPr>
        <w:t>ramen:</w:t>
      </w:r>
      <w:r w:rsidRPr="00686618">
        <w:rPr>
          <w:rFonts w:ascii="Calibri Light" w:hAnsi="Calibri Light" w:cs="Calibri Light"/>
          <w:color w:val="13576B"/>
          <w:sz w:val="20"/>
        </w:rPr>
        <w:t xml:space="preserve"> Česká bankovní asociace, ČNB, ČSÚ, Flat Zone</w:t>
      </w:r>
      <w:r w:rsidRPr="00277397">
        <w:rPr>
          <w:rFonts w:ascii="Calibri Light" w:hAnsi="Calibri Light" w:cs="Calibri Light"/>
          <w:color w:val="13576B"/>
          <w:sz w:val="20"/>
        </w:rPr>
        <w:t>.</w:t>
      </w:r>
    </w:p>
    <w:p w14:paraId="4DD0766A" w14:textId="7696562C" w:rsidR="00D2301A" w:rsidRPr="00D24B00" w:rsidRDefault="00795550" w:rsidP="004A5428">
      <w:pPr>
        <w:rPr>
          <w:rFonts w:ascii="Calibri" w:hAnsi="Calibri" w:cs="Calibri"/>
          <w:b/>
          <w:bCs/>
          <w:sz w:val="22"/>
          <w:szCs w:val="22"/>
          <w:highlight w:val="yellow"/>
        </w:rPr>
      </w:pPr>
      <w:r>
        <w:rPr>
          <w:rFonts w:ascii="Calibri" w:hAnsi="Calibri" w:cs="Calibri"/>
          <w:b/>
          <w:bCs/>
          <w:noProof/>
          <w:sz w:val="22"/>
          <w:szCs w:val="22"/>
          <w:highlight w:val="yellow"/>
        </w:rPr>
        <w:drawing>
          <wp:inline distT="0" distB="0" distL="0" distR="0" wp14:anchorId="6CF724A4" wp14:editId="77A93776">
            <wp:extent cx="3046773" cy="1949450"/>
            <wp:effectExtent l="0" t="0" r="1270" b="0"/>
            <wp:docPr id="8740634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6135" cy="1955440"/>
                    </a:xfrm>
                    <a:prstGeom prst="rect">
                      <a:avLst/>
                    </a:prstGeom>
                    <a:noFill/>
                  </pic:spPr>
                </pic:pic>
              </a:graphicData>
            </a:graphic>
          </wp:inline>
        </w:drawing>
      </w:r>
    </w:p>
    <w:p w14:paraId="432F9ABC" w14:textId="77777777" w:rsidR="00606031" w:rsidRDefault="004A5428" w:rsidP="004A5428">
      <w:pPr>
        <w:overflowPunct/>
        <w:autoSpaceDE/>
        <w:adjustRightInd/>
        <w:rPr>
          <w:rFonts w:ascii="Calibri Light" w:hAnsi="Calibri Light" w:cs="Calibri Light"/>
          <w:color w:val="13576B"/>
          <w:sz w:val="20"/>
        </w:rPr>
        <w:sectPr w:rsidR="00606031" w:rsidSect="00606031">
          <w:type w:val="continuous"/>
          <w:pgSz w:w="11906" w:h="16838"/>
          <w:pgMar w:top="2552" w:right="849" w:bottom="1560" w:left="851" w:header="709" w:footer="283" w:gutter="0"/>
          <w:cols w:num="2" w:space="708"/>
          <w:docGrid w:linePitch="360"/>
        </w:sect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bookmarkEnd w:id="2"/>
    <w:bookmarkEnd w:id="3"/>
    <w:bookmarkEnd w:id="4"/>
    <w:p w14:paraId="3F4E447D" w14:textId="77777777" w:rsidR="00436085" w:rsidRDefault="00436085" w:rsidP="00436085">
      <w:pPr>
        <w:overflowPunct/>
        <w:autoSpaceDE/>
        <w:autoSpaceDN/>
        <w:adjustRightInd/>
        <w:textAlignment w:val="auto"/>
        <w:rPr>
          <w:rFonts w:ascii="Calibri" w:hAnsi="Calibri" w:cs="Calibri"/>
          <w:b/>
          <w:bCs/>
          <w:color w:val="000000"/>
          <w:sz w:val="22"/>
          <w:szCs w:val="22"/>
        </w:rPr>
      </w:pPr>
    </w:p>
    <w:p w14:paraId="28D7FD2F" w14:textId="4606136A" w:rsidR="00DA2CF3" w:rsidRPr="00DA2CF3" w:rsidRDefault="00DA2CF3" w:rsidP="00DA2CF3">
      <w:pPr>
        <w:overflowPunct/>
        <w:autoSpaceDE/>
        <w:autoSpaceDN/>
        <w:adjustRightInd/>
        <w:textAlignment w:val="auto"/>
        <w:rPr>
          <w:rFonts w:ascii="Calibri" w:hAnsi="Calibri" w:cs="Calibri"/>
          <w:color w:val="000000"/>
          <w:sz w:val="22"/>
          <w:szCs w:val="22"/>
        </w:rPr>
      </w:pPr>
      <w:r>
        <w:rPr>
          <w:rFonts w:ascii="Calibri" w:hAnsi="Calibri" w:cs="Calibri"/>
          <w:b/>
          <w:bCs/>
          <w:color w:val="000000"/>
          <w:sz w:val="22"/>
          <w:szCs w:val="22"/>
        </w:rPr>
        <w:t>Podíl refinancovaných a navýšených úvěrů dále roste navzdory stále silnějším objemům nových hypoték</w:t>
      </w:r>
      <w:r w:rsidRPr="00B12AAF">
        <w:rPr>
          <w:rFonts w:ascii="Calibri" w:hAnsi="Calibri" w:cs="Calibri"/>
          <w:color w:val="000000"/>
          <w:sz w:val="22"/>
          <w:szCs w:val="22"/>
        </w:rPr>
        <w:t>.</w:t>
      </w:r>
      <w:r>
        <w:rPr>
          <w:rFonts w:ascii="Calibri" w:hAnsi="Calibri" w:cs="Calibri"/>
          <w:color w:val="000000"/>
          <w:sz w:val="22"/>
          <w:szCs w:val="22"/>
        </w:rPr>
        <w:t xml:space="preserve"> O</w:t>
      </w:r>
      <w:r w:rsidRPr="00DA2CF3">
        <w:rPr>
          <w:rFonts w:ascii="Calibri" w:hAnsi="Calibri" w:cs="Calibri"/>
          <w:color w:val="000000"/>
          <w:sz w:val="22"/>
          <w:szCs w:val="22"/>
        </w:rPr>
        <w:t xml:space="preserve">bjem refinancovaných a navýšených úvěrů (interně či z jiné instituce) v dubnu stoupl na 17,2 mld. Kč. To je o 143 % více než průměrných 7,1 miliardy refinancovaných v loňském roce a o </w:t>
      </w:r>
      <w:r>
        <w:rPr>
          <w:rFonts w:ascii="Calibri" w:hAnsi="Calibri" w:cs="Calibri"/>
          <w:color w:val="000000"/>
          <w:sz w:val="22"/>
          <w:szCs w:val="22"/>
        </w:rPr>
        <w:t xml:space="preserve">víc než trojnásobek vůči </w:t>
      </w:r>
      <w:r w:rsidRPr="00DA2CF3">
        <w:rPr>
          <w:rFonts w:ascii="Calibri" w:hAnsi="Calibri" w:cs="Calibri"/>
          <w:color w:val="000000"/>
          <w:sz w:val="22"/>
          <w:szCs w:val="22"/>
        </w:rPr>
        <w:t>3,9 miliard</w:t>
      </w:r>
      <w:r>
        <w:rPr>
          <w:rFonts w:ascii="Calibri" w:hAnsi="Calibri" w:cs="Calibri"/>
          <w:color w:val="000000"/>
          <w:sz w:val="22"/>
          <w:szCs w:val="22"/>
        </w:rPr>
        <w:t>ám</w:t>
      </w:r>
      <w:r w:rsidRPr="00DA2CF3">
        <w:rPr>
          <w:rFonts w:ascii="Calibri" w:hAnsi="Calibri" w:cs="Calibri"/>
          <w:color w:val="000000"/>
          <w:sz w:val="22"/>
          <w:szCs w:val="22"/>
        </w:rPr>
        <w:t xml:space="preserve"> refinancovaný</w:t>
      </w:r>
      <w:r>
        <w:rPr>
          <w:rFonts w:ascii="Calibri" w:hAnsi="Calibri" w:cs="Calibri"/>
          <w:color w:val="000000"/>
          <w:sz w:val="22"/>
          <w:szCs w:val="22"/>
        </w:rPr>
        <w:t xml:space="preserve">ch </w:t>
      </w:r>
      <w:r w:rsidRPr="00DA2CF3">
        <w:rPr>
          <w:rFonts w:ascii="Calibri" w:hAnsi="Calibri" w:cs="Calibri"/>
          <w:color w:val="000000"/>
          <w:sz w:val="22"/>
          <w:szCs w:val="22"/>
        </w:rPr>
        <w:t>v roce 2024. Podíl refinancovaných úvěrů na celkovém objemu poskytnutých hypoték pak</w:t>
      </w:r>
      <w:r>
        <w:rPr>
          <w:rFonts w:ascii="Calibri" w:hAnsi="Calibri" w:cs="Calibri"/>
          <w:color w:val="000000"/>
          <w:sz w:val="22"/>
          <w:szCs w:val="22"/>
        </w:rPr>
        <w:t xml:space="preserve"> dále</w:t>
      </w:r>
      <w:r w:rsidRPr="00DA2CF3">
        <w:rPr>
          <w:rFonts w:ascii="Calibri" w:hAnsi="Calibri" w:cs="Calibri"/>
          <w:color w:val="000000"/>
          <w:sz w:val="22"/>
          <w:szCs w:val="22"/>
        </w:rPr>
        <w:t xml:space="preserve"> vzrostl na 28 %, což je nad loňským průměrem 20,7 %</w:t>
      </w:r>
      <w:r>
        <w:rPr>
          <w:rFonts w:ascii="Calibri" w:hAnsi="Calibri" w:cs="Calibri"/>
          <w:color w:val="000000"/>
          <w:sz w:val="22"/>
          <w:szCs w:val="22"/>
        </w:rPr>
        <w:t xml:space="preserve">, ale nachází se nedaleko </w:t>
      </w:r>
      <w:r w:rsidRPr="00DA2CF3">
        <w:rPr>
          <w:rFonts w:ascii="Calibri" w:hAnsi="Calibri" w:cs="Calibri"/>
          <w:color w:val="000000"/>
          <w:sz w:val="22"/>
          <w:szCs w:val="22"/>
        </w:rPr>
        <w:t>29% podíl</w:t>
      </w:r>
      <w:r>
        <w:rPr>
          <w:rFonts w:ascii="Calibri" w:hAnsi="Calibri" w:cs="Calibri"/>
          <w:color w:val="000000"/>
          <w:sz w:val="22"/>
          <w:szCs w:val="22"/>
        </w:rPr>
        <w:t xml:space="preserve">u </w:t>
      </w:r>
      <w:r w:rsidRPr="00DA2CF3">
        <w:rPr>
          <w:rFonts w:ascii="Calibri" w:hAnsi="Calibri" w:cs="Calibri"/>
          <w:color w:val="000000"/>
          <w:sz w:val="22"/>
          <w:szCs w:val="22"/>
        </w:rPr>
        <w:t xml:space="preserve">z let 2020-2021, kdy domácnosti refinancovaly za hypoteční sazbu 2,14 %. V dubnu 2026 se domácnosti refinancovaly za úrokovou sazbu 4,42 %, což je stále o </w:t>
      </w:r>
      <w:proofErr w:type="gramStart"/>
      <w:r w:rsidRPr="00DA2CF3">
        <w:rPr>
          <w:rFonts w:ascii="Calibri" w:hAnsi="Calibri" w:cs="Calibri"/>
          <w:color w:val="000000"/>
          <w:sz w:val="22"/>
          <w:szCs w:val="22"/>
        </w:rPr>
        <w:t>0,16 procentního</w:t>
      </w:r>
      <w:proofErr w:type="gramEnd"/>
      <w:r w:rsidRPr="00DA2CF3">
        <w:rPr>
          <w:rFonts w:ascii="Calibri" w:hAnsi="Calibri" w:cs="Calibri"/>
          <w:color w:val="000000"/>
          <w:sz w:val="22"/>
          <w:szCs w:val="22"/>
        </w:rPr>
        <w:t xml:space="preserve"> bodu méně než 4,58 % před rokem. Vyšší objemy refinancování odrážejí souběh končících delších fixací z období nízkých úrokových sazeb a kratších fixací z nedávného období vyšších úrokových sazeb. Blíže k stoupající vlně refixací viz Fokus ČBA: </w:t>
      </w:r>
      <w:hyperlink r:id="rId18" w:history="1">
        <w:r w:rsidRPr="00DA2CF3">
          <w:rPr>
            <w:rStyle w:val="Hypertextovodkaz"/>
            <w:rFonts w:ascii="Calibri" w:hAnsi="Calibri" w:cs="Calibri"/>
            <w:sz w:val="22"/>
            <w:szCs w:val="22"/>
          </w:rPr>
          <w:t>Vlna refixací hypoték sílí, úrokový šok ale slábne. Rizikem zůstává vyšší inflace</w:t>
        </w:r>
      </w:hyperlink>
      <w:r w:rsidRPr="00DA2CF3">
        <w:rPr>
          <w:rFonts w:ascii="Calibri" w:hAnsi="Calibri" w:cs="Calibri"/>
          <w:sz w:val="22"/>
          <w:szCs w:val="22"/>
        </w:rPr>
        <w:t>.</w:t>
      </w:r>
      <w:r>
        <w:t xml:space="preserve"> </w:t>
      </w:r>
    </w:p>
    <w:p w14:paraId="3339B245" w14:textId="77777777" w:rsidR="00652484" w:rsidRPr="00FF3215" w:rsidRDefault="00652484" w:rsidP="00436085">
      <w:pPr>
        <w:overflowPunct/>
        <w:autoSpaceDE/>
        <w:autoSpaceDN/>
        <w:adjustRightInd/>
        <w:textAlignment w:val="auto"/>
        <w:rPr>
          <w:rFonts w:ascii="Calibri" w:hAnsi="Calibri" w:cs="Calibri"/>
          <w:b/>
          <w:bCs/>
          <w:color w:val="000000"/>
          <w:sz w:val="22"/>
          <w:szCs w:val="22"/>
        </w:rPr>
      </w:pPr>
    </w:p>
    <w:p w14:paraId="38A6516B" w14:textId="2D77D5BF" w:rsidR="00436085" w:rsidRPr="00CC5202" w:rsidRDefault="00436085" w:rsidP="00436085">
      <w:pPr>
        <w:pBdr>
          <w:top w:val="single" w:sz="4" w:space="4"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Calibri"/>
          <w:i/>
          <w:iCs/>
          <w:sz w:val="22"/>
          <w:szCs w:val="22"/>
        </w:rPr>
      </w:pPr>
      <w:r w:rsidRPr="00AB747A">
        <w:rPr>
          <w:rFonts w:ascii="Calibri" w:hAnsi="Calibri" w:cs="Calibri"/>
          <w:i/>
          <w:iCs/>
          <w:color w:val="000000" w:themeColor="text1"/>
          <w:sz w:val="22"/>
          <w:szCs w:val="22"/>
        </w:rPr>
        <w:t>„</w:t>
      </w:r>
      <w:r w:rsidR="00E2267B" w:rsidRPr="00E2267B">
        <w:rPr>
          <w:rFonts w:ascii="Calibri" w:hAnsi="Calibri" w:cs="Calibri"/>
          <w:i/>
          <w:iCs/>
          <w:color w:val="000000" w:themeColor="text1"/>
          <w:sz w:val="22"/>
          <w:szCs w:val="22"/>
        </w:rPr>
        <w:t>Dubnový a květnový vývoj úrokových sazeb ukazuje, že hypoteční sazby dnes nereagují pouze na kroky ČNB, ale stále více i na pohyb tržních sazeb a swapů. Očekávání zlevňování hypoték se proto částečně posouvá a banky zůstávají opatrné</w:t>
      </w:r>
      <w:r w:rsidR="00586686">
        <w:rPr>
          <w:rFonts w:ascii="Calibri" w:hAnsi="Calibri" w:cs="Calibri"/>
          <w:i/>
          <w:iCs/>
          <w:color w:val="000000" w:themeColor="text1"/>
          <w:sz w:val="22"/>
          <w:szCs w:val="22"/>
        </w:rPr>
        <w:t>,</w:t>
      </w:r>
      <w:r>
        <w:rPr>
          <w:rFonts w:ascii="Calibri" w:hAnsi="Calibri" w:cs="Calibri"/>
          <w:i/>
          <w:iCs/>
          <w:color w:val="000000" w:themeColor="text1"/>
          <w:sz w:val="22"/>
          <w:szCs w:val="22"/>
        </w:rPr>
        <w:t xml:space="preserve">“ </w:t>
      </w:r>
      <w:r>
        <w:rPr>
          <w:rFonts w:ascii="Calibri" w:hAnsi="Calibri" w:cs="Calibri"/>
          <w:color w:val="000000" w:themeColor="text1"/>
          <w:sz w:val="22"/>
          <w:szCs w:val="22"/>
        </w:rPr>
        <w:t>podotýká</w:t>
      </w:r>
      <w:r w:rsidRPr="002F6A6D">
        <w:rPr>
          <w:rFonts w:ascii="Calibri" w:hAnsi="Calibri" w:cs="Calibri"/>
          <w:color w:val="000000" w:themeColor="text1"/>
          <w:sz w:val="22"/>
          <w:szCs w:val="22"/>
        </w:rPr>
        <w:t xml:space="preserve"> </w:t>
      </w:r>
      <w:r w:rsidR="00E2267B">
        <w:rPr>
          <w:rFonts w:ascii="Calibri" w:hAnsi="Calibri" w:cs="Calibri"/>
          <w:b/>
          <w:bCs/>
          <w:color w:val="000000" w:themeColor="text1"/>
          <w:sz w:val="22"/>
          <w:szCs w:val="22"/>
        </w:rPr>
        <w:t>Soňa Holíková, produktová manažerka hypoték</w:t>
      </w:r>
      <w:r>
        <w:rPr>
          <w:rFonts w:ascii="Calibri" w:hAnsi="Calibri" w:cs="Calibri"/>
          <w:b/>
          <w:bCs/>
          <w:color w:val="000000" w:themeColor="text1"/>
          <w:sz w:val="22"/>
          <w:szCs w:val="22"/>
        </w:rPr>
        <w:t xml:space="preserve"> </w:t>
      </w:r>
      <w:r w:rsidR="00E2267B">
        <w:rPr>
          <w:rFonts w:ascii="Calibri" w:hAnsi="Calibri" w:cs="Calibri"/>
          <w:b/>
          <w:bCs/>
          <w:color w:val="000000" w:themeColor="text1"/>
          <w:sz w:val="22"/>
          <w:szCs w:val="22"/>
        </w:rPr>
        <w:t>mBank</w:t>
      </w:r>
      <w:r>
        <w:rPr>
          <w:rFonts w:ascii="Calibri" w:hAnsi="Calibri" w:cs="Calibri"/>
          <w:b/>
          <w:bCs/>
          <w:color w:val="000000" w:themeColor="text1"/>
          <w:sz w:val="22"/>
          <w:szCs w:val="22"/>
        </w:rPr>
        <w:t xml:space="preserve">. </w:t>
      </w:r>
    </w:p>
    <w:p w14:paraId="0A09737B" w14:textId="77777777" w:rsidR="00652484" w:rsidRDefault="00652484" w:rsidP="00436085">
      <w:pPr>
        <w:rPr>
          <w:rFonts w:ascii="Calibri" w:hAnsi="Calibri" w:cs="Calibri"/>
          <w:b/>
          <w:color w:val="13576B"/>
          <w:sz w:val="23"/>
          <w:szCs w:val="23"/>
        </w:rPr>
      </w:pPr>
    </w:p>
    <w:p w14:paraId="79DB8501" w14:textId="6E7D0106" w:rsidR="00436085" w:rsidRDefault="00436085" w:rsidP="00436085">
      <w:pPr>
        <w:rPr>
          <w:rFonts w:ascii="Calibri" w:hAnsi="Calibri" w:cs="Calibri"/>
          <w:b/>
          <w:color w:val="13576B"/>
          <w:sz w:val="23"/>
          <w:szCs w:val="23"/>
        </w:rPr>
      </w:pPr>
      <w:r>
        <w:rPr>
          <w:rFonts w:ascii="Calibri" w:hAnsi="Calibri" w:cs="Calibri"/>
          <w:b/>
          <w:color w:val="13576B"/>
          <w:sz w:val="23"/>
          <w:szCs w:val="23"/>
        </w:rPr>
        <w:t>P</w:t>
      </w:r>
      <w:r w:rsidRPr="008B048B">
        <w:rPr>
          <w:rFonts w:ascii="Calibri" w:hAnsi="Calibri" w:cs="Calibri"/>
          <w:b/>
          <w:color w:val="13576B"/>
          <w:sz w:val="23"/>
          <w:szCs w:val="23"/>
        </w:rPr>
        <w:t xml:space="preserve">růměrná hypoteční sazba </w:t>
      </w:r>
      <w:r>
        <w:rPr>
          <w:rFonts w:ascii="Calibri" w:hAnsi="Calibri" w:cs="Calibri"/>
          <w:b/>
          <w:color w:val="13576B"/>
          <w:sz w:val="23"/>
          <w:szCs w:val="23"/>
        </w:rPr>
        <w:t>v</w:t>
      </w:r>
      <w:r w:rsidR="00DA2CF3">
        <w:rPr>
          <w:rFonts w:ascii="Calibri" w:hAnsi="Calibri" w:cs="Calibri"/>
          <w:b/>
          <w:color w:val="13576B"/>
          <w:sz w:val="23"/>
          <w:szCs w:val="23"/>
        </w:rPr>
        <w:t> dubnu růstem na 4,52 % prozatím pouze částečně reflektovala skok v tržních sazbách</w:t>
      </w:r>
    </w:p>
    <w:p w14:paraId="17D6276F" w14:textId="77777777" w:rsidR="00B12AAF" w:rsidRDefault="00B12AAF" w:rsidP="00436085">
      <w:pPr>
        <w:rPr>
          <w:rFonts w:ascii="Calibri" w:hAnsi="Calibri" w:cs="Calibri"/>
          <w:b/>
          <w:color w:val="000000" w:themeColor="text1"/>
          <w:sz w:val="23"/>
          <w:szCs w:val="23"/>
        </w:rPr>
      </w:pPr>
    </w:p>
    <w:p w14:paraId="0B857937" w14:textId="0AC9A24C" w:rsidR="00DA2CF3" w:rsidRDefault="00DA2CF3" w:rsidP="00436085">
      <w:pPr>
        <w:rPr>
          <w:rFonts w:ascii="Calibri" w:hAnsi="Calibri" w:cs="Calibri"/>
          <w:bCs/>
          <w:color w:val="000000" w:themeColor="text1"/>
          <w:sz w:val="23"/>
          <w:szCs w:val="23"/>
        </w:rPr>
      </w:pPr>
      <w:r w:rsidRPr="00DA2CF3">
        <w:rPr>
          <w:rFonts w:ascii="Calibri" w:hAnsi="Calibri" w:cs="Calibri"/>
          <w:b/>
          <w:color w:val="000000" w:themeColor="text1"/>
          <w:sz w:val="23"/>
          <w:szCs w:val="23"/>
        </w:rPr>
        <w:t xml:space="preserve">Průměrná realizovaná úroková sazba u nových hypoték v dubnu </w:t>
      </w:r>
      <w:r>
        <w:rPr>
          <w:rFonts w:ascii="Calibri" w:hAnsi="Calibri" w:cs="Calibri"/>
          <w:b/>
          <w:color w:val="000000" w:themeColor="text1"/>
          <w:sz w:val="23"/>
          <w:szCs w:val="23"/>
        </w:rPr>
        <w:t>„lehce“</w:t>
      </w:r>
      <w:r w:rsidRPr="00DA2CF3">
        <w:rPr>
          <w:rFonts w:ascii="Calibri" w:hAnsi="Calibri" w:cs="Calibri"/>
          <w:b/>
          <w:color w:val="000000" w:themeColor="text1"/>
          <w:sz w:val="23"/>
          <w:szCs w:val="23"/>
        </w:rPr>
        <w:t xml:space="preserve"> vzrostla na 4,52 % z březnových 4,43 %. </w:t>
      </w:r>
      <w:r w:rsidRPr="00DA2CF3">
        <w:rPr>
          <w:rFonts w:ascii="Calibri" w:hAnsi="Calibri" w:cs="Calibri"/>
          <w:bCs/>
          <w:color w:val="000000" w:themeColor="text1"/>
          <w:sz w:val="23"/>
          <w:szCs w:val="23"/>
        </w:rPr>
        <w:t xml:space="preserve">Její </w:t>
      </w:r>
      <w:r>
        <w:rPr>
          <w:rFonts w:ascii="Calibri" w:hAnsi="Calibri" w:cs="Calibri"/>
          <w:bCs/>
          <w:color w:val="000000" w:themeColor="text1"/>
          <w:sz w:val="23"/>
          <w:szCs w:val="23"/>
        </w:rPr>
        <w:t>meziměsíční nárůst o 0,09 p.</w:t>
      </w:r>
      <w:r w:rsidR="000B7D19">
        <w:rPr>
          <w:rFonts w:ascii="Calibri" w:hAnsi="Calibri" w:cs="Calibri"/>
          <w:bCs/>
          <w:color w:val="000000" w:themeColor="text1"/>
          <w:sz w:val="23"/>
          <w:szCs w:val="23"/>
        </w:rPr>
        <w:t xml:space="preserve"> </w:t>
      </w:r>
      <w:r>
        <w:rPr>
          <w:rFonts w:ascii="Calibri" w:hAnsi="Calibri" w:cs="Calibri"/>
          <w:bCs/>
          <w:color w:val="000000" w:themeColor="text1"/>
          <w:sz w:val="23"/>
          <w:szCs w:val="23"/>
        </w:rPr>
        <w:t>b.</w:t>
      </w:r>
      <w:r w:rsidR="00544E51">
        <w:rPr>
          <w:rFonts w:ascii="Calibri" w:hAnsi="Calibri" w:cs="Calibri"/>
          <w:bCs/>
          <w:color w:val="000000" w:themeColor="text1"/>
          <w:sz w:val="23"/>
          <w:szCs w:val="23"/>
        </w:rPr>
        <w:t>, tak pouze z části reflektoval předchozí nárůst tržních sazeb</w:t>
      </w:r>
      <w:r w:rsidRPr="00DA2CF3">
        <w:rPr>
          <w:rFonts w:ascii="Calibri" w:hAnsi="Calibri" w:cs="Calibri"/>
          <w:bCs/>
          <w:color w:val="000000" w:themeColor="text1"/>
          <w:sz w:val="23"/>
          <w:szCs w:val="23"/>
        </w:rPr>
        <w:t>. Její dubnová úroveň tak</w:t>
      </w:r>
      <w:r>
        <w:rPr>
          <w:rFonts w:ascii="Calibri" w:hAnsi="Calibri" w:cs="Calibri"/>
          <w:bCs/>
          <w:color w:val="000000" w:themeColor="text1"/>
          <w:sz w:val="23"/>
          <w:szCs w:val="23"/>
        </w:rPr>
        <w:t xml:space="preserve"> stále byla</w:t>
      </w:r>
      <w:r w:rsidRPr="00DA2CF3">
        <w:rPr>
          <w:rFonts w:ascii="Calibri" w:hAnsi="Calibri" w:cs="Calibri"/>
          <w:bCs/>
          <w:color w:val="000000" w:themeColor="text1"/>
          <w:sz w:val="23"/>
          <w:szCs w:val="23"/>
        </w:rPr>
        <w:t xml:space="preserve"> o </w:t>
      </w:r>
      <w:proofErr w:type="gramStart"/>
      <w:r w:rsidRPr="00DA2CF3">
        <w:rPr>
          <w:rFonts w:ascii="Calibri" w:hAnsi="Calibri" w:cs="Calibri"/>
          <w:bCs/>
          <w:color w:val="000000" w:themeColor="text1"/>
          <w:sz w:val="23"/>
          <w:szCs w:val="23"/>
        </w:rPr>
        <w:t>0,13 procentního</w:t>
      </w:r>
      <w:proofErr w:type="gramEnd"/>
      <w:r w:rsidRPr="00DA2CF3">
        <w:rPr>
          <w:rFonts w:ascii="Calibri" w:hAnsi="Calibri" w:cs="Calibri"/>
          <w:bCs/>
          <w:color w:val="000000" w:themeColor="text1"/>
          <w:sz w:val="23"/>
          <w:szCs w:val="23"/>
        </w:rPr>
        <w:t xml:space="preserve"> bodu níže než 4,65% sazba před rokem, což snižuje měsíční splátky hypotéky přibližně o </w:t>
      </w:r>
      <w:r>
        <w:rPr>
          <w:rFonts w:ascii="Calibri" w:hAnsi="Calibri" w:cs="Calibri"/>
          <w:bCs/>
          <w:color w:val="000000" w:themeColor="text1"/>
          <w:sz w:val="23"/>
          <w:szCs w:val="23"/>
        </w:rPr>
        <w:t xml:space="preserve">400 korun, tedy </w:t>
      </w:r>
      <w:r w:rsidRPr="00DA2CF3">
        <w:rPr>
          <w:rFonts w:ascii="Calibri" w:hAnsi="Calibri" w:cs="Calibri"/>
          <w:bCs/>
          <w:color w:val="000000" w:themeColor="text1"/>
          <w:sz w:val="23"/>
          <w:szCs w:val="23"/>
        </w:rPr>
        <w:t>0,4 % čistého příjmu žadatel</w:t>
      </w:r>
      <w:r w:rsidR="000B7D19">
        <w:rPr>
          <w:rFonts w:ascii="Calibri" w:hAnsi="Calibri" w:cs="Calibri"/>
          <w:bCs/>
          <w:color w:val="000000" w:themeColor="text1"/>
          <w:sz w:val="23"/>
          <w:szCs w:val="23"/>
        </w:rPr>
        <w:t>e</w:t>
      </w:r>
      <w:r w:rsidRPr="00DA2CF3">
        <w:rPr>
          <w:rFonts w:ascii="Calibri" w:hAnsi="Calibri" w:cs="Calibri"/>
          <w:bCs/>
          <w:color w:val="000000" w:themeColor="text1"/>
          <w:sz w:val="23"/>
          <w:szCs w:val="23"/>
        </w:rPr>
        <w:t>. Pro srovnání průměrná hodnota hypoteční sazby v roce 2025 dosáhla 4,58 % v porovnání se sazbou 5,07 % v roce 2024.</w:t>
      </w:r>
    </w:p>
    <w:p w14:paraId="615616BD" w14:textId="77777777" w:rsidR="00544E51" w:rsidRDefault="00544E51" w:rsidP="00436085">
      <w:pPr>
        <w:rPr>
          <w:rFonts w:ascii="Calibri" w:hAnsi="Calibri" w:cs="Calibri"/>
          <w:bCs/>
          <w:color w:val="000000" w:themeColor="text1"/>
          <w:sz w:val="23"/>
          <w:szCs w:val="23"/>
        </w:rPr>
      </w:pPr>
    </w:p>
    <w:p w14:paraId="2331DE95" w14:textId="38F6ACBC" w:rsidR="00DA2CF3" w:rsidRDefault="00DA2CF3" w:rsidP="00436085">
      <w:pPr>
        <w:rPr>
          <w:rFonts w:ascii="Calibri" w:hAnsi="Calibri" w:cs="Calibri"/>
          <w:b/>
          <w:color w:val="000000" w:themeColor="text1"/>
          <w:sz w:val="23"/>
          <w:szCs w:val="23"/>
        </w:rPr>
      </w:pPr>
      <w:r w:rsidRPr="00DA2CF3">
        <w:rPr>
          <w:rFonts w:ascii="Calibri" w:hAnsi="Calibri" w:cs="Calibri"/>
          <w:b/>
          <w:color w:val="000000" w:themeColor="text1"/>
          <w:sz w:val="23"/>
          <w:szCs w:val="23"/>
        </w:rPr>
        <w:t xml:space="preserve">Dubnová úroková hypoteční sazba se se 4,52 % nacházela </w:t>
      </w:r>
      <w:proofErr w:type="gramStart"/>
      <w:r w:rsidRPr="00DA2CF3">
        <w:rPr>
          <w:rFonts w:ascii="Calibri" w:hAnsi="Calibri" w:cs="Calibri"/>
          <w:b/>
          <w:color w:val="000000" w:themeColor="text1"/>
          <w:sz w:val="23"/>
          <w:szCs w:val="23"/>
        </w:rPr>
        <w:t>0,42 procentního</w:t>
      </w:r>
      <w:proofErr w:type="gramEnd"/>
      <w:r w:rsidRPr="00DA2CF3">
        <w:rPr>
          <w:rFonts w:ascii="Calibri" w:hAnsi="Calibri" w:cs="Calibri"/>
          <w:b/>
          <w:color w:val="000000" w:themeColor="text1"/>
          <w:sz w:val="23"/>
          <w:szCs w:val="23"/>
        </w:rPr>
        <w:t xml:space="preserve"> bodu nad průměrnými tržními swapovými sazbami. </w:t>
      </w:r>
      <w:r w:rsidRPr="00544E51">
        <w:rPr>
          <w:rFonts w:ascii="Calibri" w:hAnsi="Calibri" w:cs="Calibri"/>
          <w:bCs/>
          <w:color w:val="000000" w:themeColor="text1"/>
          <w:sz w:val="23"/>
          <w:szCs w:val="23"/>
        </w:rPr>
        <w:t>To je přibližně 0,63 p. b. pod dlouhodobým průměrem od roku 2014 (1,05 p. b.), zatímco v předešlých třech měsících tento spread vůči dlouhodobému průměru činil</w:t>
      </w:r>
      <w:r w:rsidR="00544E51">
        <w:rPr>
          <w:rFonts w:ascii="Calibri" w:hAnsi="Calibri" w:cs="Calibri"/>
          <w:bCs/>
          <w:color w:val="000000" w:themeColor="text1"/>
          <w:sz w:val="23"/>
          <w:szCs w:val="23"/>
        </w:rPr>
        <w:t xml:space="preserve"> v lednu a únoru téměř 1 </w:t>
      </w:r>
      <w:r w:rsidRPr="00544E51">
        <w:rPr>
          <w:rFonts w:ascii="Calibri" w:hAnsi="Calibri" w:cs="Calibri"/>
          <w:bCs/>
          <w:color w:val="000000" w:themeColor="text1"/>
          <w:sz w:val="23"/>
          <w:szCs w:val="23"/>
        </w:rPr>
        <w:t>p.</w:t>
      </w:r>
      <w:r w:rsidR="000B7D19">
        <w:rPr>
          <w:rFonts w:ascii="Calibri" w:hAnsi="Calibri" w:cs="Calibri"/>
          <w:bCs/>
          <w:color w:val="000000" w:themeColor="text1"/>
          <w:sz w:val="23"/>
          <w:szCs w:val="23"/>
        </w:rPr>
        <w:t xml:space="preserve"> </w:t>
      </w:r>
      <w:r w:rsidR="00544E51">
        <w:rPr>
          <w:rFonts w:ascii="Calibri" w:hAnsi="Calibri" w:cs="Calibri"/>
          <w:bCs/>
          <w:color w:val="000000" w:themeColor="text1"/>
          <w:sz w:val="23"/>
          <w:szCs w:val="23"/>
        </w:rPr>
        <w:t>b., zatímco se v březnu zúžil na 0,34 p.</w:t>
      </w:r>
      <w:r w:rsidR="000B7D19">
        <w:rPr>
          <w:rFonts w:ascii="Calibri" w:hAnsi="Calibri" w:cs="Calibri"/>
          <w:bCs/>
          <w:color w:val="000000" w:themeColor="text1"/>
          <w:sz w:val="23"/>
          <w:szCs w:val="23"/>
        </w:rPr>
        <w:t xml:space="preserve"> </w:t>
      </w:r>
      <w:r w:rsidR="00544E51">
        <w:rPr>
          <w:rFonts w:ascii="Calibri" w:hAnsi="Calibri" w:cs="Calibri"/>
          <w:bCs/>
          <w:color w:val="000000" w:themeColor="text1"/>
          <w:sz w:val="23"/>
          <w:szCs w:val="23"/>
        </w:rPr>
        <w:t>b. Dubnová úroveň hypotečních úrokových sazeb v porovnáním s</w:t>
      </w:r>
      <w:r w:rsidR="00612FFF">
        <w:rPr>
          <w:rFonts w:ascii="Calibri" w:hAnsi="Calibri" w:cs="Calibri"/>
          <w:bCs/>
          <w:color w:val="000000" w:themeColor="text1"/>
          <w:sz w:val="23"/>
          <w:szCs w:val="23"/>
        </w:rPr>
        <w:t xml:space="preserve"> průměrnou výší swapových sazeb z první květnové půle, by tento rozdíl zúžila na čtvrt procentního bodu. </w:t>
      </w:r>
      <w:hyperlink r:id="rId19" w:history="1">
        <w:r w:rsidR="00D66E1F" w:rsidRPr="005A4638">
          <w:rPr>
            <w:rStyle w:val="Hypertextovodkaz"/>
            <w:rFonts w:ascii="Calibri" w:hAnsi="Calibri" w:cs="Calibri"/>
            <w:b/>
            <w:bCs/>
            <w:sz w:val="22"/>
            <w:szCs w:val="22"/>
          </w:rPr>
          <w:t>V naší studii</w:t>
        </w:r>
      </w:hyperlink>
      <w:r w:rsidR="00D66E1F">
        <w:rPr>
          <w:rFonts w:ascii="Calibri" w:hAnsi="Calibri" w:cs="Calibri"/>
          <w:b/>
          <w:bCs/>
          <w:color w:val="13576B"/>
          <w:sz w:val="22"/>
          <w:szCs w:val="22"/>
        </w:rPr>
        <w:t xml:space="preserve"> </w:t>
      </w:r>
      <w:r w:rsidR="00D66E1F" w:rsidRPr="009F7F44">
        <w:rPr>
          <w:rFonts w:ascii="Calibri" w:hAnsi="Calibri" w:cs="Calibri"/>
          <w:sz w:val="22"/>
          <w:szCs w:val="22"/>
        </w:rPr>
        <w:t>jsme</w:t>
      </w:r>
      <w:r w:rsidR="00D66E1F" w:rsidRPr="009F7F44">
        <w:rPr>
          <w:rFonts w:ascii="Calibri" w:hAnsi="Calibri" w:cs="Calibri"/>
          <w:b/>
          <w:bCs/>
          <w:sz w:val="22"/>
          <w:szCs w:val="22"/>
        </w:rPr>
        <w:t xml:space="preserve"> </w:t>
      </w:r>
      <w:r w:rsidR="00D66E1F" w:rsidRPr="00D66E1F">
        <w:rPr>
          <w:rFonts w:ascii="Calibri" w:hAnsi="Calibri" w:cs="Calibri"/>
          <w:color w:val="000000" w:themeColor="text1"/>
          <w:sz w:val="22"/>
          <w:szCs w:val="22"/>
        </w:rPr>
        <w:t>poukázali na strukturální faktory, především sílu poptávky na konkurenčním trhu, které ovlivňují působení tržních úrokových sazeb na hypoteční sazby.</w:t>
      </w:r>
    </w:p>
    <w:p w14:paraId="57B12212" w14:textId="77777777" w:rsidR="00DA2CF3" w:rsidRDefault="00DA2CF3" w:rsidP="00436085">
      <w:pPr>
        <w:rPr>
          <w:rFonts w:ascii="Calibri" w:hAnsi="Calibri" w:cs="Calibri"/>
          <w:b/>
          <w:color w:val="000000" w:themeColor="text1"/>
          <w:sz w:val="23"/>
          <w:szCs w:val="23"/>
        </w:rPr>
      </w:pPr>
    </w:p>
    <w:p w14:paraId="1A8319A8" w14:textId="17599A90" w:rsidR="00544E51" w:rsidRPr="00612FFF" w:rsidRDefault="00612FFF" w:rsidP="00436085">
      <w:pPr>
        <w:rPr>
          <w:rFonts w:ascii="Calibri" w:hAnsi="Calibri" w:cs="Calibri"/>
          <w:bCs/>
          <w:color w:val="000000" w:themeColor="text1"/>
          <w:sz w:val="23"/>
          <w:szCs w:val="23"/>
        </w:rPr>
      </w:pPr>
      <w:r w:rsidRPr="00486BC4">
        <w:rPr>
          <w:rFonts w:ascii="Calibri" w:hAnsi="Calibri" w:cs="Calibri"/>
          <w:b/>
          <w:color w:val="000000" w:themeColor="text1"/>
          <w:sz w:val="23"/>
          <w:szCs w:val="23"/>
        </w:rPr>
        <w:t>České tržní delší úrokové sazby,</w:t>
      </w:r>
      <w:r w:rsidRPr="00486BC4">
        <w:rPr>
          <w:rStyle w:val="Znakapoznpodarou"/>
          <w:rFonts w:ascii="Calibri" w:hAnsi="Calibri" w:cs="Calibri"/>
          <w:b/>
          <w:i/>
          <w:iCs/>
          <w:color w:val="000000" w:themeColor="text1"/>
          <w:sz w:val="22"/>
          <w:szCs w:val="22"/>
        </w:rPr>
        <w:footnoteReference w:id="1"/>
      </w:r>
      <w:r w:rsidRPr="00486BC4">
        <w:rPr>
          <w:rFonts w:ascii="Calibri" w:hAnsi="Calibri" w:cs="Calibri"/>
          <w:b/>
          <w:color w:val="000000" w:themeColor="text1"/>
          <w:sz w:val="22"/>
          <w:szCs w:val="22"/>
        </w:rPr>
        <w:t xml:space="preserve"> </w:t>
      </w:r>
      <w:r w:rsidR="00544E51" w:rsidRPr="00544E51">
        <w:rPr>
          <w:rFonts w:ascii="Calibri" w:hAnsi="Calibri" w:cs="Calibri"/>
          <w:b/>
          <w:color w:val="000000" w:themeColor="text1"/>
          <w:sz w:val="23"/>
          <w:szCs w:val="23"/>
        </w:rPr>
        <w:t xml:space="preserve">které mají klíčový vliv na hypoteční sazby, </w:t>
      </w:r>
      <w:r>
        <w:rPr>
          <w:rFonts w:ascii="Calibri" w:hAnsi="Calibri" w:cs="Calibri"/>
          <w:b/>
          <w:color w:val="000000" w:themeColor="text1"/>
          <w:sz w:val="23"/>
          <w:szCs w:val="23"/>
        </w:rPr>
        <w:t>byly během dubna a března velmi volatilní, ale v případě tříletých swapů</w:t>
      </w:r>
      <w:r w:rsidR="000B7D19">
        <w:rPr>
          <w:rFonts w:ascii="Calibri" w:hAnsi="Calibri" w:cs="Calibri"/>
          <w:b/>
          <w:color w:val="000000" w:themeColor="text1"/>
          <w:sz w:val="23"/>
          <w:szCs w:val="23"/>
        </w:rPr>
        <w:t xml:space="preserve"> se</w:t>
      </w:r>
      <w:r>
        <w:rPr>
          <w:rFonts w:ascii="Calibri" w:hAnsi="Calibri" w:cs="Calibri"/>
          <w:b/>
          <w:color w:val="000000" w:themeColor="text1"/>
          <w:sz w:val="23"/>
          <w:szCs w:val="23"/>
        </w:rPr>
        <w:t xml:space="preserve"> ustálily na stejných hodnotách okolo 4,1 % a v případě pětiletých okolo 4,19 %. </w:t>
      </w:r>
      <w:r>
        <w:rPr>
          <w:rFonts w:ascii="Calibri" w:hAnsi="Calibri" w:cs="Calibri"/>
          <w:bCs/>
          <w:color w:val="000000" w:themeColor="text1"/>
          <w:sz w:val="23"/>
          <w:szCs w:val="23"/>
        </w:rPr>
        <w:t>To</w:t>
      </w:r>
      <w:r w:rsidRPr="00612FFF">
        <w:rPr>
          <w:rFonts w:ascii="Calibri" w:hAnsi="Calibri" w:cs="Calibri"/>
          <w:bCs/>
          <w:color w:val="000000" w:themeColor="text1"/>
          <w:sz w:val="23"/>
          <w:szCs w:val="23"/>
        </w:rPr>
        <w:t xml:space="preserve"> je přibližně 0,6 p.</w:t>
      </w:r>
      <w:r w:rsidR="000B7D19">
        <w:rPr>
          <w:rFonts w:ascii="Calibri" w:hAnsi="Calibri" w:cs="Calibri"/>
          <w:bCs/>
          <w:color w:val="000000" w:themeColor="text1"/>
          <w:sz w:val="23"/>
          <w:szCs w:val="23"/>
        </w:rPr>
        <w:t xml:space="preserve"> </w:t>
      </w:r>
      <w:r w:rsidRPr="00612FFF">
        <w:rPr>
          <w:rFonts w:ascii="Calibri" w:hAnsi="Calibri" w:cs="Calibri"/>
          <w:bCs/>
          <w:color w:val="000000" w:themeColor="text1"/>
          <w:sz w:val="23"/>
          <w:szCs w:val="23"/>
        </w:rPr>
        <w:t xml:space="preserve">b. nad únorovou hodnotou, která naopak zaceňovala mírný pokles úrokové sazby ČNB. To se s Íránskou válkou výrazně </w:t>
      </w:r>
      <w:r w:rsidRPr="00612FFF">
        <w:rPr>
          <w:rFonts w:ascii="Calibri" w:hAnsi="Calibri" w:cs="Calibri"/>
          <w:bCs/>
          <w:color w:val="000000" w:themeColor="text1"/>
          <w:sz w:val="22"/>
          <w:szCs w:val="22"/>
        </w:rPr>
        <w:t xml:space="preserve">změnilo, jelikož šok do cen energetických komodit, ale i stále vysoká jádrová inflace, eliminovaly holubičí tón z komunikace centrální banky (blíže viz </w:t>
      </w:r>
      <w:hyperlink r:id="rId20" w:history="1">
        <w:r w:rsidRPr="00612FFF">
          <w:rPr>
            <w:rStyle w:val="Hypertextovodkaz"/>
            <w:rFonts w:ascii="Calibri" w:hAnsi="Calibri" w:cs="Calibri"/>
            <w:sz w:val="22"/>
            <w:szCs w:val="22"/>
          </w:rPr>
          <w:t>Nový výhled ČNB na vyšší sazby se "pouze" přetavil do jestřábí komunikace</w:t>
        </w:r>
      </w:hyperlink>
      <w:r w:rsidRPr="00612FFF">
        <w:rPr>
          <w:rFonts w:ascii="Calibri" w:hAnsi="Calibri" w:cs="Calibri"/>
          <w:sz w:val="22"/>
          <w:szCs w:val="22"/>
        </w:rPr>
        <w:t>)</w:t>
      </w:r>
      <w:r w:rsidRPr="00612FFF">
        <w:rPr>
          <w:rFonts w:ascii="Calibri" w:hAnsi="Calibri" w:cs="Calibri"/>
          <w:bCs/>
          <w:color w:val="000000" w:themeColor="text1"/>
          <w:sz w:val="22"/>
          <w:szCs w:val="22"/>
        </w:rPr>
        <w:t>. Eurové pětileté swapy v dubnu stouply na 2,85 % z březnových 2,74 % a byly 0,51 p. b. nad jejich průměrnou loňskou úrovní</w:t>
      </w:r>
      <w:r w:rsidRPr="00612FFF">
        <w:rPr>
          <w:rFonts w:ascii="Calibri" w:hAnsi="Calibri" w:cs="Calibri"/>
          <w:bCs/>
          <w:color w:val="000000" w:themeColor="text1"/>
          <w:sz w:val="23"/>
          <w:szCs w:val="23"/>
        </w:rPr>
        <w:t xml:space="preserve"> 2,34 %. </w:t>
      </w:r>
      <w:r w:rsidR="00544E51" w:rsidRPr="00612FFF">
        <w:rPr>
          <w:rFonts w:ascii="Calibri" w:hAnsi="Calibri" w:cs="Calibri"/>
          <w:bCs/>
          <w:color w:val="000000" w:themeColor="text1"/>
          <w:sz w:val="23"/>
          <w:szCs w:val="23"/>
        </w:rPr>
        <w:t xml:space="preserve">V případě amerických pětiletých úrokových swapů došlo v dubnu k jejich růstu na 3,89 % z březnových 3,8 % a nacházely se 0,03 p. b. nad jejich průměrnou hodnotou z roku 2025. </w:t>
      </w:r>
    </w:p>
    <w:p w14:paraId="3EDC2E0C" w14:textId="77777777" w:rsidR="00436085" w:rsidRDefault="00436085" w:rsidP="00436085">
      <w:pPr>
        <w:rPr>
          <w:rFonts w:ascii="Calibri" w:hAnsi="Calibri" w:cs="Calibri"/>
          <w:b/>
          <w:color w:val="000000" w:themeColor="text1"/>
          <w:sz w:val="23"/>
          <w:szCs w:val="23"/>
        </w:rPr>
      </w:pPr>
    </w:p>
    <w:p w14:paraId="479EF412" w14:textId="4D40C121" w:rsidR="00616F34" w:rsidRPr="00616F34" w:rsidRDefault="00616F34" w:rsidP="00616F34">
      <w:pPr>
        <w:rPr>
          <w:rFonts w:ascii="Calibri" w:hAnsi="Calibri" w:cs="Calibri"/>
          <w:color w:val="000000" w:themeColor="text1"/>
          <w:sz w:val="22"/>
          <w:szCs w:val="22"/>
        </w:rPr>
        <w:sectPr w:rsidR="00616F34" w:rsidRPr="00616F34" w:rsidSect="00606031">
          <w:type w:val="continuous"/>
          <w:pgSz w:w="11906" w:h="16838"/>
          <w:pgMar w:top="2552" w:right="849" w:bottom="1560" w:left="851" w:header="709" w:footer="283" w:gutter="0"/>
          <w:cols w:space="708"/>
          <w:docGrid w:linePitch="360"/>
        </w:sectPr>
      </w:pPr>
    </w:p>
    <w:p w14:paraId="636F55D4" w14:textId="535B8789" w:rsidR="001B2E5E" w:rsidRDefault="001B2E5E" w:rsidP="001B2E5E">
      <w:pPr>
        <w:spacing w:after="120"/>
        <w:rPr>
          <w:rFonts w:ascii="Calibri" w:hAnsi="Calibri" w:cs="Calibri"/>
          <w:b/>
          <w:color w:val="13576B"/>
          <w:sz w:val="23"/>
          <w:szCs w:val="23"/>
        </w:rPr>
      </w:pPr>
      <w:r>
        <w:rPr>
          <w:rFonts w:ascii="Calibri" w:hAnsi="Calibri" w:cs="Calibri"/>
          <w:b/>
          <w:color w:val="13576B"/>
          <w:sz w:val="23"/>
          <w:szCs w:val="23"/>
        </w:rPr>
        <w:t xml:space="preserve">Graf </w:t>
      </w:r>
      <w:r w:rsidRPr="005B4653">
        <w:rPr>
          <w:rFonts w:ascii="Calibri" w:hAnsi="Calibri" w:cs="Calibri"/>
          <w:b/>
          <w:color w:val="13576B"/>
          <w:sz w:val="23"/>
          <w:szCs w:val="23"/>
        </w:rPr>
        <w:t xml:space="preserve">č. </w:t>
      </w:r>
      <w:r w:rsidR="00E27948">
        <w:rPr>
          <w:rFonts w:ascii="Calibri" w:hAnsi="Calibri" w:cs="Calibri"/>
          <w:b/>
          <w:color w:val="13576B"/>
          <w:sz w:val="23"/>
          <w:szCs w:val="23"/>
        </w:rPr>
        <w:t>4</w:t>
      </w:r>
      <w:r>
        <w:rPr>
          <w:rFonts w:ascii="Calibri" w:hAnsi="Calibri" w:cs="Calibri"/>
          <w:b/>
          <w:color w:val="13576B"/>
          <w:sz w:val="23"/>
          <w:szCs w:val="23"/>
        </w:rPr>
        <w:t>:</w:t>
      </w:r>
      <w:r w:rsidRPr="005B4653">
        <w:rPr>
          <w:rFonts w:ascii="Calibri" w:hAnsi="Calibri" w:cs="Calibri"/>
          <w:b/>
          <w:color w:val="13576B"/>
          <w:sz w:val="23"/>
          <w:szCs w:val="23"/>
        </w:rPr>
        <w:t xml:space="preserve"> Průměrná hypoteční </w:t>
      </w:r>
      <w:r>
        <w:rPr>
          <w:rFonts w:ascii="Calibri" w:hAnsi="Calibri" w:cs="Calibri"/>
          <w:b/>
          <w:color w:val="13576B"/>
          <w:sz w:val="23"/>
          <w:szCs w:val="23"/>
        </w:rPr>
        <w:t xml:space="preserve">úroková </w:t>
      </w:r>
      <w:r w:rsidRPr="005B4653">
        <w:rPr>
          <w:rFonts w:ascii="Calibri" w:hAnsi="Calibri" w:cs="Calibri"/>
          <w:b/>
          <w:color w:val="13576B"/>
          <w:sz w:val="23"/>
          <w:szCs w:val="23"/>
        </w:rPr>
        <w:t>sazba – nové obchody</w:t>
      </w:r>
    </w:p>
    <w:p w14:paraId="00505FA7" w14:textId="34A8E47C" w:rsidR="005A4638" w:rsidRDefault="0025756A" w:rsidP="008E3BA7">
      <w:pPr>
        <w:rPr>
          <w:rFonts w:ascii="Calibri" w:hAnsi="Calibri" w:cs="Calibri"/>
          <w:bCs/>
          <w:i/>
          <w:iCs/>
          <w:color w:val="13576B"/>
          <w:sz w:val="23"/>
          <w:szCs w:val="23"/>
        </w:rPr>
      </w:pPr>
      <w:r>
        <w:rPr>
          <w:rFonts w:ascii="Calibri" w:hAnsi="Calibri" w:cs="Calibri"/>
          <w:bCs/>
          <w:i/>
          <w:iCs/>
          <w:color w:val="13576B"/>
          <w:sz w:val="23"/>
          <w:szCs w:val="23"/>
        </w:rPr>
        <w:t>Dubnové</w:t>
      </w:r>
      <w:r w:rsidR="00F463BF">
        <w:rPr>
          <w:rFonts w:ascii="Calibri" w:hAnsi="Calibri" w:cs="Calibri"/>
          <w:bCs/>
          <w:i/>
          <w:iCs/>
          <w:color w:val="13576B"/>
          <w:sz w:val="23"/>
          <w:szCs w:val="23"/>
        </w:rPr>
        <w:t xml:space="preserve"> hypoteční sazby </w:t>
      </w:r>
      <w:r>
        <w:rPr>
          <w:rFonts w:ascii="Calibri" w:hAnsi="Calibri" w:cs="Calibri"/>
          <w:bCs/>
          <w:i/>
          <w:iCs/>
          <w:color w:val="13576B"/>
          <w:sz w:val="23"/>
          <w:szCs w:val="23"/>
        </w:rPr>
        <w:t xml:space="preserve">začaly nepatrně reflektovat růst tržních sazeb … </w:t>
      </w:r>
    </w:p>
    <w:p w14:paraId="45164D8D" w14:textId="77777777" w:rsidR="001B2E5E" w:rsidRDefault="001B2E5E" w:rsidP="006D5361">
      <w:pPr>
        <w:overflowPunct/>
        <w:autoSpaceDE/>
        <w:adjustRightInd/>
        <w:rPr>
          <w:rFonts w:ascii="Calibri" w:hAnsi="Calibri" w:cs="Calibri"/>
          <w:b/>
          <w:color w:val="13576B"/>
          <w:sz w:val="23"/>
          <w:szCs w:val="23"/>
        </w:rPr>
      </w:pPr>
      <w:r w:rsidRPr="005B4653">
        <w:rPr>
          <w:rFonts w:ascii="Calibri" w:hAnsi="Calibri" w:cs="Calibri"/>
          <w:b/>
          <w:color w:val="13576B"/>
          <w:sz w:val="23"/>
          <w:szCs w:val="23"/>
        </w:rPr>
        <w:t xml:space="preserve">Graf č. </w:t>
      </w:r>
      <w:r w:rsidR="00E27948">
        <w:rPr>
          <w:rFonts w:ascii="Calibri" w:hAnsi="Calibri" w:cs="Calibri"/>
          <w:b/>
          <w:color w:val="13576B"/>
          <w:sz w:val="23"/>
          <w:szCs w:val="23"/>
        </w:rPr>
        <w:t>5</w:t>
      </w:r>
      <w:r>
        <w:rPr>
          <w:rFonts w:ascii="Calibri" w:hAnsi="Calibri" w:cs="Calibri"/>
          <w:b/>
          <w:color w:val="13576B"/>
          <w:sz w:val="23"/>
          <w:szCs w:val="23"/>
        </w:rPr>
        <w:t>:</w:t>
      </w:r>
      <w:r w:rsidRPr="005B4653">
        <w:rPr>
          <w:rFonts w:ascii="Calibri" w:hAnsi="Calibri" w:cs="Calibri"/>
          <w:b/>
          <w:color w:val="13576B"/>
          <w:sz w:val="23"/>
          <w:szCs w:val="23"/>
        </w:rPr>
        <w:t xml:space="preserve"> </w:t>
      </w:r>
      <w:r w:rsidR="00AD4353">
        <w:rPr>
          <w:rFonts w:ascii="Calibri" w:hAnsi="Calibri" w:cs="Calibri"/>
          <w:b/>
          <w:color w:val="13576B"/>
          <w:sz w:val="23"/>
          <w:szCs w:val="23"/>
        </w:rPr>
        <w:t xml:space="preserve">Americký útok na Írán </w:t>
      </w:r>
      <w:r w:rsidR="00486BC4">
        <w:rPr>
          <w:rFonts w:ascii="Calibri" w:hAnsi="Calibri" w:cs="Calibri"/>
          <w:b/>
          <w:color w:val="13576B"/>
          <w:sz w:val="23"/>
          <w:szCs w:val="23"/>
        </w:rPr>
        <w:t>výrazně navýšil tržní swapové úrokové sazby</w:t>
      </w:r>
    </w:p>
    <w:p w14:paraId="380635EC" w14:textId="55B5CA41" w:rsidR="0025756A" w:rsidRPr="0025756A" w:rsidRDefault="0025756A" w:rsidP="006D5361">
      <w:pPr>
        <w:overflowPunct/>
        <w:autoSpaceDE/>
        <w:adjustRightInd/>
        <w:rPr>
          <w:rFonts w:ascii="Calibri" w:hAnsi="Calibri" w:cs="Calibri"/>
          <w:bCs/>
          <w:color w:val="13576B"/>
          <w:sz w:val="23"/>
          <w:szCs w:val="23"/>
        </w:rPr>
        <w:sectPr w:rsidR="0025756A" w:rsidRPr="0025756A" w:rsidSect="001B2E5E">
          <w:type w:val="continuous"/>
          <w:pgSz w:w="11906" w:h="16838"/>
          <w:pgMar w:top="2552" w:right="849" w:bottom="1560" w:left="851" w:header="709" w:footer="283" w:gutter="0"/>
          <w:cols w:num="2" w:space="708"/>
          <w:docGrid w:linePitch="360"/>
        </w:sectPr>
      </w:pPr>
      <w:r>
        <w:rPr>
          <w:rFonts w:ascii="Calibri" w:hAnsi="Calibri" w:cs="Calibri"/>
          <w:bCs/>
          <w:color w:val="13576B"/>
          <w:sz w:val="23"/>
          <w:szCs w:val="23"/>
        </w:rPr>
        <w:t>… které zůstávají na úrovních z poloviny roku 2024 kvůli n</w:t>
      </w:r>
      <w:r w:rsidRPr="0025756A">
        <w:rPr>
          <w:rFonts w:ascii="Calibri" w:hAnsi="Calibri" w:cs="Calibri"/>
          <w:bCs/>
          <w:color w:val="13576B"/>
          <w:sz w:val="23"/>
          <w:szCs w:val="23"/>
        </w:rPr>
        <w:t>evyřešen</w:t>
      </w:r>
      <w:r>
        <w:rPr>
          <w:rFonts w:ascii="Calibri" w:hAnsi="Calibri" w:cs="Calibri"/>
          <w:bCs/>
          <w:color w:val="13576B"/>
          <w:sz w:val="23"/>
          <w:szCs w:val="23"/>
        </w:rPr>
        <w:t>ému</w:t>
      </w:r>
      <w:r w:rsidRPr="0025756A">
        <w:rPr>
          <w:rFonts w:ascii="Calibri" w:hAnsi="Calibri" w:cs="Calibri"/>
          <w:bCs/>
          <w:color w:val="13576B"/>
          <w:sz w:val="23"/>
          <w:szCs w:val="23"/>
        </w:rPr>
        <w:t xml:space="preserve"> Horm</w:t>
      </w:r>
      <w:r>
        <w:rPr>
          <w:rFonts w:ascii="Calibri" w:hAnsi="Calibri" w:cs="Calibri"/>
          <w:bCs/>
          <w:color w:val="13576B"/>
          <w:sz w:val="23"/>
          <w:szCs w:val="23"/>
        </w:rPr>
        <w:t>u</w:t>
      </w:r>
      <w:r w:rsidRPr="0025756A">
        <w:rPr>
          <w:rFonts w:ascii="Calibri" w:hAnsi="Calibri" w:cs="Calibri"/>
          <w:bCs/>
          <w:color w:val="13576B"/>
          <w:sz w:val="23"/>
          <w:szCs w:val="23"/>
        </w:rPr>
        <w:t>zsk</w:t>
      </w:r>
      <w:r>
        <w:rPr>
          <w:rFonts w:ascii="Calibri" w:hAnsi="Calibri" w:cs="Calibri"/>
          <w:bCs/>
          <w:color w:val="13576B"/>
          <w:sz w:val="23"/>
          <w:szCs w:val="23"/>
        </w:rPr>
        <w:t>ému</w:t>
      </w:r>
      <w:r w:rsidRPr="0025756A">
        <w:rPr>
          <w:rFonts w:ascii="Calibri" w:hAnsi="Calibri" w:cs="Calibri"/>
          <w:bCs/>
          <w:color w:val="13576B"/>
          <w:sz w:val="23"/>
          <w:szCs w:val="23"/>
        </w:rPr>
        <w:t xml:space="preserve"> průliv</w:t>
      </w:r>
      <w:r>
        <w:rPr>
          <w:rFonts w:ascii="Calibri" w:hAnsi="Calibri" w:cs="Calibri"/>
          <w:bCs/>
          <w:color w:val="13576B"/>
          <w:sz w:val="23"/>
          <w:szCs w:val="23"/>
        </w:rPr>
        <w:t>u</w:t>
      </w:r>
    </w:p>
    <w:p w14:paraId="7CBC6B5A" w14:textId="77777777" w:rsidR="001B2E5E" w:rsidRPr="004803D6" w:rsidRDefault="001B2E5E" w:rsidP="00F625CA">
      <w:pPr>
        <w:rPr>
          <w:rFonts w:ascii="Calibri" w:hAnsi="Calibri" w:cs="Calibri"/>
          <w:color w:val="000000"/>
          <w:sz w:val="22"/>
          <w:szCs w:val="22"/>
        </w:rPr>
      </w:pPr>
    </w:p>
    <w:p w14:paraId="0230887A" w14:textId="77777777" w:rsidR="00606031" w:rsidRDefault="00606031" w:rsidP="005874B8">
      <w:pPr>
        <w:spacing w:after="120"/>
        <w:rPr>
          <w:rFonts w:ascii="Calibri" w:hAnsi="Calibri" w:cs="Calibri"/>
          <w:b/>
          <w:color w:val="13576B"/>
          <w:sz w:val="23"/>
          <w:szCs w:val="23"/>
        </w:rPr>
        <w:sectPr w:rsidR="00606031" w:rsidSect="00606031">
          <w:type w:val="continuous"/>
          <w:pgSz w:w="11906" w:h="16838"/>
          <w:pgMar w:top="2552" w:right="849" w:bottom="1560" w:left="851" w:header="709" w:footer="283" w:gutter="0"/>
          <w:cols w:space="708"/>
          <w:docGrid w:linePitch="360"/>
        </w:sectPr>
      </w:pPr>
    </w:p>
    <w:p w14:paraId="5C054A6D" w14:textId="7CCB201B" w:rsidR="00D2301A" w:rsidRPr="002138C0" w:rsidRDefault="0025756A" w:rsidP="005874B8">
      <w:pPr>
        <w:rPr>
          <w:rFonts w:ascii="Calibri" w:hAnsi="Calibri" w:cs="Calibri"/>
          <w:sz w:val="22"/>
          <w:szCs w:val="22"/>
          <w:highlight w:val="yellow"/>
        </w:rPr>
      </w:pPr>
      <w:r>
        <w:rPr>
          <w:rFonts w:ascii="Calibri" w:hAnsi="Calibri" w:cs="Calibri"/>
          <w:noProof/>
          <w:sz w:val="22"/>
          <w:szCs w:val="22"/>
          <w:highlight w:val="yellow"/>
        </w:rPr>
        <w:drawing>
          <wp:inline distT="0" distB="0" distL="0" distR="0" wp14:anchorId="542D1698" wp14:editId="54A922CF">
            <wp:extent cx="3257550" cy="1983418"/>
            <wp:effectExtent l="0" t="0" r="0" b="0"/>
            <wp:docPr id="7476251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65492" cy="1988254"/>
                    </a:xfrm>
                    <a:prstGeom prst="rect">
                      <a:avLst/>
                    </a:prstGeom>
                    <a:noFill/>
                  </pic:spPr>
                </pic:pic>
              </a:graphicData>
            </a:graphic>
          </wp:inline>
        </w:drawing>
      </w:r>
    </w:p>
    <w:p w14:paraId="59B88724" w14:textId="17255E86" w:rsidR="001B2E5E" w:rsidRDefault="00691287" w:rsidP="001B2E5E">
      <w:pPr>
        <w:overflowPunct/>
        <w:autoSpaceDE/>
        <w:adjustRightInd/>
        <w:rPr>
          <w:rFonts w:ascii="Calibri" w:hAnsi="Calibri" w:cs="Calibri"/>
          <w:b/>
          <w:color w:val="13576B"/>
          <w:sz w:val="23"/>
          <w:szCs w:val="23"/>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bookmarkStart w:id="5" w:name="_Hlk137652102"/>
    </w:p>
    <w:p w14:paraId="53F00851" w14:textId="42A3BD48" w:rsidR="006337E7" w:rsidRDefault="00766906" w:rsidP="006337E7">
      <w:pPr>
        <w:rPr>
          <w:rFonts w:ascii="Calibri" w:hAnsi="Calibri" w:cs="Calibri"/>
          <w:color w:val="000000" w:themeColor="text1"/>
          <w:sz w:val="22"/>
          <w:szCs w:val="22"/>
        </w:rPr>
      </w:pPr>
      <w:r>
        <w:rPr>
          <w:rFonts w:ascii="Calibri" w:hAnsi="Calibri" w:cs="Calibri"/>
          <w:noProof/>
          <w:color w:val="000000" w:themeColor="text1"/>
          <w:sz w:val="22"/>
          <w:szCs w:val="22"/>
        </w:rPr>
        <w:drawing>
          <wp:inline distT="0" distB="0" distL="0" distR="0" wp14:anchorId="7D19DDE2" wp14:editId="2DF2BF7E">
            <wp:extent cx="3037007" cy="1976755"/>
            <wp:effectExtent l="0" t="0" r="0" b="4445"/>
            <wp:docPr id="15024884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1605" cy="1979748"/>
                    </a:xfrm>
                    <a:prstGeom prst="rect">
                      <a:avLst/>
                    </a:prstGeom>
                    <a:noFill/>
                  </pic:spPr>
                </pic:pic>
              </a:graphicData>
            </a:graphic>
          </wp:inline>
        </w:drawing>
      </w:r>
    </w:p>
    <w:p w14:paraId="46B50194" w14:textId="618AFF1D" w:rsidR="00F20967" w:rsidRDefault="006337E7" w:rsidP="00DD1BFF">
      <w:pPr>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 xml:space="preserve">: </w:t>
      </w:r>
      <w:r>
        <w:rPr>
          <w:rFonts w:asciiTheme="minorHAnsi" w:hAnsiTheme="minorHAnsi" w:cstheme="minorHAnsi"/>
          <w:color w:val="13576B"/>
          <w:sz w:val="20"/>
        </w:rPr>
        <w:t>LSEG, Macrobond (</w:t>
      </w:r>
      <w:r w:rsidR="00BA3140">
        <w:rPr>
          <w:rFonts w:asciiTheme="minorHAnsi" w:hAnsiTheme="minorHAnsi" w:cstheme="minorHAnsi"/>
          <w:color w:val="13576B"/>
          <w:sz w:val="20"/>
        </w:rPr>
        <w:t>1</w:t>
      </w:r>
      <w:r w:rsidR="00766906">
        <w:rPr>
          <w:rFonts w:asciiTheme="minorHAnsi" w:hAnsiTheme="minorHAnsi" w:cstheme="minorHAnsi"/>
          <w:color w:val="13576B"/>
          <w:sz w:val="20"/>
        </w:rPr>
        <w:t>4</w:t>
      </w:r>
      <w:r>
        <w:rPr>
          <w:rFonts w:asciiTheme="minorHAnsi" w:hAnsiTheme="minorHAnsi" w:cstheme="minorHAnsi"/>
          <w:color w:val="13576B"/>
          <w:sz w:val="20"/>
        </w:rPr>
        <w:t xml:space="preserve">. </w:t>
      </w:r>
      <w:r w:rsidR="00766906">
        <w:rPr>
          <w:rFonts w:asciiTheme="minorHAnsi" w:hAnsiTheme="minorHAnsi" w:cstheme="minorHAnsi"/>
          <w:color w:val="13576B"/>
          <w:sz w:val="20"/>
        </w:rPr>
        <w:t>května</w:t>
      </w:r>
      <w:r w:rsidR="00055000">
        <w:rPr>
          <w:rFonts w:asciiTheme="minorHAnsi" w:hAnsiTheme="minorHAnsi" w:cstheme="minorHAnsi"/>
          <w:color w:val="13576B"/>
          <w:sz w:val="20"/>
        </w:rPr>
        <w:t xml:space="preserve"> </w:t>
      </w:r>
      <w:r>
        <w:rPr>
          <w:rFonts w:asciiTheme="minorHAnsi" w:hAnsiTheme="minorHAnsi" w:cstheme="minorHAnsi"/>
          <w:color w:val="13576B"/>
          <w:sz w:val="20"/>
        </w:rPr>
        <w:t>202</w:t>
      </w:r>
      <w:r w:rsidR="00BA3140">
        <w:rPr>
          <w:rFonts w:asciiTheme="minorHAnsi" w:hAnsiTheme="minorHAnsi" w:cstheme="minorHAnsi"/>
          <w:color w:val="13576B"/>
          <w:sz w:val="20"/>
        </w:rPr>
        <w:t>6</w:t>
      </w:r>
      <w:r>
        <w:rPr>
          <w:rFonts w:asciiTheme="minorHAnsi" w:hAnsiTheme="minorHAnsi" w:cstheme="minorHAnsi"/>
          <w:color w:val="13576B"/>
          <w:sz w:val="20"/>
        </w:rPr>
        <w:t xml:space="preserve">), </w:t>
      </w:r>
      <w:r w:rsidRPr="00AA62A7">
        <w:rPr>
          <w:rFonts w:asciiTheme="minorHAnsi" w:hAnsiTheme="minorHAnsi" w:cstheme="minorHAnsi"/>
          <w:color w:val="13576B"/>
          <w:sz w:val="20"/>
        </w:rPr>
        <w:t>ČB</w:t>
      </w:r>
      <w:r w:rsidR="00F20967">
        <w:rPr>
          <w:rFonts w:asciiTheme="minorHAnsi" w:hAnsiTheme="minorHAnsi" w:cstheme="minorHAnsi"/>
          <w:color w:val="13576B"/>
          <w:sz w:val="20"/>
        </w:rPr>
        <w:t>A</w:t>
      </w:r>
    </w:p>
    <w:p w14:paraId="1AF065D2" w14:textId="464EA7CD" w:rsidR="00F20967" w:rsidRPr="00606031" w:rsidRDefault="00F20967" w:rsidP="00DD1BFF">
      <w:pPr>
        <w:rPr>
          <w:rFonts w:ascii="Calibri" w:hAnsi="Calibri" w:cs="Calibri"/>
          <w:color w:val="000000" w:themeColor="text1"/>
          <w:sz w:val="22"/>
          <w:szCs w:val="22"/>
        </w:rPr>
        <w:sectPr w:rsidR="00F20967" w:rsidRPr="00606031" w:rsidSect="00606031">
          <w:type w:val="continuous"/>
          <w:pgSz w:w="11906" w:h="16838"/>
          <w:pgMar w:top="2552" w:right="849" w:bottom="1560" w:left="851" w:header="709" w:footer="283" w:gutter="0"/>
          <w:cols w:num="2" w:space="708"/>
          <w:docGrid w:linePitch="360"/>
        </w:sectPr>
      </w:pPr>
    </w:p>
    <w:p w14:paraId="602A8F07" w14:textId="77777777" w:rsidR="001B2E5E" w:rsidRDefault="001B2E5E" w:rsidP="00055000">
      <w:pPr>
        <w:overflowPunct/>
        <w:autoSpaceDE/>
        <w:autoSpaceDN/>
        <w:adjustRightInd/>
        <w:textAlignment w:val="auto"/>
        <w:rPr>
          <w:rFonts w:ascii="Calibri" w:hAnsi="Calibri" w:cs="Calibri"/>
          <w:b/>
          <w:bCs/>
          <w:color w:val="000000" w:themeColor="text1"/>
          <w:sz w:val="22"/>
          <w:szCs w:val="22"/>
        </w:rPr>
      </w:pPr>
    </w:p>
    <w:p w14:paraId="077932C6" w14:textId="00B08107" w:rsidR="00D1522E" w:rsidRPr="00D1522E" w:rsidRDefault="00C802D7" w:rsidP="009C5D66">
      <w:pPr>
        <w:rPr>
          <w:rFonts w:ascii="Calibri" w:hAnsi="Calibri" w:cs="Calibri"/>
          <w:b/>
          <w:color w:val="13576B"/>
          <w:sz w:val="24"/>
          <w:szCs w:val="24"/>
        </w:rPr>
      </w:pPr>
      <w:bookmarkStart w:id="6" w:name="_Hlk100672905"/>
      <w:bookmarkEnd w:id="5"/>
      <w:r w:rsidRPr="00C802D7">
        <w:rPr>
          <w:rFonts w:ascii="Calibri" w:hAnsi="Calibri" w:cs="Calibri"/>
          <w:b/>
          <w:color w:val="13576B"/>
          <w:sz w:val="24"/>
          <w:szCs w:val="24"/>
        </w:rPr>
        <w:t xml:space="preserve">Dopady na průměrnou měsíční hypoteční splátku </w:t>
      </w:r>
      <w:r w:rsidR="0008300C">
        <w:rPr>
          <w:rFonts w:ascii="Calibri" w:hAnsi="Calibri" w:cs="Calibri"/>
          <w:b/>
          <w:color w:val="13576B"/>
          <w:sz w:val="24"/>
          <w:szCs w:val="24"/>
        </w:rPr>
        <w:t>přes</w:t>
      </w:r>
      <w:r w:rsidRPr="00C802D7">
        <w:rPr>
          <w:rFonts w:ascii="Calibri" w:hAnsi="Calibri" w:cs="Calibri"/>
          <w:b/>
          <w:color w:val="13576B"/>
          <w:sz w:val="24"/>
          <w:szCs w:val="24"/>
        </w:rPr>
        <w:t xml:space="preserve"> 26 tisíc Kč</w:t>
      </w:r>
      <w:r w:rsidR="00D1522E" w:rsidRPr="00D1522E">
        <w:rPr>
          <w:rFonts w:ascii="Calibri" w:hAnsi="Calibri" w:cs="Calibri"/>
          <w:b/>
          <w:color w:val="13576B"/>
          <w:sz w:val="24"/>
          <w:szCs w:val="24"/>
        </w:rPr>
        <w:t xml:space="preserve">, ovšem s mediánem </w:t>
      </w:r>
      <w:r w:rsidR="0008300C">
        <w:rPr>
          <w:rFonts w:ascii="Calibri" w:hAnsi="Calibri" w:cs="Calibri"/>
          <w:b/>
          <w:color w:val="13576B"/>
          <w:sz w:val="24"/>
          <w:szCs w:val="24"/>
        </w:rPr>
        <w:t>u 21</w:t>
      </w:r>
      <w:r w:rsidR="00D1522E" w:rsidRPr="00D1522E">
        <w:rPr>
          <w:rFonts w:ascii="Calibri" w:hAnsi="Calibri" w:cs="Calibri"/>
          <w:b/>
          <w:color w:val="13576B"/>
          <w:sz w:val="24"/>
          <w:szCs w:val="24"/>
        </w:rPr>
        <w:t xml:space="preserve"> tisíc</w:t>
      </w:r>
    </w:p>
    <w:p w14:paraId="21211815" w14:textId="77777777" w:rsidR="00D1522E" w:rsidRDefault="00D1522E" w:rsidP="009C5D66">
      <w:pPr>
        <w:rPr>
          <w:rFonts w:ascii="Calibri" w:hAnsi="Calibri" w:cs="Calibri"/>
          <w:color w:val="000000" w:themeColor="text1"/>
          <w:sz w:val="22"/>
          <w:szCs w:val="22"/>
        </w:rPr>
      </w:pPr>
    </w:p>
    <w:p w14:paraId="3A63C797" w14:textId="77777777" w:rsidR="0008300C" w:rsidRDefault="00EA163C" w:rsidP="006D49D0">
      <w:pPr>
        <w:rPr>
          <w:rFonts w:ascii="Calibri" w:hAnsi="Calibri" w:cs="Calibri"/>
          <w:color w:val="000000" w:themeColor="text1"/>
          <w:sz w:val="22"/>
          <w:szCs w:val="22"/>
        </w:rPr>
      </w:pPr>
      <w:r w:rsidRPr="0008300C">
        <w:rPr>
          <w:rFonts w:ascii="Calibri" w:hAnsi="Calibri" w:cs="Calibri"/>
          <w:b/>
          <w:bCs/>
          <w:color w:val="000000" w:themeColor="text1"/>
          <w:sz w:val="22"/>
          <w:szCs w:val="22"/>
        </w:rPr>
        <w:t>Kombinace</w:t>
      </w:r>
      <w:r w:rsidR="0008300C" w:rsidRPr="0008300C">
        <w:rPr>
          <w:rFonts w:ascii="Calibri" w:hAnsi="Calibri" w:cs="Calibri"/>
          <w:b/>
          <w:bCs/>
          <w:color w:val="000000" w:themeColor="text1"/>
          <w:sz w:val="22"/>
          <w:szCs w:val="22"/>
        </w:rPr>
        <w:t xml:space="preserve"> stále nižší</w:t>
      </w:r>
      <w:r w:rsidRPr="0008300C">
        <w:rPr>
          <w:rFonts w:ascii="Calibri" w:hAnsi="Calibri" w:cs="Calibri"/>
          <w:b/>
          <w:bCs/>
          <w:color w:val="000000" w:themeColor="text1"/>
          <w:sz w:val="22"/>
          <w:szCs w:val="22"/>
        </w:rPr>
        <w:t xml:space="preserve"> úrokové sazby a vyšší průměrné výše hypotéky v dubnu 2026 zvýšily</w:t>
      </w:r>
      <w:r w:rsidR="0008300C" w:rsidRPr="0008300C">
        <w:rPr>
          <w:rFonts w:ascii="Calibri" w:hAnsi="Calibri" w:cs="Calibri"/>
          <w:b/>
          <w:bCs/>
          <w:color w:val="000000" w:themeColor="text1"/>
          <w:sz w:val="22"/>
          <w:szCs w:val="22"/>
        </w:rPr>
        <w:t xml:space="preserve"> aktuální</w:t>
      </w:r>
      <w:r w:rsidRPr="0008300C">
        <w:rPr>
          <w:rFonts w:ascii="Calibri" w:hAnsi="Calibri" w:cs="Calibri"/>
          <w:b/>
          <w:bCs/>
          <w:color w:val="000000" w:themeColor="text1"/>
          <w:sz w:val="22"/>
          <w:szCs w:val="22"/>
        </w:rPr>
        <w:t xml:space="preserve"> průměrnou měsíční splátku nově poskytnuté hypotéky o 3,5 tis. Kč</w:t>
      </w:r>
      <w:r w:rsidR="0008300C" w:rsidRPr="0008300C">
        <w:rPr>
          <w:rFonts w:ascii="Calibri" w:hAnsi="Calibri" w:cs="Calibri"/>
          <w:b/>
          <w:bCs/>
          <w:color w:val="000000" w:themeColor="text1"/>
          <w:sz w:val="22"/>
          <w:szCs w:val="22"/>
        </w:rPr>
        <w:t xml:space="preserve"> v porovnání s podmínkami z roku 2025</w:t>
      </w:r>
      <w:r w:rsidRPr="0008300C">
        <w:rPr>
          <w:rFonts w:ascii="Calibri" w:hAnsi="Calibri" w:cs="Calibri"/>
          <w:b/>
          <w:bCs/>
          <w:color w:val="000000" w:themeColor="text1"/>
          <w:sz w:val="22"/>
          <w:szCs w:val="22"/>
        </w:rPr>
        <w:t xml:space="preserve">. </w:t>
      </w:r>
      <w:r w:rsidRPr="00EA163C">
        <w:rPr>
          <w:rFonts w:ascii="Calibri" w:hAnsi="Calibri" w:cs="Calibri"/>
          <w:color w:val="000000" w:themeColor="text1"/>
          <w:sz w:val="22"/>
          <w:szCs w:val="22"/>
        </w:rPr>
        <w:t xml:space="preserve">Scénáře vývoje měsíční splátky pro různé délky splatnosti hypotéky znázorňuje tabulka č. 2. Ta napovídá, že pokles hypotečních sazeb bezmála o </w:t>
      </w:r>
      <w:proofErr w:type="gramStart"/>
      <w:r w:rsidRPr="00EA163C">
        <w:rPr>
          <w:rFonts w:ascii="Calibri" w:hAnsi="Calibri" w:cs="Calibri"/>
          <w:color w:val="000000" w:themeColor="text1"/>
          <w:sz w:val="22"/>
          <w:szCs w:val="22"/>
        </w:rPr>
        <w:t>0,1 procentního</w:t>
      </w:r>
      <w:proofErr w:type="gramEnd"/>
      <w:r w:rsidRPr="00EA163C">
        <w:rPr>
          <w:rFonts w:ascii="Calibri" w:hAnsi="Calibri" w:cs="Calibri"/>
          <w:color w:val="000000" w:themeColor="text1"/>
          <w:sz w:val="22"/>
          <w:szCs w:val="22"/>
        </w:rPr>
        <w:t xml:space="preserve"> bodu vůči jejich průměrné výši 4,58 % v roce 2025 přinesl, pro průměrnou velikost hypotéky při jejím obvyklém přibližně 26,8letém splácení, snížení měsíční splátky o necelých 200 Kč na přibližně 26,2 tis. Kč, tedy o 0,2 % čistého příjmu žadatele v porovnání s průměrnou splátkou v minulém roce. </w:t>
      </w:r>
    </w:p>
    <w:p w14:paraId="3840AB21" w14:textId="77777777" w:rsidR="00EA163C" w:rsidRDefault="00EA163C" w:rsidP="006D49D0">
      <w:pPr>
        <w:rPr>
          <w:rFonts w:ascii="Calibri" w:hAnsi="Calibri" w:cs="Calibri"/>
          <w:color w:val="000000" w:themeColor="text1"/>
          <w:sz w:val="22"/>
          <w:szCs w:val="22"/>
        </w:rPr>
      </w:pPr>
    </w:p>
    <w:p w14:paraId="43EC1451" w14:textId="0B9083A7" w:rsidR="0008300C" w:rsidRDefault="0008300C" w:rsidP="006D49D0">
      <w:pPr>
        <w:rPr>
          <w:rFonts w:ascii="Calibri" w:hAnsi="Calibri" w:cs="Calibri"/>
          <w:color w:val="000000" w:themeColor="text1"/>
          <w:sz w:val="22"/>
          <w:szCs w:val="22"/>
        </w:rPr>
      </w:pPr>
      <w:r>
        <w:rPr>
          <w:rFonts w:ascii="Calibri" w:hAnsi="Calibri" w:cs="Calibri"/>
          <w:b/>
          <w:bCs/>
          <w:color w:val="000000" w:themeColor="text1"/>
          <w:sz w:val="22"/>
          <w:szCs w:val="22"/>
        </w:rPr>
        <w:t>V</w:t>
      </w:r>
      <w:r w:rsidRPr="0008300C">
        <w:rPr>
          <w:rFonts w:ascii="Calibri" w:hAnsi="Calibri" w:cs="Calibri"/>
          <w:b/>
          <w:bCs/>
          <w:color w:val="000000" w:themeColor="text1"/>
          <w:sz w:val="22"/>
          <w:szCs w:val="22"/>
        </w:rPr>
        <w:t xml:space="preserve">e srovnání s průměrnou </w:t>
      </w:r>
      <w:proofErr w:type="gramStart"/>
      <w:r w:rsidRPr="0008300C">
        <w:rPr>
          <w:rFonts w:ascii="Calibri" w:hAnsi="Calibri" w:cs="Calibri"/>
          <w:b/>
          <w:bCs/>
          <w:color w:val="000000" w:themeColor="text1"/>
          <w:sz w:val="22"/>
          <w:szCs w:val="22"/>
        </w:rPr>
        <w:t>2,33%</w:t>
      </w:r>
      <w:proofErr w:type="gramEnd"/>
      <w:r w:rsidRPr="0008300C">
        <w:rPr>
          <w:rFonts w:ascii="Calibri" w:hAnsi="Calibri" w:cs="Calibri"/>
          <w:b/>
          <w:bCs/>
          <w:color w:val="000000" w:themeColor="text1"/>
          <w:sz w:val="22"/>
          <w:szCs w:val="22"/>
        </w:rPr>
        <w:t xml:space="preserve"> úrokovou hypoteční sazbou pro nové hypotéky v roce 2021</w:t>
      </w:r>
      <w:r w:rsidRPr="0008300C">
        <w:rPr>
          <w:rFonts w:ascii="Calibri" w:hAnsi="Calibri" w:cs="Calibri"/>
          <w:color w:val="000000" w:themeColor="text1"/>
          <w:sz w:val="22"/>
          <w:szCs w:val="22"/>
        </w:rPr>
        <w:t xml:space="preserve"> tak současná hypoteční sazba pro refinancování ve výši 4,42 % při zkrácení splatnosti úvěru zvedá měsíční splátky u průměrné hypotéky více než 3000 Kč, tedy asi o 5,8 % současné hrubé průměrné mzdy.</w:t>
      </w:r>
      <w:r>
        <w:rPr>
          <w:rFonts w:ascii="Calibri" w:hAnsi="Calibri" w:cs="Calibri"/>
          <w:color w:val="000000" w:themeColor="text1"/>
          <w:sz w:val="22"/>
          <w:szCs w:val="22"/>
        </w:rPr>
        <w:t xml:space="preserve"> Dopady a okolnosti jsme diskutovali v</w:t>
      </w:r>
      <w:r w:rsidR="00634080">
        <w:rPr>
          <w:rFonts w:ascii="Calibri" w:hAnsi="Calibri" w:cs="Calibri"/>
          <w:color w:val="000000" w:themeColor="text1"/>
          <w:sz w:val="22"/>
          <w:szCs w:val="22"/>
        </w:rPr>
        <w:t xml:space="preserve">e </w:t>
      </w:r>
      <w:r w:rsidR="00634080" w:rsidRPr="00DA2CF3">
        <w:rPr>
          <w:rFonts w:ascii="Calibri" w:hAnsi="Calibri" w:cs="Calibri"/>
          <w:color w:val="000000"/>
          <w:sz w:val="22"/>
          <w:szCs w:val="22"/>
        </w:rPr>
        <w:t xml:space="preserve">Fokus ČBA: </w:t>
      </w:r>
      <w:hyperlink r:id="rId23" w:history="1">
        <w:r w:rsidR="00634080" w:rsidRPr="00DA2CF3">
          <w:rPr>
            <w:rStyle w:val="Hypertextovodkaz"/>
            <w:rFonts w:ascii="Calibri" w:hAnsi="Calibri" w:cs="Calibri"/>
            <w:sz w:val="22"/>
            <w:szCs w:val="22"/>
          </w:rPr>
          <w:t>Vlna refixací hypoték sílí, úrokový šok ale slábne. Rizikem zůstává vyšší inflace</w:t>
        </w:r>
      </w:hyperlink>
      <w:r w:rsidR="00634080" w:rsidRPr="00DA2CF3">
        <w:rPr>
          <w:rFonts w:ascii="Calibri" w:hAnsi="Calibri" w:cs="Calibri"/>
          <w:sz w:val="22"/>
          <w:szCs w:val="22"/>
        </w:rPr>
        <w:t>.</w:t>
      </w:r>
      <w:r w:rsidR="00634080">
        <w:t xml:space="preserve"> </w:t>
      </w:r>
      <w:r>
        <w:rPr>
          <w:rFonts w:ascii="Calibri" w:hAnsi="Calibri" w:cs="Calibri"/>
          <w:color w:val="000000" w:themeColor="text1"/>
          <w:sz w:val="22"/>
          <w:szCs w:val="22"/>
        </w:rPr>
        <w:t xml:space="preserve"> </w:t>
      </w:r>
    </w:p>
    <w:p w14:paraId="3A69680F" w14:textId="77777777" w:rsidR="0008300C" w:rsidRDefault="0008300C" w:rsidP="008569DC">
      <w:pPr>
        <w:overflowPunct/>
        <w:autoSpaceDE/>
        <w:autoSpaceDN/>
        <w:adjustRightInd/>
        <w:spacing w:line="259" w:lineRule="auto"/>
        <w:textAlignment w:val="auto"/>
        <w:rPr>
          <w:rFonts w:ascii="Calibri" w:hAnsi="Calibri" w:cs="Calibri"/>
          <w:b/>
          <w:color w:val="13576B"/>
          <w:sz w:val="23"/>
          <w:szCs w:val="23"/>
        </w:rPr>
      </w:pPr>
      <w:bookmarkStart w:id="7" w:name="_Hlk190458144"/>
      <w:bookmarkEnd w:id="6"/>
    </w:p>
    <w:p w14:paraId="1A267256" w14:textId="6FC38244" w:rsidR="009D3067" w:rsidRDefault="009D3067" w:rsidP="008569DC">
      <w:pPr>
        <w:overflowPunct/>
        <w:autoSpaceDE/>
        <w:autoSpaceDN/>
        <w:adjustRightInd/>
        <w:spacing w:line="259" w:lineRule="auto"/>
        <w:textAlignment w:val="auto"/>
        <w:rPr>
          <w:rFonts w:ascii="Calibri" w:hAnsi="Calibri" w:cs="Calibri"/>
          <w:b/>
          <w:color w:val="13576B"/>
          <w:sz w:val="23"/>
          <w:szCs w:val="23"/>
        </w:rPr>
      </w:pPr>
      <w:r w:rsidRPr="00515ECA">
        <w:rPr>
          <w:rFonts w:ascii="Calibri" w:hAnsi="Calibri" w:cs="Calibri"/>
          <w:b/>
          <w:color w:val="13576B"/>
          <w:sz w:val="23"/>
          <w:szCs w:val="23"/>
        </w:rPr>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w:t>
      </w:r>
      <w:r w:rsidR="00D1522E">
        <w:rPr>
          <w:rFonts w:ascii="Calibri" w:hAnsi="Calibri" w:cs="Calibri"/>
          <w:b/>
          <w:color w:val="13576B"/>
          <w:sz w:val="23"/>
          <w:szCs w:val="23"/>
        </w:rPr>
        <w:t xml:space="preserve"> a mediánové</w:t>
      </w:r>
      <w:r w:rsidRPr="00515ECA">
        <w:rPr>
          <w:rFonts w:ascii="Calibri" w:hAnsi="Calibri" w:cs="Calibri"/>
          <w:b/>
          <w:color w:val="13576B"/>
          <w:sz w:val="23"/>
          <w:szCs w:val="23"/>
        </w:rPr>
        <w:t xml:space="preserve"> hypotéky v závislosti na délce splatnosti a úrokové sazbě</w:t>
      </w:r>
    </w:p>
    <w:p w14:paraId="284B4CCF" w14:textId="1FDC905A" w:rsidR="0025756A" w:rsidRDefault="0025756A" w:rsidP="008569DC">
      <w:pPr>
        <w:overflowPunct/>
        <w:autoSpaceDE/>
        <w:autoSpaceDN/>
        <w:adjustRightInd/>
        <w:spacing w:line="259" w:lineRule="auto"/>
        <w:textAlignment w:val="auto"/>
        <w:rPr>
          <w:rFonts w:ascii="Calibri" w:hAnsi="Calibri" w:cs="Calibri"/>
          <w:b/>
          <w:color w:val="13576B"/>
          <w:sz w:val="23"/>
          <w:szCs w:val="23"/>
        </w:rPr>
      </w:pPr>
      <w:r w:rsidRPr="0025756A">
        <w:rPr>
          <w:rFonts w:ascii="Calibri" w:hAnsi="Calibri" w:cs="Calibri"/>
          <w:b/>
          <w:noProof/>
          <w:color w:val="13576B"/>
          <w:sz w:val="23"/>
          <w:szCs w:val="23"/>
        </w:rPr>
        <w:drawing>
          <wp:inline distT="0" distB="0" distL="0" distR="0" wp14:anchorId="45B22486" wp14:editId="775F054E">
            <wp:extent cx="6480810" cy="1340485"/>
            <wp:effectExtent l="0" t="0" r="0" b="0"/>
            <wp:docPr id="20131588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0810" cy="1340485"/>
                    </a:xfrm>
                    <a:prstGeom prst="rect">
                      <a:avLst/>
                    </a:prstGeom>
                    <a:noFill/>
                    <a:ln>
                      <a:noFill/>
                    </a:ln>
                  </pic:spPr>
                </pic:pic>
              </a:graphicData>
            </a:graphic>
          </wp:inline>
        </w:drawing>
      </w:r>
    </w:p>
    <w:p w14:paraId="147D1458" w14:textId="77777777" w:rsidR="007C411F" w:rsidRPr="007C411F" w:rsidRDefault="007C411F" w:rsidP="007C411F">
      <w:pPr>
        <w:overflowPunct/>
        <w:autoSpaceDE/>
        <w:adjustRightInd/>
        <w:rPr>
          <w:rFonts w:ascii="Poppins" w:hAnsi="Poppins" w:cs="Poppins"/>
          <w:color w:val="212529"/>
          <w:sz w:val="24"/>
          <w:szCs w:val="24"/>
        </w:rPr>
      </w:pPr>
      <w:r w:rsidRPr="007C411F">
        <w:rPr>
          <w:rFonts w:ascii="Calibri Light" w:hAnsi="Calibri Light" w:cs="Calibri Light"/>
          <w:color w:val="13576B"/>
          <w:sz w:val="20"/>
        </w:rPr>
        <w:t>Pramen: ČBA (tabulka s hodnotami je k dispozici v xls souboru, který je přílohou této zprávy)</w:t>
      </w:r>
      <w:r w:rsidRPr="007C411F">
        <w:rPr>
          <w:rFonts w:ascii="Calibri Light" w:hAnsi="Calibri Light" w:cs="Calibri Light"/>
          <w:color w:val="13576B"/>
          <w:sz w:val="20"/>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p>
    <w:p w14:paraId="3F1ACB94" w14:textId="63A4287F" w:rsidR="00D1522E" w:rsidRDefault="00D1522E" w:rsidP="00D1522E">
      <w:pPr>
        <w:rPr>
          <w:rFonts w:ascii="Calibri" w:hAnsi="Calibri" w:cs="Calibri"/>
          <w:b/>
          <w:color w:val="13576B"/>
          <w:sz w:val="24"/>
          <w:szCs w:val="24"/>
        </w:rPr>
      </w:pPr>
      <w:r w:rsidRPr="00D03B38">
        <w:rPr>
          <w:rFonts w:ascii="Calibri" w:hAnsi="Calibri" w:cs="Calibri"/>
          <w:b/>
          <w:color w:val="13576B"/>
          <w:sz w:val="24"/>
          <w:szCs w:val="24"/>
        </w:rPr>
        <w:t xml:space="preserve">Průměrná velikost nově poskytnuté hypotéky </w:t>
      </w:r>
      <w:r>
        <w:rPr>
          <w:rFonts w:ascii="Calibri" w:hAnsi="Calibri" w:cs="Calibri"/>
          <w:b/>
          <w:color w:val="13576B"/>
          <w:sz w:val="24"/>
          <w:szCs w:val="24"/>
        </w:rPr>
        <w:t>se s </w:t>
      </w:r>
      <w:r w:rsidR="00EA163C">
        <w:rPr>
          <w:rFonts w:ascii="Calibri" w:hAnsi="Calibri" w:cs="Calibri"/>
          <w:b/>
          <w:color w:val="13576B"/>
          <w:sz w:val="24"/>
          <w:szCs w:val="24"/>
        </w:rPr>
        <w:t>dubnovými</w:t>
      </w:r>
      <w:r>
        <w:rPr>
          <w:rFonts w:ascii="Calibri" w:hAnsi="Calibri" w:cs="Calibri"/>
          <w:b/>
          <w:color w:val="13576B"/>
          <w:sz w:val="24"/>
          <w:szCs w:val="24"/>
        </w:rPr>
        <w:t xml:space="preserve"> </w:t>
      </w:r>
      <w:r w:rsidRPr="00D03B38">
        <w:rPr>
          <w:rFonts w:ascii="Calibri" w:hAnsi="Calibri" w:cs="Calibri"/>
          <w:b/>
          <w:color w:val="13576B"/>
          <w:sz w:val="24"/>
          <w:szCs w:val="24"/>
        </w:rPr>
        <w:t>4,</w:t>
      </w:r>
      <w:r w:rsidR="00EA163C">
        <w:rPr>
          <w:rFonts w:ascii="Calibri" w:hAnsi="Calibri" w:cs="Calibri"/>
          <w:b/>
          <w:color w:val="13576B"/>
          <w:sz w:val="24"/>
          <w:szCs w:val="24"/>
        </w:rPr>
        <w:t>89</w:t>
      </w:r>
      <w:r w:rsidRPr="00D03B38">
        <w:rPr>
          <w:rFonts w:ascii="Calibri" w:hAnsi="Calibri" w:cs="Calibri"/>
          <w:b/>
          <w:color w:val="13576B"/>
          <w:sz w:val="24"/>
          <w:szCs w:val="24"/>
        </w:rPr>
        <w:t xml:space="preserve"> mil. Kč</w:t>
      </w:r>
      <w:r>
        <w:rPr>
          <w:rFonts w:ascii="Calibri" w:hAnsi="Calibri" w:cs="Calibri"/>
          <w:b/>
          <w:color w:val="13576B"/>
          <w:sz w:val="24"/>
          <w:szCs w:val="24"/>
        </w:rPr>
        <w:t xml:space="preserve"> udržuje na růstové trajektorii </w:t>
      </w:r>
    </w:p>
    <w:p w14:paraId="0200B3F4" w14:textId="77777777" w:rsidR="00D1522E" w:rsidRDefault="00D1522E" w:rsidP="00D1522E">
      <w:pPr>
        <w:overflowPunct/>
        <w:autoSpaceDE/>
        <w:autoSpaceDN/>
        <w:adjustRightInd/>
        <w:textAlignment w:val="auto"/>
        <w:rPr>
          <w:rFonts w:ascii="Calibri" w:hAnsi="Calibri" w:cs="Calibri"/>
          <w:color w:val="000000"/>
          <w:sz w:val="22"/>
          <w:szCs w:val="22"/>
        </w:rPr>
      </w:pPr>
    </w:p>
    <w:p w14:paraId="21EAE44F" w14:textId="11BA1BCF" w:rsidR="00C802D7" w:rsidRDefault="00295F01" w:rsidP="00C802D7">
      <w:pPr>
        <w:overflowPunct/>
        <w:autoSpaceDE/>
        <w:autoSpaceDN/>
        <w:adjustRightInd/>
        <w:textAlignment w:val="auto"/>
        <w:rPr>
          <w:rFonts w:ascii="Calibri" w:hAnsi="Calibri" w:cs="Calibri"/>
          <w:color w:val="000000"/>
          <w:sz w:val="22"/>
          <w:szCs w:val="22"/>
        </w:rPr>
      </w:pPr>
      <w:r w:rsidRPr="00295F01">
        <w:rPr>
          <w:rFonts w:ascii="Calibri" w:hAnsi="Calibri" w:cs="Calibri"/>
          <w:b/>
          <w:bCs/>
          <w:color w:val="000000"/>
          <w:sz w:val="22"/>
          <w:szCs w:val="22"/>
        </w:rPr>
        <w:t>Průměrná velikost skutečně nově poskytnuté hypotéky v dubnu mírně stoupla na 4,89 mil. Kč, tedy téměř o 2 % meziměsíčně.</w:t>
      </w:r>
      <w:r w:rsidRPr="00EA163C">
        <w:rPr>
          <w:rFonts w:ascii="Calibri" w:hAnsi="Calibri" w:cs="Calibri"/>
          <w:color w:val="000000"/>
          <w:sz w:val="22"/>
          <w:szCs w:val="22"/>
        </w:rPr>
        <w:t xml:space="preserve"> Její velikost je tak o 20 % vyšší než 4,07 mil. Kč před rokem. </w:t>
      </w:r>
      <w:r w:rsidR="00C802D7">
        <w:rPr>
          <w:rFonts w:ascii="Calibri" w:hAnsi="Calibri" w:cs="Calibri"/>
          <w:color w:val="000000"/>
          <w:sz w:val="22"/>
          <w:szCs w:val="22"/>
        </w:rPr>
        <w:t xml:space="preserve">Vyšší průměrná velikost hypotéky </w:t>
      </w:r>
      <w:r>
        <w:rPr>
          <w:rFonts w:ascii="Calibri" w:hAnsi="Calibri" w:cs="Calibri"/>
          <w:color w:val="000000"/>
          <w:sz w:val="22"/>
          <w:szCs w:val="22"/>
        </w:rPr>
        <w:t xml:space="preserve">na počátku letošního roku </w:t>
      </w:r>
      <w:r w:rsidR="00C802D7">
        <w:rPr>
          <w:rFonts w:ascii="Calibri" w:hAnsi="Calibri" w:cs="Calibri"/>
          <w:color w:val="000000"/>
          <w:sz w:val="22"/>
          <w:szCs w:val="22"/>
        </w:rPr>
        <w:t xml:space="preserve">pravděpodobně odráží </w:t>
      </w:r>
      <w:r>
        <w:rPr>
          <w:rFonts w:ascii="Calibri" w:hAnsi="Calibri" w:cs="Calibri"/>
          <w:color w:val="000000"/>
          <w:sz w:val="22"/>
          <w:szCs w:val="22"/>
        </w:rPr>
        <w:t xml:space="preserve">doznívající </w:t>
      </w:r>
      <w:r w:rsidR="00C802D7">
        <w:rPr>
          <w:rFonts w:ascii="Calibri" w:hAnsi="Calibri" w:cs="Calibri"/>
          <w:color w:val="000000"/>
          <w:sz w:val="22"/>
          <w:szCs w:val="22"/>
        </w:rPr>
        <w:t xml:space="preserve">efekt předzásobení u tzv. investičních hypoték, kde od dubna </w:t>
      </w:r>
      <w:hyperlink r:id="rId25" w:history="1">
        <w:r w:rsidR="00C802D7" w:rsidRPr="00770E5B">
          <w:rPr>
            <w:rStyle w:val="Hypertextovodkaz"/>
            <w:rFonts w:ascii="Calibri" w:hAnsi="Calibri" w:cs="Calibri"/>
            <w:sz w:val="22"/>
            <w:szCs w:val="22"/>
          </w:rPr>
          <w:t>ČNB zpřísn</w:t>
        </w:r>
        <w:r w:rsidRPr="00770E5B">
          <w:rPr>
            <w:rStyle w:val="Hypertextovodkaz"/>
            <w:rFonts w:ascii="Calibri" w:hAnsi="Calibri" w:cs="Calibri"/>
            <w:sz w:val="22"/>
            <w:szCs w:val="22"/>
          </w:rPr>
          <w:t>ila</w:t>
        </w:r>
        <w:r w:rsidR="00C802D7" w:rsidRPr="00770E5B">
          <w:rPr>
            <w:rStyle w:val="Hypertextovodkaz"/>
            <w:rFonts w:ascii="Calibri" w:hAnsi="Calibri" w:cs="Calibri"/>
            <w:sz w:val="22"/>
            <w:szCs w:val="22"/>
          </w:rPr>
          <w:t xml:space="preserve"> požadavky</w:t>
        </w:r>
      </w:hyperlink>
      <w:r w:rsidR="00C802D7">
        <w:rPr>
          <w:rFonts w:ascii="Calibri" w:hAnsi="Calibri" w:cs="Calibri"/>
          <w:color w:val="000000"/>
          <w:sz w:val="22"/>
          <w:szCs w:val="22"/>
        </w:rPr>
        <w:t xml:space="preserve"> (LTV na 70 % a DTI na 7x)</w:t>
      </w:r>
      <w:r>
        <w:rPr>
          <w:rFonts w:ascii="Calibri" w:hAnsi="Calibri" w:cs="Calibri"/>
          <w:color w:val="000000"/>
          <w:sz w:val="22"/>
          <w:szCs w:val="22"/>
        </w:rPr>
        <w:t>. Zároveň e</w:t>
      </w:r>
      <w:r w:rsidR="00C802D7">
        <w:rPr>
          <w:rFonts w:ascii="Calibri" w:hAnsi="Calibri" w:cs="Calibri"/>
          <w:color w:val="000000"/>
          <w:sz w:val="22"/>
          <w:szCs w:val="22"/>
        </w:rPr>
        <w:t>fekt předzásobení asi bude relevantní i kvůli zlomu v tržních úrokových sazbách</w:t>
      </w:r>
      <w:r>
        <w:rPr>
          <w:rFonts w:ascii="Calibri" w:hAnsi="Calibri" w:cs="Calibri"/>
          <w:color w:val="000000"/>
          <w:sz w:val="22"/>
          <w:szCs w:val="22"/>
        </w:rPr>
        <w:t>, tedy využití stále nižších hypotečních úrokových sazeb</w:t>
      </w:r>
      <w:r w:rsidR="00C802D7">
        <w:rPr>
          <w:rFonts w:ascii="Calibri" w:hAnsi="Calibri" w:cs="Calibri"/>
          <w:color w:val="000000"/>
          <w:sz w:val="22"/>
          <w:szCs w:val="22"/>
        </w:rPr>
        <w:t xml:space="preserve">. Na pozadí také působí </w:t>
      </w:r>
      <w:r w:rsidR="00C802D7" w:rsidRPr="00650088">
        <w:rPr>
          <w:rFonts w:ascii="Calibri" w:hAnsi="Calibri" w:cs="Calibri"/>
          <w:color w:val="000000"/>
          <w:sz w:val="22"/>
          <w:szCs w:val="22"/>
        </w:rPr>
        <w:t xml:space="preserve">postupný růst reálných </w:t>
      </w:r>
      <w:r w:rsidR="00C802D7">
        <w:rPr>
          <w:rFonts w:ascii="Calibri" w:hAnsi="Calibri" w:cs="Calibri"/>
          <w:color w:val="000000"/>
          <w:sz w:val="22"/>
          <w:szCs w:val="22"/>
        </w:rPr>
        <w:t>mezd</w:t>
      </w:r>
      <w:r w:rsidR="00C802D7" w:rsidRPr="00650088">
        <w:rPr>
          <w:rFonts w:ascii="Calibri" w:hAnsi="Calibri" w:cs="Calibri"/>
          <w:color w:val="000000"/>
          <w:sz w:val="22"/>
          <w:szCs w:val="22"/>
        </w:rPr>
        <w:t xml:space="preserve"> domácností (</w:t>
      </w:r>
      <w:r w:rsidR="00C802D7">
        <w:rPr>
          <w:rFonts w:ascii="Calibri" w:hAnsi="Calibri" w:cs="Calibri"/>
          <w:color w:val="000000"/>
          <w:sz w:val="22"/>
          <w:szCs w:val="22"/>
        </w:rPr>
        <w:t>5,1</w:t>
      </w:r>
      <w:r w:rsidR="00C802D7" w:rsidRPr="00055000">
        <w:rPr>
          <w:rFonts w:ascii="Calibri" w:hAnsi="Calibri" w:cs="Calibri"/>
          <w:color w:val="000000" w:themeColor="text1"/>
          <w:sz w:val="22"/>
          <w:szCs w:val="22"/>
        </w:rPr>
        <w:t xml:space="preserve"> % meziročně </w:t>
      </w:r>
      <w:r w:rsidR="00C802D7">
        <w:rPr>
          <w:rFonts w:ascii="Calibri" w:hAnsi="Calibri" w:cs="Calibri"/>
          <w:color w:val="000000"/>
          <w:sz w:val="22"/>
          <w:szCs w:val="22"/>
        </w:rPr>
        <w:t>v </w:t>
      </w:r>
      <w:hyperlink r:id="rId26" w:history="1">
        <w:r w:rsidR="00C802D7" w:rsidRPr="00E96618">
          <w:rPr>
            <w:rStyle w:val="Hypertextovodkaz"/>
            <w:rFonts w:ascii="Calibri" w:hAnsi="Calibri" w:cs="Calibri"/>
            <w:sz w:val="22"/>
            <w:szCs w:val="22"/>
          </w:rPr>
          <w:t>Q</w:t>
        </w:r>
        <w:r w:rsidR="00C802D7">
          <w:rPr>
            <w:rStyle w:val="Hypertextovodkaz"/>
            <w:rFonts w:ascii="Calibri" w:hAnsi="Calibri" w:cs="Calibri"/>
            <w:sz w:val="22"/>
            <w:szCs w:val="22"/>
          </w:rPr>
          <w:t>4</w:t>
        </w:r>
        <w:r w:rsidR="00C802D7" w:rsidRPr="00E96618">
          <w:rPr>
            <w:rStyle w:val="Hypertextovodkaz"/>
            <w:rFonts w:ascii="Calibri" w:hAnsi="Calibri" w:cs="Calibri"/>
            <w:sz w:val="22"/>
            <w:szCs w:val="22"/>
          </w:rPr>
          <w:t>-2025</w:t>
        </w:r>
      </w:hyperlink>
      <w:r>
        <w:t>;</w:t>
      </w:r>
      <w:r w:rsidR="00C802D7" w:rsidRPr="009C040E">
        <w:rPr>
          <w:rFonts w:ascii="Calibri" w:hAnsi="Calibri" w:cs="Calibri"/>
          <w:sz w:val="22"/>
          <w:szCs w:val="22"/>
        </w:rPr>
        <w:t xml:space="preserve"> graficky </w:t>
      </w:r>
      <w:hyperlink r:id="rId27" w:history="1">
        <w:r w:rsidR="00C802D7" w:rsidRPr="009C040E">
          <w:rPr>
            <w:rStyle w:val="Hypertextovodkaz"/>
            <w:rFonts w:ascii="Calibri" w:hAnsi="Calibri" w:cs="Calibri"/>
            <w:sz w:val="22"/>
            <w:szCs w:val="22"/>
          </w:rPr>
          <w:t>zde</w:t>
        </w:r>
      </w:hyperlink>
      <w:r w:rsidR="00C802D7" w:rsidRPr="00650088">
        <w:rPr>
          <w:rFonts w:ascii="Calibri" w:hAnsi="Calibri" w:cs="Calibri"/>
          <w:color w:val="000000"/>
          <w:sz w:val="22"/>
          <w:szCs w:val="22"/>
        </w:rPr>
        <w:t>)</w:t>
      </w:r>
      <w:r w:rsidR="00C802D7">
        <w:rPr>
          <w:rFonts w:ascii="Calibri" w:hAnsi="Calibri" w:cs="Calibri"/>
          <w:color w:val="000000"/>
          <w:sz w:val="22"/>
          <w:szCs w:val="22"/>
        </w:rPr>
        <w:t xml:space="preserve">. </w:t>
      </w:r>
    </w:p>
    <w:p w14:paraId="1A461AA6" w14:textId="77777777" w:rsidR="00EA163C" w:rsidRDefault="00EA163C" w:rsidP="00C802D7">
      <w:pPr>
        <w:overflowPunct/>
        <w:autoSpaceDE/>
        <w:autoSpaceDN/>
        <w:adjustRightInd/>
        <w:textAlignment w:val="auto"/>
        <w:rPr>
          <w:rFonts w:ascii="Calibri" w:hAnsi="Calibri" w:cs="Calibri"/>
          <w:color w:val="000000"/>
          <w:sz w:val="22"/>
          <w:szCs w:val="22"/>
        </w:rPr>
      </w:pPr>
    </w:p>
    <w:p w14:paraId="4D390434" w14:textId="7173B230" w:rsidR="00C802D7" w:rsidRDefault="00C802D7" w:rsidP="00C802D7">
      <w:pPr>
        <w:overflowPunct/>
        <w:autoSpaceDE/>
        <w:autoSpaceDN/>
        <w:adjustRightInd/>
        <w:textAlignment w:val="auto"/>
        <w:rPr>
          <w:rFonts w:ascii="Calibri" w:hAnsi="Calibri" w:cs="Calibri"/>
          <w:color w:val="000000"/>
          <w:sz w:val="22"/>
          <w:szCs w:val="22"/>
        </w:rPr>
      </w:pPr>
      <w:r w:rsidRPr="00616F34">
        <w:rPr>
          <w:rFonts w:ascii="Calibri" w:hAnsi="Calibri" w:cs="Calibri"/>
          <w:b/>
          <w:bCs/>
          <w:color w:val="000000"/>
          <w:sz w:val="22"/>
          <w:szCs w:val="22"/>
        </w:rPr>
        <w:t>Výše hypotéky pak souvisí také s vývojem cen nemovitostí,</w:t>
      </w:r>
      <w:r w:rsidRPr="004803D6">
        <w:rPr>
          <w:rFonts w:ascii="Calibri" w:hAnsi="Calibri" w:cs="Calibri"/>
          <w:color w:val="000000"/>
          <w:sz w:val="22"/>
          <w:szCs w:val="22"/>
        </w:rPr>
        <w:t xml:space="preserve"> které </w:t>
      </w:r>
      <w:r>
        <w:rPr>
          <w:rFonts w:ascii="Calibri" w:hAnsi="Calibri" w:cs="Calibri"/>
          <w:color w:val="000000"/>
          <w:sz w:val="22"/>
          <w:szCs w:val="22"/>
        </w:rPr>
        <w:t>i ve čtvrt</w:t>
      </w:r>
      <w:r w:rsidR="000B7D19">
        <w:rPr>
          <w:rFonts w:ascii="Calibri" w:hAnsi="Calibri" w:cs="Calibri"/>
          <w:color w:val="000000"/>
          <w:sz w:val="22"/>
          <w:szCs w:val="22"/>
        </w:rPr>
        <w:t>é</w:t>
      </w:r>
      <w:r>
        <w:rPr>
          <w:rFonts w:ascii="Calibri" w:hAnsi="Calibri" w:cs="Calibri"/>
          <w:color w:val="000000"/>
          <w:sz w:val="22"/>
          <w:szCs w:val="22"/>
        </w:rPr>
        <w:t xml:space="preserve">m čtvrtletí roku 2025 pokračovaly se silným téměř </w:t>
      </w:r>
      <w:hyperlink r:id="rId28" w:history="1">
        <w:proofErr w:type="gramStart"/>
        <w:r w:rsidRPr="00356A6D">
          <w:rPr>
            <w:rStyle w:val="Hypertextovodkaz"/>
            <w:rFonts w:ascii="Calibri" w:hAnsi="Calibri" w:cs="Calibri"/>
            <w:sz w:val="22"/>
            <w:szCs w:val="22"/>
          </w:rPr>
          <w:t>11%</w:t>
        </w:r>
        <w:proofErr w:type="gramEnd"/>
        <w:r w:rsidRPr="00356A6D">
          <w:rPr>
            <w:rStyle w:val="Hypertextovodkaz"/>
            <w:rFonts w:ascii="Calibri" w:hAnsi="Calibri" w:cs="Calibri"/>
            <w:sz w:val="22"/>
            <w:szCs w:val="22"/>
          </w:rPr>
          <w:t xml:space="preserve"> meziročním růstem</w:t>
        </w:r>
      </w:hyperlink>
      <w:r>
        <w:rPr>
          <w:rFonts w:ascii="Calibri" w:hAnsi="Calibri" w:cs="Calibri"/>
          <w:color w:val="000000"/>
          <w:sz w:val="22"/>
          <w:szCs w:val="22"/>
        </w:rPr>
        <w:t xml:space="preserve">. </w:t>
      </w:r>
      <w:r w:rsidRPr="00D43642">
        <w:rPr>
          <w:rFonts w:ascii="Calibri" w:hAnsi="Calibri" w:cs="Calibri"/>
          <w:color w:val="000000"/>
          <w:sz w:val="22"/>
          <w:szCs w:val="22"/>
        </w:rPr>
        <w:t xml:space="preserve">Nabídkové ceny </w:t>
      </w:r>
      <w:hyperlink r:id="rId29" w:history="1">
        <w:r w:rsidRPr="00490E04">
          <w:rPr>
            <w:rStyle w:val="Hypertextovodkaz"/>
            <w:rFonts w:ascii="Calibri" w:hAnsi="Calibri" w:cs="Calibri"/>
            <w:sz w:val="22"/>
            <w:szCs w:val="22"/>
          </w:rPr>
          <w:t>v prvním čtvrtletí 2025</w:t>
        </w:r>
      </w:hyperlink>
      <w:r w:rsidRPr="00D43642">
        <w:rPr>
          <w:rFonts w:ascii="Calibri" w:hAnsi="Calibri" w:cs="Calibri"/>
          <w:color w:val="000000"/>
          <w:sz w:val="22"/>
          <w:szCs w:val="22"/>
        </w:rPr>
        <w:t xml:space="preserve"> </w:t>
      </w:r>
      <w:r>
        <w:rPr>
          <w:rFonts w:ascii="Calibri" w:hAnsi="Calibri" w:cs="Calibri"/>
          <w:color w:val="000000"/>
          <w:sz w:val="22"/>
          <w:szCs w:val="22"/>
        </w:rPr>
        <w:t xml:space="preserve">mírně zrychlily na </w:t>
      </w:r>
      <w:r w:rsidRPr="00D43642">
        <w:rPr>
          <w:rFonts w:ascii="Calibri" w:hAnsi="Calibri" w:cs="Calibri"/>
          <w:color w:val="000000"/>
          <w:sz w:val="22"/>
          <w:szCs w:val="22"/>
        </w:rPr>
        <w:t>2,</w:t>
      </w:r>
      <w:r>
        <w:rPr>
          <w:rFonts w:ascii="Calibri" w:hAnsi="Calibri" w:cs="Calibri"/>
          <w:color w:val="000000"/>
          <w:sz w:val="22"/>
          <w:szCs w:val="22"/>
        </w:rPr>
        <w:t>7</w:t>
      </w:r>
      <w:r w:rsidRPr="00D43642">
        <w:rPr>
          <w:rFonts w:ascii="Calibri" w:hAnsi="Calibri" w:cs="Calibri"/>
          <w:color w:val="000000"/>
          <w:sz w:val="22"/>
          <w:szCs w:val="22"/>
        </w:rPr>
        <w:t xml:space="preserve"> %</w:t>
      </w:r>
      <w:r>
        <w:rPr>
          <w:rFonts w:ascii="Calibri" w:hAnsi="Calibri" w:cs="Calibri"/>
          <w:color w:val="000000"/>
          <w:sz w:val="22"/>
          <w:szCs w:val="22"/>
        </w:rPr>
        <w:t xml:space="preserve"> mezičtvrtletně, což stále převyšuje jejich </w:t>
      </w:r>
      <w:r w:rsidRPr="00D43642">
        <w:rPr>
          <w:rFonts w:ascii="Calibri" w:hAnsi="Calibri" w:cs="Calibri"/>
          <w:color w:val="000000"/>
          <w:sz w:val="22"/>
          <w:szCs w:val="22"/>
        </w:rPr>
        <w:t>dlouhodob</w:t>
      </w:r>
      <w:r>
        <w:rPr>
          <w:rFonts w:ascii="Calibri" w:hAnsi="Calibri" w:cs="Calibri"/>
          <w:color w:val="000000"/>
          <w:sz w:val="22"/>
          <w:szCs w:val="22"/>
        </w:rPr>
        <w:t xml:space="preserve">é průměrné navýšení o </w:t>
      </w:r>
      <w:r w:rsidRPr="00D43642">
        <w:rPr>
          <w:rFonts w:ascii="Calibri" w:hAnsi="Calibri" w:cs="Calibri"/>
          <w:color w:val="000000"/>
          <w:sz w:val="22"/>
          <w:szCs w:val="22"/>
        </w:rPr>
        <w:t xml:space="preserve">1,8 %. </w:t>
      </w:r>
      <w:r w:rsidRPr="00BA1D00">
        <w:rPr>
          <w:rFonts w:ascii="Calibri" w:hAnsi="Calibri" w:cs="Calibri"/>
          <w:color w:val="000000"/>
          <w:sz w:val="22"/>
          <w:szCs w:val="22"/>
        </w:rPr>
        <w:t>Podle dat od společnosti Flat Zone se průměrná transakční cena bytů</w:t>
      </w:r>
      <w:r w:rsidR="00770E5B">
        <w:rPr>
          <w:rFonts w:ascii="Calibri" w:hAnsi="Calibri" w:cs="Calibri"/>
          <w:color w:val="000000"/>
          <w:sz w:val="22"/>
          <w:szCs w:val="22"/>
        </w:rPr>
        <w:t xml:space="preserve">, </w:t>
      </w:r>
      <w:r w:rsidRPr="00BA1D00">
        <w:rPr>
          <w:rFonts w:ascii="Calibri" w:hAnsi="Calibri" w:cs="Calibri"/>
          <w:color w:val="000000"/>
          <w:sz w:val="22"/>
          <w:szCs w:val="22"/>
        </w:rPr>
        <w:t xml:space="preserve">jak nových, tak starších v ČR ve čtvrtém čtvrtletí </w:t>
      </w:r>
      <w:r w:rsidR="00770E5B">
        <w:rPr>
          <w:rFonts w:ascii="Calibri" w:hAnsi="Calibri" w:cs="Calibri"/>
          <w:color w:val="000000"/>
          <w:sz w:val="22"/>
          <w:szCs w:val="22"/>
        </w:rPr>
        <w:t xml:space="preserve">roku 2025 </w:t>
      </w:r>
      <w:r w:rsidRPr="00BA1D00">
        <w:rPr>
          <w:rFonts w:ascii="Calibri" w:hAnsi="Calibri" w:cs="Calibri"/>
          <w:color w:val="000000"/>
          <w:sz w:val="22"/>
          <w:szCs w:val="22"/>
        </w:rPr>
        <w:t xml:space="preserve">dostala na 97,5 tis. Kč/m2 (viz grafy na </w:t>
      </w:r>
      <w:hyperlink r:id="rId30" w:history="1">
        <w:r w:rsidRPr="00BA1D00">
          <w:rPr>
            <w:rStyle w:val="Hypertextovodkaz"/>
            <w:rFonts w:ascii="Calibri" w:hAnsi="Calibri" w:cs="Calibri"/>
            <w:sz w:val="22"/>
            <w:szCs w:val="22"/>
          </w:rPr>
          <w:t>ČBA Monitor</w:t>
        </w:r>
      </w:hyperlink>
      <w:r w:rsidRPr="00BA1D00">
        <w:rPr>
          <w:rFonts w:ascii="Calibri" w:hAnsi="Calibri" w:cs="Calibri"/>
          <w:color w:val="000000"/>
          <w:sz w:val="22"/>
          <w:szCs w:val="22"/>
        </w:rPr>
        <w:t xml:space="preserve">), což odráží </w:t>
      </w:r>
      <w:proofErr w:type="gramStart"/>
      <w:r w:rsidRPr="00BA1D00">
        <w:rPr>
          <w:rFonts w:ascii="Calibri" w:hAnsi="Calibri" w:cs="Calibri"/>
          <w:color w:val="000000"/>
          <w:sz w:val="22"/>
          <w:szCs w:val="22"/>
        </w:rPr>
        <w:t>2%</w:t>
      </w:r>
      <w:proofErr w:type="gramEnd"/>
      <w:r w:rsidRPr="00BA1D00">
        <w:rPr>
          <w:rFonts w:ascii="Calibri" w:hAnsi="Calibri" w:cs="Calibri"/>
          <w:color w:val="000000"/>
          <w:sz w:val="22"/>
          <w:szCs w:val="22"/>
        </w:rPr>
        <w:t xml:space="preserve"> mezikvartální a 11,3% meziroční nárůst.</w:t>
      </w:r>
    </w:p>
    <w:p w14:paraId="36769E17" w14:textId="77777777" w:rsidR="00C802D7" w:rsidRDefault="00C802D7" w:rsidP="00C802D7">
      <w:pPr>
        <w:overflowPunct/>
        <w:autoSpaceDE/>
        <w:autoSpaceDN/>
        <w:adjustRightInd/>
        <w:textAlignment w:val="auto"/>
        <w:rPr>
          <w:rFonts w:ascii="Calibri" w:hAnsi="Calibri" w:cs="Calibri"/>
          <w:color w:val="000000"/>
          <w:sz w:val="22"/>
          <w:szCs w:val="22"/>
        </w:rPr>
      </w:pPr>
    </w:p>
    <w:p w14:paraId="37433820" w14:textId="3A27D52D" w:rsidR="00573D34" w:rsidRDefault="00EB1892" w:rsidP="00573D34">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6</w:t>
      </w:r>
      <w:r w:rsidRPr="005B4653">
        <w:rPr>
          <w:rFonts w:ascii="Calibri" w:hAnsi="Calibri" w:cs="Calibri"/>
          <w:b/>
          <w:color w:val="13576B"/>
          <w:sz w:val="23"/>
          <w:szCs w:val="23"/>
        </w:rPr>
        <w:t xml:space="preserve">: </w:t>
      </w:r>
      <w:r w:rsidR="009D5F35">
        <w:rPr>
          <w:rFonts w:ascii="Calibri" w:hAnsi="Calibri" w:cs="Calibri"/>
          <w:b/>
          <w:color w:val="13576B"/>
          <w:sz w:val="23"/>
          <w:szCs w:val="23"/>
        </w:rPr>
        <w:t xml:space="preserve">Ilustrativní srovnání výše měsíční splátky </w:t>
      </w:r>
      <w:r w:rsidR="00EA163C">
        <w:rPr>
          <w:rFonts w:ascii="Calibri" w:hAnsi="Calibri" w:cs="Calibri"/>
          <w:b/>
          <w:color w:val="13576B"/>
          <w:sz w:val="23"/>
          <w:szCs w:val="23"/>
        </w:rPr>
        <w:t xml:space="preserve">u aktuální </w:t>
      </w:r>
      <w:r w:rsidR="009D5F35">
        <w:rPr>
          <w:rFonts w:ascii="Calibri" w:hAnsi="Calibri" w:cs="Calibri"/>
          <w:b/>
          <w:color w:val="13576B"/>
          <w:sz w:val="23"/>
          <w:szCs w:val="23"/>
        </w:rPr>
        <w:t xml:space="preserve">průměrné </w:t>
      </w:r>
      <w:r w:rsidR="00490E04">
        <w:rPr>
          <w:rFonts w:ascii="Calibri" w:hAnsi="Calibri" w:cs="Calibri"/>
          <w:b/>
          <w:color w:val="13576B"/>
          <w:sz w:val="23"/>
          <w:szCs w:val="23"/>
        </w:rPr>
        <w:t xml:space="preserve">nově poskytnuté </w:t>
      </w:r>
      <w:r w:rsidR="009D5F35">
        <w:rPr>
          <w:rFonts w:ascii="Calibri" w:hAnsi="Calibri" w:cs="Calibri"/>
          <w:b/>
          <w:color w:val="13576B"/>
          <w:sz w:val="23"/>
          <w:szCs w:val="23"/>
        </w:rPr>
        <w:t>hypotéky s obdobím před rokem v závislosti na výši úroku, velikosti hypotéky a její splatnosti v</w:t>
      </w:r>
      <w:r w:rsidR="00573D34">
        <w:rPr>
          <w:rFonts w:ascii="Calibri" w:hAnsi="Calibri" w:cs="Calibri"/>
          <w:b/>
          <w:color w:val="13576B"/>
          <w:sz w:val="23"/>
          <w:szCs w:val="23"/>
        </w:rPr>
        <w:t> </w:t>
      </w:r>
      <w:r w:rsidR="009D5F35">
        <w:rPr>
          <w:rFonts w:ascii="Calibri" w:hAnsi="Calibri" w:cs="Calibri"/>
          <w:b/>
          <w:color w:val="13576B"/>
          <w:sz w:val="23"/>
          <w:szCs w:val="23"/>
        </w:rPr>
        <w:t>letech</w:t>
      </w:r>
    </w:p>
    <w:p w14:paraId="3524D768" w14:textId="7D33415B" w:rsidR="00490E04" w:rsidRDefault="00EA163C" w:rsidP="00AA62A7">
      <w:pPr>
        <w:overflowPunct/>
        <w:autoSpaceDE/>
        <w:autoSpaceDN/>
        <w:adjustRightInd/>
        <w:spacing w:line="259" w:lineRule="auto"/>
        <w:jc w:val="left"/>
        <w:textAlignment w:val="auto"/>
        <w:rPr>
          <w:rFonts w:ascii="Calibri" w:hAnsi="Calibri" w:cs="Calibri"/>
          <w:bCs/>
          <w:i/>
          <w:iCs/>
          <w:noProof/>
          <w:color w:val="13576B"/>
          <w:sz w:val="23"/>
          <w:szCs w:val="23"/>
        </w:rPr>
      </w:pPr>
      <w:r w:rsidRPr="00EA163C">
        <w:rPr>
          <w:rFonts w:ascii="Calibri" w:hAnsi="Calibri" w:cs="Calibri"/>
          <w:bCs/>
          <w:i/>
          <w:iCs/>
          <w:color w:val="13576B"/>
          <w:sz w:val="23"/>
          <w:szCs w:val="23"/>
        </w:rPr>
        <w:t xml:space="preserve">V meziročním srovnání přinesl pokles hypoteční sazby úsporu průměrné měsíční splátky o 360 Kč, ovšem růst průměrné výše hypotéky způsobil její navýšení o 4 370 Kč. </w:t>
      </w:r>
    </w:p>
    <w:p w14:paraId="0828FF02" w14:textId="2CADF002" w:rsidR="00EA163C" w:rsidRDefault="00EA163C" w:rsidP="00AA62A7">
      <w:pPr>
        <w:overflowPunct/>
        <w:autoSpaceDE/>
        <w:autoSpaceDN/>
        <w:adjustRightInd/>
        <w:spacing w:line="259" w:lineRule="auto"/>
        <w:jc w:val="left"/>
        <w:textAlignment w:val="auto"/>
        <w:rPr>
          <w:rFonts w:ascii="Calibri" w:hAnsi="Calibri" w:cs="Calibri"/>
          <w:bCs/>
          <w:i/>
          <w:iCs/>
          <w:noProof/>
          <w:color w:val="13576B"/>
          <w:sz w:val="23"/>
          <w:szCs w:val="23"/>
        </w:rPr>
      </w:pPr>
      <w:r>
        <w:rPr>
          <w:rFonts w:ascii="Calibri" w:hAnsi="Calibri" w:cs="Calibri"/>
          <w:bCs/>
          <w:i/>
          <w:iCs/>
          <w:noProof/>
          <w:color w:val="13576B"/>
          <w:sz w:val="23"/>
          <w:szCs w:val="23"/>
        </w:rPr>
        <w:lastRenderedPageBreak/>
        <w:drawing>
          <wp:inline distT="0" distB="0" distL="0" distR="0" wp14:anchorId="7B74BAD3" wp14:editId="1D003996">
            <wp:extent cx="5810250" cy="3834765"/>
            <wp:effectExtent l="0" t="0" r="0" b="0"/>
            <wp:docPr id="11194874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0250" cy="3834765"/>
                    </a:xfrm>
                    <a:prstGeom prst="rect">
                      <a:avLst/>
                    </a:prstGeom>
                    <a:noFill/>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7ECA69B5" w14:textId="77777777" w:rsidR="00173D31" w:rsidRDefault="00173D31" w:rsidP="009D5F35">
      <w:pPr>
        <w:overflowPunct/>
        <w:autoSpaceDE/>
        <w:adjustRightInd/>
        <w:rPr>
          <w:rFonts w:ascii="Calibri Light" w:hAnsi="Calibri Light" w:cs="Calibri Light"/>
          <w:color w:val="13576B"/>
          <w:sz w:val="20"/>
        </w:rPr>
      </w:pPr>
    </w:p>
    <w:p w14:paraId="620D9ACD" w14:textId="77777777" w:rsidR="00BA3140" w:rsidRDefault="00BA3140" w:rsidP="002E4EFD">
      <w:pPr>
        <w:rPr>
          <w:rFonts w:ascii="Calibri" w:hAnsi="Calibri" w:cs="Calibri"/>
          <w:b/>
          <w:color w:val="13576B"/>
          <w:sz w:val="24"/>
          <w:szCs w:val="24"/>
        </w:rPr>
      </w:pPr>
    </w:p>
    <w:p w14:paraId="5A72B105" w14:textId="31FA153D" w:rsidR="002E4EFD" w:rsidRDefault="008723A8" w:rsidP="002E4EFD">
      <w:pPr>
        <w:rPr>
          <w:rFonts w:ascii="Calibri" w:hAnsi="Calibri" w:cs="Calibri"/>
          <w:b/>
          <w:color w:val="13576B"/>
          <w:sz w:val="24"/>
          <w:szCs w:val="24"/>
        </w:rPr>
      </w:pPr>
      <w:r>
        <w:rPr>
          <w:rFonts w:ascii="Calibri" w:hAnsi="Calibri" w:cs="Calibri"/>
          <w:b/>
          <w:color w:val="13576B"/>
          <w:sz w:val="24"/>
          <w:szCs w:val="24"/>
        </w:rPr>
        <w:t>Statistická příloha</w:t>
      </w:r>
    </w:p>
    <w:p w14:paraId="7D8CD8E4" w14:textId="77777777" w:rsidR="00582221" w:rsidRDefault="00582221" w:rsidP="002E4EFD">
      <w:pPr>
        <w:rPr>
          <w:rFonts w:ascii="Calibri" w:hAnsi="Calibri" w:cs="Calibri"/>
          <w:b/>
          <w:color w:val="13576B"/>
          <w:sz w:val="24"/>
          <w:szCs w:val="24"/>
        </w:rPr>
      </w:pPr>
    </w:p>
    <w:p w14:paraId="2FA0BE1C" w14:textId="532A5C10" w:rsidR="00582221" w:rsidRPr="00D24B00" w:rsidRDefault="00582221" w:rsidP="002E4EFD">
      <w:pPr>
        <w:rPr>
          <w:rFonts w:ascii="Calibri" w:hAnsi="Calibri" w:cs="Calibri"/>
          <w:b/>
          <w:color w:val="EE0000"/>
          <w:sz w:val="24"/>
          <w:szCs w:val="24"/>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7</w:t>
      </w:r>
      <w:r w:rsidRPr="005B4653">
        <w:rPr>
          <w:rFonts w:ascii="Calibri" w:hAnsi="Calibri" w:cs="Calibri"/>
          <w:b/>
          <w:color w:val="13576B"/>
          <w:sz w:val="23"/>
          <w:szCs w:val="23"/>
        </w:rPr>
        <w:t xml:space="preserve">: </w:t>
      </w:r>
      <w:r>
        <w:rPr>
          <w:rFonts w:ascii="Calibri" w:hAnsi="Calibri" w:cs="Calibri"/>
          <w:b/>
          <w:color w:val="13576B"/>
          <w:sz w:val="23"/>
          <w:szCs w:val="23"/>
        </w:rPr>
        <w:t>Sezónnost nových hypotečních úvěrů</w:t>
      </w:r>
    </w:p>
    <w:p w14:paraId="384BA2E5" w14:textId="1E6CCD97" w:rsidR="0033440C" w:rsidRDefault="0025756A"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2EB78BDC" wp14:editId="5C0FBE3F">
            <wp:extent cx="6355080" cy="4195268"/>
            <wp:effectExtent l="0" t="0" r="7620" b="0"/>
            <wp:docPr id="4137425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85519" cy="4215362"/>
                    </a:xfrm>
                    <a:prstGeom prst="rect">
                      <a:avLst/>
                    </a:prstGeom>
                    <a:noFill/>
                  </pic:spPr>
                </pic:pic>
              </a:graphicData>
            </a:graphic>
          </wp:inline>
        </w:drawing>
      </w: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03530238" w14:textId="6EE963A0"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w:t>
      </w:r>
      <w:r w:rsidR="00F50DD0">
        <w:rPr>
          <w:rFonts w:ascii="Calibri Light" w:hAnsi="Calibri Light" w:cs="Calibri Light"/>
          <w:color w:val="13576B"/>
          <w:sz w:val="20"/>
        </w:rPr>
        <w:t xml:space="preserve">bez </w:t>
      </w:r>
      <w:r w:rsidR="006E2E7E">
        <w:rPr>
          <w:rFonts w:ascii="Calibri Light" w:hAnsi="Calibri Light" w:cs="Calibri Light"/>
          <w:color w:val="13576B"/>
          <w:sz w:val="20"/>
        </w:rPr>
        <w:t xml:space="preserve">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k dispozici v souboru xls přiloženém na webových stránkách ČBA Hypomonitoru</w:t>
      </w:r>
      <w:r w:rsidR="00E16BD3">
        <w:rPr>
          <w:rFonts w:ascii="Calibri Light" w:hAnsi="Calibri Light" w:cs="Calibri Light"/>
          <w:color w:val="13576B"/>
          <w:sz w:val="20"/>
        </w:rPr>
        <w:t>. V</w:t>
      </w:r>
      <w:r w:rsidR="00E16BD3" w:rsidRPr="00E16BD3">
        <w:rPr>
          <w:rFonts w:ascii="Calibri Light" w:hAnsi="Calibri Light" w:cs="Calibri Light"/>
          <w:color w:val="13576B"/>
          <w:sz w:val="20"/>
        </w:rPr>
        <w:t>ýhled do konce roku</w:t>
      </w:r>
      <w:r w:rsidR="00E16BD3">
        <w:rPr>
          <w:rFonts w:ascii="Calibri Light" w:hAnsi="Calibri Light" w:cs="Calibri Light"/>
          <w:color w:val="13576B"/>
          <w:sz w:val="20"/>
        </w:rPr>
        <w:t xml:space="preserve"> (fcst)</w:t>
      </w:r>
      <w:r w:rsidR="00E16BD3" w:rsidRPr="00E16BD3">
        <w:rPr>
          <w:rFonts w:ascii="Calibri Light" w:hAnsi="Calibri Light" w:cs="Calibri Light"/>
          <w:color w:val="13576B"/>
          <w:sz w:val="20"/>
        </w:rPr>
        <w:t xml:space="preserve"> je momentový – vychází z aktuálního trendu, nikoli z modelové predikce.</w:t>
      </w:r>
      <w:r w:rsidR="0025756A" w:rsidRPr="0025756A">
        <w:t xml:space="preserve"> </w:t>
      </w:r>
      <w:r w:rsidR="0025756A" w:rsidRPr="0025756A">
        <w:rPr>
          <w:rFonts w:ascii="Calibri Light" w:hAnsi="Calibri Light" w:cs="Calibri Light"/>
          <w:color w:val="13576B"/>
          <w:sz w:val="20"/>
        </w:rPr>
        <w:t>Nicméně pro zbytek roku předpokládá 7 % korekci do počtu hypoték.</w:t>
      </w:r>
    </w:p>
    <w:p w14:paraId="50F3BD64" w14:textId="77777777" w:rsidR="0033440C" w:rsidRDefault="0033440C" w:rsidP="009D5F35">
      <w:pPr>
        <w:overflowPunct/>
        <w:autoSpaceDE/>
        <w:adjustRightInd/>
        <w:rPr>
          <w:rFonts w:ascii="Calibri Light" w:hAnsi="Calibri Light" w:cs="Calibri Light"/>
          <w:color w:val="13576B"/>
          <w:sz w:val="20"/>
        </w:rPr>
      </w:pPr>
    </w:p>
    <w:p w14:paraId="67028DE4" w14:textId="685D812B" w:rsidR="00582221" w:rsidRDefault="00582221" w:rsidP="009D5F35">
      <w:pPr>
        <w:overflowPunct/>
        <w:autoSpaceDE/>
        <w:adjustRightInd/>
        <w:rPr>
          <w:rFonts w:ascii="Calibri Light" w:hAnsi="Calibri Light" w:cs="Calibri Light"/>
          <w:color w:val="13576B"/>
          <w:sz w:val="20"/>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8</w:t>
      </w:r>
      <w:r w:rsidRPr="005B4653">
        <w:rPr>
          <w:rFonts w:ascii="Calibri" w:hAnsi="Calibri" w:cs="Calibri"/>
          <w:b/>
          <w:color w:val="13576B"/>
          <w:sz w:val="23"/>
          <w:szCs w:val="23"/>
        </w:rPr>
        <w:t xml:space="preserve">: </w:t>
      </w:r>
      <w:r>
        <w:rPr>
          <w:rFonts w:ascii="Calibri" w:hAnsi="Calibri" w:cs="Calibri"/>
          <w:b/>
          <w:color w:val="13576B"/>
          <w:sz w:val="23"/>
          <w:szCs w:val="23"/>
        </w:rPr>
        <w:t>Rozložení nových hypotečních úvěrů podle účelu</w:t>
      </w:r>
    </w:p>
    <w:p w14:paraId="6D87A84C" w14:textId="3ABE6BF8" w:rsidR="00582221" w:rsidRDefault="0025756A"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7AE22783" wp14:editId="6DC15BFC">
            <wp:extent cx="6543675" cy="2176924"/>
            <wp:effectExtent l="0" t="0" r="0" b="0"/>
            <wp:docPr id="16602510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83434" cy="2190151"/>
                    </a:xfrm>
                    <a:prstGeom prst="rect">
                      <a:avLst/>
                    </a:prstGeom>
                    <a:noFill/>
                  </pic:spPr>
                </pic:pic>
              </a:graphicData>
            </a:graphic>
          </wp:inline>
        </w:drawing>
      </w:r>
    </w:p>
    <w:p w14:paraId="56D7AF75" w14:textId="77777777" w:rsidR="00582221" w:rsidRDefault="00582221" w:rsidP="00582221">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5303965F" w14:textId="4D0A9CAE" w:rsidR="0033440C" w:rsidRPr="00616069" w:rsidRDefault="00582221" w:rsidP="00582221">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Poslední údaj představuje průměr za posledních 12 měsíců. </w:t>
      </w:r>
    </w:p>
    <w:bookmarkEnd w:id="7"/>
    <w:p w14:paraId="045825E8" w14:textId="77777777" w:rsidR="00801B60" w:rsidRDefault="00801B60" w:rsidP="002A5D11">
      <w:pPr>
        <w:rPr>
          <w:rFonts w:ascii="Calibri" w:hAnsi="Calibri" w:cs="Calibri"/>
          <w:b/>
          <w:color w:val="13576B"/>
          <w:sz w:val="24"/>
          <w:szCs w:val="24"/>
        </w:rPr>
      </w:pPr>
    </w:p>
    <w:p w14:paraId="38F7CB3F" w14:textId="2FEEAD4C" w:rsidR="00BA3140" w:rsidRPr="002A5D11" w:rsidRDefault="00BA3140" w:rsidP="00BA3140">
      <w:pPr>
        <w:rPr>
          <w:rFonts w:ascii="Calibri" w:hAnsi="Calibri" w:cs="Calibri"/>
          <w:b/>
          <w:color w:val="13576B"/>
          <w:sz w:val="24"/>
          <w:szCs w:val="24"/>
        </w:rPr>
      </w:pPr>
      <w:r w:rsidRPr="002A5D11">
        <w:rPr>
          <w:rFonts w:ascii="Calibri" w:hAnsi="Calibri" w:cs="Calibri"/>
          <w:b/>
          <w:color w:val="13576B"/>
          <w:sz w:val="24"/>
          <w:szCs w:val="24"/>
        </w:rPr>
        <w:t>Hypoteční trh v roce 202</w:t>
      </w:r>
      <w:r>
        <w:rPr>
          <w:rFonts w:ascii="Calibri" w:hAnsi="Calibri" w:cs="Calibri"/>
          <w:b/>
          <w:color w:val="13576B"/>
          <w:sz w:val="24"/>
          <w:szCs w:val="24"/>
        </w:rPr>
        <w:t>5</w:t>
      </w:r>
      <w:r w:rsidR="00356A6D">
        <w:rPr>
          <w:rFonts w:ascii="Calibri" w:hAnsi="Calibri" w:cs="Calibri"/>
          <w:b/>
          <w:color w:val="13576B"/>
          <w:sz w:val="24"/>
          <w:szCs w:val="24"/>
        </w:rPr>
        <w:t xml:space="preserve"> přinesl </w:t>
      </w:r>
      <w:r>
        <w:rPr>
          <w:rFonts w:ascii="Calibri" w:hAnsi="Calibri" w:cs="Calibri"/>
          <w:b/>
          <w:color w:val="13576B"/>
          <w:sz w:val="24"/>
          <w:szCs w:val="24"/>
        </w:rPr>
        <w:t>silný</w:t>
      </w:r>
      <w:r w:rsidRPr="002A5D11">
        <w:rPr>
          <w:rFonts w:ascii="Calibri" w:hAnsi="Calibri" w:cs="Calibri"/>
          <w:b/>
          <w:color w:val="13576B"/>
          <w:sz w:val="24"/>
          <w:szCs w:val="24"/>
        </w:rPr>
        <w:t xml:space="preserve"> </w:t>
      </w:r>
      <w:r>
        <w:rPr>
          <w:rFonts w:ascii="Calibri" w:hAnsi="Calibri" w:cs="Calibri"/>
          <w:b/>
          <w:color w:val="13576B"/>
          <w:sz w:val="24"/>
          <w:szCs w:val="24"/>
        </w:rPr>
        <w:t xml:space="preserve">objemový </w:t>
      </w:r>
      <w:r w:rsidRPr="002A5D11">
        <w:rPr>
          <w:rFonts w:ascii="Calibri" w:hAnsi="Calibri" w:cs="Calibri"/>
          <w:b/>
          <w:color w:val="13576B"/>
          <w:sz w:val="24"/>
          <w:szCs w:val="24"/>
        </w:rPr>
        <w:t xml:space="preserve">růst o </w:t>
      </w:r>
      <w:r>
        <w:rPr>
          <w:rFonts w:ascii="Calibri" w:hAnsi="Calibri" w:cs="Calibri"/>
          <w:b/>
          <w:color w:val="13576B"/>
          <w:sz w:val="24"/>
          <w:szCs w:val="24"/>
        </w:rPr>
        <w:t>41</w:t>
      </w:r>
      <w:r w:rsidRPr="002A5D11">
        <w:rPr>
          <w:rFonts w:ascii="Calibri" w:hAnsi="Calibri" w:cs="Calibri"/>
          <w:b/>
          <w:color w:val="13576B"/>
          <w:sz w:val="24"/>
          <w:szCs w:val="24"/>
        </w:rPr>
        <w:t xml:space="preserve"> %</w:t>
      </w:r>
      <w:r>
        <w:rPr>
          <w:rFonts w:ascii="Calibri" w:hAnsi="Calibri" w:cs="Calibri"/>
          <w:b/>
          <w:color w:val="13576B"/>
          <w:sz w:val="24"/>
          <w:szCs w:val="24"/>
        </w:rPr>
        <w:t xml:space="preserve"> a o téměř čtvrtinu v počtech</w:t>
      </w:r>
    </w:p>
    <w:p w14:paraId="153D0109" w14:textId="77777777" w:rsidR="00BA3140" w:rsidRPr="00840F7C" w:rsidRDefault="00BA3140" w:rsidP="00BA3140">
      <w:pPr>
        <w:rPr>
          <w:rFonts w:ascii="Calibri" w:hAnsi="Calibri" w:cs="Calibri"/>
          <w:b/>
          <w:bCs/>
          <w:sz w:val="22"/>
          <w:szCs w:val="22"/>
        </w:rPr>
      </w:pPr>
    </w:p>
    <w:p w14:paraId="605D853E" w14:textId="77777777" w:rsidR="00BA3140" w:rsidRDefault="00BA3140" w:rsidP="00BA3140">
      <w:pPr>
        <w:rPr>
          <w:rFonts w:ascii="Calibri" w:hAnsi="Calibri" w:cs="Calibri"/>
          <w:color w:val="000000" w:themeColor="text1"/>
          <w:sz w:val="22"/>
          <w:szCs w:val="22"/>
        </w:rPr>
      </w:pPr>
      <w:r w:rsidRPr="00840F7C">
        <w:rPr>
          <w:rFonts w:ascii="Calibri" w:hAnsi="Calibri" w:cs="Calibri"/>
          <w:b/>
          <w:bCs/>
          <w:color w:val="000000" w:themeColor="text1"/>
          <w:sz w:val="22"/>
          <w:szCs w:val="22"/>
        </w:rPr>
        <w:t>Za celý rok 202</w:t>
      </w:r>
      <w:r>
        <w:rPr>
          <w:rFonts w:ascii="Calibri" w:hAnsi="Calibri" w:cs="Calibri"/>
          <w:b/>
          <w:bCs/>
          <w:color w:val="000000" w:themeColor="text1"/>
          <w:sz w:val="22"/>
          <w:szCs w:val="22"/>
        </w:rPr>
        <w:t>5</w:t>
      </w:r>
      <w:r w:rsidRPr="00840F7C">
        <w:rPr>
          <w:rFonts w:ascii="Calibri" w:hAnsi="Calibri" w:cs="Calibri"/>
          <w:b/>
          <w:bCs/>
          <w:color w:val="000000" w:themeColor="text1"/>
          <w:sz w:val="22"/>
          <w:szCs w:val="22"/>
        </w:rPr>
        <w:t xml:space="preserve"> poskytly banky a stavební spořitelny nové hypoteční úvěry v objemu </w:t>
      </w:r>
      <w:r>
        <w:rPr>
          <w:rFonts w:ascii="Calibri" w:hAnsi="Calibri" w:cs="Calibri"/>
          <w:b/>
          <w:bCs/>
          <w:color w:val="000000" w:themeColor="text1"/>
          <w:sz w:val="22"/>
          <w:szCs w:val="22"/>
        </w:rPr>
        <w:t>321</w:t>
      </w:r>
      <w:r w:rsidRPr="00840F7C">
        <w:rPr>
          <w:rFonts w:ascii="Calibri" w:hAnsi="Calibri" w:cs="Calibri"/>
          <w:b/>
          <w:bCs/>
          <w:color w:val="000000" w:themeColor="text1"/>
          <w:sz w:val="22"/>
          <w:szCs w:val="22"/>
        </w:rPr>
        <w:t xml:space="preserve"> miliard Kč.</w:t>
      </w:r>
      <w:r>
        <w:rPr>
          <w:rFonts w:ascii="Calibri" w:hAnsi="Calibri" w:cs="Calibri"/>
          <w:b/>
          <w:bCs/>
          <w:color w:val="000000" w:themeColor="text1"/>
          <w:sz w:val="22"/>
          <w:szCs w:val="22"/>
        </w:rPr>
        <w:t xml:space="preserve"> </w:t>
      </w:r>
      <w:r w:rsidRPr="00840F7C">
        <w:rPr>
          <w:rFonts w:ascii="Calibri" w:hAnsi="Calibri" w:cs="Calibri"/>
          <w:color w:val="000000" w:themeColor="text1"/>
          <w:sz w:val="22"/>
          <w:szCs w:val="22"/>
        </w:rPr>
        <w:t>To je</w:t>
      </w:r>
      <w:r>
        <w:rPr>
          <w:rFonts w:ascii="Calibri" w:hAnsi="Calibri" w:cs="Calibri"/>
          <w:color w:val="000000" w:themeColor="text1"/>
          <w:sz w:val="22"/>
          <w:szCs w:val="22"/>
        </w:rPr>
        <w:t xml:space="preserve"> o</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93 miliard korun</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více než 228 miliard vytvořených v roce 2024. Tento meziroční skok odpovídá 41% nárůstu. </w:t>
      </w:r>
      <w:r w:rsidRPr="00840F7C">
        <w:rPr>
          <w:rFonts w:ascii="Calibri" w:hAnsi="Calibri" w:cs="Calibri"/>
          <w:color w:val="000000" w:themeColor="text1"/>
          <w:sz w:val="22"/>
          <w:szCs w:val="22"/>
        </w:rPr>
        <w:t xml:space="preserve">K tomu se navíc refinancovaly hypotéky v rozsahu </w:t>
      </w:r>
      <w:r>
        <w:rPr>
          <w:rFonts w:ascii="Calibri" w:hAnsi="Calibri" w:cs="Calibri"/>
          <w:color w:val="000000" w:themeColor="text1"/>
          <w:sz w:val="22"/>
          <w:szCs w:val="22"/>
        </w:rPr>
        <w:t xml:space="preserve">85 </w:t>
      </w:r>
      <w:r w:rsidRPr="00840F7C">
        <w:rPr>
          <w:rFonts w:ascii="Calibri" w:hAnsi="Calibri" w:cs="Calibri"/>
          <w:color w:val="000000" w:themeColor="text1"/>
          <w:sz w:val="22"/>
          <w:szCs w:val="22"/>
        </w:rPr>
        <w:t>miliard Kč a celý hypoteční trh tak v roce 202</w:t>
      </w:r>
      <w:r>
        <w:rPr>
          <w:rFonts w:ascii="Calibri" w:hAnsi="Calibri" w:cs="Calibri"/>
          <w:color w:val="000000" w:themeColor="text1"/>
          <w:sz w:val="22"/>
          <w:szCs w:val="22"/>
        </w:rPr>
        <w:t>5</w:t>
      </w:r>
      <w:r w:rsidRPr="00840F7C">
        <w:rPr>
          <w:rFonts w:ascii="Calibri" w:hAnsi="Calibri" w:cs="Calibri"/>
          <w:color w:val="000000" w:themeColor="text1"/>
          <w:sz w:val="22"/>
          <w:szCs w:val="22"/>
        </w:rPr>
        <w:t xml:space="preserve"> narostl na </w:t>
      </w:r>
      <w:r>
        <w:rPr>
          <w:rFonts w:ascii="Calibri" w:hAnsi="Calibri" w:cs="Calibri"/>
          <w:color w:val="000000" w:themeColor="text1"/>
          <w:sz w:val="22"/>
          <w:szCs w:val="22"/>
        </w:rPr>
        <w:t>406</w:t>
      </w:r>
      <w:r w:rsidRPr="00840F7C">
        <w:rPr>
          <w:rFonts w:ascii="Calibri" w:hAnsi="Calibri" w:cs="Calibri"/>
          <w:color w:val="000000" w:themeColor="text1"/>
          <w:sz w:val="22"/>
          <w:szCs w:val="22"/>
        </w:rPr>
        <w:t xml:space="preserve"> miliard Kč z</w:t>
      </w:r>
      <w:r>
        <w:rPr>
          <w:rFonts w:ascii="Calibri" w:hAnsi="Calibri" w:cs="Calibri"/>
          <w:color w:val="000000" w:themeColor="text1"/>
          <w:sz w:val="22"/>
          <w:szCs w:val="22"/>
        </w:rPr>
        <w:t xml:space="preserve"> 275 </w:t>
      </w:r>
      <w:r w:rsidRPr="00840F7C">
        <w:rPr>
          <w:rFonts w:ascii="Calibri" w:hAnsi="Calibri" w:cs="Calibri"/>
          <w:color w:val="000000" w:themeColor="text1"/>
          <w:sz w:val="22"/>
          <w:szCs w:val="22"/>
        </w:rPr>
        <w:t>miliard v roce 202</w:t>
      </w:r>
      <w:r>
        <w:rPr>
          <w:rFonts w:ascii="Calibri" w:hAnsi="Calibri" w:cs="Calibri"/>
          <w:color w:val="000000" w:themeColor="text1"/>
          <w:sz w:val="22"/>
          <w:szCs w:val="22"/>
        </w:rPr>
        <w:t>4</w:t>
      </w:r>
      <w:r w:rsidRPr="00840F7C">
        <w:rPr>
          <w:rFonts w:ascii="Calibri" w:hAnsi="Calibri" w:cs="Calibri"/>
          <w:color w:val="000000" w:themeColor="text1"/>
          <w:sz w:val="22"/>
          <w:szCs w:val="22"/>
        </w:rPr>
        <w:t xml:space="preserve">. Pokud upravíme objemy o nárůst cen </w:t>
      </w:r>
      <w:r>
        <w:rPr>
          <w:rFonts w:ascii="Calibri" w:hAnsi="Calibri" w:cs="Calibri"/>
          <w:color w:val="000000" w:themeColor="text1"/>
          <w:sz w:val="22"/>
          <w:szCs w:val="22"/>
        </w:rPr>
        <w:t>bytů okolo 15-16</w:t>
      </w:r>
      <w:r w:rsidRPr="00840F7C">
        <w:rPr>
          <w:rFonts w:ascii="Calibri" w:hAnsi="Calibri" w:cs="Calibri"/>
          <w:color w:val="000000" w:themeColor="text1"/>
          <w:sz w:val="22"/>
          <w:szCs w:val="22"/>
        </w:rPr>
        <w:t xml:space="preserve"> % (dle různých statistik), objem nových hypoték vzrostl reálně o něco méně. To odpovídá i mírnějšímu nárůstu počtu nových hypoték v roce 202</w:t>
      </w:r>
      <w:r>
        <w:rPr>
          <w:rFonts w:ascii="Calibri" w:hAnsi="Calibri" w:cs="Calibri"/>
          <w:color w:val="000000" w:themeColor="text1"/>
          <w:sz w:val="22"/>
          <w:szCs w:val="22"/>
        </w:rPr>
        <w:t>5, o necelou čtvrtinu na více než 76,11</w:t>
      </w:r>
      <w:r w:rsidRPr="00872E78">
        <w:rPr>
          <w:rFonts w:ascii="Calibri" w:hAnsi="Calibri" w:cs="Calibri"/>
          <w:color w:val="000000" w:themeColor="text1"/>
          <w:sz w:val="22"/>
          <w:szCs w:val="22"/>
        </w:rPr>
        <w:t xml:space="preserve"> tisíc</w:t>
      </w:r>
      <w:r>
        <w:rPr>
          <w:rFonts w:ascii="Calibri" w:hAnsi="Calibri" w:cs="Calibri"/>
          <w:color w:val="000000" w:themeColor="text1"/>
          <w:sz w:val="22"/>
          <w:szCs w:val="22"/>
        </w:rPr>
        <w:t>,</w:t>
      </w:r>
      <w:r w:rsidRPr="00872E78">
        <w:rPr>
          <w:rFonts w:ascii="Calibri" w:hAnsi="Calibri" w:cs="Calibri"/>
          <w:color w:val="000000" w:themeColor="text1"/>
          <w:sz w:val="22"/>
          <w:szCs w:val="22"/>
        </w:rPr>
        <w:t xml:space="preserve"> a téměř </w:t>
      </w:r>
      <w:r>
        <w:rPr>
          <w:rFonts w:ascii="Calibri" w:hAnsi="Calibri" w:cs="Calibri"/>
          <w:color w:val="000000" w:themeColor="text1"/>
          <w:sz w:val="22"/>
          <w:szCs w:val="22"/>
        </w:rPr>
        <w:t>15</w:t>
      </w:r>
      <w:r w:rsidRPr="00872E78">
        <w:rPr>
          <w:rFonts w:ascii="Calibri" w:hAnsi="Calibri" w:cs="Calibri"/>
          <w:color w:val="000000" w:themeColor="text1"/>
          <w:sz w:val="22"/>
          <w:szCs w:val="22"/>
        </w:rPr>
        <w:t>% nárůstu průměrné výše poskytnuté nové hypotéky na</w:t>
      </w:r>
      <w:r>
        <w:rPr>
          <w:rFonts w:ascii="Calibri" w:hAnsi="Calibri" w:cs="Calibri"/>
          <w:color w:val="000000" w:themeColor="text1"/>
          <w:sz w:val="22"/>
          <w:szCs w:val="22"/>
        </w:rPr>
        <w:t xml:space="preserve"> 4,21</w:t>
      </w:r>
      <w:r w:rsidRPr="00872E78">
        <w:rPr>
          <w:rFonts w:ascii="Calibri" w:hAnsi="Calibri" w:cs="Calibri"/>
          <w:color w:val="000000" w:themeColor="text1"/>
          <w:sz w:val="22"/>
          <w:szCs w:val="22"/>
        </w:rPr>
        <w:t xml:space="preserve"> milion</w:t>
      </w:r>
      <w:r>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 </w:t>
      </w:r>
    </w:p>
    <w:p w14:paraId="7ECD8698" w14:textId="77777777" w:rsidR="00BA3140" w:rsidRDefault="00BA3140" w:rsidP="00BA3140">
      <w:pPr>
        <w:rPr>
          <w:rFonts w:ascii="Calibri" w:hAnsi="Calibri" w:cs="Calibri"/>
          <w:color w:val="000000" w:themeColor="text1"/>
          <w:sz w:val="22"/>
          <w:szCs w:val="22"/>
        </w:rPr>
      </w:pPr>
    </w:p>
    <w:p w14:paraId="2DB164B7" w14:textId="77777777" w:rsidR="00BA3140" w:rsidRPr="009C5D66" w:rsidRDefault="00BA3140" w:rsidP="00BA3140">
      <w:pPr>
        <w:rPr>
          <w:rFonts w:ascii="Calibri" w:hAnsi="Calibri" w:cs="Calibri"/>
          <w:color w:val="000000" w:themeColor="text1"/>
          <w:sz w:val="22"/>
          <w:szCs w:val="22"/>
        </w:rPr>
      </w:pPr>
      <w:r w:rsidRPr="009C5D66">
        <w:rPr>
          <w:rFonts w:ascii="Calibri" w:hAnsi="Calibri" w:cs="Calibri"/>
          <w:color w:val="000000" w:themeColor="text1"/>
          <w:sz w:val="22"/>
          <w:szCs w:val="22"/>
        </w:rPr>
        <w:t xml:space="preserve">Nové hypotéky se v roce 2025 financovaly průměrnou úrokovou sazbu 4,58 %, což bylo o půl procentního bodu méně než v roce 2024, přičemž spread vůči tržní swapové </w:t>
      </w:r>
      <w:r>
        <w:rPr>
          <w:rFonts w:ascii="Calibri" w:hAnsi="Calibri" w:cs="Calibri"/>
          <w:color w:val="000000" w:themeColor="text1"/>
          <w:sz w:val="22"/>
          <w:szCs w:val="22"/>
        </w:rPr>
        <w:t xml:space="preserve">úrokové </w:t>
      </w:r>
      <w:r w:rsidRPr="009C5D66">
        <w:rPr>
          <w:rFonts w:ascii="Calibri" w:hAnsi="Calibri" w:cs="Calibri"/>
          <w:color w:val="000000" w:themeColor="text1"/>
          <w:sz w:val="22"/>
          <w:szCs w:val="22"/>
        </w:rPr>
        <w:t>křivce dosáhl necelého jednoho procentního bodu, což je mírně pod dlouhodobým průměrem. Průměrná měsíční výše hypoteční splátky v roce 2025 dosáhla necelých 22,8 tisíc</w:t>
      </w:r>
      <w:r>
        <w:rPr>
          <w:rFonts w:ascii="Calibri" w:hAnsi="Calibri" w:cs="Calibri"/>
          <w:color w:val="000000" w:themeColor="text1"/>
          <w:sz w:val="22"/>
          <w:szCs w:val="22"/>
        </w:rPr>
        <w:t>e</w:t>
      </w:r>
      <w:r w:rsidRPr="009C5D66">
        <w:rPr>
          <w:rFonts w:ascii="Calibri" w:hAnsi="Calibri" w:cs="Calibri"/>
          <w:color w:val="000000" w:themeColor="text1"/>
          <w:sz w:val="22"/>
          <w:szCs w:val="22"/>
        </w:rPr>
        <w:t xml:space="preserve"> Kč, což je o 8,6</w:t>
      </w:r>
      <w:r>
        <w:rPr>
          <w:rFonts w:ascii="Calibri" w:hAnsi="Calibri" w:cs="Calibri"/>
          <w:color w:val="000000" w:themeColor="text1"/>
          <w:sz w:val="22"/>
          <w:szCs w:val="22"/>
        </w:rPr>
        <w:t xml:space="preserve"> %</w:t>
      </w:r>
      <w:r w:rsidRPr="009C5D66">
        <w:rPr>
          <w:rFonts w:ascii="Calibri" w:hAnsi="Calibri" w:cs="Calibri"/>
          <w:color w:val="000000" w:themeColor="text1"/>
          <w:sz w:val="22"/>
          <w:szCs w:val="22"/>
        </w:rPr>
        <w:t xml:space="preserve"> více než v roce 2024, </w:t>
      </w:r>
      <w:r>
        <w:rPr>
          <w:rFonts w:ascii="Calibri" w:hAnsi="Calibri" w:cs="Calibri"/>
          <w:color w:val="000000" w:themeColor="text1"/>
          <w:sz w:val="22"/>
          <w:szCs w:val="22"/>
        </w:rPr>
        <w:t>a mírně překonalo pravděpodobně více než 7% loňský nárůst</w:t>
      </w:r>
      <w:r w:rsidRPr="009C5D66">
        <w:rPr>
          <w:rFonts w:ascii="Calibri" w:hAnsi="Calibri" w:cs="Calibri"/>
          <w:color w:val="000000" w:themeColor="text1"/>
          <w:sz w:val="22"/>
          <w:szCs w:val="22"/>
        </w:rPr>
        <w:t xml:space="preserve"> </w:t>
      </w:r>
      <w:hyperlink r:id="rId34" w:history="1">
        <w:r w:rsidRPr="009C5D66">
          <w:rPr>
            <w:rStyle w:val="Hypertextovodkaz"/>
            <w:rFonts w:ascii="Calibri" w:hAnsi="Calibri" w:cs="Calibri"/>
            <w:sz w:val="22"/>
            <w:szCs w:val="22"/>
          </w:rPr>
          <w:t>průměrn</w:t>
        </w:r>
        <w:r>
          <w:rPr>
            <w:rStyle w:val="Hypertextovodkaz"/>
            <w:rFonts w:ascii="Calibri" w:hAnsi="Calibri" w:cs="Calibri"/>
            <w:sz w:val="22"/>
            <w:szCs w:val="22"/>
          </w:rPr>
          <w:t>é</w:t>
        </w:r>
        <w:r w:rsidRPr="009C5D66">
          <w:rPr>
            <w:rStyle w:val="Hypertextovodkaz"/>
            <w:rFonts w:ascii="Calibri" w:hAnsi="Calibri" w:cs="Calibri"/>
            <w:sz w:val="22"/>
            <w:szCs w:val="22"/>
          </w:rPr>
          <w:t xml:space="preserve"> nominální mzdy</w:t>
        </w:r>
      </w:hyperlink>
      <w:r w:rsidRPr="009C5D66">
        <w:rPr>
          <w:rFonts w:ascii="Calibri" w:hAnsi="Calibri" w:cs="Calibri"/>
          <w:color w:val="000000" w:themeColor="text1"/>
          <w:sz w:val="22"/>
          <w:szCs w:val="22"/>
        </w:rPr>
        <w:t xml:space="preserve">. </w:t>
      </w:r>
      <w:r>
        <w:rPr>
          <w:rFonts w:ascii="Calibri" w:hAnsi="Calibri" w:cs="Calibri"/>
          <w:color w:val="000000" w:themeColor="text1"/>
          <w:sz w:val="22"/>
          <w:szCs w:val="22"/>
        </w:rPr>
        <w:t>P</w:t>
      </w:r>
      <w:r w:rsidRPr="009C5D66">
        <w:rPr>
          <w:rFonts w:ascii="Calibri" w:hAnsi="Calibri" w:cs="Calibri"/>
          <w:color w:val="000000" w:themeColor="text1"/>
          <w:sz w:val="22"/>
          <w:szCs w:val="22"/>
        </w:rPr>
        <w:t xml:space="preserve">růměrný meziroční nárůst měsíční </w:t>
      </w:r>
      <w:r>
        <w:rPr>
          <w:rFonts w:ascii="Calibri" w:hAnsi="Calibri" w:cs="Calibri"/>
          <w:color w:val="000000" w:themeColor="text1"/>
          <w:sz w:val="22"/>
          <w:szCs w:val="22"/>
        </w:rPr>
        <w:t xml:space="preserve">hypoteční </w:t>
      </w:r>
      <w:r w:rsidRPr="009C5D66">
        <w:rPr>
          <w:rFonts w:ascii="Calibri" w:hAnsi="Calibri" w:cs="Calibri"/>
          <w:color w:val="000000" w:themeColor="text1"/>
          <w:sz w:val="22"/>
          <w:szCs w:val="22"/>
        </w:rPr>
        <w:t>splátky přibližně o 1 800 korun</w:t>
      </w:r>
      <w:r>
        <w:rPr>
          <w:rFonts w:ascii="Calibri" w:hAnsi="Calibri" w:cs="Calibri"/>
          <w:color w:val="000000" w:themeColor="text1"/>
          <w:sz w:val="22"/>
          <w:szCs w:val="22"/>
        </w:rPr>
        <w:t xml:space="preserve"> v roce 2025</w:t>
      </w:r>
      <w:r w:rsidRPr="009C5D66">
        <w:rPr>
          <w:rFonts w:ascii="Calibri" w:hAnsi="Calibri" w:cs="Calibri"/>
          <w:color w:val="000000" w:themeColor="text1"/>
          <w:sz w:val="22"/>
          <w:szCs w:val="22"/>
        </w:rPr>
        <w:t xml:space="preserve"> především odrážel vyšší průměrnou </w:t>
      </w:r>
      <w:r>
        <w:rPr>
          <w:rFonts w:ascii="Calibri" w:hAnsi="Calibri" w:cs="Calibri"/>
          <w:color w:val="000000" w:themeColor="text1"/>
          <w:sz w:val="22"/>
          <w:szCs w:val="22"/>
        </w:rPr>
        <w:t>úroveň</w:t>
      </w:r>
      <w:r w:rsidRPr="009C5D66">
        <w:rPr>
          <w:rFonts w:ascii="Calibri" w:hAnsi="Calibri" w:cs="Calibri"/>
          <w:color w:val="000000" w:themeColor="text1"/>
          <w:sz w:val="22"/>
          <w:szCs w:val="22"/>
        </w:rPr>
        <w:t xml:space="preserve"> hypotéky s navýšením splátky téměř o 2,9 tis. Kč, zatímco nižší hypoteční úroková sazba snížila průměrnou měsíční splátku o více než 1,2 tis. Kč. </w:t>
      </w:r>
    </w:p>
    <w:p w14:paraId="09717EC0" w14:textId="77777777" w:rsidR="00BA3140" w:rsidRDefault="00BA3140" w:rsidP="00BA3140">
      <w:pPr>
        <w:rPr>
          <w:rFonts w:ascii="Calibri" w:hAnsi="Calibri" w:cs="Calibri"/>
          <w:b/>
          <w:color w:val="13576B"/>
          <w:sz w:val="23"/>
          <w:szCs w:val="23"/>
          <w:highlight w:val="yellow"/>
        </w:rPr>
      </w:pPr>
    </w:p>
    <w:p w14:paraId="62183D0D" w14:textId="2E15DEBE" w:rsidR="00BA3140" w:rsidRPr="002F4CBD" w:rsidRDefault="00BA3140" w:rsidP="00BA3140">
      <w:pPr>
        <w:rPr>
          <w:rFonts w:ascii="Calibri" w:hAnsi="Calibri" w:cs="Calibri"/>
          <w:sz w:val="22"/>
          <w:szCs w:val="22"/>
        </w:rPr>
      </w:pPr>
      <w:r w:rsidRPr="002F4CBD">
        <w:rPr>
          <w:rFonts w:ascii="Calibri" w:hAnsi="Calibri" w:cs="Calibri"/>
          <w:b/>
          <w:color w:val="13576B"/>
          <w:sz w:val="23"/>
          <w:szCs w:val="23"/>
        </w:rPr>
        <w:t xml:space="preserve">Graf č. </w:t>
      </w:r>
      <w:r w:rsidR="009F7F44">
        <w:rPr>
          <w:rFonts w:ascii="Calibri" w:hAnsi="Calibri" w:cs="Calibri"/>
          <w:b/>
          <w:color w:val="13576B"/>
          <w:sz w:val="23"/>
          <w:szCs w:val="23"/>
        </w:rPr>
        <w:t>9</w:t>
      </w:r>
      <w:r w:rsidRPr="002F4CBD">
        <w:rPr>
          <w:rFonts w:ascii="Calibri" w:hAnsi="Calibri" w:cs="Calibri"/>
          <w:b/>
          <w:color w:val="13576B"/>
          <w:sz w:val="23"/>
          <w:szCs w:val="23"/>
        </w:rPr>
        <w:t>: Celoroční objem</w:t>
      </w:r>
      <w:r>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Pr>
          <w:rFonts w:ascii="Calibri" w:hAnsi="Calibri" w:cs="Calibri"/>
          <w:b/>
          <w:color w:val="13576B"/>
          <w:sz w:val="23"/>
          <w:szCs w:val="23"/>
        </w:rPr>
        <w:t>0</w:t>
      </w:r>
      <w:r w:rsidRPr="002F4CBD">
        <w:rPr>
          <w:rFonts w:ascii="Calibri" w:hAnsi="Calibri" w:cs="Calibri"/>
          <w:b/>
          <w:color w:val="13576B"/>
          <w:sz w:val="23"/>
          <w:szCs w:val="23"/>
        </w:rPr>
        <w:t xml:space="preserve"> až 202</w:t>
      </w:r>
      <w:r>
        <w:rPr>
          <w:rFonts w:ascii="Calibri" w:hAnsi="Calibri" w:cs="Calibri"/>
          <w:b/>
          <w:color w:val="13576B"/>
          <w:sz w:val="23"/>
          <w:szCs w:val="23"/>
        </w:rPr>
        <w:t>5</w:t>
      </w:r>
    </w:p>
    <w:p w14:paraId="56EB097E" w14:textId="77777777" w:rsidR="00BA3140" w:rsidRPr="002F4CBD" w:rsidRDefault="00BA3140" w:rsidP="00BA3140">
      <w:pPr>
        <w:rPr>
          <w:rFonts w:ascii="Calibri" w:hAnsi="Calibri" w:cs="Calibri"/>
          <w:sz w:val="22"/>
          <w:szCs w:val="22"/>
        </w:rPr>
      </w:pPr>
    </w:p>
    <w:p w14:paraId="11D80496" w14:textId="77777777" w:rsidR="00BA3140" w:rsidRPr="002F4CBD" w:rsidRDefault="00BA3140" w:rsidP="00BA3140">
      <w:pPr>
        <w:rPr>
          <w:rFonts w:ascii="Calibri" w:hAnsi="Calibri" w:cs="Calibri"/>
          <w:sz w:val="22"/>
          <w:szCs w:val="22"/>
        </w:rPr>
      </w:pPr>
      <w:r w:rsidRPr="00E77326">
        <w:rPr>
          <w:noProof/>
        </w:rPr>
        <w:drawing>
          <wp:inline distT="0" distB="0" distL="0" distR="0" wp14:anchorId="2B97DD5A" wp14:editId="7C138169">
            <wp:extent cx="6480810" cy="2125345"/>
            <wp:effectExtent l="0" t="0" r="0" b="8255"/>
            <wp:docPr id="3917590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0810" cy="2125345"/>
                    </a:xfrm>
                    <a:prstGeom prst="rect">
                      <a:avLst/>
                    </a:prstGeom>
                    <a:noFill/>
                    <a:ln>
                      <a:noFill/>
                    </a:ln>
                  </pic:spPr>
                </pic:pic>
              </a:graphicData>
            </a:graphic>
          </wp:inline>
        </w:drawing>
      </w:r>
    </w:p>
    <w:p w14:paraId="2734B1DB" w14:textId="77777777" w:rsidR="00BA3140" w:rsidRPr="00616069" w:rsidRDefault="00BA3140" w:rsidP="00BA3140">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 ČBA Hypomonitor</w:t>
      </w:r>
    </w:p>
    <w:p w14:paraId="22ED378A" w14:textId="017879D6" w:rsidR="006C53A0" w:rsidRDefault="006C53A0" w:rsidP="007F41A0">
      <w:pPr>
        <w:rPr>
          <w:rFonts w:ascii="Calibri" w:hAnsi="Calibri" w:cs="Calibri"/>
          <w:b/>
          <w:color w:val="13576B"/>
          <w:sz w:val="23"/>
          <w:szCs w:val="23"/>
        </w:rPr>
      </w:pPr>
    </w:p>
    <w:p w14:paraId="628239FF" w14:textId="77777777" w:rsidR="00BA3140" w:rsidRPr="00616069" w:rsidRDefault="00BA314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36"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37"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1B58C64B"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Hypomonitor poskytují následující banky a stavební spořitelny: Air Bank, Česká spořitelna, ČSOB, ČSOB Stavební spořitelna, Fio banka, Hypoteční banka, Komerční banka, mBank, Modrá pyramida, MONETA Money Bank, MONETA Stavební spořitelna, Oberbank, </w:t>
                            </w:r>
                            <w:r w:rsidR="003E1AAB">
                              <w:rPr>
                                <w:rFonts w:ascii="Calibri" w:hAnsi="Calibri" w:cs="Calibri"/>
                                <w:color w:val="FFFFFF" w:themeColor="background1"/>
                              </w:rPr>
                              <w:t xml:space="preserve">Partners Banka, </w:t>
                            </w:r>
                            <w:r w:rsidRPr="00616069">
                              <w:rPr>
                                <w:rFonts w:ascii="Calibri" w:hAnsi="Calibri" w:cs="Calibri"/>
                                <w:color w:val="FFFFFF" w:themeColor="background1"/>
                              </w:rPr>
                              <w:t>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6"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1B58C64B"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003E1AAB">
                        <w:rPr>
                          <w:rFonts w:ascii="Calibri" w:hAnsi="Calibri" w:cs="Calibri"/>
                          <w:color w:val="FFFFFF" w:themeColor="background1"/>
                        </w:rPr>
                        <w:t>Partners</w:t>
                      </w:r>
                      <w:proofErr w:type="spellEnd"/>
                      <w:r w:rsidR="003E1AAB">
                        <w:rPr>
                          <w:rFonts w:ascii="Calibri" w:hAnsi="Calibri" w:cs="Calibri"/>
                          <w:color w:val="FFFFFF" w:themeColor="background1"/>
                        </w:rPr>
                        <w:t xml:space="preserve"> Banka,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423A1391"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sidR="00BA1D00">
              <w:rPr>
                <w:rFonts w:cs="Arial"/>
                <w:color w:val="FFFFFF" w:themeColor="background1"/>
              </w:rPr>
              <w:t>4</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606031">
      <w:type w:val="continuous"/>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C356" w14:textId="77777777" w:rsidR="00E744E2" w:rsidRPr="00616069" w:rsidRDefault="00E744E2" w:rsidP="00F573F1">
      <w:r w:rsidRPr="00616069">
        <w:separator/>
      </w:r>
    </w:p>
  </w:endnote>
  <w:endnote w:type="continuationSeparator" w:id="0">
    <w:p w14:paraId="6106C7E7" w14:textId="77777777" w:rsidR="00E744E2" w:rsidRPr="00616069" w:rsidRDefault="00E744E2"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961764387"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92D26" w14:textId="77777777" w:rsidR="00E744E2" w:rsidRPr="00616069" w:rsidRDefault="00E744E2" w:rsidP="00F573F1">
      <w:r w:rsidRPr="00616069">
        <w:separator/>
      </w:r>
    </w:p>
  </w:footnote>
  <w:footnote w:type="continuationSeparator" w:id="0">
    <w:p w14:paraId="2BFA1A2F" w14:textId="77777777" w:rsidR="00E744E2" w:rsidRPr="00616069" w:rsidRDefault="00E744E2" w:rsidP="00F573F1">
      <w:r w:rsidRPr="00616069">
        <w:continuationSeparator/>
      </w:r>
    </w:p>
  </w:footnote>
  <w:footnote w:id="1">
    <w:p w14:paraId="07628A53" w14:textId="6CB368C3" w:rsidR="00612FFF" w:rsidRPr="00616069" w:rsidRDefault="00612FFF" w:rsidP="00612FFF">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w:t>
      </w:r>
      <w:r>
        <w:rPr>
          <w:rFonts w:asciiTheme="majorHAnsi" w:hAnsiTheme="majorHAnsi" w:cstheme="majorHAnsi"/>
          <w:sz w:val="17"/>
          <w:szCs w:val="17"/>
        </w:rPr>
        <w:t>a to v posledních letech okolo 3 až 5 let, ale relevantní zůstává celá křivka 2</w:t>
      </w:r>
      <w:r w:rsidRPr="00616069">
        <w:rPr>
          <w:rFonts w:asciiTheme="majorHAnsi" w:hAnsiTheme="majorHAnsi" w:cstheme="majorHAnsi"/>
          <w:sz w:val="17"/>
          <w:szCs w:val="17"/>
        </w:rPr>
        <w:t xml:space="preserve"> až 10 let</w:t>
      </w:r>
      <w:r>
        <w:rPr>
          <w:rFonts w:asciiTheme="majorHAnsi" w:hAnsiTheme="majorHAnsi" w:cstheme="majorHAnsi"/>
          <w:sz w:val="17"/>
          <w:szCs w:val="17"/>
        </w:rPr>
        <w:t>, i když 10 leté splatnosti jsou méně relevantní kvůli vyšším sazbám centrálních bank v porovnání s předchozí dekádou</w:t>
      </w:r>
      <w:r w:rsidR="00EA163C">
        <w:rPr>
          <w:rFonts w:asciiTheme="majorHAnsi" w:hAnsiTheme="majorHAnsi" w:cstheme="majorHAnsi"/>
          <w:sz w:val="17"/>
          <w:szCs w:val="17"/>
        </w:rPr>
        <w:t>, ale i kvůli ú</w:t>
      </w:r>
      <w:r w:rsidR="00EA163C" w:rsidRPr="00EA163C">
        <w:rPr>
          <w:rFonts w:asciiTheme="majorHAnsi" w:hAnsiTheme="majorHAnsi" w:cstheme="majorHAnsi"/>
          <w:sz w:val="17"/>
          <w:szCs w:val="17"/>
        </w:rPr>
        <w:t>čelně vynaložený</w:t>
      </w:r>
      <w:r w:rsidR="00EA163C">
        <w:rPr>
          <w:rFonts w:asciiTheme="majorHAnsi" w:hAnsiTheme="majorHAnsi" w:cstheme="majorHAnsi"/>
          <w:sz w:val="17"/>
          <w:szCs w:val="17"/>
        </w:rPr>
        <w:t>m</w:t>
      </w:r>
      <w:r w:rsidR="00EA163C" w:rsidRPr="00EA163C">
        <w:rPr>
          <w:rFonts w:asciiTheme="majorHAnsi" w:hAnsiTheme="majorHAnsi" w:cstheme="majorHAnsi"/>
          <w:sz w:val="17"/>
          <w:szCs w:val="17"/>
        </w:rPr>
        <w:t xml:space="preserve"> nákladů</w:t>
      </w:r>
      <w:r w:rsidR="00EA163C">
        <w:rPr>
          <w:rFonts w:asciiTheme="majorHAnsi" w:hAnsiTheme="majorHAnsi" w:cstheme="majorHAnsi"/>
          <w:sz w:val="17"/>
          <w:szCs w:val="17"/>
        </w:rPr>
        <w:t xml:space="preserve">m </w:t>
      </w:r>
      <w:r w:rsidR="00EA163C" w:rsidRPr="00EA163C">
        <w:rPr>
          <w:rFonts w:asciiTheme="majorHAnsi" w:hAnsiTheme="majorHAnsi" w:cstheme="majorHAnsi"/>
          <w:sz w:val="17"/>
          <w:szCs w:val="17"/>
        </w:rPr>
        <w:t>při předčasném splacení hypoték</w:t>
      </w:r>
      <w:r w:rsidR="00EA163C">
        <w:rPr>
          <w:rFonts w:asciiTheme="majorHAnsi" w:hAnsiTheme="majorHAnsi" w:cstheme="majorHAnsi"/>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28"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10997868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30714126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DE097" id="_x0000_t202" coordsize="21600,21600" o:spt="202" path="m,l,21600r21600,l21600,xe">
              <v:stroke joinstyle="miter"/>
              <v:path gradientshapeok="t" o:connecttype="rect"/>
            </v:shapetype>
            <v:shape id="_x0000_s1029"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A48A1"/>
    <w:multiLevelType w:val="hybridMultilevel"/>
    <w:tmpl w:val="6E121294"/>
    <w:lvl w:ilvl="0" w:tplc="BEC0709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20"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3"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5"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3"/>
  </w:num>
  <w:num w:numId="2" w16cid:durableId="1910113698">
    <w:abstractNumId w:val="9"/>
  </w:num>
  <w:num w:numId="3" w16cid:durableId="405613309">
    <w:abstractNumId w:val="26"/>
  </w:num>
  <w:num w:numId="4" w16cid:durableId="240213499">
    <w:abstractNumId w:val="15"/>
  </w:num>
  <w:num w:numId="5" w16cid:durableId="740492638">
    <w:abstractNumId w:val="5"/>
  </w:num>
  <w:num w:numId="6" w16cid:durableId="211576891">
    <w:abstractNumId w:val="24"/>
  </w:num>
  <w:num w:numId="7" w16cid:durableId="1918248069">
    <w:abstractNumId w:val="7"/>
  </w:num>
  <w:num w:numId="8" w16cid:durableId="1159419045">
    <w:abstractNumId w:val="29"/>
  </w:num>
  <w:num w:numId="9" w16cid:durableId="1798374138">
    <w:abstractNumId w:val="6"/>
  </w:num>
  <w:num w:numId="10" w16cid:durableId="1530677457">
    <w:abstractNumId w:val="25"/>
  </w:num>
  <w:num w:numId="11" w16cid:durableId="984315201">
    <w:abstractNumId w:val="2"/>
  </w:num>
  <w:num w:numId="12" w16cid:durableId="776219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6"/>
  </w:num>
  <w:num w:numId="15" w16cid:durableId="1323195451">
    <w:abstractNumId w:val="13"/>
  </w:num>
  <w:num w:numId="16" w16cid:durableId="467165265">
    <w:abstractNumId w:val="10"/>
  </w:num>
  <w:num w:numId="17" w16cid:durableId="676033370">
    <w:abstractNumId w:val="12"/>
  </w:num>
  <w:num w:numId="18" w16cid:durableId="1742554342">
    <w:abstractNumId w:val="18"/>
  </w:num>
  <w:num w:numId="19" w16cid:durableId="613287013">
    <w:abstractNumId w:val="21"/>
  </w:num>
  <w:num w:numId="20" w16cid:durableId="8067070">
    <w:abstractNumId w:val="11"/>
  </w:num>
  <w:num w:numId="21" w16cid:durableId="825434180">
    <w:abstractNumId w:val="0"/>
  </w:num>
  <w:num w:numId="22" w16cid:durableId="1082681076">
    <w:abstractNumId w:val="23"/>
  </w:num>
  <w:num w:numId="23" w16cid:durableId="1901165520">
    <w:abstractNumId w:val="28"/>
  </w:num>
  <w:num w:numId="24" w16cid:durableId="1991010767">
    <w:abstractNumId w:val="22"/>
  </w:num>
  <w:num w:numId="25" w16cid:durableId="1542282676">
    <w:abstractNumId w:val="17"/>
  </w:num>
  <w:num w:numId="26" w16cid:durableId="986973659">
    <w:abstractNumId w:val="14"/>
  </w:num>
  <w:num w:numId="27" w16cid:durableId="815336034">
    <w:abstractNumId w:val="27"/>
  </w:num>
  <w:num w:numId="28" w16cid:durableId="1895651473">
    <w:abstractNumId w:val="8"/>
  </w:num>
  <w:num w:numId="29" w16cid:durableId="1858687908">
    <w:abstractNumId w:val="4"/>
  </w:num>
  <w:num w:numId="30" w16cid:durableId="1758164458">
    <w:abstractNumId w:val="20"/>
  </w:num>
  <w:num w:numId="31" w16cid:durableId="142554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4B72"/>
    <w:rsid w:val="00005419"/>
    <w:rsid w:val="000054D2"/>
    <w:rsid w:val="00005B3F"/>
    <w:rsid w:val="00005DB1"/>
    <w:rsid w:val="00006511"/>
    <w:rsid w:val="00006C79"/>
    <w:rsid w:val="000070E2"/>
    <w:rsid w:val="00010564"/>
    <w:rsid w:val="000118C2"/>
    <w:rsid w:val="00011AF5"/>
    <w:rsid w:val="0001227F"/>
    <w:rsid w:val="00012832"/>
    <w:rsid w:val="00015933"/>
    <w:rsid w:val="000159E5"/>
    <w:rsid w:val="0001656C"/>
    <w:rsid w:val="000175B3"/>
    <w:rsid w:val="000176E6"/>
    <w:rsid w:val="000202BA"/>
    <w:rsid w:val="00020581"/>
    <w:rsid w:val="00020ED0"/>
    <w:rsid w:val="00020FE5"/>
    <w:rsid w:val="000213CC"/>
    <w:rsid w:val="000221E0"/>
    <w:rsid w:val="00023E9F"/>
    <w:rsid w:val="00024480"/>
    <w:rsid w:val="0002473E"/>
    <w:rsid w:val="00025805"/>
    <w:rsid w:val="000264B4"/>
    <w:rsid w:val="000265A3"/>
    <w:rsid w:val="00027099"/>
    <w:rsid w:val="00027B22"/>
    <w:rsid w:val="00027BAD"/>
    <w:rsid w:val="00031418"/>
    <w:rsid w:val="00031478"/>
    <w:rsid w:val="00035040"/>
    <w:rsid w:val="00036FAB"/>
    <w:rsid w:val="00037707"/>
    <w:rsid w:val="00037C17"/>
    <w:rsid w:val="00040FA4"/>
    <w:rsid w:val="00041985"/>
    <w:rsid w:val="000427B8"/>
    <w:rsid w:val="00043889"/>
    <w:rsid w:val="00043DB1"/>
    <w:rsid w:val="00044002"/>
    <w:rsid w:val="000444EA"/>
    <w:rsid w:val="000447C5"/>
    <w:rsid w:val="000458CD"/>
    <w:rsid w:val="0004612A"/>
    <w:rsid w:val="00047DF1"/>
    <w:rsid w:val="000509DD"/>
    <w:rsid w:val="00050AF7"/>
    <w:rsid w:val="00051022"/>
    <w:rsid w:val="00051A5B"/>
    <w:rsid w:val="00052C6A"/>
    <w:rsid w:val="00053780"/>
    <w:rsid w:val="00053E05"/>
    <w:rsid w:val="00053EE4"/>
    <w:rsid w:val="00055000"/>
    <w:rsid w:val="000559DE"/>
    <w:rsid w:val="00055CBC"/>
    <w:rsid w:val="000563EB"/>
    <w:rsid w:val="00056A4F"/>
    <w:rsid w:val="00057396"/>
    <w:rsid w:val="000606C6"/>
    <w:rsid w:val="00060D7F"/>
    <w:rsid w:val="00063DEB"/>
    <w:rsid w:val="00066F52"/>
    <w:rsid w:val="0006711A"/>
    <w:rsid w:val="00072447"/>
    <w:rsid w:val="00072DB9"/>
    <w:rsid w:val="000733AD"/>
    <w:rsid w:val="0007445A"/>
    <w:rsid w:val="00074C45"/>
    <w:rsid w:val="000752D6"/>
    <w:rsid w:val="00075932"/>
    <w:rsid w:val="0007638A"/>
    <w:rsid w:val="00076C37"/>
    <w:rsid w:val="000770D8"/>
    <w:rsid w:val="00080102"/>
    <w:rsid w:val="00081E35"/>
    <w:rsid w:val="0008300C"/>
    <w:rsid w:val="00083D1A"/>
    <w:rsid w:val="000841C2"/>
    <w:rsid w:val="000842AE"/>
    <w:rsid w:val="00084CF9"/>
    <w:rsid w:val="00086094"/>
    <w:rsid w:val="00086BE0"/>
    <w:rsid w:val="0008743D"/>
    <w:rsid w:val="000900C9"/>
    <w:rsid w:val="0009101B"/>
    <w:rsid w:val="00091B3B"/>
    <w:rsid w:val="00093324"/>
    <w:rsid w:val="0009491E"/>
    <w:rsid w:val="00095055"/>
    <w:rsid w:val="0009562F"/>
    <w:rsid w:val="00097293"/>
    <w:rsid w:val="000976B9"/>
    <w:rsid w:val="00097716"/>
    <w:rsid w:val="00097B42"/>
    <w:rsid w:val="000A019A"/>
    <w:rsid w:val="000A0285"/>
    <w:rsid w:val="000A0ECE"/>
    <w:rsid w:val="000A16EA"/>
    <w:rsid w:val="000A2779"/>
    <w:rsid w:val="000A29DE"/>
    <w:rsid w:val="000A2C3B"/>
    <w:rsid w:val="000A3ECF"/>
    <w:rsid w:val="000A4D59"/>
    <w:rsid w:val="000A5220"/>
    <w:rsid w:val="000A549A"/>
    <w:rsid w:val="000A6481"/>
    <w:rsid w:val="000A664C"/>
    <w:rsid w:val="000B064D"/>
    <w:rsid w:val="000B083D"/>
    <w:rsid w:val="000B0992"/>
    <w:rsid w:val="000B2005"/>
    <w:rsid w:val="000B32E2"/>
    <w:rsid w:val="000B3BFA"/>
    <w:rsid w:val="000B4C8F"/>
    <w:rsid w:val="000B510F"/>
    <w:rsid w:val="000B51A4"/>
    <w:rsid w:val="000B70C8"/>
    <w:rsid w:val="000B79A4"/>
    <w:rsid w:val="000B7D19"/>
    <w:rsid w:val="000C045B"/>
    <w:rsid w:val="000C11CC"/>
    <w:rsid w:val="000C12D3"/>
    <w:rsid w:val="000C12F1"/>
    <w:rsid w:val="000C1E4E"/>
    <w:rsid w:val="000C234E"/>
    <w:rsid w:val="000C3211"/>
    <w:rsid w:val="000C4910"/>
    <w:rsid w:val="000C502F"/>
    <w:rsid w:val="000C5651"/>
    <w:rsid w:val="000C6349"/>
    <w:rsid w:val="000C6834"/>
    <w:rsid w:val="000C78A3"/>
    <w:rsid w:val="000D011A"/>
    <w:rsid w:val="000D02A4"/>
    <w:rsid w:val="000D0E54"/>
    <w:rsid w:val="000D1749"/>
    <w:rsid w:val="000D1D61"/>
    <w:rsid w:val="000D2F4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2A4"/>
    <w:rsid w:val="000E4810"/>
    <w:rsid w:val="000E4ABC"/>
    <w:rsid w:val="000E55F2"/>
    <w:rsid w:val="000E563F"/>
    <w:rsid w:val="000E59CE"/>
    <w:rsid w:val="000E5F43"/>
    <w:rsid w:val="000E7D75"/>
    <w:rsid w:val="000F02C1"/>
    <w:rsid w:val="000F02FD"/>
    <w:rsid w:val="000F0342"/>
    <w:rsid w:val="000F0636"/>
    <w:rsid w:val="000F0A03"/>
    <w:rsid w:val="000F0B04"/>
    <w:rsid w:val="000F30E9"/>
    <w:rsid w:val="000F3195"/>
    <w:rsid w:val="000F426C"/>
    <w:rsid w:val="000F4318"/>
    <w:rsid w:val="000F617D"/>
    <w:rsid w:val="000F61F5"/>
    <w:rsid w:val="000F680C"/>
    <w:rsid w:val="000F6C58"/>
    <w:rsid w:val="000F70CA"/>
    <w:rsid w:val="00100269"/>
    <w:rsid w:val="001002CD"/>
    <w:rsid w:val="00100394"/>
    <w:rsid w:val="0010159F"/>
    <w:rsid w:val="00102262"/>
    <w:rsid w:val="0010268F"/>
    <w:rsid w:val="0010277A"/>
    <w:rsid w:val="00102D9A"/>
    <w:rsid w:val="00103662"/>
    <w:rsid w:val="0010371D"/>
    <w:rsid w:val="00105514"/>
    <w:rsid w:val="00105918"/>
    <w:rsid w:val="00105ACC"/>
    <w:rsid w:val="00105BE4"/>
    <w:rsid w:val="00105DB5"/>
    <w:rsid w:val="00106451"/>
    <w:rsid w:val="00106D78"/>
    <w:rsid w:val="00106F70"/>
    <w:rsid w:val="00107915"/>
    <w:rsid w:val="001102C6"/>
    <w:rsid w:val="001104C5"/>
    <w:rsid w:val="001106DD"/>
    <w:rsid w:val="00110C31"/>
    <w:rsid w:val="00110E3B"/>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9DC"/>
    <w:rsid w:val="00120FB7"/>
    <w:rsid w:val="001226BC"/>
    <w:rsid w:val="00122810"/>
    <w:rsid w:val="00122CC4"/>
    <w:rsid w:val="0012351B"/>
    <w:rsid w:val="00123FF9"/>
    <w:rsid w:val="00124EF9"/>
    <w:rsid w:val="001253CC"/>
    <w:rsid w:val="001259D2"/>
    <w:rsid w:val="00126A7F"/>
    <w:rsid w:val="001271C2"/>
    <w:rsid w:val="00130063"/>
    <w:rsid w:val="00130359"/>
    <w:rsid w:val="001306A2"/>
    <w:rsid w:val="00131D36"/>
    <w:rsid w:val="00131E24"/>
    <w:rsid w:val="00131E94"/>
    <w:rsid w:val="00132159"/>
    <w:rsid w:val="00132EE9"/>
    <w:rsid w:val="0013407D"/>
    <w:rsid w:val="001348D9"/>
    <w:rsid w:val="00134A41"/>
    <w:rsid w:val="00134F6E"/>
    <w:rsid w:val="001361CA"/>
    <w:rsid w:val="00136519"/>
    <w:rsid w:val="0013679D"/>
    <w:rsid w:val="00136825"/>
    <w:rsid w:val="00136D3A"/>
    <w:rsid w:val="00136EC9"/>
    <w:rsid w:val="00136FC5"/>
    <w:rsid w:val="00136FC7"/>
    <w:rsid w:val="00137050"/>
    <w:rsid w:val="0013716D"/>
    <w:rsid w:val="00137560"/>
    <w:rsid w:val="00137659"/>
    <w:rsid w:val="00140854"/>
    <w:rsid w:val="00140E10"/>
    <w:rsid w:val="00142116"/>
    <w:rsid w:val="001438F4"/>
    <w:rsid w:val="00143BF5"/>
    <w:rsid w:val="00143DCC"/>
    <w:rsid w:val="00144794"/>
    <w:rsid w:val="00144D53"/>
    <w:rsid w:val="00144D9A"/>
    <w:rsid w:val="00145506"/>
    <w:rsid w:val="001457AA"/>
    <w:rsid w:val="00145E7A"/>
    <w:rsid w:val="00146F46"/>
    <w:rsid w:val="0015125A"/>
    <w:rsid w:val="00151A74"/>
    <w:rsid w:val="001526EE"/>
    <w:rsid w:val="0015278B"/>
    <w:rsid w:val="0015295E"/>
    <w:rsid w:val="00152A73"/>
    <w:rsid w:val="001534F6"/>
    <w:rsid w:val="00153692"/>
    <w:rsid w:val="00154B70"/>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0CF6"/>
    <w:rsid w:val="001715A2"/>
    <w:rsid w:val="0017388B"/>
    <w:rsid w:val="00173D31"/>
    <w:rsid w:val="0017441E"/>
    <w:rsid w:val="0017486D"/>
    <w:rsid w:val="00175839"/>
    <w:rsid w:val="00175A85"/>
    <w:rsid w:val="00175E6C"/>
    <w:rsid w:val="00175FBC"/>
    <w:rsid w:val="00176669"/>
    <w:rsid w:val="001766FF"/>
    <w:rsid w:val="00176C20"/>
    <w:rsid w:val="00176DFC"/>
    <w:rsid w:val="00177598"/>
    <w:rsid w:val="00180856"/>
    <w:rsid w:val="001808FE"/>
    <w:rsid w:val="0018097B"/>
    <w:rsid w:val="00180A13"/>
    <w:rsid w:val="00182C97"/>
    <w:rsid w:val="00183066"/>
    <w:rsid w:val="001833C7"/>
    <w:rsid w:val="00183FB4"/>
    <w:rsid w:val="00184412"/>
    <w:rsid w:val="00186A72"/>
    <w:rsid w:val="001903B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1F1"/>
    <w:rsid w:val="001B1467"/>
    <w:rsid w:val="001B1C5E"/>
    <w:rsid w:val="001B2B23"/>
    <w:rsid w:val="001B2E5E"/>
    <w:rsid w:val="001B3197"/>
    <w:rsid w:val="001B39D3"/>
    <w:rsid w:val="001B4DA8"/>
    <w:rsid w:val="001B59D5"/>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4A3B"/>
    <w:rsid w:val="001D5BB9"/>
    <w:rsid w:val="001D6B1A"/>
    <w:rsid w:val="001D7365"/>
    <w:rsid w:val="001D7DA5"/>
    <w:rsid w:val="001E15FD"/>
    <w:rsid w:val="001E1AED"/>
    <w:rsid w:val="001E27B8"/>
    <w:rsid w:val="001E31AB"/>
    <w:rsid w:val="001E3706"/>
    <w:rsid w:val="001E3B01"/>
    <w:rsid w:val="001E4032"/>
    <w:rsid w:val="001E432A"/>
    <w:rsid w:val="001E4370"/>
    <w:rsid w:val="001E4D27"/>
    <w:rsid w:val="001E5169"/>
    <w:rsid w:val="001E5571"/>
    <w:rsid w:val="001E60C5"/>
    <w:rsid w:val="001E6F5D"/>
    <w:rsid w:val="001E71FE"/>
    <w:rsid w:val="001F0819"/>
    <w:rsid w:val="001F1677"/>
    <w:rsid w:val="001F1C52"/>
    <w:rsid w:val="001F2A1F"/>
    <w:rsid w:val="001F3DF4"/>
    <w:rsid w:val="001F49EA"/>
    <w:rsid w:val="001F5CF7"/>
    <w:rsid w:val="001F64C3"/>
    <w:rsid w:val="001F6A78"/>
    <w:rsid w:val="001F6E8A"/>
    <w:rsid w:val="001F72D8"/>
    <w:rsid w:val="001F7B28"/>
    <w:rsid w:val="002010C8"/>
    <w:rsid w:val="0020111C"/>
    <w:rsid w:val="0020121A"/>
    <w:rsid w:val="00201DDA"/>
    <w:rsid w:val="002027D4"/>
    <w:rsid w:val="0020296D"/>
    <w:rsid w:val="00203021"/>
    <w:rsid w:val="00203302"/>
    <w:rsid w:val="00203A7B"/>
    <w:rsid w:val="00203F87"/>
    <w:rsid w:val="002045A5"/>
    <w:rsid w:val="00204637"/>
    <w:rsid w:val="0020488B"/>
    <w:rsid w:val="00204F09"/>
    <w:rsid w:val="0020667A"/>
    <w:rsid w:val="0020698C"/>
    <w:rsid w:val="00206F7E"/>
    <w:rsid w:val="00207AE7"/>
    <w:rsid w:val="00207BE5"/>
    <w:rsid w:val="00207CB1"/>
    <w:rsid w:val="002105A2"/>
    <w:rsid w:val="00210A9C"/>
    <w:rsid w:val="00211E6F"/>
    <w:rsid w:val="002128AF"/>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8A9"/>
    <w:rsid w:val="00226AB8"/>
    <w:rsid w:val="00226F32"/>
    <w:rsid w:val="00227ACD"/>
    <w:rsid w:val="00227C82"/>
    <w:rsid w:val="002307C1"/>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5756A"/>
    <w:rsid w:val="00260219"/>
    <w:rsid w:val="00260B2C"/>
    <w:rsid w:val="0026106F"/>
    <w:rsid w:val="0026210C"/>
    <w:rsid w:val="0026268C"/>
    <w:rsid w:val="00262B7F"/>
    <w:rsid w:val="00263207"/>
    <w:rsid w:val="00264741"/>
    <w:rsid w:val="00264C92"/>
    <w:rsid w:val="0026639E"/>
    <w:rsid w:val="00266980"/>
    <w:rsid w:val="00266ACC"/>
    <w:rsid w:val="00267ACA"/>
    <w:rsid w:val="002707C5"/>
    <w:rsid w:val="00270A4E"/>
    <w:rsid w:val="00270E60"/>
    <w:rsid w:val="00270F52"/>
    <w:rsid w:val="00271563"/>
    <w:rsid w:val="00271569"/>
    <w:rsid w:val="00272177"/>
    <w:rsid w:val="002725DA"/>
    <w:rsid w:val="00274645"/>
    <w:rsid w:val="00274844"/>
    <w:rsid w:val="002748F6"/>
    <w:rsid w:val="00274D15"/>
    <w:rsid w:val="00275209"/>
    <w:rsid w:val="00277397"/>
    <w:rsid w:val="00277D90"/>
    <w:rsid w:val="0028055F"/>
    <w:rsid w:val="002808DB"/>
    <w:rsid w:val="00280AB4"/>
    <w:rsid w:val="00280D31"/>
    <w:rsid w:val="00280F92"/>
    <w:rsid w:val="002817B5"/>
    <w:rsid w:val="00282BE6"/>
    <w:rsid w:val="00283681"/>
    <w:rsid w:val="00284721"/>
    <w:rsid w:val="0028530F"/>
    <w:rsid w:val="002853A9"/>
    <w:rsid w:val="00285A75"/>
    <w:rsid w:val="00287580"/>
    <w:rsid w:val="00290498"/>
    <w:rsid w:val="0029071C"/>
    <w:rsid w:val="00291656"/>
    <w:rsid w:val="0029179B"/>
    <w:rsid w:val="00291BE8"/>
    <w:rsid w:val="00293122"/>
    <w:rsid w:val="0029502E"/>
    <w:rsid w:val="00295F01"/>
    <w:rsid w:val="00296021"/>
    <w:rsid w:val="0029774E"/>
    <w:rsid w:val="00297B85"/>
    <w:rsid w:val="002A0002"/>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5B7"/>
    <w:rsid w:val="002B3AB2"/>
    <w:rsid w:val="002B4617"/>
    <w:rsid w:val="002B4641"/>
    <w:rsid w:val="002B5069"/>
    <w:rsid w:val="002B58A5"/>
    <w:rsid w:val="002B724C"/>
    <w:rsid w:val="002C02A9"/>
    <w:rsid w:val="002C0719"/>
    <w:rsid w:val="002C179D"/>
    <w:rsid w:val="002C18CD"/>
    <w:rsid w:val="002C2C2B"/>
    <w:rsid w:val="002C30D4"/>
    <w:rsid w:val="002C47FE"/>
    <w:rsid w:val="002C513E"/>
    <w:rsid w:val="002C5B51"/>
    <w:rsid w:val="002D1376"/>
    <w:rsid w:val="002D238E"/>
    <w:rsid w:val="002D2A30"/>
    <w:rsid w:val="002D2DC7"/>
    <w:rsid w:val="002D3F94"/>
    <w:rsid w:val="002D4720"/>
    <w:rsid w:val="002D49FB"/>
    <w:rsid w:val="002D4A25"/>
    <w:rsid w:val="002D4DF8"/>
    <w:rsid w:val="002D6038"/>
    <w:rsid w:val="002D7231"/>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16F"/>
    <w:rsid w:val="002F4373"/>
    <w:rsid w:val="002F43DE"/>
    <w:rsid w:val="002F477C"/>
    <w:rsid w:val="002F4A74"/>
    <w:rsid w:val="002F4CBD"/>
    <w:rsid w:val="002F4CDA"/>
    <w:rsid w:val="002F506A"/>
    <w:rsid w:val="002F52DA"/>
    <w:rsid w:val="002F557F"/>
    <w:rsid w:val="002F58FE"/>
    <w:rsid w:val="002F6432"/>
    <w:rsid w:val="002F6A6D"/>
    <w:rsid w:val="003012B9"/>
    <w:rsid w:val="0030161E"/>
    <w:rsid w:val="00301915"/>
    <w:rsid w:val="003028DC"/>
    <w:rsid w:val="003029D1"/>
    <w:rsid w:val="0030348A"/>
    <w:rsid w:val="00303B0E"/>
    <w:rsid w:val="003045DD"/>
    <w:rsid w:val="00304727"/>
    <w:rsid w:val="0030613B"/>
    <w:rsid w:val="00306844"/>
    <w:rsid w:val="003077DD"/>
    <w:rsid w:val="003111F3"/>
    <w:rsid w:val="003131EC"/>
    <w:rsid w:val="003134AE"/>
    <w:rsid w:val="00313DD8"/>
    <w:rsid w:val="003142AD"/>
    <w:rsid w:val="003143A4"/>
    <w:rsid w:val="00314AB6"/>
    <w:rsid w:val="00314CF6"/>
    <w:rsid w:val="00315F32"/>
    <w:rsid w:val="00316BAA"/>
    <w:rsid w:val="00317242"/>
    <w:rsid w:val="00320811"/>
    <w:rsid w:val="00322BF9"/>
    <w:rsid w:val="00324743"/>
    <w:rsid w:val="00324769"/>
    <w:rsid w:val="00324B27"/>
    <w:rsid w:val="003253AF"/>
    <w:rsid w:val="003258C4"/>
    <w:rsid w:val="00327407"/>
    <w:rsid w:val="00327CB6"/>
    <w:rsid w:val="00330A92"/>
    <w:rsid w:val="003315E9"/>
    <w:rsid w:val="0033298A"/>
    <w:rsid w:val="00333B31"/>
    <w:rsid w:val="00334257"/>
    <w:rsid w:val="0033440C"/>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A6D"/>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46E"/>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026"/>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B7AE1"/>
    <w:rsid w:val="003C0B1B"/>
    <w:rsid w:val="003C1195"/>
    <w:rsid w:val="003C12B6"/>
    <w:rsid w:val="003C185F"/>
    <w:rsid w:val="003C2D27"/>
    <w:rsid w:val="003C3451"/>
    <w:rsid w:val="003C373E"/>
    <w:rsid w:val="003C392F"/>
    <w:rsid w:val="003C3D7F"/>
    <w:rsid w:val="003C41DD"/>
    <w:rsid w:val="003C4DE7"/>
    <w:rsid w:val="003C5F2E"/>
    <w:rsid w:val="003C6326"/>
    <w:rsid w:val="003C6710"/>
    <w:rsid w:val="003C6D87"/>
    <w:rsid w:val="003C7600"/>
    <w:rsid w:val="003D079C"/>
    <w:rsid w:val="003D0D7D"/>
    <w:rsid w:val="003D164F"/>
    <w:rsid w:val="003D18F0"/>
    <w:rsid w:val="003D224C"/>
    <w:rsid w:val="003D2390"/>
    <w:rsid w:val="003D2EFA"/>
    <w:rsid w:val="003D3759"/>
    <w:rsid w:val="003D45D4"/>
    <w:rsid w:val="003D57E2"/>
    <w:rsid w:val="003D613B"/>
    <w:rsid w:val="003D684B"/>
    <w:rsid w:val="003D749F"/>
    <w:rsid w:val="003D7D9E"/>
    <w:rsid w:val="003E0FC6"/>
    <w:rsid w:val="003E14DF"/>
    <w:rsid w:val="003E1AAB"/>
    <w:rsid w:val="003E1F42"/>
    <w:rsid w:val="003E3584"/>
    <w:rsid w:val="003E382B"/>
    <w:rsid w:val="003E393C"/>
    <w:rsid w:val="003E3ACA"/>
    <w:rsid w:val="003E3DCB"/>
    <w:rsid w:val="003E4312"/>
    <w:rsid w:val="003E4820"/>
    <w:rsid w:val="003E48FA"/>
    <w:rsid w:val="003E4ADE"/>
    <w:rsid w:val="003E5891"/>
    <w:rsid w:val="003E7ED0"/>
    <w:rsid w:val="003F021E"/>
    <w:rsid w:val="003F03DF"/>
    <w:rsid w:val="003F1189"/>
    <w:rsid w:val="003F12BC"/>
    <w:rsid w:val="003F12D5"/>
    <w:rsid w:val="003F159E"/>
    <w:rsid w:val="003F1CB9"/>
    <w:rsid w:val="003F2050"/>
    <w:rsid w:val="003F37CA"/>
    <w:rsid w:val="003F3922"/>
    <w:rsid w:val="003F470D"/>
    <w:rsid w:val="003F512D"/>
    <w:rsid w:val="003F56AD"/>
    <w:rsid w:val="003F6A8D"/>
    <w:rsid w:val="003F6E69"/>
    <w:rsid w:val="003F7F31"/>
    <w:rsid w:val="004009B6"/>
    <w:rsid w:val="00400E23"/>
    <w:rsid w:val="004015AF"/>
    <w:rsid w:val="00401CD3"/>
    <w:rsid w:val="00401F79"/>
    <w:rsid w:val="00402778"/>
    <w:rsid w:val="00402D75"/>
    <w:rsid w:val="00402E19"/>
    <w:rsid w:val="00402FA1"/>
    <w:rsid w:val="00403744"/>
    <w:rsid w:val="0040474A"/>
    <w:rsid w:val="00404E84"/>
    <w:rsid w:val="00405D7E"/>
    <w:rsid w:val="00406F40"/>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883"/>
    <w:rsid w:val="00425A84"/>
    <w:rsid w:val="00425B3B"/>
    <w:rsid w:val="0042602B"/>
    <w:rsid w:val="004279BD"/>
    <w:rsid w:val="00430F3C"/>
    <w:rsid w:val="004325D3"/>
    <w:rsid w:val="00435176"/>
    <w:rsid w:val="00436085"/>
    <w:rsid w:val="00436F5C"/>
    <w:rsid w:val="004371EE"/>
    <w:rsid w:val="00437589"/>
    <w:rsid w:val="0043780A"/>
    <w:rsid w:val="00440A53"/>
    <w:rsid w:val="00441C0D"/>
    <w:rsid w:val="00442170"/>
    <w:rsid w:val="0044352D"/>
    <w:rsid w:val="004444EE"/>
    <w:rsid w:val="004445E7"/>
    <w:rsid w:val="0044491F"/>
    <w:rsid w:val="00444BDA"/>
    <w:rsid w:val="00445609"/>
    <w:rsid w:val="004464CF"/>
    <w:rsid w:val="00446AAD"/>
    <w:rsid w:val="004476C2"/>
    <w:rsid w:val="00451368"/>
    <w:rsid w:val="004522D4"/>
    <w:rsid w:val="00452B0E"/>
    <w:rsid w:val="00453473"/>
    <w:rsid w:val="004555E6"/>
    <w:rsid w:val="00456A9B"/>
    <w:rsid w:val="00460772"/>
    <w:rsid w:val="00461E79"/>
    <w:rsid w:val="00462717"/>
    <w:rsid w:val="004641CC"/>
    <w:rsid w:val="0046433E"/>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03D6"/>
    <w:rsid w:val="00480B75"/>
    <w:rsid w:val="004828F3"/>
    <w:rsid w:val="00483136"/>
    <w:rsid w:val="0048354D"/>
    <w:rsid w:val="00483FA6"/>
    <w:rsid w:val="0048489E"/>
    <w:rsid w:val="004852E3"/>
    <w:rsid w:val="00485ADC"/>
    <w:rsid w:val="00486858"/>
    <w:rsid w:val="00486BC4"/>
    <w:rsid w:val="00486C1D"/>
    <w:rsid w:val="004904F6"/>
    <w:rsid w:val="00490505"/>
    <w:rsid w:val="004908DB"/>
    <w:rsid w:val="00490E04"/>
    <w:rsid w:val="00490E1A"/>
    <w:rsid w:val="00491DB6"/>
    <w:rsid w:val="00492636"/>
    <w:rsid w:val="004935C1"/>
    <w:rsid w:val="00493A20"/>
    <w:rsid w:val="00493C14"/>
    <w:rsid w:val="004951FE"/>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428"/>
    <w:rsid w:val="004A5819"/>
    <w:rsid w:val="004A5C0E"/>
    <w:rsid w:val="004A5D84"/>
    <w:rsid w:val="004A6CE0"/>
    <w:rsid w:val="004A724B"/>
    <w:rsid w:val="004A74F4"/>
    <w:rsid w:val="004B1175"/>
    <w:rsid w:val="004B1442"/>
    <w:rsid w:val="004B1766"/>
    <w:rsid w:val="004B19DD"/>
    <w:rsid w:val="004B2E1A"/>
    <w:rsid w:val="004B3889"/>
    <w:rsid w:val="004B3E0D"/>
    <w:rsid w:val="004B3F04"/>
    <w:rsid w:val="004B441B"/>
    <w:rsid w:val="004B4571"/>
    <w:rsid w:val="004B4DE5"/>
    <w:rsid w:val="004B51F9"/>
    <w:rsid w:val="004B564F"/>
    <w:rsid w:val="004B6A7C"/>
    <w:rsid w:val="004B7ECE"/>
    <w:rsid w:val="004C04EA"/>
    <w:rsid w:val="004C0763"/>
    <w:rsid w:val="004C0A56"/>
    <w:rsid w:val="004C0AC1"/>
    <w:rsid w:val="004C10E7"/>
    <w:rsid w:val="004C23FB"/>
    <w:rsid w:val="004C3997"/>
    <w:rsid w:val="004C423D"/>
    <w:rsid w:val="004C4605"/>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347"/>
    <w:rsid w:val="004D3E58"/>
    <w:rsid w:val="004D4156"/>
    <w:rsid w:val="004D4333"/>
    <w:rsid w:val="004D6531"/>
    <w:rsid w:val="004D6F30"/>
    <w:rsid w:val="004E011D"/>
    <w:rsid w:val="004E0D15"/>
    <w:rsid w:val="004E1AC6"/>
    <w:rsid w:val="004E2434"/>
    <w:rsid w:val="004E26E2"/>
    <w:rsid w:val="004E3070"/>
    <w:rsid w:val="004E32FB"/>
    <w:rsid w:val="004E3F0C"/>
    <w:rsid w:val="004E4B5B"/>
    <w:rsid w:val="004E5779"/>
    <w:rsid w:val="004E5E51"/>
    <w:rsid w:val="004E642B"/>
    <w:rsid w:val="004E668A"/>
    <w:rsid w:val="004E7E07"/>
    <w:rsid w:val="004F32E1"/>
    <w:rsid w:val="004F34F2"/>
    <w:rsid w:val="004F3D9B"/>
    <w:rsid w:val="004F4632"/>
    <w:rsid w:val="004F46CE"/>
    <w:rsid w:val="004F46D6"/>
    <w:rsid w:val="004F5C1C"/>
    <w:rsid w:val="004F62FF"/>
    <w:rsid w:val="004F69E2"/>
    <w:rsid w:val="004F6CFB"/>
    <w:rsid w:val="004F6EA8"/>
    <w:rsid w:val="004F70A7"/>
    <w:rsid w:val="005019FE"/>
    <w:rsid w:val="00502072"/>
    <w:rsid w:val="005027C2"/>
    <w:rsid w:val="00502C28"/>
    <w:rsid w:val="00503D06"/>
    <w:rsid w:val="00504229"/>
    <w:rsid w:val="00504370"/>
    <w:rsid w:val="00505434"/>
    <w:rsid w:val="00506126"/>
    <w:rsid w:val="005063FD"/>
    <w:rsid w:val="0050674F"/>
    <w:rsid w:val="005069C2"/>
    <w:rsid w:val="005070EC"/>
    <w:rsid w:val="00507747"/>
    <w:rsid w:val="00510452"/>
    <w:rsid w:val="00510AD7"/>
    <w:rsid w:val="00510EB1"/>
    <w:rsid w:val="0051164C"/>
    <w:rsid w:val="00512176"/>
    <w:rsid w:val="005122E9"/>
    <w:rsid w:val="005137DB"/>
    <w:rsid w:val="005142AC"/>
    <w:rsid w:val="0051437A"/>
    <w:rsid w:val="0051449F"/>
    <w:rsid w:val="00514960"/>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2041"/>
    <w:rsid w:val="005343BA"/>
    <w:rsid w:val="0053589B"/>
    <w:rsid w:val="00535CDB"/>
    <w:rsid w:val="00535E49"/>
    <w:rsid w:val="0053659F"/>
    <w:rsid w:val="00537D18"/>
    <w:rsid w:val="00537D95"/>
    <w:rsid w:val="005417AF"/>
    <w:rsid w:val="00541D7D"/>
    <w:rsid w:val="00543780"/>
    <w:rsid w:val="005442D1"/>
    <w:rsid w:val="005448A4"/>
    <w:rsid w:val="00544E51"/>
    <w:rsid w:val="005450EB"/>
    <w:rsid w:val="0054574A"/>
    <w:rsid w:val="00545AC2"/>
    <w:rsid w:val="00546646"/>
    <w:rsid w:val="0054665C"/>
    <w:rsid w:val="00547A43"/>
    <w:rsid w:val="00550C47"/>
    <w:rsid w:val="00552694"/>
    <w:rsid w:val="00552D45"/>
    <w:rsid w:val="0055337B"/>
    <w:rsid w:val="0055377C"/>
    <w:rsid w:val="00553860"/>
    <w:rsid w:val="005541F4"/>
    <w:rsid w:val="005545FE"/>
    <w:rsid w:val="00554717"/>
    <w:rsid w:val="00554741"/>
    <w:rsid w:val="00554FF2"/>
    <w:rsid w:val="00555261"/>
    <w:rsid w:val="00555C70"/>
    <w:rsid w:val="00556DE6"/>
    <w:rsid w:val="005574AF"/>
    <w:rsid w:val="0055785D"/>
    <w:rsid w:val="005578C6"/>
    <w:rsid w:val="00557A53"/>
    <w:rsid w:val="0056090E"/>
    <w:rsid w:val="005613B3"/>
    <w:rsid w:val="00561ED7"/>
    <w:rsid w:val="00562166"/>
    <w:rsid w:val="0056253E"/>
    <w:rsid w:val="00562995"/>
    <w:rsid w:val="00563855"/>
    <w:rsid w:val="005642DD"/>
    <w:rsid w:val="00564453"/>
    <w:rsid w:val="00566025"/>
    <w:rsid w:val="0056611F"/>
    <w:rsid w:val="005666D7"/>
    <w:rsid w:val="0056769C"/>
    <w:rsid w:val="005676A0"/>
    <w:rsid w:val="00567ADA"/>
    <w:rsid w:val="005718D7"/>
    <w:rsid w:val="00571AFD"/>
    <w:rsid w:val="00571BEE"/>
    <w:rsid w:val="00571C08"/>
    <w:rsid w:val="00571C69"/>
    <w:rsid w:val="00572232"/>
    <w:rsid w:val="005722E9"/>
    <w:rsid w:val="00572D52"/>
    <w:rsid w:val="00573D34"/>
    <w:rsid w:val="00573F62"/>
    <w:rsid w:val="00574588"/>
    <w:rsid w:val="00574592"/>
    <w:rsid w:val="00574619"/>
    <w:rsid w:val="005746F6"/>
    <w:rsid w:val="00574E26"/>
    <w:rsid w:val="00575D36"/>
    <w:rsid w:val="005761EE"/>
    <w:rsid w:val="00576C13"/>
    <w:rsid w:val="00576CB6"/>
    <w:rsid w:val="00576CF4"/>
    <w:rsid w:val="00577164"/>
    <w:rsid w:val="00577D9F"/>
    <w:rsid w:val="00580391"/>
    <w:rsid w:val="0058086E"/>
    <w:rsid w:val="005818DE"/>
    <w:rsid w:val="00581AC8"/>
    <w:rsid w:val="00581CC1"/>
    <w:rsid w:val="00582221"/>
    <w:rsid w:val="00584718"/>
    <w:rsid w:val="00584D4C"/>
    <w:rsid w:val="005861DC"/>
    <w:rsid w:val="0058622F"/>
    <w:rsid w:val="00586418"/>
    <w:rsid w:val="00586686"/>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90E"/>
    <w:rsid w:val="005A3E34"/>
    <w:rsid w:val="005A44FF"/>
    <w:rsid w:val="005A4638"/>
    <w:rsid w:val="005A4BD9"/>
    <w:rsid w:val="005A4D8E"/>
    <w:rsid w:val="005A51C6"/>
    <w:rsid w:val="005A576D"/>
    <w:rsid w:val="005A5BAB"/>
    <w:rsid w:val="005A5CB3"/>
    <w:rsid w:val="005A6604"/>
    <w:rsid w:val="005A78DE"/>
    <w:rsid w:val="005A7E09"/>
    <w:rsid w:val="005B08A6"/>
    <w:rsid w:val="005B0F22"/>
    <w:rsid w:val="005B0F27"/>
    <w:rsid w:val="005B1A31"/>
    <w:rsid w:val="005B1B6C"/>
    <w:rsid w:val="005B2B4F"/>
    <w:rsid w:val="005B2CB5"/>
    <w:rsid w:val="005B2CDC"/>
    <w:rsid w:val="005B3025"/>
    <w:rsid w:val="005B3439"/>
    <w:rsid w:val="005B4653"/>
    <w:rsid w:val="005B4E45"/>
    <w:rsid w:val="005B4E85"/>
    <w:rsid w:val="005B5E17"/>
    <w:rsid w:val="005B6419"/>
    <w:rsid w:val="005B6CC1"/>
    <w:rsid w:val="005C1943"/>
    <w:rsid w:val="005C22C2"/>
    <w:rsid w:val="005C2322"/>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E7C7D"/>
    <w:rsid w:val="005F0A09"/>
    <w:rsid w:val="005F0EC7"/>
    <w:rsid w:val="005F105B"/>
    <w:rsid w:val="005F1295"/>
    <w:rsid w:val="005F2075"/>
    <w:rsid w:val="005F2341"/>
    <w:rsid w:val="005F2B48"/>
    <w:rsid w:val="005F3ADE"/>
    <w:rsid w:val="005F432C"/>
    <w:rsid w:val="005F4B41"/>
    <w:rsid w:val="005F4D52"/>
    <w:rsid w:val="005F4F2A"/>
    <w:rsid w:val="005F5099"/>
    <w:rsid w:val="005F73A6"/>
    <w:rsid w:val="006002FC"/>
    <w:rsid w:val="00600D9B"/>
    <w:rsid w:val="0060128D"/>
    <w:rsid w:val="006015EB"/>
    <w:rsid w:val="006021B4"/>
    <w:rsid w:val="00602BDA"/>
    <w:rsid w:val="0060305B"/>
    <w:rsid w:val="0060308F"/>
    <w:rsid w:val="0060552B"/>
    <w:rsid w:val="00606031"/>
    <w:rsid w:val="00606E04"/>
    <w:rsid w:val="00607B8A"/>
    <w:rsid w:val="006102C4"/>
    <w:rsid w:val="00611A97"/>
    <w:rsid w:val="00611B3C"/>
    <w:rsid w:val="00611C5C"/>
    <w:rsid w:val="00612686"/>
    <w:rsid w:val="00612FFF"/>
    <w:rsid w:val="006131E9"/>
    <w:rsid w:val="0061392C"/>
    <w:rsid w:val="00613C92"/>
    <w:rsid w:val="00615685"/>
    <w:rsid w:val="00615849"/>
    <w:rsid w:val="00616069"/>
    <w:rsid w:val="00616F34"/>
    <w:rsid w:val="00616FDD"/>
    <w:rsid w:val="00617E42"/>
    <w:rsid w:val="00617E6C"/>
    <w:rsid w:val="006203EC"/>
    <w:rsid w:val="00622015"/>
    <w:rsid w:val="00622191"/>
    <w:rsid w:val="006228C3"/>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20CB"/>
    <w:rsid w:val="0063314F"/>
    <w:rsid w:val="006337E7"/>
    <w:rsid w:val="00634080"/>
    <w:rsid w:val="0063422F"/>
    <w:rsid w:val="006354FF"/>
    <w:rsid w:val="00635832"/>
    <w:rsid w:val="00635AB6"/>
    <w:rsid w:val="006361B1"/>
    <w:rsid w:val="006365E9"/>
    <w:rsid w:val="00636E18"/>
    <w:rsid w:val="0063705B"/>
    <w:rsid w:val="00637228"/>
    <w:rsid w:val="006406FA"/>
    <w:rsid w:val="00641532"/>
    <w:rsid w:val="00641E0B"/>
    <w:rsid w:val="0064225E"/>
    <w:rsid w:val="0064298D"/>
    <w:rsid w:val="0064364F"/>
    <w:rsid w:val="006445A3"/>
    <w:rsid w:val="00645115"/>
    <w:rsid w:val="006462F1"/>
    <w:rsid w:val="006464CF"/>
    <w:rsid w:val="00646CB6"/>
    <w:rsid w:val="00646DB1"/>
    <w:rsid w:val="00647A7A"/>
    <w:rsid w:val="00650088"/>
    <w:rsid w:val="00650724"/>
    <w:rsid w:val="0065124E"/>
    <w:rsid w:val="006513A0"/>
    <w:rsid w:val="00652484"/>
    <w:rsid w:val="00652C4F"/>
    <w:rsid w:val="0065308E"/>
    <w:rsid w:val="006534DC"/>
    <w:rsid w:val="006541D1"/>
    <w:rsid w:val="00654860"/>
    <w:rsid w:val="00654F37"/>
    <w:rsid w:val="00655662"/>
    <w:rsid w:val="00656ABE"/>
    <w:rsid w:val="00657521"/>
    <w:rsid w:val="0066000B"/>
    <w:rsid w:val="0066030A"/>
    <w:rsid w:val="00660931"/>
    <w:rsid w:val="00660DB9"/>
    <w:rsid w:val="00661956"/>
    <w:rsid w:val="00661C43"/>
    <w:rsid w:val="00662C23"/>
    <w:rsid w:val="00663A53"/>
    <w:rsid w:val="0066473E"/>
    <w:rsid w:val="00664F66"/>
    <w:rsid w:val="00665069"/>
    <w:rsid w:val="0066537B"/>
    <w:rsid w:val="00665718"/>
    <w:rsid w:val="00665E8C"/>
    <w:rsid w:val="00665F6E"/>
    <w:rsid w:val="0066692E"/>
    <w:rsid w:val="00666CC6"/>
    <w:rsid w:val="006677D7"/>
    <w:rsid w:val="00667828"/>
    <w:rsid w:val="00667AF6"/>
    <w:rsid w:val="00670CDD"/>
    <w:rsid w:val="00670F37"/>
    <w:rsid w:val="00672277"/>
    <w:rsid w:val="00674930"/>
    <w:rsid w:val="00676079"/>
    <w:rsid w:val="00676326"/>
    <w:rsid w:val="006777C7"/>
    <w:rsid w:val="00677FE7"/>
    <w:rsid w:val="006830CE"/>
    <w:rsid w:val="006839E8"/>
    <w:rsid w:val="00683D65"/>
    <w:rsid w:val="00684AB4"/>
    <w:rsid w:val="00684FDE"/>
    <w:rsid w:val="006851CB"/>
    <w:rsid w:val="00685F12"/>
    <w:rsid w:val="00686618"/>
    <w:rsid w:val="00687672"/>
    <w:rsid w:val="00690239"/>
    <w:rsid w:val="00690FB6"/>
    <w:rsid w:val="00691287"/>
    <w:rsid w:val="006919FC"/>
    <w:rsid w:val="00693034"/>
    <w:rsid w:val="0069373F"/>
    <w:rsid w:val="00693FDC"/>
    <w:rsid w:val="006963D2"/>
    <w:rsid w:val="00696748"/>
    <w:rsid w:val="00697FEB"/>
    <w:rsid w:val="006A02C9"/>
    <w:rsid w:val="006A0A19"/>
    <w:rsid w:val="006A0B4A"/>
    <w:rsid w:val="006A0D71"/>
    <w:rsid w:val="006A0E7E"/>
    <w:rsid w:val="006A0F4A"/>
    <w:rsid w:val="006A1D16"/>
    <w:rsid w:val="006A1EA8"/>
    <w:rsid w:val="006A4300"/>
    <w:rsid w:val="006A4428"/>
    <w:rsid w:val="006A4CF3"/>
    <w:rsid w:val="006A70CC"/>
    <w:rsid w:val="006A7BEA"/>
    <w:rsid w:val="006A7D62"/>
    <w:rsid w:val="006B120F"/>
    <w:rsid w:val="006B1FE2"/>
    <w:rsid w:val="006B2EBD"/>
    <w:rsid w:val="006B2F86"/>
    <w:rsid w:val="006B3690"/>
    <w:rsid w:val="006B37A6"/>
    <w:rsid w:val="006B3C0D"/>
    <w:rsid w:val="006B4649"/>
    <w:rsid w:val="006B4CAC"/>
    <w:rsid w:val="006C0355"/>
    <w:rsid w:val="006C090C"/>
    <w:rsid w:val="006C13D5"/>
    <w:rsid w:val="006C3A40"/>
    <w:rsid w:val="006C3F79"/>
    <w:rsid w:val="006C4E8E"/>
    <w:rsid w:val="006C53A0"/>
    <w:rsid w:val="006C5E9B"/>
    <w:rsid w:val="006C6628"/>
    <w:rsid w:val="006C6D77"/>
    <w:rsid w:val="006C7240"/>
    <w:rsid w:val="006C74D6"/>
    <w:rsid w:val="006C7663"/>
    <w:rsid w:val="006D0EE8"/>
    <w:rsid w:val="006D12C7"/>
    <w:rsid w:val="006D175B"/>
    <w:rsid w:val="006D1BF7"/>
    <w:rsid w:val="006D23EF"/>
    <w:rsid w:val="006D457D"/>
    <w:rsid w:val="006D49D0"/>
    <w:rsid w:val="006D5361"/>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81D"/>
    <w:rsid w:val="006E39D7"/>
    <w:rsid w:val="006E3BD0"/>
    <w:rsid w:val="006E3FA9"/>
    <w:rsid w:val="006E4444"/>
    <w:rsid w:val="006E4D14"/>
    <w:rsid w:val="006E6866"/>
    <w:rsid w:val="006E6C7D"/>
    <w:rsid w:val="006E702B"/>
    <w:rsid w:val="006E7DC6"/>
    <w:rsid w:val="006F01FC"/>
    <w:rsid w:val="006F0349"/>
    <w:rsid w:val="006F08E1"/>
    <w:rsid w:val="006F0E10"/>
    <w:rsid w:val="006F13D2"/>
    <w:rsid w:val="006F1A53"/>
    <w:rsid w:val="006F2196"/>
    <w:rsid w:val="006F2B29"/>
    <w:rsid w:val="006F3240"/>
    <w:rsid w:val="006F3620"/>
    <w:rsid w:val="006F3D73"/>
    <w:rsid w:val="006F5A87"/>
    <w:rsid w:val="006F747C"/>
    <w:rsid w:val="006F74BF"/>
    <w:rsid w:val="006F7BDA"/>
    <w:rsid w:val="00700C93"/>
    <w:rsid w:val="00701FC8"/>
    <w:rsid w:val="0070288A"/>
    <w:rsid w:val="00702D07"/>
    <w:rsid w:val="00703676"/>
    <w:rsid w:val="00706655"/>
    <w:rsid w:val="007078D6"/>
    <w:rsid w:val="00707B85"/>
    <w:rsid w:val="007106DD"/>
    <w:rsid w:val="00710F87"/>
    <w:rsid w:val="00711217"/>
    <w:rsid w:val="007116F8"/>
    <w:rsid w:val="00712900"/>
    <w:rsid w:val="007133E9"/>
    <w:rsid w:val="007137B3"/>
    <w:rsid w:val="00713BD4"/>
    <w:rsid w:val="00714542"/>
    <w:rsid w:val="007146AA"/>
    <w:rsid w:val="00714837"/>
    <w:rsid w:val="007149B8"/>
    <w:rsid w:val="00714EF0"/>
    <w:rsid w:val="00714F04"/>
    <w:rsid w:val="00715087"/>
    <w:rsid w:val="00715712"/>
    <w:rsid w:val="007158C7"/>
    <w:rsid w:val="00715D0C"/>
    <w:rsid w:val="0071628B"/>
    <w:rsid w:val="00716F27"/>
    <w:rsid w:val="00717727"/>
    <w:rsid w:val="00717B00"/>
    <w:rsid w:val="007208AB"/>
    <w:rsid w:val="00720B68"/>
    <w:rsid w:val="00720DE3"/>
    <w:rsid w:val="00721C6A"/>
    <w:rsid w:val="007222B0"/>
    <w:rsid w:val="007227EC"/>
    <w:rsid w:val="00722F2C"/>
    <w:rsid w:val="00723293"/>
    <w:rsid w:val="00723439"/>
    <w:rsid w:val="00723CB3"/>
    <w:rsid w:val="00724D46"/>
    <w:rsid w:val="007252D4"/>
    <w:rsid w:val="007263EF"/>
    <w:rsid w:val="00727012"/>
    <w:rsid w:val="0072723A"/>
    <w:rsid w:val="007279EC"/>
    <w:rsid w:val="00727D29"/>
    <w:rsid w:val="00730818"/>
    <w:rsid w:val="00730E2D"/>
    <w:rsid w:val="0073142D"/>
    <w:rsid w:val="0073237F"/>
    <w:rsid w:val="007323B9"/>
    <w:rsid w:val="007330A4"/>
    <w:rsid w:val="00733C05"/>
    <w:rsid w:val="00734198"/>
    <w:rsid w:val="00734568"/>
    <w:rsid w:val="0073460E"/>
    <w:rsid w:val="007349F9"/>
    <w:rsid w:val="00734A12"/>
    <w:rsid w:val="00735CDE"/>
    <w:rsid w:val="00736EAE"/>
    <w:rsid w:val="00737F9B"/>
    <w:rsid w:val="007402C2"/>
    <w:rsid w:val="0074044C"/>
    <w:rsid w:val="007405B1"/>
    <w:rsid w:val="00740AF0"/>
    <w:rsid w:val="007419ED"/>
    <w:rsid w:val="00742174"/>
    <w:rsid w:val="00742C4C"/>
    <w:rsid w:val="007431F0"/>
    <w:rsid w:val="00743537"/>
    <w:rsid w:val="00743577"/>
    <w:rsid w:val="007435D3"/>
    <w:rsid w:val="00744220"/>
    <w:rsid w:val="00744C66"/>
    <w:rsid w:val="007464CC"/>
    <w:rsid w:val="00747238"/>
    <w:rsid w:val="00747B4B"/>
    <w:rsid w:val="00747D5E"/>
    <w:rsid w:val="00750679"/>
    <w:rsid w:val="00751D79"/>
    <w:rsid w:val="00751EDA"/>
    <w:rsid w:val="00754003"/>
    <w:rsid w:val="00754851"/>
    <w:rsid w:val="007575D0"/>
    <w:rsid w:val="00757649"/>
    <w:rsid w:val="00760944"/>
    <w:rsid w:val="007609D5"/>
    <w:rsid w:val="00760C75"/>
    <w:rsid w:val="007611AD"/>
    <w:rsid w:val="0076126B"/>
    <w:rsid w:val="007613B3"/>
    <w:rsid w:val="00762FBA"/>
    <w:rsid w:val="0076316D"/>
    <w:rsid w:val="00763FB6"/>
    <w:rsid w:val="0076410A"/>
    <w:rsid w:val="0076473F"/>
    <w:rsid w:val="00764748"/>
    <w:rsid w:val="00765515"/>
    <w:rsid w:val="00765F2A"/>
    <w:rsid w:val="00766906"/>
    <w:rsid w:val="00766F28"/>
    <w:rsid w:val="00770E5B"/>
    <w:rsid w:val="007713E8"/>
    <w:rsid w:val="00771967"/>
    <w:rsid w:val="00771AA1"/>
    <w:rsid w:val="00772FC8"/>
    <w:rsid w:val="0077322C"/>
    <w:rsid w:val="00774715"/>
    <w:rsid w:val="007747EE"/>
    <w:rsid w:val="00774999"/>
    <w:rsid w:val="00774F98"/>
    <w:rsid w:val="00776623"/>
    <w:rsid w:val="007768F5"/>
    <w:rsid w:val="0077735A"/>
    <w:rsid w:val="0078095B"/>
    <w:rsid w:val="00780D10"/>
    <w:rsid w:val="007813D1"/>
    <w:rsid w:val="00782158"/>
    <w:rsid w:val="007821A2"/>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2C45"/>
    <w:rsid w:val="00793842"/>
    <w:rsid w:val="00794379"/>
    <w:rsid w:val="007953B5"/>
    <w:rsid w:val="00795550"/>
    <w:rsid w:val="00795F3C"/>
    <w:rsid w:val="00796271"/>
    <w:rsid w:val="00796431"/>
    <w:rsid w:val="007964DC"/>
    <w:rsid w:val="007967E6"/>
    <w:rsid w:val="00797D07"/>
    <w:rsid w:val="00797EC1"/>
    <w:rsid w:val="007A03B9"/>
    <w:rsid w:val="007A06C5"/>
    <w:rsid w:val="007A0B4E"/>
    <w:rsid w:val="007A117C"/>
    <w:rsid w:val="007A19E3"/>
    <w:rsid w:val="007A2635"/>
    <w:rsid w:val="007A3BFB"/>
    <w:rsid w:val="007A4230"/>
    <w:rsid w:val="007A5DE7"/>
    <w:rsid w:val="007A69A5"/>
    <w:rsid w:val="007A6B52"/>
    <w:rsid w:val="007A6C81"/>
    <w:rsid w:val="007A7B10"/>
    <w:rsid w:val="007B02A8"/>
    <w:rsid w:val="007B0B30"/>
    <w:rsid w:val="007B129D"/>
    <w:rsid w:val="007B219A"/>
    <w:rsid w:val="007B2266"/>
    <w:rsid w:val="007B31A6"/>
    <w:rsid w:val="007B4508"/>
    <w:rsid w:val="007B5E3D"/>
    <w:rsid w:val="007B6B28"/>
    <w:rsid w:val="007B79F6"/>
    <w:rsid w:val="007B7B44"/>
    <w:rsid w:val="007C0E2D"/>
    <w:rsid w:val="007C1271"/>
    <w:rsid w:val="007C12F0"/>
    <w:rsid w:val="007C15B2"/>
    <w:rsid w:val="007C1E59"/>
    <w:rsid w:val="007C411F"/>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D77FB"/>
    <w:rsid w:val="007E0084"/>
    <w:rsid w:val="007E0678"/>
    <w:rsid w:val="007E0A18"/>
    <w:rsid w:val="007E0EF4"/>
    <w:rsid w:val="007E1035"/>
    <w:rsid w:val="007E1421"/>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6FBE"/>
    <w:rsid w:val="007F742B"/>
    <w:rsid w:val="007F7CBC"/>
    <w:rsid w:val="00800C45"/>
    <w:rsid w:val="0080130F"/>
    <w:rsid w:val="00801B60"/>
    <w:rsid w:val="008026FE"/>
    <w:rsid w:val="00802F9F"/>
    <w:rsid w:val="0080372E"/>
    <w:rsid w:val="00803E55"/>
    <w:rsid w:val="00804358"/>
    <w:rsid w:val="00804F92"/>
    <w:rsid w:val="00807F19"/>
    <w:rsid w:val="00807F85"/>
    <w:rsid w:val="0081060D"/>
    <w:rsid w:val="00810A52"/>
    <w:rsid w:val="00810DCF"/>
    <w:rsid w:val="008110C4"/>
    <w:rsid w:val="00811527"/>
    <w:rsid w:val="00811F2C"/>
    <w:rsid w:val="00811FE2"/>
    <w:rsid w:val="008134F5"/>
    <w:rsid w:val="00813D03"/>
    <w:rsid w:val="00814399"/>
    <w:rsid w:val="00815A51"/>
    <w:rsid w:val="00817CF6"/>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4FF"/>
    <w:rsid w:val="00840749"/>
    <w:rsid w:val="00840F7C"/>
    <w:rsid w:val="008412E1"/>
    <w:rsid w:val="008413A8"/>
    <w:rsid w:val="00842443"/>
    <w:rsid w:val="00843285"/>
    <w:rsid w:val="00843286"/>
    <w:rsid w:val="00843386"/>
    <w:rsid w:val="00844479"/>
    <w:rsid w:val="00844C79"/>
    <w:rsid w:val="00846122"/>
    <w:rsid w:val="008466C4"/>
    <w:rsid w:val="00850FDB"/>
    <w:rsid w:val="008510D6"/>
    <w:rsid w:val="008522B5"/>
    <w:rsid w:val="0085346F"/>
    <w:rsid w:val="00853C4A"/>
    <w:rsid w:val="00854190"/>
    <w:rsid w:val="00854682"/>
    <w:rsid w:val="00855DA1"/>
    <w:rsid w:val="00856359"/>
    <w:rsid w:val="0085657D"/>
    <w:rsid w:val="008569DC"/>
    <w:rsid w:val="00856DA4"/>
    <w:rsid w:val="00857078"/>
    <w:rsid w:val="00857A3C"/>
    <w:rsid w:val="00860613"/>
    <w:rsid w:val="00861279"/>
    <w:rsid w:val="008612B4"/>
    <w:rsid w:val="00862A90"/>
    <w:rsid w:val="00863D31"/>
    <w:rsid w:val="00863D50"/>
    <w:rsid w:val="0086454A"/>
    <w:rsid w:val="00866E95"/>
    <w:rsid w:val="00867E88"/>
    <w:rsid w:val="00870102"/>
    <w:rsid w:val="00870456"/>
    <w:rsid w:val="008721A5"/>
    <w:rsid w:val="008723A8"/>
    <w:rsid w:val="00872847"/>
    <w:rsid w:val="00872C9B"/>
    <w:rsid w:val="00872E78"/>
    <w:rsid w:val="00872FDB"/>
    <w:rsid w:val="00873451"/>
    <w:rsid w:val="00873471"/>
    <w:rsid w:val="00873C14"/>
    <w:rsid w:val="0087619E"/>
    <w:rsid w:val="0087627E"/>
    <w:rsid w:val="00877706"/>
    <w:rsid w:val="00877F7D"/>
    <w:rsid w:val="008811FC"/>
    <w:rsid w:val="00881D54"/>
    <w:rsid w:val="008825CE"/>
    <w:rsid w:val="00882EFB"/>
    <w:rsid w:val="00882F4A"/>
    <w:rsid w:val="0088366A"/>
    <w:rsid w:val="00883A3C"/>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0C"/>
    <w:rsid w:val="00893E72"/>
    <w:rsid w:val="00896BC2"/>
    <w:rsid w:val="00896C06"/>
    <w:rsid w:val="008A072D"/>
    <w:rsid w:val="008A1815"/>
    <w:rsid w:val="008A1C42"/>
    <w:rsid w:val="008A2D63"/>
    <w:rsid w:val="008A2FA0"/>
    <w:rsid w:val="008A3348"/>
    <w:rsid w:val="008A3666"/>
    <w:rsid w:val="008A3889"/>
    <w:rsid w:val="008A4BAF"/>
    <w:rsid w:val="008A56CE"/>
    <w:rsid w:val="008A5CE1"/>
    <w:rsid w:val="008A5EE6"/>
    <w:rsid w:val="008A6398"/>
    <w:rsid w:val="008B048B"/>
    <w:rsid w:val="008B08D3"/>
    <w:rsid w:val="008B19B7"/>
    <w:rsid w:val="008B19E5"/>
    <w:rsid w:val="008B1C16"/>
    <w:rsid w:val="008B2AC1"/>
    <w:rsid w:val="008B2D32"/>
    <w:rsid w:val="008B2D3F"/>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22DA"/>
    <w:rsid w:val="008D25B5"/>
    <w:rsid w:val="008D3273"/>
    <w:rsid w:val="008D3CA0"/>
    <w:rsid w:val="008D4696"/>
    <w:rsid w:val="008D6805"/>
    <w:rsid w:val="008D6CA8"/>
    <w:rsid w:val="008D733D"/>
    <w:rsid w:val="008E0A95"/>
    <w:rsid w:val="008E136A"/>
    <w:rsid w:val="008E14A5"/>
    <w:rsid w:val="008E2213"/>
    <w:rsid w:val="008E2336"/>
    <w:rsid w:val="008E27A7"/>
    <w:rsid w:val="008E33F9"/>
    <w:rsid w:val="008E34A2"/>
    <w:rsid w:val="008E34AE"/>
    <w:rsid w:val="008E3BA7"/>
    <w:rsid w:val="008E3D1C"/>
    <w:rsid w:val="008E4D1F"/>
    <w:rsid w:val="008E694D"/>
    <w:rsid w:val="008E78B4"/>
    <w:rsid w:val="008F047E"/>
    <w:rsid w:val="008F2841"/>
    <w:rsid w:val="008F2959"/>
    <w:rsid w:val="008F399F"/>
    <w:rsid w:val="008F39F1"/>
    <w:rsid w:val="008F432C"/>
    <w:rsid w:val="008F4916"/>
    <w:rsid w:val="008F6034"/>
    <w:rsid w:val="008F7859"/>
    <w:rsid w:val="008F7ADB"/>
    <w:rsid w:val="008F7CC9"/>
    <w:rsid w:val="009001B0"/>
    <w:rsid w:val="00900940"/>
    <w:rsid w:val="00900CC0"/>
    <w:rsid w:val="0090288E"/>
    <w:rsid w:val="009038F9"/>
    <w:rsid w:val="00905028"/>
    <w:rsid w:val="009055D6"/>
    <w:rsid w:val="00905AAB"/>
    <w:rsid w:val="009068C3"/>
    <w:rsid w:val="00906F53"/>
    <w:rsid w:val="0090775D"/>
    <w:rsid w:val="00910432"/>
    <w:rsid w:val="0091050C"/>
    <w:rsid w:val="00911865"/>
    <w:rsid w:val="00911A8D"/>
    <w:rsid w:val="00912D34"/>
    <w:rsid w:val="009139AF"/>
    <w:rsid w:val="009148EC"/>
    <w:rsid w:val="00914BFD"/>
    <w:rsid w:val="00914CD2"/>
    <w:rsid w:val="00915EF9"/>
    <w:rsid w:val="00916FF9"/>
    <w:rsid w:val="009174DB"/>
    <w:rsid w:val="009174F6"/>
    <w:rsid w:val="00917A99"/>
    <w:rsid w:val="00920831"/>
    <w:rsid w:val="00921BFB"/>
    <w:rsid w:val="00921EF9"/>
    <w:rsid w:val="00922AFA"/>
    <w:rsid w:val="00922BF2"/>
    <w:rsid w:val="009234FD"/>
    <w:rsid w:val="00923665"/>
    <w:rsid w:val="00924258"/>
    <w:rsid w:val="00924973"/>
    <w:rsid w:val="00924ED5"/>
    <w:rsid w:val="0092631A"/>
    <w:rsid w:val="009272E3"/>
    <w:rsid w:val="009311DF"/>
    <w:rsid w:val="009314B6"/>
    <w:rsid w:val="0093152E"/>
    <w:rsid w:val="009315A3"/>
    <w:rsid w:val="00931779"/>
    <w:rsid w:val="00931E42"/>
    <w:rsid w:val="0093252C"/>
    <w:rsid w:val="0093283A"/>
    <w:rsid w:val="0093430F"/>
    <w:rsid w:val="009356B3"/>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0DF"/>
    <w:rsid w:val="00946929"/>
    <w:rsid w:val="00946D29"/>
    <w:rsid w:val="00946EEE"/>
    <w:rsid w:val="009474F2"/>
    <w:rsid w:val="00950E7E"/>
    <w:rsid w:val="00952AEF"/>
    <w:rsid w:val="00955C33"/>
    <w:rsid w:val="0095625A"/>
    <w:rsid w:val="00956446"/>
    <w:rsid w:val="00957B4C"/>
    <w:rsid w:val="009603BF"/>
    <w:rsid w:val="00960B5B"/>
    <w:rsid w:val="00960F24"/>
    <w:rsid w:val="00960FAF"/>
    <w:rsid w:val="00960FBE"/>
    <w:rsid w:val="0096172B"/>
    <w:rsid w:val="00961C91"/>
    <w:rsid w:val="009628F6"/>
    <w:rsid w:val="00962AB8"/>
    <w:rsid w:val="00962CB7"/>
    <w:rsid w:val="00962E64"/>
    <w:rsid w:val="00963AA3"/>
    <w:rsid w:val="00963B80"/>
    <w:rsid w:val="00964478"/>
    <w:rsid w:val="009651FA"/>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AFA"/>
    <w:rsid w:val="00980C11"/>
    <w:rsid w:val="00981086"/>
    <w:rsid w:val="0098257D"/>
    <w:rsid w:val="0098302F"/>
    <w:rsid w:val="009831C8"/>
    <w:rsid w:val="00983D28"/>
    <w:rsid w:val="0098474E"/>
    <w:rsid w:val="009857EB"/>
    <w:rsid w:val="00986110"/>
    <w:rsid w:val="009869D5"/>
    <w:rsid w:val="00987232"/>
    <w:rsid w:val="009877E3"/>
    <w:rsid w:val="00990104"/>
    <w:rsid w:val="0099047A"/>
    <w:rsid w:val="009905A0"/>
    <w:rsid w:val="00990EC7"/>
    <w:rsid w:val="00991B95"/>
    <w:rsid w:val="00991D3E"/>
    <w:rsid w:val="00992630"/>
    <w:rsid w:val="00992840"/>
    <w:rsid w:val="00993064"/>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40E"/>
    <w:rsid w:val="009C0544"/>
    <w:rsid w:val="009C0DD6"/>
    <w:rsid w:val="009C1B29"/>
    <w:rsid w:val="009C1C07"/>
    <w:rsid w:val="009C1F84"/>
    <w:rsid w:val="009C38A8"/>
    <w:rsid w:val="009C38DF"/>
    <w:rsid w:val="009C40F8"/>
    <w:rsid w:val="009C5A3E"/>
    <w:rsid w:val="009C5D66"/>
    <w:rsid w:val="009C6CC1"/>
    <w:rsid w:val="009C73E9"/>
    <w:rsid w:val="009D05F1"/>
    <w:rsid w:val="009D089E"/>
    <w:rsid w:val="009D094F"/>
    <w:rsid w:val="009D0BF3"/>
    <w:rsid w:val="009D0E88"/>
    <w:rsid w:val="009D0EB6"/>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548"/>
    <w:rsid w:val="009E1649"/>
    <w:rsid w:val="009E172B"/>
    <w:rsid w:val="009E1B55"/>
    <w:rsid w:val="009E204D"/>
    <w:rsid w:val="009E253A"/>
    <w:rsid w:val="009E25F5"/>
    <w:rsid w:val="009E39C0"/>
    <w:rsid w:val="009E4CE0"/>
    <w:rsid w:val="009E523E"/>
    <w:rsid w:val="009E5367"/>
    <w:rsid w:val="009E7B93"/>
    <w:rsid w:val="009F0062"/>
    <w:rsid w:val="009F0349"/>
    <w:rsid w:val="009F1CE1"/>
    <w:rsid w:val="009F1E76"/>
    <w:rsid w:val="009F2D48"/>
    <w:rsid w:val="009F2FEB"/>
    <w:rsid w:val="009F3268"/>
    <w:rsid w:val="009F4230"/>
    <w:rsid w:val="009F4860"/>
    <w:rsid w:val="009F58F4"/>
    <w:rsid w:val="009F5F2C"/>
    <w:rsid w:val="009F6749"/>
    <w:rsid w:val="009F6A7F"/>
    <w:rsid w:val="009F6C56"/>
    <w:rsid w:val="009F7F44"/>
    <w:rsid w:val="00A0021A"/>
    <w:rsid w:val="00A0178C"/>
    <w:rsid w:val="00A01D67"/>
    <w:rsid w:val="00A01EAA"/>
    <w:rsid w:val="00A0206E"/>
    <w:rsid w:val="00A02A33"/>
    <w:rsid w:val="00A02F5D"/>
    <w:rsid w:val="00A031CC"/>
    <w:rsid w:val="00A0323B"/>
    <w:rsid w:val="00A04192"/>
    <w:rsid w:val="00A04474"/>
    <w:rsid w:val="00A0482C"/>
    <w:rsid w:val="00A06A94"/>
    <w:rsid w:val="00A0762A"/>
    <w:rsid w:val="00A0776D"/>
    <w:rsid w:val="00A0778F"/>
    <w:rsid w:val="00A1004D"/>
    <w:rsid w:val="00A1182A"/>
    <w:rsid w:val="00A13922"/>
    <w:rsid w:val="00A13DB8"/>
    <w:rsid w:val="00A13F1D"/>
    <w:rsid w:val="00A1482D"/>
    <w:rsid w:val="00A14AA1"/>
    <w:rsid w:val="00A155ED"/>
    <w:rsid w:val="00A15F37"/>
    <w:rsid w:val="00A16191"/>
    <w:rsid w:val="00A163E3"/>
    <w:rsid w:val="00A16B96"/>
    <w:rsid w:val="00A16CAF"/>
    <w:rsid w:val="00A220C0"/>
    <w:rsid w:val="00A22229"/>
    <w:rsid w:val="00A2239A"/>
    <w:rsid w:val="00A2295F"/>
    <w:rsid w:val="00A22A52"/>
    <w:rsid w:val="00A23246"/>
    <w:rsid w:val="00A24A2E"/>
    <w:rsid w:val="00A25215"/>
    <w:rsid w:val="00A25889"/>
    <w:rsid w:val="00A2710F"/>
    <w:rsid w:val="00A3034C"/>
    <w:rsid w:val="00A30764"/>
    <w:rsid w:val="00A325EE"/>
    <w:rsid w:val="00A338A1"/>
    <w:rsid w:val="00A349CB"/>
    <w:rsid w:val="00A34E5A"/>
    <w:rsid w:val="00A3508F"/>
    <w:rsid w:val="00A35D8A"/>
    <w:rsid w:val="00A364F7"/>
    <w:rsid w:val="00A36CE8"/>
    <w:rsid w:val="00A36DDD"/>
    <w:rsid w:val="00A36EBB"/>
    <w:rsid w:val="00A378ED"/>
    <w:rsid w:val="00A37C13"/>
    <w:rsid w:val="00A425BA"/>
    <w:rsid w:val="00A42D6B"/>
    <w:rsid w:val="00A42EEB"/>
    <w:rsid w:val="00A430E2"/>
    <w:rsid w:val="00A4316F"/>
    <w:rsid w:val="00A447E7"/>
    <w:rsid w:val="00A44A0C"/>
    <w:rsid w:val="00A454B6"/>
    <w:rsid w:val="00A4559F"/>
    <w:rsid w:val="00A45FC0"/>
    <w:rsid w:val="00A46558"/>
    <w:rsid w:val="00A472F8"/>
    <w:rsid w:val="00A50571"/>
    <w:rsid w:val="00A50AEA"/>
    <w:rsid w:val="00A5314F"/>
    <w:rsid w:val="00A53F81"/>
    <w:rsid w:val="00A54055"/>
    <w:rsid w:val="00A54B25"/>
    <w:rsid w:val="00A54D53"/>
    <w:rsid w:val="00A55882"/>
    <w:rsid w:val="00A5590F"/>
    <w:rsid w:val="00A569E0"/>
    <w:rsid w:val="00A56B6B"/>
    <w:rsid w:val="00A60311"/>
    <w:rsid w:val="00A60546"/>
    <w:rsid w:val="00A61107"/>
    <w:rsid w:val="00A63272"/>
    <w:rsid w:val="00A63EEE"/>
    <w:rsid w:val="00A6445C"/>
    <w:rsid w:val="00A66054"/>
    <w:rsid w:val="00A66F1E"/>
    <w:rsid w:val="00A6760A"/>
    <w:rsid w:val="00A676D3"/>
    <w:rsid w:val="00A679AD"/>
    <w:rsid w:val="00A71142"/>
    <w:rsid w:val="00A711B7"/>
    <w:rsid w:val="00A7149F"/>
    <w:rsid w:val="00A72C93"/>
    <w:rsid w:val="00A72DB7"/>
    <w:rsid w:val="00A72FF3"/>
    <w:rsid w:val="00A7410C"/>
    <w:rsid w:val="00A754A0"/>
    <w:rsid w:val="00A76082"/>
    <w:rsid w:val="00A7784F"/>
    <w:rsid w:val="00A77DE1"/>
    <w:rsid w:val="00A80A07"/>
    <w:rsid w:val="00A811D6"/>
    <w:rsid w:val="00A81F02"/>
    <w:rsid w:val="00A82860"/>
    <w:rsid w:val="00A82B36"/>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0D5A"/>
    <w:rsid w:val="00AA17F7"/>
    <w:rsid w:val="00AA253F"/>
    <w:rsid w:val="00AA25AC"/>
    <w:rsid w:val="00AA28D2"/>
    <w:rsid w:val="00AA2D58"/>
    <w:rsid w:val="00AA4A27"/>
    <w:rsid w:val="00AA4C06"/>
    <w:rsid w:val="00AA5C1F"/>
    <w:rsid w:val="00AA62A7"/>
    <w:rsid w:val="00AA7E5F"/>
    <w:rsid w:val="00AB0ED1"/>
    <w:rsid w:val="00AB16F3"/>
    <w:rsid w:val="00AB1ED1"/>
    <w:rsid w:val="00AB23B0"/>
    <w:rsid w:val="00AB2567"/>
    <w:rsid w:val="00AB3273"/>
    <w:rsid w:val="00AB3537"/>
    <w:rsid w:val="00AB365A"/>
    <w:rsid w:val="00AB3A63"/>
    <w:rsid w:val="00AB4201"/>
    <w:rsid w:val="00AB453D"/>
    <w:rsid w:val="00AB48D1"/>
    <w:rsid w:val="00AB4CFC"/>
    <w:rsid w:val="00AB5363"/>
    <w:rsid w:val="00AB58F2"/>
    <w:rsid w:val="00AB5E9F"/>
    <w:rsid w:val="00AB61EF"/>
    <w:rsid w:val="00AB689B"/>
    <w:rsid w:val="00AB747A"/>
    <w:rsid w:val="00AB7541"/>
    <w:rsid w:val="00AB7CDE"/>
    <w:rsid w:val="00AC0AAA"/>
    <w:rsid w:val="00AC0D62"/>
    <w:rsid w:val="00AC1771"/>
    <w:rsid w:val="00AC1934"/>
    <w:rsid w:val="00AC277A"/>
    <w:rsid w:val="00AC41F9"/>
    <w:rsid w:val="00AC4EEC"/>
    <w:rsid w:val="00AC5B51"/>
    <w:rsid w:val="00AC6C46"/>
    <w:rsid w:val="00AC6D5D"/>
    <w:rsid w:val="00AC6F64"/>
    <w:rsid w:val="00AC706B"/>
    <w:rsid w:val="00AC7487"/>
    <w:rsid w:val="00AC7B00"/>
    <w:rsid w:val="00AD03D9"/>
    <w:rsid w:val="00AD20AF"/>
    <w:rsid w:val="00AD25AD"/>
    <w:rsid w:val="00AD3A59"/>
    <w:rsid w:val="00AD3BBF"/>
    <w:rsid w:val="00AD4353"/>
    <w:rsid w:val="00AD485D"/>
    <w:rsid w:val="00AD613B"/>
    <w:rsid w:val="00AE079E"/>
    <w:rsid w:val="00AE0D0C"/>
    <w:rsid w:val="00AE1BA9"/>
    <w:rsid w:val="00AE2387"/>
    <w:rsid w:val="00AE4002"/>
    <w:rsid w:val="00AE6E19"/>
    <w:rsid w:val="00AE724E"/>
    <w:rsid w:val="00AE76A8"/>
    <w:rsid w:val="00AF09A0"/>
    <w:rsid w:val="00AF1091"/>
    <w:rsid w:val="00AF153A"/>
    <w:rsid w:val="00AF18A6"/>
    <w:rsid w:val="00AF18CA"/>
    <w:rsid w:val="00AF1CFD"/>
    <w:rsid w:val="00AF2306"/>
    <w:rsid w:val="00AF2617"/>
    <w:rsid w:val="00AF2AE5"/>
    <w:rsid w:val="00AF2B00"/>
    <w:rsid w:val="00AF3AD9"/>
    <w:rsid w:val="00AF4640"/>
    <w:rsid w:val="00AF5145"/>
    <w:rsid w:val="00AF52CD"/>
    <w:rsid w:val="00AF58F3"/>
    <w:rsid w:val="00AF5ABA"/>
    <w:rsid w:val="00AF6D5C"/>
    <w:rsid w:val="00AF6D94"/>
    <w:rsid w:val="00B00317"/>
    <w:rsid w:val="00B0149D"/>
    <w:rsid w:val="00B014EC"/>
    <w:rsid w:val="00B023DD"/>
    <w:rsid w:val="00B04FE2"/>
    <w:rsid w:val="00B05126"/>
    <w:rsid w:val="00B05277"/>
    <w:rsid w:val="00B05777"/>
    <w:rsid w:val="00B05B5E"/>
    <w:rsid w:val="00B06527"/>
    <w:rsid w:val="00B07EE5"/>
    <w:rsid w:val="00B10C3C"/>
    <w:rsid w:val="00B11271"/>
    <w:rsid w:val="00B112A5"/>
    <w:rsid w:val="00B116FF"/>
    <w:rsid w:val="00B118CF"/>
    <w:rsid w:val="00B12833"/>
    <w:rsid w:val="00B12AAF"/>
    <w:rsid w:val="00B12D4B"/>
    <w:rsid w:val="00B140E9"/>
    <w:rsid w:val="00B14557"/>
    <w:rsid w:val="00B1471D"/>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0A4E"/>
    <w:rsid w:val="00B31A01"/>
    <w:rsid w:val="00B31E3C"/>
    <w:rsid w:val="00B32C18"/>
    <w:rsid w:val="00B33037"/>
    <w:rsid w:val="00B33732"/>
    <w:rsid w:val="00B3483B"/>
    <w:rsid w:val="00B35C7E"/>
    <w:rsid w:val="00B35D32"/>
    <w:rsid w:val="00B36448"/>
    <w:rsid w:val="00B377F6"/>
    <w:rsid w:val="00B40FEB"/>
    <w:rsid w:val="00B416B1"/>
    <w:rsid w:val="00B418F4"/>
    <w:rsid w:val="00B426A2"/>
    <w:rsid w:val="00B42D4E"/>
    <w:rsid w:val="00B43376"/>
    <w:rsid w:val="00B43E68"/>
    <w:rsid w:val="00B44209"/>
    <w:rsid w:val="00B44CCC"/>
    <w:rsid w:val="00B44EAC"/>
    <w:rsid w:val="00B456D2"/>
    <w:rsid w:val="00B465C8"/>
    <w:rsid w:val="00B472C9"/>
    <w:rsid w:val="00B47636"/>
    <w:rsid w:val="00B47C1C"/>
    <w:rsid w:val="00B47F43"/>
    <w:rsid w:val="00B506AC"/>
    <w:rsid w:val="00B50773"/>
    <w:rsid w:val="00B50D1B"/>
    <w:rsid w:val="00B50E2C"/>
    <w:rsid w:val="00B51364"/>
    <w:rsid w:val="00B517ED"/>
    <w:rsid w:val="00B52041"/>
    <w:rsid w:val="00B52A2C"/>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2D75"/>
    <w:rsid w:val="00B63850"/>
    <w:rsid w:val="00B6475C"/>
    <w:rsid w:val="00B649F7"/>
    <w:rsid w:val="00B667C6"/>
    <w:rsid w:val="00B66DB7"/>
    <w:rsid w:val="00B67ADB"/>
    <w:rsid w:val="00B70A7F"/>
    <w:rsid w:val="00B716B3"/>
    <w:rsid w:val="00B719C9"/>
    <w:rsid w:val="00B71C25"/>
    <w:rsid w:val="00B71D4B"/>
    <w:rsid w:val="00B7214B"/>
    <w:rsid w:val="00B72A9B"/>
    <w:rsid w:val="00B73636"/>
    <w:rsid w:val="00B7370E"/>
    <w:rsid w:val="00B7381A"/>
    <w:rsid w:val="00B73C08"/>
    <w:rsid w:val="00B7439C"/>
    <w:rsid w:val="00B743D7"/>
    <w:rsid w:val="00B7534C"/>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0139"/>
    <w:rsid w:val="00B913AA"/>
    <w:rsid w:val="00B91481"/>
    <w:rsid w:val="00B91B01"/>
    <w:rsid w:val="00B9205C"/>
    <w:rsid w:val="00B925BA"/>
    <w:rsid w:val="00B93031"/>
    <w:rsid w:val="00B9335D"/>
    <w:rsid w:val="00B94400"/>
    <w:rsid w:val="00B95673"/>
    <w:rsid w:val="00B961C8"/>
    <w:rsid w:val="00B96C2A"/>
    <w:rsid w:val="00B96FD4"/>
    <w:rsid w:val="00B97971"/>
    <w:rsid w:val="00B97D8D"/>
    <w:rsid w:val="00BA04E1"/>
    <w:rsid w:val="00BA18D1"/>
    <w:rsid w:val="00BA19E0"/>
    <w:rsid w:val="00BA1D00"/>
    <w:rsid w:val="00BA1F8A"/>
    <w:rsid w:val="00BA258C"/>
    <w:rsid w:val="00BA280D"/>
    <w:rsid w:val="00BA3140"/>
    <w:rsid w:val="00BA321E"/>
    <w:rsid w:val="00BA3EDB"/>
    <w:rsid w:val="00BA4441"/>
    <w:rsid w:val="00BA46B0"/>
    <w:rsid w:val="00BA47DA"/>
    <w:rsid w:val="00BA4E91"/>
    <w:rsid w:val="00BA5E59"/>
    <w:rsid w:val="00BA62A1"/>
    <w:rsid w:val="00BA6D0B"/>
    <w:rsid w:val="00BA75F2"/>
    <w:rsid w:val="00BB0F17"/>
    <w:rsid w:val="00BB1A4D"/>
    <w:rsid w:val="00BB1A9F"/>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C63D5"/>
    <w:rsid w:val="00BC6876"/>
    <w:rsid w:val="00BD0100"/>
    <w:rsid w:val="00BD297C"/>
    <w:rsid w:val="00BD2BB6"/>
    <w:rsid w:val="00BD4509"/>
    <w:rsid w:val="00BD483C"/>
    <w:rsid w:val="00BD4931"/>
    <w:rsid w:val="00BD499A"/>
    <w:rsid w:val="00BD532D"/>
    <w:rsid w:val="00BD6018"/>
    <w:rsid w:val="00BD6F03"/>
    <w:rsid w:val="00BD6FDA"/>
    <w:rsid w:val="00BD77B5"/>
    <w:rsid w:val="00BD7A55"/>
    <w:rsid w:val="00BE00E4"/>
    <w:rsid w:val="00BE0270"/>
    <w:rsid w:val="00BE0809"/>
    <w:rsid w:val="00BE0965"/>
    <w:rsid w:val="00BE0D73"/>
    <w:rsid w:val="00BE0DD9"/>
    <w:rsid w:val="00BE180E"/>
    <w:rsid w:val="00BE19CD"/>
    <w:rsid w:val="00BE21A8"/>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BF77A4"/>
    <w:rsid w:val="00C00471"/>
    <w:rsid w:val="00C011B3"/>
    <w:rsid w:val="00C014C6"/>
    <w:rsid w:val="00C01839"/>
    <w:rsid w:val="00C01BF8"/>
    <w:rsid w:val="00C02043"/>
    <w:rsid w:val="00C048AE"/>
    <w:rsid w:val="00C04A40"/>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49A"/>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973"/>
    <w:rsid w:val="00C30F85"/>
    <w:rsid w:val="00C31129"/>
    <w:rsid w:val="00C313E7"/>
    <w:rsid w:val="00C3210B"/>
    <w:rsid w:val="00C326A9"/>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50077"/>
    <w:rsid w:val="00C51720"/>
    <w:rsid w:val="00C51E03"/>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2BF"/>
    <w:rsid w:val="00C6749F"/>
    <w:rsid w:val="00C676D3"/>
    <w:rsid w:val="00C7054B"/>
    <w:rsid w:val="00C70598"/>
    <w:rsid w:val="00C71439"/>
    <w:rsid w:val="00C72AE9"/>
    <w:rsid w:val="00C7375A"/>
    <w:rsid w:val="00C74048"/>
    <w:rsid w:val="00C74654"/>
    <w:rsid w:val="00C74775"/>
    <w:rsid w:val="00C74F0F"/>
    <w:rsid w:val="00C754A8"/>
    <w:rsid w:val="00C7556D"/>
    <w:rsid w:val="00C75F55"/>
    <w:rsid w:val="00C76725"/>
    <w:rsid w:val="00C77FDD"/>
    <w:rsid w:val="00C802D7"/>
    <w:rsid w:val="00C81867"/>
    <w:rsid w:val="00C81AAE"/>
    <w:rsid w:val="00C81EBC"/>
    <w:rsid w:val="00C82FE1"/>
    <w:rsid w:val="00C847AA"/>
    <w:rsid w:val="00C84C3A"/>
    <w:rsid w:val="00C86300"/>
    <w:rsid w:val="00C8679C"/>
    <w:rsid w:val="00C8685C"/>
    <w:rsid w:val="00C873BE"/>
    <w:rsid w:val="00C87645"/>
    <w:rsid w:val="00C87795"/>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2E9C"/>
    <w:rsid w:val="00CB3460"/>
    <w:rsid w:val="00CB4072"/>
    <w:rsid w:val="00CB484D"/>
    <w:rsid w:val="00CB517A"/>
    <w:rsid w:val="00CB5E18"/>
    <w:rsid w:val="00CB61C9"/>
    <w:rsid w:val="00CB62EE"/>
    <w:rsid w:val="00CB7176"/>
    <w:rsid w:val="00CB730C"/>
    <w:rsid w:val="00CC0F4A"/>
    <w:rsid w:val="00CC0F68"/>
    <w:rsid w:val="00CC22B1"/>
    <w:rsid w:val="00CC2A03"/>
    <w:rsid w:val="00CC2C93"/>
    <w:rsid w:val="00CC2DC4"/>
    <w:rsid w:val="00CC384C"/>
    <w:rsid w:val="00CC38CF"/>
    <w:rsid w:val="00CC3988"/>
    <w:rsid w:val="00CC4F63"/>
    <w:rsid w:val="00CC5202"/>
    <w:rsid w:val="00CC52C9"/>
    <w:rsid w:val="00CC53F4"/>
    <w:rsid w:val="00CC5AF3"/>
    <w:rsid w:val="00CC68BF"/>
    <w:rsid w:val="00CC6958"/>
    <w:rsid w:val="00CC7C45"/>
    <w:rsid w:val="00CD13B1"/>
    <w:rsid w:val="00CD2107"/>
    <w:rsid w:val="00CD28EC"/>
    <w:rsid w:val="00CD2DC8"/>
    <w:rsid w:val="00CD3D23"/>
    <w:rsid w:val="00CD3FDF"/>
    <w:rsid w:val="00CD561D"/>
    <w:rsid w:val="00CD6EF5"/>
    <w:rsid w:val="00CD755A"/>
    <w:rsid w:val="00CE052C"/>
    <w:rsid w:val="00CE0CE1"/>
    <w:rsid w:val="00CE20E9"/>
    <w:rsid w:val="00CE3DD3"/>
    <w:rsid w:val="00CE4053"/>
    <w:rsid w:val="00CE4954"/>
    <w:rsid w:val="00CE5016"/>
    <w:rsid w:val="00CE596E"/>
    <w:rsid w:val="00CE5FEF"/>
    <w:rsid w:val="00CF1160"/>
    <w:rsid w:val="00CF3482"/>
    <w:rsid w:val="00CF4940"/>
    <w:rsid w:val="00CF4CD4"/>
    <w:rsid w:val="00CF507C"/>
    <w:rsid w:val="00CF5293"/>
    <w:rsid w:val="00CF72AC"/>
    <w:rsid w:val="00D0011E"/>
    <w:rsid w:val="00D004E5"/>
    <w:rsid w:val="00D0136A"/>
    <w:rsid w:val="00D0142A"/>
    <w:rsid w:val="00D0150B"/>
    <w:rsid w:val="00D02111"/>
    <w:rsid w:val="00D0280B"/>
    <w:rsid w:val="00D038D7"/>
    <w:rsid w:val="00D03B38"/>
    <w:rsid w:val="00D052E6"/>
    <w:rsid w:val="00D05DDB"/>
    <w:rsid w:val="00D073F9"/>
    <w:rsid w:val="00D07DD7"/>
    <w:rsid w:val="00D10717"/>
    <w:rsid w:val="00D1147F"/>
    <w:rsid w:val="00D13DF1"/>
    <w:rsid w:val="00D13EDA"/>
    <w:rsid w:val="00D15061"/>
    <w:rsid w:val="00D1522E"/>
    <w:rsid w:val="00D15D74"/>
    <w:rsid w:val="00D16D8E"/>
    <w:rsid w:val="00D16FB5"/>
    <w:rsid w:val="00D1722E"/>
    <w:rsid w:val="00D176B7"/>
    <w:rsid w:val="00D17F2A"/>
    <w:rsid w:val="00D20B08"/>
    <w:rsid w:val="00D211A5"/>
    <w:rsid w:val="00D21C7E"/>
    <w:rsid w:val="00D2261D"/>
    <w:rsid w:val="00D228B8"/>
    <w:rsid w:val="00D2301A"/>
    <w:rsid w:val="00D24515"/>
    <w:rsid w:val="00D24B00"/>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3642"/>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38E"/>
    <w:rsid w:val="00D56E84"/>
    <w:rsid w:val="00D60759"/>
    <w:rsid w:val="00D6293F"/>
    <w:rsid w:val="00D662E4"/>
    <w:rsid w:val="00D66E1F"/>
    <w:rsid w:val="00D670D3"/>
    <w:rsid w:val="00D67470"/>
    <w:rsid w:val="00D6792F"/>
    <w:rsid w:val="00D67B99"/>
    <w:rsid w:val="00D67FC9"/>
    <w:rsid w:val="00D709B5"/>
    <w:rsid w:val="00D729D1"/>
    <w:rsid w:val="00D72B2A"/>
    <w:rsid w:val="00D736FB"/>
    <w:rsid w:val="00D7399E"/>
    <w:rsid w:val="00D73AAF"/>
    <w:rsid w:val="00D73B35"/>
    <w:rsid w:val="00D74B08"/>
    <w:rsid w:val="00D75461"/>
    <w:rsid w:val="00D75B0B"/>
    <w:rsid w:val="00D76233"/>
    <w:rsid w:val="00D77388"/>
    <w:rsid w:val="00D775D2"/>
    <w:rsid w:val="00D77855"/>
    <w:rsid w:val="00D8078E"/>
    <w:rsid w:val="00D80D94"/>
    <w:rsid w:val="00D8118D"/>
    <w:rsid w:val="00D82637"/>
    <w:rsid w:val="00D83283"/>
    <w:rsid w:val="00D83860"/>
    <w:rsid w:val="00D83B8A"/>
    <w:rsid w:val="00D83D34"/>
    <w:rsid w:val="00D85155"/>
    <w:rsid w:val="00D85F3F"/>
    <w:rsid w:val="00D86169"/>
    <w:rsid w:val="00D8652F"/>
    <w:rsid w:val="00D86BF7"/>
    <w:rsid w:val="00D86C18"/>
    <w:rsid w:val="00D8747A"/>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2CF3"/>
    <w:rsid w:val="00DA40F8"/>
    <w:rsid w:val="00DA47F0"/>
    <w:rsid w:val="00DA4875"/>
    <w:rsid w:val="00DA4917"/>
    <w:rsid w:val="00DA4E73"/>
    <w:rsid w:val="00DA5117"/>
    <w:rsid w:val="00DA61B6"/>
    <w:rsid w:val="00DA68C1"/>
    <w:rsid w:val="00DA71E0"/>
    <w:rsid w:val="00DA7808"/>
    <w:rsid w:val="00DB2CB5"/>
    <w:rsid w:val="00DB2F25"/>
    <w:rsid w:val="00DB35F8"/>
    <w:rsid w:val="00DB57B7"/>
    <w:rsid w:val="00DB67E5"/>
    <w:rsid w:val="00DB68CD"/>
    <w:rsid w:val="00DB73AB"/>
    <w:rsid w:val="00DB746B"/>
    <w:rsid w:val="00DB761D"/>
    <w:rsid w:val="00DB7C28"/>
    <w:rsid w:val="00DC13F9"/>
    <w:rsid w:val="00DC1D72"/>
    <w:rsid w:val="00DC2A04"/>
    <w:rsid w:val="00DC2E2C"/>
    <w:rsid w:val="00DC46D1"/>
    <w:rsid w:val="00DC4E8F"/>
    <w:rsid w:val="00DC545A"/>
    <w:rsid w:val="00DC585F"/>
    <w:rsid w:val="00DC77F2"/>
    <w:rsid w:val="00DC78DB"/>
    <w:rsid w:val="00DC7F7D"/>
    <w:rsid w:val="00DD028A"/>
    <w:rsid w:val="00DD08C1"/>
    <w:rsid w:val="00DD19C8"/>
    <w:rsid w:val="00DD1BFF"/>
    <w:rsid w:val="00DD2278"/>
    <w:rsid w:val="00DD2ADC"/>
    <w:rsid w:val="00DD4F3E"/>
    <w:rsid w:val="00DD5FFB"/>
    <w:rsid w:val="00DD67A9"/>
    <w:rsid w:val="00DD6EA5"/>
    <w:rsid w:val="00DD75C0"/>
    <w:rsid w:val="00DD7C85"/>
    <w:rsid w:val="00DE2574"/>
    <w:rsid w:val="00DE2C5D"/>
    <w:rsid w:val="00DE36B6"/>
    <w:rsid w:val="00DE43B5"/>
    <w:rsid w:val="00DE4BD0"/>
    <w:rsid w:val="00DE58C9"/>
    <w:rsid w:val="00DE58D7"/>
    <w:rsid w:val="00DE5D98"/>
    <w:rsid w:val="00DE62BC"/>
    <w:rsid w:val="00DE7572"/>
    <w:rsid w:val="00DE7BEA"/>
    <w:rsid w:val="00DE7DAF"/>
    <w:rsid w:val="00DF154D"/>
    <w:rsid w:val="00DF16FC"/>
    <w:rsid w:val="00DF19F6"/>
    <w:rsid w:val="00DF376E"/>
    <w:rsid w:val="00DF431A"/>
    <w:rsid w:val="00DF5CAF"/>
    <w:rsid w:val="00DF62C6"/>
    <w:rsid w:val="00DF6D21"/>
    <w:rsid w:val="00DF75FB"/>
    <w:rsid w:val="00DF7C00"/>
    <w:rsid w:val="00E00BBD"/>
    <w:rsid w:val="00E00C89"/>
    <w:rsid w:val="00E013E3"/>
    <w:rsid w:val="00E01F2F"/>
    <w:rsid w:val="00E02136"/>
    <w:rsid w:val="00E02157"/>
    <w:rsid w:val="00E0219A"/>
    <w:rsid w:val="00E02370"/>
    <w:rsid w:val="00E02392"/>
    <w:rsid w:val="00E02F84"/>
    <w:rsid w:val="00E03E17"/>
    <w:rsid w:val="00E042FF"/>
    <w:rsid w:val="00E04850"/>
    <w:rsid w:val="00E04A38"/>
    <w:rsid w:val="00E05C13"/>
    <w:rsid w:val="00E05C1A"/>
    <w:rsid w:val="00E064CA"/>
    <w:rsid w:val="00E065B2"/>
    <w:rsid w:val="00E06813"/>
    <w:rsid w:val="00E10053"/>
    <w:rsid w:val="00E111E4"/>
    <w:rsid w:val="00E11521"/>
    <w:rsid w:val="00E127AF"/>
    <w:rsid w:val="00E13B47"/>
    <w:rsid w:val="00E15933"/>
    <w:rsid w:val="00E15B99"/>
    <w:rsid w:val="00E1657C"/>
    <w:rsid w:val="00E16BD3"/>
    <w:rsid w:val="00E16FAA"/>
    <w:rsid w:val="00E171C2"/>
    <w:rsid w:val="00E20598"/>
    <w:rsid w:val="00E20664"/>
    <w:rsid w:val="00E2148E"/>
    <w:rsid w:val="00E21C56"/>
    <w:rsid w:val="00E22425"/>
    <w:rsid w:val="00E2267B"/>
    <w:rsid w:val="00E22996"/>
    <w:rsid w:val="00E23F67"/>
    <w:rsid w:val="00E24926"/>
    <w:rsid w:val="00E24E04"/>
    <w:rsid w:val="00E2580D"/>
    <w:rsid w:val="00E2583C"/>
    <w:rsid w:val="00E2789E"/>
    <w:rsid w:val="00E27948"/>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2BE"/>
    <w:rsid w:val="00E4296A"/>
    <w:rsid w:val="00E43380"/>
    <w:rsid w:val="00E44274"/>
    <w:rsid w:val="00E44603"/>
    <w:rsid w:val="00E44F24"/>
    <w:rsid w:val="00E455B4"/>
    <w:rsid w:val="00E46FA7"/>
    <w:rsid w:val="00E46FBA"/>
    <w:rsid w:val="00E47328"/>
    <w:rsid w:val="00E476DD"/>
    <w:rsid w:val="00E479DF"/>
    <w:rsid w:val="00E505D8"/>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B64"/>
    <w:rsid w:val="00E63F00"/>
    <w:rsid w:val="00E642DC"/>
    <w:rsid w:val="00E64ABC"/>
    <w:rsid w:val="00E64E57"/>
    <w:rsid w:val="00E64F71"/>
    <w:rsid w:val="00E64FC2"/>
    <w:rsid w:val="00E65240"/>
    <w:rsid w:val="00E66FD1"/>
    <w:rsid w:val="00E67590"/>
    <w:rsid w:val="00E67A1A"/>
    <w:rsid w:val="00E703B1"/>
    <w:rsid w:val="00E7045C"/>
    <w:rsid w:val="00E718EA"/>
    <w:rsid w:val="00E71A6E"/>
    <w:rsid w:val="00E72E55"/>
    <w:rsid w:val="00E733D4"/>
    <w:rsid w:val="00E74228"/>
    <w:rsid w:val="00E744E2"/>
    <w:rsid w:val="00E74759"/>
    <w:rsid w:val="00E74A24"/>
    <w:rsid w:val="00E74E48"/>
    <w:rsid w:val="00E76B64"/>
    <w:rsid w:val="00E76BBE"/>
    <w:rsid w:val="00E77101"/>
    <w:rsid w:val="00E77326"/>
    <w:rsid w:val="00E808C9"/>
    <w:rsid w:val="00E80943"/>
    <w:rsid w:val="00E8112D"/>
    <w:rsid w:val="00E81135"/>
    <w:rsid w:val="00E8148D"/>
    <w:rsid w:val="00E818C3"/>
    <w:rsid w:val="00E82DCF"/>
    <w:rsid w:val="00E84DC4"/>
    <w:rsid w:val="00E84E21"/>
    <w:rsid w:val="00E8561A"/>
    <w:rsid w:val="00E8589E"/>
    <w:rsid w:val="00E85DE8"/>
    <w:rsid w:val="00E86672"/>
    <w:rsid w:val="00E86705"/>
    <w:rsid w:val="00E86E0C"/>
    <w:rsid w:val="00E87FB1"/>
    <w:rsid w:val="00E900CF"/>
    <w:rsid w:val="00E908C6"/>
    <w:rsid w:val="00E924A8"/>
    <w:rsid w:val="00E93450"/>
    <w:rsid w:val="00E9372A"/>
    <w:rsid w:val="00E93AFD"/>
    <w:rsid w:val="00E95441"/>
    <w:rsid w:val="00E96618"/>
    <w:rsid w:val="00E97970"/>
    <w:rsid w:val="00E979A5"/>
    <w:rsid w:val="00E97C50"/>
    <w:rsid w:val="00EA03D8"/>
    <w:rsid w:val="00EA0DB1"/>
    <w:rsid w:val="00EA163C"/>
    <w:rsid w:val="00EA507E"/>
    <w:rsid w:val="00EA5747"/>
    <w:rsid w:val="00EA6103"/>
    <w:rsid w:val="00EA73BA"/>
    <w:rsid w:val="00EA7745"/>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1FA6"/>
    <w:rsid w:val="00EC202F"/>
    <w:rsid w:val="00EC25AB"/>
    <w:rsid w:val="00EC3DF9"/>
    <w:rsid w:val="00EC4F93"/>
    <w:rsid w:val="00EC515F"/>
    <w:rsid w:val="00EC5679"/>
    <w:rsid w:val="00EC5764"/>
    <w:rsid w:val="00EC5DBE"/>
    <w:rsid w:val="00EC5DE6"/>
    <w:rsid w:val="00EC6263"/>
    <w:rsid w:val="00EC6C65"/>
    <w:rsid w:val="00ED0FC6"/>
    <w:rsid w:val="00ED1C3D"/>
    <w:rsid w:val="00ED2264"/>
    <w:rsid w:val="00ED23A2"/>
    <w:rsid w:val="00ED2B1D"/>
    <w:rsid w:val="00ED412E"/>
    <w:rsid w:val="00ED41A8"/>
    <w:rsid w:val="00ED44D2"/>
    <w:rsid w:val="00ED452D"/>
    <w:rsid w:val="00ED5035"/>
    <w:rsid w:val="00ED5703"/>
    <w:rsid w:val="00ED5DD6"/>
    <w:rsid w:val="00ED65DB"/>
    <w:rsid w:val="00ED6AF2"/>
    <w:rsid w:val="00ED7BC1"/>
    <w:rsid w:val="00EE04D4"/>
    <w:rsid w:val="00EE0C34"/>
    <w:rsid w:val="00EE0C71"/>
    <w:rsid w:val="00EE29BE"/>
    <w:rsid w:val="00EE3C34"/>
    <w:rsid w:val="00EE3CDA"/>
    <w:rsid w:val="00EE4C9E"/>
    <w:rsid w:val="00EE5884"/>
    <w:rsid w:val="00EE64D0"/>
    <w:rsid w:val="00EE7261"/>
    <w:rsid w:val="00EF038F"/>
    <w:rsid w:val="00EF07C3"/>
    <w:rsid w:val="00EF1944"/>
    <w:rsid w:val="00EF26AE"/>
    <w:rsid w:val="00EF27B5"/>
    <w:rsid w:val="00EF43EA"/>
    <w:rsid w:val="00EF46B1"/>
    <w:rsid w:val="00EF493E"/>
    <w:rsid w:val="00EF5D73"/>
    <w:rsid w:val="00EF607A"/>
    <w:rsid w:val="00EF6331"/>
    <w:rsid w:val="00EF6482"/>
    <w:rsid w:val="00EF71FF"/>
    <w:rsid w:val="00EF7662"/>
    <w:rsid w:val="00EF773B"/>
    <w:rsid w:val="00F00241"/>
    <w:rsid w:val="00F00777"/>
    <w:rsid w:val="00F00887"/>
    <w:rsid w:val="00F0147C"/>
    <w:rsid w:val="00F01AED"/>
    <w:rsid w:val="00F02876"/>
    <w:rsid w:val="00F03CD8"/>
    <w:rsid w:val="00F06185"/>
    <w:rsid w:val="00F064C3"/>
    <w:rsid w:val="00F06A82"/>
    <w:rsid w:val="00F109A7"/>
    <w:rsid w:val="00F10BFD"/>
    <w:rsid w:val="00F10D7E"/>
    <w:rsid w:val="00F11D60"/>
    <w:rsid w:val="00F11FF2"/>
    <w:rsid w:val="00F12451"/>
    <w:rsid w:val="00F12C44"/>
    <w:rsid w:val="00F12F74"/>
    <w:rsid w:val="00F1303C"/>
    <w:rsid w:val="00F132E8"/>
    <w:rsid w:val="00F14FD4"/>
    <w:rsid w:val="00F15550"/>
    <w:rsid w:val="00F15E8D"/>
    <w:rsid w:val="00F175AF"/>
    <w:rsid w:val="00F205FB"/>
    <w:rsid w:val="00F20967"/>
    <w:rsid w:val="00F20DD7"/>
    <w:rsid w:val="00F20F27"/>
    <w:rsid w:val="00F21CF8"/>
    <w:rsid w:val="00F22A61"/>
    <w:rsid w:val="00F2357B"/>
    <w:rsid w:val="00F23602"/>
    <w:rsid w:val="00F236DC"/>
    <w:rsid w:val="00F2464A"/>
    <w:rsid w:val="00F247BC"/>
    <w:rsid w:val="00F2482C"/>
    <w:rsid w:val="00F24A8F"/>
    <w:rsid w:val="00F25233"/>
    <w:rsid w:val="00F25CBC"/>
    <w:rsid w:val="00F25EAF"/>
    <w:rsid w:val="00F26AC0"/>
    <w:rsid w:val="00F2719D"/>
    <w:rsid w:val="00F27940"/>
    <w:rsid w:val="00F27A13"/>
    <w:rsid w:val="00F27FA1"/>
    <w:rsid w:val="00F3032E"/>
    <w:rsid w:val="00F3124A"/>
    <w:rsid w:val="00F313E8"/>
    <w:rsid w:val="00F31596"/>
    <w:rsid w:val="00F31EFE"/>
    <w:rsid w:val="00F3277D"/>
    <w:rsid w:val="00F32822"/>
    <w:rsid w:val="00F32EC1"/>
    <w:rsid w:val="00F3329B"/>
    <w:rsid w:val="00F33D35"/>
    <w:rsid w:val="00F340F0"/>
    <w:rsid w:val="00F343CC"/>
    <w:rsid w:val="00F34F38"/>
    <w:rsid w:val="00F350F7"/>
    <w:rsid w:val="00F35253"/>
    <w:rsid w:val="00F36405"/>
    <w:rsid w:val="00F36809"/>
    <w:rsid w:val="00F36950"/>
    <w:rsid w:val="00F371E7"/>
    <w:rsid w:val="00F3733F"/>
    <w:rsid w:val="00F3738F"/>
    <w:rsid w:val="00F37625"/>
    <w:rsid w:val="00F37CB3"/>
    <w:rsid w:val="00F40055"/>
    <w:rsid w:val="00F41E87"/>
    <w:rsid w:val="00F42120"/>
    <w:rsid w:val="00F428F8"/>
    <w:rsid w:val="00F43B83"/>
    <w:rsid w:val="00F44EBF"/>
    <w:rsid w:val="00F45EB3"/>
    <w:rsid w:val="00F463BF"/>
    <w:rsid w:val="00F47502"/>
    <w:rsid w:val="00F47697"/>
    <w:rsid w:val="00F50DD0"/>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4AD"/>
    <w:rsid w:val="00F646BE"/>
    <w:rsid w:val="00F64FF5"/>
    <w:rsid w:val="00F66320"/>
    <w:rsid w:val="00F663A8"/>
    <w:rsid w:val="00F66A76"/>
    <w:rsid w:val="00F674BA"/>
    <w:rsid w:val="00F6767A"/>
    <w:rsid w:val="00F67E6A"/>
    <w:rsid w:val="00F70A48"/>
    <w:rsid w:val="00F70BAD"/>
    <w:rsid w:val="00F713ED"/>
    <w:rsid w:val="00F71668"/>
    <w:rsid w:val="00F73140"/>
    <w:rsid w:val="00F74364"/>
    <w:rsid w:val="00F74666"/>
    <w:rsid w:val="00F7492D"/>
    <w:rsid w:val="00F751A4"/>
    <w:rsid w:val="00F7568A"/>
    <w:rsid w:val="00F77C1A"/>
    <w:rsid w:val="00F77E91"/>
    <w:rsid w:val="00F81073"/>
    <w:rsid w:val="00F812E4"/>
    <w:rsid w:val="00F815BB"/>
    <w:rsid w:val="00F825C9"/>
    <w:rsid w:val="00F8344B"/>
    <w:rsid w:val="00F83C40"/>
    <w:rsid w:val="00F83EEA"/>
    <w:rsid w:val="00F844DC"/>
    <w:rsid w:val="00F8461A"/>
    <w:rsid w:val="00F84BEC"/>
    <w:rsid w:val="00F852BE"/>
    <w:rsid w:val="00F8731D"/>
    <w:rsid w:val="00F879C5"/>
    <w:rsid w:val="00F87CAF"/>
    <w:rsid w:val="00F87FA4"/>
    <w:rsid w:val="00F90063"/>
    <w:rsid w:val="00F90A3D"/>
    <w:rsid w:val="00F90EC0"/>
    <w:rsid w:val="00F91222"/>
    <w:rsid w:val="00F92352"/>
    <w:rsid w:val="00F9267B"/>
    <w:rsid w:val="00F93469"/>
    <w:rsid w:val="00F93B7A"/>
    <w:rsid w:val="00F94ACE"/>
    <w:rsid w:val="00F94AE5"/>
    <w:rsid w:val="00F94C20"/>
    <w:rsid w:val="00F94EAF"/>
    <w:rsid w:val="00F96581"/>
    <w:rsid w:val="00F96AF2"/>
    <w:rsid w:val="00F96D11"/>
    <w:rsid w:val="00F96F50"/>
    <w:rsid w:val="00F970A7"/>
    <w:rsid w:val="00F9731E"/>
    <w:rsid w:val="00F9738D"/>
    <w:rsid w:val="00FA1622"/>
    <w:rsid w:val="00FA1A3F"/>
    <w:rsid w:val="00FA2228"/>
    <w:rsid w:val="00FA2A03"/>
    <w:rsid w:val="00FA57BD"/>
    <w:rsid w:val="00FA59C4"/>
    <w:rsid w:val="00FA59C6"/>
    <w:rsid w:val="00FA5A3F"/>
    <w:rsid w:val="00FA5B04"/>
    <w:rsid w:val="00FA5F7E"/>
    <w:rsid w:val="00FA6140"/>
    <w:rsid w:val="00FA6AEF"/>
    <w:rsid w:val="00FB0167"/>
    <w:rsid w:val="00FB0EBB"/>
    <w:rsid w:val="00FB10F6"/>
    <w:rsid w:val="00FB13A2"/>
    <w:rsid w:val="00FB1402"/>
    <w:rsid w:val="00FB15EB"/>
    <w:rsid w:val="00FB19EB"/>
    <w:rsid w:val="00FB3A29"/>
    <w:rsid w:val="00FB41AF"/>
    <w:rsid w:val="00FB47DE"/>
    <w:rsid w:val="00FB492C"/>
    <w:rsid w:val="00FB4A1C"/>
    <w:rsid w:val="00FB60CC"/>
    <w:rsid w:val="00FB60FB"/>
    <w:rsid w:val="00FB612E"/>
    <w:rsid w:val="00FB6635"/>
    <w:rsid w:val="00FB6B37"/>
    <w:rsid w:val="00FB7510"/>
    <w:rsid w:val="00FC08D8"/>
    <w:rsid w:val="00FC111B"/>
    <w:rsid w:val="00FC1DE5"/>
    <w:rsid w:val="00FC206B"/>
    <w:rsid w:val="00FC23C7"/>
    <w:rsid w:val="00FC2710"/>
    <w:rsid w:val="00FC3E40"/>
    <w:rsid w:val="00FC3FB7"/>
    <w:rsid w:val="00FC4378"/>
    <w:rsid w:val="00FC52C1"/>
    <w:rsid w:val="00FC5A6D"/>
    <w:rsid w:val="00FC5B2A"/>
    <w:rsid w:val="00FC623B"/>
    <w:rsid w:val="00FC6281"/>
    <w:rsid w:val="00FC65D0"/>
    <w:rsid w:val="00FC772C"/>
    <w:rsid w:val="00FC7DB1"/>
    <w:rsid w:val="00FD0284"/>
    <w:rsid w:val="00FD0BC0"/>
    <w:rsid w:val="00FD1078"/>
    <w:rsid w:val="00FD12DB"/>
    <w:rsid w:val="00FD1306"/>
    <w:rsid w:val="00FD3713"/>
    <w:rsid w:val="00FD434E"/>
    <w:rsid w:val="00FD4587"/>
    <w:rsid w:val="00FD47F8"/>
    <w:rsid w:val="00FD57E2"/>
    <w:rsid w:val="00FD5B9B"/>
    <w:rsid w:val="00FD66DD"/>
    <w:rsid w:val="00FD6921"/>
    <w:rsid w:val="00FD77C2"/>
    <w:rsid w:val="00FE175F"/>
    <w:rsid w:val="00FE1F8E"/>
    <w:rsid w:val="00FE26DD"/>
    <w:rsid w:val="00FE2ED7"/>
    <w:rsid w:val="00FE329D"/>
    <w:rsid w:val="00FE34B0"/>
    <w:rsid w:val="00FE371B"/>
    <w:rsid w:val="00FE379B"/>
    <w:rsid w:val="00FE3AFB"/>
    <w:rsid w:val="00FE3E6F"/>
    <w:rsid w:val="00FE400F"/>
    <w:rsid w:val="00FE4187"/>
    <w:rsid w:val="00FE4697"/>
    <w:rsid w:val="00FE58C5"/>
    <w:rsid w:val="00FE5ADE"/>
    <w:rsid w:val="00FE5C0B"/>
    <w:rsid w:val="00FE5E79"/>
    <w:rsid w:val="00FE788D"/>
    <w:rsid w:val="00FE797F"/>
    <w:rsid w:val="00FF052C"/>
    <w:rsid w:val="00FF05CB"/>
    <w:rsid w:val="00FF1B26"/>
    <w:rsid w:val="00FF211E"/>
    <w:rsid w:val="00FF27FB"/>
    <w:rsid w:val="00FF31B0"/>
    <w:rsid w:val="00FF3215"/>
    <w:rsid w:val="00FF3E5C"/>
    <w:rsid w:val="00FF4658"/>
    <w:rsid w:val="00FF473D"/>
    <w:rsid w:val="00FF4E8A"/>
    <w:rsid w:val="00FF556A"/>
    <w:rsid w:val="00FF5D50"/>
    <w:rsid w:val="00FF5E33"/>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7CC9"/>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6793459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29345210">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45289396">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1301086">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20621603">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35484086">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7136002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40383861">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29785376">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3412806">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amonitor.cz/aktuality/cnb-zprisnuje-podminky-pro-investicni-hypoteky-9-dopad-nebo-potrebna-redistribuce-poptavky" TargetMode="External"/><Relationship Id="rId18" Type="http://schemas.openxmlformats.org/officeDocument/2006/relationships/hyperlink" Target="https://www.cbamonitor.cz/aktuality/vlna-refixaci-hypotek-sili-urokovy-sok-ale-slabne-rizikem-zustava-vyssi-inflace" TargetMode="External"/><Relationship Id="rId26" Type="http://schemas.openxmlformats.org/officeDocument/2006/relationships/hyperlink" Target="https://www.cbamonitor.cz/aktuality/mzdy-uzavrely-lonske-rok-silneji-a-letos-by-mohly-realne-pridat-dalsi-4"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www.cbamonitor.cz/statistika/prognoza-prumerna-mzd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cbamonitor.cz/aktuality/cnb-zprisnuje-podminky-pro-investicni-hypoteky-9-dopad-nebo-potrebna-redistribuce-poptavky" TargetMode="External"/><Relationship Id="rId33" Type="http://schemas.openxmlformats.org/officeDocument/2006/relationships/image" Target="media/image1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cbamonitor.cz/aktuality/novy-vyhled-cnb-na-vyssi-sazby-se-pouze-pretavil-do-jestrabi-komunikace" TargetMode="External"/><Relationship Id="rId29" Type="http://schemas.openxmlformats.org/officeDocument/2006/relationships/hyperlink" Target="https://www.cbamonitor.cz/aktuality/silne-tempo-rustu-nabidkovych-cen-bytu-i-na-zacatku-roku-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image" Target="media/image11.png"/><Relationship Id="rId37" Type="http://schemas.openxmlformats.org/officeDocument/2006/relationships/hyperlink" Target="https://www.cbamonitor.cz/kategorie/cba-hypomonitor"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bamonitor.cz/aktuality/vlna-refixaci-hypotek-sili-urokovy-sok-ale-slabne-rizikem-zustava-vyssi-inflace" TargetMode="External"/><Relationship Id="rId28" Type="http://schemas.openxmlformats.org/officeDocument/2006/relationships/hyperlink" Target="https://www.cbamonitor.cz/aktuality/mirnejsi-ale-silny-rust-cen-realit-v-zaveru-roku-doprovazely-silnejsi-prijmy-a-uspory-domacnosti" TargetMode="External"/><Relationship Id="rId36" Type="http://schemas.openxmlformats.org/officeDocument/2006/relationships/hyperlink" Target="http://www.cbaonline.cz" TargetMode="External"/><Relationship Id="rId10" Type="http://schemas.openxmlformats.org/officeDocument/2006/relationships/endnotes" Target="endnotes.xml"/><Relationship Id="rId19" Type="http://schemas.openxmlformats.org/officeDocument/2006/relationships/hyperlink" Target="https://www.cbamonitor.cz/aktuality/trzni-sily-v-hypotecnich-sazbach-rust-trznich-uroku-se-do-hypotek-promitl-jen-castecne-pomaha-silna-konkurence-na-trhu"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s://www.cbamonitor.cz/statistika/dynamika-mezd" TargetMode="External"/><Relationship Id="rId30" Type="http://schemas.openxmlformats.org/officeDocument/2006/relationships/hyperlink" Target="https://www.cbamonitor.cz/kategorie/ceny-nemovitosti" TargetMode="External"/><Relationship Id="rId35" Type="http://schemas.openxmlformats.org/officeDocument/2006/relationships/image" Target="media/image13.emf"/><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695EA-D77D-4F66-A87E-5245D7A921CD}">
  <ds:schemaRefs>
    <ds:schemaRef ds:uri="http://schemas.microsoft.com/sharepoint/v3/contenttype/forms"/>
  </ds:schemaRefs>
</ds:datastoreItem>
</file>

<file path=customXml/itemProps3.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4.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2569</Words>
  <Characters>15161</Characters>
  <Application>Microsoft Office Word</Application>
  <DocSecurity>0</DocSecurity>
  <Lines>126</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4</cp:revision>
  <cp:lastPrinted>2025-08-14T09:13:00Z</cp:lastPrinted>
  <dcterms:created xsi:type="dcterms:W3CDTF">2026-05-15T12:24:00Z</dcterms:created>
  <dcterms:modified xsi:type="dcterms:W3CDTF">2026-05-18T08:48:00Z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