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245D2" w14:textId="6DC90918" w:rsidR="00266E32" w:rsidRPr="00906FDC" w:rsidRDefault="00266E32" w:rsidP="002B1A4A">
      <w:pPr>
        <w:spacing w:after="120"/>
        <w:rPr>
          <w:rFonts w:ascii="Calibri" w:hAnsi="Calibri" w:cs="Arial"/>
          <w:b/>
          <w:color w:val="13576B"/>
          <w:sz w:val="36"/>
          <w:szCs w:val="36"/>
        </w:rPr>
      </w:pPr>
      <w:bookmarkStart w:id="0" w:name="_Hlk198644776"/>
      <w:bookmarkEnd w:id="0"/>
      <w:r w:rsidRPr="00906FDC">
        <w:rPr>
          <w:rFonts w:ascii="Calibri" w:hAnsi="Calibri" w:cs="Arial"/>
          <w:b/>
          <w:color w:val="13576B"/>
          <w:sz w:val="36"/>
          <w:szCs w:val="36"/>
        </w:rPr>
        <w:t>MAKROEKONOMICKÁ PROGNÓZA ČBA</w:t>
      </w:r>
    </w:p>
    <w:p w14:paraId="3719106D" w14:textId="76BFCADC" w:rsidR="00B22E78" w:rsidRPr="00FE14E0" w:rsidRDefault="00B41DCC" w:rsidP="00526818">
      <w:pPr>
        <w:jc w:val="left"/>
        <w:rPr>
          <w:rFonts w:ascii="Calibri" w:hAnsi="Calibri" w:cs="Arial"/>
          <w:b/>
          <w:color w:val="EE0000"/>
          <w:sz w:val="32"/>
          <w:szCs w:val="32"/>
        </w:rPr>
      </w:pPr>
      <w:r>
        <w:rPr>
          <w:rFonts w:ascii="Calibri" w:hAnsi="Calibri" w:cs="Arial"/>
          <w:b/>
          <w:color w:val="13576B"/>
          <w:sz w:val="32"/>
          <w:szCs w:val="32"/>
        </w:rPr>
        <w:t>Květen</w:t>
      </w:r>
      <w:r w:rsidR="00FF1673">
        <w:rPr>
          <w:rFonts w:ascii="Calibri" w:hAnsi="Calibri" w:cs="Arial"/>
          <w:b/>
          <w:color w:val="13576B"/>
          <w:sz w:val="32"/>
          <w:szCs w:val="32"/>
        </w:rPr>
        <w:t xml:space="preserve"> </w:t>
      </w:r>
      <w:r w:rsidR="000366C2" w:rsidRPr="00906FDC">
        <w:rPr>
          <w:rFonts w:ascii="Calibri" w:hAnsi="Calibri" w:cs="Arial"/>
          <w:b/>
          <w:color w:val="13576B"/>
          <w:sz w:val="32"/>
          <w:szCs w:val="32"/>
        </w:rPr>
        <w:t>20</w:t>
      </w:r>
      <w:r w:rsidR="00335332" w:rsidRPr="00906FDC">
        <w:rPr>
          <w:rFonts w:ascii="Calibri" w:hAnsi="Calibri" w:cs="Arial"/>
          <w:b/>
          <w:color w:val="13576B"/>
          <w:sz w:val="32"/>
          <w:szCs w:val="32"/>
        </w:rPr>
        <w:t>2</w:t>
      </w:r>
      <w:r w:rsidR="000F64C9">
        <w:rPr>
          <w:rFonts w:ascii="Calibri" w:hAnsi="Calibri" w:cs="Arial"/>
          <w:b/>
          <w:color w:val="13576B"/>
          <w:sz w:val="32"/>
          <w:szCs w:val="32"/>
        </w:rPr>
        <w:t>6</w:t>
      </w:r>
      <w:r w:rsidR="000366C2" w:rsidRPr="00906FDC">
        <w:rPr>
          <w:rFonts w:ascii="Calibri" w:hAnsi="Calibri" w:cs="Arial"/>
          <w:b/>
          <w:color w:val="13576B"/>
          <w:sz w:val="32"/>
          <w:szCs w:val="32"/>
        </w:rPr>
        <w:t xml:space="preserve">: </w:t>
      </w:r>
      <w:r w:rsidR="009008CB">
        <w:rPr>
          <w:rFonts w:ascii="Calibri" w:hAnsi="Calibri" w:cs="Arial"/>
          <w:b/>
          <w:color w:val="13576B"/>
          <w:sz w:val="32"/>
          <w:szCs w:val="32"/>
        </w:rPr>
        <w:t>Zpomalení růstu ekonomiky ke 2 % s riziky na mnoha frontách</w:t>
      </w:r>
      <w:r w:rsidR="00477D22">
        <w:rPr>
          <w:rFonts w:ascii="Calibri" w:hAnsi="Calibri" w:cs="Arial"/>
          <w:b/>
          <w:color w:val="13576B"/>
          <w:sz w:val="32"/>
          <w:szCs w:val="32"/>
        </w:rPr>
        <w:t>, příští rok růst o 2,4 %</w:t>
      </w:r>
      <w:r w:rsidR="00410CB7">
        <w:rPr>
          <w:rFonts w:ascii="Calibri" w:hAnsi="Calibri" w:cs="Arial"/>
          <w:b/>
          <w:color w:val="13576B"/>
          <w:sz w:val="32"/>
          <w:szCs w:val="32"/>
        </w:rPr>
        <w:t xml:space="preserve"> </w:t>
      </w:r>
    </w:p>
    <w:p w14:paraId="12BAC9C1" w14:textId="1833F283" w:rsidR="00326943" w:rsidRPr="007835A4" w:rsidRDefault="00266E32" w:rsidP="00684D52">
      <w:pPr>
        <w:spacing w:after="120"/>
        <w:rPr>
          <w:rFonts w:ascii="Calibri" w:hAnsi="Calibri" w:cs="Calibri"/>
          <w:b/>
          <w:color w:val="13576B"/>
          <w:sz w:val="20"/>
        </w:rPr>
      </w:pPr>
      <w:r w:rsidRPr="0028378F">
        <w:rPr>
          <w:rFonts w:ascii="Calibri" w:hAnsi="Calibri" w:cs="Calibri"/>
          <w:b/>
          <w:color w:val="13576B"/>
          <w:sz w:val="20"/>
        </w:rPr>
        <w:t xml:space="preserve">Praha, </w:t>
      </w:r>
      <w:r w:rsidR="00B41DCC">
        <w:rPr>
          <w:rFonts w:ascii="Calibri" w:hAnsi="Calibri" w:cs="Calibri"/>
          <w:b/>
          <w:color w:val="13576B"/>
          <w:sz w:val="20"/>
        </w:rPr>
        <w:t>20</w:t>
      </w:r>
      <w:r w:rsidRPr="0028378F">
        <w:rPr>
          <w:rFonts w:ascii="Calibri" w:hAnsi="Calibri" w:cs="Calibri"/>
          <w:b/>
          <w:color w:val="13576B"/>
          <w:sz w:val="20"/>
        </w:rPr>
        <w:t xml:space="preserve">. </w:t>
      </w:r>
      <w:r w:rsidR="00B41DCC">
        <w:rPr>
          <w:rFonts w:ascii="Calibri" w:hAnsi="Calibri" w:cs="Calibri"/>
          <w:b/>
          <w:color w:val="13576B"/>
          <w:sz w:val="20"/>
        </w:rPr>
        <w:t>květen</w:t>
      </w:r>
      <w:r w:rsidR="00FF1673" w:rsidRPr="0028378F">
        <w:rPr>
          <w:rFonts w:ascii="Calibri" w:hAnsi="Calibri" w:cs="Calibri"/>
          <w:b/>
          <w:color w:val="13576B"/>
          <w:sz w:val="20"/>
        </w:rPr>
        <w:t xml:space="preserve"> </w:t>
      </w:r>
      <w:r w:rsidRPr="0028378F">
        <w:rPr>
          <w:rFonts w:ascii="Calibri" w:hAnsi="Calibri" w:cs="Calibri"/>
          <w:b/>
          <w:color w:val="13576B"/>
          <w:sz w:val="20"/>
        </w:rPr>
        <w:t>202</w:t>
      </w:r>
      <w:r w:rsidR="000F64C9">
        <w:rPr>
          <w:rFonts w:ascii="Calibri" w:hAnsi="Calibri" w:cs="Calibri"/>
          <w:b/>
          <w:color w:val="13576B"/>
          <w:sz w:val="20"/>
        </w:rPr>
        <w:t>6</w:t>
      </w:r>
      <w:r w:rsidRPr="0028378F">
        <w:rPr>
          <w:rFonts w:ascii="Calibri" w:hAnsi="Calibri" w:cs="Calibri"/>
          <w:b/>
          <w:color w:val="13576B"/>
          <w:sz w:val="20"/>
        </w:rPr>
        <w:t xml:space="preserve"> –</w:t>
      </w:r>
      <w:bookmarkStart w:id="1" w:name="_Hlk190799464"/>
      <w:r w:rsidR="00B22E78" w:rsidRPr="0028378F">
        <w:rPr>
          <w:rFonts w:ascii="Calibri" w:hAnsi="Calibri" w:cs="Calibri"/>
          <w:b/>
          <w:color w:val="13576B"/>
          <w:sz w:val="20"/>
        </w:rPr>
        <w:t xml:space="preserve"> </w:t>
      </w:r>
      <w:r w:rsidR="000544C4" w:rsidRPr="0028378F">
        <w:rPr>
          <w:rFonts w:ascii="Calibri" w:hAnsi="Calibri" w:cs="Calibri"/>
          <w:b/>
          <w:color w:val="13576B"/>
          <w:sz w:val="20"/>
        </w:rPr>
        <w:t>Prognostický panel České bankovní asociace (ČBA)</w:t>
      </w:r>
      <w:r w:rsidR="00477D22">
        <w:rPr>
          <w:rFonts w:ascii="Calibri" w:hAnsi="Calibri" w:cs="Calibri"/>
          <w:b/>
          <w:color w:val="13576B"/>
          <w:sz w:val="20"/>
        </w:rPr>
        <w:t>,</w:t>
      </w:r>
      <w:r w:rsidR="000544C4" w:rsidRPr="0028378F">
        <w:rPr>
          <w:rFonts w:ascii="Calibri" w:hAnsi="Calibri" w:cs="Calibri"/>
          <w:b/>
          <w:color w:val="13576B"/>
          <w:sz w:val="20"/>
        </w:rPr>
        <w:t xml:space="preserve"> sdružující hlavní ekonomy předních českých bank</w:t>
      </w:r>
      <w:r w:rsidR="00477D22">
        <w:rPr>
          <w:rFonts w:ascii="Calibri" w:hAnsi="Calibri" w:cs="Calibri"/>
          <w:b/>
          <w:color w:val="13576B"/>
          <w:sz w:val="20"/>
        </w:rPr>
        <w:t>,</w:t>
      </w:r>
      <w:r w:rsidR="000544C4" w:rsidRPr="0028378F">
        <w:rPr>
          <w:rFonts w:ascii="Calibri" w:hAnsi="Calibri" w:cs="Calibri"/>
          <w:b/>
          <w:color w:val="13576B"/>
          <w:sz w:val="20"/>
        </w:rPr>
        <w:t xml:space="preserve"> </w:t>
      </w:r>
      <w:r w:rsidR="007F08C5">
        <w:rPr>
          <w:rFonts w:ascii="Calibri" w:hAnsi="Calibri" w:cs="Calibri"/>
          <w:b/>
          <w:color w:val="13576B"/>
          <w:sz w:val="20"/>
        </w:rPr>
        <w:t xml:space="preserve">zhoršil výhled </w:t>
      </w:r>
      <w:r w:rsidR="00477D22">
        <w:rPr>
          <w:rFonts w:ascii="Calibri" w:hAnsi="Calibri" w:cs="Calibri"/>
          <w:b/>
          <w:color w:val="13576B"/>
          <w:sz w:val="20"/>
        </w:rPr>
        <w:t>pro</w:t>
      </w:r>
      <w:r w:rsidR="007F08C5">
        <w:rPr>
          <w:rFonts w:ascii="Calibri" w:hAnsi="Calibri" w:cs="Calibri"/>
          <w:b/>
          <w:color w:val="13576B"/>
          <w:sz w:val="20"/>
        </w:rPr>
        <w:t xml:space="preserve"> českou ekonomik</w:t>
      </w:r>
      <w:r w:rsidR="003C2522">
        <w:rPr>
          <w:rFonts w:ascii="Calibri" w:hAnsi="Calibri" w:cs="Calibri"/>
          <w:b/>
          <w:color w:val="13576B"/>
          <w:sz w:val="20"/>
        </w:rPr>
        <w:t>u</w:t>
      </w:r>
      <w:r w:rsidR="00477D22">
        <w:rPr>
          <w:rFonts w:ascii="Calibri" w:hAnsi="Calibri" w:cs="Calibri"/>
          <w:b/>
          <w:color w:val="13576B"/>
          <w:sz w:val="20"/>
        </w:rPr>
        <w:t>.</w:t>
      </w:r>
      <w:r w:rsidR="007F08C5">
        <w:rPr>
          <w:rFonts w:ascii="Calibri" w:hAnsi="Calibri" w:cs="Calibri"/>
          <w:b/>
          <w:color w:val="13576B"/>
          <w:sz w:val="20"/>
        </w:rPr>
        <w:t xml:space="preserve"> </w:t>
      </w:r>
      <w:r w:rsidR="00477D22">
        <w:rPr>
          <w:rFonts w:ascii="Calibri" w:hAnsi="Calibri" w:cs="Calibri"/>
          <w:b/>
          <w:color w:val="13576B"/>
          <w:sz w:val="20"/>
        </w:rPr>
        <w:t>Ta</w:t>
      </w:r>
      <w:r w:rsidR="007F08C5">
        <w:rPr>
          <w:rFonts w:ascii="Calibri" w:hAnsi="Calibri" w:cs="Calibri"/>
          <w:b/>
          <w:color w:val="13576B"/>
          <w:sz w:val="20"/>
        </w:rPr>
        <w:t xml:space="preserve"> by </w:t>
      </w:r>
      <w:r w:rsidR="00742DC1">
        <w:rPr>
          <w:rFonts w:ascii="Calibri" w:hAnsi="Calibri" w:cs="Calibri"/>
          <w:b/>
          <w:color w:val="13576B"/>
          <w:sz w:val="20"/>
        </w:rPr>
        <w:t>m</w:t>
      </w:r>
      <w:r w:rsidR="007F08C5">
        <w:rPr>
          <w:rFonts w:ascii="Calibri" w:hAnsi="Calibri" w:cs="Calibri"/>
          <w:b/>
          <w:color w:val="13576B"/>
          <w:sz w:val="20"/>
        </w:rPr>
        <w:t xml:space="preserve">ěla </w:t>
      </w:r>
      <w:r w:rsidR="00477D22">
        <w:rPr>
          <w:rFonts w:ascii="Calibri" w:hAnsi="Calibri" w:cs="Calibri"/>
          <w:b/>
          <w:color w:val="13576B"/>
          <w:sz w:val="20"/>
        </w:rPr>
        <w:t xml:space="preserve">v letošním roce </w:t>
      </w:r>
      <w:r w:rsidR="007F08C5">
        <w:rPr>
          <w:rFonts w:ascii="Calibri" w:hAnsi="Calibri" w:cs="Calibri"/>
          <w:b/>
          <w:color w:val="13576B"/>
          <w:sz w:val="20"/>
        </w:rPr>
        <w:t>vykázat</w:t>
      </w:r>
      <w:r w:rsidR="00477D22">
        <w:rPr>
          <w:rFonts w:ascii="Calibri" w:hAnsi="Calibri" w:cs="Calibri"/>
          <w:b/>
          <w:color w:val="13576B"/>
          <w:sz w:val="20"/>
        </w:rPr>
        <w:t xml:space="preserve"> stále</w:t>
      </w:r>
      <w:r w:rsidR="007F08C5">
        <w:rPr>
          <w:rFonts w:ascii="Calibri" w:hAnsi="Calibri" w:cs="Calibri"/>
          <w:b/>
          <w:color w:val="13576B"/>
          <w:sz w:val="20"/>
        </w:rPr>
        <w:t xml:space="preserve"> solidní </w:t>
      </w:r>
      <w:r w:rsidR="00326943">
        <w:rPr>
          <w:rFonts w:ascii="Calibri" w:hAnsi="Calibri" w:cs="Calibri"/>
          <w:b/>
          <w:color w:val="13576B"/>
          <w:sz w:val="20"/>
        </w:rPr>
        <w:t xml:space="preserve">2% </w:t>
      </w:r>
      <w:r w:rsidR="007F08C5">
        <w:rPr>
          <w:rFonts w:ascii="Calibri" w:hAnsi="Calibri" w:cs="Calibri"/>
          <w:b/>
          <w:color w:val="13576B"/>
          <w:sz w:val="20"/>
        </w:rPr>
        <w:t>růst</w:t>
      </w:r>
      <w:r w:rsidR="00477D22">
        <w:rPr>
          <w:rFonts w:ascii="Calibri" w:hAnsi="Calibri" w:cs="Calibri"/>
          <w:b/>
          <w:color w:val="13576B"/>
          <w:sz w:val="20"/>
        </w:rPr>
        <w:t>.</w:t>
      </w:r>
      <w:r w:rsidR="000679D7">
        <w:rPr>
          <w:rFonts w:ascii="Calibri" w:hAnsi="Calibri" w:cs="Calibri"/>
          <w:b/>
          <w:color w:val="13576B"/>
          <w:sz w:val="20"/>
        </w:rPr>
        <w:t xml:space="preserve"> </w:t>
      </w:r>
      <w:r w:rsidR="00326943">
        <w:rPr>
          <w:rFonts w:ascii="Calibri" w:hAnsi="Calibri" w:cs="Calibri"/>
          <w:b/>
          <w:color w:val="13576B"/>
          <w:sz w:val="20"/>
        </w:rPr>
        <w:t xml:space="preserve">Spotřebitelská inflace by měla v závěru letošního roku zrychlit </w:t>
      </w:r>
      <w:r w:rsidR="007F08C5">
        <w:rPr>
          <w:rFonts w:ascii="Calibri" w:hAnsi="Calibri" w:cs="Calibri"/>
          <w:b/>
          <w:color w:val="13576B"/>
          <w:sz w:val="20"/>
        </w:rPr>
        <w:t>k</w:t>
      </w:r>
      <w:r w:rsidR="00CB28AA">
        <w:rPr>
          <w:rFonts w:ascii="Calibri" w:hAnsi="Calibri" w:cs="Calibri"/>
          <w:b/>
          <w:color w:val="13576B"/>
          <w:sz w:val="20"/>
        </w:rPr>
        <w:t xml:space="preserve"> blíže </w:t>
      </w:r>
      <w:r w:rsidR="007F08C5">
        <w:rPr>
          <w:rFonts w:ascii="Calibri" w:hAnsi="Calibri" w:cs="Calibri"/>
          <w:b/>
          <w:color w:val="13576B"/>
          <w:sz w:val="20"/>
        </w:rPr>
        <w:t>horní</w:t>
      </w:r>
      <w:r w:rsidR="00326943">
        <w:rPr>
          <w:rFonts w:ascii="Calibri" w:hAnsi="Calibri" w:cs="Calibri"/>
          <w:b/>
          <w:color w:val="13576B"/>
          <w:sz w:val="20"/>
        </w:rPr>
        <w:t xml:space="preserve"> </w:t>
      </w:r>
      <w:r w:rsidR="007F08C5">
        <w:rPr>
          <w:rFonts w:ascii="Calibri" w:hAnsi="Calibri" w:cs="Calibri"/>
          <w:b/>
          <w:color w:val="13576B"/>
          <w:sz w:val="20"/>
        </w:rPr>
        <w:t>hranici inflačního cíle</w:t>
      </w:r>
      <w:r w:rsidR="00CB28AA">
        <w:rPr>
          <w:rFonts w:ascii="Calibri" w:hAnsi="Calibri" w:cs="Calibri"/>
          <w:b/>
          <w:color w:val="13576B"/>
          <w:sz w:val="20"/>
        </w:rPr>
        <w:t xml:space="preserve"> </w:t>
      </w:r>
      <w:r w:rsidR="00382A30">
        <w:rPr>
          <w:rFonts w:ascii="Calibri" w:hAnsi="Calibri" w:cs="Calibri"/>
          <w:b/>
          <w:color w:val="13576B"/>
          <w:sz w:val="20"/>
        </w:rPr>
        <w:t xml:space="preserve">s průměrným letošním růstem o </w:t>
      </w:r>
      <w:r w:rsidR="00CB28AA">
        <w:rPr>
          <w:rFonts w:ascii="Calibri" w:hAnsi="Calibri" w:cs="Calibri"/>
          <w:b/>
          <w:color w:val="13576B"/>
          <w:sz w:val="20"/>
        </w:rPr>
        <w:t>2,5 %</w:t>
      </w:r>
      <w:r w:rsidR="00382A30">
        <w:rPr>
          <w:rFonts w:ascii="Calibri" w:hAnsi="Calibri" w:cs="Calibri"/>
          <w:b/>
          <w:color w:val="13576B"/>
          <w:sz w:val="20"/>
        </w:rPr>
        <w:t>. A</w:t>
      </w:r>
      <w:r w:rsidR="00326943">
        <w:rPr>
          <w:rFonts w:ascii="Calibri" w:hAnsi="Calibri" w:cs="Calibri"/>
          <w:b/>
          <w:color w:val="13576B"/>
          <w:sz w:val="20"/>
        </w:rPr>
        <w:t xml:space="preserve"> v příštím roce </w:t>
      </w:r>
      <w:r w:rsidR="000C0D2C">
        <w:rPr>
          <w:rFonts w:ascii="Calibri" w:hAnsi="Calibri" w:cs="Calibri"/>
          <w:b/>
          <w:color w:val="13576B"/>
          <w:sz w:val="20"/>
        </w:rPr>
        <w:t>setrvá</w:t>
      </w:r>
      <w:r w:rsidR="00326943">
        <w:rPr>
          <w:rFonts w:ascii="Calibri" w:hAnsi="Calibri" w:cs="Calibri"/>
          <w:b/>
          <w:color w:val="13576B"/>
          <w:sz w:val="20"/>
        </w:rPr>
        <w:t xml:space="preserve"> </w:t>
      </w:r>
      <w:r w:rsidR="00382A30">
        <w:rPr>
          <w:rFonts w:ascii="Calibri" w:hAnsi="Calibri" w:cs="Calibri"/>
          <w:b/>
          <w:color w:val="13576B"/>
          <w:sz w:val="20"/>
        </w:rPr>
        <w:t xml:space="preserve">výše na </w:t>
      </w:r>
      <w:r w:rsidR="00CB28AA">
        <w:rPr>
          <w:rFonts w:ascii="Calibri" w:hAnsi="Calibri" w:cs="Calibri"/>
          <w:b/>
          <w:color w:val="13576B"/>
          <w:sz w:val="20"/>
        </w:rPr>
        <w:t>2,7 %</w:t>
      </w:r>
      <w:r w:rsidR="00326943">
        <w:rPr>
          <w:rFonts w:ascii="Calibri" w:hAnsi="Calibri" w:cs="Calibri"/>
          <w:b/>
          <w:color w:val="13576B"/>
          <w:sz w:val="20"/>
        </w:rPr>
        <w:t>, což zvyšuje riziko v</w:t>
      </w:r>
      <w:r w:rsidR="007F08C5">
        <w:rPr>
          <w:rFonts w:ascii="Calibri" w:hAnsi="Calibri" w:cs="Calibri"/>
          <w:b/>
          <w:color w:val="13576B"/>
          <w:sz w:val="20"/>
        </w:rPr>
        <w:t>yšší úrokové sazby centrální banky</w:t>
      </w:r>
      <w:r w:rsidR="00326943">
        <w:rPr>
          <w:rFonts w:ascii="Calibri" w:hAnsi="Calibri" w:cs="Calibri"/>
          <w:b/>
          <w:color w:val="13576B"/>
          <w:sz w:val="20"/>
        </w:rPr>
        <w:t xml:space="preserve">. </w:t>
      </w:r>
      <w:r w:rsidR="00477D22">
        <w:rPr>
          <w:rFonts w:ascii="Calibri" w:hAnsi="Calibri" w:cs="Calibri"/>
          <w:b/>
          <w:color w:val="13576B"/>
          <w:sz w:val="20"/>
        </w:rPr>
        <w:t>T</w:t>
      </w:r>
      <w:r w:rsidR="00382A30">
        <w:rPr>
          <w:rFonts w:ascii="Calibri" w:hAnsi="Calibri" w:cs="Calibri"/>
          <w:b/>
          <w:color w:val="13576B"/>
          <w:sz w:val="20"/>
        </w:rPr>
        <w:t xml:space="preserve">ento </w:t>
      </w:r>
      <w:r w:rsidR="000C0D2C">
        <w:rPr>
          <w:rFonts w:ascii="Calibri" w:hAnsi="Calibri" w:cs="Calibri"/>
          <w:b/>
          <w:color w:val="13576B"/>
          <w:sz w:val="20"/>
        </w:rPr>
        <w:t>scénář</w:t>
      </w:r>
      <w:r w:rsidR="00382A30">
        <w:rPr>
          <w:rFonts w:ascii="Calibri" w:hAnsi="Calibri" w:cs="Calibri"/>
          <w:b/>
          <w:color w:val="13576B"/>
          <w:sz w:val="20"/>
        </w:rPr>
        <w:t xml:space="preserve"> sice</w:t>
      </w:r>
      <w:r w:rsidR="00477D22">
        <w:rPr>
          <w:rFonts w:ascii="Calibri" w:hAnsi="Calibri" w:cs="Calibri"/>
          <w:b/>
          <w:color w:val="13576B"/>
          <w:sz w:val="20"/>
        </w:rPr>
        <w:t xml:space="preserve"> očekává </w:t>
      </w:r>
      <w:r w:rsidR="00577DED">
        <w:rPr>
          <w:rFonts w:ascii="Calibri" w:hAnsi="Calibri" w:cs="Calibri"/>
          <w:b/>
          <w:color w:val="13576B"/>
          <w:sz w:val="20"/>
        </w:rPr>
        <w:t xml:space="preserve">40 % </w:t>
      </w:r>
      <w:r w:rsidR="00477D22">
        <w:rPr>
          <w:rFonts w:ascii="Calibri" w:hAnsi="Calibri" w:cs="Calibri"/>
          <w:b/>
          <w:color w:val="13576B"/>
          <w:sz w:val="20"/>
        </w:rPr>
        <w:t>členů prognostického panelu</w:t>
      </w:r>
      <w:r w:rsidR="009767A1">
        <w:rPr>
          <w:rFonts w:ascii="Calibri" w:hAnsi="Calibri" w:cs="Calibri"/>
          <w:b/>
          <w:color w:val="13576B"/>
          <w:sz w:val="20"/>
        </w:rPr>
        <w:t>,</w:t>
      </w:r>
      <w:r w:rsidR="00382A30">
        <w:rPr>
          <w:rFonts w:ascii="Calibri" w:hAnsi="Calibri" w:cs="Calibri"/>
          <w:b/>
          <w:color w:val="13576B"/>
          <w:sz w:val="20"/>
        </w:rPr>
        <w:t xml:space="preserve"> ale většina vyhlíží </w:t>
      </w:r>
      <w:r w:rsidR="009767A1">
        <w:rPr>
          <w:rFonts w:ascii="Calibri" w:hAnsi="Calibri" w:cs="Calibri"/>
          <w:b/>
          <w:color w:val="13576B"/>
          <w:sz w:val="20"/>
        </w:rPr>
        <w:t>stabilitu</w:t>
      </w:r>
      <w:r w:rsidR="000C52E7">
        <w:rPr>
          <w:rFonts w:ascii="Calibri" w:hAnsi="Calibri" w:cs="Calibri"/>
          <w:b/>
          <w:color w:val="13576B"/>
          <w:sz w:val="20"/>
        </w:rPr>
        <w:t xml:space="preserve"> základní úrokové sazby</w:t>
      </w:r>
      <w:r w:rsidR="000C0D2C">
        <w:rPr>
          <w:rFonts w:ascii="Calibri" w:hAnsi="Calibri" w:cs="Calibri"/>
          <w:b/>
          <w:color w:val="13576B"/>
          <w:sz w:val="20"/>
        </w:rPr>
        <w:t xml:space="preserve"> na 3,5 %</w:t>
      </w:r>
      <w:r w:rsidR="00577DED">
        <w:rPr>
          <w:rFonts w:ascii="Calibri" w:hAnsi="Calibri" w:cs="Calibri"/>
          <w:b/>
          <w:color w:val="13576B"/>
          <w:sz w:val="20"/>
        </w:rPr>
        <w:t xml:space="preserve">. Tento rozdíl částečně odráží i nejistotu predikce kvůli délce uzavření </w:t>
      </w:r>
      <w:proofErr w:type="spellStart"/>
      <w:r w:rsidR="00577DED">
        <w:rPr>
          <w:rFonts w:ascii="Calibri" w:hAnsi="Calibri" w:cs="Calibri"/>
          <w:b/>
          <w:color w:val="13576B"/>
          <w:sz w:val="20"/>
        </w:rPr>
        <w:t>Hormuzského</w:t>
      </w:r>
      <w:proofErr w:type="spellEnd"/>
      <w:r w:rsidR="00577DED">
        <w:rPr>
          <w:rFonts w:ascii="Calibri" w:hAnsi="Calibri" w:cs="Calibri"/>
          <w:b/>
          <w:color w:val="13576B"/>
          <w:sz w:val="20"/>
        </w:rPr>
        <w:t xml:space="preserve"> průlivu. Ten byl</w:t>
      </w:r>
      <w:r w:rsidR="00936B8C">
        <w:rPr>
          <w:rFonts w:ascii="Calibri" w:hAnsi="Calibri" w:cs="Calibri"/>
          <w:b/>
          <w:color w:val="13576B"/>
          <w:sz w:val="20"/>
        </w:rPr>
        <w:t xml:space="preserve"> i</w:t>
      </w:r>
      <w:r w:rsidR="00577DED">
        <w:rPr>
          <w:rFonts w:ascii="Calibri" w:hAnsi="Calibri" w:cs="Calibri"/>
          <w:b/>
          <w:color w:val="13576B"/>
          <w:sz w:val="20"/>
        </w:rPr>
        <w:t xml:space="preserve"> předmětem ankety </w:t>
      </w:r>
      <w:r w:rsidR="00577DED" w:rsidRPr="003F762E">
        <w:rPr>
          <w:rFonts w:ascii="Calibri" w:hAnsi="Calibri" w:cs="Calibri"/>
          <w:b/>
          <w:color w:val="13576B"/>
          <w:sz w:val="20"/>
        </w:rPr>
        <w:t xml:space="preserve">ČBA, kde 60 % </w:t>
      </w:r>
      <w:proofErr w:type="spellStart"/>
      <w:r w:rsidR="00577DED" w:rsidRPr="003F762E">
        <w:rPr>
          <w:rFonts w:ascii="Calibri" w:hAnsi="Calibri" w:cs="Calibri"/>
          <w:b/>
          <w:color w:val="13576B"/>
          <w:sz w:val="20"/>
        </w:rPr>
        <w:t>panelistů</w:t>
      </w:r>
      <w:proofErr w:type="spellEnd"/>
      <w:r w:rsidR="00577DED" w:rsidRPr="003F762E">
        <w:rPr>
          <w:rFonts w:ascii="Calibri" w:hAnsi="Calibri" w:cs="Calibri"/>
          <w:b/>
          <w:color w:val="13576B"/>
          <w:sz w:val="20"/>
        </w:rPr>
        <w:t xml:space="preserve"> </w:t>
      </w:r>
      <w:r w:rsidR="000C0D2C">
        <w:rPr>
          <w:rFonts w:ascii="Calibri" w:hAnsi="Calibri" w:cs="Calibri"/>
          <w:b/>
          <w:color w:val="13576B"/>
          <w:sz w:val="20"/>
        </w:rPr>
        <w:t>počítá s</w:t>
      </w:r>
      <w:r w:rsidR="00577DED" w:rsidRPr="003F762E">
        <w:rPr>
          <w:rFonts w:ascii="Calibri" w:hAnsi="Calibri" w:cs="Calibri"/>
          <w:b/>
          <w:color w:val="13576B"/>
          <w:sz w:val="20"/>
        </w:rPr>
        <w:t xml:space="preserve"> jeho otevření</w:t>
      </w:r>
      <w:r w:rsidR="009167FD">
        <w:rPr>
          <w:rFonts w:ascii="Calibri" w:hAnsi="Calibri" w:cs="Calibri"/>
          <w:b/>
          <w:color w:val="13576B"/>
          <w:sz w:val="20"/>
        </w:rPr>
        <w:t>m</w:t>
      </w:r>
      <w:r w:rsidR="00577DED" w:rsidRPr="003F762E">
        <w:rPr>
          <w:rFonts w:ascii="Calibri" w:hAnsi="Calibri" w:cs="Calibri"/>
          <w:b/>
          <w:color w:val="13576B"/>
          <w:sz w:val="20"/>
        </w:rPr>
        <w:t xml:space="preserve"> </w:t>
      </w:r>
      <w:r w:rsidR="000C0D2C">
        <w:rPr>
          <w:rFonts w:ascii="Calibri" w:hAnsi="Calibri" w:cs="Calibri"/>
          <w:b/>
          <w:color w:val="13576B"/>
          <w:sz w:val="20"/>
        </w:rPr>
        <w:t>ve</w:t>
      </w:r>
      <w:r w:rsidR="00577DED" w:rsidRPr="003F762E">
        <w:rPr>
          <w:rFonts w:ascii="Calibri" w:hAnsi="Calibri" w:cs="Calibri"/>
          <w:b/>
          <w:color w:val="13576B"/>
          <w:sz w:val="20"/>
        </w:rPr>
        <w:t xml:space="preserve"> druhého čtvrtletí a 40 % v</w:t>
      </w:r>
      <w:r w:rsidR="00936B8C">
        <w:rPr>
          <w:rFonts w:ascii="Calibri" w:hAnsi="Calibri" w:cs="Calibri"/>
          <w:b/>
          <w:color w:val="13576B"/>
          <w:sz w:val="20"/>
        </w:rPr>
        <w:t xml:space="preserve"> tom </w:t>
      </w:r>
      <w:r w:rsidR="00577DED" w:rsidRPr="003F762E">
        <w:rPr>
          <w:rFonts w:ascii="Calibri" w:hAnsi="Calibri" w:cs="Calibri"/>
          <w:b/>
          <w:color w:val="13576B"/>
          <w:sz w:val="20"/>
        </w:rPr>
        <w:t>následujícím</w:t>
      </w:r>
      <w:r w:rsidR="00577DED" w:rsidRPr="007835A4">
        <w:rPr>
          <w:rFonts w:ascii="Calibri" w:hAnsi="Calibri" w:cs="Calibri"/>
          <w:b/>
          <w:color w:val="13576B"/>
          <w:sz w:val="20"/>
        </w:rPr>
        <w:t xml:space="preserve">. </w:t>
      </w:r>
      <w:r w:rsidR="00936B8C" w:rsidRPr="007835A4">
        <w:rPr>
          <w:rFonts w:ascii="Calibri" w:hAnsi="Calibri" w:cs="Calibri"/>
          <w:b/>
          <w:color w:val="13576B"/>
          <w:sz w:val="20"/>
        </w:rPr>
        <w:t>P</w:t>
      </w:r>
      <w:r w:rsidR="00326943" w:rsidRPr="007835A4">
        <w:rPr>
          <w:rFonts w:ascii="Calibri" w:hAnsi="Calibri" w:cs="Calibri"/>
          <w:b/>
          <w:color w:val="13576B"/>
          <w:sz w:val="20"/>
        </w:rPr>
        <w:t>rognóza</w:t>
      </w:r>
      <w:r w:rsidR="00936B8C" w:rsidRPr="007835A4">
        <w:rPr>
          <w:rFonts w:ascii="Calibri" w:hAnsi="Calibri" w:cs="Calibri"/>
          <w:b/>
          <w:color w:val="13576B"/>
          <w:sz w:val="20"/>
        </w:rPr>
        <w:t xml:space="preserve"> </w:t>
      </w:r>
      <w:r w:rsidR="00326943" w:rsidRPr="007835A4">
        <w:rPr>
          <w:rFonts w:ascii="Calibri" w:hAnsi="Calibri" w:cs="Calibri"/>
          <w:b/>
          <w:color w:val="13576B"/>
          <w:sz w:val="20"/>
        </w:rPr>
        <w:t xml:space="preserve">čelí </w:t>
      </w:r>
      <w:r w:rsidR="000C0D2C" w:rsidRPr="007835A4">
        <w:rPr>
          <w:rFonts w:ascii="Calibri" w:hAnsi="Calibri" w:cs="Calibri"/>
          <w:b/>
          <w:color w:val="13576B"/>
          <w:sz w:val="20"/>
        </w:rPr>
        <w:t>nejistotě</w:t>
      </w:r>
      <w:r w:rsidR="00ED595A" w:rsidRPr="007835A4">
        <w:rPr>
          <w:rFonts w:ascii="Calibri" w:hAnsi="Calibri" w:cs="Calibri"/>
          <w:b/>
          <w:color w:val="13576B"/>
          <w:sz w:val="20"/>
        </w:rPr>
        <w:t xml:space="preserve"> uvolněnější fiskální politiky v příštím roce.</w:t>
      </w:r>
    </w:p>
    <w:p w14:paraId="3E46A435" w14:textId="7641D551" w:rsidR="00BB2866" w:rsidRPr="007835A4" w:rsidRDefault="007F08C5" w:rsidP="00684D52">
      <w:pPr>
        <w:spacing w:after="120"/>
        <w:rPr>
          <w:rFonts w:ascii="Calibri" w:hAnsi="Calibri" w:cs="Calibri"/>
          <w:bCs/>
          <w:color w:val="13576B"/>
          <w:sz w:val="20"/>
        </w:rPr>
      </w:pPr>
      <w:r w:rsidRPr="007835A4">
        <w:rPr>
          <w:rFonts w:ascii="Calibri" w:hAnsi="Calibri" w:cs="Calibri"/>
          <w:bCs/>
          <w:color w:val="13576B"/>
          <w:sz w:val="20"/>
        </w:rPr>
        <w:t>Prognóza ČBA nově očekává pomalejší letošní růst reálného HDP</w:t>
      </w:r>
      <w:r w:rsidR="00577DED" w:rsidRPr="007835A4">
        <w:rPr>
          <w:rFonts w:ascii="Calibri" w:hAnsi="Calibri" w:cs="Calibri"/>
          <w:bCs/>
          <w:color w:val="13576B"/>
          <w:sz w:val="20"/>
        </w:rPr>
        <w:t xml:space="preserve">, a to </w:t>
      </w:r>
      <w:r w:rsidRPr="007835A4">
        <w:rPr>
          <w:rFonts w:ascii="Calibri" w:hAnsi="Calibri" w:cs="Calibri"/>
          <w:bCs/>
          <w:color w:val="13576B"/>
          <w:sz w:val="20"/>
        </w:rPr>
        <w:t>o 2,0 %</w:t>
      </w:r>
      <w:r w:rsidR="00577DED" w:rsidRPr="007835A4">
        <w:rPr>
          <w:rFonts w:ascii="Calibri" w:hAnsi="Calibri" w:cs="Calibri"/>
          <w:bCs/>
          <w:color w:val="13576B"/>
          <w:sz w:val="20"/>
        </w:rPr>
        <w:t xml:space="preserve"> meziročně</w:t>
      </w:r>
      <w:r w:rsidRPr="007835A4">
        <w:rPr>
          <w:rFonts w:ascii="Calibri" w:hAnsi="Calibri" w:cs="Calibri"/>
          <w:bCs/>
          <w:color w:val="13576B"/>
          <w:sz w:val="20"/>
        </w:rPr>
        <w:t xml:space="preserve"> po </w:t>
      </w:r>
      <w:r w:rsidR="00577DED" w:rsidRPr="007835A4">
        <w:rPr>
          <w:rFonts w:ascii="Calibri" w:hAnsi="Calibri" w:cs="Calibri"/>
          <w:bCs/>
          <w:color w:val="13576B"/>
          <w:sz w:val="20"/>
        </w:rPr>
        <w:t xml:space="preserve">zrychlení na </w:t>
      </w:r>
      <w:r w:rsidRPr="007835A4">
        <w:rPr>
          <w:rFonts w:ascii="Calibri" w:hAnsi="Calibri" w:cs="Calibri"/>
          <w:bCs/>
          <w:color w:val="13576B"/>
          <w:sz w:val="20"/>
        </w:rPr>
        <w:t xml:space="preserve">2,6 % v roce 2025. Pro rok 2027 </w:t>
      </w:r>
      <w:proofErr w:type="spellStart"/>
      <w:r w:rsidR="00BB2866" w:rsidRPr="007835A4">
        <w:rPr>
          <w:rFonts w:ascii="Calibri" w:hAnsi="Calibri" w:cs="Calibri"/>
          <w:bCs/>
          <w:color w:val="13576B"/>
          <w:sz w:val="20"/>
        </w:rPr>
        <w:t>panelisté</w:t>
      </w:r>
      <w:proofErr w:type="spellEnd"/>
      <w:r w:rsidR="00BB2866" w:rsidRPr="007835A4">
        <w:rPr>
          <w:rFonts w:ascii="Calibri" w:hAnsi="Calibri" w:cs="Calibri"/>
          <w:bCs/>
          <w:color w:val="13576B"/>
          <w:sz w:val="20"/>
        </w:rPr>
        <w:t xml:space="preserve"> vyhlíží</w:t>
      </w:r>
      <w:r w:rsidR="000679D7" w:rsidRPr="007835A4">
        <w:rPr>
          <w:rFonts w:ascii="Calibri" w:hAnsi="Calibri" w:cs="Calibri"/>
          <w:bCs/>
          <w:color w:val="13576B"/>
          <w:sz w:val="20"/>
        </w:rPr>
        <w:t xml:space="preserve"> </w:t>
      </w:r>
      <w:r w:rsidR="00577DED" w:rsidRPr="007835A4">
        <w:rPr>
          <w:rFonts w:ascii="Calibri" w:hAnsi="Calibri" w:cs="Calibri"/>
          <w:bCs/>
          <w:color w:val="13576B"/>
          <w:sz w:val="20"/>
        </w:rPr>
        <w:t>návrat k silnějšímu</w:t>
      </w:r>
      <w:r w:rsidRPr="007835A4">
        <w:rPr>
          <w:rFonts w:ascii="Calibri" w:hAnsi="Calibri" w:cs="Calibri"/>
          <w:bCs/>
          <w:color w:val="13576B"/>
          <w:sz w:val="20"/>
        </w:rPr>
        <w:t xml:space="preserve"> růstu ekonomiky na 2,4 %. </w:t>
      </w:r>
      <w:r w:rsidR="00326943" w:rsidRPr="007835A4">
        <w:rPr>
          <w:rFonts w:ascii="Calibri" w:hAnsi="Calibri" w:cs="Calibri"/>
          <w:bCs/>
          <w:color w:val="13576B"/>
          <w:sz w:val="20"/>
        </w:rPr>
        <w:t>Oproti únorové prognóze panel snížil odhad letošního růstu HDP o 0,6 procentního bodu a dále o 0,2 p.</w:t>
      </w:r>
      <w:r w:rsidR="00BB0AF7" w:rsidRPr="007835A4">
        <w:rPr>
          <w:rFonts w:ascii="Calibri" w:hAnsi="Calibri" w:cs="Calibri"/>
          <w:bCs/>
          <w:color w:val="13576B"/>
          <w:sz w:val="20"/>
        </w:rPr>
        <w:t xml:space="preserve"> </w:t>
      </w:r>
      <w:r w:rsidR="00326943" w:rsidRPr="007835A4">
        <w:rPr>
          <w:rFonts w:ascii="Calibri" w:hAnsi="Calibri" w:cs="Calibri"/>
          <w:bCs/>
          <w:color w:val="13576B"/>
          <w:sz w:val="20"/>
        </w:rPr>
        <w:t xml:space="preserve">b. pro příští rok. Výhled odráží </w:t>
      </w:r>
      <w:r w:rsidR="003C2522" w:rsidRPr="007835A4">
        <w:rPr>
          <w:rFonts w:ascii="Calibri" w:hAnsi="Calibri" w:cs="Calibri"/>
          <w:bCs/>
          <w:color w:val="13576B"/>
          <w:sz w:val="20"/>
        </w:rPr>
        <w:t xml:space="preserve">o 25 dolarů </w:t>
      </w:r>
      <w:r w:rsidR="00326943" w:rsidRPr="007835A4">
        <w:rPr>
          <w:rFonts w:ascii="Calibri" w:hAnsi="Calibri" w:cs="Calibri"/>
          <w:bCs/>
          <w:color w:val="13576B"/>
          <w:sz w:val="20"/>
        </w:rPr>
        <w:t xml:space="preserve">vyšší </w:t>
      </w:r>
      <w:r w:rsidR="000C0D2C" w:rsidRPr="007835A4">
        <w:rPr>
          <w:rFonts w:ascii="Calibri" w:hAnsi="Calibri" w:cs="Calibri"/>
          <w:bCs/>
          <w:color w:val="13576B"/>
          <w:sz w:val="20"/>
        </w:rPr>
        <w:t xml:space="preserve">letošní </w:t>
      </w:r>
      <w:r w:rsidR="00326943" w:rsidRPr="007835A4">
        <w:rPr>
          <w:rFonts w:ascii="Calibri" w:hAnsi="Calibri" w:cs="Calibri"/>
          <w:bCs/>
          <w:color w:val="13576B"/>
          <w:sz w:val="20"/>
        </w:rPr>
        <w:t xml:space="preserve">cenu ropy, slabší růst ekonomiky eurozóny a zvýšenou nejistotu v globální ekonomice spojenou s vývojem kolem </w:t>
      </w:r>
      <w:proofErr w:type="spellStart"/>
      <w:r w:rsidR="00326943" w:rsidRPr="007835A4">
        <w:rPr>
          <w:rFonts w:ascii="Calibri" w:hAnsi="Calibri" w:cs="Calibri"/>
          <w:bCs/>
          <w:color w:val="13576B"/>
          <w:sz w:val="20"/>
        </w:rPr>
        <w:t>Hormuzského</w:t>
      </w:r>
      <w:proofErr w:type="spellEnd"/>
      <w:r w:rsidR="00326943" w:rsidRPr="007835A4">
        <w:rPr>
          <w:rFonts w:ascii="Calibri" w:hAnsi="Calibri" w:cs="Calibri"/>
          <w:bCs/>
          <w:color w:val="13576B"/>
          <w:sz w:val="20"/>
        </w:rPr>
        <w:t xml:space="preserve"> průlivu a komoditních trhů</w:t>
      </w:r>
      <w:r w:rsidR="00577DED" w:rsidRPr="007835A4">
        <w:rPr>
          <w:rFonts w:ascii="Calibri" w:hAnsi="Calibri" w:cs="Calibri"/>
          <w:bCs/>
          <w:color w:val="13576B"/>
          <w:sz w:val="20"/>
        </w:rPr>
        <w:t>, což představuje riziko pro investiční aktivitu</w:t>
      </w:r>
      <w:r w:rsidR="00326943" w:rsidRPr="007835A4">
        <w:rPr>
          <w:rFonts w:ascii="Calibri" w:hAnsi="Calibri" w:cs="Calibri"/>
          <w:bCs/>
          <w:color w:val="13576B"/>
          <w:sz w:val="20"/>
        </w:rPr>
        <w:t>. To se v naší predikci propisuje do slabšího růstu exportní aktivity</w:t>
      </w:r>
      <w:r w:rsidR="000679D7" w:rsidRPr="007835A4">
        <w:rPr>
          <w:rFonts w:ascii="Calibri" w:hAnsi="Calibri" w:cs="Calibri"/>
          <w:bCs/>
          <w:color w:val="13576B"/>
          <w:sz w:val="20"/>
        </w:rPr>
        <w:t xml:space="preserve"> a </w:t>
      </w:r>
      <w:r w:rsidR="00326943" w:rsidRPr="007835A4">
        <w:rPr>
          <w:rFonts w:ascii="Calibri" w:hAnsi="Calibri" w:cs="Calibri"/>
          <w:bCs/>
          <w:color w:val="13576B"/>
          <w:sz w:val="20"/>
        </w:rPr>
        <w:t xml:space="preserve">zároveň do </w:t>
      </w:r>
      <w:r w:rsidR="001764B6" w:rsidRPr="007835A4">
        <w:rPr>
          <w:rFonts w:ascii="Calibri" w:hAnsi="Calibri" w:cs="Calibri"/>
          <w:bCs/>
          <w:color w:val="13576B"/>
          <w:sz w:val="20"/>
        </w:rPr>
        <w:t xml:space="preserve">pravděpodobně dočasného </w:t>
      </w:r>
      <w:r w:rsidR="00326943" w:rsidRPr="007835A4">
        <w:rPr>
          <w:rFonts w:ascii="Calibri" w:hAnsi="Calibri" w:cs="Calibri"/>
          <w:bCs/>
          <w:color w:val="13576B"/>
          <w:sz w:val="20"/>
        </w:rPr>
        <w:t>poklesu stavu zásob</w:t>
      </w:r>
      <w:r w:rsidR="001764B6" w:rsidRPr="007835A4">
        <w:rPr>
          <w:rFonts w:ascii="Calibri" w:hAnsi="Calibri" w:cs="Calibri"/>
          <w:bCs/>
          <w:color w:val="13576B"/>
          <w:sz w:val="20"/>
        </w:rPr>
        <w:t>, který po odeznění šoku</w:t>
      </w:r>
      <w:r w:rsidR="000C0D2C" w:rsidRPr="007835A4">
        <w:rPr>
          <w:rFonts w:ascii="Calibri" w:hAnsi="Calibri" w:cs="Calibri"/>
          <w:bCs/>
          <w:color w:val="13576B"/>
          <w:sz w:val="20"/>
        </w:rPr>
        <w:t xml:space="preserve"> může</w:t>
      </w:r>
      <w:r w:rsidR="001764B6" w:rsidRPr="007835A4">
        <w:rPr>
          <w:rFonts w:ascii="Calibri" w:hAnsi="Calibri" w:cs="Calibri"/>
          <w:bCs/>
          <w:color w:val="13576B"/>
          <w:sz w:val="20"/>
        </w:rPr>
        <w:t xml:space="preserve"> ekonomiku</w:t>
      </w:r>
      <w:r w:rsidR="00886491" w:rsidRPr="007835A4">
        <w:rPr>
          <w:rFonts w:ascii="Calibri" w:hAnsi="Calibri" w:cs="Calibri"/>
          <w:bCs/>
          <w:color w:val="13576B"/>
          <w:sz w:val="20"/>
        </w:rPr>
        <w:t xml:space="preserve"> naopak</w:t>
      </w:r>
      <w:r w:rsidR="001764B6" w:rsidRPr="007835A4">
        <w:rPr>
          <w:rFonts w:ascii="Calibri" w:hAnsi="Calibri" w:cs="Calibri"/>
          <w:bCs/>
          <w:color w:val="13576B"/>
          <w:sz w:val="20"/>
        </w:rPr>
        <w:t xml:space="preserve"> podpoř</w:t>
      </w:r>
      <w:r w:rsidR="000C0D2C" w:rsidRPr="007835A4">
        <w:rPr>
          <w:rFonts w:ascii="Calibri" w:hAnsi="Calibri" w:cs="Calibri"/>
          <w:bCs/>
          <w:color w:val="13576B"/>
          <w:sz w:val="20"/>
        </w:rPr>
        <w:t>í</w:t>
      </w:r>
      <w:r w:rsidR="001764B6" w:rsidRPr="007835A4">
        <w:rPr>
          <w:rFonts w:ascii="Calibri" w:hAnsi="Calibri" w:cs="Calibri"/>
          <w:bCs/>
          <w:color w:val="13576B"/>
          <w:sz w:val="20"/>
        </w:rPr>
        <w:t xml:space="preserve">. </w:t>
      </w:r>
    </w:p>
    <w:p w14:paraId="2C843EAE" w14:textId="0EAE055F" w:rsidR="0090041E" w:rsidRDefault="006706DD" w:rsidP="00684D52">
      <w:pPr>
        <w:spacing w:after="120"/>
        <w:rPr>
          <w:rFonts w:ascii="Calibri" w:hAnsi="Calibri" w:cs="Calibri"/>
          <w:bCs/>
          <w:color w:val="13576B"/>
          <w:sz w:val="20"/>
        </w:rPr>
      </w:pPr>
      <w:r w:rsidRPr="007835A4">
        <w:rPr>
          <w:rFonts w:ascii="Calibri" w:hAnsi="Calibri" w:cs="Calibri"/>
          <w:bCs/>
          <w:color w:val="13576B"/>
          <w:sz w:val="20"/>
        </w:rPr>
        <w:t>Zhoršen</w:t>
      </w:r>
      <w:r w:rsidR="00BB2866" w:rsidRPr="007835A4">
        <w:rPr>
          <w:rFonts w:ascii="Calibri" w:hAnsi="Calibri" w:cs="Calibri"/>
          <w:bCs/>
          <w:color w:val="13576B"/>
          <w:sz w:val="20"/>
        </w:rPr>
        <w:t>ý</w:t>
      </w:r>
      <w:r w:rsidRPr="007835A4">
        <w:rPr>
          <w:rFonts w:ascii="Calibri" w:hAnsi="Calibri" w:cs="Calibri"/>
          <w:bCs/>
          <w:color w:val="13576B"/>
          <w:sz w:val="20"/>
        </w:rPr>
        <w:t xml:space="preserve"> výhled se odehrává na pozadí </w:t>
      </w:r>
      <w:r w:rsidR="00577DED" w:rsidRPr="007835A4">
        <w:rPr>
          <w:rFonts w:ascii="Calibri" w:hAnsi="Calibri" w:cs="Calibri"/>
          <w:bCs/>
          <w:color w:val="13576B"/>
          <w:sz w:val="20"/>
        </w:rPr>
        <w:t xml:space="preserve">očekávaného zvýšeného tempa </w:t>
      </w:r>
      <w:r w:rsidRPr="007835A4">
        <w:rPr>
          <w:rFonts w:ascii="Calibri" w:hAnsi="Calibri" w:cs="Calibri"/>
          <w:bCs/>
          <w:color w:val="13576B"/>
          <w:sz w:val="20"/>
        </w:rPr>
        <w:t>spotřebitelské inflace o 0,8 procentního bodu na 2,5 % v letošním roce</w:t>
      </w:r>
      <w:r w:rsidR="003C2522" w:rsidRPr="007835A4">
        <w:rPr>
          <w:rFonts w:ascii="Calibri" w:hAnsi="Calibri" w:cs="Calibri"/>
          <w:bCs/>
          <w:color w:val="13576B"/>
          <w:sz w:val="20"/>
        </w:rPr>
        <w:t>,</w:t>
      </w:r>
      <w:r w:rsidRPr="007835A4">
        <w:rPr>
          <w:rFonts w:ascii="Calibri" w:hAnsi="Calibri" w:cs="Calibri"/>
          <w:bCs/>
          <w:color w:val="13576B"/>
          <w:sz w:val="20"/>
        </w:rPr>
        <w:t xml:space="preserve"> následovan</w:t>
      </w:r>
      <w:r w:rsidR="003C2522" w:rsidRPr="007835A4">
        <w:rPr>
          <w:rFonts w:ascii="Calibri" w:hAnsi="Calibri" w:cs="Calibri"/>
          <w:bCs/>
          <w:color w:val="13576B"/>
          <w:sz w:val="20"/>
        </w:rPr>
        <w:t>ého</w:t>
      </w:r>
      <w:r w:rsidRPr="007835A4">
        <w:rPr>
          <w:rFonts w:ascii="Calibri" w:hAnsi="Calibri" w:cs="Calibri"/>
          <w:bCs/>
          <w:color w:val="13576B"/>
          <w:sz w:val="20"/>
        </w:rPr>
        <w:t xml:space="preserve"> 2,7% růstem v roce 2027. </w:t>
      </w:r>
      <w:r w:rsidR="00BB2866" w:rsidRPr="007835A4">
        <w:rPr>
          <w:rFonts w:ascii="Calibri" w:hAnsi="Calibri" w:cs="Calibri"/>
          <w:bCs/>
          <w:color w:val="13576B"/>
          <w:sz w:val="20"/>
        </w:rPr>
        <w:t xml:space="preserve">Prognóza </w:t>
      </w:r>
      <w:r w:rsidR="00577DED" w:rsidRPr="007835A4">
        <w:rPr>
          <w:rFonts w:ascii="Calibri" w:hAnsi="Calibri" w:cs="Calibri"/>
          <w:bCs/>
          <w:color w:val="13576B"/>
          <w:sz w:val="20"/>
        </w:rPr>
        <w:t>vyhlíží</w:t>
      </w:r>
      <w:r w:rsidR="00BB2866" w:rsidRPr="007835A4">
        <w:rPr>
          <w:rFonts w:ascii="Calibri" w:hAnsi="Calibri" w:cs="Calibri"/>
          <w:bCs/>
          <w:color w:val="13576B"/>
          <w:sz w:val="20"/>
        </w:rPr>
        <w:t xml:space="preserve"> postupné propisování sekundárních dopadů vyšších cen energií a komodit do cen potravin a dalších složek spotřebitelského koše na přelomu letošního a příštího roku. </w:t>
      </w:r>
      <w:r w:rsidRPr="007835A4">
        <w:rPr>
          <w:rFonts w:ascii="Calibri" w:hAnsi="Calibri" w:cs="Calibri"/>
          <w:bCs/>
          <w:color w:val="13576B"/>
          <w:sz w:val="20"/>
        </w:rPr>
        <w:t>Navzdory</w:t>
      </w:r>
      <w:r w:rsidR="000679D7" w:rsidRPr="007835A4">
        <w:rPr>
          <w:rFonts w:ascii="Calibri" w:hAnsi="Calibri" w:cs="Calibri"/>
          <w:bCs/>
          <w:color w:val="13576B"/>
          <w:sz w:val="20"/>
        </w:rPr>
        <w:t xml:space="preserve"> </w:t>
      </w:r>
      <w:r w:rsidRPr="007835A4">
        <w:rPr>
          <w:rFonts w:ascii="Calibri" w:hAnsi="Calibri" w:cs="Calibri"/>
          <w:bCs/>
          <w:color w:val="13576B"/>
          <w:sz w:val="20"/>
        </w:rPr>
        <w:t>negativnímu dopadu vyšší inflace do reálných mezd</w:t>
      </w:r>
      <w:r w:rsidR="00BB2866" w:rsidRPr="007835A4">
        <w:rPr>
          <w:rFonts w:ascii="Calibri" w:hAnsi="Calibri" w:cs="Calibri"/>
          <w:bCs/>
          <w:color w:val="13576B"/>
          <w:sz w:val="20"/>
        </w:rPr>
        <w:t>, které si ovšem</w:t>
      </w:r>
      <w:r w:rsidR="000C0D2C" w:rsidRPr="007835A4">
        <w:rPr>
          <w:rFonts w:ascii="Calibri" w:hAnsi="Calibri" w:cs="Calibri"/>
          <w:bCs/>
          <w:color w:val="13576B"/>
          <w:sz w:val="20"/>
        </w:rPr>
        <w:t xml:space="preserve"> letos</w:t>
      </w:r>
      <w:r w:rsidR="00BB2866" w:rsidRPr="007835A4">
        <w:rPr>
          <w:rFonts w:ascii="Calibri" w:hAnsi="Calibri" w:cs="Calibri"/>
          <w:bCs/>
          <w:color w:val="13576B"/>
          <w:sz w:val="20"/>
        </w:rPr>
        <w:t xml:space="preserve"> udrží stále solidní 3,5% tempo, se vyšší inflace plně nepropisuje do domácí poptávky. V</w:t>
      </w:r>
      <w:r w:rsidR="00326943" w:rsidRPr="007835A4">
        <w:rPr>
          <w:rFonts w:ascii="Calibri" w:hAnsi="Calibri" w:cs="Calibri"/>
          <w:bCs/>
          <w:color w:val="13576B"/>
          <w:sz w:val="20"/>
        </w:rPr>
        <w:t xml:space="preserve">ýhled na </w:t>
      </w:r>
      <w:r w:rsidR="007F08C5" w:rsidRPr="007835A4">
        <w:rPr>
          <w:rFonts w:ascii="Calibri" w:hAnsi="Calibri" w:cs="Calibri"/>
          <w:bCs/>
          <w:color w:val="13576B"/>
          <w:sz w:val="20"/>
        </w:rPr>
        <w:t>soukrom</w:t>
      </w:r>
      <w:r w:rsidR="00326943" w:rsidRPr="007835A4">
        <w:rPr>
          <w:rFonts w:ascii="Calibri" w:hAnsi="Calibri" w:cs="Calibri"/>
          <w:bCs/>
          <w:color w:val="13576B"/>
          <w:sz w:val="20"/>
        </w:rPr>
        <w:t>ou</w:t>
      </w:r>
      <w:r w:rsidR="007F08C5" w:rsidRPr="007835A4">
        <w:rPr>
          <w:rFonts w:ascii="Calibri" w:hAnsi="Calibri" w:cs="Calibri"/>
          <w:bCs/>
          <w:color w:val="13576B"/>
          <w:sz w:val="20"/>
        </w:rPr>
        <w:t xml:space="preserve"> spotřeb</w:t>
      </w:r>
      <w:r w:rsidR="000679D7" w:rsidRPr="007835A4">
        <w:rPr>
          <w:rFonts w:ascii="Calibri" w:hAnsi="Calibri" w:cs="Calibri"/>
          <w:bCs/>
          <w:color w:val="13576B"/>
          <w:sz w:val="20"/>
        </w:rPr>
        <w:t>u</w:t>
      </w:r>
      <w:r w:rsidR="007F08C5" w:rsidRPr="007835A4">
        <w:rPr>
          <w:rFonts w:ascii="Calibri" w:hAnsi="Calibri" w:cs="Calibri"/>
          <w:bCs/>
          <w:color w:val="13576B"/>
          <w:sz w:val="20"/>
        </w:rPr>
        <w:t xml:space="preserve"> </w:t>
      </w:r>
      <w:r w:rsidR="00BB2866" w:rsidRPr="007835A4">
        <w:rPr>
          <w:rFonts w:ascii="Calibri" w:hAnsi="Calibri" w:cs="Calibri"/>
          <w:bCs/>
          <w:color w:val="13576B"/>
          <w:sz w:val="20"/>
        </w:rPr>
        <w:t xml:space="preserve">si </w:t>
      </w:r>
      <w:r w:rsidR="007F08C5" w:rsidRPr="007835A4">
        <w:rPr>
          <w:rFonts w:ascii="Calibri" w:hAnsi="Calibri" w:cs="Calibri"/>
          <w:bCs/>
          <w:color w:val="13576B"/>
          <w:sz w:val="20"/>
        </w:rPr>
        <w:t xml:space="preserve">drží </w:t>
      </w:r>
      <w:r w:rsidR="00555B26" w:rsidRPr="007835A4">
        <w:rPr>
          <w:rFonts w:ascii="Calibri" w:hAnsi="Calibri" w:cs="Calibri"/>
          <w:bCs/>
          <w:color w:val="13576B"/>
          <w:sz w:val="20"/>
        </w:rPr>
        <w:t>slušné</w:t>
      </w:r>
      <w:r w:rsidR="007F08C5" w:rsidRPr="003F762E">
        <w:rPr>
          <w:rFonts w:ascii="Calibri" w:hAnsi="Calibri" w:cs="Calibri"/>
          <w:bCs/>
          <w:color w:val="13576B"/>
          <w:sz w:val="20"/>
        </w:rPr>
        <w:t xml:space="preserve"> </w:t>
      </w:r>
      <w:r w:rsidRPr="003F762E">
        <w:rPr>
          <w:rFonts w:ascii="Calibri" w:hAnsi="Calibri" w:cs="Calibri"/>
          <w:bCs/>
          <w:color w:val="13576B"/>
          <w:sz w:val="20"/>
        </w:rPr>
        <w:t xml:space="preserve">letošní </w:t>
      </w:r>
      <w:r w:rsidR="00BB2866" w:rsidRPr="003F762E">
        <w:rPr>
          <w:rFonts w:ascii="Calibri" w:hAnsi="Calibri" w:cs="Calibri"/>
          <w:bCs/>
          <w:color w:val="13576B"/>
          <w:sz w:val="20"/>
        </w:rPr>
        <w:t xml:space="preserve">vyhlídky s </w:t>
      </w:r>
      <w:r w:rsidRPr="003F762E">
        <w:rPr>
          <w:rFonts w:ascii="Calibri" w:hAnsi="Calibri" w:cs="Calibri"/>
          <w:bCs/>
          <w:color w:val="13576B"/>
          <w:sz w:val="20"/>
        </w:rPr>
        <w:t>růst</w:t>
      </w:r>
      <w:r w:rsidR="00BB2866" w:rsidRPr="003F762E">
        <w:rPr>
          <w:rFonts w:ascii="Calibri" w:hAnsi="Calibri" w:cs="Calibri"/>
          <w:bCs/>
          <w:color w:val="13576B"/>
          <w:sz w:val="20"/>
        </w:rPr>
        <w:t>em</w:t>
      </w:r>
      <w:r w:rsidRPr="003F762E">
        <w:rPr>
          <w:rFonts w:ascii="Calibri" w:hAnsi="Calibri" w:cs="Calibri"/>
          <w:bCs/>
          <w:color w:val="13576B"/>
          <w:sz w:val="20"/>
        </w:rPr>
        <w:t xml:space="preserve"> </w:t>
      </w:r>
      <w:r w:rsidR="000679D7" w:rsidRPr="003F762E">
        <w:rPr>
          <w:rFonts w:ascii="Calibri" w:hAnsi="Calibri" w:cs="Calibri"/>
          <w:bCs/>
          <w:color w:val="13576B"/>
          <w:sz w:val="20"/>
        </w:rPr>
        <w:t>2,7 %</w:t>
      </w:r>
      <w:r w:rsidR="007F08C5" w:rsidRPr="003F762E">
        <w:rPr>
          <w:rFonts w:ascii="Calibri" w:hAnsi="Calibri" w:cs="Calibri"/>
          <w:bCs/>
          <w:color w:val="13576B"/>
          <w:sz w:val="20"/>
        </w:rPr>
        <w:t xml:space="preserve"> díky</w:t>
      </w:r>
      <w:r w:rsidR="00BB2866" w:rsidRPr="003F762E">
        <w:rPr>
          <w:rFonts w:ascii="Calibri" w:hAnsi="Calibri" w:cs="Calibri"/>
          <w:bCs/>
          <w:color w:val="13576B"/>
          <w:sz w:val="20"/>
        </w:rPr>
        <w:t xml:space="preserve"> očekávané</w:t>
      </w:r>
      <w:r w:rsidR="007F08C5" w:rsidRPr="003F762E">
        <w:rPr>
          <w:rFonts w:ascii="Calibri" w:hAnsi="Calibri" w:cs="Calibri"/>
          <w:bCs/>
          <w:color w:val="13576B"/>
          <w:sz w:val="20"/>
        </w:rPr>
        <w:t xml:space="preserve"> menší míře </w:t>
      </w:r>
      <w:r w:rsidR="001764B6" w:rsidRPr="003F762E">
        <w:rPr>
          <w:rFonts w:ascii="Calibri" w:hAnsi="Calibri" w:cs="Calibri"/>
          <w:bCs/>
          <w:color w:val="13576B"/>
          <w:sz w:val="20"/>
        </w:rPr>
        <w:t xml:space="preserve">stále abnormálně vysokých </w:t>
      </w:r>
      <w:r w:rsidR="007F08C5" w:rsidRPr="003F762E">
        <w:rPr>
          <w:rFonts w:ascii="Calibri" w:hAnsi="Calibri" w:cs="Calibri"/>
          <w:bCs/>
          <w:color w:val="13576B"/>
          <w:sz w:val="20"/>
        </w:rPr>
        <w:t>úspor</w:t>
      </w:r>
      <w:r w:rsidR="001764B6" w:rsidRPr="003F762E">
        <w:rPr>
          <w:rFonts w:ascii="Calibri" w:hAnsi="Calibri" w:cs="Calibri"/>
          <w:bCs/>
          <w:color w:val="13576B"/>
          <w:sz w:val="20"/>
        </w:rPr>
        <w:t xml:space="preserve"> domácností</w:t>
      </w:r>
      <w:r w:rsidR="000679D7" w:rsidRPr="003F762E">
        <w:rPr>
          <w:rFonts w:ascii="Calibri" w:hAnsi="Calibri" w:cs="Calibri"/>
          <w:bCs/>
          <w:color w:val="13576B"/>
          <w:sz w:val="20"/>
        </w:rPr>
        <w:t>, vyšší úvěrové aktivitě a</w:t>
      </w:r>
      <w:r w:rsidR="007F08C5" w:rsidRPr="003F762E">
        <w:rPr>
          <w:rFonts w:ascii="Calibri" w:hAnsi="Calibri" w:cs="Calibri"/>
          <w:bCs/>
          <w:color w:val="13576B"/>
          <w:sz w:val="20"/>
        </w:rPr>
        <w:t xml:space="preserve"> uvolněnější fiskální politice. </w:t>
      </w:r>
    </w:p>
    <w:p w14:paraId="0981933E" w14:textId="77777777" w:rsidR="000C0D2C" w:rsidRDefault="000C0D2C" w:rsidP="00684D52">
      <w:pPr>
        <w:spacing w:after="120"/>
        <w:rPr>
          <w:rFonts w:ascii="Calibri" w:hAnsi="Calibri" w:cs="Calibri"/>
          <w:bCs/>
          <w:color w:val="13576B"/>
          <w:sz w:val="20"/>
        </w:rPr>
      </w:pPr>
    </w:p>
    <w:p w14:paraId="02BB4DAA" w14:textId="77777777" w:rsidR="0090041E" w:rsidRDefault="0090041E" w:rsidP="0090041E">
      <w:pPr>
        <w:pBdr>
          <w:top w:val="single" w:sz="4" w:space="1" w:color="auto"/>
          <w:left w:val="single" w:sz="4" w:space="4" w:color="auto"/>
          <w:bottom w:val="single" w:sz="4" w:space="1" w:color="auto"/>
          <w:right w:val="single" w:sz="4" w:space="4" w:color="auto"/>
        </w:pBdr>
        <w:rPr>
          <w:rFonts w:ascii="Calibri" w:hAnsi="Calibri" w:cs="Calibri"/>
          <w:b/>
          <w:bCs/>
          <w:sz w:val="20"/>
        </w:rPr>
      </w:pPr>
      <w:r>
        <w:rPr>
          <w:rFonts w:ascii="Calibri" w:hAnsi="Calibri" w:cs="Calibri"/>
          <w:b/>
          <w:bCs/>
          <w:sz w:val="20"/>
        </w:rPr>
        <w:t>Jaromír Šindel</w:t>
      </w:r>
      <w:r w:rsidRPr="00222AA1">
        <w:rPr>
          <w:rFonts w:ascii="Calibri" w:hAnsi="Calibri" w:cs="Calibri"/>
          <w:b/>
          <w:bCs/>
          <w:sz w:val="20"/>
        </w:rPr>
        <w:t xml:space="preserve">, </w:t>
      </w:r>
      <w:r>
        <w:rPr>
          <w:rFonts w:ascii="Calibri" w:hAnsi="Calibri" w:cs="Calibri"/>
          <w:b/>
          <w:bCs/>
          <w:sz w:val="20"/>
        </w:rPr>
        <w:t xml:space="preserve">hlavní ekonom České bankovní asociace:  </w:t>
      </w:r>
    </w:p>
    <w:p w14:paraId="144C8A4E" w14:textId="0C092E16" w:rsidR="0090041E" w:rsidRPr="0090041E" w:rsidRDefault="0090041E" w:rsidP="0090041E">
      <w:pPr>
        <w:pBdr>
          <w:top w:val="single" w:sz="4" w:space="1" w:color="auto"/>
          <w:left w:val="single" w:sz="4" w:space="4" w:color="auto"/>
          <w:bottom w:val="single" w:sz="4" w:space="1" w:color="auto"/>
          <w:right w:val="single" w:sz="4" w:space="4" w:color="auto"/>
        </w:pBdr>
        <w:rPr>
          <w:rFonts w:ascii="Calibri" w:hAnsi="Calibri" w:cs="Calibri"/>
          <w:i/>
          <w:iCs/>
          <w:color w:val="000000" w:themeColor="text1"/>
          <w:sz w:val="20"/>
        </w:rPr>
      </w:pPr>
      <w:r w:rsidRPr="0035113B">
        <w:rPr>
          <w:rFonts w:ascii="Calibri" w:hAnsi="Calibri" w:cs="Calibri"/>
          <w:i/>
          <w:iCs/>
          <w:color w:val="000000" w:themeColor="text1"/>
          <w:sz w:val="20"/>
        </w:rPr>
        <w:t>„</w:t>
      </w:r>
      <w:r>
        <w:rPr>
          <w:rFonts w:ascii="Calibri" w:hAnsi="Calibri" w:cs="Calibri"/>
          <w:i/>
          <w:iCs/>
          <w:color w:val="000000" w:themeColor="text1"/>
          <w:sz w:val="20"/>
        </w:rPr>
        <w:t>Květnová prognóza ČBA přináší méně příznivý letošní výhled 2% růstu českého hospodářství kvůli návratu spotřebitelské inflace do horní poloviny cíle centrální banky a kvůli slabší zahraniční poptávce. Kromě nejistoty ohledně Hormuzu, jak měnová, tak fiskální politika představují nejistotu pro naši predikci.“</w:t>
      </w:r>
    </w:p>
    <w:p w14:paraId="11B2D9A4" w14:textId="77777777" w:rsidR="0090041E" w:rsidRDefault="0090041E" w:rsidP="009E33F6">
      <w:pPr>
        <w:pStyle w:val="Normlnweb"/>
        <w:spacing w:before="0" w:beforeAutospacing="0" w:after="0" w:afterAutospacing="0"/>
        <w:jc w:val="both"/>
        <w:rPr>
          <w:rFonts w:ascii="Calibri" w:hAnsi="Calibri" w:cs="Calibri"/>
          <w:b/>
          <w:color w:val="EE0000"/>
          <w:sz w:val="22"/>
          <w:szCs w:val="28"/>
        </w:rPr>
      </w:pPr>
      <w:bookmarkStart w:id="2" w:name="_Hlk221689304"/>
    </w:p>
    <w:p w14:paraId="3204DD00" w14:textId="0E7A05A2" w:rsidR="005C1934" w:rsidRDefault="00057418" w:rsidP="009E33F6">
      <w:pPr>
        <w:pStyle w:val="Normlnweb"/>
        <w:spacing w:before="0" w:beforeAutospacing="0" w:after="0" w:afterAutospacing="0"/>
        <w:jc w:val="both"/>
        <w:rPr>
          <w:rFonts w:ascii="Calibri" w:hAnsi="Calibri" w:cs="Calibri"/>
          <w:b/>
          <w:color w:val="EE0000"/>
          <w:sz w:val="22"/>
          <w:szCs w:val="28"/>
        </w:rPr>
      </w:pPr>
      <w:r w:rsidRPr="009008CB">
        <w:rPr>
          <w:rFonts w:ascii="Calibri" w:hAnsi="Calibri" w:cs="Calibri"/>
          <w:b/>
          <w:noProof/>
          <w:color w:val="EE0000"/>
          <w:sz w:val="20"/>
        </w:rPr>
        <w:drawing>
          <wp:inline distT="0" distB="0" distL="0" distR="0" wp14:anchorId="4D3932D0" wp14:editId="36718AF8">
            <wp:extent cx="6479540" cy="2987040"/>
            <wp:effectExtent l="0" t="0" r="0" b="3810"/>
            <wp:docPr id="645335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335676" name=""/>
                    <pic:cNvPicPr/>
                  </pic:nvPicPr>
                  <pic:blipFill>
                    <a:blip r:embed="rId8"/>
                    <a:stretch>
                      <a:fillRect/>
                    </a:stretch>
                  </pic:blipFill>
                  <pic:spPr>
                    <a:xfrm>
                      <a:off x="0" y="0"/>
                      <a:ext cx="6479540" cy="2987040"/>
                    </a:xfrm>
                    <a:prstGeom prst="rect">
                      <a:avLst/>
                    </a:prstGeom>
                  </pic:spPr>
                </pic:pic>
              </a:graphicData>
            </a:graphic>
          </wp:inline>
        </w:drawing>
      </w:r>
    </w:p>
    <w:p w14:paraId="1D76A7C5" w14:textId="5D175DC7" w:rsidR="005C1934" w:rsidRPr="007835A4" w:rsidRDefault="009E33F6" w:rsidP="005C1934">
      <w:pPr>
        <w:pStyle w:val="Normlnweb"/>
        <w:spacing w:before="0" w:beforeAutospacing="0" w:after="0" w:afterAutospacing="0"/>
        <w:jc w:val="both"/>
        <w:rPr>
          <w:rFonts w:ascii="Calibri" w:hAnsi="Calibri" w:cs="Calibri"/>
          <w:bCs/>
          <w:color w:val="13576B"/>
          <w:sz w:val="22"/>
          <w:szCs w:val="28"/>
        </w:rPr>
      </w:pPr>
      <w:r w:rsidRPr="003F762E">
        <w:rPr>
          <w:rFonts w:ascii="Calibri" w:hAnsi="Calibri" w:cs="Calibri"/>
          <w:b/>
          <w:color w:val="EE0000"/>
          <w:sz w:val="22"/>
          <w:szCs w:val="28"/>
        </w:rPr>
        <w:lastRenderedPageBreak/>
        <w:t>Anketa ČBA</w:t>
      </w:r>
      <w:r w:rsidRPr="003F762E">
        <w:rPr>
          <w:rFonts w:ascii="Calibri" w:hAnsi="Calibri" w:cs="Calibri"/>
          <w:b/>
          <w:color w:val="13576B"/>
          <w:sz w:val="22"/>
          <w:szCs w:val="28"/>
        </w:rPr>
        <w:t xml:space="preserve">: </w:t>
      </w:r>
      <w:r w:rsidR="009008CB" w:rsidRPr="003F762E">
        <w:rPr>
          <w:rFonts w:ascii="Calibri" w:hAnsi="Calibri" w:cs="Calibri"/>
          <w:b/>
          <w:color w:val="13576B"/>
          <w:sz w:val="22"/>
          <w:szCs w:val="28"/>
        </w:rPr>
        <w:t xml:space="preserve">Otevření </w:t>
      </w:r>
      <w:proofErr w:type="spellStart"/>
      <w:r w:rsidR="009008CB" w:rsidRPr="003F762E">
        <w:rPr>
          <w:rFonts w:ascii="Calibri" w:hAnsi="Calibri" w:cs="Calibri"/>
          <w:b/>
          <w:color w:val="13576B"/>
          <w:sz w:val="22"/>
          <w:szCs w:val="28"/>
        </w:rPr>
        <w:t>Hormuzského</w:t>
      </w:r>
      <w:proofErr w:type="spellEnd"/>
      <w:r w:rsidR="009008CB" w:rsidRPr="003F762E">
        <w:rPr>
          <w:rFonts w:ascii="Calibri" w:hAnsi="Calibri" w:cs="Calibri"/>
          <w:b/>
          <w:color w:val="13576B"/>
          <w:sz w:val="22"/>
          <w:szCs w:val="28"/>
        </w:rPr>
        <w:t xml:space="preserve"> průlivu. </w:t>
      </w:r>
      <w:r w:rsidR="009008CB" w:rsidRPr="003F762E">
        <w:rPr>
          <w:rFonts w:ascii="Calibri" w:hAnsi="Calibri" w:cs="Calibri"/>
          <w:bCs/>
          <w:color w:val="13576B"/>
          <w:sz w:val="22"/>
          <w:szCs w:val="28"/>
        </w:rPr>
        <w:t>V rámci ankety jsme se z</w:t>
      </w:r>
      <w:r w:rsidR="00332DA4">
        <w:rPr>
          <w:rFonts w:ascii="Calibri" w:hAnsi="Calibri" w:cs="Calibri"/>
          <w:bCs/>
          <w:color w:val="13576B"/>
          <w:sz w:val="22"/>
          <w:szCs w:val="28"/>
        </w:rPr>
        <w:t>eptali</w:t>
      </w:r>
      <w:r w:rsidR="009008CB" w:rsidRPr="003F762E">
        <w:rPr>
          <w:rFonts w:ascii="Calibri" w:hAnsi="Calibri" w:cs="Calibri"/>
          <w:bCs/>
          <w:color w:val="13576B"/>
          <w:sz w:val="22"/>
          <w:szCs w:val="28"/>
        </w:rPr>
        <w:t xml:space="preserve"> na druhý nejpravděpodobnější scénář</w:t>
      </w:r>
      <w:r w:rsidR="00332DA4">
        <w:rPr>
          <w:rFonts w:ascii="Calibri" w:hAnsi="Calibri" w:cs="Calibri"/>
          <w:bCs/>
          <w:color w:val="13576B"/>
          <w:sz w:val="22"/>
          <w:szCs w:val="28"/>
        </w:rPr>
        <w:t xml:space="preserve"> předpokládaného otevření </w:t>
      </w:r>
      <w:proofErr w:type="spellStart"/>
      <w:r w:rsidR="00332DA4">
        <w:rPr>
          <w:rFonts w:ascii="Calibri" w:hAnsi="Calibri" w:cs="Calibri"/>
          <w:bCs/>
          <w:color w:val="13576B"/>
          <w:sz w:val="22"/>
          <w:szCs w:val="28"/>
        </w:rPr>
        <w:t>Hormuzského</w:t>
      </w:r>
      <w:proofErr w:type="spellEnd"/>
      <w:r w:rsidR="00332DA4">
        <w:rPr>
          <w:rFonts w:ascii="Calibri" w:hAnsi="Calibri" w:cs="Calibri"/>
          <w:bCs/>
          <w:color w:val="13576B"/>
          <w:sz w:val="22"/>
          <w:szCs w:val="28"/>
        </w:rPr>
        <w:t xml:space="preserve"> průlivu. </w:t>
      </w:r>
      <w:r w:rsidR="00555B26" w:rsidRPr="007835A4">
        <w:rPr>
          <w:rFonts w:ascii="Calibri" w:hAnsi="Calibri" w:cs="Calibri"/>
          <w:bCs/>
          <w:color w:val="13576B"/>
          <w:sz w:val="22"/>
          <w:szCs w:val="28"/>
        </w:rPr>
        <w:t>V takovém scénáři p</w:t>
      </w:r>
      <w:r w:rsidR="00CB28AA" w:rsidRPr="007835A4">
        <w:rPr>
          <w:rFonts w:ascii="Calibri" w:hAnsi="Calibri" w:cs="Calibri"/>
          <w:bCs/>
          <w:color w:val="13576B"/>
          <w:sz w:val="22"/>
          <w:szCs w:val="28"/>
        </w:rPr>
        <w:t xml:space="preserve">rognostický panel </w:t>
      </w:r>
      <w:r w:rsidR="003C04E3" w:rsidRPr="007835A4">
        <w:rPr>
          <w:rFonts w:ascii="Calibri" w:hAnsi="Calibri" w:cs="Calibri"/>
          <w:bCs/>
          <w:color w:val="13576B"/>
          <w:sz w:val="22"/>
          <w:szCs w:val="28"/>
        </w:rPr>
        <w:t xml:space="preserve">v </w:t>
      </w:r>
      <w:r w:rsidR="009008CB" w:rsidRPr="007835A4">
        <w:rPr>
          <w:rFonts w:ascii="Calibri" w:hAnsi="Calibri" w:cs="Calibri"/>
          <w:bCs/>
          <w:color w:val="13576B"/>
          <w:sz w:val="22"/>
          <w:szCs w:val="28"/>
        </w:rPr>
        <w:t>průměru předpokládá otevření průlivu ve třetím letošním čtvrtletí</w:t>
      </w:r>
      <w:r w:rsidR="00057418" w:rsidRPr="007835A4">
        <w:rPr>
          <w:rFonts w:ascii="Calibri" w:hAnsi="Calibri" w:cs="Calibri"/>
          <w:bCs/>
          <w:color w:val="13576B"/>
          <w:sz w:val="22"/>
          <w:szCs w:val="28"/>
        </w:rPr>
        <w:t>, ale někteří čekají ještě pozdější otevření</w:t>
      </w:r>
      <w:r w:rsidR="009008CB" w:rsidRPr="007835A4">
        <w:rPr>
          <w:rFonts w:ascii="Calibri" w:hAnsi="Calibri" w:cs="Calibri"/>
          <w:bCs/>
          <w:color w:val="13576B"/>
          <w:sz w:val="22"/>
          <w:szCs w:val="28"/>
        </w:rPr>
        <w:t xml:space="preserve">, po </w:t>
      </w:r>
      <w:r w:rsidR="00563283" w:rsidRPr="007835A4">
        <w:rPr>
          <w:rFonts w:ascii="Calibri" w:hAnsi="Calibri" w:cs="Calibri"/>
          <w:bCs/>
          <w:color w:val="13576B"/>
          <w:sz w:val="22"/>
          <w:szCs w:val="28"/>
        </w:rPr>
        <w:t>nejpravděpodobnějším scénáři</w:t>
      </w:r>
      <w:r w:rsidR="009008CB" w:rsidRPr="007835A4">
        <w:rPr>
          <w:rFonts w:ascii="Calibri" w:hAnsi="Calibri" w:cs="Calibri"/>
          <w:bCs/>
          <w:color w:val="13576B"/>
          <w:sz w:val="22"/>
          <w:szCs w:val="28"/>
        </w:rPr>
        <w:t xml:space="preserve"> s otevřením ve druhém kvartále.</w:t>
      </w:r>
      <w:r w:rsidR="00BC20BD" w:rsidRPr="007835A4">
        <w:rPr>
          <w:rFonts w:ascii="Calibri" w:hAnsi="Calibri" w:cs="Calibri"/>
          <w:bCs/>
          <w:color w:val="13576B"/>
          <w:sz w:val="22"/>
          <w:szCs w:val="28"/>
        </w:rPr>
        <w:t xml:space="preserve"> V případě pozdějšího otevření </w:t>
      </w:r>
      <w:r w:rsidR="00555B26" w:rsidRPr="007835A4">
        <w:rPr>
          <w:rFonts w:ascii="Calibri" w:hAnsi="Calibri" w:cs="Calibri"/>
          <w:bCs/>
          <w:color w:val="13576B"/>
          <w:sz w:val="22"/>
          <w:szCs w:val="28"/>
        </w:rPr>
        <w:t>pak</w:t>
      </w:r>
      <w:r w:rsidR="00563283" w:rsidRPr="007835A4">
        <w:rPr>
          <w:rFonts w:ascii="Calibri" w:hAnsi="Calibri" w:cs="Calibri"/>
          <w:bCs/>
          <w:color w:val="13576B"/>
          <w:sz w:val="22"/>
          <w:szCs w:val="28"/>
        </w:rPr>
        <w:t xml:space="preserve"> </w:t>
      </w:r>
      <w:r w:rsidR="003C2522" w:rsidRPr="007835A4">
        <w:rPr>
          <w:rFonts w:ascii="Calibri" w:hAnsi="Calibri" w:cs="Calibri"/>
          <w:bCs/>
          <w:color w:val="13576B"/>
          <w:sz w:val="22"/>
          <w:szCs w:val="28"/>
        </w:rPr>
        <w:t>počítáme s</w:t>
      </w:r>
      <w:r w:rsidR="00BC20BD" w:rsidRPr="007835A4">
        <w:rPr>
          <w:rFonts w:ascii="Calibri" w:hAnsi="Calibri" w:cs="Calibri"/>
          <w:bCs/>
          <w:color w:val="13576B"/>
          <w:sz w:val="22"/>
          <w:szCs w:val="28"/>
        </w:rPr>
        <w:t> </w:t>
      </w:r>
      <w:r w:rsidR="00563283" w:rsidRPr="007835A4">
        <w:rPr>
          <w:rFonts w:ascii="Calibri" w:hAnsi="Calibri" w:cs="Calibri"/>
          <w:bCs/>
          <w:color w:val="13576B"/>
          <w:sz w:val="22"/>
          <w:szCs w:val="28"/>
        </w:rPr>
        <w:t>pomalejším růstem ekonomiky</w:t>
      </w:r>
      <w:r w:rsidR="00BC20BD" w:rsidRPr="007835A4">
        <w:rPr>
          <w:rFonts w:ascii="Calibri" w:hAnsi="Calibri" w:cs="Calibri"/>
          <w:bCs/>
          <w:color w:val="13576B"/>
          <w:sz w:val="22"/>
          <w:szCs w:val="28"/>
        </w:rPr>
        <w:t xml:space="preserve"> </w:t>
      </w:r>
      <w:r w:rsidR="00057418" w:rsidRPr="007835A4">
        <w:rPr>
          <w:rFonts w:ascii="Calibri" w:hAnsi="Calibri" w:cs="Calibri"/>
          <w:bCs/>
          <w:color w:val="13576B"/>
          <w:sz w:val="22"/>
          <w:szCs w:val="28"/>
        </w:rPr>
        <w:t>o 1,</w:t>
      </w:r>
      <w:r w:rsidR="00555B26" w:rsidRPr="007835A4">
        <w:rPr>
          <w:rFonts w:ascii="Calibri" w:hAnsi="Calibri" w:cs="Calibri"/>
          <w:bCs/>
          <w:color w:val="13576B"/>
          <w:sz w:val="22"/>
          <w:szCs w:val="28"/>
        </w:rPr>
        <w:t xml:space="preserve">6 </w:t>
      </w:r>
      <w:r w:rsidR="00057418" w:rsidRPr="007835A4">
        <w:rPr>
          <w:rFonts w:ascii="Calibri" w:hAnsi="Calibri" w:cs="Calibri"/>
          <w:bCs/>
          <w:color w:val="13576B"/>
          <w:sz w:val="22"/>
          <w:szCs w:val="28"/>
        </w:rPr>
        <w:t xml:space="preserve">% letos a 2 % v příštím roce </w:t>
      </w:r>
      <w:r w:rsidR="00BC20BD" w:rsidRPr="007835A4">
        <w:rPr>
          <w:rFonts w:ascii="Calibri" w:hAnsi="Calibri" w:cs="Calibri"/>
          <w:bCs/>
          <w:color w:val="13576B"/>
          <w:sz w:val="22"/>
          <w:szCs w:val="28"/>
        </w:rPr>
        <w:t xml:space="preserve">a </w:t>
      </w:r>
      <w:r w:rsidR="00563283" w:rsidRPr="007835A4">
        <w:rPr>
          <w:rFonts w:ascii="Calibri" w:hAnsi="Calibri" w:cs="Calibri"/>
          <w:bCs/>
          <w:color w:val="13576B"/>
          <w:sz w:val="22"/>
          <w:szCs w:val="28"/>
        </w:rPr>
        <w:t xml:space="preserve">rychlejším růstem inflace </w:t>
      </w:r>
      <w:r w:rsidR="00057418" w:rsidRPr="007835A4">
        <w:rPr>
          <w:rFonts w:ascii="Calibri" w:hAnsi="Calibri" w:cs="Calibri"/>
          <w:bCs/>
          <w:color w:val="13576B"/>
          <w:sz w:val="22"/>
          <w:szCs w:val="28"/>
        </w:rPr>
        <w:t>o 2,6 % a 3,</w:t>
      </w:r>
      <w:r w:rsidR="00555B26" w:rsidRPr="007835A4">
        <w:rPr>
          <w:rFonts w:ascii="Calibri" w:hAnsi="Calibri" w:cs="Calibri"/>
          <w:bCs/>
          <w:color w:val="13576B"/>
          <w:sz w:val="22"/>
          <w:szCs w:val="28"/>
        </w:rPr>
        <w:t>3</w:t>
      </w:r>
      <w:r w:rsidR="00057418" w:rsidRPr="007835A4">
        <w:rPr>
          <w:rFonts w:ascii="Calibri" w:hAnsi="Calibri" w:cs="Calibri"/>
          <w:bCs/>
          <w:color w:val="13576B"/>
          <w:sz w:val="22"/>
          <w:szCs w:val="28"/>
        </w:rPr>
        <w:t xml:space="preserve"> %</w:t>
      </w:r>
      <w:r w:rsidR="00BC20BD" w:rsidRPr="007835A4">
        <w:rPr>
          <w:rFonts w:ascii="Calibri" w:hAnsi="Calibri" w:cs="Calibri"/>
          <w:bCs/>
          <w:color w:val="13576B"/>
          <w:sz w:val="22"/>
          <w:szCs w:val="28"/>
        </w:rPr>
        <w:t xml:space="preserve">. Ovšem v případě alternativního scénáře při zvýšení úrokové sazby ČNB na 3,75 % v letošním roce. </w:t>
      </w:r>
    </w:p>
    <w:p w14:paraId="141B36FB" w14:textId="77777777" w:rsidR="005C1934" w:rsidRPr="007835A4" w:rsidRDefault="005C1934" w:rsidP="005C1934">
      <w:pPr>
        <w:pStyle w:val="Normlnweb"/>
        <w:spacing w:before="0" w:beforeAutospacing="0" w:after="0" w:afterAutospacing="0"/>
        <w:jc w:val="both"/>
        <w:rPr>
          <w:rFonts w:ascii="Calibri" w:hAnsi="Calibri" w:cs="Calibri"/>
          <w:bCs/>
          <w:color w:val="13576B"/>
          <w:sz w:val="22"/>
          <w:szCs w:val="28"/>
        </w:rPr>
      </w:pPr>
    </w:p>
    <w:p w14:paraId="60BC1BBE" w14:textId="3697F53D" w:rsidR="00057418" w:rsidRPr="00BB2866" w:rsidRDefault="00057418" w:rsidP="005C1934">
      <w:pPr>
        <w:pStyle w:val="Normlnweb"/>
        <w:spacing w:before="0" w:beforeAutospacing="0" w:after="0" w:afterAutospacing="0"/>
        <w:jc w:val="both"/>
        <w:rPr>
          <w:rFonts w:ascii="Calibri" w:hAnsi="Calibri" w:cs="Calibri"/>
          <w:bCs/>
          <w:color w:val="13576B"/>
          <w:sz w:val="22"/>
          <w:szCs w:val="28"/>
        </w:rPr>
      </w:pPr>
      <w:r w:rsidRPr="007835A4">
        <w:rPr>
          <w:rFonts w:ascii="Calibri" w:hAnsi="Calibri" w:cs="Calibri"/>
          <w:bCs/>
          <w:color w:val="13576B"/>
          <w:sz w:val="22"/>
          <w:szCs w:val="28"/>
        </w:rPr>
        <w:t xml:space="preserve">Tento scénář předpokládá průměrnou cenu ropy poblíž 98 USD za barel letos a </w:t>
      </w:r>
      <w:r w:rsidR="00555B26" w:rsidRPr="007835A4">
        <w:rPr>
          <w:rFonts w:ascii="Calibri" w:hAnsi="Calibri" w:cs="Calibri"/>
          <w:bCs/>
          <w:color w:val="13576B"/>
          <w:sz w:val="22"/>
          <w:szCs w:val="28"/>
        </w:rPr>
        <w:t>85</w:t>
      </w:r>
      <w:r w:rsidRPr="007835A4">
        <w:rPr>
          <w:rFonts w:ascii="Calibri" w:hAnsi="Calibri" w:cs="Calibri"/>
          <w:bCs/>
          <w:color w:val="13576B"/>
          <w:sz w:val="22"/>
          <w:szCs w:val="28"/>
        </w:rPr>
        <w:t xml:space="preserve"> USD v příštím roce</w:t>
      </w:r>
      <w:r w:rsidR="005C1934">
        <w:rPr>
          <w:rFonts w:ascii="Calibri" w:hAnsi="Calibri" w:cs="Calibri"/>
          <w:bCs/>
          <w:color w:val="13576B"/>
          <w:sz w:val="22"/>
          <w:szCs w:val="28"/>
        </w:rPr>
        <w:t xml:space="preserve">. Naopak </w:t>
      </w:r>
      <w:r w:rsidRPr="00F45B3E">
        <w:rPr>
          <w:b/>
          <w:bCs/>
          <w:noProof/>
          <w:color w:val="EE0000"/>
          <w:sz w:val="20"/>
        </w:rPr>
        <mc:AlternateContent>
          <mc:Choice Requires="wps">
            <w:drawing>
              <wp:anchor distT="45720" distB="45720" distL="114300" distR="114300" simplePos="0" relativeHeight="251673600" behindDoc="0" locked="0" layoutInCell="1" allowOverlap="1" wp14:anchorId="4E09D437" wp14:editId="68222840">
                <wp:simplePos x="0" y="0"/>
                <wp:positionH relativeFrom="margin">
                  <wp:posOffset>2540</wp:posOffset>
                </wp:positionH>
                <wp:positionV relativeFrom="paragraph">
                  <wp:posOffset>822960</wp:posOffset>
                </wp:positionV>
                <wp:extent cx="6461760" cy="1028700"/>
                <wp:effectExtent l="0" t="0" r="15240" b="19050"/>
                <wp:wrapSquare wrapText="bothSides"/>
                <wp:docPr id="734092044"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1028700"/>
                        </a:xfrm>
                        <a:prstGeom prst="rect">
                          <a:avLst/>
                        </a:prstGeom>
                        <a:solidFill>
                          <a:srgbClr val="FFFFFF"/>
                        </a:solidFill>
                        <a:ln w="9525">
                          <a:solidFill>
                            <a:srgbClr val="000000"/>
                          </a:solidFill>
                          <a:miter lim="800000"/>
                          <a:headEnd/>
                          <a:tailEnd/>
                        </a:ln>
                      </wps:spPr>
                      <wps:txbx>
                        <w:txbxContent>
                          <w:p w14:paraId="65F9BA24" w14:textId="77777777" w:rsidR="00057418" w:rsidRDefault="00057418" w:rsidP="00057418">
                            <w:pPr>
                              <w:rPr>
                                <w:rFonts w:ascii="Calibri" w:hAnsi="Calibri" w:cs="Calibri"/>
                                <w:b/>
                                <w:bCs/>
                                <w:sz w:val="20"/>
                              </w:rPr>
                            </w:pPr>
                            <w:r>
                              <w:rPr>
                                <w:rFonts w:ascii="Calibri" w:hAnsi="Calibri" w:cs="Calibri"/>
                                <w:b/>
                                <w:bCs/>
                                <w:sz w:val="20"/>
                              </w:rPr>
                              <w:t>Helena Horská</w:t>
                            </w:r>
                            <w:r w:rsidRPr="00222AA1">
                              <w:rPr>
                                <w:rFonts w:ascii="Calibri" w:hAnsi="Calibri" w:cs="Calibri"/>
                                <w:b/>
                                <w:bCs/>
                                <w:sz w:val="20"/>
                              </w:rPr>
                              <w:t xml:space="preserve">, </w:t>
                            </w:r>
                            <w:r>
                              <w:rPr>
                                <w:rFonts w:ascii="Calibri" w:hAnsi="Calibri" w:cs="Calibri"/>
                                <w:b/>
                                <w:bCs/>
                                <w:sz w:val="20"/>
                              </w:rPr>
                              <w:t>h</w:t>
                            </w:r>
                            <w:r w:rsidRPr="008D7067">
                              <w:rPr>
                                <w:rFonts w:ascii="Calibri" w:hAnsi="Calibri" w:cs="Calibri"/>
                                <w:b/>
                                <w:bCs/>
                                <w:sz w:val="20"/>
                              </w:rPr>
                              <w:t>lavní ekonomka</w:t>
                            </w:r>
                            <w:r>
                              <w:rPr>
                                <w:rFonts w:ascii="Calibri" w:hAnsi="Calibri" w:cs="Calibri"/>
                                <w:b/>
                                <w:bCs/>
                                <w:sz w:val="20"/>
                              </w:rPr>
                              <w:t xml:space="preserve"> </w:t>
                            </w:r>
                            <w:r w:rsidRPr="008D7067">
                              <w:rPr>
                                <w:rFonts w:ascii="Calibri" w:hAnsi="Calibri" w:cs="Calibri"/>
                                <w:b/>
                                <w:bCs/>
                                <w:sz w:val="20"/>
                              </w:rPr>
                              <w:t>Raiffeisenbank</w:t>
                            </w:r>
                            <w:r>
                              <w:rPr>
                                <w:rFonts w:ascii="Calibri" w:hAnsi="Calibri" w:cs="Calibri"/>
                                <w:b/>
                                <w:bCs/>
                                <w:sz w:val="20"/>
                              </w:rPr>
                              <w:t xml:space="preserve">:  </w:t>
                            </w:r>
                          </w:p>
                          <w:p w14:paraId="3866F46F" w14:textId="77777777" w:rsidR="00057418" w:rsidRPr="0035275E" w:rsidRDefault="00057418" w:rsidP="00057418">
                            <w:pPr>
                              <w:rPr>
                                <w:rFonts w:ascii="Calibri" w:hAnsi="Calibri" w:cs="Calibri"/>
                                <w:i/>
                                <w:iCs/>
                                <w:color w:val="000000" w:themeColor="text1"/>
                                <w:sz w:val="20"/>
                              </w:rPr>
                            </w:pPr>
                            <w:r w:rsidRPr="001764B6">
                              <w:rPr>
                                <w:rFonts w:ascii="Calibri" w:hAnsi="Calibri" w:cs="Calibri"/>
                                <w:i/>
                                <w:iCs/>
                                <w:color w:val="000000" w:themeColor="text1"/>
                                <w:sz w:val="20"/>
                              </w:rPr>
                              <w:t>„Největší hrozbou dnes není samotná drahá ropa. Pokud konflikt na Blízkém východě zamrzne, svět se může velmi rychle posunout od cenového šoku k akutnímu surovinovému. Ve chvíli, kdy ekonomika nebude čelit jen vysokým cenám a rostoucím inflačním očekáváním, ale také prázdným skladům strategických surovin, výroba se zastaví a inflace se bleskově přelije z průmyslu do cen potravin a běžných služeb. Největším rizikem je ale panika – faktor, který už mnohokrát v historii dokázal ochromit celou ekonomiku, od investic přes obchod až po spotřebu.</w:t>
                            </w:r>
                            <w:r w:rsidRPr="00A1698B">
                              <w:rPr>
                                <w:rFonts w:ascii="Calibri" w:hAnsi="Calibri" w:cs="Calibri"/>
                                <w:i/>
                                <w:iCs/>
                                <w:color w:val="000000" w:themeColor="text1"/>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09D437" id="_x0000_t202" coordsize="21600,21600" o:spt="202" path="m,l,21600r21600,l21600,xe">
                <v:stroke joinstyle="miter"/>
                <v:path gradientshapeok="t" o:connecttype="rect"/>
              </v:shapetype>
              <v:shape id="Textové pole 6" o:spid="_x0000_s1026" type="#_x0000_t202" style="position:absolute;left:0;text-align:left;margin-left:.2pt;margin-top:64.8pt;width:508.8pt;height:81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">
                <v:textbox>
                  <w:txbxContent>
                    <w:p w14:paraId="65F9BA24" w14:textId="77777777" w:rsidR="00057418" w:rsidRDefault="00057418" w:rsidP="00057418">
                      <w:pPr>
                        <w:rPr>
                          <w:rFonts w:ascii="Calibri" w:hAnsi="Calibri" w:cs="Calibri"/>
                          <w:b/>
                          <w:bCs/>
                          <w:sz w:val="20"/>
                        </w:rPr>
                      </w:pPr>
                      <w:r>
                        <w:rPr>
                          <w:rFonts w:ascii="Calibri" w:hAnsi="Calibri" w:cs="Calibri"/>
                          <w:b/>
                          <w:bCs/>
                          <w:sz w:val="20"/>
                        </w:rPr>
                        <w:t>Helena Horská</w:t>
                      </w:r>
                      <w:r w:rsidRPr="00222AA1">
                        <w:rPr>
                          <w:rFonts w:ascii="Calibri" w:hAnsi="Calibri" w:cs="Calibri"/>
                          <w:b/>
                          <w:bCs/>
                          <w:sz w:val="20"/>
                        </w:rPr>
                        <w:t xml:space="preserve">, </w:t>
                      </w:r>
                      <w:r>
                        <w:rPr>
                          <w:rFonts w:ascii="Calibri" w:hAnsi="Calibri" w:cs="Calibri"/>
                          <w:b/>
                          <w:bCs/>
                          <w:sz w:val="20"/>
                        </w:rPr>
                        <w:t>h</w:t>
                      </w:r>
                      <w:r w:rsidRPr="008D7067">
                        <w:rPr>
                          <w:rFonts w:ascii="Calibri" w:hAnsi="Calibri" w:cs="Calibri"/>
                          <w:b/>
                          <w:bCs/>
                          <w:sz w:val="20"/>
                        </w:rPr>
                        <w:t>lavní ekonomka</w:t>
                      </w:r>
                      <w:r>
                        <w:rPr>
                          <w:rFonts w:ascii="Calibri" w:hAnsi="Calibri" w:cs="Calibri"/>
                          <w:b/>
                          <w:bCs/>
                          <w:sz w:val="20"/>
                        </w:rPr>
                        <w:t xml:space="preserve"> </w:t>
                      </w:r>
                      <w:r w:rsidRPr="008D7067">
                        <w:rPr>
                          <w:rFonts w:ascii="Calibri" w:hAnsi="Calibri" w:cs="Calibri"/>
                          <w:b/>
                          <w:bCs/>
                          <w:sz w:val="20"/>
                        </w:rPr>
                        <w:t>Raiffeisenbank</w:t>
                      </w:r>
                      <w:r>
                        <w:rPr>
                          <w:rFonts w:ascii="Calibri" w:hAnsi="Calibri" w:cs="Calibri"/>
                          <w:b/>
                          <w:bCs/>
                          <w:sz w:val="20"/>
                        </w:rPr>
                        <w:t xml:space="preserve">:  </w:t>
                      </w:r>
                    </w:p>
                    <w:p w14:paraId="3866F46F" w14:textId="77777777" w:rsidR="00057418" w:rsidRPr="0035275E" w:rsidRDefault="00057418" w:rsidP="00057418">
                      <w:pPr>
                        <w:rPr>
                          <w:rFonts w:ascii="Calibri" w:hAnsi="Calibri" w:cs="Calibri"/>
                          <w:i/>
                          <w:iCs/>
                          <w:color w:val="000000" w:themeColor="text1"/>
                          <w:sz w:val="20"/>
                        </w:rPr>
                      </w:pPr>
                      <w:r w:rsidRPr="001764B6">
                        <w:rPr>
                          <w:rFonts w:ascii="Calibri" w:hAnsi="Calibri" w:cs="Calibri"/>
                          <w:i/>
                          <w:iCs/>
                          <w:color w:val="000000" w:themeColor="text1"/>
                          <w:sz w:val="20"/>
                        </w:rPr>
                        <w:t>„Největší hrozbou dnes není samotná drahá ropa. Pokud konflikt na Blízkém východě zamrzne, svět se může velmi rychle posunout od cenového šoku k akutnímu surovinovému. Ve chvíli, kdy ekonomika nebude čelit jen vysokým cenám a rostoucím inflačním očekáváním, ale také prázdným skladům strategických surovin, výroba se zastaví a inflace se bleskově přelije z průmyslu do cen potravin a běžných služeb. Největším rizikem je ale panika – faktor, který už mnohokrát v historii dokázal ochromit celou ekonomiku, od investic přes obchod až po spotřebu.</w:t>
                      </w:r>
                      <w:r w:rsidRPr="00A1698B">
                        <w:rPr>
                          <w:rFonts w:ascii="Calibri" w:hAnsi="Calibri" w:cs="Calibri"/>
                          <w:i/>
                          <w:iCs/>
                          <w:color w:val="000000" w:themeColor="text1"/>
                          <w:sz w:val="20"/>
                        </w:rPr>
                        <w:t>“</w:t>
                      </w:r>
                    </w:p>
                  </w:txbxContent>
                </v:textbox>
                <w10:wrap type="square" anchorx="margin"/>
              </v:shape>
            </w:pict>
          </mc:Fallback>
        </mc:AlternateContent>
      </w:r>
      <w:r w:rsidR="005C1934">
        <w:rPr>
          <w:rFonts w:ascii="Calibri" w:hAnsi="Calibri" w:cs="Calibri"/>
          <w:bCs/>
          <w:color w:val="13576B"/>
          <w:sz w:val="22"/>
          <w:szCs w:val="28"/>
        </w:rPr>
        <w:t>z</w:t>
      </w:r>
      <w:r w:rsidRPr="00BB2866">
        <w:rPr>
          <w:rFonts w:ascii="Calibri" w:hAnsi="Calibri" w:cs="Calibri"/>
          <w:bCs/>
          <w:color w:val="13576B"/>
          <w:sz w:val="22"/>
          <w:szCs w:val="28"/>
        </w:rPr>
        <w:t>ákladní scénář, který sdílí většina panelu, pracuje s průměrnou cenou ropy Brent poblíž 89 USD za barel v letošním roce</w:t>
      </w:r>
      <w:r>
        <w:rPr>
          <w:rFonts w:ascii="Calibri" w:hAnsi="Calibri" w:cs="Calibri"/>
          <w:bCs/>
          <w:color w:val="13576B"/>
          <w:sz w:val="22"/>
          <w:szCs w:val="28"/>
        </w:rPr>
        <w:t>, což je o 25 dolarů výše než v únoru,</w:t>
      </w:r>
      <w:r w:rsidRPr="00BB2866">
        <w:rPr>
          <w:rFonts w:ascii="Calibri" w:hAnsi="Calibri" w:cs="Calibri"/>
          <w:bCs/>
          <w:color w:val="13576B"/>
          <w:sz w:val="22"/>
          <w:szCs w:val="28"/>
        </w:rPr>
        <w:t xml:space="preserve"> a </w:t>
      </w:r>
      <w:r w:rsidR="005C1934">
        <w:rPr>
          <w:rFonts w:ascii="Calibri" w:hAnsi="Calibri" w:cs="Calibri"/>
          <w:bCs/>
          <w:color w:val="13576B"/>
          <w:sz w:val="22"/>
          <w:szCs w:val="28"/>
        </w:rPr>
        <w:t xml:space="preserve">s </w:t>
      </w:r>
      <w:r w:rsidRPr="00BB2866">
        <w:rPr>
          <w:rFonts w:ascii="Calibri" w:hAnsi="Calibri" w:cs="Calibri"/>
          <w:bCs/>
          <w:color w:val="13576B"/>
          <w:sz w:val="22"/>
          <w:szCs w:val="28"/>
        </w:rPr>
        <w:t xml:space="preserve">jejím poklesem směrem k 75 USD v roce 2027. </w:t>
      </w:r>
    </w:p>
    <w:p w14:paraId="6B023074" w14:textId="1807128C" w:rsidR="00057418" w:rsidRDefault="00057418" w:rsidP="00057418">
      <w:pPr>
        <w:spacing w:after="120"/>
        <w:rPr>
          <w:rFonts w:ascii="Calibri" w:eastAsia="Calibri" w:hAnsi="Calibri" w:cs="Calibri"/>
          <w:b/>
          <w:color w:val="13576B"/>
          <w:sz w:val="22"/>
          <w:szCs w:val="28"/>
        </w:rPr>
      </w:pPr>
    </w:p>
    <w:p w14:paraId="7977131E" w14:textId="77777777" w:rsidR="004C5920" w:rsidRDefault="004C5920" w:rsidP="00057418">
      <w:pPr>
        <w:spacing w:after="120"/>
        <w:rPr>
          <w:rFonts w:ascii="Calibri" w:eastAsia="Calibri" w:hAnsi="Calibri" w:cs="Calibri"/>
          <w:b/>
          <w:color w:val="13576B"/>
          <w:sz w:val="22"/>
          <w:szCs w:val="28"/>
        </w:rPr>
      </w:pPr>
    </w:p>
    <w:p w14:paraId="7E9F7B9E" w14:textId="33E08595" w:rsidR="004C5920" w:rsidRDefault="004C5920" w:rsidP="00057418">
      <w:pPr>
        <w:spacing w:after="120"/>
        <w:rPr>
          <w:rFonts w:ascii="Calibri" w:eastAsia="Calibri" w:hAnsi="Calibri" w:cs="Calibri"/>
          <w:b/>
          <w:color w:val="13576B"/>
          <w:sz w:val="22"/>
          <w:szCs w:val="28"/>
        </w:rPr>
      </w:pPr>
      <w:r>
        <w:rPr>
          <w:rFonts w:ascii="Calibri" w:eastAsia="Calibri" w:hAnsi="Calibri" w:cs="Calibri"/>
          <w:b/>
          <w:noProof/>
          <w:color w:val="13576B"/>
          <w:sz w:val="22"/>
          <w:szCs w:val="28"/>
        </w:rPr>
        <w:drawing>
          <wp:inline distT="0" distB="0" distL="0" distR="0" wp14:anchorId="58702301" wp14:editId="25407586">
            <wp:extent cx="3886200" cy="2644130"/>
            <wp:effectExtent l="0" t="0" r="0" b="4445"/>
            <wp:docPr id="3771934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0093" cy="2646779"/>
                    </a:xfrm>
                    <a:prstGeom prst="rect">
                      <a:avLst/>
                    </a:prstGeom>
                    <a:noFill/>
                  </pic:spPr>
                </pic:pic>
              </a:graphicData>
            </a:graphic>
          </wp:inline>
        </w:drawing>
      </w:r>
    </w:p>
    <w:p w14:paraId="47ABA8A9" w14:textId="68256BA5" w:rsidR="00057418" w:rsidRPr="007B70F3" w:rsidRDefault="00057418" w:rsidP="00057418">
      <w:pPr>
        <w:spacing w:after="120"/>
        <w:rPr>
          <w:rFonts w:ascii="Calibri" w:eastAsia="Calibri" w:hAnsi="Calibri" w:cs="Calibri"/>
          <w:b/>
          <w:color w:val="13576B"/>
          <w:sz w:val="22"/>
          <w:szCs w:val="28"/>
        </w:rPr>
      </w:pPr>
      <w:r w:rsidRPr="007B70F3">
        <w:rPr>
          <w:rFonts w:ascii="Calibri" w:eastAsia="Calibri" w:hAnsi="Calibri" w:cs="Calibri"/>
          <w:b/>
          <w:color w:val="13576B"/>
          <w:sz w:val="22"/>
          <w:szCs w:val="28"/>
        </w:rPr>
        <w:t>Klíčov</w:t>
      </w:r>
      <w:r>
        <w:rPr>
          <w:rFonts w:ascii="Calibri" w:eastAsia="Calibri" w:hAnsi="Calibri" w:cs="Calibri"/>
          <w:b/>
          <w:color w:val="13576B"/>
          <w:sz w:val="22"/>
          <w:szCs w:val="28"/>
        </w:rPr>
        <w:t>á rizika a nejistoty zhoršené</w:t>
      </w:r>
      <w:r w:rsidRPr="007B70F3">
        <w:rPr>
          <w:rFonts w:ascii="Calibri" w:eastAsia="Calibri" w:hAnsi="Calibri" w:cs="Calibri"/>
          <w:b/>
          <w:color w:val="13576B"/>
          <w:sz w:val="22"/>
          <w:szCs w:val="28"/>
        </w:rPr>
        <w:t xml:space="preserve"> Prognózy ČBA</w:t>
      </w:r>
    </w:p>
    <w:p w14:paraId="1F724259" w14:textId="77777777" w:rsidR="00057418" w:rsidRDefault="00057418" w:rsidP="00057418">
      <w:pPr>
        <w:pStyle w:val="Normlnweb"/>
        <w:numPr>
          <w:ilvl w:val="0"/>
          <w:numId w:val="14"/>
        </w:numPr>
        <w:spacing w:before="0" w:beforeAutospacing="0" w:after="120" w:afterAutospacing="0"/>
        <w:jc w:val="both"/>
        <w:rPr>
          <w:rFonts w:ascii="Calibri" w:hAnsi="Calibri" w:cs="Calibri"/>
          <w:bCs/>
          <w:color w:val="000000" w:themeColor="text1"/>
          <w:sz w:val="20"/>
        </w:rPr>
      </w:pPr>
      <w:r>
        <w:rPr>
          <w:rFonts w:ascii="Calibri" w:hAnsi="Calibri" w:cs="Calibri"/>
          <w:b/>
          <w:color w:val="000000" w:themeColor="text1"/>
          <w:sz w:val="20"/>
        </w:rPr>
        <w:t xml:space="preserve">Kvalitativní nejistota </w:t>
      </w:r>
      <w:r w:rsidRPr="003F762E">
        <w:rPr>
          <w:rFonts w:ascii="Calibri" w:hAnsi="Calibri" w:cs="Calibri"/>
          <w:b/>
          <w:color w:val="000000" w:themeColor="text1"/>
          <w:sz w:val="20"/>
        </w:rPr>
        <w:t xml:space="preserve">prognózy: otevření </w:t>
      </w:r>
      <w:proofErr w:type="spellStart"/>
      <w:r w:rsidRPr="003F762E">
        <w:rPr>
          <w:rFonts w:ascii="Calibri" w:hAnsi="Calibri" w:cs="Calibri"/>
          <w:b/>
          <w:color w:val="000000" w:themeColor="text1"/>
          <w:sz w:val="20"/>
        </w:rPr>
        <w:t>Hormuzského</w:t>
      </w:r>
      <w:proofErr w:type="spellEnd"/>
      <w:r w:rsidRPr="003F762E">
        <w:rPr>
          <w:rFonts w:ascii="Calibri" w:hAnsi="Calibri" w:cs="Calibri"/>
          <w:b/>
          <w:color w:val="000000" w:themeColor="text1"/>
          <w:sz w:val="20"/>
        </w:rPr>
        <w:t xml:space="preserve"> průlivu</w:t>
      </w:r>
      <w:r w:rsidRPr="003F762E">
        <w:rPr>
          <w:rFonts w:ascii="Calibri" w:hAnsi="Calibri" w:cs="Calibri"/>
          <w:bCs/>
          <w:color w:val="000000" w:themeColor="text1"/>
          <w:sz w:val="20"/>
        </w:rPr>
        <w:t xml:space="preserve"> – Tato nejistota je spojená s potenciálem dalšího zhoršení i méně příznivého alternativního scénáře z ankety, který počítá s jeho otevřením průlivu ve třetím čtvrtletí. Nejistota spočívá v nyní nekvantifikovatelném</w:t>
      </w:r>
      <w:r>
        <w:rPr>
          <w:rFonts w:ascii="Calibri" w:hAnsi="Calibri" w:cs="Calibri"/>
          <w:bCs/>
          <w:color w:val="000000" w:themeColor="text1"/>
          <w:sz w:val="20"/>
        </w:rPr>
        <w:t xml:space="preserve"> riziku dopadu pozdějšího obnovení dodávek surovin z Perského zálivu s výraznějším narušením globálních dodavatelských řetězců. </w:t>
      </w:r>
    </w:p>
    <w:p w14:paraId="7D6819D5" w14:textId="567584F7" w:rsidR="00057418" w:rsidRDefault="00057418" w:rsidP="00057418">
      <w:pPr>
        <w:pStyle w:val="Normlnweb"/>
        <w:numPr>
          <w:ilvl w:val="0"/>
          <w:numId w:val="14"/>
        </w:numPr>
        <w:spacing w:before="0" w:beforeAutospacing="0" w:after="120" w:afterAutospacing="0"/>
        <w:jc w:val="both"/>
        <w:rPr>
          <w:rFonts w:ascii="Calibri" w:hAnsi="Calibri" w:cs="Calibri"/>
          <w:b/>
          <w:color w:val="000000" w:themeColor="text1"/>
          <w:sz w:val="20"/>
        </w:rPr>
      </w:pPr>
      <w:r>
        <w:rPr>
          <w:rFonts w:ascii="Calibri" w:hAnsi="Calibri" w:cs="Calibri"/>
          <w:b/>
          <w:color w:val="000000" w:themeColor="text1"/>
          <w:sz w:val="20"/>
        </w:rPr>
        <w:t xml:space="preserve">Riziko přísnější měnové politiky </w:t>
      </w:r>
      <w:r w:rsidRPr="001E5D51">
        <w:rPr>
          <w:rFonts w:ascii="Calibri" w:hAnsi="Calibri" w:cs="Calibri"/>
          <w:bCs/>
          <w:color w:val="000000" w:themeColor="text1"/>
          <w:sz w:val="20"/>
        </w:rPr>
        <w:t>–</w:t>
      </w:r>
      <w:r>
        <w:rPr>
          <w:rFonts w:ascii="Calibri" w:hAnsi="Calibri" w:cs="Calibri"/>
          <w:bCs/>
          <w:color w:val="000000" w:themeColor="text1"/>
          <w:sz w:val="20"/>
        </w:rPr>
        <w:t xml:space="preserve"> Již v základním scénáři je panel v podstatě rozdělen mezi ponecháním úrokové sazby ČNB na 3,5 % a jejím zvýšením v letošním roce na 3,75 % či 4 %. Tento alternativní pohled pouze částečně odráží druhý nejpravděpodobnější scénář pozdějšího otevření </w:t>
      </w:r>
      <w:proofErr w:type="spellStart"/>
      <w:r>
        <w:rPr>
          <w:rFonts w:ascii="Calibri" w:hAnsi="Calibri" w:cs="Calibri"/>
          <w:bCs/>
          <w:color w:val="000000" w:themeColor="text1"/>
          <w:sz w:val="20"/>
        </w:rPr>
        <w:t>Hormuzského</w:t>
      </w:r>
      <w:proofErr w:type="spellEnd"/>
      <w:r>
        <w:rPr>
          <w:rFonts w:ascii="Calibri" w:hAnsi="Calibri" w:cs="Calibri"/>
          <w:bCs/>
          <w:color w:val="000000" w:themeColor="text1"/>
          <w:sz w:val="20"/>
        </w:rPr>
        <w:t xml:space="preserve"> průlivu. Kromě tohoto faktoru se zde promítá vyšší výhled na jádrovou inflaci</w:t>
      </w:r>
      <w:r w:rsidR="00555B26">
        <w:rPr>
          <w:rFonts w:ascii="Calibri" w:hAnsi="Calibri" w:cs="Calibri"/>
          <w:bCs/>
          <w:color w:val="000000" w:themeColor="text1"/>
          <w:sz w:val="20"/>
        </w:rPr>
        <w:t xml:space="preserve"> (2,6 % v roce 2027)</w:t>
      </w:r>
      <w:r>
        <w:rPr>
          <w:rFonts w:ascii="Calibri" w:hAnsi="Calibri" w:cs="Calibri"/>
          <w:bCs/>
          <w:color w:val="000000" w:themeColor="text1"/>
          <w:sz w:val="20"/>
        </w:rPr>
        <w:t xml:space="preserve">, jakož i dlouhodobá globální proinflační rizika, ale i vyšší úroková sazba ECB, která se v našem výhledu pouze částečně propisuje do slabší koruny. Toto riziko se ve výhledu reflektuje v očekávaných mírně vyšších dlouhodobých výnosech v ekonomice, s čímž souvisí i následující faktor. </w:t>
      </w:r>
    </w:p>
    <w:p w14:paraId="1DB407DA" w14:textId="265FD9D6" w:rsidR="00057418" w:rsidRPr="001764B6" w:rsidRDefault="005C1934" w:rsidP="00057418">
      <w:pPr>
        <w:pStyle w:val="Normlnweb"/>
        <w:numPr>
          <w:ilvl w:val="0"/>
          <w:numId w:val="14"/>
        </w:numPr>
        <w:spacing w:before="0" w:beforeAutospacing="0" w:after="120" w:afterAutospacing="0"/>
        <w:jc w:val="both"/>
        <w:rPr>
          <w:rFonts w:ascii="Calibri" w:hAnsi="Calibri" w:cs="Calibri"/>
          <w:b/>
          <w:color w:val="000000" w:themeColor="text1"/>
          <w:sz w:val="20"/>
        </w:rPr>
      </w:pPr>
      <w:r w:rsidRPr="00BB764D">
        <w:rPr>
          <w:b/>
          <w:bCs/>
          <w:noProof/>
          <w:color w:val="EE0000"/>
          <w:sz w:val="20"/>
        </w:rPr>
        <w:lastRenderedPageBreak/>
        <mc:AlternateContent>
          <mc:Choice Requires="wps">
            <w:drawing>
              <wp:anchor distT="45720" distB="45720" distL="114300" distR="114300" simplePos="0" relativeHeight="251671552" behindDoc="0" locked="0" layoutInCell="1" allowOverlap="1" wp14:anchorId="1E9B9E01" wp14:editId="05DEDC2F">
                <wp:simplePos x="0" y="0"/>
                <wp:positionH relativeFrom="margin">
                  <wp:posOffset>12065</wp:posOffset>
                </wp:positionH>
                <wp:positionV relativeFrom="paragraph">
                  <wp:posOffset>989330</wp:posOffset>
                </wp:positionV>
                <wp:extent cx="6461760" cy="1047750"/>
                <wp:effectExtent l="0" t="0" r="15240" b="19050"/>
                <wp:wrapSquare wrapText="bothSides"/>
                <wp:docPr id="3385519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1047750"/>
                        </a:xfrm>
                        <a:prstGeom prst="rect">
                          <a:avLst/>
                        </a:prstGeom>
                        <a:solidFill>
                          <a:srgbClr val="FFFFFF"/>
                        </a:solidFill>
                        <a:ln w="9525">
                          <a:solidFill>
                            <a:srgbClr val="000000"/>
                          </a:solidFill>
                          <a:miter lim="800000"/>
                          <a:headEnd/>
                          <a:tailEnd/>
                        </a:ln>
                      </wps:spPr>
                      <wps:txbx>
                        <w:txbxContent>
                          <w:p w14:paraId="5FD47594" w14:textId="724E8D43" w:rsidR="00603693" w:rsidRDefault="009008CB" w:rsidP="00603693">
                            <w:pPr>
                              <w:rPr>
                                <w:rFonts w:ascii="Calibri" w:hAnsi="Calibri" w:cs="Calibri"/>
                                <w:b/>
                                <w:bCs/>
                                <w:sz w:val="20"/>
                              </w:rPr>
                            </w:pPr>
                            <w:r>
                              <w:rPr>
                                <w:rFonts w:ascii="Calibri" w:hAnsi="Calibri" w:cs="Calibri"/>
                                <w:b/>
                                <w:bCs/>
                                <w:sz w:val="20"/>
                              </w:rPr>
                              <w:t>Petr Gapko</w:t>
                            </w:r>
                            <w:r w:rsidR="00603693" w:rsidRPr="00222AA1">
                              <w:rPr>
                                <w:rFonts w:ascii="Calibri" w:hAnsi="Calibri" w:cs="Calibri"/>
                                <w:b/>
                                <w:bCs/>
                                <w:sz w:val="20"/>
                              </w:rPr>
                              <w:t xml:space="preserve">, </w:t>
                            </w:r>
                            <w:r w:rsidR="00603693">
                              <w:rPr>
                                <w:rFonts w:ascii="Calibri" w:hAnsi="Calibri" w:cs="Calibri"/>
                                <w:b/>
                                <w:bCs/>
                                <w:sz w:val="20"/>
                              </w:rPr>
                              <w:t xml:space="preserve">hlavní ekonom </w:t>
                            </w:r>
                            <w:r w:rsidR="008D7067" w:rsidRPr="008D7067">
                              <w:rPr>
                                <w:rFonts w:ascii="Calibri" w:hAnsi="Calibri" w:cs="Calibri"/>
                                <w:b/>
                                <w:bCs/>
                                <w:sz w:val="20"/>
                              </w:rPr>
                              <w:t>MONETA Money Bank</w:t>
                            </w:r>
                            <w:r w:rsidR="00603693">
                              <w:rPr>
                                <w:rFonts w:ascii="Calibri" w:hAnsi="Calibri" w:cs="Calibri"/>
                                <w:b/>
                                <w:bCs/>
                                <w:sz w:val="20"/>
                              </w:rPr>
                              <w:t xml:space="preserve">:  </w:t>
                            </w:r>
                          </w:p>
                          <w:p w14:paraId="74AF944A" w14:textId="607BB929" w:rsidR="00603693" w:rsidRPr="0035275E" w:rsidRDefault="009D0908" w:rsidP="00603693">
                            <w:pPr>
                              <w:rPr>
                                <w:rFonts w:ascii="Calibri" w:hAnsi="Calibri" w:cs="Calibri"/>
                                <w:i/>
                                <w:iCs/>
                                <w:color w:val="000000" w:themeColor="text1"/>
                                <w:sz w:val="20"/>
                              </w:rPr>
                            </w:pPr>
                            <w:r w:rsidRPr="009D0908">
                              <w:rPr>
                                <w:rFonts w:ascii="Calibri" w:hAnsi="Calibri" w:cs="Calibri"/>
                                <w:i/>
                                <w:iCs/>
                                <w:color w:val="000000" w:themeColor="text1"/>
                                <w:sz w:val="20"/>
                              </w:rPr>
                              <w:t>„</w:t>
                            </w:r>
                            <w:r w:rsidR="003F762E" w:rsidRPr="003F762E">
                              <w:rPr>
                                <w:rFonts w:ascii="Calibri" w:hAnsi="Calibri" w:cs="Calibri"/>
                                <w:i/>
                                <w:iCs/>
                                <w:color w:val="000000" w:themeColor="text1"/>
                                <w:sz w:val="20"/>
                              </w:rPr>
                              <w:t>Světová ekonomika je už několik let sužována geopolitickým pnutím, které nutně dopadá do hospodářského výkonu. U nás se dopady projevují hlavně nižším ekonomickým růstem a zvýšenou mírou inflace. Na druhou stranu ale prozatím nikdo nepředpokládá, že by se faktory ohrožující naše hospodářství propsaly natolik výrazně, že by ekonomický růst vymazaly úplně. Nedokážeme předpovědět, jak budou současné konflikty na světové scéně vypadat za půlrok</w:t>
                            </w:r>
                            <w:r w:rsidR="00BC203C">
                              <w:rPr>
                                <w:rFonts w:ascii="Calibri" w:hAnsi="Calibri" w:cs="Calibri"/>
                                <w:i/>
                                <w:iCs/>
                                <w:color w:val="000000" w:themeColor="text1"/>
                                <w:sz w:val="20"/>
                              </w:rPr>
                              <w:t>u</w:t>
                            </w:r>
                            <w:r w:rsidR="003F762E" w:rsidRPr="003F762E">
                              <w:rPr>
                                <w:rFonts w:ascii="Calibri" w:hAnsi="Calibri" w:cs="Calibri"/>
                                <w:i/>
                                <w:iCs/>
                                <w:color w:val="000000" w:themeColor="text1"/>
                                <w:sz w:val="20"/>
                              </w:rPr>
                              <w:t>, ale vidíme snahu urovnat alespoň to ekonomicky nejbolestivější</w:t>
                            </w:r>
                            <w:r w:rsidRPr="009D0908">
                              <w:rPr>
                                <w:rFonts w:ascii="Calibri" w:hAnsi="Calibri" w:cs="Calibri"/>
                                <w:i/>
                                <w:iCs/>
                                <w:color w:val="000000" w:themeColor="text1"/>
                                <w:sz w:val="20"/>
                              </w:rPr>
                              <w:t>.</w:t>
                            </w:r>
                            <w:r w:rsidR="00A1698B" w:rsidRPr="00A1698B">
                              <w:rPr>
                                <w:rFonts w:ascii="Calibri" w:hAnsi="Calibri" w:cs="Calibri"/>
                                <w:i/>
                                <w:iCs/>
                                <w:color w:val="000000" w:themeColor="text1"/>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9B9E01" id="_x0000_s1027" type="#_x0000_t202" style="position:absolute;left:0;text-align:left;margin-left:.95pt;margin-top:77.9pt;width:508.8pt;height:8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">
                <v:textbox>
                  <w:txbxContent>
                    <w:p w14:paraId="5FD47594" w14:textId="724E8D43" w:rsidR="00603693" w:rsidRDefault="009008CB" w:rsidP="00603693">
                      <w:pPr>
                        <w:rPr>
                          <w:rFonts w:ascii="Calibri" w:hAnsi="Calibri" w:cs="Calibri"/>
                          <w:b/>
                          <w:bCs/>
                          <w:sz w:val="20"/>
                        </w:rPr>
                      </w:pPr>
                      <w:r>
                        <w:rPr>
                          <w:rFonts w:ascii="Calibri" w:hAnsi="Calibri" w:cs="Calibri"/>
                          <w:b/>
                          <w:bCs/>
                          <w:sz w:val="20"/>
                        </w:rPr>
                        <w:t>Petr Gapko</w:t>
                      </w:r>
                      <w:r w:rsidR="00603693" w:rsidRPr="00222AA1">
                        <w:rPr>
                          <w:rFonts w:ascii="Calibri" w:hAnsi="Calibri" w:cs="Calibri"/>
                          <w:b/>
                          <w:bCs/>
                          <w:sz w:val="20"/>
                        </w:rPr>
                        <w:t xml:space="preserve">, </w:t>
                      </w:r>
                      <w:r w:rsidR="00603693">
                        <w:rPr>
                          <w:rFonts w:ascii="Calibri" w:hAnsi="Calibri" w:cs="Calibri"/>
                          <w:b/>
                          <w:bCs/>
                          <w:sz w:val="20"/>
                        </w:rPr>
                        <w:t xml:space="preserve">hlavní ekonom </w:t>
                      </w:r>
                      <w:r w:rsidR="008D7067" w:rsidRPr="008D7067">
                        <w:rPr>
                          <w:rFonts w:ascii="Calibri" w:hAnsi="Calibri" w:cs="Calibri"/>
                          <w:b/>
                          <w:bCs/>
                          <w:sz w:val="20"/>
                        </w:rPr>
                        <w:t>MONETA Money Bank</w:t>
                      </w:r>
                      <w:r w:rsidR="00603693">
                        <w:rPr>
                          <w:rFonts w:ascii="Calibri" w:hAnsi="Calibri" w:cs="Calibri"/>
                          <w:b/>
                          <w:bCs/>
                          <w:sz w:val="20"/>
                        </w:rPr>
                        <w:t xml:space="preserve">:  </w:t>
                      </w:r>
                    </w:p>
                    <w:p w14:paraId="74AF944A" w14:textId="607BB929" w:rsidR="00603693" w:rsidRPr="0035275E" w:rsidRDefault="009D0908" w:rsidP="00603693">
                      <w:pPr>
                        <w:rPr>
                          <w:rFonts w:ascii="Calibri" w:hAnsi="Calibri" w:cs="Calibri"/>
                          <w:i/>
                          <w:iCs/>
                          <w:color w:val="000000" w:themeColor="text1"/>
                          <w:sz w:val="20"/>
                        </w:rPr>
                      </w:pPr>
                      <w:r w:rsidRPr="009D0908">
                        <w:rPr>
                          <w:rFonts w:ascii="Calibri" w:hAnsi="Calibri" w:cs="Calibri"/>
                          <w:i/>
                          <w:iCs/>
                          <w:color w:val="000000" w:themeColor="text1"/>
                          <w:sz w:val="20"/>
                        </w:rPr>
                        <w:t>„</w:t>
                      </w:r>
                      <w:r w:rsidR="003F762E" w:rsidRPr="003F762E">
                        <w:rPr>
                          <w:rFonts w:ascii="Calibri" w:hAnsi="Calibri" w:cs="Calibri"/>
                          <w:i/>
                          <w:iCs/>
                          <w:color w:val="000000" w:themeColor="text1"/>
                          <w:sz w:val="20"/>
                        </w:rPr>
                        <w:t>Světová ekonomika je už několik let sužována geopolitickým pnutím, které nutně dopadá do hospodářského výkonu. U nás se dopady projevují hlavně nižším ekonomickým růstem a zvýšenou mírou inflace. Na druhou stranu ale prozatím nikdo nepředpokládá, že by se faktory ohrožující naše hospodářství propsaly natolik výrazně, že by ekonomický růst vymazaly úplně. Nedokážeme předpovědět, jak budou současné konflikty na světové scéně vypadat za půlrok</w:t>
                      </w:r>
                      <w:r w:rsidR="00BC203C">
                        <w:rPr>
                          <w:rFonts w:ascii="Calibri" w:hAnsi="Calibri" w:cs="Calibri"/>
                          <w:i/>
                          <w:iCs/>
                          <w:color w:val="000000" w:themeColor="text1"/>
                          <w:sz w:val="20"/>
                        </w:rPr>
                        <w:t>u</w:t>
                      </w:r>
                      <w:r w:rsidR="003F762E" w:rsidRPr="003F762E">
                        <w:rPr>
                          <w:rFonts w:ascii="Calibri" w:hAnsi="Calibri" w:cs="Calibri"/>
                          <w:i/>
                          <w:iCs/>
                          <w:color w:val="000000" w:themeColor="text1"/>
                          <w:sz w:val="20"/>
                        </w:rPr>
                        <w:t>, ale vidíme snahu urovnat alespoň to ekonomicky nejbolestivější</w:t>
                      </w:r>
                      <w:r w:rsidRPr="009D0908">
                        <w:rPr>
                          <w:rFonts w:ascii="Calibri" w:hAnsi="Calibri" w:cs="Calibri"/>
                          <w:i/>
                          <w:iCs/>
                          <w:color w:val="000000" w:themeColor="text1"/>
                          <w:sz w:val="20"/>
                        </w:rPr>
                        <w:t>.</w:t>
                      </w:r>
                      <w:r w:rsidR="00A1698B" w:rsidRPr="00A1698B">
                        <w:rPr>
                          <w:rFonts w:ascii="Calibri" w:hAnsi="Calibri" w:cs="Calibri"/>
                          <w:i/>
                          <w:iCs/>
                          <w:color w:val="000000" w:themeColor="text1"/>
                          <w:sz w:val="20"/>
                        </w:rPr>
                        <w:t>“</w:t>
                      </w:r>
                    </w:p>
                  </w:txbxContent>
                </v:textbox>
                <w10:wrap type="square" anchorx="margin"/>
              </v:shape>
            </w:pict>
          </mc:Fallback>
        </mc:AlternateContent>
      </w:r>
      <w:r w:rsidR="00057418">
        <w:rPr>
          <w:rFonts w:ascii="Calibri" w:hAnsi="Calibri" w:cs="Calibri"/>
          <w:b/>
          <w:color w:val="000000" w:themeColor="text1"/>
          <w:sz w:val="20"/>
        </w:rPr>
        <w:t xml:space="preserve">Nejistota uvolněnější fiskální politiky </w:t>
      </w:r>
      <w:r w:rsidR="00057418" w:rsidRPr="001E5D51">
        <w:rPr>
          <w:rFonts w:ascii="Calibri" w:hAnsi="Calibri" w:cs="Calibri"/>
          <w:bCs/>
          <w:color w:val="000000" w:themeColor="text1"/>
          <w:sz w:val="20"/>
        </w:rPr>
        <w:t xml:space="preserve">– </w:t>
      </w:r>
      <w:r w:rsidR="00057418" w:rsidRPr="0056197F">
        <w:rPr>
          <w:rFonts w:ascii="Calibri" w:hAnsi="Calibri" w:cs="Calibri"/>
          <w:bCs/>
          <w:color w:val="000000" w:themeColor="text1"/>
          <w:sz w:val="20"/>
        </w:rPr>
        <w:t xml:space="preserve">S ohledem na připravenou novelu zákona o rozpočtové odpovědnosti a neznámý plán fiskálního deficitu v roce 2027 panel rovněž zmiňuje možnost uvolněnější fiskální politiky. </w:t>
      </w:r>
      <w:r w:rsidR="00057418">
        <w:rPr>
          <w:rFonts w:ascii="Calibri" w:hAnsi="Calibri" w:cs="Calibri"/>
          <w:bCs/>
          <w:color w:val="000000" w:themeColor="text1"/>
          <w:sz w:val="20"/>
        </w:rPr>
        <w:t>To by pravděpodobně bylo spojeno s větším než 3% fiskálním schodkem vůči HDP, což není případ základního scénáře.</w:t>
      </w:r>
      <w:r w:rsidR="00057418" w:rsidRPr="001764B6">
        <w:rPr>
          <w:rFonts w:ascii="Calibri" w:hAnsi="Calibri" w:cs="Calibri"/>
          <w:bCs/>
          <w:color w:val="000000" w:themeColor="text1"/>
          <w:sz w:val="20"/>
        </w:rPr>
        <w:t xml:space="preserve"> </w:t>
      </w:r>
      <w:r w:rsidR="00057418">
        <w:rPr>
          <w:rFonts w:ascii="Calibri" w:hAnsi="Calibri" w:cs="Calibri"/>
          <w:bCs/>
          <w:color w:val="000000" w:themeColor="text1"/>
          <w:sz w:val="20"/>
        </w:rPr>
        <w:t>Nicméně panel předpokládá, že by toto překročení mělo být spojeno s relativně menším dodatečným inflačním impulsem.</w:t>
      </w:r>
    </w:p>
    <w:p w14:paraId="54386C59" w14:textId="1063C8BD" w:rsidR="00057418" w:rsidRDefault="00057418" w:rsidP="00603693">
      <w:pPr>
        <w:pStyle w:val="Normlnweb"/>
        <w:spacing w:before="0" w:beforeAutospacing="0" w:after="0" w:afterAutospacing="0"/>
        <w:jc w:val="both"/>
        <w:rPr>
          <w:rFonts w:ascii="Calibri" w:hAnsi="Calibri" w:cs="Calibri"/>
          <w:bCs/>
          <w:color w:val="000000" w:themeColor="text1"/>
          <w:sz w:val="20"/>
        </w:rPr>
      </w:pPr>
      <w:bookmarkStart w:id="3" w:name="_Hlk214964158"/>
      <w:bookmarkEnd w:id="2"/>
    </w:p>
    <w:bookmarkEnd w:id="3"/>
    <w:p w14:paraId="332871A7" w14:textId="148669C1" w:rsidR="00A1698B" w:rsidRDefault="00A1698B" w:rsidP="00A1698B">
      <w:pPr>
        <w:spacing w:after="120"/>
        <w:rPr>
          <w:rFonts w:ascii="Calibri" w:eastAsia="Calibri" w:hAnsi="Calibri" w:cs="Calibri"/>
          <w:b/>
          <w:color w:val="13576B"/>
          <w:sz w:val="22"/>
          <w:szCs w:val="28"/>
        </w:rPr>
      </w:pPr>
      <w:r w:rsidRPr="00806391">
        <w:rPr>
          <w:rFonts w:ascii="Calibri" w:eastAsia="Calibri" w:hAnsi="Calibri" w:cs="Calibri"/>
          <w:b/>
          <w:color w:val="13576B"/>
          <w:sz w:val="22"/>
          <w:szCs w:val="28"/>
        </w:rPr>
        <w:t>Makroekonomická Prognóza ČBA v číslech:</w:t>
      </w:r>
    </w:p>
    <w:tbl>
      <w:tblPr>
        <w:tblW w:w="10500" w:type="dxa"/>
        <w:tblCellMar>
          <w:left w:w="70" w:type="dxa"/>
          <w:right w:w="70" w:type="dxa"/>
        </w:tblCellMar>
        <w:tblLook w:val="04A0" w:firstRow="1" w:lastRow="0" w:firstColumn="1" w:lastColumn="0" w:noHBand="0" w:noVBand="1"/>
      </w:tblPr>
      <w:tblGrid>
        <w:gridCol w:w="5294"/>
        <w:gridCol w:w="680"/>
        <w:gridCol w:w="680"/>
        <w:gridCol w:w="680"/>
        <w:gridCol w:w="680"/>
        <w:gridCol w:w="186"/>
        <w:gridCol w:w="720"/>
        <w:gridCol w:w="680"/>
        <w:gridCol w:w="900"/>
      </w:tblGrid>
      <w:tr w:rsidR="003D3DB8" w:rsidRPr="003D3DB8" w14:paraId="4E86638D" w14:textId="77777777" w:rsidTr="009008CB">
        <w:trPr>
          <w:trHeight w:val="250"/>
        </w:trPr>
        <w:tc>
          <w:tcPr>
            <w:tcW w:w="5294" w:type="dxa"/>
            <w:vMerge w:val="restart"/>
            <w:tcBorders>
              <w:top w:val="nil"/>
              <w:left w:val="nil"/>
              <w:bottom w:val="single" w:sz="8" w:space="0" w:color="FFFFFF"/>
              <w:right w:val="single" w:sz="8" w:space="0" w:color="FFFFFF"/>
            </w:tcBorders>
            <w:shd w:val="clear" w:color="000000" w:fill="13576B"/>
            <w:vAlign w:val="center"/>
            <w:hideMark/>
          </w:tcPr>
          <w:p w14:paraId="7B30660C" w14:textId="15015E50" w:rsidR="003D3DB8" w:rsidRPr="003D3DB8" w:rsidRDefault="009008CB" w:rsidP="003D3DB8">
            <w:pPr>
              <w:overflowPunct/>
              <w:autoSpaceDE/>
              <w:autoSpaceDN/>
              <w:adjustRightInd/>
              <w:jc w:val="left"/>
              <w:textAlignment w:val="auto"/>
              <w:rPr>
                <w:rFonts w:ascii="Calibri Light" w:hAnsi="Calibri Light" w:cs="Calibri Light"/>
                <w:b/>
                <w:bCs/>
                <w:color w:val="FFFFFF"/>
                <w:sz w:val="20"/>
              </w:rPr>
            </w:pPr>
            <w:r>
              <w:rPr>
                <w:rFonts w:ascii="Calibri Light" w:hAnsi="Calibri Light" w:cs="Calibri Light"/>
                <w:b/>
                <w:bCs/>
                <w:color w:val="FFFFFF"/>
                <w:sz w:val="20"/>
              </w:rPr>
              <w:t>Ukazatel</w:t>
            </w:r>
          </w:p>
        </w:tc>
        <w:tc>
          <w:tcPr>
            <w:tcW w:w="680" w:type="dxa"/>
            <w:tcBorders>
              <w:top w:val="nil"/>
              <w:left w:val="nil"/>
              <w:bottom w:val="nil"/>
              <w:right w:val="single" w:sz="8" w:space="0" w:color="FFFFFF"/>
            </w:tcBorders>
            <w:shd w:val="clear" w:color="000000" w:fill="13576B"/>
            <w:vAlign w:val="center"/>
            <w:hideMark/>
          </w:tcPr>
          <w:p w14:paraId="0AC7C656" w14:textId="77777777" w:rsidR="003D3DB8" w:rsidRPr="003D3DB8" w:rsidRDefault="003D3DB8" w:rsidP="003D3DB8">
            <w:pPr>
              <w:overflowPunct/>
              <w:autoSpaceDE/>
              <w:autoSpaceDN/>
              <w:adjustRightInd/>
              <w:jc w:val="center"/>
              <w:textAlignment w:val="auto"/>
              <w:rPr>
                <w:rFonts w:ascii="Calibri Light" w:hAnsi="Calibri Light" w:cs="Calibri Light"/>
                <w:b/>
                <w:bCs/>
                <w:color w:val="FFFFFF"/>
                <w:szCs w:val="18"/>
              </w:rPr>
            </w:pPr>
            <w:r w:rsidRPr="003D3DB8">
              <w:rPr>
                <w:rFonts w:ascii="Calibri Light" w:hAnsi="Calibri Light" w:cs="Calibri Light"/>
                <w:b/>
                <w:bCs/>
                <w:color w:val="FFFFFF"/>
                <w:szCs w:val="18"/>
              </w:rPr>
              <w:t>2024</w:t>
            </w:r>
          </w:p>
        </w:tc>
        <w:tc>
          <w:tcPr>
            <w:tcW w:w="680" w:type="dxa"/>
            <w:tcBorders>
              <w:top w:val="nil"/>
              <w:left w:val="nil"/>
              <w:bottom w:val="nil"/>
              <w:right w:val="single" w:sz="8" w:space="0" w:color="FFFFFF"/>
            </w:tcBorders>
            <w:shd w:val="clear" w:color="000000" w:fill="13576B"/>
            <w:vAlign w:val="center"/>
            <w:hideMark/>
          </w:tcPr>
          <w:p w14:paraId="2D107AFB" w14:textId="77777777" w:rsidR="003D3DB8" w:rsidRPr="003D3DB8" w:rsidRDefault="003D3DB8" w:rsidP="003D3DB8">
            <w:pPr>
              <w:overflowPunct/>
              <w:autoSpaceDE/>
              <w:autoSpaceDN/>
              <w:adjustRightInd/>
              <w:jc w:val="center"/>
              <w:textAlignment w:val="auto"/>
              <w:rPr>
                <w:rFonts w:ascii="Calibri Light" w:hAnsi="Calibri Light" w:cs="Calibri Light"/>
                <w:b/>
                <w:bCs/>
                <w:color w:val="FFFFFF"/>
                <w:szCs w:val="18"/>
              </w:rPr>
            </w:pPr>
            <w:r w:rsidRPr="003D3DB8">
              <w:rPr>
                <w:rFonts w:ascii="Calibri Light" w:hAnsi="Calibri Light" w:cs="Calibri Light"/>
                <w:b/>
                <w:bCs/>
                <w:color w:val="FFFFFF"/>
                <w:szCs w:val="18"/>
              </w:rPr>
              <w:t>2025</w:t>
            </w:r>
          </w:p>
        </w:tc>
        <w:tc>
          <w:tcPr>
            <w:tcW w:w="680" w:type="dxa"/>
            <w:tcBorders>
              <w:top w:val="nil"/>
              <w:left w:val="nil"/>
              <w:bottom w:val="nil"/>
              <w:right w:val="single" w:sz="8" w:space="0" w:color="FFFFFF"/>
            </w:tcBorders>
            <w:shd w:val="clear" w:color="000000" w:fill="13576B"/>
            <w:vAlign w:val="center"/>
            <w:hideMark/>
          </w:tcPr>
          <w:p w14:paraId="6C4AA953" w14:textId="77777777" w:rsidR="003D3DB8" w:rsidRPr="003D3DB8" w:rsidRDefault="003D3DB8" w:rsidP="003D3DB8">
            <w:pPr>
              <w:overflowPunct/>
              <w:autoSpaceDE/>
              <w:autoSpaceDN/>
              <w:adjustRightInd/>
              <w:jc w:val="center"/>
              <w:textAlignment w:val="auto"/>
              <w:rPr>
                <w:rFonts w:ascii="Calibri Light" w:hAnsi="Calibri Light" w:cs="Calibri Light"/>
                <w:b/>
                <w:bCs/>
                <w:color w:val="FFFFFF"/>
                <w:szCs w:val="18"/>
              </w:rPr>
            </w:pPr>
            <w:r w:rsidRPr="003D3DB8">
              <w:rPr>
                <w:rFonts w:ascii="Calibri Light" w:hAnsi="Calibri Light" w:cs="Calibri Light"/>
                <w:b/>
                <w:bCs/>
                <w:color w:val="FFFFFF"/>
                <w:szCs w:val="18"/>
              </w:rPr>
              <w:t>2026</w:t>
            </w:r>
          </w:p>
        </w:tc>
        <w:tc>
          <w:tcPr>
            <w:tcW w:w="680" w:type="dxa"/>
            <w:tcBorders>
              <w:top w:val="nil"/>
              <w:left w:val="nil"/>
              <w:bottom w:val="nil"/>
              <w:right w:val="single" w:sz="8" w:space="0" w:color="FFFFFF"/>
            </w:tcBorders>
            <w:shd w:val="clear" w:color="000000" w:fill="13576B"/>
            <w:vAlign w:val="center"/>
            <w:hideMark/>
          </w:tcPr>
          <w:p w14:paraId="074ED38F" w14:textId="77777777" w:rsidR="003D3DB8" w:rsidRPr="003D3DB8" w:rsidRDefault="003D3DB8" w:rsidP="003D3DB8">
            <w:pPr>
              <w:overflowPunct/>
              <w:autoSpaceDE/>
              <w:autoSpaceDN/>
              <w:adjustRightInd/>
              <w:jc w:val="center"/>
              <w:textAlignment w:val="auto"/>
              <w:rPr>
                <w:rFonts w:ascii="Calibri Light" w:hAnsi="Calibri Light" w:cs="Calibri Light"/>
                <w:b/>
                <w:bCs/>
                <w:color w:val="FFFFFF"/>
                <w:szCs w:val="18"/>
              </w:rPr>
            </w:pPr>
            <w:r w:rsidRPr="003D3DB8">
              <w:rPr>
                <w:rFonts w:ascii="Calibri Light" w:hAnsi="Calibri Light" w:cs="Calibri Light"/>
                <w:b/>
                <w:bCs/>
                <w:color w:val="FFFFFF"/>
                <w:szCs w:val="18"/>
              </w:rPr>
              <w:t>2027</w:t>
            </w:r>
          </w:p>
        </w:tc>
        <w:tc>
          <w:tcPr>
            <w:tcW w:w="186" w:type="dxa"/>
            <w:tcBorders>
              <w:top w:val="nil"/>
              <w:left w:val="nil"/>
              <w:bottom w:val="nil"/>
              <w:right w:val="single" w:sz="8" w:space="0" w:color="FFFFFF"/>
            </w:tcBorders>
            <w:shd w:val="clear" w:color="000000" w:fill="13576B"/>
            <w:vAlign w:val="center"/>
            <w:hideMark/>
          </w:tcPr>
          <w:p w14:paraId="7616D8E8" w14:textId="77777777" w:rsidR="003D3DB8" w:rsidRPr="003D3DB8" w:rsidRDefault="003D3DB8" w:rsidP="003D3DB8">
            <w:pPr>
              <w:overflowPunct/>
              <w:autoSpaceDE/>
              <w:autoSpaceDN/>
              <w:adjustRightInd/>
              <w:jc w:val="center"/>
              <w:textAlignment w:val="auto"/>
              <w:rPr>
                <w:rFonts w:ascii="Calibri Light" w:hAnsi="Calibri Light" w:cs="Calibri Light"/>
                <w:b/>
                <w:bCs/>
                <w:color w:val="FFFFFF"/>
                <w:szCs w:val="18"/>
              </w:rPr>
            </w:pPr>
            <w:r w:rsidRPr="003D3DB8">
              <w:rPr>
                <w:rFonts w:ascii="Calibri Light" w:hAnsi="Calibri Light" w:cs="Calibri Light"/>
                <w:b/>
                <w:bCs/>
                <w:color w:val="FFFFFF"/>
                <w:szCs w:val="18"/>
              </w:rPr>
              <w:t> </w:t>
            </w:r>
          </w:p>
        </w:tc>
        <w:tc>
          <w:tcPr>
            <w:tcW w:w="2300" w:type="dxa"/>
            <w:gridSpan w:val="3"/>
            <w:tcBorders>
              <w:top w:val="nil"/>
              <w:left w:val="nil"/>
              <w:bottom w:val="nil"/>
              <w:right w:val="single" w:sz="8" w:space="0" w:color="FFFFFF"/>
            </w:tcBorders>
            <w:shd w:val="clear" w:color="000000" w:fill="13576B"/>
            <w:vAlign w:val="center"/>
            <w:hideMark/>
          </w:tcPr>
          <w:p w14:paraId="658C32D1" w14:textId="44C4DF4D" w:rsidR="003D3DB8" w:rsidRPr="003D3DB8" w:rsidRDefault="003D3DB8" w:rsidP="003D3DB8">
            <w:pPr>
              <w:overflowPunct/>
              <w:autoSpaceDE/>
              <w:autoSpaceDN/>
              <w:adjustRightInd/>
              <w:jc w:val="center"/>
              <w:textAlignment w:val="auto"/>
              <w:rPr>
                <w:rFonts w:ascii="Calibri Light" w:hAnsi="Calibri Light" w:cs="Calibri Light"/>
                <w:b/>
                <w:bCs/>
                <w:i/>
                <w:iCs/>
                <w:color w:val="FFFFFF"/>
                <w:szCs w:val="18"/>
              </w:rPr>
            </w:pPr>
            <w:r w:rsidRPr="003D3DB8">
              <w:rPr>
                <w:rFonts w:ascii="Calibri Light" w:hAnsi="Calibri Light" w:cs="Calibri Light"/>
                <w:b/>
                <w:bCs/>
                <w:i/>
                <w:iCs/>
                <w:color w:val="FFFFFF"/>
                <w:szCs w:val="18"/>
              </w:rPr>
              <w:t xml:space="preserve">vs. </w:t>
            </w:r>
            <w:r w:rsidR="007F08C5">
              <w:rPr>
                <w:rFonts w:ascii="Calibri Light" w:hAnsi="Calibri Light" w:cs="Calibri Light"/>
                <w:b/>
                <w:bCs/>
                <w:i/>
                <w:iCs/>
                <w:color w:val="FFFFFF"/>
                <w:szCs w:val="18"/>
              </w:rPr>
              <w:t>minulý výhled</w:t>
            </w:r>
          </w:p>
        </w:tc>
      </w:tr>
      <w:tr w:rsidR="003D3DB8" w:rsidRPr="003D3DB8" w14:paraId="4A705D3A" w14:textId="77777777" w:rsidTr="009008CB">
        <w:trPr>
          <w:trHeight w:val="260"/>
        </w:trPr>
        <w:tc>
          <w:tcPr>
            <w:tcW w:w="5294" w:type="dxa"/>
            <w:vMerge/>
            <w:tcBorders>
              <w:top w:val="nil"/>
              <w:left w:val="nil"/>
              <w:bottom w:val="single" w:sz="8" w:space="0" w:color="FFFFFF"/>
              <w:right w:val="single" w:sz="8" w:space="0" w:color="FFFFFF"/>
            </w:tcBorders>
            <w:vAlign w:val="center"/>
            <w:hideMark/>
          </w:tcPr>
          <w:p w14:paraId="14A5FA15" w14:textId="77777777" w:rsidR="003D3DB8" w:rsidRPr="003D3DB8" w:rsidRDefault="003D3DB8" w:rsidP="003D3DB8">
            <w:pPr>
              <w:overflowPunct/>
              <w:autoSpaceDE/>
              <w:autoSpaceDN/>
              <w:adjustRightInd/>
              <w:jc w:val="left"/>
              <w:textAlignment w:val="auto"/>
              <w:rPr>
                <w:rFonts w:ascii="Calibri Light" w:hAnsi="Calibri Light" w:cs="Calibri Light"/>
                <w:b/>
                <w:bCs/>
                <w:color w:val="FFFFFF"/>
                <w:sz w:val="20"/>
              </w:rPr>
            </w:pPr>
          </w:p>
        </w:tc>
        <w:tc>
          <w:tcPr>
            <w:tcW w:w="680" w:type="dxa"/>
            <w:tcBorders>
              <w:top w:val="nil"/>
              <w:left w:val="nil"/>
              <w:bottom w:val="single" w:sz="8" w:space="0" w:color="FFFFFF"/>
              <w:right w:val="single" w:sz="8" w:space="0" w:color="FFFFFF"/>
            </w:tcBorders>
            <w:shd w:val="clear" w:color="000000" w:fill="13576B"/>
            <w:vAlign w:val="center"/>
            <w:hideMark/>
          </w:tcPr>
          <w:p w14:paraId="3E77B3A6" w14:textId="77777777" w:rsidR="003D3DB8" w:rsidRPr="003D3DB8" w:rsidRDefault="003D3DB8" w:rsidP="003D3DB8">
            <w:pPr>
              <w:overflowPunct/>
              <w:autoSpaceDE/>
              <w:autoSpaceDN/>
              <w:adjustRightInd/>
              <w:jc w:val="center"/>
              <w:textAlignment w:val="auto"/>
              <w:rPr>
                <w:rFonts w:ascii="Calibri Light" w:hAnsi="Calibri Light" w:cs="Calibri Light"/>
                <w:b/>
                <w:bCs/>
                <w:color w:val="FFFFFF"/>
                <w:szCs w:val="18"/>
              </w:rPr>
            </w:pPr>
            <w:r w:rsidRPr="003D3DB8">
              <w:rPr>
                <w:rFonts w:ascii="Calibri Light" w:hAnsi="Calibri Light" w:cs="Calibri Light"/>
                <w:b/>
                <w:bCs/>
                <w:color w:val="FFFFFF"/>
                <w:szCs w:val="18"/>
              </w:rPr>
              <w:t> </w:t>
            </w:r>
          </w:p>
        </w:tc>
        <w:tc>
          <w:tcPr>
            <w:tcW w:w="680" w:type="dxa"/>
            <w:tcBorders>
              <w:top w:val="nil"/>
              <w:left w:val="nil"/>
              <w:bottom w:val="single" w:sz="8" w:space="0" w:color="FFFFFF"/>
              <w:right w:val="single" w:sz="8" w:space="0" w:color="FFFFFF"/>
            </w:tcBorders>
            <w:shd w:val="clear" w:color="000000" w:fill="13576B"/>
            <w:vAlign w:val="center"/>
            <w:hideMark/>
          </w:tcPr>
          <w:p w14:paraId="1133ADBE" w14:textId="77777777" w:rsidR="003D3DB8" w:rsidRPr="003D3DB8" w:rsidRDefault="003D3DB8" w:rsidP="003D3DB8">
            <w:pPr>
              <w:overflowPunct/>
              <w:autoSpaceDE/>
              <w:autoSpaceDN/>
              <w:adjustRightInd/>
              <w:jc w:val="center"/>
              <w:textAlignment w:val="auto"/>
              <w:rPr>
                <w:rFonts w:ascii="Calibri Light" w:hAnsi="Calibri Light" w:cs="Calibri Light"/>
                <w:b/>
                <w:bCs/>
                <w:color w:val="FFFFFF"/>
                <w:szCs w:val="18"/>
              </w:rPr>
            </w:pPr>
            <w:r w:rsidRPr="003D3DB8">
              <w:rPr>
                <w:rFonts w:ascii="Calibri Light" w:hAnsi="Calibri Light" w:cs="Calibri Light"/>
                <w:b/>
                <w:bCs/>
                <w:color w:val="FFFFFF"/>
                <w:szCs w:val="18"/>
              </w:rPr>
              <w:t> </w:t>
            </w:r>
          </w:p>
        </w:tc>
        <w:tc>
          <w:tcPr>
            <w:tcW w:w="680" w:type="dxa"/>
            <w:tcBorders>
              <w:top w:val="nil"/>
              <w:left w:val="nil"/>
              <w:bottom w:val="single" w:sz="8" w:space="0" w:color="FFFFFF"/>
              <w:right w:val="single" w:sz="8" w:space="0" w:color="FFFFFF"/>
            </w:tcBorders>
            <w:shd w:val="clear" w:color="000000" w:fill="13576B"/>
            <w:vAlign w:val="center"/>
            <w:hideMark/>
          </w:tcPr>
          <w:p w14:paraId="069CFB9D" w14:textId="77777777" w:rsidR="003D3DB8" w:rsidRPr="003D3DB8" w:rsidRDefault="003D3DB8" w:rsidP="003D3DB8">
            <w:pPr>
              <w:overflowPunct/>
              <w:autoSpaceDE/>
              <w:autoSpaceDN/>
              <w:adjustRightInd/>
              <w:jc w:val="center"/>
              <w:textAlignment w:val="auto"/>
              <w:rPr>
                <w:rFonts w:ascii="Calibri Light" w:hAnsi="Calibri Light" w:cs="Calibri Light"/>
                <w:b/>
                <w:bCs/>
                <w:color w:val="FFFFFF"/>
                <w:szCs w:val="18"/>
              </w:rPr>
            </w:pPr>
            <w:r w:rsidRPr="003D3DB8">
              <w:rPr>
                <w:rFonts w:ascii="Calibri Light" w:hAnsi="Calibri Light" w:cs="Calibri Light"/>
                <w:b/>
                <w:bCs/>
                <w:color w:val="FFFFFF"/>
                <w:szCs w:val="18"/>
              </w:rPr>
              <w:t> </w:t>
            </w:r>
          </w:p>
        </w:tc>
        <w:tc>
          <w:tcPr>
            <w:tcW w:w="680" w:type="dxa"/>
            <w:tcBorders>
              <w:top w:val="nil"/>
              <w:left w:val="nil"/>
              <w:bottom w:val="single" w:sz="8" w:space="0" w:color="FFFFFF"/>
              <w:right w:val="single" w:sz="8" w:space="0" w:color="FFFFFF"/>
            </w:tcBorders>
            <w:shd w:val="clear" w:color="000000" w:fill="13576B"/>
            <w:vAlign w:val="center"/>
            <w:hideMark/>
          </w:tcPr>
          <w:p w14:paraId="4F6D623E" w14:textId="77777777" w:rsidR="003D3DB8" w:rsidRPr="003D3DB8" w:rsidRDefault="003D3DB8" w:rsidP="003D3DB8">
            <w:pPr>
              <w:overflowPunct/>
              <w:autoSpaceDE/>
              <w:autoSpaceDN/>
              <w:adjustRightInd/>
              <w:jc w:val="center"/>
              <w:textAlignment w:val="auto"/>
              <w:rPr>
                <w:rFonts w:ascii="Calibri Light" w:hAnsi="Calibri Light" w:cs="Calibri Light"/>
                <w:b/>
                <w:bCs/>
                <w:color w:val="FFFFFF"/>
                <w:szCs w:val="18"/>
              </w:rPr>
            </w:pPr>
            <w:r w:rsidRPr="003D3DB8">
              <w:rPr>
                <w:rFonts w:ascii="Calibri Light" w:hAnsi="Calibri Light" w:cs="Calibri Light"/>
                <w:b/>
                <w:bCs/>
                <w:color w:val="FFFFFF"/>
                <w:szCs w:val="18"/>
              </w:rPr>
              <w:t> </w:t>
            </w:r>
          </w:p>
        </w:tc>
        <w:tc>
          <w:tcPr>
            <w:tcW w:w="186" w:type="dxa"/>
            <w:tcBorders>
              <w:top w:val="nil"/>
              <w:left w:val="nil"/>
              <w:bottom w:val="nil"/>
              <w:right w:val="single" w:sz="8" w:space="0" w:color="FFFFFF"/>
            </w:tcBorders>
            <w:shd w:val="clear" w:color="000000" w:fill="13576B"/>
            <w:vAlign w:val="center"/>
            <w:hideMark/>
          </w:tcPr>
          <w:p w14:paraId="325EC4CF" w14:textId="77777777" w:rsidR="003D3DB8" w:rsidRPr="003D3DB8" w:rsidRDefault="003D3DB8" w:rsidP="003D3DB8">
            <w:pPr>
              <w:overflowPunct/>
              <w:autoSpaceDE/>
              <w:autoSpaceDN/>
              <w:adjustRightInd/>
              <w:jc w:val="center"/>
              <w:textAlignment w:val="auto"/>
              <w:rPr>
                <w:rFonts w:ascii="Calibri Light" w:hAnsi="Calibri Light" w:cs="Calibri Light"/>
                <w:b/>
                <w:bCs/>
                <w:color w:val="FFFFFF"/>
                <w:szCs w:val="18"/>
              </w:rPr>
            </w:pPr>
            <w:r w:rsidRPr="003D3DB8">
              <w:rPr>
                <w:rFonts w:ascii="Calibri Light" w:hAnsi="Calibri Light" w:cs="Calibri Light"/>
                <w:b/>
                <w:bCs/>
                <w:color w:val="FFFFFF"/>
                <w:szCs w:val="18"/>
              </w:rPr>
              <w:t> </w:t>
            </w:r>
          </w:p>
        </w:tc>
        <w:tc>
          <w:tcPr>
            <w:tcW w:w="720" w:type="dxa"/>
            <w:tcBorders>
              <w:top w:val="nil"/>
              <w:left w:val="nil"/>
              <w:bottom w:val="single" w:sz="8" w:space="0" w:color="FFFFFF"/>
              <w:right w:val="single" w:sz="8" w:space="0" w:color="FFFFFF"/>
            </w:tcBorders>
            <w:shd w:val="clear" w:color="000000" w:fill="13576B"/>
            <w:vAlign w:val="center"/>
            <w:hideMark/>
          </w:tcPr>
          <w:p w14:paraId="78B0FC55" w14:textId="77777777" w:rsidR="003D3DB8" w:rsidRPr="003D3DB8" w:rsidRDefault="003D3DB8" w:rsidP="003D3DB8">
            <w:pPr>
              <w:overflowPunct/>
              <w:autoSpaceDE/>
              <w:autoSpaceDN/>
              <w:adjustRightInd/>
              <w:jc w:val="center"/>
              <w:textAlignment w:val="auto"/>
              <w:rPr>
                <w:rFonts w:ascii="Calibri Light" w:hAnsi="Calibri Light" w:cs="Calibri Light"/>
                <w:b/>
                <w:bCs/>
                <w:i/>
                <w:iCs/>
                <w:color w:val="FFFFFF"/>
                <w:szCs w:val="18"/>
              </w:rPr>
            </w:pPr>
            <w:r w:rsidRPr="003D3DB8">
              <w:rPr>
                <w:rFonts w:ascii="Calibri Light" w:hAnsi="Calibri Light" w:cs="Calibri Light"/>
                <w:b/>
                <w:bCs/>
                <w:i/>
                <w:iCs/>
                <w:color w:val="FFFFFF"/>
                <w:szCs w:val="18"/>
              </w:rPr>
              <w:t>2025</w:t>
            </w:r>
          </w:p>
        </w:tc>
        <w:tc>
          <w:tcPr>
            <w:tcW w:w="680" w:type="dxa"/>
            <w:tcBorders>
              <w:top w:val="nil"/>
              <w:left w:val="nil"/>
              <w:bottom w:val="single" w:sz="8" w:space="0" w:color="FFFFFF"/>
              <w:right w:val="single" w:sz="8" w:space="0" w:color="FFFFFF"/>
            </w:tcBorders>
            <w:shd w:val="clear" w:color="000000" w:fill="13576B"/>
            <w:vAlign w:val="center"/>
            <w:hideMark/>
          </w:tcPr>
          <w:p w14:paraId="38CD3F7E" w14:textId="77777777" w:rsidR="003D3DB8" w:rsidRPr="003D3DB8" w:rsidRDefault="003D3DB8" w:rsidP="003D3DB8">
            <w:pPr>
              <w:overflowPunct/>
              <w:autoSpaceDE/>
              <w:autoSpaceDN/>
              <w:adjustRightInd/>
              <w:jc w:val="center"/>
              <w:textAlignment w:val="auto"/>
              <w:rPr>
                <w:rFonts w:ascii="Calibri Light" w:hAnsi="Calibri Light" w:cs="Calibri Light"/>
                <w:b/>
                <w:bCs/>
                <w:i/>
                <w:iCs/>
                <w:color w:val="FFFFFF"/>
                <w:szCs w:val="18"/>
              </w:rPr>
            </w:pPr>
            <w:r w:rsidRPr="003D3DB8">
              <w:rPr>
                <w:rFonts w:ascii="Calibri Light" w:hAnsi="Calibri Light" w:cs="Calibri Light"/>
                <w:b/>
                <w:bCs/>
                <w:i/>
                <w:iCs/>
                <w:color w:val="FFFFFF"/>
                <w:szCs w:val="18"/>
              </w:rPr>
              <w:t>2026</w:t>
            </w:r>
          </w:p>
        </w:tc>
        <w:tc>
          <w:tcPr>
            <w:tcW w:w="900" w:type="dxa"/>
            <w:tcBorders>
              <w:top w:val="nil"/>
              <w:left w:val="nil"/>
              <w:bottom w:val="single" w:sz="8" w:space="0" w:color="FFFFFF"/>
              <w:right w:val="single" w:sz="8" w:space="0" w:color="FFFFFF"/>
            </w:tcBorders>
            <w:shd w:val="clear" w:color="000000" w:fill="13576B"/>
            <w:vAlign w:val="center"/>
            <w:hideMark/>
          </w:tcPr>
          <w:p w14:paraId="35098CEE" w14:textId="77777777" w:rsidR="003D3DB8" w:rsidRPr="003D3DB8" w:rsidRDefault="003D3DB8" w:rsidP="003D3DB8">
            <w:pPr>
              <w:overflowPunct/>
              <w:autoSpaceDE/>
              <w:autoSpaceDN/>
              <w:adjustRightInd/>
              <w:jc w:val="center"/>
              <w:textAlignment w:val="auto"/>
              <w:rPr>
                <w:rFonts w:ascii="Calibri Light" w:hAnsi="Calibri Light" w:cs="Calibri Light"/>
                <w:b/>
                <w:bCs/>
                <w:i/>
                <w:iCs/>
                <w:color w:val="FFFFFF"/>
                <w:szCs w:val="18"/>
              </w:rPr>
            </w:pPr>
            <w:r w:rsidRPr="003D3DB8">
              <w:rPr>
                <w:rFonts w:ascii="Calibri Light" w:hAnsi="Calibri Light" w:cs="Calibri Light"/>
                <w:b/>
                <w:bCs/>
                <w:i/>
                <w:iCs/>
                <w:color w:val="FFFFFF"/>
                <w:szCs w:val="18"/>
              </w:rPr>
              <w:t>2027</w:t>
            </w:r>
          </w:p>
        </w:tc>
      </w:tr>
      <w:tr w:rsidR="009008CB" w:rsidRPr="003D3DB8" w14:paraId="09F90F10" w14:textId="77777777" w:rsidTr="009008CB">
        <w:trPr>
          <w:trHeight w:val="260"/>
        </w:trPr>
        <w:tc>
          <w:tcPr>
            <w:tcW w:w="5294" w:type="dxa"/>
            <w:tcBorders>
              <w:top w:val="nil"/>
              <w:left w:val="nil"/>
              <w:bottom w:val="nil"/>
              <w:right w:val="single" w:sz="8" w:space="0" w:color="FFFFFF"/>
            </w:tcBorders>
            <w:shd w:val="clear" w:color="000000" w:fill="13576B"/>
            <w:vAlign w:val="center"/>
            <w:hideMark/>
          </w:tcPr>
          <w:p w14:paraId="53B560F2" w14:textId="50FB78DF" w:rsidR="009008CB" w:rsidRPr="003D3DB8" w:rsidRDefault="009008CB" w:rsidP="009008CB">
            <w:pPr>
              <w:overflowPunct/>
              <w:autoSpaceDE/>
              <w:autoSpaceDN/>
              <w:adjustRightInd/>
              <w:jc w:val="left"/>
              <w:textAlignment w:val="auto"/>
              <w:rPr>
                <w:rFonts w:ascii="Calibri Light" w:hAnsi="Calibri Light" w:cs="Calibri Light"/>
                <w:b/>
                <w:bCs/>
                <w:color w:val="FFFFFF"/>
                <w:sz w:val="20"/>
              </w:rPr>
            </w:pPr>
            <w:r>
              <w:rPr>
                <w:rFonts w:ascii="Calibri Light" w:hAnsi="Calibri Light" w:cs="Calibri Light"/>
                <w:b/>
                <w:bCs/>
                <w:color w:val="FFFFFF"/>
                <w:sz w:val="20"/>
              </w:rPr>
              <w:t>Růst reálného HDP (%)</w:t>
            </w:r>
          </w:p>
        </w:tc>
        <w:tc>
          <w:tcPr>
            <w:tcW w:w="680" w:type="dxa"/>
            <w:tcBorders>
              <w:top w:val="nil"/>
              <w:left w:val="nil"/>
              <w:bottom w:val="nil"/>
              <w:right w:val="single" w:sz="8" w:space="0" w:color="FFFFFF"/>
            </w:tcBorders>
            <w:shd w:val="clear" w:color="000000" w:fill="D9D9D9"/>
            <w:noWrap/>
            <w:vAlign w:val="center"/>
            <w:hideMark/>
          </w:tcPr>
          <w:p w14:paraId="70550CD0" w14:textId="1CBBD8C7"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1,1</w:t>
            </w:r>
          </w:p>
        </w:tc>
        <w:tc>
          <w:tcPr>
            <w:tcW w:w="680" w:type="dxa"/>
            <w:tcBorders>
              <w:top w:val="nil"/>
              <w:left w:val="nil"/>
              <w:bottom w:val="nil"/>
              <w:right w:val="single" w:sz="8" w:space="0" w:color="FFFFFF"/>
            </w:tcBorders>
            <w:shd w:val="clear" w:color="000000" w:fill="D9D9D9"/>
            <w:noWrap/>
            <w:vAlign w:val="center"/>
            <w:hideMark/>
          </w:tcPr>
          <w:p w14:paraId="09D96CCB" w14:textId="307752EB"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2,6</w:t>
            </w:r>
          </w:p>
        </w:tc>
        <w:tc>
          <w:tcPr>
            <w:tcW w:w="680" w:type="dxa"/>
            <w:tcBorders>
              <w:top w:val="nil"/>
              <w:left w:val="nil"/>
              <w:bottom w:val="nil"/>
              <w:right w:val="single" w:sz="8" w:space="0" w:color="FFFFFF"/>
            </w:tcBorders>
            <w:shd w:val="clear" w:color="000000" w:fill="D9D9D9"/>
            <w:noWrap/>
            <w:vAlign w:val="center"/>
            <w:hideMark/>
          </w:tcPr>
          <w:p w14:paraId="752F6A81" w14:textId="70DD3D33"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2,0</w:t>
            </w:r>
          </w:p>
        </w:tc>
        <w:tc>
          <w:tcPr>
            <w:tcW w:w="680" w:type="dxa"/>
            <w:tcBorders>
              <w:top w:val="nil"/>
              <w:left w:val="nil"/>
              <w:bottom w:val="nil"/>
              <w:right w:val="single" w:sz="8" w:space="0" w:color="FFFFFF"/>
            </w:tcBorders>
            <w:shd w:val="clear" w:color="000000" w:fill="D9D9D9"/>
            <w:noWrap/>
            <w:vAlign w:val="center"/>
            <w:hideMark/>
          </w:tcPr>
          <w:p w14:paraId="3715D0FF" w14:textId="7925CC05"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2,4</w:t>
            </w:r>
          </w:p>
        </w:tc>
        <w:tc>
          <w:tcPr>
            <w:tcW w:w="186" w:type="dxa"/>
            <w:tcBorders>
              <w:top w:val="nil"/>
              <w:left w:val="nil"/>
              <w:bottom w:val="nil"/>
              <w:right w:val="single" w:sz="8" w:space="0" w:color="FFFFFF"/>
            </w:tcBorders>
            <w:shd w:val="clear" w:color="000000" w:fill="13576B"/>
            <w:noWrap/>
            <w:vAlign w:val="center"/>
            <w:hideMark/>
          </w:tcPr>
          <w:p w14:paraId="5AFFA379" w14:textId="3595E964"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 </w:t>
            </w:r>
          </w:p>
        </w:tc>
        <w:tc>
          <w:tcPr>
            <w:tcW w:w="720" w:type="dxa"/>
            <w:tcBorders>
              <w:top w:val="nil"/>
              <w:left w:val="nil"/>
              <w:bottom w:val="nil"/>
              <w:right w:val="single" w:sz="8" w:space="0" w:color="FFFFFF"/>
            </w:tcBorders>
            <w:shd w:val="clear" w:color="000000" w:fill="D9D9D9"/>
            <w:noWrap/>
            <w:vAlign w:val="center"/>
            <w:hideMark/>
          </w:tcPr>
          <w:p w14:paraId="1C2F34D2" w14:textId="294BB939" w:rsidR="009008CB" w:rsidRPr="003D3DB8" w:rsidRDefault="009008CB" w:rsidP="009008CB">
            <w:pPr>
              <w:overflowPunct/>
              <w:autoSpaceDE/>
              <w:autoSpaceDN/>
              <w:adjustRightInd/>
              <w:jc w:val="center"/>
              <w:textAlignment w:val="auto"/>
              <w:rPr>
                <w:rFonts w:ascii="Calibri Light" w:hAnsi="Calibri Light" w:cs="Calibri Light"/>
                <w:i/>
                <w:iCs/>
                <w:color w:val="13576B"/>
                <w:sz w:val="20"/>
              </w:rPr>
            </w:pPr>
            <w:r>
              <w:rPr>
                <w:rFonts w:ascii="Calibri Light" w:hAnsi="Calibri Light" w:cs="Calibri Light"/>
                <w:i/>
                <w:iCs/>
                <w:color w:val="FF0000"/>
                <w:sz w:val="20"/>
              </w:rPr>
              <w:t>(0,1)</w:t>
            </w:r>
          </w:p>
        </w:tc>
        <w:tc>
          <w:tcPr>
            <w:tcW w:w="680" w:type="dxa"/>
            <w:tcBorders>
              <w:top w:val="nil"/>
              <w:left w:val="nil"/>
              <w:bottom w:val="nil"/>
              <w:right w:val="single" w:sz="8" w:space="0" w:color="FFFFFF"/>
            </w:tcBorders>
            <w:shd w:val="clear" w:color="000000" w:fill="D9D9D9"/>
            <w:noWrap/>
            <w:vAlign w:val="center"/>
            <w:hideMark/>
          </w:tcPr>
          <w:p w14:paraId="5A0A2A4A" w14:textId="75E2EE68"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(-0,6)</w:t>
            </w:r>
          </w:p>
        </w:tc>
        <w:tc>
          <w:tcPr>
            <w:tcW w:w="900" w:type="dxa"/>
            <w:tcBorders>
              <w:top w:val="nil"/>
              <w:left w:val="nil"/>
              <w:bottom w:val="nil"/>
              <w:right w:val="single" w:sz="8" w:space="0" w:color="FFFFFF"/>
            </w:tcBorders>
            <w:shd w:val="clear" w:color="000000" w:fill="D9D9D9"/>
            <w:noWrap/>
            <w:vAlign w:val="center"/>
            <w:hideMark/>
          </w:tcPr>
          <w:p w14:paraId="53053618" w14:textId="5959E520"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(-0,2)</w:t>
            </w:r>
          </w:p>
        </w:tc>
      </w:tr>
      <w:tr w:rsidR="009008CB" w:rsidRPr="003D3DB8" w14:paraId="5C67DE5D" w14:textId="77777777" w:rsidTr="009008CB">
        <w:trPr>
          <w:trHeight w:val="260"/>
        </w:trPr>
        <w:tc>
          <w:tcPr>
            <w:tcW w:w="5294" w:type="dxa"/>
            <w:tcBorders>
              <w:top w:val="nil"/>
              <w:left w:val="nil"/>
              <w:bottom w:val="nil"/>
              <w:right w:val="single" w:sz="8" w:space="0" w:color="FFFFFF"/>
            </w:tcBorders>
            <w:shd w:val="clear" w:color="000000" w:fill="13576B"/>
            <w:vAlign w:val="center"/>
            <w:hideMark/>
          </w:tcPr>
          <w:p w14:paraId="32C39235" w14:textId="5A13A46F" w:rsidR="009008CB" w:rsidRPr="003D3DB8" w:rsidRDefault="009008CB" w:rsidP="009008CB">
            <w:pPr>
              <w:overflowPunct/>
              <w:autoSpaceDE/>
              <w:autoSpaceDN/>
              <w:adjustRightInd/>
              <w:ind w:firstLineChars="100" w:firstLine="201"/>
              <w:jc w:val="left"/>
              <w:textAlignment w:val="auto"/>
              <w:rPr>
                <w:rFonts w:ascii="Calibri Light" w:hAnsi="Calibri Light" w:cs="Calibri Light"/>
                <w:b/>
                <w:bCs/>
                <w:color w:val="FFFFFF"/>
                <w:sz w:val="20"/>
              </w:rPr>
            </w:pPr>
            <w:r>
              <w:rPr>
                <w:rFonts w:ascii="Calibri Light" w:hAnsi="Calibri Light" w:cs="Calibri Light"/>
                <w:b/>
                <w:bCs/>
                <w:color w:val="FFFFFF"/>
                <w:sz w:val="20"/>
              </w:rPr>
              <w:t>Růst spotřeby domácností (%)</w:t>
            </w:r>
          </w:p>
        </w:tc>
        <w:tc>
          <w:tcPr>
            <w:tcW w:w="680" w:type="dxa"/>
            <w:tcBorders>
              <w:top w:val="nil"/>
              <w:left w:val="nil"/>
              <w:bottom w:val="nil"/>
              <w:right w:val="single" w:sz="8" w:space="0" w:color="FFFFFF"/>
            </w:tcBorders>
            <w:shd w:val="clear" w:color="000000" w:fill="D9D9D9"/>
            <w:noWrap/>
            <w:vAlign w:val="center"/>
            <w:hideMark/>
          </w:tcPr>
          <w:p w14:paraId="13CCDA57" w14:textId="5B72444F"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2,2</w:t>
            </w:r>
          </w:p>
        </w:tc>
        <w:tc>
          <w:tcPr>
            <w:tcW w:w="680" w:type="dxa"/>
            <w:tcBorders>
              <w:top w:val="nil"/>
              <w:left w:val="nil"/>
              <w:bottom w:val="nil"/>
              <w:right w:val="single" w:sz="8" w:space="0" w:color="FFFFFF"/>
            </w:tcBorders>
            <w:shd w:val="clear" w:color="000000" w:fill="D9D9D9"/>
            <w:noWrap/>
            <w:vAlign w:val="center"/>
            <w:hideMark/>
          </w:tcPr>
          <w:p w14:paraId="34E10257" w14:textId="062FA540"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3,0</w:t>
            </w:r>
          </w:p>
        </w:tc>
        <w:tc>
          <w:tcPr>
            <w:tcW w:w="680" w:type="dxa"/>
            <w:tcBorders>
              <w:top w:val="nil"/>
              <w:left w:val="nil"/>
              <w:bottom w:val="nil"/>
              <w:right w:val="single" w:sz="8" w:space="0" w:color="FFFFFF"/>
            </w:tcBorders>
            <w:shd w:val="clear" w:color="000000" w:fill="D9D9D9"/>
            <w:noWrap/>
            <w:vAlign w:val="center"/>
            <w:hideMark/>
          </w:tcPr>
          <w:p w14:paraId="37238911" w14:textId="6648CB4A"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2,7</w:t>
            </w:r>
          </w:p>
        </w:tc>
        <w:tc>
          <w:tcPr>
            <w:tcW w:w="680" w:type="dxa"/>
            <w:tcBorders>
              <w:top w:val="nil"/>
              <w:left w:val="nil"/>
              <w:bottom w:val="nil"/>
              <w:right w:val="single" w:sz="8" w:space="0" w:color="FFFFFF"/>
            </w:tcBorders>
            <w:shd w:val="clear" w:color="000000" w:fill="D9D9D9"/>
            <w:noWrap/>
            <w:vAlign w:val="center"/>
            <w:hideMark/>
          </w:tcPr>
          <w:p w14:paraId="694E1343" w14:textId="05DF7716"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2,8</w:t>
            </w:r>
          </w:p>
        </w:tc>
        <w:tc>
          <w:tcPr>
            <w:tcW w:w="186" w:type="dxa"/>
            <w:tcBorders>
              <w:top w:val="nil"/>
              <w:left w:val="nil"/>
              <w:bottom w:val="nil"/>
              <w:right w:val="single" w:sz="8" w:space="0" w:color="FFFFFF"/>
            </w:tcBorders>
            <w:shd w:val="clear" w:color="000000" w:fill="13576B"/>
            <w:noWrap/>
            <w:vAlign w:val="center"/>
            <w:hideMark/>
          </w:tcPr>
          <w:p w14:paraId="7345D31E" w14:textId="2EB92F0B"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 </w:t>
            </w:r>
          </w:p>
        </w:tc>
        <w:tc>
          <w:tcPr>
            <w:tcW w:w="720" w:type="dxa"/>
            <w:tcBorders>
              <w:top w:val="nil"/>
              <w:left w:val="nil"/>
              <w:bottom w:val="nil"/>
              <w:right w:val="single" w:sz="8" w:space="0" w:color="FFFFFF"/>
            </w:tcBorders>
            <w:shd w:val="clear" w:color="000000" w:fill="D9D9D9"/>
            <w:noWrap/>
            <w:vAlign w:val="center"/>
            <w:hideMark/>
          </w:tcPr>
          <w:p w14:paraId="58C127AC" w14:textId="0EEDE736" w:rsidR="009008CB" w:rsidRPr="003D3DB8" w:rsidRDefault="009008CB" w:rsidP="009008CB">
            <w:pPr>
              <w:overflowPunct/>
              <w:autoSpaceDE/>
              <w:autoSpaceDN/>
              <w:adjustRightInd/>
              <w:jc w:val="center"/>
              <w:textAlignment w:val="auto"/>
              <w:rPr>
                <w:rFonts w:ascii="Calibri Light" w:hAnsi="Calibri Light" w:cs="Calibri Light"/>
                <w:i/>
                <w:iCs/>
                <w:color w:val="13576B"/>
                <w:sz w:val="20"/>
              </w:rPr>
            </w:pPr>
            <w:r>
              <w:rPr>
                <w:rFonts w:ascii="Calibri Light" w:hAnsi="Calibri Light" w:cs="Calibri Light"/>
                <w:i/>
                <w:iCs/>
                <w:color w:val="FF0000"/>
                <w:sz w:val="20"/>
              </w:rPr>
              <w:t>(0,1)</w:t>
            </w:r>
          </w:p>
        </w:tc>
        <w:tc>
          <w:tcPr>
            <w:tcW w:w="680" w:type="dxa"/>
            <w:tcBorders>
              <w:top w:val="nil"/>
              <w:left w:val="nil"/>
              <w:bottom w:val="nil"/>
              <w:right w:val="single" w:sz="8" w:space="0" w:color="FFFFFF"/>
            </w:tcBorders>
            <w:shd w:val="clear" w:color="000000" w:fill="D9D9D9"/>
            <w:noWrap/>
            <w:vAlign w:val="center"/>
            <w:hideMark/>
          </w:tcPr>
          <w:p w14:paraId="051BE268" w14:textId="3C1E5383"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(-0,1)</w:t>
            </w:r>
          </w:p>
        </w:tc>
        <w:tc>
          <w:tcPr>
            <w:tcW w:w="900" w:type="dxa"/>
            <w:tcBorders>
              <w:top w:val="nil"/>
              <w:left w:val="nil"/>
              <w:bottom w:val="nil"/>
              <w:right w:val="single" w:sz="8" w:space="0" w:color="FFFFFF"/>
            </w:tcBorders>
            <w:shd w:val="clear" w:color="000000" w:fill="D9D9D9"/>
            <w:noWrap/>
            <w:vAlign w:val="center"/>
            <w:hideMark/>
          </w:tcPr>
          <w:p w14:paraId="19C958FF" w14:textId="4D8F98A1"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(0,2)</w:t>
            </w:r>
          </w:p>
        </w:tc>
      </w:tr>
      <w:tr w:rsidR="009008CB" w:rsidRPr="003D3DB8" w14:paraId="33112D6D" w14:textId="77777777" w:rsidTr="009008CB">
        <w:trPr>
          <w:trHeight w:val="260"/>
        </w:trPr>
        <w:tc>
          <w:tcPr>
            <w:tcW w:w="5294" w:type="dxa"/>
            <w:tcBorders>
              <w:top w:val="nil"/>
              <w:left w:val="nil"/>
              <w:bottom w:val="nil"/>
              <w:right w:val="single" w:sz="8" w:space="0" w:color="FFFFFF"/>
            </w:tcBorders>
            <w:shd w:val="clear" w:color="000000" w:fill="13576B"/>
            <w:vAlign w:val="center"/>
            <w:hideMark/>
          </w:tcPr>
          <w:p w14:paraId="17CA8AAD" w14:textId="48A86F03" w:rsidR="009008CB" w:rsidRPr="003D3DB8" w:rsidRDefault="009008CB" w:rsidP="009008CB">
            <w:pPr>
              <w:overflowPunct/>
              <w:autoSpaceDE/>
              <w:autoSpaceDN/>
              <w:adjustRightInd/>
              <w:ind w:firstLineChars="100" w:firstLine="201"/>
              <w:jc w:val="left"/>
              <w:textAlignment w:val="auto"/>
              <w:rPr>
                <w:rFonts w:ascii="Calibri Light" w:hAnsi="Calibri Light" w:cs="Calibri Light"/>
                <w:b/>
                <w:bCs/>
                <w:color w:val="FFFFFF"/>
                <w:sz w:val="20"/>
              </w:rPr>
            </w:pPr>
            <w:r>
              <w:rPr>
                <w:rFonts w:ascii="Calibri Light" w:hAnsi="Calibri Light" w:cs="Calibri Light"/>
                <w:b/>
                <w:bCs/>
                <w:color w:val="FFFFFF"/>
                <w:sz w:val="20"/>
              </w:rPr>
              <w:t>Růst vládní spotřeby (%)</w:t>
            </w:r>
          </w:p>
        </w:tc>
        <w:tc>
          <w:tcPr>
            <w:tcW w:w="680" w:type="dxa"/>
            <w:tcBorders>
              <w:top w:val="nil"/>
              <w:left w:val="nil"/>
              <w:bottom w:val="nil"/>
              <w:right w:val="single" w:sz="8" w:space="0" w:color="FFFFFF"/>
            </w:tcBorders>
            <w:shd w:val="clear" w:color="000000" w:fill="D9D9D9"/>
            <w:noWrap/>
            <w:vAlign w:val="center"/>
            <w:hideMark/>
          </w:tcPr>
          <w:p w14:paraId="5036D01C" w14:textId="1E2C0E65"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3,1</w:t>
            </w:r>
          </w:p>
        </w:tc>
        <w:tc>
          <w:tcPr>
            <w:tcW w:w="680" w:type="dxa"/>
            <w:tcBorders>
              <w:top w:val="nil"/>
              <w:left w:val="nil"/>
              <w:bottom w:val="nil"/>
              <w:right w:val="single" w:sz="8" w:space="0" w:color="FFFFFF"/>
            </w:tcBorders>
            <w:shd w:val="clear" w:color="000000" w:fill="D9D9D9"/>
            <w:noWrap/>
            <w:vAlign w:val="center"/>
            <w:hideMark/>
          </w:tcPr>
          <w:p w14:paraId="61DAA407" w14:textId="42B25ED3"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2,1</w:t>
            </w:r>
          </w:p>
        </w:tc>
        <w:tc>
          <w:tcPr>
            <w:tcW w:w="680" w:type="dxa"/>
            <w:tcBorders>
              <w:top w:val="nil"/>
              <w:left w:val="nil"/>
              <w:bottom w:val="nil"/>
              <w:right w:val="single" w:sz="8" w:space="0" w:color="FFFFFF"/>
            </w:tcBorders>
            <w:shd w:val="clear" w:color="000000" w:fill="D9D9D9"/>
            <w:noWrap/>
            <w:vAlign w:val="center"/>
            <w:hideMark/>
          </w:tcPr>
          <w:p w14:paraId="1BD382ED" w14:textId="42A773A3"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2,0</w:t>
            </w:r>
          </w:p>
        </w:tc>
        <w:tc>
          <w:tcPr>
            <w:tcW w:w="680" w:type="dxa"/>
            <w:tcBorders>
              <w:top w:val="nil"/>
              <w:left w:val="nil"/>
              <w:bottom w:val="nil"/>
              <w:right w:val="single" w:sz="8" w:space="0" w:color="FFFFFF"/>
            </w:tcBorders>
            <w:shd w:val="clear" w:color="000000" w:fill="D9D9D9"/>
            <w:noWrap/>
            <w:vAlign w:val="center"/>
            <w:hideMark/>
          </w:tcPr>
          <w:p w14:paraId="1C528488" w14:textId="3FB56117"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2,5</w:t>
            </w:r>
          </w:p>
        </w:tc>
        <w:tc>
          <w:tcPr>
            <w:tcW w:w="186" w:type="dxa"/>
            <w:tcBorders>
              <w:top w:val="nil"/>
              <w:left w:val="nil"/>
              <w:bottom w:val="nil"/>
              <w:right w:val="single" w:sz="8" w:space="0" w:color="FFFFFF"/>
            </w:tcBorders>
            <w:shd w:val="clear" w:color="000000" w:fill="13576B"/>
            <w:noWrap/>
            <w:vAlign w:val="center"/>
            <w:hideMark/>
          </w:tcPr>
          <w:p w14:paraId="24B3255B" w14:textId="27681F2F"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 </w:t>
            </w:r>
          </w:p>
        </w:tc>
        <w:tc>
          <w:tcPr>
            <w:tcW w:w="720" w:type="dxa"/>
            <w:tcBorders>
              <w:top w:val="nil"/>
              <w:left w:val="nil"/>
              <w:bottom w:val="nil"/>
              <w:right w:val="single" w:sz="8" w:space="0" w:color="FFFFFF"/>
            </w:tcBorders>
            <w:shd w:val="clear" w:color="000000" w:fill="D9D9D9"/>
            <w:noWrap/>
            <w:vAlign w:val="center"/>
            <w:hideMark/>
          </w:tcPr>
          <w:p w14:paraId="07ACE6A2" w14:textId="537DE95B" w:rsidR="009008CB" w:rsidRPr="003D3DB8" w:rsidRDefault="009008CB" w:rsidP="009008CB">
            <w:pPr>
              <w:overflowPunct/>
              <w:autoSpaceDE/>
              <w:autoSpaceDN/>
              <w:adjustRightInd/>
              <w:jc w:val="center"/>
              <w:textAlignment w:val="auto"/>
              <w:rPr>
                <w:rFonts w:ascii="Calibri Light" w:hAnsi="Calibri Light" w:cs="Calibri Light"/>
                <w:i/>
                <w:iCs/>
                <w:color w:val="13576B"/>
                <w:sz w:val="20"/>
              </w:rPr>
            </w:pPr>
            <w:r>
              <w:rPr>
                <w:rFonts w:ascii="Calibri Light" w:hAnsi="Calibri Light" w:cs="Calibri Light"/>
                <w:i/>
                <w:iCs/>
                <w:color w:val="FF0000"/>
                <w:sz w:val="20"/>
              </w:rPr>
              <w:t>(0,1)</w:t>
            </w:r>
          </w:p>
        </w:tc>
        <w:tc>
          <w:tcPr>
            <w:tcW w:w="680" w:type="dxa"/>
            <w:tcBorders>
              <w:top w:val="nil"/>
              <w:left w:val="nil"/>
              <w:bottom w:val="nil"/>
              <w:right w:val="single" w:sz="8" w:space="0" w:color="FFFFFF"/>
            </w:tcBorders>
            <w:shd w:val="clear" w:color="000000" w:fill="D9D9D9"/>
            <w:noWrap/>
            <w:vAlign w:val="center"/>
            <w:hideMark/>
          </w:tcPr>
          <w:p w14:paraId="0F188EC6" w14:textId="3BF4C7C7"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(-0,2)</w:t>
            </w:r>
          </w:p>
        </w:tc>
        <w:tc>
          <w:tcPr>
            <w:tcW w:w="900" w:type="dxa"/>
            <w:tcBorders>
              <w:top w:val="nil"/>
              <w:left w:val="nil"/>
              <w:bottom w:val="nil"/>
              <w:right w:val="single" w:sz="8" w:space="0" w:color="FFFFFF"/>
            </w:tcBorders>
            <w:shd w:val="clear" w:color="000000" w:fill="D9D9D9"/>
            <w:noWrap/>
            <w:vAlign w:val="center"/>
            <w:hideMark/>
          </w:tcPr>
          <w:p w14:paraId="3C2A0511" w14:textId="13CDD2AA"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(0,4)</w:t>
            </w:r>
          </w:p>
        </w:tc>
      </w:tr>
      <w:tr w:rsidR="009008CB" w:rsidRPr="003D3DB8" w14:paraId="15EB76E6" w14:textId="77777777" w:rsidTr="009008CB">
        <w:trPr>
          <w:trHeight w:val="260"/>
        </w:trPr>
        <w:tc>
          <w:tcPr>
            <w:tcW w:w="5294" w:type="dxa"/>
            <w:tcBorders>
              <w:top w:val="nil"/>
              <w:left w:val="nil"/>
              <w:bottom w:val="nil"/>
              <w:right w:val="single" w:sz="8" w:space="0" w:color="FFFFFF"/>
            </w:tcBorders>
            <w:shd w:val="clear" w:color="000000" w:fill="13576B"/>
            <w:vAlign w:val="center"/>
            <w:hideMark/>
          </w:tcPr>
          <w:p w14:paraId="350876AE" w14:textId="4FBF1C0E" w:rsidR="009008CB" w:rsidRPr="003D3DB8" w:rsidRDefault="009008CB" w:rsidP="009008CB">
            <w:pPr>
              <w:overflowPunct/>
              <w:autoSpaceDE/>
              <w:autoSpaceDN/>
              <w:adjustRightInd/>
              <w:ind w:firstLineChars="100" w:firstLine="201"/>
              <w:jc w:val="left"/>
              <w:textAlignment w:val="auto"/>
              <w:rPr>
                <w:rFonts w:ascii="Calibri Light" w:hAnsi="Calibri Light" w:cs="Calibri Light"/>
                <w:b/>
                <w:bCs/>
                <w:color w:val="FFFFFF"/>
                <w:sz w:val="20"/>
              </w:rPr>
            </w:pPr>
            <w:r>
              <w:rPr>
                <w:rFonts w:ascii="Calibri Light" w:hAnsi="Calibri Light" w:cs="Calibri Light"/>
                <w:b/>
                <w:bCs/>
                <w:color w:val="FFFFFF"/>
                <w:sz w:val="20"/>
              </w:rPr>
              <w:t>Růst investic (bez zásob, %)</w:t>
            </w:r>
          </w:p>
        </w:tc>
        <w:tc>
          <w:tcPr>
            <w:tcW w:w="680" w:type="dxa"/>
            <w:tcBorders>
              <w:top w:val="nil"/>
              <w:left w:val="nil"/>
              <w:bottom w:val="nil"/>
              <w:right w:val="single" w:sz="8" w:space="0" w:color="FFFFFF"/>
            </w:tcBorders>
            <w:shd w:val="clear" w:color="000000" w:fill="D9D9D9"/>
            <w:noWrap/>
            <w:vAlign w:val="center"/>
            <w:hideMark/>
          </w:tcPr>
          <w:p w14:paraId="20BDC103" w14:textId="43B2D432"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-3,0</w:t>
            </w:r>
          </w:p>
        </w:tc>
        <w:tc>
          <w:tcPr>
            <w:tcW w:w="680" w:type="dxa"/>
            <w:tcBorders>
              <w:top w:val="nil"/>
              <w:left w:val="nil"/>
              <w:bottom w:val="nil"/>
              <w:right w:val="single" w:sz="8" w:space="0" w:color="FFFFFF"/>
            </w:tcBorders>
            <w:shd w:val="clear" w:color="000000" w:fill="D9D9D9"/>
            <w:noWrap/>
            <w:vAlign w:val="center"/>
            <w:hideMark/>
          </w:tcPr>
          <w:p w14:paraId="2AA254BA" w14:textId="5119DC46"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2,6</w:t>
            </w:r>
          </w:p>
        </w:tc>
        <w:tc>
          <w:tcPr>
            <w:tcW w:w="680" w:type="dxa"/>
            <w:tcBorders>
              <w:top w:val="nil"/>
              <w:left w:val="nil"/>
              <w:bottom w:val="nil"/>
              <w:right w:val="single" w:sz="8" w:space="0" w:color="FFFFFF"/>
            </w:tcBorders>
            <w:shd w:val="clear" w:color="000000" w:fill="D9D9D9"/>
            <w:noWrap/>
            <w:vAlign w:val="center"/>
            <w:hideMark/>
          </w:tcPr>
          <w:p w14:paraId="309925BC" w14:textId="55549BC9"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3,5</w:t>
            </w:r>
          </w:p>
        </w:tc>
        <w:tc>
          <w:tcPr>
            <w:tcW w:w="680" w:type="dxa"/>
            <w:tcBorders>
              <w:top w:val="nil"/>
              <w:left w:val="nil"/>
              <w:bottom w:val="nil"/>
              <w:right w:val="single" w:sz="8" w:space="0" w:color="FFFFFF"/>
            </w:tcBorders>
            <w:shd w:val="clear" w:color="000000" w:fill="D9D9D9"/>
            <w:noWrap/>
            <w:vAlign w:val="center"/>
            <w:hideMark/>
          </w:tcPr>
          <w:p w14:paraId="7E495FAE" w14:textId="762E8C50"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2,6</w:t>
            </w:r>
          </w:p>
        </w:tc>
        <w:tc>
          <w:tcPr>
            <w:tcW w:w="186" w:type="dxa"/>
            <w:tcBorders>
              <w:top w:val="nil"/>
              <w:left w:val="nil"/>
              <w:bottom w:val="nil"/>
              <w:right w:val="single" w:sz="8" w:space="0" w:color="FFFFFF"/>
            </w:tcBorders>
            <w:shd w:val="clear" w:color="000000" w:fill="13576B"/>
            <w:noWrap/>
            <w:vAlign w:val="center"/>
            <w:hideMark/>
          </w:tcPr>
          <w:p w14:paraId="5FE893DD" w14:textId="45478FF3"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 </w:t>
            </w:r>
          </w:p>
        </w:tc>
        <w:tc>
          <w:tcPr>
            <w:tcW w:w="720" w:type="dxa"/>
            <w:tcBorders>
              <w:top w:val="nil"/>
              <w:left w:val="nil"/>
              <w:bottom w:val="nil"/>
              <w:right w:val="single" w:sz="8" w:space="0" w:color="FFFFFF"/>
            </w:tcBorders>
            <w:shd w:val="clear" w:color="000000" w:fill="D9D9D9"/>
            <w:noWrap/>
            <w:vAlign w:val="center"/>
            <w:hideMark/>
          </w:tcPr>
          <w:p w14:paraId="787D76A6" w14:textId="367B0F73" w:rsidR="009008CB" w:rsidRPr="003D3DB8" w:rsidRDefault="009008CB" w:rsidP="009008CB">
            <w:pPr>
              <w:overflowPunct/>
              <w:autoSpaceDE/>
              <w:autoSpaceDN/>
              <w:adjustRightInd/>
              <w:jc w:val="center"/>
              <w:textAlignment w:val="auto"/>
              <w:rPr>
                <w:rFonts w:ascii="Calibri Light" w:hAnsi="Calibri Light" w:cs="Calibri Light"/>
                <w:i/>
                <w:iCs/>
                <w:color w:val="13576B"/>
                <w:sz w:val="20"/>
              </w:rPr>
            </w:pPr>
            <w:r>
              <w:rPr>
                <w:rFonts w:ascii="Calibri Light" w:hAnsi="Calibri Light" w:cs="Calibri Light"/>
                <w:i/>
                <w:iCs/>
                <w:color w:val="FF0000"/>
                <w:sz w:val="20"/>
              </w:rPr>
              <w:t>(1,6)</w:t>
            </w:r>
          </w:p>
        </w:tc>
        <w:tc>
          <w:tcPr>
            <w:tcW w:w="680" w:type="dxa"/>
            <w:tcBorders>
              <w:top w:val="nil"/>
              <w:left w:val="nil"/>
              <w:bottom w:val="nil"/>
              <w:right w:val="single" w:sz="8" w:space="0" w:color="FFFFFF"/>
            </w:tcBorders>
            <w:shd w:val="clear" w:color="000000" w:fill="D9D9D9"/>
            <w:noWrap/>
            <w:vAlign w:val="center"/>
            <w:hideMark/>
          </w:tcPr>
          <w:p w14:paraId="003DB7B1" w14:textId="3F18591A"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(0,4)</w:t>
            </w:r>
          </w:p>
        </w:tc>
        <w:tc>
          <w:tcPr>
            <w:tcW w:w="900" w:type="dxa"/>
            <w:tcBorders>
              <w:top w:val="nil"/>
              <w:left w:val="nil"/>
              <w:bottom w:val="nil"/>
              <w:right w:val="single" w:sz="8" w:space="0" w:color="FFFFFF"/>
            </w:tcBorders>
            <w:shd w:val="clear" w:color="000000" w:fill="D9D9D9"/>
            <w:noWrap/>
            <w:vAlign w:val="center"/>
            <w:hideMark/>
          </w:tcPr>
          <w:p w14:paraId="5ABCBEAA" w14:textId="59932C95"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(-0,5)</w:t>
            </w:r>
          </w:p>
        </w:tc>
      </w:tr>
      <w:tr w:rsidR="009008CB" w:rsidRPr="003D3DB8" w14:paraId="16559259" w14:textId="77777777" w:rsidTr="009008CB">
        <w:trPr>
          <w:trHeight w:val="260"/>
        </w:trPr>
        <w:tc>
          <w:tcPr>
            <w:tcW w:w="5294" w:type="dxa"/>
            <w:tcBorders>
              <w:top w:val="nil"/>
              <w:left w:val="nil"/>
              <w:bottom w:val="nil"/>
              <w:right w:val="single" w:sz="8" w:space="0" w:color="FFFFFF"/>
            </w:tcBorders>
            <w:shd w:val="clear" w:color="000000" w:fill="13576B"/>
            <w:vAlign w:val="center"/>
            <w:hideMark/>
          </w:tcPr>
          <w:p w14:paraId="053D1014" w14:textId="3CF421A9" w:rsidR="009008CB" w:rsidRPr="003D3DB8" w:rsidRDefault="009008CB" w:rsidP="009008CB">
            <w:pPr>
              <w:overflowPunct/>
              <w:autoSpaceDE/>
              <w:autoSpaceDN/>
              <w:adjustRightInd/>
              <w:ind w:firstLineChars="100" w:firstLine="201"/>
              <w:jc w:val="left"/>
              <w:textAlignment w:val="auto"/>
              <w:rPr>
                <w:rFonts w:ascii="Calibri Light" w:hAnsi="Calibri Light" w:cs="Calibri Light"/>
                <w:b/>
                <w:bCs/>
                <w:color w:val="FFFFFF"/>
                <w:sz w:val="20"/>
              </w:rPr>
            </w:pPr>
            <w:r>
              <w:rPr>
                <w:rFonts w:ascii="Calibri Light" w:hAnsi="Calibri Light" w:cs="Calibri Light"/>
                <w:b/>
                <w:bCs/>
                <w:color w:val="FFFFFF"/>
                <w:sz w:val="20"/>
              </w:rPr>
              <w:t xml:space="preserve">Růst vývozů (%) </w:t>
            </w:r>
          </w:p>
        </w:tc>
        <w:tc>
          <w:tcPr>
            <w:tcW w:w="680" w:type="dxa"/>
            <w:tcBorders>
              <w:top w:val="nil"/>
              <w:left w:val="nil"/>
              <w:bottom w:val="nil"/>
              <w:right w:val="single" w:sz="8" w:space="0" w:color="FFFFFF"/>
            </w:tcBorders>
            <w:shd w:val="clear" w:color="000000" w:fill="D9D9D9"/>
            <w:noWrap/>
            <w:vAlign w:val="center"/>
            <w:hideMark/>
          </w:tcPr>
          <w:p w14:paraId="129E7D6D" w14:textId="72C2D7CD"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1,1</w:t>
            </w:r>
          </w:p>
        </w:tc>
        <w:tc>
          <w:tcPr>
            <w:tcW w:w="680" w:type="dxa"/>
            <w:tcBorders>
              <w:top w:val="nil"/>
              <w:left w:val="nil"/>
              <w:bottom w:val="nil"/>
              <w:right w:val="single" w:sz="8" w:space="0" w:color="FFFFFF"/>
            </w:tcBorders>
            <w:shd w:val="clear" w:color="000000" w:fill="D9D9D9"/>
            <w:noWrap/>
            <w:vAlign w:val="center"/>
            <w:hideMark/>
          </w:tcPr>
          <w:p w14:paraId="653E6DE0" w14:textId="51F7BDA6"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4,1</w:t>
            </w:r>
          </w:p>
        </w:tc>
        <w:tc>
          <w:tcPr>
            <w:tcW w:w="680" w:type="dxa"/>
            <w:tcBorders>
              <w:top w:val="nil"/>
              <w:left w:val="nil"/>
              <w:bottom w:val="nil"/>
              <w:right w:val="single" w:sz="8" w:space="0" w:color="FFFFFF"/>
            </w:tcBorders>
            <w:shd w:val="clear" w:color="000000" w:fill="D9D9D9"/>
            <w:noWrap/>
            <w:vAlign w:val="center"/>
            <w:hideMark/>
          </w:tcPr>
          <w:p w14:paraId="270A1BD1" w14:textId="574CAA27"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3,2</w:t>
            </w:r>
          </w:p>
        </w:tc>
        <w:tc>
          <w:tcPr>
            <w:tcW w:w="680" w:type="dxa"/>
            <w:tcBorders>
              <w:top w:val="nil"/>
              <w:left w:val="nil"/>
              <w:bottom w:val="nil"/>
              <w:right w:val="single" w:sz="8" w:space="0" w:color="FFFFFF"/>
            </w:tcBorders>
            <w:shd w:val="clear" w:color="000000" w:fill="D9D9D9"/>
            <w:noWrap/>
            <w:vAlign w:val="center"/>
            <w:hideMark/>
          </w:tcPr>
          <w:p w14:paraId="49D9FAEA" w14:textId="361632F0"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4,1</w:t>
            </w:r>
          </w:p>
        </w:tc>
        <w:tc>
          <w:tcPr>
            <w:tcW w:w="186" w:type="dxa"/>
            <w:tcBorders>
              <w:top w:val="nil"/>
              <w:left w:val="nil"/>
              <w:bottom w:val="nil"/>
              <w:right w:val="single" w:sz="8" w:space="0" w:color="FFFFFF"/>
            </w:tcBorders>
            <w:shd w:val="clear" w:color="000000" w:fill="13576B"/>
            <w:noWrap/>
            <w:vAlign w:val="center"/>
            <w:hideMark/>
          </w:tcPr>
          <w:p w14:paraId="4A7BC29E" w14:textId="60A60A0E"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 </w:t>
            </w:r>
          </w:p>
        </w:tc>
        <w:tc>
          <w:tcPr>
            <w:tcW w:w="720" w:type="dxa"/>
            <w:tcBorders>
              <w:top w:val="nil"/>
              <w:left w:val="nil"/>
              <w:bottom w:val="nil"/>
              <w:right w:val="single" w:sz="8" w:space="0" w:color="FFFFFF"/>
            </w:tcBorders>
            <w:shd w:val="clear" w:color="000000" w:fill="D9D9D9"/>
            <w:noWrap/>
            <w:vAlign w:val="center"/>
            <w:hideMark/>
          </w:tcPr>
          <w:p w14:paraId="08E5F88D" w14:textId="14F6BD86" w:rsidR="009008CB" w:rsidRPr="003D3DB8" w:rsidRDefault="009008CB" w:rsidP="009008CB">
            <w:pPr>
              <w:overflowPunct/>
              <w:autoSpaceDE/>
              <w:autoSpaceDN/>
              <w:adjustRightInd/>
              <w:jc w:val="center"/>
              <w:textAlignment w:val="auto"/>
              <w:rPr>
                <w:rFonts w:ascii="Calibri Light" w:hAnsi="Calibri Light" w:cs="Calibri Light"/>
                <w:i/>
                <w:iCs/>
                <w:color w:val="13576B"/>
                <w:sz w:val="20"/>
              </w:rPr>
            </w:pPr>
            <w:r>
              <w:rPr>
                <w:rFonts w:ascii="Calibri Light" w:hAnsi="Calibri Light" w:cs="Calibri Light"/>
                <w:i/>
                <w:iCs/>
                <w:color w:val="FF0000"/>
                <w:sz w:val="20"/>
              </w:rPr>
              <w:t>(0)</w:t>
            </w:r>
          </w:p>
        </w:tc>
        <w:tc>
          <w:tcPr>
            <w:tcW w:w="680" w:type="dxa"/>
            <w:tcBorders>
              <w:top w:val="nil"/>
              <w:left w:val="nil"/>
              <w:bottom w:val="nil"/>
              <w:right w:val="single" w:sz="8" w:space="0" w:color="FFFFFF"/>
            </w:tcBorders>
            <w:shd w:val="clear" w:color="000000" w:fill="D9D9D9"/>
            <w:noWrap/>
            <w:vAlign w:val="center"/>
            <w:hideMark/>
          </w:tcPr>
          <w:p w14:paraId="797CE1D5" w14:textId="76873659"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(-0,6)</w:t>
            </w:r>
          </w:p>
        </w:tc>
        <w:tc>
          <w:tcPr>
            <w:tcW w:w="900" w:type="dxa"/>
            <w:tcBorders>
              <w:top w:val="nil"/>
              <w:left w:val="nil"/>
              <w:bottom w:val="nil"/>
              <w:right w:val="single" w:sz="8" w:space="0" w:color="FFFFFF"/>
            </w:tcBorders>
            <w:shd w:val="clear" w:color="000000" w:fill="D9D9D9"/>
            <w:noWrap/>
            <w:vAlign w:val="center"/>
            <w:hideMark/>
          </w:tcPr>
          <w:p w14:paraId="46F09374" w14:textId="05704C48"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(-0,1)</w:t>
            </w:r>
          </w:p>
        </w:tc>
      </w:tr>
      <w:tr w:rsidR="009008CB" w:rsidRPr="003D3DB8" w14:paraId="565E513D" w14:textId="77777777" w:rsidTr="009008CB">
        <w:trPr>
          <w:trHeight w:val="270"/>
        </w:trPr>
        <w:tc>
          <w:tcPr>
            <w:tcW w:w="5294" w:type="dxa"/>
            <w:tcBorders>
              <w:top w:val="nil"/>
              <w:left w:val="nil"/>
              <w:bottom w:val="single" w:sz="8" w:space="0" w:color="FFFFFF"/>
              <w:right w:val="single" w:sz="8" w:space="0" w:color="FFFFFF"/>
            </w:tcBorders>
            <w:shd w:val="clear" w:color="000000" w:fill="13576B"/>
            <w:vAlign w:val="center"/>
            <w:hideMark/>
          </w:tcPr>
          <w:p w14:paraId="6BDC2590" w14:textId="016F603E" w:rsidR="009008CB" w:rsidRPr="003D3DB8" w:rsidRDefault="009008CB" w:rsidP="009008CB">
            <w:pPr>
              <w:overflowPunct/>
              <w:autoSpaceDE/>
              <w:autoSpaceDN/>
              <w:adjustRightInd/>
              <w:ind w:firstLineChars="100" w:firstLine="201"/>
              <w:jc w:val="left"/>
              <w:textAlignment w:val="auto"/>
              <w:rPr>
                <w:rFonts w:ascii="Calibri Light" w:hAnsi="Calibri Light" w:cs="Calibri Light"/>
                <w:b/>
                <w:bCs/>
                <w:color w:val="FFFFFF"/>
                <w:sz w:val="20"/>
              </w:rPr>
            </w:pPr>
            <w:r>
              <w:rPr>
                <w:rFonts w:ascii="Calibri Light" w:hAnsi="Calibri Light" w:cs="Calibri Light"/>
                <w:b/>
                <w:bCs/>
                <w:color w:val="FFFFFF"/>
                <w:sz w:val="20"/>
              </w:rPr>
              <w:t>Růst dovozů (%)</w:t>
            </w:r>
          </w:p>
        </w:tc>
        <w:tc>
          <w:tcPr>
            <w:tcW w:w="680" w:type="dxa"/>
            <w:tcBorders>
              <w:top w:val="nil"/>
              <w:left w:val="nil"/>
              <w:bottom w:val="single" w:sz="8" w:space="0" w:color="FFFFFF"/>
              <w:right w:val="single" w:sz="8" w:space="0" w:color="FFFFFF"/>
            </w:tcBorders>
            <w:shd w:val="clear" w:color="000000" w:fill="D9D9D9"/>
            <w:noWrap/>
            <w:vAlign w:val="center"/>
            <w:hideMark/>
          </w:tcPr>
          <w:p w14:paraId="7799FF38" w14:textId="588A4959"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0,2</w:t>
            </w:r>
          </w:p>
        </w:tc>
        <w:tc>
          <w:tcPr>
            <w:tcW w:w="680" w:type="dxa"/>
            <w:tcBorders>
              <w:top w:val="nil"/>
              <w:left w:val="nil"/>
              <w:bottom w:val="single" w:sz="8" w:space="0" w:color="FFFFFF"/>
              <w:right w:val="single" w:sz="8" w:space="0" w:color="FFFFFF"/>
            </w:tcBorders>
            <w:shd w:val="clear" w:color="000000" w:fill="D9D9D9"/>
            <w:noWrap/>
            <w:vAlign w:val="center"/>
            <w:hideMark/>
          </w:tcPr>
          <w:p w14:paraId="69E0F590" w14:textId="6CF52AB6"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5,2</w:t>
            </w:r>
          </w:p>
        </w:tc>
        <w:tc>
          <w:tcPr>
            <w:tcW w:w="680" w:type="dxa"/>
            <w:tcBorders>
              <w:top w:val="nil"/>
              <w:left w:val="nil"/>
              <w:bottom w:val="single" w:sz="8" w:space="0" w:color="FFFFFF"/>
              <w:right w:val="single" w:sz="8" w:space="0" w:color="FFFFFF"/>
            </w:tcBorders>
            <w:shd w:val="clear" w:color="000000" w:fill="D9D9D9"/>
            <w:noWrap/>
            <w:vAlign w:val="center"/>
            <w:hideMark/>
          </w:tcPr>
          <w:p w14:paraId="763976A4" w14:textId="527C878B"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3,8</w:t>
            </w:r>
          </w:p>
        </w:tc>
        <w:tc>
          <w:tcPr>
            <w:tcW w:w="680" w:type="dxa"/>
            <w:tcBorders>
              <w:top w:val="nil"/>
              <w:left w:val="nil"/>
              <w:bottom w:val="single" w:sz="8" w:space="0" w:color="FFFFFF"/>
              <w:right w:val="single" w:sz="8" w:space="0" w:color="FFFFFF"/>
            </w:tcBorders>
            <w:shd w:val="clear" w:color="000000" w:fill="D9D9D9"/>
            <w:noWrap/>
            <w:vAlign w:val="center"/>
            <w:hideMark/>
          </w:tcPr>
          <w:p w14:paraId="15896FE9" w14:textId="625E8CA1"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4,3</w:t>
            </w:r>
          </w:p>
        </w:tc>
        <w:tc>
          <w:tcPr>
            <w:tcW w:w="186" w:type="dxa"/>
            <w:tcBorders>
              <w:top w:val="nil"/>
              <w:left w:val="nil"/>
              <w:bottom w:val="nil"/>
              <w:right w:val="single" w:sz="8" w:space="0" w:color="FFFFFF"/>
            </w:tcBorders>
            <w:shd w:val="clear" w:color="000000" w:fill="13576B"/>
            <w:noWrap/>
            <w:vAlign w:val="center"/>
            <w:hideMark/>
          </w:tcPr>
          <w:p w14:paraId="5496FAB6" w14:textId="73A37605"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 </w:t>
            </w:r>
          </w:p>
        </w:tc>
        <w:tc>
          <w:tcPr>
            <w:tcW w:w="720" w:type="dxa"/>
            <w:tcBorders>
              <w:top w:val="nil"/>
              <w:left w:val="nil"/>
              <w:bottom w:val="single" w:sz="8" w:space="0" w:color="FFFFFF"/>
              <w:right w:val="single" w:sz="8" w:space="0" w:color="FFFFFF"/>
            </w:tcBorders>
            <w:shd w:val="clear" w:color="000000" w:fill="D9D9D9"/>
            <w:noWrap/>
            <w:vAlign w:val="center"/>
            <w:hideMark/>
          </w:tcPr>
          <w:p w14:paraId="3F1CF361" w14:textId="7A7B34BC" w:rsidR="009008CB" w:rsidRPr="003D3DB8" w:rsidRDefault="009008CB" w:rsidP="009008CB">
            <w:pPr>
              <w:overflowPunct/>
              <w:autoSpaceDE/>
              <w:autoSpaceDN/>
              <w:adjustRightInd/>
              <w:jc w:val="center"/>
              <w:textAlignment w:val="auto"/>
              <w:rPr>
                <w:rFonts w:ascii="Calibri Light" w:hAnsi="Calibri Light" w:cs="Calibri Light"/>
                <w:i/>
                <w:iCs/>
                <w:color w:val="13576B"/>
                <w:sz w:val="20"/>
              </w:rPr>
            </w:pPr>
            <w:r>
              <w:rPr>
                <w:rFonts w:ascii="Calibri Light" w:hAnsi="Calibri Light" w:cs="Calibri Light"/>
                <w:i/>
                <w:iCs/>
                <w:color w:val="FF0000"/>
                <w:sz w:val="20"/>
              </w:rPr>
              <w:t>(0,2)</w:t>
            </w:r>
          </w:p>
        </w:tc>
        <w:tc>
          <w:tcPr>
            <w:tcW w:w="680" w:type="dxa"/>
            <w:tcBorders>
              <w:top w:val="nil"/>
              <w:left w:val="nil"/>
              <w:bottom w:val="single" w:sz="8" w:space="0" w:color="FFFFFF"/>
              <w:right w:val="single" w:sz="8" w:space="0" w:color="FFFFFF"/>
            </w:tcBorders>
            <w:shd w:val="clear" w:color="000000" w:fill="D9D9D9"/>
            <w:noWrap/>
            <w:vAlign w:val="center"/>
            <w:hideMark/>
          </w:tcPr>
          <w:p w14:paraId="54B1B338" w14:textId="7EFC9001"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w:t>
            </w:r>
          </w:p>
        </w:tc>
        <w:tc>
          <w:tcPr>
            <w:tcW w:w="900" w:type="dxa"/>
            <w:tcBorders>
              <w:top w:val="nil"/>
              <w:left w:val="nil"/>
              <w:bottom w:val="single" w:sz="8" w:space="0" w:color="FFFFFF"/>
              <w:right w:val="single" w:sz="8" w:space="0" w:color="FFFFFF"/>
            </w:tcBorders>
            <w:shd w:val="clear" w:color="000000" w:fill="D9D9D9"/>
            <w:noWrap/>
            <w:vAlign w:val="center"/>
            <w:hideMark/>
          </w:tcPr>
          <w:p w14:paraId="40354329" w14:textId="7B44A05A"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(0,1)</w:t>
            </w:r>
          </w:p>
        </w:tc>
      </w:tr>
      <w:tr w:rsidR="009008CB" w:rsidRPr="003D3DB8" w14:paraId="3B5CB993" w14:textId="77777777" w:rsidTr="009008CB">
        <w:trPr>
          <w:trHeight w:val="260"/>
        </w:trPr>
        <w:tc>
          <w:tcPr>
            <w:tcW w:w="5294" w:type="dxa"/>
            <w:tcBorders>
              <w:top w:val="nil"/>
              <w:left w:val="nil"/>
              <w:bottom w:val="nil"/>
              <w:right w:val="single" w:sz="8" w:space="0" w:color="FFFFFF"/>
            </w:tcBorders>
            <w:shd w:val="clear" w:color="000000" w:fill="13576B"/>
            <w:vAlign w:val="center"/>
            <w:hideMark/>
          </w:tcPr>
          <w:p w14:paraId="7B5F66BA" w14:textId="3260B619" w:rsidR="009008CB" w:rsidRPr="003D3DB8" w:rsidRDefault="009008CB" w:rsidP="009008CB">
            <w:pPr>
              <w:overflowPunct/>
              <w:autoSpaceDE/>
              <w:autoSpaceDN/>
              <w:adjustRightInd/>
              <w:jc w:val="left"/>
              <w:textAlignment w:val="auto"/>
              <w:rPr>
                <w:rFonts w:ascii="Calibri Light" w:hAnsi="Calibri Light" w:cs="Calibri Light"/>
                <w:b/>
                <w:bCs/>
                <w:color w:val="FFFFFF"/>
                <w:sz w:val="20"/>
              </w:rPr>
            </w:pPr>
            <w:r>
              <w:rPr>
                <w:rFonts w:ascii="Calibri Light" w:hAnsi="Calibri Light" w:cs="Calibri Light"/>
                <w:b/>
                <w:bCs/>
                <w:color w:val="FFFFFF"/>
                <w:sz w:val="20"/>
              </w:rPr>
              <w:t>Míra inflace: CPI (%) průměr</w:t>
            </w:r>
          </w:p>
        </w:tc>
        <w:tc>
          <w:tcPr>
            <w:tcW w:w="680" w:type="dxa"/>
            <w:tcBorders>
              <w:top w:val="nil"/>
              <w:left w:val="nil"/>
              <w:bottom w:val="nil"/>
              <w:right w:val="single" w:sz="8" w:space="0" w:color="FFFFFF"/>
            </w:tcBorders>
            <w:shd w:val="clear" w:color="000000" w:fill="D9D9D9"/>
            <w:noWrap/>
            <w:vAlign w:val="center"/>
            <w:hideMark/>
          </w:tcPr>
          <w:p w14:paraId="15F4D80C" w14:textId="225F8C93"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2,4</w:t>
            </w:r>
          </w:p>
        </w:tc>
        <w:tc>
          <w:tcPr>
            <w:tcW w:w="680" w:type="dxa"/>
            <w:tcBorders>
              <w:top w:val="nil"/>
              <w:left w:val="nil"/>
              <w:bottom w:val="nil"/>
              <w:right w:val="single" w:sz="8" w:space="0" w:color="FFFFFF"/>
            </w:tcBorders>
            <w:shd w:val="clear" w:color="000000" w:fill="D9D9D9"/>
            <w:noWrap/>
            <w:vAlign w:val="center"/>
            <w:hideMark/>
          </w:tcPr>
          <w:p w14:paraId="6D10FC2E" w14:textId="1ED3AD58"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2,5</w:t>
            </w:r>
          </w:p>
        </w:tc>
        <w:tc>
          <w:tcPr>
            <w:tcW w:w="680" w:type="dxa"/>
            <w:tcBorders>
              <w:top w:val="nil"/>
              <w:left w:val="nil"/>
              <w:bottom w:val="nil"/>
              <w:right w:val="single" w:sz="8" w:space="0" w:color="FFFFFF"/>
            </w:tcBorders>
            <w:shd w:val="clear" w:color="000000" w:fill="D9D9D9"/>
            <w:noWrap/>
            <w:vAlign w:val="center"/>
            <w:hideMark/>
          </w:tcPr>
          <w:p w14:paraId="3FA756EA" w14:textId="5D7BA109"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2,5</w:t>
            </w:r>
          </w:p>
        </w:tc>
        <w:tc>
          <w:tcPr>
            <w:tcW w:w="680" w:type="dxa"/>
            <w:tcBorders>
              <w:top w:val="nil"/>
              <w:left w:val="nil"/>
              <w:bottom w:val="nil"/>
              <w:right w:val="single" w:sz="8" w:space="0" w:color="FFFFFF"/>
            </w:tcBorders>
            <w:shd w:val="clear" w:color="000000" w:fill="D9D9D9"/>
            <w:noWrap/>
            <w:vAlign w:val="center"/>
            <w:hideMark/>
          </w:tcPr>
          <w:p w14:paraId="11BE1F8F" w14:textId="581E384C"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2,7</w:t>
            </w:r>
          </w:p>
        </w:tc>
        <w:tc>
          <w:tcPr>
            <w:tcW w:w="186" w:type="dxa"/>
            <w:tcBorders>
              <w:top w:val="nil"/>
              <w:left w:val="nil"/>
              <w:bottom w:val="nil"/>
              <w:right w:val="single" w:sz="8" w:space="0" w:color="FFFFFF"/>
            </w:tcBorders>
            <w:shd w:val="clear" w:color="000000" w:fill="13576B"/>
            <w:noWrap/>
            <w:vAlign w:val="center"/>
            <w:hideMark/>
          </w:tcPr>
          <w:p w14:paraId="45CD6E8A" w14:textId="53AD2735"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 </w:t>
            </w:r>
          </w:p>
        </w:tc>
        <w:tc>
          <w:tcPr>
            <w:tcW w:w="720" w:type="dxa"/>
            <w:tcBorders>
              <w:top w:val="nil"/>
              <w:left w:val="nil"/>
              <w:bottom w:val="nil"/>
              <w:right w:val="single" w:sz="8" w:space="0" w:color="FFFFFF"/>
            </w:tcBorders>
            <w:shd w:val="clear" w:color="000000" w:fill="D9D9D9"/>
            <w:noWrap/>
            <w:vAlign w:val="center"/>
            <w:hideMark/>
          </w:tcPr>
          <w:p w14:paraId="751689CF" w14:textId="29568A34" w:rsidR="009008CB" w:rsidRPr="003D3DB8" w:rsidRDefault="009008CB" w:rsidP="009008CB">
            <w:pPr>
              <w:overflowPunct/>
              <w:autoSpaceDE/>
              <w:autoSpaceDN/>
              <w:adjustRightInd/>
              <w:jc w:val="center"/>
              <w:textAlignment w:val="auto"/>
              <w:rPr>
                <w:rFonts w:ascii="Calibri Light" w:hAnsi="Calibri Light" w:cs="Calibri Light"/>
                <w:i/>
                <w:iCs/>
                <w:color w:val="13576B"/>
                <w:sz w:val="20"/>
              </w:rPr>
            </w:pPr>
            <w:r>
              <w:rPr>
                <w:rFonts w:ascii="Calibri Light" w:hAnsi="Calibri Light" w:cs="Calibri Light"/>
                <w:i/>
                <w:iCs/>
                <w:color w:val="FF0000"/>
                <w:sz w:val="20"/>
              </w:rPr>
              <w:t>(0)</w:t>
            </w:r>
          </w:p>
        </w:tc>
        <w:tc>
          <w:tcPr>
            <w:tcW w:w="680" w:type="dxa"/>
            <w:tcBorders>
              <w:top w:val="nil"/>
              <w:left w:val="nil"/>
              <w:bottom w:val="nil"/>
              <w:right w:val="single" w:sz="8" w:space="0" w:color="FFFFFF"/>
            </w:tcBorders>
            <w:shd w:val="clear" w:color="000000" w:fill="D9D9D9"/>
            <w:noWrap/>
            <w:vAlign w:val="center"/>
            <w:hideMark/>
          </w:tcPr>
          <w:p w14:paraId="7CB1B6B1" w14:textId="4DE9673B"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(0,6)</w:t>
            </w:r>
          </w:p>
        </w:tc>
        <w:tc>
          <w:tcPr>
            <w:tcW w:w="900" w:type="dxa"/>
            <w:tcBorders>
              <w:top w:val="nil"/>
              <w:left w:val="nil"/>
              <w:bottom w:val="nil"/>
              <w:right w:val="single" w:sz="8" w:space="0" w:color="FFFFFF"/>
            </w:tcBorders>
            <w:shd w:val="clear" w:color="000000" w:fill="D9D9D9"/>
            <w:noWrap/>
            <w:vAlign w:val="center"/>
            <w:hideMark/>
          </w:tcPr>
          <w:p w14:paraId="48BAA51A" w14:textId="00188047"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(0,4)</w:t>
            </w:r>
          </w:p>
        </w:tc>
      </w:tr>
      <w:tr w:rsidR="009008CB" w:rsidRPr="003D3DB8" w14:paraId="5343AD76" w14:textId="77777777" w:rsidTr="009008CB">
        <w:trPr>
          <w:trHeight w:val="260"/>
        </w:trPr>
        <w:tc>
          <w:tcPr>
            <w:tcW w:w="5294" w:type="dxa"/>
            <w:tcBorders>
              <w:top w:val="nil"/>
              <w:left w:val="nil"/>
              <w:bottom w:val="nil"/>
              <w:right w:val="single" w:sz="8" w:space="0" w:color="FFFFFF"/>
            </w:tcBorders>
            <w:shd w:val="clear" w:color="000000" w:fill="13576B"/>
            <w:vAlign w:val="center"/>
            <w:hideMark/>
          </w:tcPr>
          <w:p w14:paraId="6F482227" w14:textId="14DBF0DC" w:rsidR="009008CB" w:rsidRPr="003D3DB8" w:rsidRDefault="009008CB" w:rsidP="009008CB">
            <w:pPr>
              <w:overflowPunct/>
              <w:autoSpaceDE/>
              <w:autoSpaceDN/>
              <w:adjustRightInd/>
              <w:jc w:val="left"/>
              <w:textAlignment w:val="auto"/>
              <w:rPr>
                <w:rFonts w:ascii="Calibri Light" w:hAnsi="Calibri Light" w:cs="Calibri Light"/>
                <w:b/>
                <w:bCs/>
                <w:color w:val="FFFFFF"/>
                <w:sz w:val="20"/>
              </w:rPr>
            </w:pPr>
            <w:r>
              <w:rPr>
                <w:rFonts w:ascii="Calibri Light" w:hAnsi="Calibri Light" w:cs="Calibri Light"/>
                <w:b/>
                <w:bCs/>
                <w:color w:val="FFFFFF"/>
                <w:sz w:val="20"/>
              </w:rPr>
              <w:t>Míra inflace: CPI (%) konec roku</w:t>
            </w:r>
          </w:p>
        </w:tc>
        <w:tc>
          <w:tcPr>
            <w:tcW w:w="680" w:type="dxa"/>
            <w:tcBorders>
              <w:top w:val="nil"/>
              <w:left w:val="nil"/>
              <w:bottom w:val="nil"/>
              <w:right w:val="single" w:sz="8" w:space="0" w:color="FFFFFF"/>
            </w:tcBorders>
            <w:shd w:val="clear" w:color="000000" w:fill="D9D9D9"/>
            <w:noWrap/>
            <w:vAlign w:val="center"/>
            <w:hideMark/>
          </w:tcPr>
          <w:p w14:paraId="3D5325A2" w14:textId="16C03E04"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2,9</w:t>
            </w:r>
          </w:p>
        </w:tc>
        <w:tc>
          <w:tcPr>
            <w:tcW w:w="680" w:type="dxa"/>
            <w:tcBorders>
              <w:top w:val="nil"/>
              <w:left w:val="nil"/>
              <w:bottom w:val="nil"/>
              <w:right w:val="single" w:sz="8" w:space="0" w:color="FFFFFF"/>
            </w:tcBorders>
            <w:shd w:val="clear" w:color="000000" w:fill="D9D9D9"/>
            <w:noWrap/>
            <w:vAlign w:val="center"/>
            <w:hideMark/>
          </w:tcPr>
          <w:p w14:paraId="39D78E3F" w14:textId="78EC1920"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2,1</w:t>
            </w:r>
          </w:p>
        </w:tc>
        <w:tc>
          <w:tcPr>
            <w:tcW w:w="680" w:type="dxa"/>
            <w:tcBorders>
              <w:top w:val="nil"/>
              <w:left w:val="nil"/>
              <w:bottom w:val="nil"/>
              <w:right w:val="single" w:sz="8" w:space="0" w:color="FFFFFF"/>
            </w:tcBorders>
            <w:shd w:val="clear" w:color="000000" w:fill="D9D9D9"/>
            <w:noWrap/>
            <w:vAlign w:val="center"/>
            <w:hideMark/>
          </w:tcPr>
          <w:p w14:paraId="1D78CAED" w14:textId="795550E2"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3,0</w:t>
            </w:r>
          </w:p>
        </w:tc>
        <w:tc>
          <w:tcPr>
            <w:tcW w:w="680" w:type="dxa"/>
            <w:tcBorders>
              <w:top w:val="nil"/>
              <w:left w:val="nil"/>
              <w:bottom w:val="nil"/>
              <w:right w:val="single" w:sz="8" w:space="0" w:color="FFFFFF"/>
            </w:tcBorders>
            <w:shd w:val="clear" w:color="000000" w:fill="D9D9D9"/>
            <w:noWrap/>
            <w:vAlign w:val="center"/>
            <w:hideMark/>
          </w:tcPr>
          <w:p w14:paraId="3E0D96E0" w14:textId="5F5E60AC"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2,4</w:t>
            </w:r>
          </w:p>
        </w:tc>
        <w:tc>
          <w:tcPr>
            <w:tcW w:w="186" w:type="dxa"/>
            <w:tcBorders>
              <w:top w:val="nil"/>
              <w:left w:val="nil"/>
              <w:bottom w:val="nil"/>
              <w:right w:val="single" w:sz="8" w:space="0" w:color="FFFFFF"/>
            </w:tcBorders>
            <w:shd w:val="clear" w:color="000000" w:fill="13576B"/>
            <w:noWrap/>
            <w:vAlign w:val="center"/>
            <w:hideMark/>
          </w:tcPr>
          <w:p w14:paraId="2A61F2BB" w14:textId="62EBD589"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 </w:t>
            </w:r>
          </w:p>
        </w:tc>
        <w:tc>
          <w:tcPr>
            <w:tcW w:w="720" w:type="dxa"/>
            <w:tcBorders>
              <w:top w:val="nil"/>
              <w:left w:val="nil"/>
              <w:bottom w:val="nil"/>
              <w:right w:val="single" w:sz="8" w:space="0" w:color="FFFFFF"/>
            </w:tcBorders>
            <w:shd w:val="clear" w:color="000000" w:fill="D9D9D9"/>
            <w:noWrap/>
            <w:vAlign w:val="center"/>
            <w:hideMark/>
          </w:tcPr>
          <w:p w14:paraId="0AA9C43B" w14:textId="2196587C" w:rsidR="009008CB" w:rsidRPr="003D3DB8" w:rsidRDefault="009008CB" w:rsidP="009008CB">
            <w:pPr>
              <w:overflowPunct/>
              <w:autoSpaceDE/>
              <w:autoSpaceDN/>
              <w:adjustRightInd/>
              <w:jc w:val="center"/>
              <w:textAlignment w:val="auto"/>
              <w:rPr>
                <w:rFonts w:ascii="Calibri Light" w:hAnsi="Calibri Light" w:cs="Calibri Light"/>
                <w:i/>
                <w:iCs/>
                <w:color w:val="13576B"/>
                <w:sz w:val="20"/>
              </w:rPr>
            </w:pPr>
            <w:r>
              <w:rPr>
                <w:rFonts w:ascii="Calibri Light" w:hAnsi="Calibri Light" w:cs="Calibri Light"/>
                <w:i/>
                <w:iCs/>
                <w:color w:val="FF0000"/>
                <w:sz w:val="20"/>
              </w:rPr>
              <w:t>(0)</w:t>
            </w:r>
          </w:p>
        </w:tc>
        <w:tc>
          <w:tcPr>
            <w:tcW w:w="680" w:type="dxa"/>
            <w:tcBorders>
              <w:top w:val="nil"/>
              <w:left w:val="nil"/>
              <w:bottom w:val="nil"/>
              <w:right w:val="single" w:sz="8" w:space="0" w:color="FFFFFF"/>
            </w:tcBorders>
            <w:shd w:val="clear" w:color="000000" w:fill="D9D9D9"/>
            <w:noWrap/>
            <w:vAlign w:val="center"/>
            <w:hideMark/>
          </w:tcPr>
          <w:p w14:paraId="2DD9CC2C" w14:textId="256F89F5"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(0,9)</w:t>
            </w:r>
          </w:p>
        </w:tc>
        <w:tc>
          <w:tcPr>
            <w:tcW w:w="900" w:type="dxa"/>
            <w:tcBorders>
              <w:top w:val="nil"/>
              <w:left w:val="nil"/>
              <w:bottom w:val="nil"/>
              <w:right w:val="single" w:sz="8" w:space="0" w:color="FFFFFF"/>
            </w:tcBorders>
            <w:shd w:val="clear" w:color="000000" w:fill="D9D9D9"/>
            <w:noWrap/>
            <w:vAlign w:val="center"/>
            <w:hideMark/>
          </w:tcPr>
          <w:p w14:paraId="177A8B6E" w14:textId="4A407CE9"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(0,1)</w:t>
            </w:r>
          </w:p>
        </w:tc>
      </w:tr>
      <w:tr w:rsidR="009008CB" w:rsidRPr="003D3DB8" w14:paraId="55250B95" w14:textId="77777777" w:rsidTr="009008CB">
        <w:trPr>
          <w:trHeight w:val="260"/>
        </w:trPr>
        <w:tc>
          <w:tcPr>
            <w:tcW w:w="5294" w:type="dxa"/>
            <w:tcBorders>
              <w:top w:val="nil"/>
              <w:left w:val="nil"/>
              <w:bottom w:val="nil"/>
              <w:right w:val="single" w:sz="8" w:space="0" w:color="FFFFFF"/>
            </w:tcBorders>
            <w:shd w:val="clear" w:color="000000" w:fill="13576B"/>
            <w:vAlign w:val="center"/>
            <w:hideMark/>
          </w:tcPr>
          <w:p w14:paraId="6662720A" w14:textId="56A834DD" w:rsidR="009008CB" w:rsidRPr="003D3DB8" w:rsidRDefault="009008CB" w:rsidP="009008CB">
            <w:pPr>
              <w:overflowPunct/>
              <w:autoSpaceDE/>
              <w:autoSpaceDN/>
              <w:adjustRightInd/>
              <w:jc w:val="left"/>
              <w:textAlignment w:val="auto"/>
              <w:rPr>
                <w:rFonts w:ascii="Calibri Light" w:hAnsi="Calibri Light" w:cs="Calibri Light"/>
                <w:b/>
                <w:bCs/>
                <w:color w:val="FFFFFF"/>
                <w:sz w:val="20"/>
              </w:rPr>
            </w:pPr>
            <w:r>
              <w:rPr>
                <w:rFonts w:ascii="Calibri Light" w:hAnsi="Calibri Light" w:cs="Calibri Light"/>
                <w:b/>
                <w:bCs/>
                <w:color w:val="FFFFFF"/>
                <w:sz w:val="20"/>
              </w:rPr>
              <w:t>Jádrová inflace CPI (%) průměr</w:t>
            </w:r>
          </w:p>
        </w:tc>
        <w:tc>
          <w:tcPr>
            <w:tcW w:w="680" w:type="dxa"/>
            <w:tcBorders>
              <w:top w:val="nil"/>
              <w:left w:val="nil"/>
              <w:bottom w:val="nil"/>
              <w:right w:val="single" w:sz="8" w:space="0" w:color="FFFFFF"/>
            </w:tcBorders>
            <w:shd w:val="clear" w:color="000000" w:fill="D9D9D9"/>
            <w:noWrap/>
            <w:vAlign w:val="center"/>
            <w:hideMark/>
          </w:tcPr>
          <w:p w14:paraId="69BDD23B" w14:textId="7348457C"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2,5</w:t>
            </w:r>
          </w:p>
        </w:tc>
        <w:tc>
          <w:tcPr>
            <w:tcW w:w="680" w:type="dxa"/>
            <w:tcBorders>
              <w:top w:val="nil"/>
              <w:left w:val="nil"/>
              <w:bottom w:val="nil"/>
              <w:right w:val="single" w:sz="8" w:space="0" w:color="FFFFFF"/>
            </w:tcBorders>
            <w:shd w:val="clear" w:color="000000" w:fill="D9D9D9"/>
            <w:noWrap/>
            <w:vAlign w:val="center"/>
            <w:hideMark/>
          </w:tcPr>
          <w:p w14:paraId="32371127" w14:textId="7DDE6845"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2,7</w:t>
            </w:r>
          </w:p>
        </w:tc>
        <w:tc>
          <w:tcPr>
            <w:tcW w:w="680" w:type="dxa"/>
            <w:tcBorders>
              <w:top w:val="nil"/>
              <w:left w:val="nil"/>
              <w:bottom w:val="nil"/>
              <w:right w:val="single" w:sz="8" w:space="0" w:color="FFFFFF"/>
            </w:tcBorders>
            <w:shd w:val="clear" w:color="000000" w:fill="D9D9D9"/>
            <w:noWrap/>
            <w:vAlign w:val="center"/>
            <w:hideMark/>
          </w:tcPr>
          <w:p w14:paraId="0599D858" w14:textId="05CFA3D1"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2,8</w:t>
            </w:r>
          </w:p>
        </w:tc>
        <w:tc>
          <w:tcPr>
            <w:tcW w:w="680" w:type="dxa"/>
            <w:tcBorders>
              <w:top w:val="nil"/>
              <w:left w:val="nil"/>
              <w:bottom w:val="nil"/>
              <w:right w:val="single" w:sz="8" w:space="0" w:color="FFFFFF"/>
            </w:tcBorders>
            <w:shd w:val="clear" w:color="000000" w:fill="D9D9D9"/>
            <w:noWrap/>
            <w:vAlign w:val="center"/>
            <w:hideMark/>
          </w:tcPr>
          <w:p w14:paraId="7A0D4CE8" w14:textId="7C809E37"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2,6</w:t>
            </w:r>
          </w:p>
        </w:tc>
        <w:tc>
          <w:tcPr>
            <w:tcW w:w="186" w:type="dxa"/>
            <w:tcBorders>
              <w:top w:val="nil"/>
              <w:left w:val="nil"/>
              <w:bottom w:val="nil"/>
              <w:right w:val="single" w:sz="8" w:space="0" w:color="FFFFFF"/>
            </w:tcBorders>
            <w:shd w:val="clear" w:color="000000" w:fill="13576B"/>
            <w:noWrap/>
            <w:vAlign w:val="center"/>
            <w:hideMark/>
          </w:tcPr>
          <w:p w14:paraId="6B4C4F2C" w14:textId="2E87E8EE"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 </w:t>
            </w:r>
          </w:p>
        </w:tc>
        <w:tc>
          <w:tcPr>
            <w:tcW w:w="720" w:type="dxa"/>
            <w:tcBorders>
              <w:top w:val="nil"/>
              <w:left w:val="nil"/>
              <w:bottom w:val="nil"/>
              <w:right w:val="single" w:sz="8" w:space="0" w:color="FFFFFF"/>
            </w:tcBorders>
            <w:shd w:val="clear" w:color="000000" w:fill="D9D9D9"/>
            <w:noWrap/>
            <w:vAlign w:val="center"/>
            <w:hideMark/>
          </w:tcPr>
          <w:p w14:paraId="69864497" w14:textId="26C07279" w:rsidR="009008CB" w:rsidRPr="003D3DB8" w:rsidRDefault="009008CB" w:rsidP="009008CB">
            <w:pPr>
              <w:overflowPunct/>
              <w:autoSpaceDE/>
              <w:autoSpaceDN/>
              <w:adjustRightInd/>
              <w:jc w:val="center"/>
              <w:textAlignment w:val="auto"/>
              <w:rPr>
                <w:rFonts w:ascii="Calibri Light" w:hAnsi="Calibri Light" w:cs="Calibri Light"/>
                <w:i/>
                <w:iCs/>
                <w:color w:val="13576B"/>
                <w:sz w:val="20"/>
              </w:rPr>
            </w:pPr>
            <w:r>
              <w:rPr>
                <w:rFonts w:ascii="Calibri Light" w:hAnsi="Calibri Light" w:cs="Calibri Light"/>
                <w:i/>
                <w:iCs/>
                <w:color w:val="FF0000"/>
                <w:sz w:val="20"/>
              </w:rPr>
              <w:t>(0)</w:t>
            </w:r>
          </w:p>
        </w:tc>
        <w:tc>
          <w:tcPr>
            <w:tcW w:w="680" w:type="dxa"/>
            <w:tcBorders>
              <w:top w:val="nil"/>
              <w:left w:val="nil"/>
              <w:bottom w:val="nil"/>
              <w:right w:val="single" w:sz="8" w:space="0" w:color="FFFFFF"/>
            </w:tcBorders>
            <w:shd w:val="clear" w:color="000000" w:fill="D9D9D9"/>
            <w:noWrap/>
            <w:vAlign w:val="center"/>
            <w:hideMark/>
          </w:tcPr>
          <w:p w14:paraId="5F024D90" w14:textId="1C2BE938"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(0,3)</w:t>
            </w:r>
          </w:p>
        </w:tc>
        <w:tc>
          <w:tcPr>
            <w:tcW w:w="900" w:type="dxa"/>
            <w:tcBorders>
              <w:top w:val="nil"/>
              <w:left w:val="nil"/>
              <w:bottom w:val="nil"/>
              <w:right w:val="single" w:sz="8" w:space="0" w:color="FFFFFF"/>
            </w:tcBorders>
            <w:shd w:val="clear" w:color="000000" w:fill="D9D9D9"/>
            <w:noWrap/>
            <w:vAlign w:val="center"/>
            <w:hideMark/>
          </w:tcPr>
          <w:p w14:paraId="76667F0D" w14:textId="7385188B"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(0,3)</w:t>
            </w:r>
          </w:p>
        </w:tc>
      </w:tr>
      <w:tr w:rsidR="009008CB" w:rsidRPr="003D3DB8" w14:paraId="29FF540D" w14:textId="77777777" w:rsidTr="009008CB">
        <w:trPr>
          <w:trHeight w:val="260"/>
        </w:trPr>
        <w:tc>
          <w:tcPr>
            <w:tcW w:w="5294" w:type="dxa"/>
            <w:tcBorders>
              <w:top w:val="nil"/>
              <w:left w:val="nil"/>
              <w:bottom w:val="nil"/>
              <w:right w:val="single" w:sz="8" w:space="0" w:color="FFFFFF"/>
            </w:tcBorders>
            <w:shd w:val="clear" w:color="000000" w:fill="13576B"/>
            <w:vAlign w:val="center"/>
            <w:hideMark/>
          </w:tcPr>
          <w:p w14:paraId="093A48B2" w14:textId="5AEAB7B8" w:rsidR="009008CB" w:rsidRPr="003D3DB8" w:rsidRDefault="009008CB" w:rsidP="009008CB">
            <w:pPr>
              <w:overflowPunct/>
              <w:autoSpaceDE/>
              <w:autoSpaceDN/>
              <w:adjustRightInd/>
              <w:jc w:val="left"/>
              <w:textAlignment w:val="auto"/>
              <w:rPr>
                <w:rFonts w:ascii="Calibri Light" w:hAnsi="Calibri Light" w:cs="Calibri Light"/>
                <w:b/>
                <w:bCs/>
                <w:color w:val="FFFFFF"/>
                <w:sz w:val="20"/>
              </w:rPr>
            </w:pPr>
            <w:r>
              <w:rPr>
                <w:rFonts w:ascii="Calibri Light" w:hAnsi="Calibri Light" w:cs="Calibri Light"/>
                <w:b/>
                <w:bCs/>
                <w:color w:val="FFFFFF"/>
                <w:sz w:val="20"/>
              </w:rPr>
              <w:t>Podíl nezaměstnaných osob (MPSV): průměr (%)</w:t>
            </w:r>
          </w:p>
        </w:tc>
        <w:tc>
          <w:tcPr>
            <w:tcW w:w="680" w:type="dxa"/>
            <w:tcBorders>
              <w:top w:val="nil"/>
              <w:left w:val="nil"/>
              <w:bottom w:val="nil"/>
              <w:right w:val="single" w:sz="8" w:space="0" w:color="FFFFFF"/>
            </w:tcBorders>
            <w:shd w:val="clear" w:color="000000" w:fill="D9D9D9"/>
            <w:noWrap/>
            <w:vAlign w:val="center"/>
            <w:hideMark/>
          </w:tcPr>
          <w:p w14:paraId="1C0387EB" w14:textId="31002B2F"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3,8</w:t>
            </w:r>
          </w:p>
        </w:tc>
        <w:tc>
          <w:tcPr>
            <w:tcW w:w="680" w:type="dxa"/>
            <w:tcBorders>
              <w:top w:val="nil"/>
              <w:left w:val="nil"/>
              <w:bottom w:val="nil"/>
              <w:right w:val="single" w:sz="8" w:space="0" w:color="FFFFFF"/>
            </w:tcBorders>
            <w:shd w:val="clear" w:color="000000" w:fill="D9D9D9"/>
            <w:noWrap/>
            <w:vAlign w:val="center"/>
            <w:hideMark/>
          </w:tcPr>
          <w:p w14:paraId="4E81FF23" w14:textId="0EA4AD6A"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4,4</w:t>
            </w:r>
          </w:p>
        </w:tc>
        <w:tc>
          <w:tcPr>
            <w:tcW w:w="680" w:type="dxa"/>
            <w:tcBorders>
              <w:top w:val="nil"/>
              <w:left w:val="nil"/>
              <w:bottom w:val="nil"/>
              <w:right w:val="single" w:sz="8" w:space="0" w:color="FFFFFF"/>
            </w:tcBorders>
            <w:shd w:val="clear" w:color="000000" w:fill="D9D9D9"/>
            <w:noWrap/>
            <w:vAlign w:val="center"/>
            <w:hideMark/>
          </w:tcPr>
          <w:p w14:paraId="6C25C777" w14:textId="587E0DCE"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4,8</w:t>
            </w:r>
          </w:p>
        </w:tc>
        <w:tc>
          <w:tcPr>
            <w:tcW w:w="680" w:type="dxa"/>
            <w:tcBorders>
              <w:top w:val="nil"/>
              <w:left w:val="nil"/>
              <w:bottom w:val="nil"/>
              <w:right w:val="single" w:sz="8" w:space="0" w:color="FFFFFF"/>
            </w:tcBorders>
            <w:shd w:val="clear" w:color="000000" w:fill="D9D9D9"/>
            <w:noWrap/>
            <w:vAlign w:val="center"/>
            <w:hideMark/>
          </w:tcPr>
          <w:p w14:paraId="006213B3" w14:textId="35B30278"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4,7</w:t>
            </w:r>
          </w:p>
        </w:tc>
        <w:tc>
          <w:tcPr>
            <w:tcW w:w="186" w:type="dxa"/>
            <w:tcBorders>
              <w:top w:val="nil"/>
              <w:left w:val="nil"/>
              <w:bottom w:val="nil"/>
              <w:right w:val="single" w:sz="8" w:space="0" w:color="FFFFFF"/>
            </w:tcBorders>
            <w:shd w:val="clear" w:color="000000" w:fill="13576B"/>
            <w:noWrap/>
            <w:vAlign w:val="center"/>
            <w:hideMark/>
          </w:tcPr>
          <w:p w14:paraId="4D9A6A0E" w14:textId="55E78A2C"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 </w:t>
            </w:r>
          </w:p>
        </w:tc>
        <w:tc>
          <w:tcPr>
            <w:tcW w:w="720" w:type="dxa"/>
            <w:tcBorders>
              <w:top w:val="nil"/>
              <w:left w:val="nil"/>
              <w:bottom w:val="nil"/>
              <w:right w:val="single" w:sz="8" w:space="0" w:color="FFFFFF"/>
            </w:tcBorders>
            <w:shd w:val="clear" w:color="000000" w:fill="D9D9D9"/>
            <w:noWrap/>
            <w:vAlign w:val="center"/>
            <w:hideMark/>
          </w:tcPr>
          <w:p w14:paraId="37E3857D" w14:textId="2EE0899E" w:rsidR="009008CB" w:rsidRPr="003D3DB8" w:rsidRDefault="009008CB" w:rsidP="009008CB">
            <w:pPr>
              <w:overflowPunct/>
              <w:autoSpaceDE/>
              <w:autoSpaceDN/>
              <w:adjustRightInd/>
              <w:jc w:val="center"/>
              <w:textAlignment w:val="auto"/>
              <w:rPr>
                <w:rFonts w:ascii="Calibri Light" w:hAnsi="Calibri Light" w:cs="Calibri Light"/>
                <w:i/>
                <w:iCs/>
                <w:color w:val="13576B"/>
                <w:sz w:val="20"/>
              </w:rPr>
            </w:pPr>
            <w:r>
              <w:rPr>
                <w:rFonts w:ascii="Calibri Light" w:hAnsi="Calibri Light" w:cs="Calibri Light"/>
                <w:i/>
                <w:iCs/>
                <w:color w:val="FF0000"/>
                <w:sz w:val="20"/>
              </w:rPr>
              <w:t>(0)</w:t>
            </w:r>
          </w:p>
        </w:tc>
        <w:tc>
          <w:tcPr>
            <w:tcW w:w="680" w:type="dxa"/>
            <w:tcBorders>
              <w:top w:val="nil"/>
              <w:left w:val="nil"/>
              <w:bottom w:val="nil"/>
              <w:right w:val="single" w:sz="8" w:space="0" w:color="FFFFFF"/>
            </w:tcBorders>
            <w:shd w:val="clear" w:color="000000" w:fill="D9D9D9"/>
            <w:noWrap/>
            <w:vAlign w:val="center"/>
            <w:hideMark/>
          </w:tcPr>
          <w:p w14:paraId="2E84CB93" w14:textId="2B8B2C37"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(0,2)</w:t>
            </w:r>
          </w:p>
        </w:tc>
        <w:tc>
          <w:tcPr>
            <w:tcW w:w="900" w:type="dxa"/>
            <w:tcBorders>
              <w:top w:val="nil"/>
              <w:left w:val="nil"/>
              <w:bottom w:val="nil"/>
              <w:right w:val="single" w:sz="8" w:space="0" w:color="FFFFFF"/>
            </w:tcBorders>
            <w:shd w:val="clear" w:color="000000" w:fill="D9D9D9"/>
            <w:noWrap/>
            <w:vAlign w:val="center"/>
            <w:hideMark/>
          </w:tcPr>
          <w:p w14:paraId="3782A4F6" w14:textId="5677372B"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(0,2)</w:t>
            </w:r>
          </w:p>
        </w:tc>
      </w:tr>
      <w:tr w:rsidR="009008CB" w:rsidRPr="003D3DB8" w14:paraId="06DF794E" w14:textId="77777777" w:rsidTr="009008CB">
        <w:trPr>
          <w:trHeight w:val="260"/>
        </w:trPr>
        <w:tc>
          <w:tcPr>
            <w:tcW w:w="5294" w:type="dxa"/>
            <w:tcBorders>
              <w:top w:val="nil"/>
              <w:left w:val="nil"/>
              <w:bottom w:val="nil"/>
              <w:right w:val="single" w:sz="8" w:space="0" w:color="FFFFFF"/>
            </w:tcBorders>
            <w:shd w:val="clear" w:color="000000" w:fill="13576B"/>
            <w:vAlign w:val="center"/>
            <w:hideMark/>
          </w:tcPr>
          <w:p w14:paraId="434832AA" w14:textId="3F4CA4F8" w:rsidR="009008CB" w:rsidRPr="003D3DB8" w:rsidRDefault="009008CB" w:rsidP="009008CB">
            <w:pPr>
              <w:overflowPunct/>
              <w:autoSpaceDE/>
              <w:autoSpaceDN/>
              <w:adjustRightInd/>
              <w:jc w:val="left"/>
              <w:textAlignment w:val="auto"/>
              <w:rPr>
                <w:rFonts w:ascii="Calibri Light" w:hAnsi="Calibri Light" w:cs="Calibri Light"/>
                <w:b/>
                <w:bCs/>
                <w:color w:val="FFFFFF"/>
                <w:sz w:val="20"/>
              </w:rPr>
            </w:pPr>
            <w:r>
              <w:rPr>
                <w:rFonts w:ascii="Calibri Light" w:hAnsi="Calibri Light" w:cs="Calibri Light"/>
                <w:b/>
                <w:bCs/>
                <w:color w:val="FFFFFF"/>
                <w:sz w:val="20"/>
              </w:rPr>
              <w:t>Průměrná nominální mzda (růst v %)</w:t>
            </w:r>
          </w:p>
        </w:tc>
        <w:tc>
          <w:tcPr>
            <w:tcW w:w="680" w:type="dxa"/>
            <w:tcBorders>
              <w:top w:val="nil"/>
              <w:left w:val="nil"/>
              <w:bottom w:val="nil"/>
              <w:right w:val="single" w:sz="8" w:space="0" w:color="FFFFFF"/>
            </w:tcBorders>
            <w:shd w:val="clear" w:color="000000" w:fill="D9D9D9"/>
            <w:noWrap/>
            <w:vAlign w:val="center"/>
            <w:hideMark/>
          </w:tcPr>
          <w:p w14:paraId="43CC8996" w14:textId="0D47FAEA"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7,2</w:t>
            </w:r>
          </w:p>
        </w:tc>
        <w:tc>
          <w:tcPr>
            <w:tcW w:w="680" w:type="dxa"/>
            <w:tcBorders>
              <w:top w:val="nil"/>
              <w:left w:val="nil"/>
              <w:bottom w:val="nil"/>
              <w:right w:val="single" w:sz="8" w:space="0" w:color="FFFFFF"/>
            </w:tcBorders>
            <w:shd w:val="clear" w:color="000000" w:fill="D9D9D9"/>
            <w:noWrap/>
            <w:vAlign w:val="center"/>
            <w:hideMark/>
          </w:tcPr>
          <w:p w14:paraId="18C71390" w14:textId="28C0EF11"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7,2</w:t>
            </w:r>
          </w:p>
        </w:tc>
        <w:tc>
          <w:tcPr>
            <w:tcW w:w="680" w:type="dxa"/>
            <w:tcBorders>
              <w:top w:val="nil"/>
              <w:left w:val="nil"/>
              <w:bottom w:val="nil"/>
              <w:right w:val="single" w:sz="8" w:space="0" w:color="FFFFFF"/>
            </w:tcBorders>
            <w:shd w:val="clear" w:color="000000" w:fill="D9D9D9"/>
            <w:noWrap/>
            <w:vAlign w:val="center"/>
            <w:hideMark/>
          </w:tcPr>
          <w:p w14:paraId="28464D83" w14:textId="7750FBCC"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6,1</w:t>
            </w:r>
          </w:p>
        </w:tc>
        <w:tc>
          <w:tcPr>
            <w:tcW w:w="680" w:type="dxa"/>
            <w:tcBorders>
              <w:top w:val="nil"/>
              <w:left w:val="nil"/>
              <w:bottom w:val="nil"/>
              <w:right w:val="single" w:sz="8" w:space="0" w:color="FFFFFF"/>
            </w:tcBorders>
            <w:shd w:val="clear" w:color="000000" w:fill="D9D9D9"/>
            <w:noWrap/>
            <w:vAlign w:val="center"/>
            <w:hideMark/>
          </w:tcPr>
          <w:p w14:paraId="2C185808" w14:textId="2E5A6D5D"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5,3</w:t>
            </w:r>
          </w:p>
        </w:tc>
        <w:tc>
          <w:tcPr>
            <w:tcW w:w="186" w:type="dxa"/>
            <w:tcBorders>
              <w:top w:val="nil"/>
              <w:left w:val="nil"/>
              <w:bottom w:val="nil"/>
              <w:right w:val="single" w:sz="8" w:space="0" w:color="FFFFFF"/>
            </w:tcBorders>
            <w:shd w:val="clear" w:color="000000" w:fill="13576B"/>
            <w:noWrap/>
            <w:vAlign w:val="center"/>
            <w:hideMark/>
          </w:tcPr>
          <w:p w14:paraId="3CF602A6" w14:textId="6515097D"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 </w:t>
            </w:r>
          </w:p>
        </w:tc>
        <w:tc>
          <w:tcPr>
            <w:tcW w:w="720" w:type="dxa"/>
            <w:tcBorders>
              <w:top w:val="nil"/>
              <w:left w:val="nil"/>
              <w:bottom w:val="nil"/>
              <w:right w:val="single" w:sz="8" w:space="0" w:color="FFFFFF"/>
            </w:tcBorders>
            <w:shd w:val="clear" w:color="000000" w:fill="D9D9D9"/>
            <w:noWrap/>
            <w:vAlign w:val="center"/>
            <w:hideMark/>
          </w:tcPr>
          <w:p w14:paraId="44D068AE" w14:textId="457FB0C3" w:rsidR="009008CB" w:rsidRPr="003D3DB8" w:rsidRDefault="009008CB" w:rsidP="009008CB">
            <w:pPr>
              <w:overflowPunct/>
              <w:autoSpaceDE/>
              <w:autoSpaceDN/>
              <w:adjustRightInd/>
              <w:jc w:val="center"/>
              <w:textAlignment w:val="auto"/>
              <w:rPr>
                <w:rFonts w:ascii="Calibri Light" w:hAnsi="Calibri Light" w:cs="Calibri Light"/>
                <w:i/>
                <w:iCs/>
                <w:color w:val="13576B"/>
                <w:sz w:val="20"/>
              </w:rPr>
            </w:pPr>
            <w:r>
              <w:rPr>
                <w:rFonts w:ascii="Calibri Light" w:hAnsi="Calibri Light" w:cs="Calibri Light"/>
                <w:i/>
                <w:iCs/>
                <w:color w:val="FF0000"/>
                <w:sz w:val="20"/>
              </w:rPr>
              <w:t>(0,2)</w:t>
            </w:r>
          </w:p>
        </w:tc>
        <w:tc>
          <w:tcPr>
            <w:tcW w:w="680" w:type="dxa"/>
            <w:tcBorders>
              <w:top w:val="nil"/>
              <w:left w:val="nil"/>
              <w:bottom w:val="nil"/>
              <w:right w:val="single" w:sz="8" w:space="0" w:color="FFFFFF"/>
            </w:tcBorders>
            <w:shd w:val="clear" w:color="000000" w:fill="D9D9D9"/>
            <w:noWrap/>
            <w:vAlign w:val="center"/>
            <w:hideMark/>
          </w:tcPr>
          <w:p w14:paraId="0A4CB4E7" w14:textId="5E1EA0F3"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(0,3)</w:t>
            </w:r>
          </w:p>
        </w:tc>
        <w:tc>
          <w:tcPr>
            <w:tcW w:w="900" w:type="dxa"/>
            <w:tcBorders>
              <w:top w:val="nil"/>
              <w:left w:val="nil"/>
              <w:bottom w:val="nil"/>
              <w:right w:val="single" w:sz="8" w:space="0" w:color="FFFFFF"/>
            </w:tcBorders>
            <w:shd w:val="clear" w:color="000000" w:fill="D9D9D9"/>
            <w:noWrap/>
            <w:vAlign w:val="center"/>
            <w:hideMark/>
          </w:tcPr>
          <w:p w14:paraId="3BC4C5A7" w14:textId="324B35C1"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(0,1)</w:t>
            </w:r>
          </w:p>
        </w:tc>
      </w:tr>
      <w:tr w:rsidR="009008CB" w:rsidRPr="003D3DB8" w14:paraId="70E4CA2F" w14:textId="77777777" w:rsidTr="009008CB">
        <w:trPr>
          <w:trHeight w:val="270"/>
        </w:trPr>
        <w:tc>
          <w:tcPr>
            <w:tcW w:w="5294" w:type="dxa"/>
            <w:tcBorders>
              <w:top w:val="nil"/>
              <w:left w:val="nil"/>
              <w:bottom w:val="single" w:sz="8" w:space="0" w:color="FFFFFF"/>
              <w:right w:val="single" w:sz="8" w:space="0" w:color="FFFFFF"/>
            </w:tcBorders>
            <w:shd w:val="clear" w:color="000000" w:fill="13576B"/>
            <w:vAlign w:val="center"/>
            <w:hideMark/>
          </w:tcPr>
          <w:p w14:paraId="463D4C73" w14:textId="15A3A19F" w:rsidR="009008CB" w:rsidRPr="003D3DB8" w:rsidRDefault="009008CB" w:rsidP="009008CB">
            <w:pPr>
              <w:overflowPunct/>
              <w:autoSpaceDE/>
              <w:autoSpaceDN/>
              <w:adjustRightInd/>
              <w:jc w:val="left"/>
              <w:textAlignment w:val="auto"/>
              <w:rPr>
                <w:rFonts w:ascii="Calibri Light" w:hAnsi="Calibri Light" w:cs="Calibri Light"/>
                <w:b/>
                <w:bCs/>
                <w:color w:val="FFFFFF"/>
                <w:sz w:val="20"/>
              </w:rPr>
            </w:pPr>
            <w:r>
              <w:rPr>
                <w:rFonts w:ascii="Calibri Light" w:hAnsi="Calibri Light" w:cs="Calibri Light"/>
                <w:b/>
                <w:bCs/>
                <w:color w:val="FFFFFF"/>
                <w:sz w:val="20"/>
              </w:rPr>
              <w:t>Průměrná reálná mzda (%)</w:t>
            </w:r>
          </w:p>
        </w:tc>
        <w:tc>
          <w:tcPr>
            <w:tcW w:w="680" w:type="dxa"/>
            <w:tcBorders>
              <w:top w:val="nil"/>
              <w:left w:val="nil"/>
              <w:bottom w:val="single" w:sz="8" w:space="0" w:color="FFFFFF"/>
              <w:right w:val="single" w:sz="8" w:space="0" w:color="FFFFFF"/>
            </w:tcBorders>
            <w:shd w:val="clear" w:color="000000" w:fill="D9D9D9"/>
            <w:noWrap/>
            <w:vAlign w:val="center"/>
            <w:hideMark/>
          </w:tcPr>
          <w:p w14:paraId="38AAAA93" w14:textId="35FA48E9"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4,7</w:t>
            </w:r>
          </w:p>
        </w:tc>
        <w:tc>
          <w:tcPr>
            <w:tcW w:w="680" w:type="dxa"/>
            <w:tcBorders>
              <w:top w:val="nil"/>
              <w:left w:val="nil"/>
              <w:bottom w:val="single" w:sz="8" w:space="0" w:color="FFFFFF"/>
              <w:right w:val="single" w:sz="8" w:space="0" w:color="FFFFFF"/>
            </w:tcBorders>
            <w:shd w:val="clear" w:color="000000" w:fill="D9D9D9"/>
            <w:noWrap/>
            <w:vAlign w:val="center"/>
            <w:hideMark/>
          </w:tcPr>
          <w:p w14:paraId="065E983B" w14:textId="726D2C07"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4,6</w:t>
            </w:r>
          </w:p>
        </w:tc>
        <w:tc>
          <w:tcPr>
            <w:tcW w:w="680" w:type="dxa"/>
            <w:tcBorders>
              <w:top w:val="nil"/>
              <w:left w:val="nil"/>
              <w:bottom w:val="single" w:sz="8" w:space="0" w:color="FFFFFF"/>
              <w:right w:val="single" w:sz="8" w:space="0" w:color="FFFFFF"/>
            </w:tcBorders>
            <w:shd w:val="clear" w:color="000000" w:fill="D9D9D9"/>
            <w:noWrap/>
            <w:vAlign w:val="center"/>
            <w:hideMark/>
          </w:tcPr>
          <w:p w14:paraId="7602C634" w14:textId="48A72B7F"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3,5</w:t>
            </w:r>
          </w:p>
        </w:tc>
        <w:tc>
          <w:tcPr>
            <w:tcW w:w="680" w:type="dxa"/>
            <w:tcBorders>
              <w:top w:val="nil"/>
              <w:left w:val="nil"/>
              <w:bottom w:val="single" w:sz="8" w:space="0" w:color="FFFFFF"/>
              <w:right w:val="single" w:sz="8" w:space="0" w:color="FFFFFF"/>
            </w:tcBorders>
            <w:shd w:val="clear" w:color="000000" w:fill="D9D9D9"/>
            <w:noWrap/>
            <w:vAlign w:val="center"/>
            <w:hideMark/>
          </w:tcPr>
          <w:p w14:paraId="637AB0A0" w14:textId="3E9C8C6E"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2,5</w:t>
            </w:r>
          </w:p>
        </w:tc>
        <w:tc>
          <w:tcPr>
            <w:tcW w:w="186" w:type="dxa"/>
            <w:tcBorders>
              <w:top w:val="nil"/>
              <w:left w:val="nil"/>
              <w:bottom w:val="nil"/>
              <w:right w:val="single" w:sz="8" w:space="0" w:color="FFFFFF"/>
            </w:tcBorders>
            <w:shd w:val="clear" w:color="000000" w:fill="13576B"/>
            <w:noWrap/>
            <w:vAlign w:val="center"/>
            <w:hideMark/>
          </w:tcPr>
          <w:p w14:paraId="74D6CE27" w14:textId="7DDD0C7B"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 </w:t>
            </w:r>
          </w:p>
        </w:tc>
        <w:tc>
          <w:tcPr>
            <w:tcW w:w="720" w:type="dxa"/>
            <w:tcBorders>
              <w:top w:val="nil"/>
              <w:left w:val="nil"/>
              <w:bottom w:val="single" w:sz="8" w:space="0" w:color="FFFFFF"/>
              <w:right w:val="single" w:sz="8" w:space="0" w:color="FFFFFF"/>
            </w:tcBorders>
            <w:shd w:val="clear" w:color="000000" w:fill="D9D9D9"/>
            <w:noWrap/>
            <w:vAlign w:val="center"/>
            <w:hideMark/>
          </w:tcPr>
          <w:p w14:paraId="6FAF9AD0" w14:textId="16B1AB27" w:rsidR="009008CB" w:rsidRPr="003D3DB8" w:rsidRDefault="009008CB" w:rsidP="009008CB">
            <w:pPr>
              <w:overflowPunct/>
              <w:autoSpaceDE/>
              <w:autoSpaceDN/>
              <w:adjustRightInd/>
              <w:jc w:val="center"/>
              <w:textAlignment w:val="auto"/>
              <w:rPr>
                <w:rFonts w:ascii="Calibri Light" w:hAnsi="Calibri Light" w:cs="Calibri Light"/>
                <w:i/>
                <w:iCs/>
                <w:color w:val="13576B"/>
                <w:sz w:val="20"/>
              </w:rPr>
            </w:pPr>
            <w:r>
              <w:rPr>
                <w:rFonts w:ascii="Calibri Light" w:hAnsi="Calibri Light" w:cs="Calibri Light"/>
                <w:i/>
                <w:iCs/>
                <w:color w:val="FF0000"/>
                <w:sz w:val="20"/>
              </w:rPr>
              <w:t>(0,2)</w:t>
            </w:r>
          </w:p>
        </w:tc>
        <w:tc>
          <w:tcPr>
            <w:tcW w:w="680" w:type="dxa"/>
            <w:tcBorders>
              <w:top w:val="nil"/>
              <w:left w:val="nil"/>
              <w:bottom w:val="single" w:sz="8" w:space="0" w:color="FFFFFF"/>
              <w:right w:val="single" w:sz="8" w:space="0" w:color="FFFFFF"/>
            </w:tcBorders>
            <w:shd w:val="clear" w:color="000000" w:fill="D9D9D9"/>
            <w:noWrap/>
            <w:vAlign w:val="center"/>
            <w:hideMark/>
          </w:tcPr>
          <w:p w14:paraId="3ED30616" w14:textId="41FD7C3A"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(-0,4)</w:t>
            </w:r>
          </w:p>
        </w:tc>
        <w:tc>
          <w:tcPr>
            <w:tcW w:w="900" w:type="dxa"/>
            <w:tcBorders>
              <w:top w:val="nil"/>
              <w:left w:val="nil"/>
              <w:bottom w:val="single" w:sz="8" w:space="0" w:color="FFFFFF"/>
              <w:right w:val="single" w:sz="8" w:space="0" w:color="FFFFFF"/>
            </w:tcBorders>
            <w:shd w:val="clear" w:color="000000" w:fill="D9D9D9"/>
            <w:noWrap/>
            <w:vAlign w:val="center"/>
            <w:hideMark/>
          </w:tcPr>
          <w:p w14:paraId="409D62D1" w14:textId="1DCC11EA"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(-0,4)</w:t>
            </w:r>
          </w:p>
        </w:tc>
      </w:tr>
      <w:tr w:rsidR="009008CB" w:rsidRPr="003D3DB8" w14:paraId="7BC3DD62" w14:textId="77777777" w:rsidTr="009008CB">
        <w:trPr>
          <w:trHeight w:val="260"/>
        </w:trPr>
        <w:tc>
          <w:tcPr>
            <w:tcW w:w="5294" w:type="dxa"/>
            <w:tcBorders>
              <w:top w:val="nil"/>
              <w:left w:val="nil"/>
              <w:bottom w:val="nil"/>
              <w:right w:val="single" w:sz="8" w:space="0" w:color="FFFFFF"/>
            </w:tcBorders>
            <w:shd w:val="clear" w:color="000000" w:fill="13576B"/>
            <w:vAlign w:val="center"/>
            <w:hideMark/>
          </w:tcPr>
          <w:p w14:paraId="142D5A3F" w14:textId="4F609355" w:rsidR="009008CB" w:rsidRPr="003D3DB8" w:rsidRDefault="009008CB" w:rsidP="009008CB">
            <w:pPr>
              <w:overflowPunct/>
              <w:autoSpaceDE/>
              <w:autoSpaceDN/>
              <w:adjustRightInd/>
              <w:jc w:val="left"/>
              <w:textAlignment w:val="auto"/>
              <w:rPr>
                <w:rFonts w:ascii="Calibri Light" w:hAnsi="Calibri Light" w:cs="Calibri Light"/>
                <w:b/>
                <w:bCs/>
                <w:color w:val="FFFFFF"/>
                <w:sz w:val="20"/>
              </w:rPr>
            </w:pPr>
            <w:r>
              <w:rPr>
                <w:rFonts w:ascii="Calibri Light" w:hAnsi="Calibri Light" w:cs="Calibri Light"/>
                <w:b/>
                <w:bCs/>
                <w:color w:val="FFFFFF"/>
                <w:sz w:val="20"/>
              </w:rPr>
              <w:t>Vládní deficit/přebytek (% HDP)</w:t>
            </w:r>
          </w:p>
        </w:tc>
        <w:tc>
          <w:tcPr>
            <w:tcW w:w="680" w:type="dxa"/>
            <w:tcBorders>
              <w:top w:val="nil"/>
              <w:left w:val="nil"/>
              <w:bottom w:val="nil"/>
              <w:right w:val="single" w:sz="8" w:space="0" w:color="FFFFFF"/>
            </w:tcBorders>
            <w:shd w:val="clear" w:color="000000" w:fill="D9D9D9"/>
            <w:noWrap/>
            <w:vAlign w:val="center"/>
            <w:hideMark/>
          </w:tcPr>
          <w:p w14:paraId="2AEBEF64" w14:textId="0A26C3A2"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-2,0</w:t>
            </w:r>
          </w:p>
        </w:tc>
        <w:tc>
          <w:tcPr>
            <w:tcW w:w="680" w:type="dxa"/>
            <w:tcBorders>
              <w:top w:val="nil"/>
              <w:left w:val="nil"/>
              <w:bottom w:val="nil"/>
              <w:right w:val="single" w:sz="8" w:space="0" w:color="FFFFFF"/>
            </w:tcBorders>
            <w:shd w:val="clear" w:color="000000" w:fill="D9D9D9"/>
            <w:noWrap/>
            <w:vAlign w:val="center"/>
            <w:hideMark/>
          </w:tcPr>
          <w:p w14:paraId="384B9443" w14:textId="0A185D86"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-2,1</w:t>
            </w:r>
          </w:p>
        </w:tc>
        <w:tc>
          <w:tcPr>
            <w:tcW w:w="680" w:type="dxa"/>
            <w:tcBorders>
              <w:top w:val="nil"/>
              <w:left w:val="nil"/>
              <w:bottom w:val="nil"/>
              <w:right w:val="single" w:sz="8" w:space="0" w:color="FFFFFF"/>
            </w:tcBorders>
            <w:shd w:val="clear" w:color="000000" w:fill="D9D9D9"/>
            <w:noWrap/>
            <w:vAlign w:val="center"/>
            <w:hideMark/>
          </w:tcPr>
          <w:p w14:paraId="4683AC60" w14:textId="225B4759"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-2,8</w:t>
            </w:r>
          </w:p>
        </w:tc>
        <w:tc>
          <w:tcPr>
            <w:tcW w:w="680" w:type="dxa"/>
            <w:tcBorders>
              <w:top w:val="nil"/>
              <w:left w:val="nil"/>
              <w:bottom w:val="nil"/>
              <w:right w:val="single" w:sz="8" w:space="0" w:color="FFFFFF"/>
            </w:tcBorders>
            <w:shd w:val="clear" w:color="000000" w:fill="D9D9D9"/>
            <w:noWrap/>
            <w:vAlign w:val="center"/>
            <w:hideMark/>
          </w:tcPr>
          <w:p w14:paraId="4478B724" w14:textId="2BD843A7"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-2,9</w:t>
            </w:r>
          </w:p>
        </w:tc>
        <w:tc>
          <w:tcPr>
            <w:tcW w:w="186" w:type="dxa"/>
            <w:tcBorders>
              <w:top w:val="nil"/>
              <w:left w:val="nil"/>
              <w:bottom w:val="nil"/>
              <w:right w:val="single" w:sz="8" w:space="0" w:color="FFFFFF"/>
            </w:tcBorders>
            <w:shd w:val="clear" w:color="000000" w:fill="13576B"/>
            <w:noWrap/>
            <w:vAlign w:val="center"/>
            <w:hideMark/>
          </w:tcPr>
          <w:p w14:paraId="6616B8DE" w14:textId="2555E23A"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 </w:t>
            </w:r>
          </w:p>
        </w:tc>
        <w:tc>
          <w:tcPr>
            <w:tcW w:w="720" w:type="dxa"/>
            <w:tcBorders>
              <w:top w:val="nil"/>
              <w:left w:val="nil"/>
              <w:bottom w:val="nil"/>
              <w:right w:val="single" w:sz="8" w:space="0" w:color="FFFFFF"/>
            </w:tcBorders>
            <w:shd w:val="clear" w:color="000000" w:fill="D9D9D9"/>
            <w:noWrap/>
            <w:vAlign w:val="center"/>
            <w:hideMark/>
          </w:tcPr>
          <w:p w14:paraId="10BEFFDB" w14:textId="778895B0" w:rsidR="009008CB" w:rsidRPr="003D3DB8" w:rsidRDefault="009008CB" w:rsidP="009008CB">
            <w:pPr>
              <w:overflowPunct/>
              <w:autoSpaceDE/>
              <w:autoSpaceDN/>
              <w:adjustRightInd/>
              <w:jc w:val="center"/>
              <w:textAlignment w:val="auto"/>
              <w:rPr>
                <w:rFonts w:ascii="Calibri Light" w:hAnsi="Calibri Light" w:cs="Calibri Light"/>
                <w:i/>
                <w:iCs/>
                <w:color w:val="13576B"/>
                <w:sz w:val="20"/>
              </w:rPr>
            </w:pPr>
            <w:r>
              <w:rPr>
                <w:rFonts w:ascii="Calibri Light" w:hAnsi="Calibri Light" w:cs="Calibri Light"/>
                <w:i/>
                <w:iCs/>
                <w:color w:val="FF0000"/>
                <w:sz w:val="20"/>
              </w:rPr>
              <w:t>(0)</w:t>
            </w:r>
          </w:p>
        </w:tc>
        <w:tc>
          <w:tcPr>
            <w:tcW w:w="680" w:type="dxa"/>
            <w:tcBorders>
              <w:top w:val="nil"/>
              <w:left w:val="nil"/>
              <w:bottom w:val="nil"/>
              <w:right w:val="single" w:sz="8" w:space="0" w:color="FFFFFF"/>
            </w:tcBorders>
            <w:shd w:val="clear" w:color="000000" w:fill="D9D9D9"/>
            <w:noWrap/>
            <w:vAlign w:val="center"/>
            <w:hideMark/>
          </w:tcPr>
          <w:p w14:paraId="0A6A3AEB" w14:textId="2C11D180"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w:t>
            </w:r>
          </w:p>
        </w:tc>
        <w:tc>
          <w:tcPr>
            <w:tcW w:w="900" w:type="dxa"/>
            <w:tcBorders>
              <w:top w:val="nil"/>
              <w:left w:val="nil"/>
              <w:bottom w:val="nil"/>
              <w:right w:val="single" w:sz="8" w:space="0" w:color="FFFFFF"/>
            </w:tcBorders>
            <w:shd w:val="clear" w:color="000000" w:fill="D9D9D9"/>
            <w:noWrap/>
            <w:vAlign w:val="center"/>
            <w:hideMark/>
          </w:tcPr>
          <w:p w14:paraId="2863125A" w14:textId="62D2EED8"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(-0,2)</w:t>
            </w:r>
          </w:p>
        </w:tc>
      </w:tr>
      <w:tr w:rsidR="009008CB" w:rsidRPr="003D3DB8" w14:paraId="6007D3C5" w14:textId="77777777" w:rsidTr="009008CB">
        <w:trPr>
          <w:trHeight w:val="270"/>
        </w:trPr>
        <w:tc>
          <w:tcPr>
            <w:tcW w:w="5294" w:type="dxa"/>
            <w:tcBorders>
              <w:top w:val="nil"/>
              <w:left w:val="nil"/>
              <w:bottom w:val="single" w:sz="8" w:space="0" w:color="FFFFFF"/>
              <w:right w:val="single" w:sz="8" w:space="0" w:color="FFFFFF"/>
            </w:tcBorders>
            <w:shd w:val="clear" w:color="000000" w:fill="13576B"/>
            <w:vAlign w:val="center"/>
            <w:hideMark/>
          </w:tcPr>
          <w:p w14:paraId="2410FEE0" w14:textId="141A7F05" w:rsidR="009008CB" w:rsidRPr="003D3DB8" w:rsidRDefault="009008CB" w:rsidP="009008CB">
            <w:pPr>
              <w:overflowPunct/>
              <w:autoSpaceDE/>
              <w:autoSpaceDN/>
              <w:adjustRightInd/>
              <w:jc w:val="left"/>
              <w:textAlignment w:val="auto"/>
              <w:rPr>
                <w:rFonts w:ascii="Calibri Light" w:hAnsi="Calibri Light" w:cs="Calibri Light"/>
                <w:b/>
                <w:bCs/>
                <w:color w:val="FFFFFF"/>
                <w:sz w:val="20"/>
              </w:rPr>
            </w:pPr>
            <w:r>
              <w:rPr>
                <w:rFonts w:ascii="Calibri Light" w:hAnsi="Calibri Light" w:cs="Calibri Light"/>
                <w:b/>
                <w:bCs/>
                <w:color w:val="FFFFFF"/>
                <w:sz w:val="20"/>
              </w:rPr>
              <w:t xml:space="preserve">Vládní dluh (% HDP) </w:t>
            </w:r>
          </w:p>
        </w:tc>
        <w:tc>
          <w:tcPr>
            <w:tcW w:w="680" w:type="dxa"/>
            <w:tcBorders>
              <w:top w:val="nil"/>
              <w:left w:val="nil"/>
              <w:bottom w:val="single" w:sz="8" w:space="0" w:color="FFFFFF"/>
              <w:right w:val="single" w:sz="8" w:space="0" w:color="FFFFFF"/>
            </w:tcBorders>
            <w:shd w:val="clear" w:color="000000" w:fill="D9D9D9"/>
            <w:noWrap/>
            <w:vAlign w:val="center"/>
            <w:hideMark/>
          </w:tcPr>
          <w:p w14:paraId="3B0E9E08" w14:textId="0AA2CA22"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43,3</w:t>
            </w:r>
          </w:p>
        </w:tc>
        <w:tc>
          <w:tcPr>
            <w:tcW w:w="680" w:type="dxa"/>
            <w:tcBorders>
              <w:top w:val="nil"/>
              <w:left w:val="nil"/>
              <w:bottom w:val="single" w:sz="8" w:space="0" w:color="FFFFFF"/>
              <w:right w:val="single" w:sz="8" w:space="0" w:color="FFFFFF"/>
            </w:tcBorders>
            <w:shd w:val="clear" w:color="000000" w:fill="D9D9D9"/>
            <w:noWrap/>
            <w:vAlign w:val="center"/>
            <w:hideMark/>
          </w:tcPr>
          <w:p w14:paraId="3AD17DC3" w14:textId="543F099C"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44,3</w:t>
            </w:r>
          </w:p>
        </w:tc>
        <w:tc>
          <w:tcPr>
            <w:tcW w:w="680" w:type="dxa"/>
            <w:tcBorders>
              <w:top w:val="nil"/>
              <w:left w:val="nil"/>
              <w:bottom w:val="single" w:sz="8" w:space="0" w:color="FFFFFF"/>
              <w:right w:val="single" w:sz="8" w:space="0" w:color="FFFFFF"/>
            </w:tcBorders>
            <w:shd w:val="clear" w:color="000000" w:fill="D9D9D9"/>
            <w:noWrap/>
            <w:vAlign w:val="center"/>
            <w:hideMark/>
          </w:tcPr>
          <w:p w14:paraId="11D2680D" w14:textId="3DAF7A45"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45,6</w:t>
            </w:r>
          </w:p>
        </w:tc>
        <w:tc>
          <w:tcPr>
            <w:tcW w:w="680" w:type="dxa"/>
            <w:tcBorders>
              <w:top w:val="nil"/>
              <w:left w:val="nil"/>
              <w:bottom w:val="single" w:sz="8" w:space="0" w:color="FFFFFF"/>
              <w:right w:val="single" w:sz="8" w:space="0" w:color="FFFFFF"/>
            </w:tcBorders>
            <w:shd w:val="clear" w:color="000000" w:fill="D9D9D9"/>
            <w:noWrap/>
            <w:vAlign w:val="center"/>
            <w:hideMark/>
          </w:tcPr>
          <w:p w14:paraId="4FEE75C4" w14:textId="67695ADF"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46,5</w:t>
            </w:r>
          </w:p>
        </w:tc>
        <w:tc>
          <w:tcPr>
            <w:tcW w:w="186" w:type="dxa"/>
            <w:tcBorders>
              <w:top w:val="nil"/>
              <w:left w:val="nil"/>
              <w:bottom w:val="nil"/>
              <w:right w:val="single" w:sz="8" w:space="0" w:color="FFFFFF"/>
            </w:tcBorders>
            <w:shd w:val="clear" w:color="000000" w:fill="13576B"/>
            <w:noWrap/>
            <w:vAlign w:val="center"/>
            <w:hideMark/>
          </w:tcPr>
          <w:p w14:paraId="0A28BF24" w14:textId="7AFE1B2E"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 </w:t>
            </w:r>
          </w:p>
        </w:tc>
        <w:tc>
          <w:tcPr>
            <w:tcW w:w="720" w:type="dxa"/>
            <w:tcBorders>
              <w:top w:val="nil"/>
              <w:left w:val="nil"/>
              <w:bottom w:val="single" w:sz="8" w:space="0" w:color="FFFFFF"/>
              <w:right w:val="single" w:sz="8" w:space="0" w:color="FFFFFF"/>
            </w:tcBorders>
            <w:shd w:val="clear" w:color="000000" w:fill="D9D9D9"/>
            <w:noWrap/>
            <w:vAlign w:val="center"/>
            <w:hideMark/>
          </w:tcPr>
          <w:p w14:paraId="583980DF" w14:textId="33CE1FB0" w:rsidR="009008CB" w:rsidRPr="003D3DB8" w:rsidRDefault="009008CB" w:rsidP="009008CB">
            <w:pPr>
              <w:overflowPunct/>
              <w:autoSpaceDE/>
              <w:autoSpaceDN/>
              <w:adjustRightInd/>
              <w:jc w:val="center"/>
              <w:textAlignment w:val="auto"/>
              <w:rPr>
                <w:rFonts w:ascii="Calibri Light" w:hAnsi="Calibri Light" w:cs="Calibri Light"/>
                <w:i/>
                <w:iCs/>
                <w:color w:val="13576B"/>
                <w:sz w:val="20"/>
              </w:rPr>
            </w:pPr>
            <w:r>
              <w:rPr>
                <w:rFonts w:ascii="Calibri Light" w:hAnsi="Calibri Light" w:cs="Calibri Light"/>
                <w:i/>
                <w:iCs/>
                <w:color w:val="FF0000"/>
                <w:sz w:val="20"/>
              </w:rPr>
              <w:t>(0,5)</w:t>
            </w:r>
          </w:p>
        </w:tc>
        <w:tc>
          <w:tcPr>
            <w:tcW w:w="680" w:type="dxa"/>
            <w:tcBorders>
              <w:top w:val="nil"/>
              <w:left w:val="nil"/>
              <w:bottom w:val="single" w:sz="8" w:space="0" w:color="FFFFFF"/>
              <w:right w:val="single" w:sz="8" w:space="0" w:color="FFFFFF"/>
            </w:tcBorders>
            <w:shd w:val="clear" w:color="000000" w:fill="D9D9D9"/>
            <w:noWrap/>
            <w:vAlign w:val="center"/>
            <w:hideMark/>
          </w:tcPr>
          <w:p w14:paraId="3111DF14" w14:textId="42C27C30"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(0,7)</w:t>
            </w:r>
          </w:p>
        </w:tc>
        <w:tc>
          <w:tcPr>
            <w:tcW w:w="900" w:type="dxa"/>
            <w:tcBorders>
              <w:top w:val="nil"/>
              <w:left w:val="nil"/>
              <w:bottom w:val="single" w:sz="8" w:space="0" w:color="FFFFFF"/>
              <w:right w:val="single" w:sz="8" w:space="0" w:color="FFFFFF"/>
            </w:tcBorders>
            <w:shd w:val="clear" w:color="000000" w:fill="D9D9D9"/>
            <w:noWrap/>
            <w:vAlign w:val="center"/>
            <w:hideMark/>
          </w:tcPr>
          <w:p w14:paraId="15A7C39B" w14:textId="6CA75E5D"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(1,1)</w:t>
            </w:r>
          </w:p>
        </w:tc>
      </w:tr>
      <w:tr w:rsidR="009008CB" w:rsidRPr="003D3DB8" w14:paraId="7CC0024D" w14:textId="77777777" w:rsidTr="009008CB">
        <w:trPr>
          <w:trHeight w:val="260"/>
        </w:trPr>
        <w:tc>
          <w:tcPr>
            <w:tcW w:w="5294" w:type="dxa"/>
            <w:tcBorders>
              <w:top w:val="nil"/>
              <w:left w:val="nil"/>
              <w:bottom w:val="nil"/>
              <w:right w:val="single" w:sz="8" w:space="0" w:color="FFFFFF"/>
            </w:tcBorders>
            <w:shd w:val="clear" w:color="000000" w:fill="13576B"/>
            <w:vAlign w:val="center"/>
            <w:hideMark/>
          </w:tcPr>
          <w:p w14:paraId="27540AD4" w14:textId="73EB6C2C" w:rsidR="009008CB" w:rsidRPr="003D3DB8" w:rsidRDefault="009008CB" w:rsidP="009008CB">
            <w:pPr>
              <w:overflowPunct/>
              <w:autoSpaceDE/>
              <w:autoSpaceDN/>
              <w:adjustRightInd/>
              <w:jc w:val="left"/>
              <w:textAlignment w:val="auto"/>
              <w:rPr>
                <w:rFonts w:ascii="Calibri Light" w:hAnsi="Calibri Light" w:cs="Calibri Light"/>
                <w:b/>
                <w:bCs/>
                <w:color w:val="FFFFFF"/>
                <w:sz w:val="20"/>
              </w:rPr>
            </w:pPr>
            <w:r>
              <w:rPr>
                <w:rFonts w:ascii="Calibri Light" w:hAnsi="Calibri Light" w:cs="Calibri Light"/>
                <w:b/>
                <w:bCs/>
                <w:color w:val="FFFFFF"/>
                <w:sz w:val="20"/>
              </w:rPr>
              <w:t>Základní sazba ČNB 2T REPO (%): konec období</w:t>
            </w:r>
          </w:p>
        </w:tc>
        <w:tc>
          <w:tcPr>
            <w:tcW w:w="680" w:type="dxa"/>
            <w:tcBorders>
              <w:top w:val="nil"/>
              <w:left w:val="nil"/>
              <w:bottom w:val="nil"/>
              <w:right w:val="single" w:sz="8" w:space="0" w:color="FFFFFF"/>
            </w:tcBorders>
            <w:shd w:val="clear" w:color="000000" w:fill="D9D9D9"/>
            <w:noWrap/>
            <w:vAlign w:val="center"/>
            <w:hideMark/>
          </w:tcPr>
          <w:p w14:paraId="5E302DD2" w14:textId="40B2030C"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7,00</w:t>
            </w:r>
          </w:p>
        </w:tc>
        <w:tc>
          <w:tcPr>
            <w:tcW w:w="680" w:type="dxa"/>
            <w:tcBorders>
              <w:top w:val="nil"/>
              <w:left w:val="nil"/>
              <w:bottom w:val="nil"/>
              <w:right w:val="single" w:sz="8" w:space="0" w:color="FFFFFF"/>
            </w:tcBorders>
            <w:shd w:val="clear" w:color="000000" w:fill="D9D9D9"/>
            <w:noWrap/>
            <w:vAlign w:val="center"/>
            <w:hideMark/>
          </w:tcPr>
          <w:p w14:paraId="795AC413" w14:textId="0F7C50EC"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3,50</w:t>
            </w:r>
          </w:p>
        </w:tc>
        <w:tc>
          <w:tcPr>
            <w:tcW w:w="680" w:type="dxa"/>
            <w:tcBorders>
              <w:top w:val="nil"/>
              <w:left w:val="nil"/>
              <w:bottom w:val="nil"/>
              <w:right w:val="single" w:sz="8" w:space="0" w:color="FFFFFF"/>
            </w:tcBorders>
            <w:shd w:val="clear" w:color="000000" w:fill="D9D9D9"/>
            <w:noWrap/>
            <w:vAlign w:val="center"/>
            <w:hideMark/>
          </w:tcPr>
          <w:p w14:paraId="2A211799" w14:textId="3C09D9D1"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3,50</w:t>
            </w:r>
          </w:p>
        </w:tc>
        <w:tc>
          <w:tcPr>
            <w:tcW w:w="680" w:type="dxa"/>
            <w:tcBorders>
              <w:top w:val="nil"/>
              <w:left w:val="nil"/>
              <w:bottom w:val="nil"/>
              <w:right w:val="single" w:sz="8" w:space="0" w:color="FFFFFF"/>
            </w:tcBorders>
            <w:shd w:val="clear" w:color="000000" w:fill="D9D9D9"/>
            <w:noWrap/>
            <w:vAlign w:val="center"/>
            <w:hideMark/>
          </w:tcPr>
          <w:p w14:paraId="52930473" w14:textId="59BBC309"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3,50</w:t>
            </w:r>
          </w:p>
        </w:tc>
        <w:tc>
          <w:tcPr>
            <w:tcW w:w="186" w:type="dxa"/>
            <w:tcBorders>
              <w:top w:val="nil"/>
              <w:left w:val="nil"/>
              <w:bottom w:val="nil"/>
              <w:right w:val="single" w:sz="8" w:space="0" w:color="FFFFFF"/>
            </w:tcBorders>
            <w:shd w:val="clear" w:color="000000" w:fill="13576B"/>
            <w:noWrap/>
            <w:vAlign w:val="center"/>
            <w:hideMark/>
          </w:tcPr>
          <w:p w14:paraId="6D1E8EA2" w14:textId="1E05E520"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 </w:t>
            </w:r>
          </w:p>
        </w:tc>
        <w:tc>
          <w:tcPr>
            <w:tcW w:w="720" w:type="dxa"/>
            <w:tcBorders>
              <w:top w:val="nil"/>
              <w:left w:val="nil"/>
              <w:bottom w:val="nil"/>
              <w:right w:val="single" w:sz="8" w:space="0" w:color="FFFFFF"/>
            </w:tcBorders>
            <w:shd w:val="clear" w:color="000000" w:fill="D9D9D9"/>
            <w:noWrap/>
            <w:vAlign w:val="center"/>
            <w:hideMark/>
          </w:tcPr>
          <w:p w14:paraId="4852DB68" w14:textId="55A09172" w:rsidR="009008CB" w:rsidRPr="003D3DB8" w:rsidRDefault="009008CB" w:rsidP="009008CB">
            <w:pPr>
              <w:overflowPunct/>
              <w:autoSpaceDE/>
              <w:autoSpaceDN/>
              <w:adjustRightInd/>
              <w:jc w:val="center"/>
              <w:textAlignment w:val="auto"/>
              <w:rPr>
                <w:rFonts w:ascii="Calibri Light" w:hAnsi="Calibri Light" w:cs="Calibri Light"/>
                <w:i/>
                <w:iCs/>
                <w:color w:val="13576B"/>
                <w:sz w:val="20"/>
              </w:rPr>
            </w:pPr>
            <w:r>
              <w:rPr>
                <w:rFonts w:ascii="Calibri Light" w:hAnsi="Calibri Light" w:cs="Calibri Light"/>
                <w:i/>
                <w:iCs/>
                <w:color w:val="FF0000"/>
                <w:sz w:val="20"/>
              </w:rPr>
              <w:t>(0)</w:t>
            </w:r>
          </w:p>
        </w:tc>
        <w:tc>
          <w:tcPr>
            <w:tcW w:w="680" w:type="dxa"/>
            <w:tcBorders>
              <w:top w:val="nil"/>
              <w:left w:val="nil"/>
              <w:bottom w:val="nil"/>
              <w:right w:val="single" w:sz="8" w:space="0" w:color="FFFFFF"/>
            </w:tcBorders>
            <w:shd w:val="clear" w:color="000000" w:fill="D9D9D9"/>
            <w:noWrap/>
            <w:vAlign w:val="center"/>
            <w:hideMark/>
          </w:tcPr>
          <w:p w14:paraId="2DB7F6AE" w14:textId="5DE80041"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w:t>
            </w:r>
          </w:p>
        </w:tc>
        <w:tc>
          <w:tcPr>
            <w:tcW w:w="900" w:type="dxa"/>
            <w:tcBorders>
              <w:top w:val="nil"/>
              <w:left w:val="nil"/>
              <w:bottom w:val="nil"/>
              <w:right w:val="single" w:sz="8" w:space="0" w:color="FFFFFF"/>
            </w:tcBorders>
            <w:shd w:val="clear" w:color="000000" w:fill="D9D9D9"/>
            <w:noWrap/>
            <w:vAlign w:val="center"/>
            <w:hideMark/>
          </w:tcPr>
          <w:p w14:paraId="057F3925" w14:textId="52FB8B3F"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w:t>
            </w:r>
          </w:p>
        </w:tc>
      </w:tr>
      <w:tr w:rsidR="009008CB" w:rsidRPr="003D3DB8" w14:paraId="6EBAA0EB" w14:textId="77777777" w:rsidTr="009008CB">
        <w:trPr>
          <w:trHeight w:val="260"/>
        </w:trPr>
        <w:tc>
          <w:tcPr>
            <w:tcW w:w="5294" w:type="dxa"/>
            <w:tcBorders>
              <w:top w:val="nil"/>
              <w:left w:val="nil"/>
              <w:bottom w:val="nil"/>
              <w:right w:val="single" w:sz="8" w:space="0" w:color="FFFFFF"/>
            </w:tcBorders>
            <w:shd w:val="clear" w:color="000000" w:fill="13576B"/>
            <w:vAlign w:val="center"/>
            <w:hideMark/>
          </w:tcPr>
          <w:p w14:paraId="6D253736" w14:textId="55EEF8A0" w:rsidR="009008CB" w:rsidRPr="003D3DB8" w:rsidRDefault="009008CB" w:rsidP="009008CB">
            <w:pPr>
              <w:overflowPunct/>
              <w:autoSpaceDE/>
              <w:autoSpaceDN/>
              <w:adjustRightInd/>
              <w:jc w:val="left"/>
              <w:textAlignment w:val="auto"/>
              <w:rPr>
                <w:rFonts w:ascii="Calibri Light" w:hAnsi="Calibri Light" w:cs="Calibri Light"/>
                <w:b/>
                <w:bCs/>
                <w:color w:val="FFFFFF"/>
                <w:sz w:val="20"/>
              </w:rPr>
            </w:pPr>
            <w:r>
              <w:rPr>
                <w:rFonts w:ascii="Calibri Light" w:hAnsi="Calibri Light" w:cs="Calibri Light"/>
                <w:b/>
                <w:bCs/>
                <w:color w:val="FFFFFF"/>
                <w:sz w:val="20"/>
              </w:rPr>
              <w:t>3M-PRIBOR (%): průměr</w:t>
            </w:r>
          </w:p>
        </w:tc>
        <w:tc>
          <w:tcPr>
            <w:tcW w:w="680" w:type="dxa"/>
            <w:tcBorders>
              <w:top w:val="nil"/>
              <w:left w:val="nil"/>
              <w:bottom w:val="nil"/>
              <w:right w:val="single" w:sz="8" w:space="0" w:color="FFFFFF"/>
            </w:tcBorders>
            <w:shd w:val="clear" w:color="000000" w:fill="D9D9D9"/>
            <w:noWrap/>
            <w:vAlign w:val="center"/>
            <w:hideMark/>
          </w:tcPr>
          <w:p w14:paraId="47C3FA8B" w14:textId="5ED93AAA"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5,0</w:t>
            </w:r>
          </w:p>
        </w:tc>
        <w:tc>
          <w:tcPr>
            <w:tcW w:w="680" w:type="dxa"/>
            <w:tcBorders>
              <w:top w:val="nil"/>
              <w:left w:val="nil"/>
              <w:bottom w:val="nil"/>
              <w:right w:val="single" w:sz="8" w:space="0" w:color="FFFFFF"/>
            </w:tcBorders>
            <w:shd w:val="clear" w:color="000000" w:fill="D9D9D9"/>
            <w:noWrap/>
            <w:vAlign w:val="center"/>
            <w:hideMark/>
          </w:tcPr>
          <w:p w14:paraId="446F7DF0" w14:textId="4A4627C6"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3,6</w:t>
            </w:r>
          </w:p>
        </w:tc>
        <w:tc>
          <w:tcPr>
            <w:tcW w:w="680" w:type="dxa"/>
            <w:tcBorders>
              <w:top w:val="nil"/>
              <w:left w:val="nil"/>
              <w:bottom w:val="nil"/>
              <w:right w:val="single" w:sz="8" w:space="0" w:color="FFFFFF"/>
            </w:tcBorders>
            <w:shd w:val="clear" w:color="000000" w:fill="D9D9D9"/>
            <w:noWrap/>
            <w:vAlign w:val="center"/>
            <w:hideMark/>
          </w:tcPr>
          <w:p w14:paraId="043F390E" w14:textId="0053CF0F"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3,6</w:t>
            </w:r>
          </w:p>
        </w:tc>
        <w:tc>
          <w:tcPr>
            <w:tcW w:w="680" w:type="dxa"/>
            <w:tcBorders>
              <w:top w:val="nil"/>
              <w:left w:val="nil"/>
              <w:bottom w:val="nil"/>
              <w:right w:val="single" w:sz="8" w:space="0" w:color="FFFFFF"/>
            </w:tcBorders>
            <w:shd w:val="clear" w:color="000000" w:fill="D9D9D9"/>
            <w:noWrap/>
            <w:vAlign w:val="center"/>
            <w:hideMark/>
          </w:tcPr>
          <w:p w14:paraId="087C91E6" w14:textId="399838DE"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3,6</w:t>
            </w:r>
          </w:p>
        </w:tc>
        <w:tc>
          <w:tcPr>
            <w:tcW w:w="186" w:type="dxa"/>
            <w:tcBorders>
              <w:top w:val="nil"/>
              <w:left w:val="nil"/>
              <w:bottom w:val="nil"/>
              <w:right w:val="single" w:sz="8" w:space="0" w:color="FFFFFF"/>
            </w:tcBorders>
            <w:shd w:val="clear" w:color="000000" w:fill="13576B"/>
            <w:noWrap/>
            <w:vAlign w:val="center"/>
            <w:hideMark/>
          </w:tcPr>
          <w:p w14:paraId="2DF5E6CB" w14:textId="314DD7D4"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 </w:t>
            </w:r>
          </w:p>
        </w:tc>
        <w:tc>
          <w:tcPr>
            <w:tcW w:w="720" w:type="dxa"/>
            <w:tcBorders>
              <w:top w:val="nil"/>
              <w:left w:val="nil"/>
              <w:bottom w:val="nil"/>
              <w:right w:val="single" w:sz="8" w:space="0" w:color="FFFFFF"/>
            </w:tcBorders>
            <w:shd w:val="clear" w:color="000000" w:fill="D9D9D9"/>
            <w:noWrap/>
            <w:vAlign w:val="center"/>
            <w:hideMark/>
          </w:tcPr>
          <w:p w14:paraId="4DA3C31A" w14:textId="3195CDE3" w:rsidR="009008CB" w:rsidRPr="003D3DB8" w:rsidRDefault="009008CB" w:rsidP="009008CB">
            <w:pPr>
              <w:overflowPunct/>
              <w:autoSpaceDE/>
              <w:autoSpaceDN/>
              <w:adjustRightInd/>
              <w:jc w:val="center"/>
              <w:textAlignment w:val="auto"/>
              <w:rPr>
                <w:rFonts w:ascii="Calibri Light" w:hAnsi="Calibri Light" w:cs="Calibri Light"/>
                <w:i/>
                <w:iCs/>
                <w:color w:val="13576B"/>
                <w:sz w:val="20"/>
              </w:rPr>
            </w:pPr>
            <w:r>
              <w:rPr>
                <w:rFonts w:ascii="Calibri Light" w:hAnsi="Calibri Light" w:cs="Calibri Light"/>
                <w:i/>
                <w:iCs/>
                <w:color w:val="FF0000"/>
                <w:sz w:val="20"/>
              </w:rPr>
              <w:t>(0)</w:t>
            </w:r>
          </w:p>
        </w:tc>
        <w:tc>
          <w:tcPr>
            <w:tcW w:w="680" w:type="dxa"/>
            <w:tcBorders>
              <w:top w:val="nil"/>
              <w:left w:val="nil"/>
              <w:bottom w:val="nil"/>
              <w:right w:val="single" w:sz="8" w:space="0" w:color="FFFFFF"/>
            </w:tcBorders>
            <w:shd w:val="clear" w:color="000000" w:fill="D9D9D9"/>
            <w:noWrap/>
            <w:vAlign w:val="center"/>
            <w:hideMark/>
          </w:tcPr>
          <w:p w14:paraId="1E808F9E" w14:textId="668F0519"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(0,03)</w:t>
            </w:r>
          </w:p>
        </w:tc>
        <w:tc>
          <w:tcPr>
            <w:tcW w:w="900" w:type="dxa"/>
            <w:tcBorders>
              <w:top w:val="nil"/>
              <w:left w:val="nil"/>
              <w:bottom w:val="nil"/>
              <w:right w:val="single" w:sz="8" w:space="0" w:color="FFFFFF"/>
            </w:tcBorders>
            <w:shd w:val="clear" w:color="000000" w:fill="D9D9D9"/>
            <w:noWrap/>
            <w:vAlign w:val="center"/>
            <w:hideMark/>
          </w:tcPr>
          <w:p w14:paraId="45126BB4" w14:textId="406CC144"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w:t>
            </w:r>
          </w:p>
        </w:tc>
      </w:tr>
      <w:tr w:rsidR="009008CB" w:rsidRPr="003D3DB8" w14:paraId="3773FB6A" w14:textId="77777777" w:rsidTr="009008CB">
        <w:trPr>
          <w:trHeight w:val="260"/>
        </w:trPr>
        <w:tc>
          <w:tcPr>
            <w:tcW w:w="5294" w:type="dxa"/>
            <w:tcBorders>
              <w:top w:val="nil"/>
              <w:left w:val="nil"/>
              <w:bottom w:val="nil"/>
              <w:right w:val="single" w:sz="8" w:space="0" w:color="FFFFFF"/>
            </w:tcBorders>
            <w:shd w:val="clear" w:color="000000" w:fill="13576B"/>
            <w:vAlign w:val="center"/>
            <w:hideMark/>
          </w:tcPr>
          <w:p w14:paraId="08BC50FC" w14:textId="3D610B38" w:rsidR="009008CB" w:rsidRPr="003D3DB8" w:rsidRDefault="009008CB" w:rsidP="009008CB">
            <w:pPr>
              <w:overflowPunct/>
              <w:autoSpaceDE/>
              <w:autoSpaceDN/>
              <w:adjustRightInd/>
              <w:jc w:val="left"/>
              <w:textAlignment w:val="auto"/>
              <w:rPr>
                <w:rFonts w:ascii="Calibri Light" w:hAnsi="Calibri Light" w:cs="Calibri Light"/>
                <w:b/>
                <w:bCs/>
                <w:color w:val="FFFFFF"/>
                <w:sz w:val="20"/>
              </w:rPr>
            </w:pPr>
            <w:r>
              <w:rPr>
                <w:rFonts w:ascii="Calibri Light" w:hAnsi="Calibri Light" w:cs="Calibri Light"/>
                <w:b/>
                <w:bCs/>
                <w:color w:val="FFFFFF"/>
                <w:sz w:val="20"/>
              </w:rPr>
              <w:t>Výnos 10letého vládního dluhopisu (%): průměr</w:t>
            </w:r>
          </w:p>
        </w:tc>
        <w:tc>
          <w:tcPr>
            <w:tcW w:w="680" w:type="dxa"/>
            <w:tcBorders>
              <w:top w:val="nil"/>
              <w:left w:val="nil"/>
              <w:bottom w:val="nil"/>
              <w:right w:val="single" w:sz="8" w:space="0" w:color="FFFFFF"/>
            </w:tcBorders>
            <w:shd w:val="clear" w:color="000000" w:fill="D9D9D9"/>
            <w:noWrap/>
            <w:vAlign w:val="center"/>
            <w:hideMark/>
          </w:tcPr>
          <w:p w14:paraId="3B7B7F88" w14:textId="249502A5"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4,0</w:t>
            </w:r>
          </w:p>
        </w:tc>
        <w:tc>
          <w:tcPr>
            <w:tcW w:w="680" w:type="dxa"/>
            <w:tcBorders>
              <w:top w:val="nil"/>
              <w:left w:val="nil"/>
              <w:bottom w:val="nil"/>
              <w:right w:val="single" w:sz="8" w:space="0" w:color="FFFFFF"/>
            </w:tcBorders>
            <w:shd w:val="clear" w:color="000000" w:fill="D9D9D9"/>
            <w:noWrap/>
            <w:vAlign w:val="center"/>
            <w:hideMark/>
          </w:tcPr>
          <w:p w14:paraId="0BD84FCA" w14:textId="41B7AA62"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4,3</w:t>
            </w:r>
          </w:p>
        </w:tc>
        <w:tc>
          <w:tcPr>
            <w:tcW w:w="680" w:type="dxa"/>
            <w:tcBorders>
              <w:top w:val="nil"/>
              <w:left w:val="nil"/>
              <w:bottom w:val="nil"/>
              <w:right w:val="single" w:sz="8" w:space="0" w:color="FFFFFF"/>
            </w:tcBorders>
            <w:shd w:val="clear" w:color="000000" w:fill="D9D9D9"/>
            <w:noWrap/>
            <w:vAlign w:val="center"/>
            <w:hideMark/>
          </w:tcPr>
          <w:p w14:paraId="0479A186" w14:textId="14A36346"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4,8</w:t>
            </w:r>
          </w:p>
        </w:tc>
        <w:tc>
          <w:tcPr>
            <w:tcW w:w="680" w:type="dxa"/>
            <w:tcBorders>
              <w:top w:val="nil"/>
              <w:left w:val="nil"/>
              <w:bottom w:val="nil"/>
              <w:right w:val="single" w:sz="8" w:space="0" w:color="FFFFFF"/>
            </w:tcBorders>
            <w:shd w:val="clear" w:color="000000" w:fill="D9D9D9"/>
            <w:noWrap/>
            <w:vAlign w:val="center"/>
            <w:hideMark/>
          </w:tcPr>
          <w:p w14:paraId="49363A71" w14:textId="1726E96B"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4,6</w:t>
            </w:r>
          </w:p>
        </w:tc>
        <w:tc>
          <w:tcPr>
            <w:tcW w:w="186" w:type="dxa"/>
            <w:tcBorders>
              <w:top w:val="nil"/>
              <w:left w:val="nil"/>
              <w:bottom w:val="nil"/>
              <w:right w:val="single" w:sz="8" w:space="0" w:color="FFFFFF"/>
            </w:tcBorders>
            <w:shd w:val="clear" w:color="000000" w:fill="13576B"/>
            <w:noWrap/>
            <w:vAlign w:val="center"/>
            <w:hideMark/>
          </w:tcPr>
          <w:p w14:paraId="406CD3B2" w14:textId="79884808"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 </w:t>
            </w:r>
          </w:p>
        </w:tc>
        <w:tc>
          <w:tcPr>
            <w:tcW w:w="720" w:type="dxa"/>
            <w:tcBorders>
              <w:top w:val="nil"/>
              <w:left w:val="nil"/>
              <w:bottom w:val="nil"/>
              <w:right w:val="single" w:sz="8" w:space="0" w:color="FFFFFF"/>
            </w:tcBorders>
            <w:shd w:val="clear" w:color="000000" w:fill="D9D9D9"/>
            <w:noWrap/>
            <w:vAlign w:val="center"/>
            <w:hideMark/>
          </w:tcPr>
          <w:p w14:paraId="2A023AEB" w14:textId="4B86D7D5" w:rsidR="009008CB" w:rsidRPr="003D3DB8" w:rsidRDefault="009008CB" w:rsidP="009008CB">
            <w:pPr>
              <w:overflowPunct/>
              <w:autoSpaceDE/>
              <w:autoSpaceDN/>
              <w:adjustRightInd/>
              <w:jc w:val="center"/>
              <w:textAlignment w:val="auto"/>
              <w:rPr>
                <w:rFonts w:ascii="Calibri Light" w:hAnsi="Calibri Light" w:cs="Calibri Light"/>
                <w:i/>
                <w:iCs/>
                <w:color w:val="13576B"/>
                <w:sz w:val="20"/>
              </w:rPr>
            </w:pPr>
            <w:r>
              <w:rPr>
                <w:rFonts w:ascii="Calibri Light" w:hAnsi="Calibri Light" w:cs="Calibri Light"/>
                <w:i/>
                <w:iCs/>
                <w:color w:val="FF0000"/>
                <w:sz w:val="20"/>
              </w:rPr>
              <w:t>(0,02)</w:t>
            </w:r>
          </w:p>
        </w:tc>
        <w:tc>
          <w:tcPr>
            <w:tcW w:w="680" w:type="dxa"/>
            <w:tcBorders>
              <w:top w:val="nil"/>
              <w:left w:val="nil"/>
              <w:bottom w:val="nil"/>
              <w:right w:val="single" w:sz="8" w:space="0" w:color="FFFFFF"/>
            </w:tcBorders>
            <w:shd w:val="clear" w:color="000000" w:fill="D9D9D9"/>
            <w:noWrap/>
            <w:vAlign w:val="center"/>
            <w:hideMark/>
          </w:tcPr>
          <w:p w14:paraId="329B0863" w14:textId="63A64534"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(0,39)</w:t>
            </w:r>
          </w:p>
        </w:tc>
        <w:tc>
          <w:tcPr>
            <w:tcW w:w="900" w:type="dxa"/>
            <w:tcBorders>
              <w:top w:val="nil"/>
              <w:left w:val="nil"/>
              <w:bottom w:val="nil"/>
              <w:right w:val="single" w:sz="8" w:space="0" w:color="FFFFFF"/>
            </w:tcBorders>
            <w:shd w:val="clear" w:color="000000" w:fill="D9D9D9"/>
            <w:noWrap/>
            <w:vAlign w:val="center"/>
            <w:hideMark/>
          </w:tcPr>
          <w:p w14:paraId="009D8E98" w14:textId="7BA0170D"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(0,3)</w:t>
            </w:r>
          </w:p>
        </w:tc>
      </w:tr>
      <w:tr w:rsidR="009008CB" w:rsidRPr="003D3DB8" w14:paraId="17750D04" w14:textId="77777777" w:rsidTr="009008CB">
        <w:trPr>
          <w:trHeight w:val="270"/>
        </w:trPr>
        <w:tc>
          <w:tcPr>
            <w:tcW w:w="5294" w:type="dxa"/>
            <w:tcBorders>
              <w:top w:val="nil"/>
              <w:left w:val="nil"/>
              <w:bottom w:val="single" w:sz="8" w:space="0" w:color="FFFFFF"/>
              <w:right w:val="single" w:sz="8" w:space="0" w:color="FFFFFF"/>
            </w:tcBorders>
            <w:shd w:val="clear" w:color="000000" w:fill="13576B"/>
            <w:vAlign w:val="center"/>
            <w:hideMark/>
          </w:tcPr>
          <w:p w14:paraId="7780F310" w14:textId="10826281" w:rsidR="009008CB" w:rsidRPr="003D3DB8" w:rsidRDefault="009008CB" w:rsidP="009008CB">
            <w:pPr>
              <w:overflowPunct/>
              <w:autoSpaceDE/>
              <w:autoSpaceDN/>
              <w:adjustRightInd/>
              <w:jc w:val="left"/>
              <w:textAlignment w:val="auto"/>
              <w:rPr>
                <w:rFonts w:ascii="Calibri Light" w:hAnsi="Calibri Light" w:cs="Calibri Light"/>
                <w:b/>
                <w:bCs/>
                <w:color w:val="FFFFFF"/>
                <w:sz w:val="20"/>
              </w:rPr>
            </w:pPr>
            <w:r>
              <w:rPr>
                <w:rFonts w:ascii="Calibri Light" w:hAnsi="Calibri Light" w:cs="Calibri Light"/>
                <w:b/>
                <w:bCs/>
                <w:color w:val="FFFFFF"/>
                <w:sz w:val="20"/>
              </w:rPr>
              <w:t>Refinanční sazba ECB (%): konec období</w:t>
            </w:r>
          </w:p>
        </w:tc>
        <w:tc>
          <w:tcPr>
            <w:tcW w:w="680" w:type="dxa"/>
            <w:tcBorders>
              <w:top w:val="nil"/>
              <w:left w:val="nil"/>
              <w:bottom w:val="single" w:sz="8" w:space="0" w:color="FFFFFF"/>
              <w:right w:val="single" w:sz="8" w:space="0" w:color="FFFFFF"/>
            </w:tcBorders>
            <w:shd w:val="clear" w:color="000000" w:fill="D9D9D9"/>
            <w:noWrap/>
            <w:vAlign w:val="center"/>
            <w:hideMark/>
          </w:tcPr>
          <w:p w14:paraId="28F9A526" w14:textId="1082B44D"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4,50</w:t>
            </w:r>
          </w:p>
        </w:tc>
        <w:tc>
          <w:tcPr>
            <w:tcW w:w="680" w:type="dxa"/>
            <w:tcBorders>
              <w:top w:val="nil"/>
              <w:left w:val="nil"/>
              <w:bottom w:val="single" w:sz="8" w:space="0" w:color="FFFFFF"/>
              <w:right w:val="single" w:sz="8" w:space="0" w:color="FFFFFF"/>
            </w:tcBorders>
            <w:shd w:val="clear" w:color="000000" w:fill="D9D9D9"/>
            <w:noWrap/>
            <w:vAlign w:val="center"/>
            <w:hideMark/>
          </w:tcPr>
          <w:p w14:paraId="0C4171DC" w14:textId="50ED22E0"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2,15</w:t>
            </w:r>
          </w:p>
        </w:tc>
        <w:tc>
          <w:tcPr>
            <w:tcW w:w="680" w:type="dxa"/>
            <w:tcBorders>
              <w:top w:val="nil"/>
              <w:left w:val="nil"/>
              <w:bottom w:val="single" w:sz="8" w:space="0" w:color="FFFFFF"/>
              <w:right w:val="single" w:sz="8" w:space="0" w:color="FFFFFF"/>
            </w:tcBorders>
            <w:shd w:val="clear" w:color="000000" w:fill="D9D9D9"/>
            <w:noWrap/>
            <w:vAlign w:val="center"/>
            <w:hideMark/>
          </w:tcPr>
          <w:p w14:paraId="45B9AA3C" w14:textId="59CA245B"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2,53</w:t>
            </w:r>
          </w:p>
        </w:tc>
        <w:tc>
          <w:tcPr>
            <w:tcW w:w="680" w:type="dxa"/>
            <w:tcBorders>
              <w:top w:val="nil"/>
              <w:left w:val="nil"/>
              <w:bottom w:val="single" w:sz="8" w:space="0" w:color="FFFFFF"/>
              <w:right w:val="single" w:sz="8" w:space="0" w:color="FFFFFF"/>
            </w:tcBorders>
            <w:shd w:val="clear" w:color="000000" w:fill="D9D9D9"/>
            <w:noWrap/>
            <w:vAlign w:val="center"/>
            <w:hideMark/>
          </w:tcPr>
          <w:p w14:paraId="7EC4AB2A" w14:textId="7C6C231C"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2,40</w:t>
            </w:r>
          </w:p>
        </w:tc>
        <w:tc>
          <w:tcPr>
            <w:tcW w:w="186" w:type="dxa"/>
            <w:tcBorders>
              <w:top w:val="nil"/>
              <w:left w:val="nil"/>
              <w:bottom w:val="nil"/>
              <w:right w:val="single" w:sz="8" w:space="0" w:color="FFFFFF"/>
            </w:tcBorders>
            <w:shd w:val="clear" w:color="000000" w:fill="13576B"/>
            <w:noWrap/>
            <w:vAlign w:val="center"/>
            <w:hideMark/>
          </w:tcPr>
          <w:p w14:paraId="59E775A0" w14:textId="1F5452C5"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 </w:t>
            </w:r>
          </w:p>
        </w:tc>
        <w:tc>
          <w:tcPr>
            <w:tcW w:w="720" w:type="dxa"/>
            <w:tcBorders>
              <w:top w:val="nil"/>
              <w:left w:val="nil"/>
              <w:bottom w:val="single" w:sz="8" w:space="0" w:color="FFFFFF"/>
              <w:right w:val="single" w:sz="8" w:space="0" w:color="FFFFFF"/>
            </w:tcBorders>
            <w:shd w:val="clear" w:color="000000" w:fill="D9D9D9"/>
            <w:noWrap/>
            <w:vAlign w:val="center"/>
            <w:hideMark/>
          </w:tcPr>
          <w:p w14:paraId="1F984F46" w14:textId="453AB2F0" w:rsidR="009008CB" w:rsidRPr="003D3DB8" w:rsidRDefault="009008CB" w:rsidP="009008CB">
            <w:pPr>
              <w:overflowPunct/>
              <w:autoSpaceDE/>
              <w:autoSpaceDN/>
              <w:adjustRightInd/>
              <w:jc w:val="center"/>
              <w:textAlignment w:val="auto"/>
              <w:rPr>
                <w:rFonts w:ascii="Calibri Light" w:hAnsi="Calibri Light" w:cs="Calibri Light"/>
                <w:i/>
                <w:iCs/>
                <w:color w:val="13576B"/>
                <w:sz w:val="20"/>
              </w:rPr>
            </w:pPr>
            <w:r>
              <w:rPr>
                <w:rFonts w:ascii="Calibri Light" w:hAnsi="Calibri Light" w:cs="Calibri Light"/>
                <w:i/>
                <w:iCs/>
                <w:color w:val="FF0000"/>
                <w:sz w:val="20"/>
              </w:rPr>
              <w:t>(0)</w:t>
            </w:r>
          </w:p>
        </w:tc>
        <w:tc>
          <w:tcPr>
            <w:tcW w:w="680" w:type="dxa"/>
            <w:tcBorders>
              <w:top w:val="nil"/>
              <w:left w:val="nil"/>
              <w:bottom w:val="single" w:sz="8" w:space="0" w:color="FFFFFF"/>
              <w:right w:val="single" w:sz="8" w:space="0" w:color="FFFFFF"/>
            </w:tcBorders>
            <w:shd w:val="clear" w:color="000000" w:fill="D9D9D9"/>
            <w:noWrap/>
            <w:vAlign w:val="center"/>
            <w:hideMark/>
          </w:tcPr>
          <w:p w14:paraId="3125E33B" w14:textId="36A09797"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(0,38)</w:t>
            </w:r>
          </w:p>
        </w:tc>
        <w:tc>
          <w:tcPr>
            <w:tcW w:w="900" w:type="dxa"/>
            <w:tcBorders>
              <w:top w:val="nil"/>
              <w:left w:val="nil"/>
              <w:bottom w:val="single" w:sz="8" w:space="0" w:color="FFFFFF"/>
              <w:right w:val="single" w:sz="8" w:space="0" w:color="FFFFFF"/>
            </w:tcBorders>
            <w:shd w:val="clear" w:color="000000" w:fill="D9D9D9"/>
            <w:noWrap/>
            <w:vAlign w:val="center"/>
            <w:hideMark/>
          </w:tcPr>
          <w:p w14:paraId="158B2E1F" w14:textId="5493838C"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(0,25)</w:t>
            </w:r>
          </w:p>
        </w:tc>
      </w:tr>
      <w:tr w:rsidR="009008CB" w:rsidRPr="003D3DB8" w14:paraId="3C355910" w14:textId="77777777" w:rsidTr="009008CB">
        <w:trPr>
          <w:trHeight w:val="260"/>
        </w:trPr>
        <w:tc>
          <w:tcPr>
            <w:tcW w:w="5294" w:type="dxa"/>
            <w:tcBorders>
              <w:top w:val="nil"/>
              <w:left w:val="nil"/>
              <w:bottom w:val="nil"/>
              <w:right w:val="single" w:sz="8" w:space="0" w:color="FFFFFF"/>
            </w:tcBorders>
            <w:shd w:val="clear" w:color="000000" w:fill="13576B"/>
            <w:vAlign w:val="center"/>
            <w:hideMark/>
          </w:tcPr>
          <w:p w14:paraId="00811D50" w14:textId="08D43F4E" w:rsidR="009008CB" w:rsidRPr="003D3DB8" w:rsidRDefault="009008CB" w:rsidP="009008CB">
            <w:pPr>
              <w:overflowPunct/>
              <w:autoSpaceDE/>
              <w:autoSpaceDN/>
              <w:adjustRightInd/>
              <w:jc w:val="left"/>
              <w:textAlignment w:val="auto"/>
              <w:rPr>
                <w:rFonts w:ascii="Calibri Light" w:hAnsi="Calibri Light" w:cs="Calibri Light"/>
                <w:b/>
                <w:bCs/>
                <w:color w:val="FFFFFF"/>
                <w:sz w:val="20"/>
              </w:rPr>
            </w:pPr>
            <w:r>
              <w:rPr>
                <w:rFonts w:ascii="Calibri Light" w:hAnsi="Calibri Light" w:cs="Calibri Light"/>
                <w:b/>
                <w:bCs/>
                <w:color w:val="FFFFFF"/>
                <w:sz w:val="20"/>
              </w:rPr>
              <w:t>Kurz CZK/EUR: průměr</w:t>
            </w:r>
          </w:p>
        </w:tc>
        <w:tc>
          <w:tcPr>
            <w:tcW w:w="680" w:type="dxa"/>
            <w:tcBorders>
              <w:top w:val="nil"/>
              <w:left w:val="nil"/>
              <w:bottom w:val="nil"/>
              <w:right w:val="single" w:sz="8" w:space="0" w:color="FFFFFF"/>
            </w:tcBorders>
            <w:shd w:val="clear" w:color="000000" w:fill="D9D9D9"/>
            <w:noWrap/>
            <w:vAlign w:val="center"/>
            <w:hideMark/>
          </w:tcPr>
          <w:p w14:paraId="744E24C8" w14:textId="35D0D4FE"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25,1</w:t>
            </w:r>
          </w:p>
        </w:tc>
        <w:tc>
          <w:tcPr>
            <w:tcW w:w="680" w:type="dxa"/>
            <w:tcBorders>
              <w:top w:val="nil"/>
              <w:left w:val="nil"/>
              <w:bottom w:val="nil"/>
              <w:right w:val="single" w:sz="8" w:space="0" w:color="FFFFFF"/>
            </w:tcBorders>
            <w:shd w:val="clear" w:color="000000" w:fill="D9D9D9"/>
            <w:noWrap/>
            <w:vAlign w:val="center"/>
            <w:hideMark/>
          </w:tcPr>
          <w:p w14:paraId="74E5F8A0" w14:textId="21F8008A"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24,7</w:t>
            </w:r>
          </w:p>
        </w:tc>
        <w:tc>
          <w:tcPr>
            <w:tcW w:w="680" w:type="dxa"/>
            <w:tcBorders>
              <w:top w:val="nil"/>
              <w:left w:val="nil"/>
              <w:bottom w:val="nil"/>
              <w:right w:val="single" w:sz="8" w:space="0" w:color="FFFFFF"/>
            </w:tcBorders>
            <w:shd w:val="clear" w:color="000000" w:fill="D9D9D9"/>
            <w:noWrap/>
            <w:vAlign w:val="center"/>
            <w:hideMark/>
          </w:tcPr>
          <w:p w14:paraId="35801420" w14:textId="333C377A"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24,4</w:t>
            </w:r>
          </w:p>
        </w:tc>
        <w:tc>
          <w:tcPr>
            <w:tcW w:w="680" w:type="dxa"/>
            <w:tcBorders>
              <w:top w:val="nil"/>
              <w:left w:val="nil"/>
              <w:bottom w:val="nil"/>
              <w:right w:val="single" w:sz="8" w:space="0" w:color="FFFFFF"/>
            </w:tcBorders>
            <w:shd w:val="clear" w:color="000000" w:fill="D9D9D9"/>
            <w:noWrap/>
            <w:vAlign w:val="center"/>
            <w:hideMark/>
          </w:tcPr>
          <w:p w14:paraId="0D90EF29" w14:textId="49E95B3E"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24,2</w:t>
            </w:r>
          </w:p>
        </w:tc>
        <w:tc>
          <w:tcPr>
            <w:tcW w:w="186" w:type="dxa"/>
            <w:tcBorders>
              <w:top w:val="nil"/>
              <w:left w:val="nil"/>
              <w:bottom w:val="nil"/>
              <w:right w:val="single" w:sz="8" w:space="0" w:color="FFFFFF"/>
            </w:tcBorders>
            <w:shd w:val="clear" w:color="000000" w:fill="13576B"/>
            <w:noWrap/>
            <w:vAlign w:val="center"/>
            <w:hideMark/>
          </w:tcPr>
          <w:p w14:paraId="0C33C214" w14:textId="70C2CA02"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 </w:t>
            </w:r>
          </w:p>
        </w:tc>
        <w:tc>
          <w:tcPr>
            <w:tcW w:w="720" w:type="dxa"/>
            <w:tcBorders>
              <w:top w:val="nil"/>
              <w:left w:val="nil"/>
              <w:bottom w:val="nil"/>
              <w:right w:val="single" w:sz="8" w:space="0" w:color="FFFFFF"/>
            </w:tcBorders>
            <w:shd w:val="clear" w:color="000000" w:fill="D9D9D9"/>
            <w:noWrap/>
            <w:vAlign w:val="center"/>
            <w:hideMark/>
          </w:tcPr>
          <w:p w14:paraId="38A92600" w14:textId="7238220E" w:rsidR="009008CB" w:rsidRPr="003D3DB8" w:rsidRDefault="009008CB" w:rsidP="009008CB">
            <w:pPr>
              <w:overflowPunct/>
              <w:autoSpaceDE/>
              <w:autoSpaceDN/>
              <w:adjustRightInd/>
              <w:jc w:val="center"/>
              <w:textAlignment w:val="auto"/>
              <w:rPr>
                <w:rFonts w:ascii="Calibri Light" w:hAnsi="Calibri Light" w:cs="Calibri Light"/>
                <w:i/>
                <w:iCs/>
                <w:color w:val="13576B"/>
                <w:sz w:val="20"/>
              </w:rPr>
            </w:pPr>
            <w:r>
              <w:rPr>
                <w:rFonts w:ascii="Calibri Light" w:hAnsi="Calibri Light" w:cs="Calibri Light"/>
                <w:i/>
                <w:iCs/>
                <w:color w:val="FF0000"/>
                <w:sz w:val="20"/>
              </w:rPr>
              <w:t>(0)</w:t>
            </w:r>
          </w:p>
        </w:tc>
        <w:tc>
          <w:tcPr>
            <w:tcW w:w="680" w:type="dxa"/>
            <w:tcBorders>
              <w:top w:val="nil"/>
              <w:left w:val="nil"/>
              <w:bottom w:val="nil"/>
              <w:right w:val="single" w:sz="8" w:space="0" w:color="FFFFFF"/>
            </w:tcBorders>
            <w:shd w:val="clear" w:color="000000" w:fill="D9D9D9"/>
            <w:noWrap/>
            <w:vAlign w:val="center"/>
            <w:hideMark/>
          </w:tcPr>
          <w:p w14:paraId="4C239256" w14:textId="29FDF510"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(0,2)</w:t>
            </w:r>
          </w:p>
        </w:tc>
        <w:tc>
          <w:tcPr>
            <w:tcW w:w="900" w:type="dxa"/>
            <w:tcBorders>
              <w:top w:val="nil"/>
              <w:left w:val="nil"/>
              <w:bottom w:val="nil"/>
              <w:right w:val="single" w:sz="8" w:space="0" w:color="FFFFFF"/>
            </w:tcBorders>
            <w:shd w:val="clear" w:color="000000" w:fill="D9D9D9"/>
            <w:noWrap/>
            <w:vAlign w:val="center"/>
            <w:hideMark/>
          </w:tcPr>
          <w:p w14:paraId="0BB1B9E6" w14:textId="727E6D4A"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(0,1)</w:t>
            </w:r>
          </w:p>
        </w:tc>
      </w:tr>
      <w:tr w:rsidR="009008CB" w:rsidRPr="003D3DB8" w14:paraId="260E5A70" w14:textId="77777777" w:rsidTr="009008CB">
        <w:trPr>
          <w:trHeight w:val="270"/>
        </w:trPr>
        <w:tc>
          <w:tcPr>
            <w:tcW w:w="5294" w:type="dxa"/>
            <w:tcBorders>
              <w:top w:val="nil"/>
              <w:left w:val="nil"/>
              <w:bottom w:val="single" w:sz="8" w:space="0" w:color="FFFFFF"/>
              <w:right w:val="single" w:sz="8" w:space="0" w:color="FFFFFF"/>
            </w:tcBorders>
            <w:shd w:val="clear" w:color="000000" w:fill="13576B"/>
            <w:vAlign w:val="center"/>
            <w:hideMark/>
          </w:tcPr>
          <w:p w14:paraId="65A6909A" w14:textId="11763618" w:rsidR="009008CB" w:rsidRPr="003D3DB8" w:rsidRDefault="009008CB" w:rsidP="009008CB">
            <w:pPr>
              <w:overflowPunct/>
              <w:autoSpaceDE/>
              <w:autoSpaceDN/>
              <w:adjustRightInd/>
              <w:jc w:val="left"/>
              <w:textAlignment w:val="auto"/>
              <w:rPr>
                <w:rFonts w:ascii="Calibri Light" w:hAnsi="Calibri Light" w:cs="Calibri Light"/>
                <w:b/>
                <w:bCs/>
                <w:color w:val="FFFFFF"/>
                <w:sz w:val="20"/>
              </w:rPr>
            </w:pPr>
            <w:r>
              <w:rPr>
                <w:rFonts w:ascii="Calibri Light" w:hAnsi="Calibri Light" w:cs="Calibri Light"/>
                <w:b/>
                <w:bCs/>
                <w:color w:val="FFFFFF"/>
                <w:sz w:val="20"/>
              </w:rPr>
              <w:t>Kurz CZK/EUR: konec roku</w:t>
            </w:r>
          </w:p>
        </w:tc>
        <w:tc>
          <w:tcPr>
            <w:tcW w:w="680" w:type="dxa"/>
            <w:tcBorders>
              <w:top w:val="nil"/>
              <w:left w:val="nil"/>
              <w:bottom w:val="single" w:sz="8" w:space="0" w:color="FFFFFF"/>
              <w:right w:val="single" w:sz="8" w:space="0" w:color="FFFFFF"/>
            </w:tcBorders>
            <w:shd w:val="clear" w:color="000000" w:fill="D9D9D9"/>
            <w:noWrap/>
            <w:vAlign w:val="center"/>
            <w:hideMark/>
          </w:tcPr>
          <w:p w14:paraId="42066353" w14:textId="1F2A6688"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25,2</w:t>
            </w:r>
          </w:p>
        </w:tc>
        <w:tc>
          <w:tcPr>
            <w:tcW w:w="680" w:type="dxa"/>
            <w:tcBorders>
              <w:top w:val="nil"/>
              <w:left w:val="nil"/>
              <w:bottom w:val="single" w:sz="8" w:space="0" w:color="FFFFFF"/>
              <w:right w:val="single" w:sz="8" w:space="0" w:color="FFFFFF"/>
            </w:tcBorders>
            <w:shd w:val="clear" w:color="000000" w:fill="D9D9D9"/>
            <w:noWrap/>
            <w:vAlign w:val="center"/>
            <w:hideMark/>
          </w:tcPr>
          <w:p w14:paraId="0A1D38E7" w14:textId="3FCB7DE0"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24,2</w:t>
            </w:r>
          </w:p>
        </w:tc>
        <w:tc>
          <w:tcPr>
            <w:tcW w:w="680" w:type="dxa"/>
            <w:tcBorders>
              <w:top w:val="nil"/>
              <w:left w:val="nil"/>
              <w:bottom w:val="single" w:sz="8" w:space="0" w:color="FFFFFF"/>
              <w:right w:val="single" w:sz="8" w:space="0" w:color="FFFFFF"/>
            </w:tcBorders>
            <w:shd w:val="clear" w:color="000000" w:fill="D9D9D9"/>
            <w:noWrap/>
            <w:vAlign w:val="center"/>
            <w:hideMark/>
          </w:tcPr>
          <w:p w14:paraId="1E1CAFEA" w14:textId="747D4CAA"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24,4</w:t>
            </w:r>
          </w:p>
        </w:tc>
        <w:tc>
          <w:tcPr>
            <w:tcW w:w="680" w:type="dxa"/>
            <w:tcBorders>
              <w:top w:val="nil"/>
              <w:left w:val="nil"/>
              <w:bottom w:val="single" w:sz="8" w:space="0" w:color="FFFFFF"/>
              <w:right w:val="single" w:sz="8" w:space="0" w:color="FFFFFF"/>
            </w:tcBorders>
            <w:shd w:val="clear" w:color="000000" w:fill="D9D9D9"/>
            <w:noWrap/>
            <w:vAlign w:val="center"/>
            <w:hideMark/>
          </w:tcPr>
          <w:p w14:paraId="4D956E1D" w14:textId="5AB243B3"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24,2</w:t>
            </w:r>
          </w:p>
        </w:tc>
        <w:tc>
          <w:tcPr>
            <w:tcW w:w="186" w:type="dxa"/>
            <w:tcBorders>
              <w:top w:val="nil"/>
              <w:left w:val="nil"/>
              <w:bottom w:val="nil"/>
              <w:right w:val="single" w:sz="8" w:space="0" w:color="FFFFFF"/>
            </w:tcBorders>
            <w:shd w:val="clear" w:color="000000" w:fill="13576B"/>
            <w:noWrap/>
            <w:vAlign w:val="center"/>
            <w:hideMark/>
          </w:tcPr>
          <w:p w14:paraId="78AE1AA9" w14:textId="29BB56C3"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 </w:t>
            </w:r>
          </w:p>
        </w:tc>
        <w:tc>
          <w:tcPr>
            <w:tcW w:w="720" w:type="dxa"/>
            <w:tcBorders>
              <w:top w:val="nil"/>
              <w:left w:val="nil"/>
              <w:bottom w:val="single" w:sz="8" w:space="0" w:color="FFFFFF"/>
              <w:right w:val="single" w:sz="8" w:space="0" w:color="FFFFFF"/>
            </w:tcBorders>
            <w:shd w:val="clear" w:color="000000" w:fill="D9D9D9"/>
            <w:noWrap/>
            <w:vAlign w:val="center"/>
            <w:hideMark/>
          </w:tcPr>
          <w:p w14:paraId="4A41B437" w14:textId="73B5E022" w:rsidR="009008CB" w:rsidRPr="003D3DB8" w:rsidRDefault="009008CB" w:rsidP="009008CB">
            <w:pPr>
              <w:overflowPunct/>
              <w:autoSpaceDE/>
              <w:autoSpaceDN/>
              <w:adjustRightInd/>
              <w:jc w:val="center"/>
              <w:textAlignment w:val="auto"/>
              <w:rPr>
                <w:rFonts w:ascii="Calibri Light" w:hAnsi="Calibri Light" w:cs="Calibri Light"/>
                <w:i/>
                <w:iCs/>
                <w:color w:val="13576B"/>
                <w:sz w:val="20"/>
              </w:rPr>
            </w:pPr>
            <w:r>
              <w:rPr>
                <w:rFonts w:ascii="Calibri Light" w:hAnsi="Calibri Light" w:cs="Calibri Light"/>
                <w:i/>
                <w:iCs/>
                <w:color w:val="FF0000"/>
                <w:sz w:val="20"/>
              </w:rPr>
              <w:t>(0)</w:t>
            </w:r>
          </w:p>
        </w:tc>
        <w:tc>
          <w:tcPr>
            <w:tcW w:w="680" w:type="dxa"/>
            <w:tcBorders>
              <w:top w:val="nil"/>
              <w:left w:val="nil"/>
              <w:bottom w:val="single" w:sz="8" w:space="0" w:color="FFFFFF"/>
              <w:right w:val="single" w:sz="8" w:space="0" w:color="FFFFFF"/>
            </w:tcBorders>
            <w:shd w:val="clear" w:color="000000" w:fill="D9D9D9"/>
            <w:noWrap/>
            <w:vAlign w:val="center"/>
            <w:hideMark/>
          </w:tcPr>
          <w:p w14:paraId="55AB6E55" w14:textId="5C9D7D82"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(0,2)</w:t>
            </w:r>
          </w:p>
        </w:tc>
        <w:tc>
          <w:tcPr>
            <w:tcW w:w="900" w:type="dxa"/>
            <w:tcBorders>
              <w:top w:val="nil"/>
              <w:left w:val="nil"/>
              <w:bottom w:val="single" w:sz="8" w:space="0" w:color="FFFFFF"/>
              <w:right w:val="single" w:sz="8" w:space="0" w:color="FFFFFF"/>
            </w:tcBorders>
            <w:shd w:val="clear" w:color="000000" w:fill="D9D9D9"/>
            <w:noWrap/>
            <w:vAlign w:val="center"/>
            <w:hideMark/>
          </w:tcPr>
          <w:p w14:paraId="2CB4903E" w14:textId="02428504"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(0,2)</w:t>
            </w:r>
          </w:p>
        </w:tc>
      </w:tr>
      <w:tr w:rsidR="009008CB" w:rsidRPr="003D3DB8" w14:paraId="4B422EE7" w14:textId="77777777" w:rsidTr="009008CB">
        <w:trPr>
          <w:trHeight w:val="260"/>
        </w:trPr>
        <w:tc>
          <w:tcPr>
            <w:tcW w:w="5294" w:type="dxa"/>
            <w:tcBorders>
              <w:top w:val="nil"/>
              <w:left w:val="single" w:sz="8" w:space="0" w:color="FFFFFF"/>
              <w:bottom w:val="nil"/>
              <w:right w:val="single" w:sz="8" w:space="0" w:color="FFFFFF"/>
            </w:tcBorders>
            <w:shd w:val="clear" w:color="000000" w:fill="13576B"/>
            <w:vAlign w:val="center"/>
            <w:hideMark/>
          </w:tcPr>
          <w:p w14:paraId="0FB05235" w14:textId="0576681D" w:rsidR="009008CB" w:rsidRPr="003D3DB8" w:rsidRDefault="009008CB" w:rsidP="009008CB">
            <w:pPr>
              <w:overflowPunct/>
              <w:autoSpaceDE/>
              <w:autoSpaceDN/>
              <w:adjustRightInd/>
              <w:jc w:val="left"/>
              <w:textAlignment w:val="auto"/>
              <w:rPr>
                <w:rFonts w:ascii="Calibri Light" w:hAnsi="Calibri Light" w:cs="Calibri Light"/>
                <w:b/>
                <w:bCs/>
                <w:color w:val="FFFFFF"/>
                <w:sz w:val="20"/>
              </w:rPr>
            </w:pPr>
            <w:r>
              <w:rPr>
                <w:rFonts w:ascii="Calibri Light" w:hAnsi="Calibri Light" w:cs="Calibri Light"/>
                <w:b/>
                <w:bCs/>
                <w:color w:val="FFFFFF"/>
                <w:sz w:val="20"/>
              </w:rPr>
              <w:t>Růst reálného HDP v eurozóně (%)</w:t>
            </w:r>
          </w:p>
        </w:tc>
        <w:tc>
          <w:tcPr>
            <w:tcW w:w="680" w:type="dxa"/>
            <w:tcBorders>
              <w:top w:val="nil"/>
              <w:left w:val="nil"/>
              <w:bottom w:val="nil"/>
              <w:right w:val="single" w:sz="8" w:space="0" w:color="FFFFFF"/>
            </w:tcBorders>
            <w:shd w:val="clear" w:color="000000" w:fill="D9D9D9"/>
            <w:noWrap/>
            <w:vAlign w:val="center"/>
            <w:hideMark/>
          </w:tcPr>
          <w:p w14:paraId="7A4E74B8" w14:textId="451C84E2"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0,8</w:t>
            </w:r>
          </w:p>
        </w:tc>
        <w:tc>
          <w:tcPr>
            <w:tcW w:w="680" w:type="dxa"/>
            <w:tcBorders>
              <w:top w:val="nil"/>
              <w:left w:val="nil"/>
              <w:bottom w:val="nil"/>
              <w:right w:val="single" w:sz="8" w:space="0" w:color="FFFFFF"/>
            </w:tcBorders>
            <w:shd w:val="clear" w:color="000000" w:fill="D9D9D9"/>
            <w:noWrap/>
            <w:vAlign w:val="center"/>
            <w:hideMark/>
          </w:tcPr>
          <w:p w14:paraId="2EE0C343" w14:textId="35D21DBE"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1,4</w:t>
            </w:r>
          </w:p>
        </w:tc>
        <w:tc>
          <w:tcPr>
            <w:tcW w:w="680" w:type="dxa"/>
            <w:tcBorders>
              <w:top w:val="nil"/>
              <w:left w:val="nil"/>
              <w:bottom w:val="nil"/>
              <w:right w:val="single" w:sz="8" w:space="0" w:color="FFFFFF"/>
            </w:tcBorders>
            <w:shd w:val="clear" w:color="000000" w:fill="D9D9D9"/>
            <w:noWrap/>
            <w:vAlign w:val="center"/>
            <w:hideMark/>
          </w:tcPr>
          <w:p w14:paraId="7FAFA419" w14:textId="1F1206B8"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0,9</w:t>
            </w:r>
          </w:p>
        </w:tc>
        <w:tc>
          <w:tcPr>
            <w:tcW w:w="680" w:type="dxa"/>
            <w:tcBorders>
              <w:top w:val="nil"/>
              <w:left w:val="nil"/>
              <w:bottom w:val="nil"/>
              <w:right w:val="single" w:sz="8" w:space="0" w:color="FFFFFF"/>
            </w:tcBorders>
            <w:shd w:val="clear" w:color="000000" w:fill="D9D9D9"/>
            <w:noWrap/>
            <w:vAlign w:val="center"/>
            <w:hideMark/>
          </w:tcPr>
          <w:p w14:paraId="10374D38" w14:textId="233162C1"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1,3</w:t>
            </w:r>
          </w:p>
        </w:tc>
        <w:tc>
          <w:tcPr>
            <w:tcW w:w="186" w:type="dxa"/>
            <w:tcBorders>
              <w:top w:val="nil"/>
              <w:left w:val="nil"/>
              <w:bottom w:val="nil"/>
              <w:right w:val="single" w:sz="8" w:space="0" w:color="FFFFFF"/>
            </w:tcBorders>
            <w:shd w:val="clear" w:color="000000" w:fill="13576B"/>
            <w:noWrap/>
            <w:vAlign w:val="center"/>
            <w:hideMark/>
          </w:tcPr>
          <w:p w14:paraId="349A13D1" w14:textId="5CCB1E37"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 </w:t>
            </w:r>
          </w:p>
        </w:tc>
        <w:tc>
          <w:tcPr>
            <w:tcW w:w="720" w:type="dxa"/>
            <w:tcBorders>
              <w:top w:val="nil"/>
              <w:left w:val="nil"/>
              <w:bottom w:val="nil"/>
              <w:right w:val="single" w:sz="8" w:space="0" w:color="FFFFFF"/>
            </w:tcBorders>
            <w:shd w:val="clear" w:color="000000" w:fill="D9D9D9"/>
            <w:noWrap/>
            <w:vAlign w:val="center"/>
            <w:hideMark/>
          </w:tcPr>
          <w:p w14:paraId="15F714CA" w14:textId="4755E226" w:rsidR="009008CB" w:rsidRPr="003D3DB8" w:rsidRDefault="009008CB" w:rsidP="009008CB">
            <w:pPr>
              <w:overflowPunct/>
              <w:autoSpaceDE/>
              <w:autoSpaceDN/>
              <w:adjustRightInd/>
              <w:jc w:val="center"/>
              <w:textAlignment w:val="auto"/>
              <w:rPr>
                <w:rFonts w:ascii="Calibri Light" w:hAnsi="Calibri Light" w:cs="Calibri Light"/>
                <w:i/>
                <w:iCs/>
                <w:color w:val="13576B"/>
                <w:sz w:val="20"/>
              </w:rPr>
            </w:pPr>
            <w:r>
              <w:rPr>
                <w:rFonts w:ascii="Calibri Light" w:hAnsi="Calibri Light" w:cs="Calibri Light"/>
                <w:i/>
                <w:iCs/>
                <w:color w:val="FF0000"/>
                <w:sz w:val="20"/>
              </w:rPr>
              <w:t>(0)</w:t>
            </w:r>
          </w:p>
        </w:tc>
        <w:tc>
          <w:tcPr>
            <w:tcW w:w="680" w:type="dxa"/>
            <w:tcBorders>
              <w:top w:val="nil"/>
              <w:left w:val="nil"/>
              <w:bottom w:val="nil"/>
              <w:right w:val="single" w:sz="8" w:space="0" w:color="FFFFFF"/>
            </w:tcBorders>
            <w:shd w:val="clear" w:color="000000" w:fill="D9D9D9"/>
            <w:noWrap/>
            <w:vAlign w:val="center"/>
            <w:hideMark/>
          </w:tcPr>
          <w:p w14:paraId="42E55762" w14:textId="39EEFB10"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(-0,4)</w:t>
            </w:r>
          </w:p>
        </w:tc>
        <w:tc>
          <w:tcPr>
            <w:tcW w:w="900" w:type="dxa"/>
            <w:tcBorders>
              <w:top w:val="nil"/>
              <w:left w:val="nil"/>
              <w:bottom w:val="nil"/>
              <w:right w:val="single" w:sz="8" w:space="0" w:color="FFFFFF"/>
            </w:tcBorders>
            <w:shd w:val="clear" w:color="000000" w:fill="D9D9D9"/>
            <w:noWrap/>
            <w:vAlign w:val="center"/>
            <w:hideMark/>
          </w:tcPr>
          <w:p w14:paraId="735627CF" w14:textId="62412241"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(-0,2)</w:t>
            </w:r>
          </w:p>
        </w:tc>
      </w:tr>
      <w:tr w:rsidR="009008CB" w:rsidRPr="003D3DB8" w14:paraId="00BBC270" w14:textId="77777777" w:rsidTr="009008CB">
        <w:trPr>
          <w:trHeight w:val="270"/>
        </w:trPr>
        <w:tc>
          <w:tcPr>
            <w:tcW w:w="5294" w:type="dxa"/>
            <w:tcBorders>
              <w:top w:val="nil"/>
              <w:left w:val="nil"/>
              <w:bottom w:val="single" w:sz="8" w:space="0" w:color="FFFFFF"/>
              <w:right w:val="single" w:sz="8" w:space="0" w:color="FFFFFF"/>
            </w:tcBorders>
            <w:shd w:val="clear" w:color="000000" w:fill="13576B"/>
            <w:vAlign w:val="center"/>
            <w:hideMark/>
          </w:tcPr>
          <w:p w14:paraId="450E33C0" w14:textId="69089DA2" w:rsidR="009008CB" w:rsidRPr="003D3DB8" w:rsidRDefault="009008CB" w:rsidP="009008CB">
            <w:pPr>
              <w:overflowPunct/>
              <w:autoSpaceDE/>
              <w:autoSpaceDN/>
              <w:adjustRightInd/>
              <w:jc w:val="left"/>
              <w:textAlignment w:val="auto"/>
              <w:rPr>
                <w:rFonts w:ascii="Calibri Light" w:hAnsi="Calibri Light" w:cs="Calibri Light"/>
                <w:b/>
                <w:bCs/>
                <w:color w:val="FFFFFF"/>
                <w:sz w:val="20"/>
              </w:rPr>
            </w:pPr>
            <w:r>
              <w:rPr>
                <w:rFonts w:ascii="Calibri Light" w:hAnsi="Calibri Light" w:cs="Calibri Light"/>
                <w:b/>
                <w:bCs/>
                <w:color w:val="FFFFFF"/>
                <w:sz w:val="20"/>
              </w:rPr>
              <w:t>Ceny ropy (USD za barel): brent průměr</w:t>
            </w:r>
          </w:p>
        </w:tc>
        <w:tc>
          <w:tcPr>
            <w:tcW w:w="680" w:type="dxa"/>
            <w:tcBorders>
              <w:top w:val="nil"/>
              <w:left w:val="nil"/>
              <w:bottom w:val="single" w:sz="8" w:space="0" w:color="FFFFFF"/>
              <w:right w:val="single" w:sz="8" w:space="0" w:color="FFFFFF"/>
            </w:tcBorders>
            <w:shd w:val="clear" w:color="000000" w:fill="D9D9D9"/>
            <w:noWrap/>
            <w:vAlign w:val="center"/>
            <w:hideMark/>
          </w:tcPr>
          <w:p w14:paraId="4CE432CD" w14:textId="758289C2"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80</w:t>
            </w:r>
          </w:p>
        </w:tc>
        <w:tc>
          <w:tcPr>
            <w:tcW w:w="680" w:type="dxa"/>
            <w:tcBorders>
              <w:top w:val="nil"/>
              <w:left w:val="nil"/>
              <w:bottom w:val="single" w:sz="8" w:space="0" w:color="FFFFFF"/>
              <w:right w:val="single" w:sz="8" w:space="0" w:color="FFFFFF"/>
            </w:tcBorders>
            <w:shd w:val="clear" w:color="000000" w:fill="D9D9D9"/>
            <w:noWrap/>
            <w:vAlign w:val="center"/>
            <w:hideMark/>
          </w:tcPr>
          <w:p w14:paraId="697DCB72" w14:textId="0E93646E"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68</w:t>
            </w:r>
          </w:p>
        </w:tc>
        <w:tc>
          <w:tcPr>
            <w:tcW w:w="680" w:type="dxa"/>
            <w:tcBorders>
              <w:top w:val="nil"/>
              <w:left w:val="nil"/>
              <w:bottom w:val="single" w:sz="8" w:space="0" w:color="FFFFFF"/>
              <w:right w:val="single" w:sz="8" w:space="0" w:color="FFFFFF"/>
            </w:tcBorders>
            <w:shd w:val="clear" w:color="000000" w:fill="D9D9D9"/>
            <w:noWrap/>
            <w:vAlign w:val="center"/>
            <w:hideMark/>
          </w:tcPr>
          <w:p w14:paraId="19F2C09D" w14:textId="2AE872B6"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89</w:t>
            </w:r>
          </w:p>
        </w:tc>
        <w:tc>
          <w:tcPr>
            <w:tcW w:w="680" w:type="dxa"/>
            <w:tcBorders>
              <w:top w:val="nil"/>
              <w:left w:val="nil"/>
              <w:bottom w:val="single" w:sz="8" w:space="0" w:color="FFFFFF"/>
              <w:right w:val="single" w:sz="8" w:space="0" w:color="FFFFFF"/>
            </w:tcBorders>
            <w:shd w:val="clear" w:color="000000" w:fill="D9D9D9"/>
            <w:noWrap/>
            <w:vAlign w:val="center"/>
            <w:hideMark/>
          </w:tcPr>
          <w:p w14:paraId="10D4059A" w14:textId="45558CD8"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75</w:t>
            </w:r>
          </w:p>
        </w:tc>
        <w:tc>
          <w:tcPr>
            <w:tcW w:w="186" w:type="dxa"/>
            <w:tcBorders>
              <w:top w:val="nil"/>
              <w:left w:val="nil"/>
              <w:right w:val="single" w:sz="8" w:space="0" w:color="FFFFFF"/>
            </w:tcBorders>
            <w:shd w:val="clear" w:color="000000" w:fill="13576B"/>
            <w:noWrap/>
            <w:vAlign w:val="center"/>
            <w:hideMark/>
          </w:tcPr>
          <w:p w14:paraId="30E7B21F" w14:textId="3CA7D485"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 </w:t>
            </w:r>
          </w:p>
        </w:tc>
        <w:tc>
          <w:tcPr>
            <w:tcW w:w="720" w:type="dxa"/>
            <w:tcBorders>
              <w:top w:val="nil"/>
              <w:left w:val="nil"/>
              <w:bottom w:val="single" w:sz="8" w:space="0" w:color="FFFFFF"/>
              <w:right w:val="single" w:sz="8" w:space="0" w:color="FFFFFF"/>
            </w:tcBorders>
            <w:shd w:val="clear" w:color="000000" w:fill="D9D9D9"/>
            <w:noWrap/>
            <w:vAlign w:val="center"/>
            <w:hideMark/>
          </w:tcPr>
          <w:p w14:paraId="43A92C8C" w14:textId="05907C3E" w:rsidR="009008CB" w:rsidRPr="003D3DB8" w:rsidRDefault="009008CB" w:rsidP="009008CB">
            <w:pPr>
              <w:overflowPunct/>
              <w:autoSpaceDE/>
              <w:autoSpaceDN/>
              <w:adjustRightInd/>
              <w:jc w:val="center"/>
              <w:textAlignment w:val="auto"/>
              <w:rPr>
                <w:rFonts w:ascii="Calibri Light" w:hAnsi="Calibri Light" w:cs="Calibri Light"/>
                <w:i/>
                <w:iCs/>
                <w:color w:val="13576B"/>
                <w:sz w:val="20"/>
              </w:rPr>
            </w:pPr>
            <w:r>
              <w:rPr>
                <w:rFonts w:ascii="Calibri Light" w:hAnsi="Calibri Light" w:cs="Calibri Light"/>
                <w:i/>
                <w:iCs/>
                <w:color w:val="FF0000"/>
                <w:sz w:val="20"/>
              </w:rPr>
              <w:t>(-0,6)</w:t>
            </w:r>
          </w:p>
        </w:tc>
        <w:tc>
          <w:tcPr>
            <w:tcW w:w="680" w:type="dxa"/>
            <w:tcBorders>
              <w:top w:val="nil"/>
              <w:left w:val="nil"/>
              <w:bottom w:val="single" w:sz="8" w:space="0" w:color="FFFFFF"/>
              <w:right w:val="single" w:sz="8" w:space="0" w:color="FFFFFF"/>
            </w:tcBorders>
            <w:shd w:val="clear" w:color="000000" w:fill="D9D9D9"/>
            <w:noWrap/>
            <w:vAlign w:val="center"/>
            <w:hideMark/>
          </w:tcPr>
          <w:p w14:paraId="4C1ED62B" w14:textId="45819F3D"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(24,7)</w:t>
            </w:r>
          </w:p>
        </w:tc>
        <w:tc>
          <w:tcPr>
            <w:tcW w:w="900" w:type="dxa"/>
            <w:tcBorders>
              <w:top w:val="nil"/>
              <w:left w:val="nil"/>
              <w:bottom w:val="single" w:sz="8" w:space="0" w:color="FFFFFF"/>
              <w:right w:val="single" w:sz="8" w:space="0" w:color="FFFFFF"/>
            </w:tcBorders>
            <w:shd w:val="clear" w:color="000000" w:fill="D9D9D9"/>
            <w:noWrap/>
            <w:vAlign w:val="center"/>
            <w:hideMark/>
          </w:tcPr>
          <w:p w14:paraId="560B0B42" w14:textId="1BFDEDA4"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(10,3)</w:t>
            </w:r>
          </w:p>
        </w:tc>
      </w:tr>
      <w:tr w:rsidR="009008CB" w:rsidRPr="003D3DB8" w14:paraId="2AF2465A" w14:textId="77777777" w:rsidTr="009008CB">
        <w:trPr>
          <w:trHeight w:val="260"/>
        </w:trPr>
        <w:tc>
          <w:tcPr>
            <w:tcW w:w="5294" w:type="dxa"/>
            <w:tcBorders>
              <w:top w:val="nil"/>
              <w:left w:val="nil"/>
              <w:right w:val="single" w:sz="8" w:space="0" w:color="FFFFFF"/>
            </w:tcBorders>
            <w:shd w:val="clear" w:color="000000" w:fill="13576B"/>
            <w:vAlign w:val="center"/>
            <w:hideMark/>
          </w:tcPr>
          <w:p w14:paraId="3E1F05E6" w14:textId="46398239" w:rsidR="009008CB" w:rsidRPr="003D3DB8" w:rsidRDefault="009008CB" w:rsidP="009008CB">
            <w:pPr>
              <w:overflowPunct/>
              <w:autoSpaceDE/>
              <w:autoSpaceDN/>
              <w:adjustRightInd/>
              <w:jc w:val="left"/>
              <w:textAlignment w:val="auto"/>
              <w:rPr>
                <w:rFonts w:ascii="Calibri Light" w:hAnsi="Calibri Light" w:cs="Calibri Light"/>
                <w:b/>
                <w:bCs/>
                <w:color w:val="FFFFFF"/>
                <w:sz w:val="20"/>
              </w:rPr>
            </w:pPr>
            <w:r>
              <w:rPr>
                <w:rFonts w:ascii="Calibri Light" w:hAnsi="Calibri Light" w:cs="Calibri Light"/>
                <w:b/>
                <w:bCs/>
                <w:color w:val="FFFFFF"/>
                <w:sz w:val="20"/>
              </w:rPr>
              <w:t>Růst bankovních úvěrů klientských (%)</w:t>
            </w:r>
          </w:p>
        </w:tc>
        <w:tc>
          <w:tcPr>
            <w:tcW w:w="680" w:type="dxa"/>
            <w:tcBorders>
              <w:top w:val="nil"/>
              <w:left w:val="nil"/>
              <w:right w:val="single" w:sz="8" w:space="0" w:color="FFFFFF"/>
            </w:tcBorders>
            <w:shd w:val="clear" w:color="000000" w:fill="D9D9D9"/>
            <w:noWrap/>
            <w:vAlign w:val="center"/>
            <w:hideMark/>
          </w:tcPr>
          <w:p w14:paraId="47321FC6" w14:textId="344AB942"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6,1</w:t>
            </w:r>
          </w:p>
        </w:tc>
        <w:tc>
          <w:tcPr>
            <w:tcW w:w="680" w:type="dxa"/>
            <w:tcBorders>
              <w:top w:val="nil"/>
              <w:left w:val="nil"/>
              <w:right w:val="single" w:sz="8" w:space="0" w:color="FFFFFF"/>
            </w:tcBorders>
            <w:shd w:val="clear" w:color="000000" w:fill="D9D9D9"/>
            <w:noWrap/>
            <w:vAlign w:val="center"/>
            <w:hideMark/>
          </w:tcPr>
          <w:p w14:paraId="68F9BE5A" w14:textId="104A69CB"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5,9</w:t>
            </w:r>
          </w:p>
        </w:tc>
        <w:tc>
          <w:tcPr>
            <w:tcW w:w="680" w:type="dxa"/>
            <w:tcBorders>
              <w:top w:val="nil"/>
              <w:left w:val="nil"/>
              <w:right w:val="single" w:sz="8" w:space="0" w:color="FFFFFF"/>
            </w:tcBorders>
            <w:shd w:val="clear" w:color="000000" w:fill="D9D9D9"/>
            <w:noWrap/>
            <w:vAlign w:val="center"/>
            <w:hideMark/>
          </w:tcPr>
          <w:p w14:paraId="50087137" w14:textId="73A0F57A"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7,2</w:t>
            </w:r>
          </w:p>
        </w:tc>
        <w:tc>
          <w:tcPr>
            <w:tcW w:w="680" w:type="dxa"/>
            <w:tcBorders>
              <w:top w:val="nil"/>
              <w:left w:val="nil"/>
              <w:right w:val="single" w:sz="8" w:space="0" w:color="FFFFFF"/>
            </w:tcBorders>
            <w:shd w:val="clear" w:color="000000" w:fill="D9D9D9"/>
            <w:noWrap/>
            <w:vAlign w:val="center"/>
            <w:hideMark/>
          </w:tcPr>
          <w:p w14:paraId="6EEC21BF" w14:textId="016442F8"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6,0</w:t>
            </w:r>
          </w:p>
        </w:tc>
        <w:tc>
          <w:tcPr>
            <w:tcW w:w="186" w:type="dxa"/>
            <w:tcBorders>
              <w:top w:val="nil"/>
              <w:left w:val="nil"/>
              <w:right w:val="single" w:sz="8" w:space="0" w:color="FFFFFF"/>
            </w:tcBorders>
            <w:shd w:val="clear" w:color="000000" w:fill="13576B"/>
            <w:noWrap/>
            <w:vAlign w:val="center"/>
            <w:hideMark/>
          </w:tcPr>
          <w:p w14:paraId="73D78343" w14:textId="3BE4CBB4"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 </w:t>
            </w:r>
          </w:p>
        </w:tc>
        <w:tc>
          <w:tcPr>
            <w:tcW w:w="720" w:type="dxa"/>
            <w:tcBorders>
              <w:top w:val="nil"/>
              <w:left w:val="nil"/>
              <w:right w:val="single" w:sz="8" w:space="0" w:color="FFFFFF"/>
            </w:tcBorders>
            <w:shd w:val="clear" w:color="000000" w:fill="D9D9D9"/>
            <w:noWrap/>
            <w:vAlign w:val="center"/>
            <w:hideMark/>
          </w:tcPr>
          <w:p w14:paraId="2DD38A51" w14:textId="48252A50" w:rsidR="009008CB" w:rsidRPr="003D3DB8" w:rsidRDefault="009008CB" w:rsidP="009008CB">
            <w:pPr>
              <w:overflowPunct/>
              <w:autoSpaceDE/>
              <w:autoSpaceDN/>
              <w:adjustRightInd/>
              <w:jc w:val="center"/>
              <w:textAlignment w:val="auto"/>
              <w:rPr>
                <w:rFonts w:ascii="Calibri Light" w:hAnsi="Calibri Light" w:cs="Calibri Light"/>
                <w:i/>
                <w:iCs/>
                <w:color w:val="13576B"/>
                <w:sz w:val="20"/>
              </w:rPr>
            </w:pPr>
            <w:r>
              <w:rPr>
                <w:rFonts w:ascii="Calibri Light" w:hAnsi="Calibri Light" w:cs="Calibri Light"/>
                <w:i/>
                <w:iCs/>
                <w:color w:val="FF0000"/>
                <w:sz w:val="20"/>
              </w:rPr>
              <w:t>(0,1)</w:t>
            </w:r>
          </w:p>
        </w:tc>
        <w:tc>
          <w:tcPr>
            <w:tcW w:w="680" w:type="dxa"/>
            <w:tcBorders>
              <w:top w:val="nil"/>
              <w:left w:val="nil"/>
              <w:right w:val="single" w:sz="8" w:space="0" w:color="FFFFFF"/>
            </w:tcBorders>
            <w:shd w:val="clear" w:color="000000" w:fill="D9D9D9"/>
            <w:noWrap/>
            <w:vAlign w:val="center"/>
            <w:hideMark/>
          </w:tcPr>
          <w:p w14:paraId="276E0B56" w14:textId="0C577C8B"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(0,8)</w:t>
            </w:r>
          </w:p>
        </w:tc>
        <w:tc>
          <w:tcPr>
            <w:tcW w:w="900" w:type="dxa"/>
            <w:tcBorders>
              <w:top w:val="nil"/>
              <w:left w:val="nil"/>
              <w:right w:val="single" w:sz="8" w:space="0" w:color="FFFFFF"/>
            </w:tcBorders>
            <w:shd w:val="clear" w:color="000000" w:fill="D9D9D9"/>
            <w:noWrap/>
            <w:vAlign w:val="center"/>
            <w:hideMark/>
          </w:tcPr>
          <w:p w14:paraId="43B5A7C7" w14:textId="3DE56F44"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(0,1)</w:t>
            </w:r>
          </w:p>
        </w:tc>
      </w:tr>
      <w:tr w:rsidR="009008CB" w:rsidRPr="003D3DB8" w14:paraId="40034C47" w14:textId="77777777" w:rsidTr="009008CB">
        <w:trPr>
          <w:trHeight w:val="260"/>
        </w:trPr>
        <w:tc>
          <w:tcPr>
            <w:tcW w:w="5294" w:type="dxa"/>
            <w:tcBorders>
              <w:top w:val="nil"/>
              <w:left w:val="single" w:sz="4" w:space="0" w:color="FFFFFF"/>
              <w:bottom w:val="nil"/>
              <w:right w:val="single" w:sz="4" w:space="0" w:color="FFFFFF"/>
            </w:tcBorders>
            <w:shd w:val="clear" w:color="000000" w:fill="13576B"/>
            <w:vAlign w:val="center"/>
            <w:hideMark/>
          </w:tcPr>
          <w:p w14:paraId="2B81A1FE" w14:textId="28395005" w:rsidR="009008CB" w:rsidRPr="003D3DB8" w:rsidRDefault="009008CB" w:rsidP="009008CB">
            <w:pPr>
              <w:overflowPunct/>
              <w:autoSpaceDE/>
              <w:autoSpaceDN/>
              <w:adjustRightInd/>
              <w:jc w:val="left"/>
              <w:textAlignment w:val="auto"/>
              <w:rPr>
                <w:rFonts w:ascii="Calibri Light" w:hAnsi="Calibri Light" w:cs="Calibri Light"/>
                <w:b/>
                <w:bCs/>
                <w:color w:val="FFFFFF"/>
                <w:sz w:val="20"/>
              </w:rPr>
            </w:pPr>
            <w:r>
              <w:rPr>
                <w:rFonts w:ascii="Calibri Light" w:hAnsi="Calibri Light" w:cs="Calibri Light"/>
                <w:b/>
                <w:bCs/>
                <w:color w:val="FFFFFF"/>
                <w:sz w:val="20"/>
              </w:rPr>
              <w:t>Růst bankovních úvěrů domácnostem (%)</w:t>
            </w:r>
          </w:p>
        </w:tc>
        <w:tc>
          <w:tcPr>
            <w:tcW w:w="680" w:type="dxa"/>
            <w:tcBorders>
              <w:top w:val="nil"/>
              <w:left w:val="single" w:sz="4" w:space="0" w:color="FFFFFF"/>
              <w:bottom w:val="nil"/>
            </w:tcBorders>
            <w:shd w:val="clear" w:color="000000" w:fill="D9D9D9"/>
            <w:noWrap/>
            <w:vAlign w:val="center"/>
            <w:hideMark/>
          </w:tcPr>
          <w:p w14:paraId="27306910" w14:textId="04AF13D1"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4,9</w:t>
            </w:r>
          </w:p>
        </w:tc>
        <w:tc>
          <w:tcPr>
            <w:tcW w:w="680" w:type="dxa"/>
            <w:tcBorders>
              <w:top w:val="nil"/>
              <w:bottom w:val="nil"/>
            </w:tcBorders>
            <w:shd w:val="clear" w:color="000000" w:fill="D9D9D9"/>
            <w:noWrap/>
            <w:vAlign w:val="center"/>
            <w:hideMark/>
          </w:tcPr>
          <w:p w14:paraId="073B51D9" w14:textId="1E0A4074"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7,2</w:t>
            </w:r>
          </w:p>
        </w:tc>
        <w:tc>
          <w:tcPr>
            <w:tcW w:w="680" w:type="dxa"/>
            <w:tcBorders>
              <w:top w:val="nil"/>
              <w:bottom w:val="nil"/>
            </w:tcBorders>
            <w:shd w:val="clear" w:color="000000" w:fill="D9D9D9"/>
            <w:noWrap/>
            <w:vAlign w:val="center"/>
            <w:hideMark/>
          </w:tcPr>
          <w:p w14:paraId="09BFACCE" w14:textId="57FA2C57"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8,2</w:t>
            </w:r>
          </w:p>
        </w:tc>
        <w:tc>
          <w:tcPr>
            <w:tcW w:w="680" w:type="dxa"/>
            <w:tcBorders>
              <w:top w:val="nil"/>
              <w:bottom w:val="nil"/>
              <w:right w:val="single" w:sz="8" w:space="0" w:color="FFFFFF"/>
            </w:tcBorders>
            <w:shd w:val="clear" w:color="000000" w:fill="D9D9D9"/>
            <w:noWrap/>
            <w:vAlign w:val="center"/>
            <w:hideMark/>
          </w:tcPr>
          <w:p w14:paraId="19550C71" w14:textId="653CA8CA"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7,5</w:t>
            </w:r>
          </w:p>
        </w:tc>
        <w:tc>
          <w:tcPr>
            <w:tcW w:w="186" w:type="dxa"/>
            <w:tcBorders>
              <w:top w:val="nil"/>
              <w:left w:val="single" w:sz="8" w:space="0" w:color="FFFFFF"/>
              <w:bottom w:val="nil"/>
              <w:right w:val="single" w:sz="8" w:space="0" w:color="FFFFFF"/>
            </w:tcBorders>
            <w:shd w:val="clear" w:color="000000" w:fill="13576B"/>
            <w:noWrap/>
            <w:vAlign w:val="center"/>
            <w:hideMark/>
          </w:tcPr>
          <w:p w14:paraId="6ECB07F7" w14:textId="0242CADC"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 </w:t>
            </w:r>
          </w:p>
        </w:tc>
        <w:tc>
          <w:tcPr>
            <w:tcW w:w="720" w:type="dxa"/>
            <w:tcBorders>
              <w:top w:val="nil"/>
              <w:left w:val="single" w:sz="8" w:space="0" w:color="FFFFFF"/>
              <w:bottom w:val="nil"/>
            </w:tcBorders>
            <w:shd w:val="clear" w:color="000000" w:fill="D9D9D9"/>
            <w:noWrap/>
            <w:vAlign w:val="center"/>
            <w:hideMark/>
          </w:tcPr>
          <w:p w14:paraId="7DFD826B" w14:textId="0C04269D" w:rsidR="009008CB" w:rsidRPr="003D3DB8" w:rsidRDefault="009008CB" w:rsidP="009008CB">
            <w:pPr>
              <w:overflowPunct/>
              <w:autoSpaceDE/>
              <w:autoSpaceDN/>
              <w:adjustRightInd/>
              <w:jc w:val="center"/>
              <w:textAlignment w:val="auto"/>
              <w:rPr>
                <w:rFonts w:ascii="Calibri Light" w:hAnsi="Calibri Light" w:cs="Calibri Light"/>
                <w:i/>
                <w:iCs/>
                <w:color w:val="13576B"/>
                <w:sz w:val="20"/>
              </w:rPr>
            </w:pPr>
            <w:r>
              <w:rPr>
                <w:rFonts w:ascii="Calibri Light" w:hAnsi="Calibri Light" w:cs="Calibri Light"/>
                <w:i/>
                <w:iCs/>
                <w:color w:val="FF0000"/>
                <w:sz w:val="20"/>
              </w:rPr>
              <w:t>(0)</w:t>
            </w:r>
          </w:p>
        </w:tc>
        <w:tc>
          <w:tcPr>
            <w:tcW w:w="680" w:type="dxa"/>
            <w:tcBorders>
              <w:top w:val="nil"/>
              <w:bottom w:val="nil"/>
            </w:tcBorders>
            <w:shd w:val="clear" w:color="000000" w:fill="D9D9D9"/>
            <w:noWrap/>
            <w:vAlign w:val="center"/>
            <w:hideMark/>
          </w:tcPr>
          <w:p w14:paraId="01812E19" w14:textId="32C4E949"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(1)</w:t>
            </w:r>
          </w:p>
        </w:tc>
        <w:tc>
          <w:tcPr>
            <w:tcW w:w="900" w:type="dxa"/>
            <w:tcBorders>
              <w:top w:val="nil"/>
              <w:bottom w:val="nil"/>
            </w:tcBorders>
            <w:shd w:val="clear" w:color="000000" w:fill="D9D9D9"/>
            <w:noWrap/>
            <w:vAlign w:val="center"/>
            <w:hideMark/>
          </w:tcPr>
          <w:p w14:paraId="53D225DC" w14:textId="0EAE4A59"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(0,9)</w:t>
            </w:r>
          </w:p>
        </w:tc>
      </w:tr>
      <w:tr w:rsidR="009008CB" w:rsidRPr="003D3DB8" w14:paraId="09C5A4DC" w14:textId="77777777" w:rsidTr="009008CB">
        <w:trPr>
          <w:trHeight w:val="295"/>
        </w:trPr>
        <w:tc>
          <w:tcPr>
            <w:tcW w:w="5294" w:type="dxa"/>
            <w:tcBorders>
              <w:top w:val="nil"/>
              <w:left w:val="single" w:sz="4" w:space="0" w:color="FFFFFF"/>
              <w:bottom w:val="nil"/>
              <w:right w:val="single" w:sz="4" w:space="0" w:color="FFFFFF"/>
            </w:tcBorders>
            <w:shd w:val="clear" w:color="000000" w:fill="13576B"/>
            <w:vAlign w:val="center"/>
            <w:hideMark/>
          </w:tcPr>
          <w:p w14:paraId="59921F8D" w14:textId="0C8C01A0" w:rsidR="009008CB" w:rsidRPr="003D3DB8" w:rsidRDefault="009008CB" w:rsidP="009008CB">
            <w:pPr>
              <w:overflowPunct/>
              <w:autoSpaceDE/>
              <w:autoSpaceDN/>
              <w:adjustRightInd/>
              <w:jc w:val="left"/>
              <w:textAlignment w:val="auto"/>
              <w:rPr>
                <w:rFonts w:ascii="Calibri Light" w:hAnsi="Calibri Light" w:cs="Calibri Light"/>
                <w:b/>
                <w:bCs/>
                <w:color w:val="FFFFFF"/>
                <w:sz w:val="20"/>
              </w:rPr>
            </w:pPr>
            <w:r>
              <w:rPr>
                <w:rFonts w:ascii="Calibri Light" w:hAnsi="Calibri Light" w:cs="Calibri Light"/>
                <w:b/>
                <w:bCs/>
                <w:color w:val="FFFFFF"/>
                <w:sz w:val="20"/>
              </w:rPr>
              <w:t>Růst bankovních úvěrů (nefinančním) podnikům (%)</w:t>
            </w:r>
          </w:p>
        </w:tc>
        <w:tc>
          <w:tcPr>
            <w:tcW w:w="680" w:type="dxa"/>
            <w:tcBorders>
              <w:top w:val="nil"/>
              <w:left w:val="single" w:sz="4" w:space="0" w:color="FFFFFF"/>
              <w:bottom w:val="nil"/>
            </w:tcBorders>
            <w:shd w:val="clear" w:color="000000" w:fill="D9D9D9"/>
            <w:noWrap/>
            <w:vAlign w:val="center"/>
            <w:hideMark/>
          </w:tcPr>
          <w:p w14:paraId="55D1434E" w14:textId="04A63178"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7,6</w:t>
            </w:r>
          </w:p>
        </w:tc>
        <w:tc>
          <w:tcPr>
            <w:tcW w:w="680" w:type="dxa"/>
            <w:tcBorders>
              <w:top w:val="nil"/>
              <w:bottom w:val="nil"/>
            </w:tcBorders>
            <w:shd w:val="clear" w:color="000000" w:fill="D9D9D9"/>
            <w:noWrap/>
            <w:vAlign w:val="center"/>
            <w:hideMark/>
          </w:tcPr>
          <w:p w14:paraId="580FF46E" w14:textId="688B4AB8"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4,1</w:t>
            </w:r>
          </w:p>
        </w:tc>
        <w:tc>
          <w:tcPr>
            <w:tcW w:w="680" w:type="dxa"/>
            <w:tcBorders>
              <w:top w:val="nil"/>
              <w:bottom w:val="nil"/>
            </w:tcBorders>
            <w:shd w:val="clear" w:color="000000" w:fill="D9D9D9"/>
            <w:noWrap/>
            <w:vAlign w:val="center"/>
            <w:hideMark/>
          </w:tcPr>
          <w:p w14:paraId="77210BC8" w14:textId="1FAE5E42"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5,9</w:t>
            </w:r>
          </w:p>
        </w:tc>
        <w:tc>
          <w:tcPr>
            <w:tcW w:w="680" w:type="dxa"/>
            <w:tcBorders>
              <w:top w:val="nil"/>
              <w:bottom w:val="nil"/>
              <w:right w:val="single" w:sz="8" w:space="0" w:color="FFFFFF"/>
            </w:tcBorders>
            <w:shd w:val="clear" w:color="000000" w:fill="D9D9D9"/>
            <w:noWrap/>
            <w:vAlign w:val="center"/>
            <w:hideMark/>
          </w:tcPr>
          <w:p w14:paraId="49CDE01B" w14:textId="0C04C60E"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5,6</w:t>
            </w:r>
          </w:p>
        </w:tc>
        <w:tc>
          <w:tcPr>
            <w:tcW w:w="186" w:type="dxa"/>
            <w:tcBorders>
              <w:top w:val="nil"/>
              <w:left w:val="single" w:sz="8" w:space="0" w:color="FFFFFF"/>
              <w:bottom w:val="nil"/>
              <w:right w:val="single" w:sz="8" w:space="0" w:color="FFFFFF"/>
            </w:tcBorders>
            <w:shd w:val="clear" w:color="000000" w:fill="13576B"/>
            <w:noWrap/>
            <w:vAlign w:val="center"/>
            <w:hideMark/>
          </w:tcPr>
          <w:p w14:paraId="7A1B4DBD" w14:textId="5236724B"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 </w:t>
            </w:r>
          </w:p>
        </w:tc>
        <w:tc>
          <w:tcPr>
            <w:tcW w:w="720" w:type="dxa"/>
            <w:tcBorders>
              <w:top w:val="nil"/>
              <w:left w:val="single" w:sz="8" w:space="0" w:color="FFFFFF"/>
              <w:bottom w:val="nil"/>
            </w:tcBorders>
            <w:shd w:val="clear" w:color="000000" w:fill="D9D9D9"/>
            <w:noWrap/>
            <w:vAlign w:val="center"/>
            <w:hideMark/>
          </w:tcPr>
          <w:p w14:paraId="04823503" w14:textId="54A52955" w:rsidR="009008CB" w:rsidRPr="003D3DB8" w:rsidRDefault="009008CB" w:rsidP="009008CB">
            <w:pPr>
              <w:overflowPunct/>
              <w:autoSpaceDE/>
              <w:autoSpaceDN/>
              <w:adjustRightInd/>
              <w:jc w:val="center"/>
              <w:textAlignment w:val="auto"/>
              <w:rPr>
                <w:rFonts w:ascii="Calibri Light" w:hAnsi="Calibri Light" w:cs="Calibri Light"/>
                <w:i/>
                <w:iCs/>
                <w:color w:val="13576B"/>
                <w:sz w:val="20"/>
              </w:rPr>
            </w:pPr>
            <w:r>
              <w:rPr>
                <w:rFonts w:ascii="Calibri Light" w:hAnsi="Calibri Light" w:cs="Calibri Light"/>
                <w:i/>
                <w:iCs/>
                <w:color w:val="FF0000"/>
                <w:sz w:val="20"/>
              </w:rPr>
              <w:t>(-0,1)</w:t>
            </w:r>
          </w:p>
        </w:tc>
        <w:tc>
          <w:tcPr>
            <w:tcW w:w="680" w:type="dxa"/>
            <w:tcBorders>
              <w:top w:val="nil"/>
              <w:bottom w:val="nil"/>
            </w:tcBorders>
            <w:shd w:val="clear" w:color="000000" w:fill="D9D9D9"/>
            <w:noWrap/>
            <w:vAlign w:val="center"/>
            <w:hideMark/>
          </w:tcPr>
          <w:p w14:paraId="1238768E" w14:textId="3F13EC33"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(0,7)</w:t>
            </w:r>
          </w:p>
        </w:tc>
        <w:tc>
          <w:tcPr>
            <w:tcW w:w="900" w:type="dxa"/>
            <w:tcBorders>
              <w:top w:val="nil"/>
              <w:bottom w:val="nil"/>
            </w:tcBorders>
            <w:shd w:val="clear" w:color="000000" w:fill="D9D9D9"/>
            <w:noWrap/>
            <w:vAlign w:val="center"/>
            <w:hideMark/>
          </w:tcPr>
          <w:p w14:paraId="1B28DD7C" w14:textId="4E09A3D6"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(0,3)</w:t>
            </w:r>
          </w:p>
        </w:tc>
      </w:tr>
      <w:tr w:rsidR="009008CB" w:rsidRPr="003D3DB8" w14:paraId="76FA1331" w14:textId="77777777" w:rsidTr="009008CB">
        <w:trPr>
          <w:trHeight w:val="270"/>
        </w:trPr>
        <w:tc>
          <w:tcPr>
            <w:tcW w:w="5294" w:type="dxa"/>
            <w:tcBorders>
              <w:top w:val="nil"/>
              <w:left w:val="single" w:sz="8" w:space="0" w:color="FFFFFF"/>
              <w:bottom w:val="single" w:sz="8" w:space="0" w:color="FFFFFF"/>
              <w:right w:val="single" w:sz="8" w:space="0" w:color="FFFFFF"/>
            </w:tcBorders>
            <w:shd w:val="clear" w:color="000000" w:fill="13576B"/>
            <w:vAlign w:val="center"/>
            <w:hideMark/>
          </w:tcPr>
          <w:p w14:paraId="7E5231FB" w14:textId="23AC11E9" w:rsidR="009008CB" w:rsidRPr="003D3DB8" w:rsidRDefault="009008CB" w:rsidP="009008CB">
            <w:pPr>
              <w:overflowPunct/>
              <w:autoSpaceDE/>
              <w:autoSpaceDN/>
              <w:adjustRightInd/>
              <w:jc w:val="left"/>
              <w:textAlignment w:val="auto"/>
              <w:rPr>
                <w:rFonts w:ascii="Calibri Light" w:hAnsi="Calibri Light" w:cs="Calibri Light"/>
                <w:b/>
                <w:bCs/>
                <w:color w:val="FFFFFF"/>
                <w:sz w:val="20"/>
              </w:rPr>
            </w:pPr>
            <w:r>
              <w:rPr>
                <w:rFonts w:ascii="Calibri Light" w:hAnsi="Calibri Light" w:cs="Calibri Light"/>
                <w:b/>
                <w:bCs/>
                <w:color w:val="FFFFFF"/>
                <w:sz w:val="20"/>
              </w:rPr>
              <w:t>Růst bankovních vkladů klientských celkem (%)</w:t>
            </w:r>
          </w:p>
        </w:tc>
        <w:tc>
          <w:tcPr>
            <w:tcW w:w="680" w:type="dxa"/>
            <w:tcBorders>
              <w:top w:val="nil"/>
              <w:left w:val="nil"/>
              <w:bottom w:val="single" w:sz="8" w:space="0" w:color="FFFFFF"/>
              <w:right w:val="single" w:sz="8" w:space="0" w:color="FFFFFF"/>
            </w:tcBorders>
            <w:shd w:val="clear" w:color="000000" w:fill="D9D9D9"/>
            <w:noWrap/>
            <w:vAlign w:val="center"/>
            <w:hideMark/>
          </w:tcPr>
          <w:p w14:paraId="325474E1" w14:textId="46A0741F"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7,4</w:t>
            </w:r>
          </w:p>
        </w:tc>
        <w:tc>
          <w:tcPr>
            <w:tcW w:w="680" w:type="dxa"/>
            <w:tcBorders>
              <w:top w:val="nil"/>
              <w:left w:val="nil"/>
              <w:bottom w:val="single" w:sz="8" w:space="0" w:color="FFFFFF"/>
              <w:right w:val="single" w:sz="8" w:space="0" w:color="FFFFFF"/>
            </w:tcBorders>
            <w:shd w:val="clear" w:color="000000" w:fill="D9D9D9"/>
            <w:noWrap/>
            <w:vAlign w:val="center"/>
            <w:hideMark/>
          </w:tcPr>
          <w:p w14:paraId="6D14979B" w14:textId="01ADCE0C" w:rsidR="009008CB" w:rsidRPr="003D3DB8" w:rsidRDefault="009008CB" w:rsidP="009008CB">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4,4</w:t>
            </w:r>
          </w:p>
        </w:tc>
        <w:tc>
          <w:tcPr>
            <w:tcW w:w="680" w:type="dxa"/>
            <w:tcBorders>
              <w:top w:val="nil"/>
              <w:left w:val="nil"/>
              <w:bottom w:val="single" w:sz="8" w:space="0" w:color="FFFFFF"/>
              <w:right w:val="single" w:sz="8" w:space="0" w:color="FFFFFF"/>
            </w:tcBorders>
            <w:shd w:val="clear" w:color="000000" w:fill="D9D9D9"/>
            <w:noWrap/>
            <w:vAlign w:val="center"/>
            <w:hideMark/>
          </w:tcPr>
          <w:p w14:paraId="4A08F42B" w14:textId="6CD76D65"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5,7</w:t>
            </w:r>
          </w:p>
        </w:tc>
        <w:tc>
          <w:tcPr>
            <w:tcW w:w="680" w:type="dxa"/>
            <w:tcBorders>
              <w:top w:val="nil"/>
              <w:left w:val="nil"/>
              <w:bottom w:val="single" w:sz="8" w:space="0" w:color="FFFFFF"/>
              <w:right w:val="single" w:sz="8" w:space="0" w:color="FFFFFF"/>
            </w:tcBorders>
            <w:shd w:val="clear" w:color="000000" w:fill="D9D9D9"/>
            <w:noWrap/>
            <w:vAlign w:val="center"/>
            <w:hideMark/>
          </w:tcPr>
          <w:p w14:paraId="548BEDF6" w14:textId="71FFF94E"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5,1</w:t>
            </w:r>
          </w:p>
        </w:tc>
        <w:tc>
          <w:tcPr>
            <w:tcW w:w="186" w:type="dxa"/>
            <w:tcBorders>
              <w:top w:val="nil"/>
              <w:left w:val="nil"/>
              <w:bottom w:val="single" w:sz="8" w:space="0" w:color="FFFFFF"/>
              <w:right w:val="single" w:sz="8" w:space="0" w:color="FFFFFF"/>
            </w:tcBorders>
            <w:shd w:val="clear" w:color="000000" w:fill="13576B"/>
            <w:noWrap/>
            <w:vAlign w:val="center"/>
            <w:hideMark/>
          </w:tcPr>
          <w:p w14:paraId="1734D621" w14:textId="5EDE29EA" w:rsidR="009008CB" w:rsidRPr="003D3DB8" w:rsidRDefault="009008CB" w:rsidP="009008CB">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 </w:t>
            </w:r>
          </w:p>
        </w:tc>
        <w:tc>
          <w:tcPr>
            <w:tcW w:w="720" w:type="dxa"/>
            <w:tcBorders>
              <w:top w:val="nil"/>
              <w:left w:val="nil"/>
              <w:bottom w:val="single" w:sz="8" w:space="0" w:color="FFFFFF"/>
              <w:right w:val="single" w:sz="8" w:space="0" w:color="FFFFFF"/>
            </w:tcBorders>
            <w:shd w:val="clear" w:color="000000" w:fill="D9D9D9"/>
            <w:noWrap/>
            <w:vAlign w:val="center"/>
            <w:hideMark/>
          </w:tcPr>
          <w:p w14:paraId="610768B5" w14:textId="308023F2" w:rsidR="009008CB" w:rsidRPr="003D3DB8" w:rsidRDefault="009008CB" w:rsidP="009008CB">
            <w:pPr>
              <w:overflowPunct/>
              <w:autoSpaceDE/>
              <w:autoSpaceDN/>
              <w:adjustRightInd/>
              <w:jc w:val="center"/>
              <w:textAlignment w:val="auto"/>
              <w:rPr>
                <w:rFonts w:ascii="Calibri Light" w:hAnsi="Calibri Light" w:cs="Calibri Light"/>
                <w:i/>
                <w:iCs/>
                <w:color w:val="13576B"/>
                <w:sz w:val="20"/>
              </w:rPr>
            </w:pPr>
            <w:r>
              <w:rPr>
                <w:rFonts w:ascii="Calibri Light" w:hAnsi="Calibri Light" w:cs="Calibri Light"/>
                <w:i/>
                <w:iCs/>
                <w:color w:val="FF0000"/>
                <w:sz w:val="20"/>
              </w:rPr>
              <w:t>(0)</w:t>
            </w:r>
          </w:p>
        </w:tc>
        <w:tc>
          <w:tcPr>
            <w:tcW w:w="680" w:type="dxa"/>
            <w:tcBorders>
              <w:top w:val="nil"/>
              <w:left w:val="nil"/>
              <w:bottom w:val="single" w:sz="8" w:space="0" w:color="FFFFFF"/>
              <w:right w:val="single" w:sz="8" w:space="0" w:color="FFFFFF"/>
            </w:tcBorders>
            <w:shd w:val="clear" w:color="000000" w:fill="D9D9D9"/>
            <w:noWrap/>
            <w:vAlign w:val="center"/>
            <w:hideMark/>
          </w:tcPr>
          <w:p w14:paraId="7448D4D9" w14:textId="0E214B90"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(0,8)</w:t>
            </w:r>
          </w:p>
        </w:tc>
        <w:tc>
          <w:tcPr>
            <w:tcW w:w="900" w:type="dxa"/>
            <w:tcBorders>
              <w:top w:val="nil"/>
              <w:left w:val="nil"/>
              <w:bottom w:val="single" w:sz="8" w:space="0" w:color="FFFFFF"/>
              <w:right w:val="single" w:sz="8" w:space="0" w:color="FFFFFF"/>
            </w:tcBorders>
            <w:shd w:val="clear" w:color="000000" w:fill="D9D9D9"/>
            <w:noWrap/>
            <w:vAlign w:val="center"/>
            <w:hideMark/>
          </w:tcPr>
          <w:p w14:paraId="291A74A8" w14:textId="2CDCF9E1" w:rsidR="009008CB" w:rsidRPr="003D3DB8" w:rsidRDefault="009008CB" w:rsidP="009008CB">
            <w:pPr>
              <w:overflowPunct/>
              <w:autoSpaceDE/>
              <w:autoSpaceDN/>
              <w:adjustRightInd/>
              <w:jc w:val="center"/>
              <w:textAlignment w:val="auto"/>
              <w:rPr>
                <w:rFonts w:ascii="Calibri Light" w:hAnsi="Calibri Light" w:cs="Calibri Light"/>
                <w:i/>
                <w:iCs/>
                <w:color w:val="FF0000"/>
                <w:sz w:val="20"/>
              </w:rPr>
            </w:pPr>
            <w:r>
              <w:rPr>
                <w:rFonts w:ascii="Calibri Light" w:hAnsi="Calibri Light" w:cs="Calibri Light"/>
                <w:i/>
                <w:iCs/>
                <w:color w:val="FF0000"/>
                <w:sz w:val="20"/>
              </w:rPr>
              <w:t>(0,1)</w:t>
            </w:r>
          </w:p>
        </w:tc>
      </w:tr>
    </w:tbl>
    <w:p w14:paraId="36F72888" w14:textId="0F686A1D" w:rsidR="00A1698B" w:rsidRPr="00806391" w:rsidRDefault="00A1698B" w:rsidP="00A1698B">
      <w:pPr>
        <w:spacing w:after="120"/>
        <w:rPr>
          <w:rFonts w:ascii="Calibri" w:hAnsi="Calibri" w:cs="Calibri"/>
          <w:bCs/>
          <w:color w:val="13576B"/>
          <w:szCs w:val="18"/>
        </w:rPr>
      </w:pPr>
      <w:r w:rsidRPr="00806391">
        <w:rPr>
          <w:rFonts w:ascii="Calibri" w:hAnsi="Calibri" w:cs="Calibri"/>
          <w:bCs/>
          <w:color w:val="13576B"/>
          <w:szCs w:val="18"/>
        </w:rPr>
        <w:t>Pramen: Prognóza ČBA</w:t>
      </w:r>
      <w:r>
        <w:rPr>
          <w:rFonts w:ascii="Calibri" w:hAnsi="Calibri" w:cs="Calibri"/>
          <w:bCs/>
          <w:color w:val="13576B"/>
          <w:szCs w:val="18"/>
        </w:rPr>
        <w:t xml:space="preserve">, </w:t>
      </w:r>
      <w:r w:rsidRPr="00806391">
        <w:rPr>
          <w:rFonts w:ascii="Calibri" w:hAnsi="Calibri" w:cs="Calibri"/>
          <w:bCs/>
          <w:color w:val="13576B"/>
          <w:szCs w:val="18"/>
        </w:rPr>
        <w:t xml:space="preserve">ČSÚ, ČNB, Úřad práce, </w:t>
      </w:r>
      <w:r>
        <w:rPr>
          <w:rFonts w:ascii="Calibri" w:hAnsi="Calibri" w:cs="Calibri"/>
          <w:bCs/>
          <w:color w:val="13576B"/>
          <w:szCs w:val="18"/>
        </w:rPr>
        <w:t>Macrobond</w:t>
      </w:r>
    </w:p>
    <w:p w14:paraId="6E4622E6" w14:textId="77777777" w:rsidR="005C1934" w:rsidRDefault="005C1934" w:rsidP="00410CB7">
      <w:pPr>
        <w:spacing w:after="120"/>
        <w:rPr>
          <w:rFonts w:ascii="Calibri" w:eastAsia="Calibri" w:hAnsi="Calibri" w:cs="Calibri"/>
          <w:b/>
          <w:color w:val="13576B"/>
          <w:sz w:val="22"/>
          <w:szCs w:val="28"/>
        </w:rPr>
      </w:pPr>
    </w:p>
    <w:p w14:paraId="3C65E8E3" w14:textId="77777777" w:rsidR="005C1934" w:rsidRDefault="005C1934" w:rsidP="00410CB7">
      <w:pPr>
        <w:spacing w:after="120"/>
        <w:rPr>
          <w:rFonts w:ascii="Calibri" w:eastAsia="Calibri" w:hAnsi="Calibri" w:cs="Calibri"/>
          <w:b/>
          <w:color w:val="13576B"/>
          <w:sz w:val="22"/>
          <w:szCs w:val="28"/>
        </w:rPr>
      </w:pPr>
    </w:p>
    <w:p w14:paraId="5D4AD1B7" w14:textId="13B5B177" w:rsidR="00410CB7" w:rsidRDefault="00601F1A" w:rsidP="00410CB7">
      <w:pPr>
        <w:spacing w:after="120"/>
        <w:rPr>
          <w:rFonts w:ascii="Calibri" w:eastAsia="Calibri" w:hAnsi="Calibri" w:cs="Calibri"/>
          <w:b/>
          <w:color w:val="13576B"/>
          <w:sz w:val="22"/>
          <w:szCs w:val="28"/>
        </w:rPr>
      </w:pPr>
      <w:r>
        <w:rPr>
          <w:rFonts w:ascii="Calibri" w:eastAsia="Calibri" w:hAnsi="Calibri" w:cs="Calibri"/>
          <w:b/>
          <w:color w:val="13576B"/>
          <w:sz w:val="22"/>
          <w:szCs w:val="28"/>
        </w:rPr>
        <w:lastRenderedPageBreak/>
        <w:t xml:space="preserve">Pomalejší, ale solidní </w:t>
      </w:r>
      <w:r w:rsidR="00230D4D">
        <w:rPr>
          <w:rFonts w:ascii="Calibri" w:eastAsia="Calibri" w:hAnsi="Calibri" w:cs="Calibri"/>
          <w:b/>
          <w:color w:val="13576B"/>
          <w:sz w:val="22"/>
          <w:szCs w:val="28"/>
        </w:rPr>
        <w:t>růst české ekonomiky</w:t>
      </w:r>
      <w:r>
        <w:rPr>
          <w:rFonts w:ascii="Calibri" w:eastAsia="Calibri" w:hAnsi="Calibri" w:cs="Calibri"/>
          <w:b/>
          <w:color w:val="13576B"/>
          <w:sz w:val="22"/>
          <w:szCs w:val="28"/>
        </w:rPr>
        <w:t xml:space="preserve"> díky odolné domácí poptávce</w:t>
      </w:r>
    </w:p>
    <w:p w14:paraId="284EF93A" w14:textId="3A8BF5C2" w:rsidR="00BB764D" w:rsidRPr="00BB764D" w:rsidRDefault="00BB764D" w:rsidP="00A246E9">
      <w:pPr>
        <w:pStyle w:val="Normlnweb"/>
        <w:spacing w:after="120"/>
        <w:jc w:val="both"/>
        <w:rPr>
          <w:rFonts w:ascii="Calibri" w:hAnsi="Calibri" w:cs="Calibri"/>
          <w:bCs/>
          <w:color w:val="000000" w:themeColor="text1"/>
          <w:sz w:val="20"/>
        </w:rPr>
      </w:pPr>
      <w:r w:rsidRPr="00BB764D">
        <w:rPr>
          <w:rFonts w:ascii="Calibri" w:hAnsi="Calibri" w:cs="Calibri"/>
          <w:bCs/>
          <w:color w:val="000000" w:themeColor="text1"/>
          <w:sz w:val="20"/>
        </w:rPr>
        <w:t>Růst ekonomiky bude i nadále tažen především domácí poptávkou. Soukromá spotřeba by měla letos vzrůst o 2,7 % a v příštím roce o 2,8 %, a to navzdory vyšší inflaci a zvýšené nejistotě. Vyšší letošní inflace se však promítá do slabšího výhledu reálných mezd, jejichž růst byl oproti předchozí prognóze snížen přibližně o půl procentního bodu na 3,5 %. Spotřebu domácností by tak měla více podporovat</w:t>
      </w:r>
      <w:r w:rsidR="001764B6">
        <w:rPr>
          <w:rFonts w:ascii="Calibri" w:hAnsi="Calibri" w:cs="Calibri"/>
          <w:bCs/>
          <w:color w:val="000000" w:themeColor="text1"/>
          <w:sz w:val="20"/>
        </w:rPr>
        <w:t xml:space="preserve"> o něco</w:t>
      </w:r>
      <w:r w:rsidRPr="00BB764D">
        <w:rPr>
          <w:rFonts w:ascii="Calibri" w:hAnsi="Calibri" w:cs="Calibri"/>
          <w:bCs/>
          <w:color w:val="000000" w:themeColor="text1"/>
          <w:sz w:val="20"/>
        </w:rPr>
        <w:t xml:space="preserve"> nižší míra úspor</w:t>
      </w:r>
      <w:r w:rsidR="00D705D5">
        <w:rPr>
          <w:rFonts w:ascii="Calibri" w:hAnsi="Calibri" w:cs="Calibri"/>
          <w:bCs/>
          <w:color w:val="000000" w:themeColor="text1"/>
          <w:sz w:val="20"/>
        </w:rPr>
        <w:t xml:space="preserve"> ve srovnání s její stále vysokou úrovní (19,7 % v závěru loňského roku). A to </w:t>
      </w:r>
      <w:r w:rsidRPr="00BB764D">
        <w:rPr>
          <w:rFonts w:ascii="Calibri" w:hAnsi="Calibri" w:cs="Calibri"/>
          <w:bCs/>
          <w:color w:val="000000" w:themeColor="text1"/>
          <w:sz w:val="20"/>
        </w:rPr>
        <w:t>zejména u domácností s vyššími příjmy, které budou částečně vyhlazovat</w:t>
      </w:r>
      <w:r w:rsidR="00D705D5">
        <w:rPr>
          <w:rFonts w:ascii="Calibri" w:hAnsi="Calibri" w:cs="Calibri"/>
          <w:bCs/>
          <w:color w:val="000000" w:themeColor="text1"/>
          <w:sz w:val="20"/>
        </w:rPr>
        <w:t xml:space="preserve"> dopad mírnějšího růstu reáln</w:t>
      </w:r>
      <w:r w:rsidR="003C2522">
        <w:rPr>
          <w:rFonts w:ascii="Calibri" w:hAnsi="Calibri" w:cs="Calibri"/>
          <w:bCs/>
          <w:color w:val="000000" w:themeColor="text1"/>
          <w:sz w:val="20"/>
        </w:rPr>
        <w:t>ých mezd</w:t>
      </w:r>
      <w:r w:rsidR="00D705D5">
        <w:rPr>
          <w:rFonts w:ascii="Calibri" w:hAnsi="Calibri" w:cs="Calibri"/>
          <w:bCs/>
          <w:color w:val="000000" w:themeColor="text1"/>
          <w:sz w:val="20"/>
        </w:rPr>
        <w:t xml:space="preserve"> na spotřebu</w:t>
      </w:r>
      <w:r w:rsidRPr="00BB764D">
        <w:rPr>
          <w:rFonts w:ascii="Calibri" w:hAnsi="Calibri" w:cs="Calibri"/>
          <w:bCs/>
          <w:color w:val="000000" w:themeColor="text1"/>
          <w:sz w:val="20"/>
        </w:rPr>
        <w:t>. Prognóza zároveň nadále předpokládá</w:t>
      </w:r>
      <w:r w:rsidR="00D705D5">
        <w:rPr>
          <w:rFonts w:ascii="Calibri" w:hAnsi="Calibri" w:cs="Calibri"/>
          <w:bCs/>
          <w:color w:val="000000" w:themeColor="text1"/>
          <w:sz w:val="20"/>
        </w:rPr>
        <w:t xml:space="preserve"> silnější </w:t>
      </w:r>
      <w:r w:rsidRPr="00BB764D">
        <w:rPr>
          <w:rFonts w:ascii="Calibri" w:hAnsi="Calibri" w:cs="Calibri"/>
          <w:bCs/>
          <w:color w:val="000000" w:themeColor="text1"/>
          <w:sz w:val="20"/>
        </w:rPr>
        <w:t xml:space="preserve">růst disponibilního důchodu </w:t>
      </w:r>
      <w:r w:rsidR="00D705D5">
        <w:rPr>
          <w:rFonts w:ascii="Calibri" w:hAnsi="Calibri" w:cs="Calibri"/>
          <w:bCs/>
          <w:color w:val="000000" w:themeColor="text1"/>
          <w:sz w:val="20"/>
        </w:rPr>
        <w:t xml:space="preserve">než </w:t>
      </w:r>
      <w:r w:rsidRPr="00BB764D">
        <w:rPr>
          <w:rFonts w:ascii="Calibri" w:hAnsi="Calibri" w:cs="Calibri"/>
          <w:bCs/>
          <w:color w:val="000000" w:themeColor="text1"/>
          <w:sz w:val="20"/>
        </w:rPr>
        <w:t>mezd</w:t>
      </w:r>
      <w:r w:rsidR="00D705D5">
        <w:rPr>
          <w:rFonts w:ascii="Calibri" w:hAnsi="Calibri" w:cs="Calibri"/>
          <w:bCs/>
          <w:color w:val="000000" w:themeColor="text1"/>
          <w:sz w:val="20"/>
        </w:rPr>
        <w:t xml:space="preserve"> jako v závěru roku 2025</w:t>
      </w:r>
      <w:r w:rsidRPr="00BB764D">
        <w:rPr>
          <w:rFonts w:ascii="Calibri" w:hAnsi="Calibri" w:cs="Calibri"/>
          <w:bCs/>
          <w:color w:val="000000" w:themeColor="text1"/>
          <w:sz w:val="20"/>
        </w:rPr>
        <w:t>.</w:t>
      </w:r>
    </w:p>
    <w:p w14:paraId="46B95059" w14:textId="1EB906C3" w:rsidR="00BB764D" w:rsidRDefault="00BB764D" w:rsidP="00BB764D">
      <w:pPr>
        <w:pStyle w:val="Normlnweb"/>
        <w:spacing w:before="0" w:beforeAutospacing="0" w:after="120" w:afterAutospacing="0"/>
        <w:jc w:val="both"/>
        <w:rPr>
          <w:rFonts w:ascii="Calibri" w:hAnsi="Calibri" w:cs="Calibri"/>
          <w:bCs/>
          <w:color w:val="000000" w:themeColor="text1"/>
          <w:sz w:val="20"/>
        </w:rPr>
      </w:pPr>
      <w:r w:rsidRPr="00BB764D">
        <w:rPr>
          <w:rFonts w:ascii="Calibri" w:hAnsi="Calibri" w:cs="Calibri"/>
          <w:bCs/>
          <w:color w:val="000000" w:themeColor="text1"/>
          <w:sz w:val="20"/>
        </w:rPr>
        <w:t>Investiční aktivita byla oproti předchozí prognóze přehodnocena směrem vzhůru</w:t>
      </w:r>
      <w:r w:rsidR="00D705D5">
        <w:rPr>
          <w:rFonts w:ascii="Calibri" w:hAnsi="Calibri" w:cs="Calibri"/>
          <w:bCs/>
          <w:color w:val="000000" w:themeColor="text1"/>
          <w:sz w:val="20"/>
        </w:rPr>
        <w:t xml:space="preserve">, což převážně odráží pozitivní revizi investiční aktivity v roce 2025. </w:t>
      </w:r>
      <w:r w:rsidRPr="00BB764D">
        <w:rPr>
          <w:rFonts w:ascii="Calibri" w:hAnsi="Calibri" w:cs="Calibri"/>
          <w:bCs/>
          <w:color w:val="000000" w:themeColor="text1"/>
          <w:sz w:val="20"/>
        </w:rPr>
        <w:t>Investice bez zásob by letos měly růst o 3,5 % a v roce 2027 o 2,6 %, což odráží i postupné oživení úvěrové aktivity podniků. Vývoz české ekonomiky by měl letos vzrůst o 3,2 % a příští rok o 4,1 %, přičemž slabší růst eurozóny nadále představuje hlavní omezení exportní výkonnosti</w:t>
      </w:r>
      <w:r w:rsidR="00D705D5">
        <w:rPr>
          <w:rFonts w:ascii="Calibri" w:hAnsi="Calibri" w:cs="Calibri"/>
          <w:bCs/>
          <w:color w:val="000000" w:themeColor="text1"/>
          <w:sz w:val="20"/>
        </w:rPr>
        <w:t xml:space="preserve">, která by v letošním roce měla růst pomaleji než v předchozí predikci. </w:t>
      </w:r>
      <w:r w:rsidRPr="00BB764D">
        <w:rPr>
          <w:rFonts w:ascii="Calibri" w:hAnsi="Calibri" w:cs="Calibri"/>
          <w:bCs/>
          <w:color w:val="000000" w:themeColor="text1"/>
          <w:sz w:val="20"/>
        </w:rPr>
        <w:t xml:space="preserve">Částečnou oporou </w:t>
      </w:r>
      <w:r w:rsidR="00D705D5">
        <w:rPr>
          <w:rFonts w:ascii="Calibri" w:hAnsi="Calibri" w:cs="Calibri"/>
          <w:bCs/>
          <w:color w:val="000000" w:themeColor="text1"/>
          <w:sz w:val="20"/>
        </w:rPr>
        <w:t xml:space="preserve">zůstává </w:t>
      </w:r>
      <w:r w:rsidRPr="00BB764D">
        <w:rPr>
          <w:rFonts w:ascii="Calibri" w:hAnsi="Calibri" w:cs="Calibri"/>
          <w:bCs/>
          <w:color w:val="000000" w:themeColor="text1"/>
          <w:sz w:val="20"/>
        </w:rPr>
        <w:t>německý fiskální balíček a pokračující odolnost českého exportního sektoru</w:t>
      </w:r>
      <w:r w:rsidR="00D705D5">
        <w:rPr>
          <w:rFonts w:ascii="Calibri" w:hAnsi="Calibri" w:cs="Calibri"/>
          <w:bCs/>
          <w:color w:val="000000" w:themeColor="text1"/>
          <w:sz w:val="20"/>
        </w:rPr>
        <w:t>, která nachází uplatnění na trzích mimo EU</w:t>
      </w:r>
      <w:r w:rsidRPr="00BB764D">
        <w:rPr>
          <w:rFonts w:ascii="Calibri" w:hAnsi="Calibri" w:cs="Calibri"/>
          <w:bCs/>
          <w:color w:val="000000" w:themeColor="text1"/>
          <w:sz w:val="20"/>
        </w:rPr>
        <w:t>.</w:t>
      </w:r>
      <w:r w:rsidR="00D705D5">
        <w:rPr>
          <w:rFonts w:ascii="Calibri" w:hAnsi="Calibri" w:cs="Calibri"/>
          <w:bCs/>
          <w:color w:val="000000" w:themeColor="text1"/>
          <w:sz w:val="20"/>
        </w:rPr>
        <w:t xml:space="preserve"> Ale i zde je patrné riziko</w:t>
      </w:r>
      <w:r w:rsidR="001764B6">
        <w:rPr>
          <w:rFonts w:ascii="Calibri" w:hAnsi="Calibri" w:cs="Calibri"/>
          <w:bCs/>
          <w:color w:val="000000" w:themeColor="text1"/>
          <w:sz w:val="20"/>
        </w:rPr>
        <w:t xml:space="preserve"> </w:t>
      </w:r>
      <w:r w:rsidR="001764B6" w:rsidRPr="001764B6">
        <w:rPr>
          <w:rFonts w:ascii="Calibri" w:hAnsi="Calibri" w:cs="Calibri"/>
          <w:bCs/>
          <w:color w:val="000000" w:themeColor="text1"/>
          <w:sz w:val="20"/>
        </w:rPr>
        <w:t xml:space="preserve">ochlazení asijských ekonomik, doposud slibných trhů, </w:t>
      </w:r>
      <w:r w:rsidR="00D705D5">
        <w:rPr>
          <w:rFonts w:ascii="Calibri" w:hAnsi="Calibri" w:cs="Calibri"/>
          <w:bCs/>
          <w:color w:val="000000" w:themeColor="text1"/>
          <w:sz w:val="20"/>
        </w:rPr>
        <w:t>kvůli</w:t>
      </w:r>
      <w:r w:rsidR="003C2522">
        <w:rPr>
          <w:rFonts w:ascii="Calibri" w:hAnsi="Calibri" w:cs="Calibri"/>
          <w:bCs/>
          <w:color w:val="000000" w:themeColor="text1"/>
          <w:sz w:val="20"/>
        </w:rPr>
        <w:t xml:space="preserve"> í</w:t>
      </w:r>
      <w:r w:rsidR="00D705D5">
        <w:rPr>
          <w:rFonts w:ascii="Calibri" w:hAnsi="Calibri" w:cs="Calibri"/>
          <w:bCs/>
          <w:color w:val="000000" w:themeColor="text1"/>
          <w:sz w:val="20"/>
        </w:rPr>
        <w:t xml:space="preserve">ránské válce. </w:t>
      </w:r>
    </w:p>
    <w:p w14:paraId="288557E4" w14:textId="73D2A94D" w:rsidR="00D705D5" w:rsidRPr="00601F1A" w:rsidRDefault="0035113B" w:rsidP="00A1698B">
      <w:pPr>
        <w:pStyle w:val="Normlnweb"/>
        <w:spacing w:before="0" w:beforeAutospacing="0" w:after="120" w:afterAutospacing="0"/>
        <w:jc w:val="both"/>
        <w:rPr>
          <w:rFonts w:ascii="Calibri" w:hAnsi="Calibri" w:cs="Calibri"/>
          <w:bCs/>
          <w:color w:val="000000" w:themeColor="text1"/>
          <w:sz w:val="20"/>
        </w:rPr>
      </w:pPr>
      <w:r w:rsidRPr="00601F1A">
        <w:rPr>
          <w:rFonts w:ascii="Calibri" w:hAnsi="Calibri" w:cs="Calibri"/>
          <w:bCs/>
          <w:color w:val="000000" w:themeColor="text1"/>
          <w:sz w:val="20"/>
        </w:rPr>
        <w:t xml:space="preserve">Mezikvartální dynamika </w:t>
      </w:r>
      <w:r w:rsidR="00D705D5" w:rsidRPr="00601F1A">
        <w:rPr>
          <w:rFonts w:ascii="Calibri" w:hAnsi="Calibri" w:cs="Calibri"/>
          <w:bCs/>
          <w:color w:val="000000" w:themeColor="text1"/>
          <w:sz w:val="20"/>
        </w:rPr>
        <w:t xml:space="preserve">české </w:t>
      </w:r>
      <w:r w:rsidRPr="00601F1A">
        <w:rPr>
          <w:rFonts w:ascii="Calibri" w:hAnsi="Calibri" w:cs="Calibri"/>
          <w:bCs/>
          <w:color w:val="000000" w:themeColor="text1"/>
          <w:sz w:val="20"/>
        </w:rPr>
        <w:t xml:space="preserve">ekonomiky by měla </w:t>
      </w:r>
      <w:r w:rsidR="00D705D5" w:rsidRPr="00601F1A">
        <w:rPr>
          <w:rFonts w:ascii="Calibri" w:hAnsi="Calibri" w:cs="Calibri"/>
          <w:bCs/>
          <w:color w:val="000000" w:themeColor="text1"/>
          <w:sz w:val="20"/>
        </w:rPr>
        <w:t xml:space="preserve">v průběhu letošního roku zrychlit na 0,4 % v druhém čtvrtletí po zpomalení na 0,2 % na počátku letošního roku, u čehož panuje riziko pozitivní revize. Ve druhém pololetí by měl růst ekonomiky mírně zrychlit na 0,5 % a v roce 2027 na 0,6 %. </w:t>
      </w:r>
      <w:r w:rsidR="00601F1A" w:rsidRPr="00601F1A">
        <w:rPr>
          <w:rFonts w:ascii="Calibri" w:hAnsi="Calibri" w:cs="Calibri"/>
          <w:bCs/>
          <w:color w:val="000000" w:themeColor="text1"/>
          <w:sz w:val="20"/>
        </w:rPr>
        <w:t xml:space="preserve">Panel se mírně rozchází v síle oživení v letošním roce, což souvisí s nejistotou </w:t>
      </w:r>
      <w:r w:rsidR="003C2522">
        <w:rPr>
          <w:rFonts w:ascii="Calibri" w:hAnsi="Calibri" w:cs="Calibri"/>
          <w:bCs/>
          <w:color w:val="000000" w:themeColor="text1"/>
          <w:sz w:val="20"/>
        </w:rPr>
        <w:t xml:space="preserve">ohledně </w:t>
      </w:r>
      <w:r w:rsidR="00601F1A" w:rsidRPr="00601F1A">
        <w:rPr>
          <w:rFonts w:ascii="Calibri" w:hAnsi="Calibri" w:cs="Calibri"/>
          <w:bCs/>
          <w:color w:val="000000" w:themeColor="text1"/>
          <w:sz w:val="20"/>
        </w:rPr>
        <w:t xml:space="preserve">otevření </w:t>
      </w:r>
      <w:proofErr w:type="spellStart"/>
      <w:r w:rsidR="00601F1A" w:rsidRPr="00601F1A">
        <w:rPr>
          <w:rFonts w:ascii="Calibri" w:hAnsi="Calibri" w:cs="Calibri"/>
          <w:bCs/>
          <w:color w:val="000000" w:themeColor="text1"/>
          <w:sz w:val="20"/>
        </w:rPr>
        <w:t>Hormuzského</w:t>
      </w:r>
      <w:proofErr w:type="spellEnd"/>
      <w:r w:rsidR="00601F1A" w:rsidRPr="00601F1A">
        <w:rPr>
          <w:rFonts w:ascii="Calibri" w:hAnsi="Calibri" w:cs="Calibri"/>
          <w:bCs/>
          <w:color w:val="000000" w:themeColor="text1"/>
          <w:sz w:val="20"/>
        </w:rPr>
        <w:t xml:space="preserve"> průlivu a souvisejících dopadů na globální ekonomiku. </w:t>
      </w:r>
    </w:p>
    <w:p w14:paraId="05AFDB3B" w14:textId="01B76566" w:rsidR="00481E81" w:rsidRPr="00AB6E06" w:rsidRDefault="00601F1A" w:rsidP="00AB6E06">
      <w:pPr>
        <w:pStyle w:val="Normlnweb"/>
        <w:spacing w:before="0" w:beforeAutospacing="0" w:after="120" w:afterAutospacing="0"/>
        <w:jc w:val="both"/>
        <w:rPr>
          <w:rFonts w:ascii="Calibri" w:hAnsi="Calibri" w:cs="Calibri"/>
          <w:b/>
          <w:color w:val="13576B"/>
          <w:sz w:val="22"/>
          <w:szCs w:val="28"/>
        </w:rPr>
      </w:pPr>
      <w:r>
        <w:rPr>
          <w:rFonts w:ascii="Calibri" w:hAnsi="Calibri" w:cs="Calibri"/>
          <w:b/>
          <w:color w:val="13576B"/>
          <w:sz w:val="22"/>
          <w:szCs w:val="28"/>
        </w:rPr>
        <w:t>N</w:t>
      </w:r>
      <w:r w:rsidR="009D0908">
        <w:rPr>
          <w:rFonts w:ascii="Calibri" w:hAnsi="Calibri" w:cs="Calibri"/>
          <w:b/>
          <w:color w:val="13576B"/>
          <w:sz w:val="22"/>
          <w:szCs w:val="28"/>
        </w:rPr>
        <w:t>ávrat</w:t>
      </w:r>
      <w:r>
        <w:rPr>
          <w:rFonts w:ascii="Calibri" w:hAnsi="Calibri" w:cs="Calibri"/>
          <w:b/>
          <w:color w:val="13576B"/>
          <w:sz w:val="22"/>
          <w:szCs w:val="28"/>
        </w:rPr>
        <w:t xml:space="preserve"> spotřebitelské inflace do horní poloviny cíle centrální banky</w:t>
      </w:r>
    </w:p>
    <w:p w14:paraId="42AB02D5" w14:textId="0B528F15" w:rsidR="00BB764D" w:rsidRPr="00BB764D" w:rsidRDefault="00BB764D" w:rsidP="00AB6E06">
      <w:pPr>
        <w:pStyle w:val="Normlnweb"/>
        <w:spacing w:before="0" w:beforeAutospacing="0" w:after="120" w:afterAutospacing="0"/>
        <w:jc w:val="both"/>
        <w:rPr>
          <w:rFonts w:ascii="Calibri" w:hAnsi="Calibri" w:cs="Calibri"/>
          <w:bCs/>
          <w:color w:val="000000" w:themeColor="text1"/>
          <w:sz w:val="20"/>
        </w:rPr>
      </w:pPr>
      <w:r w:rsidRPr="00BB764D">
        <w:rPr>
          <w:rFonts w:ascii="Calibri" w:hAnsi="Calibri" w:cs="Calibri"/>
          <w:bCs/>
          <w:color w:val="000000" w:themeColor="text1"/>
          <w:sz w:val="20"/>
        </w:rPr>
        <w:t xml:space="preserve">Významnou změnou oproti předchozí prognóze je inflační výhled. Spotřebitelská inflace by měla letos v průměru dosáhnout 2,5 % oproti 1,7 % v únorové prognóze. Na konci letošního roku by se inflace měla pohybovat okolo 3 %. V roce 2027 prognóza očekává další mírné zrychlení průměrné inflace na 2,7 %. Vyšší inflační výhled odráží nejen ceny pohonných hmot a energií, ale i sekundární dopady přes výrobní řetězce, zejména do cen potravin a dalších komoditních složek spotřebního koše. Tyto tlaky by měly být patrnější zejména od čtvrtého čtvrtletí letošního roku, což odpovídá i signálům </w:t>
      </w:r>
      <w:r w:rsidR="00601F1A" w:rsidRPr="00BB764D">
        <w:rPr>
          <w:rFonts w:ascii="Calibri" w:hAnsi="Calibri" w:cs="Calibri"/>
          <w:bCs/>
          <w:color w:val="000000" w:themeColor="text1"/>
          <w:sz w:val="20"/>
        </w:rPr>
        <w:t>vyšší cen vstup</w:t>
      </w:r>
      <w:r w:rsidR="00601F1A">
        <w:rPr>
          <w:rFonts w:ascii="Calibri" w:hAnsi="Calibri" w:cs="Calibri"/>
          <w:bCs/>
          <w:color w:val="000000" w:themeColor="text1"/>
          <w:sz w:val="20"/>
        </w:rPr>
        <w:t xml:space="preserve">ů </w:t>
      </w:r>
      <w:r w:rsidRPr="00BB764D">
        <w:rPr>
          <w:rFonts w:ascii="Calibri" w:hAnsi="Calibri" w:cs="Calibri"/>
          <w:bCs/>
          <w:color w:val="000000" w:themeColor="text1"/>
          <w:sz w:val="20"/>
        </w:rPr>
        <w:t>z</w:t>
      </w:r>
      <w:r w:rsidR="00601F1A">
        <w:rPr>
          <w:rFonts w:ascii="Calibri" w:hAnsi="Calibri" w:cs="Calibri"/>
          <w:bCs/>
          <w:color w:val="000000" w:themeColor="text1"/>
          <w:sz w:val="20"/>
        </w:rPr>
        <w:t> </w:t>
      </w:r>
      <w:r w:rsidRPr="00BB764D">
        <w:rPr>
          <w:rFonts w:ascii="Calibri" w:hAnsi="Calibri" w:cs="Calibri"/>
          <w:bCs/>
          <w:color w:val="000000" w:themeColor="text1"/>
          <w:sz w:val="20"/>
        </w:rPr>
        <w:t>nákupních indexů manažerů</w:t>
      </w:r>
      <w:r w:rsidR="00601F1A">
        <w:rPr>
          <w:rFonts w:ascii="Calibri" w:hAnsi="Calibri" w:cs="Calibri"/>
          <w:bCs/>
          <w:color w:val="000000" w:themeColor="text1"/>
          <w:sz w:val="20"/>
        </w:rPr>
        <w:t>.</w:t>
      </w:r>
    </w:p>
    <w:p w14:paraId="70F79E39" w14:textId="601DEC0F" w:rsidR="00BB764D" w:rsidRDefault="00BB764D" w:rsidP="00BB764D">
      <w:pPr>
        <w:pStyle w:val="Normlnweb"/>
        <w:spacing w:before="0" w:beforeAutospacing="0" w:after="120" w:afterAutospacing="0"/>
        <w:jc w:val="both"/>
        <w:rPr>
          <w:rFonts w:ascii="Calibri" w:hAnsi="Calibri" w:cs="Calibri"/>
          <w:bCs/>
          <w:color w:val="000000" w:themeColor="text1"/>
          <w:sz w:val="20"/>
        </w:rPr>
      </w:pPr>
      <w:r w:rsidRPr="00BB764D">
        <w:rPr>
          <w:rFonts w:ascii="Calibri" w:hAnsi="Calibri" w:cs="Calibri"/>
          <w:bCs/>
          <w:color w:val="000000" w:themeColor="text1"/>
          <w:sz w:val="20"/>
        </w:rPr>
        <w:t xml:space="preserve">Jádrová inflace zůstává zvýšená a měla by letos dosáhnout 2,8 % a v roce 2027 pouze mírně zpomalit na 2,6 %. Vyšší jádrová inflace zároveň odráží přetrvávající domácí nákladové tlaky. Prognóza totiž nadále počítá s relativně silným růstem nominálních mezd </w:t>
      </w:r>
      <w:r w:rsidR="00601F1A">
        <w:rPr>
          <w:rFonts w:ascii="Calibri" w:hAnsi="Calibri" w:cs="Calibri"/>
          <w:bCs/>
          <w:color w:val="000000" w:themeColor="text1"/>
          <w:sz w:val="20"/>
        </w:rPr>
        <w:t xml:space="preserve">přes 6 % meziročně v letošním roce </w:t>
      </w:r>
      <w:r w:rsidRPr="00BB764D">
        <w:rPr>
          <w:rFonts w:ascii="Calibri" w:hAnsi="Calibri" w:cs="Calibri"/>
          <w:bCs/>
          <w:color w:val="000000" w:themeColor="text1"/>
          <w:sz w:val="20"/>
        </w:rPr>
        <w:t>při pomalejším tempu růstu ekonomiky, což implikuje zvýšený růst jednotkových mzdových nákladů. To představuje jeden z hlavních důvodů, proč panel vidí domácí inflační prostředí jako setrvale zvýšené i při slabším ekonomickém růstu</w:t>
      </w:r>
      <w:r w:rsidR="00601F1A">
        <w:rPr>
          <w:rFonts w:ascii="Calibri" w:hAnsi="Calibri" w:cs="Calibri"/>
          <w:bCs/>
          <w:color w:val="000000" w:themeColor="text1"/>
          <w:sz w:val="20"/>
        </w:rPr>
        <w:t xml:space="preserve">, což se odráží i ve výše zmíněném riziku. Do inflace se rovněž promítá pouze postupné zpomalení růstu cen nemovitostí pod 10 % v letošním roce. </w:t>
      </w:r>
    </w:p>
    <w:p w14:paraId="2B739550" w14:textId="12F04740" w:rsidR="007B661B" w:rsidRDefault="00484CFC" w:rsidP="00484CFC">
      <w:pPr>
        <w:pStyle w:val="Normlnweb"/>
        <w:spacing w:before="0" w:beforeAutospacing="0" w:after="120" w:afterAutospacing="0"/>
        <w:jc w:val="both"/>
        <w:rPr>
          <w:rFonts w:ascii="Calibri" w:hAnsi="Calibri" w:cs="Calibri"/>
          <w:bCs/>
          <w:color w:val="000000" w:themeColor="text1"/>
          <w:sz w:val="20"/>
        </w:rPr>
      </w:pPr>
      <w:r w:rsidRPr="00AB6E06">
        <w:rPr>
          <w:rFonts w:ascii="Calibri" w:hAnsi="Calibri" w:cs="Calibri"/>
          <w:bCs/>
          <w:color w:val="000000" w:themeColor="text1"/>
          <w:sz w:val="20"/>
        </w:rPr>
        <w:t xml:space="preserve">Celkový vývoj inflace tak odráží </w:t>
      </w:r>
      <w:r w:rsidR="007B661B" w:rsidRPr="00AB6E06">
        <w:rPr>
          <w:rFonts w:ascii="Calibri" w:hAnsi="Calibri" w:cs="Calibri"/>
          <w:bCs/>
          <w:color w:val="000000" w:themeColor="text1"/>
          <w:sz w:val="20"/>
        </w:rPr>
        <w:t xml:space="preserve">kombinaci </w:t>
      </w:r>
      <w:r w:rsidR="00AB6E06" w:rsidRPr="00AB6E06">
        <w:rPr>
          <w:rFonts w:ascii="Calibri" w:hAnsi="Calibri" w:cs="Calibri"/>
          <w:bCs/>
          <w:color w:val="000000" w:themeColor="text1"/>
          <w:sz w:val="20"/>
        </w:rPr>
        <w:t>ropného cenového šoku</w:t>
      </w:r>
      <w:r w:rsidR="0010372D">
        <w:rPr>
          <w:rFonts w:ascii="Calibri" w:hAnsi="Calibri" w:cs="Calibri"/>
          <w:bCs/>
          <w:color w:val="000000" w:themeColor="text1"/>
          <w:sz w:val="20"/>
        </w:rPr>
        <w:t xml:space="preserve"> a</w:t>
      </w:r>
      <w:r w:rsidR="00AB6E06" w:rsidRPr="00AB6E06">
        <w:rPr>
          <w:rFonts w:ascii="Calibri" w:hAnsi="Calibri" w:cs="Calibri"/>
          <w:bCs/>
          <w:color w:val="000000" w:themeColor="text1"/>
          <w:sz w:val="20"/>
        </w:rPr>
        <w:t xml:space="preserve"> postupných dopadů vyšších cen komodit, ale</w:t>
      </w:r>
      <w:r w:rsidR="0010372D">
        <w:rPr>
          <w:rFonts w:ascii="Calibri" w:hAnsi="Calibri" w:cs="Calibri"/>
          <w:bCs/>
          <w:color w:val="000000" w:themeColor="text1"/>
          <w:sz w:val="20"/>
        </w:rPr>
        <w:t xml:space="preserve"> stále jsou patrné vlivy silného </w:t>
      </w:r>
      <w:r w:rsidR="007B661B" w:rsidRPr="00AB6E06">
        <w:rPr>
          <w:rFonts w:ascii="Calibri" w:hAnsi="Calibri" w:cs="Calibri"/>
          <w:bCs/>
          <w:color w:val="000000" w:themeColor="text1"/>
          <w:sz w:val="20"/>
        </w:rPr>
        <w:t xml:space="preserve">mzdového vývoje, </w:t>
      </w:r>
      <w:r w:rsidR="001764B6">
        <w:rPr>
          <w:rFonts w:ascii="Calibri" w:hAnsi="Calibri" w:cs="Calibri"/>
          <w:bCs/>
          <w:color w:val="000000" w:themeColor="text1"/>
          <w:sz w:val="20"/>
        </w:rPr>
        <w:t xml:space="preserve">pomalého růstu přidané hodnoty, </w:t>
      </w:r>
      <w:r w:rsidR="0010372D">
        <w:rPr>
          <w:rFonts w:ascii="Calibri" w:hAnsi="Calibri" w:cs="Calibri"/>
          <w:bCs/>
          <w:color w:val="000000" w:themeColor="text1"/>
          <w:sz w:val="20"/>
        </w:rPr>
        <w:t>tedy z trhu práce, i když méně napjatého než v minulosti,</w:t>
      </w:r>
      <w:r w:rsidRPr="00AB6E06">
        <w:rPr>
          <w:rFonts w:ascii="Calibri" w:hAnsi="Calibri" w:cs="Calibri"/>
          <w:bCs/>
          <w:color w:val="000000" w:themeColor="text1"/>
          <w:sz w:val="20"/>
        </w:rPr>
        <w:t xml:space="preserve"> </w:t>
      </w:r>
      <w:r w:rsidR="00AB6E06" w:rsidRPr="00AB6E06">
        <w:rPr>
          <w:rFonts w:ascii="Calibri" w:hAnsi="Calibri" w:cs="Calibri"/>
          <w:bCs/>
          <w:color w:val="000000" w:themeColor="text1"/>
          <w:sz w:val="20"/>
        </w:rPr>
        <w:t xml:space="preserve">a uvolněnější fiskální politiky. Tyto faktory v novém výhledu překonaly </w:t>
      </w:r>
      <w:r w:rsidRPr="00AB6E06">
        <w:rPr>
          <w:rFonts w:ascii="Calibri" w:hAnsi="Calibri" w:cs="Calibri"/>
          <w:bCs/>
          <w:color w:val="000000" w:themeColor="text1"/>
          <w:sz w:val="20"/>
        </w:rPr>
        <w:t>desinflační regulatorní</w:t>
      </w:r>
      <w:r w:rsidR="00AB6E06" w:rsidRPr="00AB6E06">
        <w:rPr>
          <w:rFonts w:ascii="Calibri" w:hAnsi="Calibri" w:cs="Calibri"/>
          <w:bCs/>
          <w:color w:val="000000" w:themeColor="text1"/>
          <w:sz w:val="20"/>
        </w:rPr>
        <w:t xml:space="preserve"> z</w:t>
      </w:r>
      <w:r w:rsidRPr="00AB6E06">
        <w:rPr>
          <w:rFonts w:ascii="Calibri" w:hAnsi="Calibri" w:cs="Calibri"/>
          <w:bCs/>
          <w:color w:val="000000" w:themeColor="text1"/>
          <w:sz w:val="20"/>
        </w:rPr>
        <w:t xml:space="preserve">ásah ze strany vlády </w:t>
      </w:r>
      <w:r w:rsidR="00AB6E06" w:rsidRPr="00AB6E06">
        <w:rPr>
          <w:rFonts w:ascii="Calibri" w:hAnsi="Calibri" w:cs="Calibri"/>
          <w:bCs/>
          <w:color w:val="000000" w:themeColor="text1"/>
          <w:sz w:val="20"/>
        </w:rPr>
        <w:t xml:space="preserve">z počátku roku v oblasti poplatku za obnovitelné zdroje, který významně snížil ceny elektrické energie. </w:t>
      </w:r>
      <w:r w:rsidR="007B661B" w:rsidRPr="00AB6E06">
        <w:rPr>
          <w:rFonts w:ascii="Calibri" w:hAnsi="Calibri" w:cs="Calibri"/>
          <w:bCs/>
          <w:color w:val="000000" w:themeColor="text1"/>
          <w:sz w:val="20"/>
        </w:rPr>
        <w:t xml:space="preserve">V aktuálním konsenzu prognózy </w:t>
      </w:r>
      <w:r w:rsidR="001E0921" w:rsidRPr="00AB6E06">
        <w:rPr>
          <w:rFonts w:ascii="Calibri" w:hAnsi="Calibri" w:cs="Calibri"/>
          <w:bCs/>
          <w:color w:val="000000" w:themeColor="text1"/>
          <w:sz w:val="20"/>
        </w:rPr>
        <w:t>není</w:t>
      </w:r>
      <w:r w:rsidR="007B661B" w:rsidRPr="00AB6E06">
        <w:rPr>
          <w:rFonts w:ascii="Calibri" w:hAnsi="Calibri" w:cs="Calibri"/>
          <w:bCs/>
          <w:color w:val="000000" w:themeColor="text1"/>
          <w:sz w:val="20"/>
        </w:rPr>
        <w:t xml:space="preserve"> zahrnu</w:t>
      </w:r>
      <w:r w:rsidR="001E0921" w:rsidRPr="00AB6E06">
        <w:rPr>
          <w:rFonts w:ascii="Calibri" w:hAnsi="Calibri" w:cs="Calibri"/>
          <w:bCs/>
          <w:color w:val="000000" w:themeColor="text1"/>
          <w:sz w:val="20"/>
        </w:rPr>
        <w:t>to</w:t>
      </w:r>
      <w:r w:rsidR="007B661B" w:rsidRPr="00AB6E06">
        <w:rPr>
          <w:rFonts w:ascii="Calibri" w:hAnsi="Calibri" w:cs="Calibri"/>
          <w:bCs/>
          <w:color w:val="000000" w:themeColor="text1"/>
          <w:sz w:val="20"/>
        </w:rPr>
        <w:t xml:space="preserve"> možné </w:t>
      </w:r>
      <w:r w:rsidRPr="00AB6E06">
        <w:rPr>
          <w:rFonts w:ascii="Calibri" w:hAnsi="Calibri" w:cs="Calibri"/>
          <w:bCs/>
          <w:color w:val="000000" w:themeColor="text1"/>
          <w:sz w:val="20"/>
        </w:rPr>
        <w:t>zrušení</w:t>
      </w:r>
      <w:r w:rsidR="007B661B" w:rsidRPr="00AB6E06">
        <w:rPr>
          <w:rFonts w:ascii="Calibri" w:hAnsi="Calibri" w:cs="Calibri"/>
          <w:bCs/>
          <w:color w:val="000000" w:themeColor="text1"/>
          <w:sz w:val="20"/>
        </w:rPr>
        <w:t xml:space="preserve"> koncesionářských poplatků</w:t>
      </w:r>
      <w:r w:rsidRPr="00AB6E06">
        <w:rPr>
          <w:rFonts w:ascii="Calibri" w:hAnsi="Calibri" w:cs="Calibri"/>
          <w:bCs/>
          <w:color w:val="000000" w:themeColor="text1"/>
          <w:sz w:val="20"/>
        </w:rPr>
        <w:t xml:space="preserve">. Tento krok </w:t>
      </w:r>
      <w:r w:rsidR="007B661B" w:rsidRPr="00AB6E06">
        <w:rPr>
          <w:rFonts w:ascii="Calibri" w:hAnsi="Calibri" w:cs="Calibri"/>
          <w:bCs/>
          <w:color w:val="000000" w:themeColor="text1"/>
          <w:sz w:val="20"/>
        </w:rPr>
        <w:t xml:space="preserve">by </w:t>
      </w:r>
      <w:r w:rsidR="00AB6E06" w:rsidRPr="00AB6E06">
        <w:rPr>
          <w:rFonts w:ascii="Calibri" w:hAnsi="Calibri" w:cs="Calibri"/>
          <w:bCs/>
          <w:color w:val="000000" w:themeColor="text1"/>
          <w:sz w:val="20"/>
        </w:rPr>
        <w:t xml:space="preserve">v plném scénáři </w:t>
      </w:r>
      <w:r w:rsidR="007B661B" w:rsidRPr="00AB6E06">
        <w:rPr>
          <w:rFonts w:ascii="Calibri" w:hAnsi="Calibri" w:cs="Calibri"/>
          <w:bCs/>
          <w:color w:val="000000" w:themeColor="text1"/>
          <w:sz w:val="20"/>
        </w:rPr>
        <w:t>mohl snížit růst spotřebitelských cen</w:t>
      </w:r>
      <w:r w:rsidRPr="00AB6E06">
        <w:rPr>
          <w:rFonts w:ascii="Calibri" w:hAnsi="Calibri" w:cs="Calibri"/>
          <w:bCs/>
          <w:color w:val="000000" w:themeColor="text1"/>
          <w:sz w:val="20"/>
        </w:rPr>
        <w:t xml:space="preserve"> v příštím roce</w:t>
      </w:r>
      <w:r w:rsidR="007B661B" w:rsidRPr="00AB6E06">
        <w:rPr>
          <w:rFonts w:ascii="Calibri" w:hAnsi="Calibri" w:cs="Calibri"/>
          <w:bCs/>
          <w:color w:val="000000" w:themeColor="text1"/>
          <w:sz w:val="20"/>
        </w:rPr>
        <w:t xml:space="preserve"> přibližně o 0,3 procentního bodu, tedy </w:t>
      </w:r>
      <w:r w:rsidR="00AB6E06" w:rsidRPr="00AB6E06">
        <w:rPr>
          <w:rFonts w:ascii="Calibri" w:hAnsi="Calibri" w:cs="Calibri"/>
          <w:bCs/>
          <w:color w:val="000000" w:themeColor="text1"/>
          <w:sz w:val="20"/>
        </w:rPr>
        <w:t xml:space="preserve">k polovině horního tolerančního pásma inflačního cíle. </w:t>
      </w:r>
      <w:r w:rsidR="007B661B" w:rsidRPr="00AB6E06">
        <w:rPr>
          <w:rFonts w:ascii="Calibri" w:hAnsi="Calibri" w:cs="Calibri"/>
          <w:bCs/>
          <w:color w:val="000000" w:themeColor="text1"/>
          <w:sz w:val="20"/>
        </w:rPr>
        <w:t>Tento efekt by však byl pravděpodobně částečně kompenzován fiskálním stimulem v</w:t>
      </w:r>
      <w:r w:rsidR="00A246E9">
        <w:rPr>
          <w:rFonts w:ascii="Calibri" w:hAnsi="Calibri" w:cs="Calibri"/>
          <w:bCs/>
          <w:color w:val="000000" w:themeColor="text1"/>
          <w:sz w:val="20"/>
        </w:rPr>
        <w:t> </w:t>
      </w:r>
      <w:r w:rsidR="007B661B" w:rsidRPr="00AB6E06">
        <w:rPr>
          <w:rFonts w:ascii="Calibri" w:hAnsi="Calibri" w:cs="Calibri"/>
          <w:bCs/>
          <w:color w:val="000000" w:themeColor="text1"/>
          <w:sz w:val="20"/>
        </w:rPr>
        <w:t xml:space="preserve">rozsahu zhruba 10 mld. Kč (lehce přes 0,1 % HDP), který </w:t>
      </w:r>
      <w:r w:rsidR="00A246E9">
        <w:rPr>
          <w:rFonts w:ascii="Calibri" w:hAnsi="Calibri" w:cs="Calibri"/>
          <w:bCs/>
          <w:color w:val="000000" w:themeColor="text1"/>
          <w:sz w:val="20"/>
        </w:rPr>
        <w:t xml:space="preserve">by </w:t>
      </w:r>
      <w:r w:rsidRPr="00AB6E06">
        <w:rPr>
          <w:rFonts w:ascii="Calibri" w:hAnsi="Calibri" w:cs="Calibri"/>
          <w:bCs/>
          <w:color w:val="000000" w:themeColor="text1"/>
          <w:sz w:val="20"/>
        </w:rPr>
        <w:t>opět působil částečně</w:t>
      </w:r>
      <w:r w:rsidR="007B661B" w:rsidRPr="00AB6E06">
        <w:rPr>
          <w:rFonts w:ascii="Calibri" w:hAnsi="Calibri" w:cs="Calibri"/>
          <w:bCs/>
          <w:color w:val="000000" w:themeColor="text1"/>
          <w:sz w:val="20"/>
        </w:rPr>
        <w:t xml:space="preserve"> proinflačně</w:t>
      </w:r>
      <w:r w:rsidRPr="00AB6E06">
        <w:rPr>
          <w:rFonts w:ascii="Calibri" w:hAnsi="Calibri" w:cs="Calibri"/>
          <w:bCs/>
          <w:color w:val="000000" w:themeColor="text1"/>
          <w:sz w:val="20"/>
        </w:rPr>
        <w:t xml:space="preserve"> na </w:t>
      </w:r>
      <w:r w:rsidR="007B661B" w:rsidRPr="00AB6E06">
        <w:rPr>
          <w:rFonts w:ascii="Calibri" w:hAnsi="Calibri" w:cs="Calibri"/>
          <w:bCs/>
          <w:color w:val="000000" w:themeColor="text1"/>
          <w:sz w:val="20"/>
        </w:rPr>
        <w:t>jádrov</w:t>
      </w:r>
      <w:r w:rsidRPr="00AB6E06">
        <w:rPr>
          <w:rFonts w:ascii="Calibri" w:hAnsi="Calibri" w:cs="Calibri"/>
          <w:bCs/>
          <w:color w:val="000000" w:themeColor="text1"/>
          <w:sz w:val="20"/>
        </w:rPr>
        <w:t>ou</w:t>
      </w:r>
      <w:r w:rsidR="007B661B" w:rsidRPr="00AB6E06">
        <w:rPr>
          <w:rFonts w:ascii="Calibri" w:hAnsi="Calibri" w:cs="Calibri"/>
          <w:bCs/>
          <w:color w:val="000000" w:themeColor="text1"/>
          <w:sz w:val="20"/>
        </w:rPr>
        <w:t xml:space="preserve"> inflac</w:t>
      </w:r>
      <w:r w:rsidRPr="00AB6E06">
        <w:rPr>
          <w:rFonts w:ascii="Calibri" w:hAnsi="Calibri" w:cs="Calibri"/>
          <w:bCs/>
          <w:color w:val="000000" w:themeColor="text1"/>
          <w:sz w:val="20"/>
        </w:rPr>
        <w:t>i</w:t>
      </w:r>
      <w:r w:rsidR="007B661B" w:rsidRPr="00AB6E06">
        <w:rPr>
          <w:rFonts w:ascii="Calibri" w:hAnsi="Calibri" w:cs="Calibri"/>
          <w:bCs/>
          <w:color w:val="000000" w:themeColor="text1"/>
          <w:sz w:val="20"/>
        </w:rPr>
        <w:t>.</w:t>
      </w:r>
      <w:r w:rsidR="00FA65D3" w:rsidRPr="00AB6E06">
        <w:rPr>
          <w:rFonts w:ascii="Calibri" w:hAnsi="Calibri" w:cs="Calibri"/>
          <w:bCs/>
          <w:color w:val="000000" w:themeColor="text1"/>
          <w:sz w:val="20"/>
        </w:rPr>
        <w:t xml:space="preserve"> Na druhou stranu za horizontem predikce lze vnímat riziko opožděného možného zavedení ETS2. </w:t>
      </w:r>
    </w:p>
    <w:p w14:paraId="35193ED8" w14:textId="188A050D" w:rsidR="00AB6E06" w:rsidRPr="003F762E" w:rsidRDefault="00AB6E06" w:rsidP="00A246E9">
      <w:pPr>
        <w:pStyle w:val="Normlnweb"/>
        <w:spacing w:after="120"/>
        <w:jc w:val="both"/>
        <w:rPr>
          <w:rFonts w:ascii="Calibri" w:hAnsi="Calibri" w:cs="Calibri"/>
          <w:bCs/>
          <w:color w:val="000000" w:themeColor="text1"/>
          <w:sz w:val="20"/>
        </w:rPr>
      </w:pPr>
      <w:r w:rsidRPr="00BB764D">
        <w:rPr>
          <w:rFonts w:ascii="Calibri" w:hAnsi="Calibri" w:cs="Calibri"/>
          <w:bCs/>
          <w:color w:val="000000" w:themeColor="text1"/>
          <w:sz w:val="20"/>
        </w:rPr>
        <w:t>Trh práce by měl zůstat relativně stabilní. Průměrná míra registrované nezaměstnanosti by měla letos dosáhnout 4,8 % a v</w:t>
      </w:r>
      <w:r w:rsidR="00A246E9">
        <w:rPr>
          <w:rFonts w:ascii="Calibri" w:hAnsi="Calibri" w:cs="Calibri"/>
          <w:bCs/>
          <w:color w:val="000000" w:themeColor="text1"/>
          <w:sz w:val="20"/>
        </w:rPr>
        <w:t> </w:t>
      </w:r>
      <w:r w:rsidRPr="00BB764D">
        <w:rPr>
          <w:rFonts w:ascii="Calibri" w:hAnsi="Calibri" w:cs="Calibri"/>
          <w:bCs/>
          <w:color w:val="000000" w:themeColor="text1"/>
          <w:sz w:val="20"/>
        </w:rPr>
        <w:t xml:space="preserve">roce 2027 mírně </w:t>
      </w:r>
      <w:r w:rsidRPr="003F762E">
        <w:rPr>
          <w:rFonts w:ascii="Calibri" w:hAnsi="Calibri" w:cs="Calibri"/>
          <w:bCs/>
          <w:color w:val="000000" w:themeColor="text1"/>
          <w:sz w:val="20"/>
        </w:rPr>
        <w:t>klesnout na 4,7 %. Prognóza tak ani přes slabší ekonomický růst nepředpokládá výraznější zhoršení trhu prác</w:t>
      </w:r>
      <w:r w:rsidR="001764B6" w:rsidRPr="003F762E">
        <w:rPr>
          <w:rFonts w:ascii="Calibri" w:hAnsi="Calibri" w:cs="Calibri"/>
          <w:bCs/>
          <w:color w:val="000000" w:themeColor="text1"/>
          <w:sz w:val="20"/>
        </w:rPr>
        <w:t>e, naopak jeho pozvolné uvolnění.</w:t>
      </w:r>
    </w:p>
    <w:p w14:paraId="37670778" w14:textId="66192E7B" w:rsidR="00A1698B" w:rsidRDefault="00AB6E06" w:rsidP="00A1698B">
      <w:pPr>
        <w:spacing w:after="120"/>
        <w:rPr>
          <w:rFonts w:ascii="Calibri" w:eastAsia="Calibri" w:hAnsi="Calibri" w:cs="Calibri"/>
          <w:b/>
          <w:color w:val="13576B"/>
          <w:sz w:val="22"/>
          <w:szCs w:val="28"/>
        </w:rPr>
      </w:pPr>
      <w:r w:rsidRPr="003F762E">
        <w:rPr>
          <w:rFonts w:ascii="Calibri" w:eastAsia="Calibri" w:hAnsi="Calibri" w:cs="Calibri"/>
          <w:b/>
          <w:color w:val="13576B"/>
          <w:sz w:val="22"/>
          <w:szCs w:val="28"/>
        </w:rPr>
        <w:t>Vyšší inflace se promítá</w:t>
      </w:r>
      <w:r>
        <w:rPr>
          <w:rFonts w:ascii="Calibri" w:eastAsia="Calibri" w:hAnsi="Calibri" w:cs="Calibri"/>
          <w:b/>
          <w:color w:val="13576B"/>
          <w:sz w:val="22"/>
          <w:szCs w:val="28"/>
        </w:rPr>
        <w:t xml:space="preserve"> do rizika nárůstu úrokové sazby ČNB</w:t>
      </w:r>
    </w:p>
    <w:bookmarkEnd w:id="1"/>
    <w:p w14:paraId="4314FFFB" w14:textId="6222BE24" w:rsidR="00BB764D" w:rsidRPr="00BB764D" w:rsidRDefault="00BB764D" w:rsidP="00BB764D">
      <w:pPr>
        <w:spacing w:after="120"/>
        <w:rPr>
          <w:rFonts w:ascii="Calibri" w:hAnsi="Calibri" w:cs="Calibri"/>
          <w:bCs/>
          <w:color w:val="000000" w:themeColor="text1"/>
          <w:sz w:val="20"/>
        </w:rPr>
      </w:pPr>
      <w:r w:rsidRPr="00BB764D">
        <w:rPr>
          <w:rFonts w:ascii="Calibri" w:hAnsi="Calibri" w:cs="Calibri"/>
          <w:bCs/>
          <w:color w:val="000000" w:themeColor="text1"/>
          <w:sz w:val="20"/>
        </w:rPr>
        <w:lastRenderedPageBreak/>
        <w:t xml:space="preserve">V oblasti měnové politiky prognostický panel nadále v mediánu očekává stabilitu základní sazby ČNB na úrovni 3,50 % na konci letošního i příštího roku. Rozložení názorů panelu je však posunuto směrem k vyšším sazbám. Téměř polovina </w:t>
      </w:r>
      <w:proofErr w:type="spellStart"/>
      <w:r w:rsidRPr="00BB764D">
        <w:rPr>
          <w:rFonts w:ascii="Calibri" w:hAnsi="Calibri" w:cs="Calibri"/>
          <w:bCs/>
          <w:color w:val="000000" w:themeColor="text1"/>
          <w:sz w:val="20"/>
        </w:rPr>
        <w:t>panelistů</w:t>
      </w:r>
      <w:proofErr w:type="spellEnd"/>
      <w:r w:rsidRPr="00BB764D">
        <w:rPr>
          <w:rFonts w:ascii="Calibri" w:hAnsi="Calibri" w:cs="Calibri"/>
          <w:bCs/>
          <w:color w:val="000000" w:themeColor="text1"/>
          <w:sz w:val="20"/>
        </w:rPr>
        <w:t xml:space="preserve"> pro letošní rok připouští zvýšení sazeb do pásma 3,75–4,00 %, což reflektuje vyšší a setrvalejší domácí inflační tlaky</w:t>
      </w:r>
      <w:r w:rsidR="00AB6E06">
        <w:rPr>
          <w:rFonts w:ascii="Calibri" w:hAnsi="Calibri" w:cs="Calibri"/>
          <w:bCs/>
          <w:color w:val="000000" w:themeColor="text1"/>
          <w:sz w:val="20"/>
        </w:rPr>
        <w:t xml:space="preserve">, ale i dopad </w:t>
      </w:r>
      <w:r w:rsidR="00A246E9">
        <w:rPr>
          <w:rFonts w:ascii="Calibri" w:hAnsi="Calibri" w:cs="Calibri"/>
          <w:bCs/>
          <w:color w:val="000000" w:themeColor="text1"/>
          <w:sz w:val="20"/>
        </w:rPr>
        <w:t>í</w:t>
      </w:r>
      <w:r w:rsidR="00AB6E06">
        <w:rPr>
          <w:rFonts w:ascii="Calibri" w:hAnsi="Calibri" w:cs="Calibri"/>
          <w:bCs/>
          <w:color w:val="000000" w:themeColor="text1"/>
          <w:sz w:val="20"/>
        </w:rPr>
        <w:t>ránské války</w:t>
      </w:r>
      <w:r w:rsidRPr="00BB764D">
        <w:rPr>
          <w:rFonts w:ascii="Calibri" w:hAnsi="Calibri" w:cs="Calibri"/>
          <w:bCs/>
          <w:color w:val="000000" w:themeColor="text1"/>
          <w:sz w:val="20"/>
        </w:rPr>
        <w:t>. Rizika měnové politiky tak zůstávají vychýlena směrem k přísnějšímu nastavení, zejména kvůli přetrvávajícím nabídkovým šokům, vyšší inflaci</w:t>
      </w:r>
      <w:r w:rsidR="00A246E9">
        <w:rPr>
          <w:rFonts w:ascii="Calibri" w:hAnsi="Calibri" w:cs="Calibri"/>
          <w:bCs/>
          <w:color w:val="000000" w:themeColor="text1"/>
          <w:sz w:val="20"/>
        </w:rPr>
        <w:t xml:space="preserve"> a</w:t>
      </w:r>
      <w:r w:rsidRPr="00BB764D">
        <w:rPr>
          <w:rFonts w:ascii="Calibri" w:hAnsi="Calibri" w:cs="Calibri"/>
          <w:bCs/>
          <w:color w:val="000000" w:themeColor="text1"/>
          <w:sz w:val="20"/>
        </w:rPr>
        <w:t xml:space="preserve"> předpokládanému zvýšení sazeb ECB </w:t>
      </w:r>
      <w:r w:rsidR="00AB6E06">
        <w:rPr>
          <w:rFonts w:ascii="Calibri" w:hAnsi="Calibri" w:cs="Calibri"/>
          <w:bCs/>
          <w:color w:val="000000" w:themeColor="text1"/>
          <w:sz w:val="20"/>
        </w:rPr>
        <w:t>spojeného s r</w:t>
      </w:r>
      <w:r w:rsidRPr="00BB764D">
        <w:rPr>
          <w:rFonts w:ascii="Calibri" w:hAnsi="Calibri" w:cs="Calibri"/>
          <w:bCs/>
          <w:color w:val="000000" w:themeColor="text1"/>
          <w:sz w:val="20"/>
        </w:rPr>
        <w:t>izik</w:t>
      </w:r>
      <w:r w:rsidR="00AB6E06">
        <w:rPr>
          <w:rFonts w:ascii="Calibri" w:hAnsi="Calibri" w:cs="Calibri"/>
          <w:bCs/>
          <w:color w:val="000000" w:themeColor="text1"/>
          <w:sz w:val="20"/>
        </w:rPr>
        <w:t>em</w:t>
      </w:r>
      <w:r w:rsidRPr="00BB764D">
        <w:rPr>
          <w:rFonts w:ascii="Calibri" w:hAnsi="Calibri" w:cs="Calibri"/>
          <w:bCs/>
          <w:color w:val="000000" w:themeColor="text1"/>
          <w:sz w:val="20"/>
        </w:rPr>
        <w:t xml:space="preserve"> slabší koruny.</w:t>
      </w:r>
    </w:p>
    <w:p w14:paraId="5ED4A81C" w14:textId="53F7E443" w:rsidR="007B70F3" w:rsidRDefault="007B70F3" w:rsidP="00BB764D">
      <w:pPr>
        <w:spacing w:after="120"/>
        <w:rPr>
          <w:rFonts w:ascii="Calibri" w:eastAsia="Calibri" w:hAnsi="Calibri" w:cs="Calibri"/>
          <w:b/>
          <w:color w:val="13576B"/>
          <w:sz w:val="22"/>
          <w:szCs w:val="28"/>
        </w:rPr>
      </w:pPr>
      <w:r w:rsidRPr="007B70F3">
        <w:rPr>
          <w:rFonts w:ascii="Calibri" w:eastAsia="Calibri" w:hAnsi="Calibri" w:cs="Calibri"/>
          <w:b/>
          <w:color w:val="13576B"/>
          <w:sz w:val="22"/>
          <w:szCs w:val="28"/>
        </w:rPr>
        <w:t>Bankovní úvěry a vklady</w:t>
      </w:r>
    </w:p>
    <w:p w14:paraId="2B8683EC" w14:textId="0BA32BD9" w:rsidR="00F45B3E" w:rsidRPr="00F45B3E" w:rsidRDefault="00F45B3E" w:rsidP="00F45B3E">
      <w:pPr>
        <w:spacing w:after="120"/>
        <w:rPr>
          <w:rFonts w:ascii="Calibri" w:hAnsi="Calibri" w:cs="Calibri"/>
          <w:bCs/>
          <w:color w:val="000000" w:themeColor="text1"/>
          <w:sz w:val="20"/>
        </w:rPr>
      </w:pPr>
      <w:r w:rsidRPr="00F45B3E">
        <w:rPr>
          <w:rFonts w:ascii="Calibri" w:hAnsi="Calibri" w:cs="Calibri"/>
          <w:bCs/>
          <w:color w:val="000000" w:themeColor="text1"/>
          <w:sz w:val="20"/>
        </w:rPr>
        <w:t xml:space="preserve">Výhled bankovní úvěrové aktivity zůstává navzdory slabšímu makroekonomickému prostředí relativně </w:t>
      </w:r>
      <w:r w:rsidR="00AB6E06">
        <w:rPr>
          <w:rFonts w:ascii="Calibri" w:hAnsi="Calibri" w:cs="Calibri"/>
          <w:bCs/>
          <w:color w:val="000000" w:themeColor="text1"/>
          <w:sz w:val="20"/>
        </w:rPr>
        <w:t>silný</w:t>
      </w:r>
      <w:r w:rsidRPr="00F45B3E">
        <w:rPr>
          <w:rFonts w:ascii="Calibri" w:hAnsi="Calibri" w:cs="Calibri"/>
          <w:bCs/>
          <w:color w:val="000000" w:themeColor="text1"/>
          <w:sz w:val="20"/>
        </w:rPr>
        <w:t>. Prognostický panel očekává růst bankovních úvěrů klientům o 7,2 % v letošním roce a 6,0 % v roce 2027. Tahounem nadále zůstávají úvěry domácnostem, jejichž dynamika by měla letos dosáhnout 8,2 % a v příštím roce zvolnit na 7,5 %. To odráží pokračující oživení hypotečního trhu</w:t>
      </w:r>
      <w:r w:rsidR="00D414DA">
        <w:rPr>
          <w:rFonts w:ascii="Calibri" w:hAnsi="Calibri" w:cs="Calibri"/>
          <w:bCs/>
          <w:color w:val="000000" w:themeColor="text1"/>
          <w:sz w:val="20"/>
        </w:rPr>
        <w:t>, který na úvod letošního roku vykázal siln</w:t>
      </w:r>
      <w:r w:rsidR="00A246E9">
        <w:rPr>
          <w:rFonts w:ascii="Calibri" w:hAnsi="Calibri" w:cs="Calibri"/>
          <w:bCs/>
          <w:color w:val="000000" w:themeColor="text1"/>
          <w:sz w:val="20"/>
        </w:rPr>
        <w:t>ou</w:t>
      </w:r>
      <w:r w:rsidR="00D414DA">
        <w:rPr>
          <w:rFonts w:ascii="Calibri" w:hAnsi="Calibri" w:cs="Calibri"/>
          <w:bCs/>
          <w:color w:val="000000" w:themeColor="text1"/>
          <w:sz w:val="20"/>
        </w:rPr>
        <w:t xml:space="preserve"> dynamiku kvůli předzásobení se před přísnějšími kritérii ČNB pro tzv. investiční hypotéky a také předzásobení se nižšími úrokovými sazbami s ohledem na výrazný růst tržních úrokových sazeb. Do očekávané silnější úvěrové dynamiky domácností se ale promítá i </w:t>
      </w:r>
      <w:r w:rsidR="00AB6E06">
        <w:rPr>
          <w:rFonts w:ascii="Calibri" w:hAnsi="Calibri" w:cs="Calibri"/>
          <w:bCs/>
          <w:color w:val="000000" w:themeColor="text1"/>
          <w:sz w:val="20"/>
        </w:rPr>
        <w:t>silnějš</w:t>
      </w:r>
      <w:r w:rsidR="00D414DA">
        <w:rPr>
          <w:rFonts w:ascii="Calibri" w:hAnsi="Calibri" w:cs="Calibri"/>
          <w:bCs/>
          <w:color w:val="000000" w:themeColor="text1"/>
          <w:sz w:val="20"/>
        </w:rPr>
        <w:t>í</w:t>
      </w:r>
      <w:r w:rsidR="00AB6E06">
        <w:rPr>
          <w:rFonts w:ascii="Calibri" w:hAnsi="Calibri" w:cs="Calibri"/>
          <w:bCs/>
          <w:color w:val="000000" w:themeColor="text1"/>
          <w:sz w:val="20"/>
        </w:rPr>
        <w:t xml:space="preserve"> růst</w:t>
      </w:r>
      <w:r w:rsidR="00D414DA">
        <w:rPr>
          <w:rFonts w:ascii="Calibri" w:hAnsi="Calibri" w:cs="Calibri"/>
          <w:bCs/>
          <w:color w:val="000000" w:themeColor="text1"/>
          <w:sz w:val="20"/>
        </w:rPr>
        <w:t xml:space="preserve"> </w:t>
      </w:r>
      <w:r w:rsidR="00AB6E06">
        <w:rPr>
          <w:rFonts w:ascii="Calibri" w:hAnsi="Calibri" w:cs="Calibri"/>
          <w:bCs/>
          <w:color w:val="000000" w:themeColor="text1"/>
          <w:sz w:val="20"/>
        </w:rPr>
        <w:t xml:space="preserve">spotřebních úvěrů. </w:t>
      </w:r>
      <w:r w:rsidRPr="00F45B3E">
        <w:rPr>
          <w:rFonts w:ascii="Calibri" w:hAnsi="Calibri" w:cs="Calibri"/>
          <w:bCs/>
          <w:color w:val="000000" w:themeColor="text1"/>
          <w:sz w:val="20"/>
        </w:rPr>
        <w:t xml:space="preserve"> </w:t>
      </w:r>
    </w:p>
    <w:p w14:paraId="1C491C72" w14:textId="3BAB0F64" w:rsidR="000D2DCD" w:rsidRPr="00F45B3E" w:rsidRDefault="00F45B3E" w:rsidP="00AB6E06">
      <w:pPr>
        <w:spacing w:after="120"/>
        <w:rPr>
          <w:rFonts w:ascii="Calibri" w:hAnsi="Calibri" w:cs="Calibri"/>
          <w:bCs/>
          <w:color w:val="EE0000"/>
          <w:sz w:val="20"/>
        </w:rPr>
      </w:pPr>
      <w:r w:rsidRPr="00F45B3E">
        <w:rPr>
          <w:rFonts w:ascii="Calibri" w:hAnsi="Calibri" w:cs="Calibri"/>
          <w:bCs/>
          <w:color w:val="000000" w:themeColor="text1"/>
          <w:sz w:val="20"/>
        </w:rPr>
        <w:t xml:space="preserve">Úvěrování nefinančních podniků by mělo letos zrychlit na 5,9 % po slabším loňském roce. Prognóza tak počítá s postupným návratem investiční aktivity podniků a silnější poptávkou po financování. V roce 2027 by se však růst bankovních úvěrů měl </w:t>
      </w:r>
      <w:r w:rsidR="00AB6E06">
        <w:rPr>
          <w:rFonts w:ascii="Calibri" w:hAnsi="Calibri" w:cs="Calibri"/>
          <w:bCs/>
          <w:color w:val="000000" w:themeColor="text1"/>
          <w:sz w:val="20"/>
        </w:rPr>
        <w:t xml:space="preserve">mírně zpomalit na 5,6 % z důvodu slabší investiční aktivity. </w:t>
      </w:r>
    </w:p>
    <w:p w14:paraId="19F75569" w14:textId="1122629C" w:rsidR="007B70F3" w:rsidRPr="00914F70" w:rsidRDefault="00AF28AD" w:rsidP="000171EA">
      <w:pPr>
        <w:jc w:val="left"/>
        <w:rPr>
          <w:rFonts w:ascii="Calibri" w:hAnsi="Calibri" w:cs="Calibri"/>
          <w:color w:val="FF0000"/>
          <w:sz w:val="20"/>
        </w:rPr>
      </w:pPr>
      <w:r>
        <w:rPr>
          <w:rFonts w:ascii="Calibri" w:hAnsi="Calibri" w:cs="Calibri"/>
          <w:noProof/>
          <w:color w:val="FF0000"/>
          <w:sz w:val="20"/>
        </w:rPr>
        <w:drawing>
          <wp:inline distT="0" distB="0" distL="0" distR="0" wp14:anchorId="3C9321F8" wp14:editId="69E53A1A">
            <wp:extent cx="3281869" cy="2273935"/>
            <wp:effectExtent l="0" t="0" r="0" b="0"/>
            <wp:docPr id="154466657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94344" cy="2282578"/>
                    </a:xfrm>
                    <a:prstGeom prst="rect">
                      <a:avLst/>
                    </a:prstGeom>
                    <a:noFill/>
                  </pic:spPr>
                </pic:pic>
              </a:graphicData>
            </a:graphic>
          </wp:inline>
        </w:drawing>
      </w:r>
      <w:r>
        <w:rPr>
          <w:rFonts w:ascii="Calibri" w:hAnsi="Calibri" w:cs="Calibri"/>
          <w:color w:val="FF0000"/>
          <w:sz w:val="20"/>
        </w:rPr>
        <w:t xml:space="preserve">   </w:t>
      </w:r>
      <w:r>
        <w:rPr>
          <w:rFonts w:ascii="Calibri" w:hAnsi="Calibri" w:cs="Calibri"/>
          <w:noProof/>
          <w:color w:val="FF0000"/>
          <w:sz w:val="20"/>
        </w:rPr>
        <w:drawing>
          <wp:inline distT="0" distB="0" distL="0" distR="0" wp14:anchorId="0A74D352" wp14:editId="049D83E6">
            <wp:extent cx="2857500" cy="2277637"/>
            <wp:effectExtent l="0" t="0" r="0" b="8890"/>
            <wp:docPr id="28515780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9005" cy="2294778"/>
                    </a:xfrm>
                    <a:prstGeom prst="rect">
                      <a:avLst/>
                    </a:prstGeom>
                    <a:noFill/>
                  </pic:spPr>
                </pic:pic>
              </a:graphicData>
            </a:graphic>
          </wp:inline>
        </w:drawing>
      </w:r>
      <w:r w:rsidR="000D2DCD">
        <w:rPr>
          <w:rFonts w:ascii="Calibri" w:hAnsi="Calibri" w:cs="Calibri"/>
          <w:color w:val="FF0000"/>
          <w:sz w:val="20"/>
        </w:rPr>
        <w:t xml:space="preserve">    </w:t>
      </w:r>
    </w:p>
    <w:p w14:paraId="4094574A" w14:textId="3C5B817A" w:rsidR="007B70F3" w:rsidRPr="00806391" w:rsidRDefault="007B70F3" w:rsidP="007B70F3">
      <w:pPr>
        <w:spacing w:after="120"/>
        <w:rPr>
          <w:rFonts w:ascii="Calibri" w:hAnsi="Calibri" w:cs="Calibri"/>
          <w:bCs/>
          <w:color w:val="13576B"/>
          <w:szCs w:val="18"/>
        </w:rPr>
      </w:pPr>
      <w:r>
        <w:rPr>
          <w:rFonts w:ascii="Calibri" w:hAnsi="Calibri" w:cs="Calibri"/>
          <w:bCs/>
          <w:color w:val="13576B"/>
          <w:szCs w:val="18"/>
        </w:rPr>
        <w:t>Pramen</w:t>
      </w:r>
      <w:r w:rsidRPr="00806391">
        <w:rPr>
          <w:rFonts w:ascii="Calibri" w:hAnsi="Calibri" w:cs="Calibri"/>
          <w:bCs/>
          <w:color w:val="13576B"/>
          <w:szCs w:val="18"/>
        </w:rPr>
        <w:t>: ČNB, ČBA (sezónní očištění)</w:t>
      </w:r>
    </w:p>
    <w:p w14:paraId="1DE692F8" w14:textId="77777777" w:rsidR="0010372D" w:rsidRDefault="0010372D" w:rsidP="00A1698B">
      <w:pPr>
        <w:spacing w:after="120"/>
        <w:rPr>
          <w:rFonts w:ascii="Calibri" w:eastAsia="Calibri" w:hAnsi="Calibri" w:cs="Calibri"/>
          <w:b/>
          <w:color w:val="13576B"/>
          <w:sz w:val="22"/>
          <w:szCs w:val="28"/>
        </w:rPr>
      </w:pPr>
    </w:p>
    <w:p w14:paraId="439A8F15" w14:textId="16ED0507" w:rsidR="003C7CA9" w:rsidRDefault="0010372D" w:rsidP="00A1698B">
      <w:pPr>
        <w:spacing w:after="120"/>
        <w:rPr>
          <w:rFonts w:ascii="Calibri" w:eastAsia="Calibri" w:hAnsi="Calibri" w:cs="Calibri"/>
          <w:b/>
          <w:color w:val="13576B"/>
          <w:sz w:val="22"/>
          <w:szCs w:val="28"/>
        </w:rPr>
      </w:pPr>
      <w:r>
        <w:rPr>
          <w:rFonts w:ascii="Calibri" w:eastAsia="Calibri" w:hAnsi="Calibri" w:cs="Calibri"/>
          <w:b/>
          <w:color w:val="13576B"/>
          <w:sz w:val="22"/>
          <w:szCs w:val="28"/>
        </w:rPr>
        <w:t>Navzdory pomalejšímu růstu ekonomika nadále</w:t>
      </w:r>
      <w:r w:rsidR="00DD759F" w:rsidRPr="00DD759F">
        <w:rPr>
          <w:rFonts w:ascii="Calibri" w:eastAsia="Calibri" w:hAnsi="Calibri" w:cs="Calibri"/>
          <w:b/>
          <w:color w:val="13576B"/>
          <w:sz w:val="22"/>
          <w:szCs w:val="28"/>
        </w:rPr>
        <w:t xml:space="preserve"> tlumí mezinárodní regionální rozdíly</w:t>
      </w:r>
    </w:p>
    <w:p w14:paraId="5DAAEFA9" w14:textId="40471CEA" w:rsidR="001202B4" w:rsidRDefault="009104D4" w:rsidP="001202B4">
      <w:pPr>
        <w:rPr>
          <w:rFonts w:ascii="Calibri" w:eastAsia="Calibri" w:hAnsi="Calibri" w:cs="Calibri"/>
          <w:bCs/>
          <w:color w:val="13576B"/>
          <w:sz w:val="20"/>
          <w:szCs w:val="24"/>
        </w:rPr>
      </w:pPr>
      <w:r>
        <w:rPr>
          <w:rFonts w:ascii="Calibri" w:eastAsia="Calibri" w:hAnsi="Calibri" w:cs="Calibri"/>
          <w:bCs/>
          <w:noProof/>
          <w:color w:val="13576B"/>
          <w:sz w:val="20"/>
          <w:szCs w:val="24"/>
        </w:rPr>
        <w:drawing>
          <wp:inline distT="0" distB="0" distL="0" distR="0" wp14:anchorId="559D4E51" wp14:editId="240477A9">
            <wp:extent cx="3173730" cy="2083135"/>
            <wp:effectExtent l="0" t="0" r="7620" b="0"/>
            <wp:docPr id="5121797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4776" cy="2090385"/>
                    </a:xfrm>
                    <a:prstGeom prst="rect">
                      <a:avLst/>
                    </a:prstGeom>
                    <a:noFill/>
                  </pic:spPr>
                </pic:pic>
              </a:graphicData>
            </a:graphic>
          </wp:inline>
        </w:drawing>
      </w:r>
      <w:r w:rsidR="001202B4">
        <w:rPr>
          <w:rFonts w:ascii="Calibri" w:eastAsia="Calibri" w:hAnsi="Calibri" w:cs="Calibri"/>
          <w:bCs/>
          <w:color w:val="13576B"/>
          <w:sz w:val="20"/>
          <w:szCs w:val="24"/>
        </w:rPr>
        <w:t xml:space="preserve"> </w:t>
      </w:r>
      <w:r>
        <w:rPr>
          <w:rFonts w:ascii="Calibri" w:eastAsia="Calibri" w:hAnsi="Calibri" w:cs="Calibri"/>
          <w:bCs/>
          <w:noProof/>
          <w:color w:val="13576B"/>
          <w:sz w:val="20"/>
          <w:szCs w:val="24"/>
        </w:rPr>
        <w:drawing>
          <wp:inline distT="0" distB="0" distL="0" distR="0" wp14:anchorId="638ECBF1" wp14:editId="4BBF312C">
            <wp:extent cx="3199855" cy="2108782"/>
            <wp:effectExtent l="0" t="0" r="635" b="6350"/>
            <wp:docPr id="13163525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5173" cy="2118877"/>
                    </a:xfrm>
                    <a:prstGeom prst="rect">
                      <a:avLst/>
                    </a:prstGeom>
                    <a:noFill/>
                  </pic:spPr>
                </pic:pic>
              </a:graphicData>
            </a:graphic>
          </wp:inline>
        </w:drawing>
      </w:r>
    </w:p>
    <w:p w14:paraId="5AEDE564" w14:textId="3644362E" w:rsidR="001E07DA" w:rsidRDefault="001202B4" w:rsidP="001202B4">
      <w:pPr>
        <w:spacing w:after="120"/>
        <w:rPr>
          <w:rFonts w:ascii="Calibri" w:hAnsi="Calibri" w:cs="Calibri"/>
          <w:bCs/>
          <w:color w:val="13576B"/>
          <w:szCs w:val="18"/>
        </w:rPr>
      </w:pPr>
      <w:r w:rsidRPr="00806391">
        <w:rPr>
          <w:rFonts w:ascii="Calibri" w:hAnsi="Calibri" w:cs="Calibri"/>
          <w:bCs/>
          <w:color w:val="13576B"/>
          <w:szCs w:val="18"/>
        </w:rPr>
        <w:t xml:space="preserve">Pramen: </w:t>
      </w:r>
      <w:proofErr w:type="spellStart"/>
      <w:r>
        <w:rPr>
          <w:rFonts w:ascii="Calibri" w:hAnsi="Calibri" w:cs="Calibri"/>
          <w:bCs/>
          <w:color w:val="13576B"/>
          <w:szCs w:val="18"/>
        </w:rPr>
        <w:t>Macrobond</w:t>
      </w:r>
      <w:proofErr w:type="spellEnd"/>
      <w:r w:rsidRPr="00806391">
        <w:rPr>
          <w:rFonts w:ascii="Calibri" w:hAnsi="Calibri" w:cs="Calibri"/>
          <w:bCs/>
          <w:color w:val="13576B"/>
          <w:szCs w:val="18"/>
        </w:rPr>
        <w:t xml:space="preserve">, </w:t>
      </w:r>
      <w:proofErr w:type="spellStart"/>
      <w:r w:rsidRPr="00806391">
        <w:rPr>
          <w:rFonts w:ascii="Calibri" w:hAnsi="Calibri" w:cs="Calibri"/>
          <w:bCs/>
          <w:color w:val="13576B"/>
          <w:szCs w:val="18"/>
        </w:rPr>
        <w:t>Consensus</w:t>
      </w:r>
      <w:proofErr w:type="spellEnd"/>
      <w:r w:rsidRPr="00806391">
        <w:rPr>
          <w:rFonts w:ascii="Calibri" w:hAnsi="Calibri" w:cs="Calibri"/>
          <w:bCs/>
          <w:color w:val="13576B"/>
          <w:szCs w:val="18"/>
        </w:rPr>
        <w:t xml:space="preserve"> </w:t>
      </w:r>
      <w:proofErr w:type="spellStart"/>
      <w:r w:rsidRPr="00806391">
        <w:rPr>
          <w:rFonts w:ascii="Calibri" w:hAnsi="Calibri" w:cs="Calibri"/>
          <w:bCs/>
          <w:color w:val="13576B"/>
          <w:szCs w:val="18"/>
        </w:rPr>
        <w:t>Economics</w:t>
      </w:r>
      <w:proofErr w:type="spellEnd"/>
      <w:r w:rsidRPr="00806391">
        <w:rPr>
          <w:rFonts w:ascii="Calibri" w:hAnsi="Calibri" w:cs="Calibri"/>
          <w:bCs/>
          <w:color w:val="13576B"/>
          <w:szCs w:val="18"/>
        </w:rPr>
        <w:t xml:space="preserve">, ČNB, Prognóza ČBA </w:t>
      </w:r>
      <w:r w:rsidRPr="00806391">
        <w:rPr>
          <w:rFonts w:ascii="Calibri" w:hAnsi="Calibri" w:cs="Calibri"/>
          <w:bCs/>
          <w:color w:val="13576B"/>
          <w:szCs w:val="18"/>
        </w:rPr>
        <w:tab/>
        <w:t xml:space="preserve">    Pramen: </w:t>
      </w:r>
      <w:proofErr w:type="spellStart"/>
      <w:r>
        <w:rPr>
          <w:rFonts w:ascii="Calibri" w:hAnsi="Calibri" w:cs="Calibri"/>
          <w:bCs/>
          <w:color w:val="13576B"/>
          <w:szCs w:val="18"/>
        </w:rPr>
        <w:t>Macrobond</w:t>
      </w:r>
      <w:proofErr w:type="spellEnd"/>
      <w:r w:rsidRPr="00806391">
        <w:rPr>
          <w:rFonts w:ascii="Calibri" w:hAnsi="Calibri" w:cs="Calibri"/>
          <w:bCs/>
          <w:color w:val="13576B"/>
          <w:szCs w:val="18"/>
        </w:rPr>
        <w:t xml:space="preserve">, </w:t>
      </w:r>
      <w:proofErr w:type="spellStart"/>
      <w:r w:rsidRPr="00806391">
        <w:rPr>
          <w:rFonts w:ascii="Calibri" w:hAnsi="Calibri" w:cs="Calibri"/>
          <w:bCs/>
          <w:color w:val="13576B"/>
          <w:szCs w:val="18"/>
        </w:rPr>
        <w:t>Consensus</w:t>
      </w:r>
      <w:proofErr w:type="spellEnd"/>
      <w:r w:rsidRPr="00806391">
        <w:rPr>
          <w:rFonts w:ascii="Calibri" w:hAnsi="Calibri" w:cs="Calibri"/>
          <w:bCs/>
          <w:color w:val="13576B"/>
          <w:szCs w:val="18"/>
        </w:rPr>
        <w:t xml:space="preserve"> </w:t>
      </w:r>
      <w:proofErr w:type="spellStart"/>
      <w:r w:rsidRPr="00806391">
        <w:rPr>
          <w:rFonts w:ascii="Calibri" w:hAnsi="Calibri" w:cs="Calibri"/>
          <w:bCs/>
          <w:color w:val="13576B"/>
          <w:szCs w:val="18"/>
        </w:rPr>
        <w:t>Economics</w:t>
      </w:r>
      <w:proofErr w:type="spellEnd"/>
      <w:r w:rsidRPr="00806391">
        <w:rPr>
          <w:rFonts w:ascii="Calibri" w:hAnsi="Calibri" w:cs="Calibri"/>
          <w:bCs/>
          <w:color w:val="13576B"/>
          <w:szCs w:val="18"/>
        </w:rPr>
        <w:t>, ČNB, Prognóza ČBA</w:t>
      </w:r>
    </w:p>
    <w:p w14:paraId="72817C91" w14:textId="77777777" w:rsidR="003F762E" w:rsidRDefault="003F762E" w:rsidP="001E07DA">
      <w:pPr>
        <w:rPr>
          <w:rFonts w:ascii="Calibri" w:eastAsia="Calibri" w:hAnsi="Calibri" w:cs="Calibri"/>
          <w:b/>
          <w:color w:val="13576B"/>
          <w:sz w:val="22"/>
          <w:szCs w:val="28"/>
        </w:rPr>
      </w:pPr>
    </w:p>
    <w:p w14:paraId="74453227" w14:textId="77777777" w:rsidR="004C5920" w:rsidRPr="001E07DA" w:rsidRDefault="004C5920" w:rsidP="004C5920">
      <w:pPr>
        <w:rPr>
          <w:rFonts w:ascii="Calibri" w:eastAsia="Calibri" w:hAnsi="Calibri" w:cs="Calibri"/>
          <w:b/>
          <w:color w:val="13576B"/>
          <w:sz w:val="22"/>
          <w:szCs w:val="28"/>
        </w:rPr>
      </w:pPr>
      <w:r w:rsidRPr="001E07DA">
        <w:rPr>
          <w:rFonts w:ascii="Calibri" w:eastAsia="Calibri" w:hAnsi="Calibri" w:cs="Calibri"/>
          <w:b/>
          <w:color w:val="13576B"/>
          <w:sz w:val="22"/>
          <w:szCs w:val="28"/>
        </w:rPr>
        <w:lastRenderedPageBreak/>
        <w:t xml:space="preserve">Výhled české </w:t>
      </w:r>
      <w:r w:rsidRPr="007022D5">
        <w:rPr>
          <w:rFonts w:ascii="Calibri" w:eastAsia="Calibri" w:hAnsi="Calibri" w:cs="Calibri"/>
          <w:b/>
          <w:color w:val="13576B"/>
          <w:sz w:val="22"/>
          <w:szCs w:val="28"/>
        </w:rPr>
        <w:t>ekonomiky v grafech</w:t>
      </w:r>
      <w:r>
        <w:rPr>
          <w:rFonts w:ascii="Calibri" w:eastAsia="Calibri" w:hAnsi="Calibri" w:cs="Calibri"/>
          <w:b/>
          <w:color w:val="EE0000"/>
          <w:sz w:val="22"/>
          <w:szCs w:val="28"/>
        </w:rPr>
        <w:t xml:space="preserve"> </w:t>
      </w:r>
    </w:p>
    <w:p w14:paraId="1DA1F1D0" w14:textId="77777777" w:rsidR="004C5920" w:rsidRDefault="004C5920" w:rsidP="004C5920">
      <w:pPr>
        <w:rPr>
          <w:noProof/>
        </w:rPr>
      </w:pPr>
      <w:r w:rsidRPr="00293952">
        <w:rPr>
          <w:noProof/>
        </w:rPr>
        <w:drawing>
          <wp:inline distT="0" distB="0" distL="0" distR="0" wp14:anchorId="31AB2B1D" wp14:editId="0EA1D75F">
            <wp:extent cx="3039842" cy="2190750"/>
            <wp:effectExtent l="0" t="0" r="8255" b="0"/>
            <wp:docPr id="190137643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3079" cy="2193083"/>
                    </a:xfrm>
                    <a:prstGeom prst="rect">
                      <a:avLst/>
                    </a:prstGeom>
                    <a:noFill/>
                    <a:ln>
                      <a:noFill/>
                    </a:ln>
                  </pic:spPr>
                </pic:pic>
              </a:graphicData>
            </a:graphic>
          </wp:inline>
        </w:drawing>
      </w:r>
      <w:r>
        <w:rPr>
          <w:noProof/>
        </w:rPr>
        <w:t xml:space="preserve">   </w:t>
      </w:r>
      <w:r w:rsidRPr="00293952">
        <w:rPr>
          <w:noProof/>
        </w:rPr>
        <w:drawing>
          <wp:inline distT="0" distB="0" distL="0" distR="0" wp14:anchorId="71D01733" wp14:editId="5716E880">
            <wp:extent cx="3202623" cy="2200275"/>
            <wp:effectExtent l="0" t="0" r="0" b="0"/>
            <wp:docPr id="2750493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10578" cy="2205740"/>
                    </a:xfrm>
                    <a:prstGeom prst="rect">
                      <a:avLst/>
                    </a:prstGeom>
                    <a:noFill/>
                    <a:ln>
                      <a:noFill/>
                    </a:ln>
                  </pic:spPr>
                </pic:pic>
              </a:graphicData>
            </a:graphic>
          </wp:inline>
        </w:drawing>
      </w:r>
    </w:p>
    <w:p w14:paraId="68C684EA" w14:textId="77777777" w:rsidR="004C5920" w:rsidRDefault="004C5920" w:rsidP="004C5920">
      <w:pPr>
        <w:rPr>
          <w:noProof/>
        </w:rPr>
      </w:pPr>
      <w:r>
        <w:t xml:space="preserve"> </w:t>
      </w:r>
      <w:r w:rsidRPr="00293952">
        <w:rPr>
          <w:noProof/>
        </w:rPr>
        <w:drawing>
          <wp:inline distT="0" distB="0" distL="0" distR="0" wp14:anchorId="24E262C6" wp14:editId="1BF40B77">
            <wp:extent cx="3009900" cy="2046005"/>
            <wp:effectExtent l="0" t="0" r="0" b="0"/>
            <wp:docPr id="165506481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17045" cy="2050862"/>
                    </a:xfrm>
                    <a:prstGeom prst="rect">
                      <a:avLst/>
                    </a:prstGeom>
                    <a:noFill/>
                    <a:ln>
                      <a:noFill/>
                    </a:ln>
                  </pic:spPr>
                </pic:pic>
              </a:graphicData>
            </a:graphic>
          </wp:inline>
        </w:drawing>
      </w:r>
      <w:r>
        <w:t xml:space="preserve">  </w:t>
      </w:r>
      <w:r>
        <w:rPr>
          <w:noProof/>
        </w:rPr>
        <w:t xml:space="preserve"> </w:t>
      </w:r>
      <w:r w:rsidRPr="00293952">
        <w:rPr>
          <w:noProof/>
        </w:rPr>
        <w:drawing>
          <wp:inline distT="0" distB="0" distL="0" distR="0" wp14:anchorId="7C689D48" wp14:editId="5466D72E">
            <wp:extent cx="3009900" cy="1990425"/>
            <wp:effectExtent l="0" t="0" r="0" b="0"/>
            <wp:docPr id="171441216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5118" cy="2000489"/>
                    </a:xfrm>
                    <a:prstGeom prst="rect">
                      <a:avLst/>
                    </a:prstGeom>
                    <a:noFill/>
                    <a:ln>
                      <a:noFill/>
                    </a:ln>
                  </pic:spPr>
                </pic:pic>
              </a:graphicData>
            </a:graphic>
          </wp:inline>
        </w:drawing>
      </w:r>
    </w:p>
    <w:p w14:paraId="22E5E25F" w14:textId="77777777" w:rsidR="004C5920" w:rsidRDefault="004C5920" w:rsidP="004C5920">
      <w:pPr>
        <w:rPr>
          <w:rFonts w:ascii="Calibri" w:hAnsi="Calibri" w:cs="Calibri"/>
          <w:bCs/>
          <w:color w:val="000000" w:themeColor="text1"/>
          <w:sz w:val="20"/>
        </w:rPr>
      </w:pPr>
      <w:r w:rsidRPr="00293952">
        <w:rPr>
          <w:noProof/>
        </w:rPr>
        <w:drawing>
          <wp:inline distT="0" distB="0" distL="0" distR="0" wp14:anchorId="0859DBA7" wp14:editId="7A4C4445">
            <wp:extent cx="3324225" cy="2161854"/>
            <wp:effectExtent l="0" t="0" r="0" b="0"/>
            <wp:docPr id="80291829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9687" cy="2171909"/>
                    </a:xfrm>
                    <a:prstGeom prst="rect">
                      <a:avLst/>
                    </a:prstGeom>
                    <a:noFill/>
                    <a:ln>
                      <a:noFill/>
                    </a:ln>
                  </pic:spPr>
                </pic:pic>
              </a:graphicData>
            </a:graphic>
          </wp:inline>
        </w:drawing>
      </w:r>
      <w:r w:rsidRPr="00C84D31">
        <w:rPr>
          <w:noProof/>
        </w:rPr>
        <w:t xml:space="preserve">  </w:t>
      </w:r>
      <w:r w:rsidRPr="00293952">
        <w:rPr>
          <w:noProof/>
        </w:rPr>
        <w:drawing>
          <wp:inline distT="0" distB="0" distL="0" distR="0" wp14:anchorId="5AE40A85" wp14:editId="7974691A">
            <wp:extent cx="2996565" cy="2165492"/>
            <wp:effectExtent l="0" t="0" r="0" b="6350"/>
            <wp:docPr id="102922796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01874" cy="2169328"/>
                    </a:xfrm>
                    <a:prstGeom prst="rect">
                      <a:avLst/>
                    </a:prstGeom>
                    <a:noFill/>
                    <a:ln>
                      <a:noFill/>
                    </a:ln>
                  </pic:spPr>
                </pic:pic>
              </a:graphicData>
            </a:graphic>
          </wp:inline>
        </w:drawing>
      </w:r>
      <w:r w:rsidRPr="00806391">
        <w:rPr>
          <w:rFonts w:ascii="Calibri" w:hAnsi="Calibri" w:cs="Calibri"/>
          <w:bCs/>
          <w:color w:val="000000" w:themeColor="text1"/>
          <w:sz w:val="20"/>
        </w:rPr>
        <w:t xml:space="preserve"> </w:t>
      </w:r>
    </w:p>
    <w:p w14:paraId="682A166C" w14:textId="77777777" w:rsidR="004C5920" w:rsidRPr="00293952" w:rsidRDefault="004C5920" w:rsidP="004C5920">
      <w:pPr>
        <w:rPr>
          <w:noProof/>
        </w:rPr>
      </w:pPr>
      <w:r w:rsidRPr="002C575B">
        <w:rPr>
          <w:noProof/>
        </w:rPr>
        <w:lastRenderedPageBreak/>
        <w:drawing>
          <wp:inline distT="0" distB="0" distL="0" distR="0" wp14:anchorId="01F11405" wp14:editId="1899A3D0">
            <wp:extent cx="3164038" cy="2124075"/>
            <wp:effectExtent l="0" t="0" r="0" b="0"/>
            <wp:docPr id="34146280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66630" cy="2125815"/>
                    </a:xfrm>
                    <a:prstGeom prst="rect">
                      <a:avLst/>
                    </a:prstGeom>
                    <a:noFill/>
                    <a:ln>
                      <a:noFill/>
                    </a:ln>
                  </pic:spPr>
                </pic:pic>
              </a:graphicData>
            </a:graphic>
          </wp:inline>
        </w:drawing>
      </w:r>
      <w:r>
        <w:t xml:space="preserve">  </w:t>
      </w:r>
      <w:r w:rsidRPr="007B27C0">
        <w:rPr>
          <w:noProof/>
        </w:rPr>
        <w:t xml:space="preserve"> </w:t>
      </w:r>
      <w:r w:rsidRPr="002C575B">
        <w:rPr>
          <w:noProof/>
        </w:rPr>
        <w:drawing>
          <wp:inline distT="0" distB="0" distL="0" distR="0" wp14:anchorId="592E2B8B" wp14:editId="5B496131">
            <wp:extent cx="3152775" cy="2192812"/>
            <wp:effectExtent l="0" t="0" r="0" b="0"/>
            <wp:docPr id="168156060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70968" cy="2205466"/>
                    </a:xfrm>
                    <a:prstGeom prst="rect">
                      <a:avLst/>
                    </a:prstGeom>
                    <a:noFill/>
                    <a:ln>
                      <a:noFill/>
                    </a:ln>
                  </pic:spPr>
                </pic:pic>
              </a:graphicData>
            </a:graphic>
          </wp:inline>
        </w:drawing>
      </w:r>
    </w:p>
    <w:p w14:paraId="596137BA" w14:textId="3FC64C6B" w:rsidR="00806391" w:rsidRPr="00806391" w:rsidRDefault="00806391" w:rsidP="001E07DA">
      <w:pPr>
        <w:rPr>
          <w:rFonts w:ascii="Calibri" w:hAnsi="Calibri" w:cs="Calibri"/>
          <w:bCs/>
          <w:color w:val="000000" w:themeColor="text1"/>
          <w:sz w:val="20"/>
        </w:rPr>
      </w:pPr>
    </w:p>
    <w:p w14:paraId="76961AE5" w14:textId="6BA3C3DA" w:rsidR="004C5920" w:rsidRDefault="00806391" w:rsidP="00806391">
      <w:pPr>
        <w:spacing w:after="120"/>
        <w:rPr>
          <w:rFonts w:ascii="Calibri" w:hAnsi="Calibri" w:cs="Calibri"/>
          <w:bCs/>
          <w:color w:val="13576B"/>
          <w:szCs w:val="18"/>
        </w:rPr>
      </w:pPr>
      <w:r w:rsidRPr="00806391">
        <w:rPr>
          <w:rFonts w:ascii="Calibri" w:hAnsi="Calibri" w:cs="Calibri"/>
          <w:bCs/>
          <w:color w:val="13576B"/>
          <w:szCs w:val="18"/>
        </w:rPr>
        <w:t xml:space="preserve">Pramen: </w:t>
      </w:r>
      <w:r w:rsidR="000D2DCD" w:rsidRPr="00806391">
        <w:rPr>
          <w:rFonts w:ascii="Calibri" w:hAnsi="Calibri" w:cs="Calibri"/>
          <w:bCs/>
          <w:color w:val="13576B"/>
          <w:szCs w:val="18"/>
        </w:rPr>
        <w:t>Prognóza ČBA</w:t>
      </w:r>
      <w:r w:rsidR="000D2DCD">
        <w:rPr>
          <w:rFonts w:ascii="Calibri" w:hAnsi="Calibri" w:cs="Calibri"/>
          <w:bCs/>
          <w:color w:val="13576B"/>
          <w:szCs w:val="18"/>
        </w:rPr>
        <w:t xml:space="preserve">, </w:t>
      </w:r>
      <w:r w:rsidRPr="00806391">
        <w:rPr>
          <w:rFonts w:ascii="Calibri" w:hAnsi="Calibri" w:cs="Calibri"/>
          <w:bCs/>
          <w:color w:val="13576B"/>
          <w:szCs w:val="18"/>
        </w:rPr>
        <w:t xml:space="preserve">ČSÚ, ČNB, Úřad práce, </w:t>
      </w:r>
      <w:proofErr w:type="spellStart"/>
      <w:r w:rsidR="007022D5">
        <w:rPr>
          <w:rFonts w:ascii="Calibri" w:hAnsi="Calibri" w:cs="Calibri"/>
          <w:bCs/>
          <w:color w:val="13576B"/>
          <w:szCs w:val="18"/>
        </w:rPr>
        <w:t>Macrobond</w:t>
      </w:r>
      <w:proofErr w:type="spellEnd"/>
    </w:p>
    <w:p w14:paraId="55BD7BA9" w14:textId="77777777" w:rsidR="004C5920" w:rsidRDefault="004C5920" w:rsidP="00806391">
      <w:pPr>
        <w:spacing w:after="120"/>
        <w:rPr>
          <w:rFonts w:ascii="Calibri" w:hAnsi="Calibri" w:cs="Calibri"/>
          <w:bCs/>
          <w:color w:val="13576B"/>
          <w:szCs w:val="18"/>
        </w:rPr>
      </w:pPr>
    </w:p>
    <w:p w14:paraId="1D987713" w14:textId="77777777" w:rsidR="004C5920" w:rsidRDefault="004C5920" w:rsidP="00806391">
      <w:pPr>
        <w:spacing w:after="120"/>
        <w:rPr>
          <w:rFonts w:ascii="Calibri" w:hAnsi="Calibri" w:cs="Calibri"/>
          <w:bCs/>
          <w:color w:val="13576B"/>
          <w:szCs w:val="18"/>
        </w:rPr>
      </w:pPr>
    </w:p>
    <w:p w14:paraId="56080FAA" w14:textId="77777777" w:rsidR="004C5920" w:rsidRPr="00806391" w:rsidRDefault="004C5920" w:rsidP="00806391">
      <w:pPr>
        <w:spacing w:after="120"/>
        <w:rPr>
          <w:rFonts w:ascii="Calibri" w:hAnsi="Calibri" w:cs="Calibri"/>
          <w:bCs/>
          <w:color w:val="13576B"/>
          <w:szCs w:val="18"/>
        </w:rPr>
      </w:pPr>
    </w:p>
    <w:p w14:paraId="17CF7A7C" w14:textId="3625EAC7" w:rsidR="005547BF" w:rsidRDefault="003161ED" w:rsidP="00B4285D">
      <w:pPr>
        <w:rPr>
          <w:rFonts w:ascii="Calibri" w:eastAsiaTheme="minorEastAsia" w:hAnsi="Calibri" w:cs="Calibri"/>
        </w:rPr>
      </w:pPr>
      <w:r w:rsidRPr="00C9674F">
        <w:rPr>
          <w:noProof/>
          <w:sz w:val="16"/>
          <w:szCs w:val="16"/>
        </w:rPr>
        <mc:AlternateContent>
          <mc:Choice Requires="wps">
            <w:drawing>
              <wp:anchor distT="0" distB="0" distL="114300" distR="114300" simplePos="0" relativeHeight="251661312" behindDoc="1" locked="0" layoutInCell="1" hidden="0" allowOverlap="1" wp14:anchorId="3801A402" wp14:editId="06FB1357">
                <wp:simplePos x="0" y="0"/>
                <wp:positionH relativeFrom="margin">
                  <wp:align>right</wp:align>
                </wp:positionH>
                <wp:positionV relativeFrom="paragraph">
                  <wp:posOffset>16378</wp:posOffset>
                </wp:positionV>
                <wp:extent cx="6476365" cy="1168842"/>
                <wp:effectExtent l="0" t="0" r="635" b="1270"/>
                <wp:wrapNone/>
                <wp:docPr id="4" name="Obdélník 4"/>
                <wp:cNvGraphicFramePr/>
                <a:graphic xmlns:a="http://schemas.openxmlformats.org/drawingml/2006/main">
                  <a:graphicData uri="http://schemas.microsoft.com/office/word/2010/wordprocessingShape">
                    <wps:wsp>
                      <wps:cNvSpPr/>
                      <wps:spPr>
                        <a:xfrm>
                          <a:off x="0" y="0"/>
                          <a:ext cx="6476365" cy="1168842"/>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313D1E" w14:textId="77777777" w:rsidR="00F37DC9" w:rsidRPr="0073410F" w:rsidRDefault="00F37DC9" w:rsidP="00F37DC9">
                            <w:pPr>
                              <w:spacing w:line="276" w:lineRule="auto"/>
                              <w:rPr>
                                <w:rFonts w:ascii="Calibri" w:hAnsi="Calibri" w:cs="Calibri"/>
                                <w:b/>
                                <w:color w:val="FFFFFF" w:themeColor="background1"/>
                                <w:szCs w:val="18"/>
                              </w:rPr>
                            </w:pPr>
                            <w:bookmarkStart w:id="4" w:name="_Hlk190863040"/>
                            <w:r w:rsidRPr="0073410F">
                              <w:rPr>
                                <w:rFonts w:ascii="Calibri" w:hAnsi="Calibri" w:cs="Calibri"/>
                                <w:b/>
                                <w:color w:val="FFFFFF" w:themeColor="background1"/>
                                <w:szCs w:val="18"/>
                              </w:rPr>
                              <w:t xml:space="preserve">O prognóze ČBA </w:t>
                            </w:r>
                          </w:p>
                          <w:p w14:paraId="77C1A42D" w14:textId="3FBACB94" w:rsidR="00F37DC9" w:rsidRPr="00A55BDD" w:rsidRDefault="00EE7B05" w:rsidP="00DF20C8">
                            <w:pPr>
                              <w:spacing w:line="276" w:lineRule="auto"/>
                              <w:ind w:left="28" w:hanging="28"/>
                              <w:rPr>
                                <w:sz w:val="16"/>
                                <w:szCs w:val="16"/>
                              </w:rPr>
                            </w:pPr>
                            <w:r w:rsidRPr="0073410F">
                              <w:rPr>
                                <w:rFonts w:ascii="Calibri" w:hAnsi="Calibri" w:cs="Calibri"/>
                                <w:color w:val="FFFFFF" w:themeColor="background1"/>
                                <w:szCs w:val="18"/>
                              </w:rPr>
                              <w:t xml:space="preserve">Tato prognóza vznikla na základě příspěvků analytiků </w:t>
                            </w:r>
                            <w:r w:rsidR="00453B4E">
                              <w:rPr>
                                <w:rFonts w:ascii="Calibri" w:hAnsi="Calibri" w:cs="Calibri"/>
                                <w:color w:val="FFFFFF" w:themeColor="background1"/>
                                <w:szCs w:val="18"/>
                              </w:rPr>
                              <w:t>10</w:t>
                            </w:r>
                            <w:r w:rsidRPr="0073410F">
                              <w:rPr>
                                <w:rFonts w:ascii="Calibri" w:hAnsi="Calibri" w:cs="Calibri"/>
                                <w:color w:val="FFFFFF" w:themeColor="background1"/>
                                <w:szCs w:val="18"/>
                              </w:rPr>
                              <w:t xml:space="preserve"> členských bank ČBA: </w:t>
                            </w:r>
                            <w:bookmarkEnd w:id="4"/>
                            <w:r w:rsidR="00DF20C8" w:rsidRPr="00DF20C8">
                              <w:rPr>
                                <w:rFonts w:ascii="Calibri" w:hAnsi="Calibri" w:cs="Calibri"/>
                                <w:color w:val="FFFFFF" w:themeColor="background1"/>
                                <w:szCs w:val="18"/>
                              </w:rPr>
                              <w:t>Petr Dufek (hlavní ekonom, Banka CREDITAS), Jan Bureš (hlavní ekonom</w:t>
                            </w:r>
                            <w:r w:rsidR="00453B4E">
                              <w:rPr>
                                <w:rFonts w:ascii="Calibri" w:hAnsi="Calibri" w:cs="Calibri"/>
                                <w:color w:val="FFFFFF" w:themeColor="background1"/>
                                <w:szCs w:val="18"/>
                              </w:rPr>
                              <w:t xml:space="preserve"> ČSOB</w:t>
                            </w:r>
                            <w:r w:rsidR="00DF20C8" w:rsidRPr="00DF20C8">
                              <w:rPr>
                                <w:rFonts w:ascii="Calibri" w:hAnsi="Calibri" w:cs="Calibri"/>
                                <w:color w:val="FFFFFF" w:themeColor="background1"/>
                                <w:szCs w:val="18"/>
                              </w:rPr>
                              <w:t xml:space="preserve">), Petr Gapko (hlavní ekonom, MONETA Money Bank), </w:t>
                            </w:r>
                            <w:r w:rsidR="005736B5" w:rsidRPr="00DF20C8">
                              <w:rPr>
                                <w:rFonts w:ascii="Calibri" w:hAnsi="Calibri" w:cs="Calibri"/>
                                <w:color w:val="FFFFFF" w:themeColor="background1"/>
                                <w:szCs w:val="18"/>
                              </w:rPr>
                              <w:t>David Havrlant (hlavní ekonom ING)</w:t>
                            </w:r>
                            <w:r w:rsidR="005736B5">
                              <w:rPr>
                                <w:rFonts w:ascii="Calibri" w:hAnsi="Calibri" w:cs="Calibri"/>
                                <w:color w:val="FFFFFF" w:themeColor="background1"/>
                                <w:szCs w:val="18"/>
                              </w:rPr>
                              <w:t xml:space="preserve">, </w:t>
                            </w:r>
                            <w:r w:rsidR="00DF20C8" w:rsidRPr="00DF20C8">
                              <w:rPr>
                                <w:rFonts w:ascii="Calibri" w:hAnsi="Calibri" w:cs="Calibri"/>
                                <w:color w:val="FFFFFF" w:themeColor="background1"/>
                                <w:szCs w:val="18"/>
                              </w:rPr>
                              <w:t xml:space="preserve">Helena Horská a Martin Kron (ekonomický výzkum Raiffeisenbank), </w:t>
                            </w:r>
                            <w:r w:rsidR="00453B4E">
                              <w:rPr>
                                <w:rFonts w:ascii="Calibri" w:hAnsi="Calibri" w:cs="Calibri"/>
                                <w:color w:val="FFFFFF" w:themeColor="background1"/>
                                <w:szCs w:val="18"/>
                              </w:rPr>
                              <w:t>Martin Motl</w:t>
                            </w:r>
                            <w:r w:rsidR="00DF20C8" w:rsidRPr="00DF20C8">
                              <w:rPr>
                                <w:rFonts w:ascii="Calibri" w:hAnsi="Calibri" w:cs="Calibri"/>
                                <w:color w:val="FFFFFF" w:themeColor="background1"/>
                                <w:szCs w:val="18"/>
                              </w:rPr>
                              <w:t xml:space="preserve"> (hlavní ekonom Citibank), </w:t>
                            </w:r>
                            <w:r w:rsidR="00453B4E">
                              <w:rPr>
                                <w:rFonts w:ascii="Calibri" w:hAnsi="Calibri" w:cs="Calibri"/>
                                <w:color w:val="FFFFFF" w:themeColor="background1"/>
                                <w:szCs w:val="18"/>
                              </w:rPr>
                              <w:t xml:space="preserve">Adam Ruschka (ekonom J&amp;T banky), </w:t>
                            </w:r>
                            <w:r w:rsidR="00DF20C8" w:rsidRPr="00DF20C8">
                              <w:rPr>
                                <w:rFonts w:ascii="Calibri" w:hAnsi="Calibri" w:cs="Calibri"/>
                                <w:color w:val="FFFFFF" w:themeColor="background1"/>
                                <w:szCs w:val="18"/>
                              </w:rPr>
                              <w:t xml:space="preserve">Michal Skořepa </w:t>
                            </w:r>
                            <w:r w:rsidR="00453B4E">
                              <w:rPr>
                                <w:rFonts w:ascii="Calibri" w:hAnsi="Calibri" w:cs="Calibri"/>
                                <w:color w:val="FFFFFF" w:themeColor="background1"/>
                                <w:szCs w:val="18"/>
                              </w:rPr>
                              <w:t xml:space="preserve">a Jiří Polanský </w:t>
                            </w:r>
                            <w:r w:rsidR="00DF20C8" w:rsidRPr="00DF20C8">
                              <w:rPr>
                                <w:rFonts w:ascii="Calibri" w:hAnsi="Calibri" w:cs="Calibri"/>
                                <w:color w:val="FFFFFF" w:themeColor="background1"/>
                                <w:szCs w:val="18"/>
                              </w:rPr>
                              <w:t>(makroekonomi</w:t>
                            </w:r>
                            <w:r w:rsidR="00453B4E">
                              <w:rPr>
                                <w:rFonts w:ascii="Calibri" w:hAnsi="Calibri" w:cs="Calibri"/>
                                <w:color w:val="FFFFFF" w:themeColor="background1"/>
                                <w:szCs w:val="18"/>
                              </w:rPr>
                              <w:t xml:space="preserve">čtí </w:t>
                            </w:r>
                            <w:r w:rsidR="00DF20C8" w:rsidRPr="00DF20C8">
                              <w:rPr>
                                <w:rFonts w:ascii="Calibri" w:hAnsi="Calibri" w:cs="Calibri"/>
                                <w:color w:val="FFFFFF" w:themeColor="background1"/>
                                <w:szCs w:val="18"/>
                              </w:rPr>
                              <w:t>analyti</w:t>
                            </w:r>
                            <w:r w:rsidR="00453B4E">
                              <w:rPr>
                                <w:rFonts w:ascii="Calibri" w:hAnsi="Calibri" w:cs="Calibri"/>
                                <w:color w:val="FFFFFF" w:themeColor="background1"/>
                                <w:szCs w:val="18"/>
                              </w:rPr>
                              <w:t>ci</w:t>
                            </w:r>
                            <w:r w:rsidR="00DF20C8" w:rsidRPr="00DF20C8">
                              <w:rPr>
                                <w:rFonts w:ascii="Calibri" w:hAnsi="Calibri" w:cs="Calibri"/>
                                <w:color w:val="FFFFFF" w:themeColor="background1"/>
                                <w:szCs w:val="18"/>
                              </w:rPr>
                              <w:t xml:space="preserve"> České spořitelny), Pavel Sobíšek (hlavní ekonom, UniCredit Bank) a Jan </w:t>
                            </w:r>
                            <w:proofErr w:type="spellStart"/>
                            <w:r w:rsidR="00DF20C8" w:rsidRPr="00DF20C8">
                              <w:rPr>
                                <w:rFonts w:ascii="Calibri" w:hAnsi="Calibri" w:cs="Calibri"/>
                                <w:color w:val="FFFFFF" w:themeColor="background1"/>
                                <w:szCs w:val="18"/>
                              </w:rPr>
                              <w:t>Vejmělek</w:t>
                            </w:r>
                            <w:proofErr w:type="spellEnd"/>
                            <w:r w:rsidR="00DF20C8" w:rsidRPr="00DF20C8">
                              <w:rPr>
                                <w:rFonts w:ascii="Calibri" w:hAnsi="Calibri" w:cs="Calibri"/>
                                <w:color w:val="FFFFFF" w:themeColor="background1"/>
                                <w:szCs w:val="18"/>
                              </w:rPr>
                              <w:t xml:space="preserve"> a Martin </w:t>
                            </w:r>
                            <w:proofErr w:type="spellStart"/>
                            <w:r w:rsidR="00DF20C8" w:rsidRPr="00DF20C8">
                              <w:rPr>
                                <w:rFonts w:ascii="Calibri" w:hAnsi="Calibri" w:cs="Calibri"/>
                                <w:color w:val="FFFFFF" w:themeColor="background1"/>
                                <w:szCs w:val="18"/>
                              </w:rPr>
                              <w:t>Gürtler</w:t>
                            </w:r>
                            <w:proofErr w:type="spellEnd"/>
                            <w:r w:rsidR="00DF20C8" w:rsidRPr="00DF20C8">
                              <w:rPr>
                                <w:rFonts w:ascii="Calibri" w:hAnsi="Calibri" w:cs="Calibri"/>
                                <w:color w:val="FFFFFF" w:themeColor="background1"/>
                                <w:szCs w:val="18"/>
                              </w:rPr>
                              <w:t xml:space="preserve"> (ekonomický výzkum Komerční banky</w:t>
                            </w:r>
                            <w:r w:rsidR="005736B5">
                              <w:rPr>
                                <w:rFonts w:ascii="Calibri" w:hAnsi="Calibri" w:cs="Calibri"/>
                                <w:color w:val="FFFFFF" w:themeColor="background1"/>
                                <w:szCs w:val="18"/>
                              </w:rPr>
                              <w:t>)</w:t>
                            </w:r>
                            <w:r w:rsidR="00DF20C8" w:rsidRPr="00DF20C8">
                              <w:rPr>
                                <w:rFonts w:ascii="Calibri" w:hAnsi="Calibri" w:cs="Calibri"/>
                                <w:color w:val="FFFFFF" w:themeColor="background1"/>
                                <w:szCs w:val="18"/>
                              </w:rPr>
                              <w:t>. Za ČBA se na tvorbě prognózy podílel její hlavní ekonom Jaromír Šindel.</w:t>
                            </w:r>
                          </w:p>
                        </w:txbxContent>
                      </wps:txbx>
                      <wps:bodyPr rot="0" spcFirstLastPara="0" vertOverflow="overflow" horzOverflow="overflow" vert="horz" wrap="square" lIns="108000" tIns="108000" rIns="108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1A402" id="Obdélník 4" o:spid="_x0000_s1028" style="position:absolute;left:0;text-align:left;margin-left:458.75pt;margin-top:1.3pt;width:509.95pt;height:92.0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" fillcolor="#bfbfbf [2412]" stroked="f" strokeweight="1pt">
                <v:textbox inset="3mm,3mm,3mm,3mm">
                  <w:txbxContent>
                    <w:p w14:paraId="7E313D1E" w14:textId="77777777" w:rsidR="00F37DC9" w:rsidRPr="0073410F" w:rsidRDefault="00F37DC9" w:rsidP="00F37DC9">
                      <w:pPr>
                        <w:spacing w:line="276" w:lineRule="auto"/>
                        <w:rPr>
                          <w:rFonts w:ascii="Calibri" w:hAnsi="Calibri" w:cs="Calibri"/>
                          <w:b/>
                          <w:color w:val="FFFFFF" w:themeColor="background1"/>
                          <w:szCs w:val="18"/>
                        </w:rPr>
                      </w:pPr>
                      <w:bookmarkStart w:id="5" w:name="_Hlk190863040"/>
                      <w:r w:rsidRPr="0073410F">
                        <w:rPr>
                          <w:rFonts w:ascii="Calibri" w:hAnsi="Calibri" w:cs="Calibri"/>
                          <w:b/>
                          <w:color w:val="FFFFFF" w:themeColor="background1"/>
                          <w:szCs w:val="18"/>
                        </w:rPr>
                        <w:t xml:space="preserve">O prognóze ČBA </w:t>
                      </w:r>
                    </w:p>
                    <w:p w14:paraId="77C1A42D" w14:textId="3FBACB94" w:rsidR="00F37DC9" w:rsidRPr="00A55BDD" w:rsidRDefault="00EE7B05" w:rsidP="00DF20C8">
                      <w:pPr>
                        <w:spacing w:line="276" w:lineRule="auto"/>
                        <w:ind w:left="28" w:hanging="28"/>
                        <w:rPr>
                          <w:sz w:val="16"/>
                          <w:szCs w:val="16"/>
                        </w:rPr>
                      </w:pPr>
                      <w:r w:rsidRPr="0073410F">
                        <w:rPr>
                          <w:rFonts w:ascii="Calibri" w:hAnsi="Calibri" w:cs="Calibri"/>
                          <w:color w:val="FFFFFF" w:themeColor="background1"/>
                          <w:szCs w:val="18"/>
                        </w:rPr>
                        <w:t xml:space="preserve">Tato prognóza vznikla na základě příspěvků analytiků </w:t>
                      </w:r>
                      <w:r w:rsidR="00453B4E">
                        <w:rPr>
                          <w:rFonts w:ascii="Calibri" w:hAnsi="Calibri" w:cs="Calibri"/>
                          <w:color w:val="FFFFFF" w:themeColor="background1"/>
                          <w:szCs w:val="18"/>
                        </w:rPr>
                        <w:t>10</w:t>
                      </w:r>
                      <w:r w:rsidRPr="0073410F">
                        <w:rPr>
                          <w:rFonts w:ascii="Calibri" w:hAnsi="Calibri" w:cs="Calibri"/>
                          <w:color w:val="FFFFFF" w:themeColor="background1"/>
                          <w:szCs w:val="18"/>
                        </w:rPr>
                        <w:t xml:space="preserve"> členských bank ČBA: </w:t>
                      </w:r>
                      <w:bookmarkEnd w:id="5"/>
                      <w:r w:rsidR="00DF20C8" w:rsidRPr="00DF20C8">
                        <w:rPr>
                          <w:rFonts w:ascii="Calibri" w:hAnsi="Calibri" w:cs="Calibri"/>
                          <w:color w:val="FFFFFF" w:themeColor="background1"/>
                          <w:szCs w:val="18"/>
                        </w:rPr>
                        <w:t>Petr Dufek (hlavní ekonom, Banka CREDITAS), Jan Bureš (hlavní ekonom</w:t>
                      </w:r>
                      <w:r w:rsidR="00453B4E">
                        <w:rPr>
                          <w:rFonts w:ascii="Calibri" w:hAnsi="Calibri" w:cs="Calibri"/>
                          <w:color w:val="FFFFFF" w:themeColor="background1"/>
                          <w:szCs w:val="18"/>
                        </w:rPr>
                        <w:t xml:space="preserve"> ČSOB</w:t>
                      </w:r>
                      <w:r w:rsidR="00DF20C8" w:rsidRPr="00DF20C8">
                        <w:rPr>
                          <w:rFonts w:ascii="Calibri" w:hAnsi="Calibri" w:cs="Calibri"/>
                          <w:color w:val="FFFFFF" w:themeColor="background1"/>
                          <w:szCs w:val="18"/>
                        </w:rPr>
                        <w:t xml:space="preserve">), Petr Gapko (hlavní ekonom, MONETA Money Bank), </w:t>
                      </w:r>
                      <w:r w:rsidR="005736B5" w:rsidRPr="00DF20C8">
                        <w:rPr>
                          <w:rFonts w:ascii="Calibri" w:hAnsi="Calibri" w:cs="Calibri"/>
                          <w:color w:val="FFFFFF" w:themeColor="background1"/>
                          <w:szCs w:val="18"/>
                        </w:rPr>
                        <w:t>David Havrlant (hlavní ekonom ING)</w:t>
                      </w:r>
                      <w:r w:rsidR="005736B5">
                        <w:rPr>
                          <w:rFonts w:ascii="Calibri" w:hAnsi="Calibri" w:cs="Calibri"/>
                          <w:color w:val="FFFFFF" w:themeColor="background1"/>
                          <w:szCs w:val="18"/>
                        </w:rPr>
                        <w:t xml:space="preserve">, </w:t>
                      </w:r>
                      <w:r w:rsidR="00DF20C8" w:rsidRPr="00DF20C8">
                        <w:rPr>
                          <w:rFonts w:ascii="Calibri" w:hAnsi="Calibri" w:cs="Calibri"/>
                          <w:color w:val="FFFFFF" w:themeColor="background1"/>
                          <w:szCs w:val="18"/>
                        </w:rPr>
                        <w:t xml:space="preserve">Helena Horská a Martin Kron (ekonomický výzkum Raiffeisenbank), </w:t>
                      </w:r>
                      <w:r w:rsidR="00453B4E">
                        <w:rPr>
                          <w:rFonts w:ascii="Calibri" w:hAnsi="Calibri" w:cs="Calibri"/>
                          <w:color w:val="FFFFFF" w:themeColor="background1"/>
                          <w:szCs w:val="18"/>
                        </w:rPr>
                        <w:t>Martin Motl</w:t>
                      </w:r>
                      <w:r w:rsidR="00DF20C8" w:rsidRPr="00DF20C8">
                        <w:rPr>
                          <w:rFonts w:ascii="Calibri" w:hAnsi="Calibri" w:cs="Calibri"/>
                          <w:color w:val="FFFFFF" w:themeColor="background1"/>
                          <w:szCs w:val="18"/>
                        </w:rPr>
                        <w:t xml:space="preserve"> (hlavní ekonom Citibank), </w:t>
                      </w:r>
                      <w:r w:rsidR="00453B4E">
                        <w:rPr>
                          <w:rFonts w:ascii="Calibri" w:hAnsi="Calibri" w:cs="Calibri"/>
                          <w:color w:val="FFFFFF" w:themeColor="background1"/>
                          <w:szCs w:val="18"/>
                        </w:rPr>
                        <w:t xml:space="preserve">Adam Ruschka (ekonom J&amp;T banky), </w:t>
                      </w:r>
                      <w:r w:rsidR="00DF20C8" w:rsidRPr="00DF20C8">
                        <w:rPr>
                          <w:rFonts w:ascii="Calibri" w:hAnsi="Calibri" w:cs="Calibri"/>
                          <w:color w:val="FFFFFF" w:themeColor="background1"/>
                          <w:szCs w:val="18"/>
                        </w:rPr>
                        <w:t xml:space="preserve">Michal Skořepa </w:t>
                      </w:r>
                      <w:r w:rsidR="00453B4E">
                        <w:rPr>
                          <w:rFonts w:ascii="Calibri" w:hAnsi="Calibri" w:cs="Calibri"/>
                          <w:color w:val="FFFFFF" w:themeColor="background1"/>
                          <w:szCs w:val="18"/>
                        </w:rPr>
                        <w:t xml:space="preserve">a Jiří Polanský </w:t>
                      </w:r>
                      <w:r w:rsidR="00DF20C8" w:rsidRPr="00DF20C8">
                        <w:rPr>
                          <w:rFonts w:ascii="Calibri" w:hAnsi="Calibri" w:cs="Calibri"/>
                          <w:color w:val="FFFFFF" w:themeColor="background1"/>
                          <w:szCs w:val="18"/>
                        </w:rPr>
                        <w:t>(makroekonomi</w:t>
                      </w:r>
                      <w:r w:rsidR="00453B4E">
                        <w:rPr>
                          <w:rFonts w:ascii="Calibri" w:hAnsi="Calibri" w:cs="Calibri"/>
                          <w:color w:val="FFFFFF" w:themeColor="background1"/>
                          <w:szCs w:val="18"/>
                        </w:rPr>
                        <w:t xml:space="preserve">čtí </w:t>
                      </w:r>
                      <w:r w:rsidR="00DF20C8" w:rsidRPr="00DF20C8">
                        <w:rPr>
                          <w:rFonts w:ascii="Calibri" w:hAnsi="Calibri" w:cs="Calibri"/>
                          <w:color w:val="FFFFFF" w:themeColor="background1"/>
                          <w:szCs w:val="18"/>
                        </w:rPr>
                        <w:t>analyti</w:t>
                      </w:r>
                      <w:r w:rsidR="00453B4E">
                        <w:rPr>
                          <w:rFonts w:ascii="Calibri" w:hAnsi="Calibri" w:cs="Calibri"/>
                          <w:color w:val="FFFFFF" w:themeColor="background1"/>
                          <w:szCs w:val="18"/>
                        </w:rPr>
                        <w:t>ci</w:t>
                      </w:r>
                      <w:r w:rsidR="00DF20C8" w:rsidRPr="00DF20C8">
                        <w:rPr>
                          <w:rFonts w:ascii="Calibri" w:hAnsi="Calibri" w:cs="Calibri"/>
                          <w:color w:val="FFFFFF" w:themeColor="background1"/>
                          <w:szCs w:val="18"/>
                        </w:rPr>
                        <w:t xml:space="preserve"> České spořitelny), Pavel Sobíšek (hlavní ekonom, UniCredit Bank) a Jan </w:t>
                      </w:r>
                      <w:proofErr w:type="spellStart"/>
                      <w:r w:rsidR="00DF20C8" w:rsidRPr="00DF20C8">
                        <w:rPr>
                          <w:rFonts w:ascii="Calibri" w:hAnsi="Calibri" w:cs="Calibri"/>
                          <w:color w:val="FFFFFF" w:themeColor="background1"/>
                          <w:szCs w:val="18"/>
                        </w:rPr>
                        <w:t>Vejmělek</w:t>
                      </w:r>
                      <w:proofErr w:type="spellEnd"/>
                      <w:r w:rsidR="00DF20C8" w:rsidRPr="00DF20C8">
                        <w:rPr>
                          <w:rFonts w:ascii="Calibri" w:hAnsi="Calibri" w:cs="Calibri"/>
                          <w:color w:val="FFFFFF" w:themeColor="background1"/>
                          <w:szCs w:val="18"/>
                        </w:rPr>
                        <w:t xml:space="preserve"> a Martin </w:t>
                      </w:r>
                      <w:proofErr w:type="spellStart"/>
                      <w:r w:rsidR="00DF20C8" w:rsidRPr="00DF20C8">
                        <w:rPr>
                          <w:rFonts w:ascii="Calibri" w:hAnsi="Calibri" w:cs="Calibri"/>
                          <w:color w:val="FFFFFF" w:themeColor="background1"/>
                          <w:szCs w:val="18"/>
                        </w:rPr>
                        <w:t>Gürtler</w:t>
                      </w:r>
                      <w:proofErr w:type="spellEnd"/>
                      <w:r w:rsidR="00DF20C8" w:rsidRPr="00DF20C8">
                        <w:rPr>
                          <w:rFonts w:ascii="Calibri" w:hAnsi="Calibri" w:cs="Calibri"/>
                          <w:color w:val="FFFFFF" w:themeColor="background1"/>
                          <w:szCs w:val="18"/>
                        </w:rPr>
                        <w:t xml:space="preserve"> (ekonomický výzkum Komerční banky</w:t>
                      </w:r>
                      <w:r w:rsidR="005736B5">
                        <w:rPr>
                          <w:rFonts w:ascii="Calibri" w:hAnsi="Calibri" w:cs="Calibri"/>
                          <w:color w:val="FFFFFF" w:themeColor="background1"/>
                          <w:szCs w:val="18"/>
                        </w:rPr>
                        <w:t>)</w:t>
                      </w:r>
                      <w:r w:rsidR="00DF20C8" w:rsidRPr="00DF20C8">
                        <w:rPr>
                          <w:rFonts w:ascii="Calibri" w:hAnsi="Calibri" w:cs="Calibri"/>
                          <w:color w:val="FFFFFF" w:themeColor="background1"/>
                          <w:szCs w:val="18"/>
                        </w:rPr>
                        <w:t>. Za ČBA se na tvorbě prognózy podílel její hlavní ekonom Jaromír Šindel.</w:t>
                      </w:r>
                    </w:p>
                  </w:txbxContent>
                </v:textbox>
                <w10:wrap anchorx="margin"/>
              </v:rect>
            </w:pict>
          </mc:Fallback>
        </mc:AlternateContent>
      </w:r>
    </w:p>
    <w:p w14:paraId="3B70CAB7" w14:textId="77777777" w:rsidR="005547BF" w:rsidRDefault="005547BF" w:rsidP="00B4285D">
      <w:pPr>
        <w:rPr>
          <w:rFonts w:ascii="Calibri" w:eastAsiaTheme="minorEastAsia" w:hAnsi="Calibri" w:cs="Calibri"/>
        </w:rPr>
      </w:pPr>
    </w:p>
    <w:p w14:paraId="6DB62AD1" w14:textId="5086AED3" w:rsidR="001642C0" w:rsidRDefault="001642C0" w:rsidP="00B4285D">
      <w:pPr>
        <w:rPr>
          <w:rFonts w:ascii="Calibri" w:eastAsiaTheme="minorEastAsia" w:hAnsi="Calibri" w:cs="Calibri"/>
        </w:rPr>
      </w:pPr>
    </w:p>
    <w:p w14:paraId="52E6141C" w14:textId="16E75886" w:rsidR="00F37DC9" w:rsidRDefault="00F37DC9" w:rsidP="00B4285D">
      <w:pPr>
        <w:rPr>
          <w:rFonts w:ascii="Calibri" w:eastAsiaTheme="minorEastAsia" w:hAnsi="Calibri" w:cs="Calibri"/>
        </w:rPr>
      </w:pPr>
    </w:p>
    <w:p w14:paraId="59DD5F85" w14:textId="14AD5D2F" w:rsidR="00F37DC9" w:rsidRDefault="00F37DC9" w:rsidP="00B4285D">
      <w:pPr>
        <w:rPr>
          <w:rFonts w:ascii="Calibri" w:eastAsiaTheme="minorEastAsia" w:hAnsi="Calibri" w:cs="Calibri"/>
        </w:rPr>
      </w:pPr>
    </w:p>
    <w:p w14:paraId="333F07F6" w14:textId="217C26C9" w:rsidR="00F37DC9" w:rsidRDefault="00F37DC9" w:rsidP="00B4285D">
      <w:pPr>
        <w:rPr>
          <w:rFonts w:ascii="Calibri" w:eastAsiaTheme="minorEastAsia" w:hAnsi="Calibri" w:cs="Calibri"/>
        </w:rPr>
      </w:pPr>
    </w:p>
    <w:p w14:paraId="5ACD7EBC" w14:textId="267566DC" w:rsidR="00F37DC9" w:rsidRDefault="00F37DC9" w:rsidP="00272A8E">
      <w:pPr>
        <w:tabs>
          <w:tab w:val="left" w:pos="2532"/>
        </w:tabs>
        <w:rPr>
          <w:rFonts w:ascii="Calibri" w:eastAsiaTheme="minorEastAsia" w:hAnsi="Calibri" w:cs="Calibri"/>
        </w:rPr>
      </w:pPr>
    </w:p>
    <w:p w14:paraId="1EE8715A" w14:textId="77777777" w:rsidR="002F2215" w:rsidRDefault="002F2215" w:rsidP="00B4285D">
      <w:pPr>
        <w:rPr>
          <w:rFonts w:ascii="Calibri" w:eastAsiaTheme="minorEastAsia" w:hAnsi="Calibri" w:cs="Calibri"/>
        </w:rPr>
      </w:pPr>
    </w:p>
    <w:tbl>
      <w:tblPr>
        <w:tblW w:w="10201" w:type="dxa"/>
        <w:tblLook w:val="04A0" w:firstRow="1" w:lastRow="0" w:firstColumn="1" w:lastColumn="0" w:noHBand="0" w:noVBand="1"/>
      </w:tblPr>
      <w:tblGrid>
        <w:gridCol w:w="6817"/>
        <w:gridCol w:w="3384"/>
      </w:tblGrid>
      <w:tr w:rsidR="0073410F" w:rsidRPr="00635D8B" w14:paraId="2BB4B9D8" w14:textId="77777777" w:rsidTr="001726CC">
        <w:trPr>
          <w:trHeight w:val="1364"/>
        </w:trPr>
        <w:tc>
          <w:tcPr>
            <w:tcW w:w="6817" w:type="dxa"/>
            <w:shd w:val="clear" w:color="auto" w:fill="13576B"/>
          </w:tcPr>
          <w:p w14:paraId="32CA9EB7" w14:textId="77777777" w:rsidR="0073410F" w:rsidRDefault="0073410F" w:rsidP="001726CC">
            <w:pPr>
              <w:pStyle w:val="CBANadpisvTABULCE"/>
              <w:jc w:val="both"/>
              <w:rPr>
                <w:rFonts w:ascii="IBM Plex Sans" w:hAnsi="IBM Plex Sans" w:cs="Poppins"/>
                <w:color w:val="FFFFFF"/>
                <w:szCs w:val="18"/>
              </w:rPr>
            </w:pPr>
            <w:r>
              <w:rPr>
                <w:rFonts w:ascii="IBM Plex Sans" w:hAnsi="IBM Plex Sans" w:cs="Poppins"/>
                <w:color w:val="FFFFFF"/>
                <w:szCs w:val="18"/>
              </w:rPr>
              <w:t>O České bankovní asociaci</w:t>
            </w:r>
          </w:p>
          <w:p w14:paraId="22379D56" w14:textId="04C81A1E" w:rsidR="0073410F" w:rsidRDefault="0073410F" w:rsidP="001726CC">
            <w:pPr>
              <w:rPr>
                <w:rFonts w:ascii="Calibri" w:hAnsi="Calibri"/>
                <w:color w:val="FFFFFF"/>
                <w:sz w:val="22"/>
              </w:rPr>
            </w:pPr>
            <w:bookmarkStart w:id="6" w:name="_Hlk128734138"/>
            <w:r>
              <w:rPr>
                <w:color w:val="FFFFFF"/>
              </w:rPr>
              <w:t>Česká bankovní asociace (ČBA) je dobrovolné sdružení 3</w:t>
            </w:r>
            <w:r w:rsidR="00D83FCD">
              <w:rPr>
                <w:color w:val="FFFFFF"/>
              </w:rPr>
              <w:t>4</w:t>
            </w:r>
            <w:r>
              <w:rPr>
                <w:color w:val="FFFFFF"/>
              </w:rPr>
              <w:t xml:space="preserve"> bank působících v České republice a reprezentuje tak 99 % trhu. Již 30 let podporuje nejen rozvoj bankovního sektoru, ale i celé ekonomiky a všeobecné finanční gramotnosti. ČBA je členem Evropské bankovní federace (EBF).</w:t>
            </w:r>
          </w:p>
          <w:bookmarkEnd w:id="6"/>
          <w:p w14:paraId="4A9BB153" w14:textId="77777777" w:rsidR="0073410F" w:rsidRDefault="0073410F" w:rsidP="001726CC">
            <w:pPr>
              <w:pStyle w:val="CBAodstavecvTABULCE"/>
              <w:jc w:val="both"/>
              <w:rPr>
                <w:rFonts w:ascii="IBM Plex Sans" w:hAnsi="IBM Plex Sans" w:cs="Poppins"/>
                <w:color w:val="FFFFFF"/>
                <w:szCs w:val="18"/>
              </w:rPr>
            </w:pPr>
            <w:r>
              <w:rPr>
                <w:rFonts w:ascii="IBM Plex Sans" w:hAnsi="IBM Plex Sans" w:cs="Poppins"/>
                <w:color w:val="FFFFFF"/>
                <w:szCs w:val="18"/>
              </w:rPr>
              <w:t xml:space="preserve">Více informací na </w:t>
            </w:r>
            <w:r>
              <w:rPr>
                <w:rFonts w:ascii="IBM Plex Sans" w:hAnsi="IBM Plex Sans" w:cs="Poppins"/>
                <w:color w:val="FFFFFF"/>
                <w:szCs w:val="18"/>
                <w:u w:val="single"/>
              </w:rPr>
              <w:t>www.cbaonline.cz.</w:t>
            </w:r>
            <w:r>
              <w:rPr>
                <w:rFonts w:ascii="IBM Plex Sans" w:hAnsi="IBM Plex Sans" w:cs="Poppins"/>
                <w:color w:val="A9936D"/>
                <w:szCs w:val="18"/>
              </w:rPr>
              <w:t xml:space="preserve"> </w:t>
            </w:r>
          </w:p>
        </w:tc>
        <w:tc>
          <w:tcPr>
            <w:tcW w:w="3384" w:type="dxa"/>
            <w:shd w:val="clear" w:color="auto" w:fill="A9936D"/>
            <w:vAlign w:val="center"/>
          </w:tcPr>
          <w:p w14:paraId="51EEA920" w14:textId="77777777" w:rsidR="0073410F" w:rsidRDefault="0073410F" w:rsidP="001726CC">
            <w:pPr>
              <w:pStyle w:val="CBAodstavecvTABULCE"/>
              <w:rPr>
                <w:rFonts w:ascii="IBM Plex Sans" w:hAnsi="IBM Plex Sans" w:cs="Poppins"/>
                <w:b/>
                <w:bCs/>
                <w:color w:val="FFFFFF"/>
                <w:szCs w:val="18"/>
              </w:rPr>
            </w:pPr>
            <w:r>
              <w:rPr>
                <w:rFonts w:ascii="IBM Plex Sans" w:hAnsi="IBM Plex Sans" w:cs="Poppins"/>
                <w:b/>
                <w:bCs/>
                <w:color w:val="FFFFFF"/>
                <w:szCs w:val="18"/>
              </w:rPr>
              <w:t xml:space="preserve">                Dotazy posílejte na</w:t>
            </w:r>
          </w:p>
          <w:p w14:paraId="4BDB00A6" w14:textId="77777777" w:rsidR="0073410F" w:rsidRDefault="0073410F" w:rsidP="001726CC">
            <w:pPr>
              <w:pStyle w:val="CBAodstavecvTABULCE"/>
              <w:jc w:val="center"/>
              <w:rPr>
                <w:rFonts w:ascii="IBM Plex Sans" w:hAnsi="IBM Plex Sans" w:cs="Poppins"/>
                <w:color w:val="FFFFFF"/>
                <w:szCs w:val="18"/>
              </w:rPr>
            </w:pPr>
            <w:r>
              <w:rPr>
                <w:rFonts w:ascii="IBM Plex Sans" w:hAnsi="IBM Plex Sans" w:cs="Poppins"/>
                <w:b/>
                <w:bCs/>
                <w:color w:val="FFFFFF"/>
                <w:szCs w:val="18"/>
              </w:rPr>
              <w:t>radek.salsa@cbaonline.cz</w:t>
            </w:r>
          </w:p>
        </w:tc>
      </w:tr>
    </w:tbl>
    <w:p w14:paraId="1AE6FC8E" w14:textId="01CA802E" w:rsidR="005C1943" w:rsidRPr="00F37DC9" w:rsidRDefault="005C1943" w:rsidP="0063005B">
      <w:pPr>
        <w:rPr>
          <w:rFonts w:ascii="Calibri" w:eastAsiaTheme="minorEastAsia" w:hAnsi="Calibri" w:cs="Calibri"/>
        </w:rPr>
      </w:pPr>
    </w:p>
    <w:sectPr w:rsidR="005C1943" w:rsidRPr="00F37DC9" w:rsidSect="00524989">
      <w:headerReference w:type="default" r:id="rId22"/>
      <w:footerReference w:type="default" r:id="rId23"/>
      <w:pgSz w:w="11906" w:h="16838"/>
      <w:pgMar w:top="2552" w:right="851" w:bottom="1418" w:left="851"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F269A" w14:textId="77777777" w:rsidR="00FD490C" w:rsidRDefault="00FD490C" w:rsidP="00F573F1">
      <w:r>
        <w:separator/>
      </w:r>
    </w:p>
  </w:endnote>
  <w:endnote w:type="continuationSeparator" w:id="0">
    <w:p w14:paraId="55C858E9" w14:textId="77777777" w:rsidR="00FD490C" w:rsidRDefault="00FD490C" w:rsidP="00F573F1">
      <w:r>
        <w:continuationSeparator/>
      </w:r>
    </w:p>
  </w:endnote>
  <w:endnote w:type="continuationNotice" w:id="1">
    <w:p w14:paraId="7D77D6FC" w14:textId="77777777" w:rsidR="00FD490C" w:rsidRDefault="00FD49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IBM Plex Sans">
    <w:charset w:val="00"/>
    <w:family w:val="swiss"/>
    <w:pitch w:val="variable"/>
    <w:sig w:usb0="A00002EF" w:usb1="5000207B" w:usb2="00000000" w:usb3="00000000" w:csb0="0000019F" w:csb1="00000000"/>
  </w:font>
  <w:font w:name="Poppins">
    <w:charset w:val="EE"/>
    <w:family w:val="auto"/>
    <w:pitch w:val="variable"/>
    <w:sig w:usb0="00008007" w:usb1="00000000" w:usb2="00000000" w:usb3="00000000" w:csb0="00000093" w:csb1="00000000"/>
  </w:font>
  <w:font w:name="MingLiU">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Cs w:val="18"/>
      </w:rPr>
      <w:id w:val="1149944182"/>
      <w:docPartObj>
        <w:docPartGallery w:val="Page Numbers (Bottom of Page)"/>
        <w:docPartUnique/>
      </w:docPartObj>
    </w:sdtPr>
    <w:sdtEndPr/>
    <w:sdtContent>
      <w:sdt>
        <w:sdtPr>
          <w:rPr>
            <w:rFonts w:ascii="Calibri" w:hAnsi="Calibri" w:cs="Calibri"/>
            <w:szCs w:val="18"/>
          </w:rPr>
          <w:id w:val="-1769616900"/>
          <w:docPartObj>
            <w:docPartGallery w:val="Page Numbers (Top of Page)"/>
            <w:docPartUnique/>
          </w:docPartObj>
        </w:sdtPr>
        <w:sdtEndPr/>
        <w:sdtContent>
          <w:p w14:paraId="7854F1F5" w14:textId="19327CD8" w:rsidR="00F37DC9" w:rsidRPr="00F37DC9" w:rsidRDefault="00F37DC9">
            <w:pPr>
              <w:pStyle w:val="Zpat"/>
              <w:jc w:val="right"/>
              <w:rPr>
                <w:rFonts w:ascii="Calibri" w:hAnsi="Calibri" w:cs="Calibri"/>
                <w:szCs w:val="18"/>
              </w:rPr>
            </w:pPr>
            <w:r w:rsidRPr="001E31AB">
              <w:rPr>
                <w:rFonts w:ascii="Calibri" w:hAnsi="Calibri"/>
                <w:noProof/>
                <w:szCs w:val="18"/>
              </w:rPr>
              <w:drawing>
                <wp:anchor distT="0" distB="0" distL="114300" distR="114300" simplePos="0" relativeHeight="251665408" behindDoc="0" locked="0" layoutInCell="1" allowOverlap="1" wp14:anchorId="40EC3339" wp14:editId="625B1AC4">
                  <wp:simplePos x="0" y="0"/>
                  <wp:positionH relativeFrom="column">
                    <wp:posOffset>-541020</wp:posOffset>
                  </wp:positionH>
                  <wp:positionV relativeFrom="paragraph">
                    <wp:posOffset>-137160</wp:posOffset>
                  </wp:positionV>
                  <wp:extent cx="3042285" cy="701040"/>
                  <wp:effectExtent l="0" t="0" r="5715" b="0"/>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rotWithShape="1">
                          <a:blip r:embed="rId1" cstate="print">
                            <a:extLst>
                              <a:ext uri="{28A0092B-C50C-407E-A947-70E740481C1C}">
                                <a14:useLocalDpi xmlns:a14="http://schemas.microsoft.com/office/drawing/2010/main" val="0"/>
                              </a:ext>
                            </a:extLst>
                          </a:blip>
                          <a:srcRect l="-1309" t="94992" r="61095" b="-1544"/>
                          <a:stretch/>
                        </pic:blipFill>
                        <pic:spPr bwMode="auto">
                          <a:xfrm>
                            <a:off x="0" y="0"/>
                            <a:ext cx="3042285" cy="701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37DC9">
              <w:rPr>
                <w:rFonts w:ascii="Calibri" w:hAnsi="Calibri" w:cs="Calibri"/>
                <w:szCs w:val="18"/>
              </w:rPr>
              <w:t xml:space="preserve">Stránka </w:t>
            </w:r>
            <w:r w:rsidRPr="00F37DC9">
              <w:rPr>
                <w:rFonts w:ascii="Calibri" w:hAnsi="Calibri" w:cs="Calibri"/>
                <w:b/>
                <w:bCs/>
                <w:szCs w:val="18"/>
              </w:rPr>
              <w:fldChar w:fldCharType="begin"/>
            </w:r>
            <w:r w:rsidRPr="00F37DC9">
              <w:rPr>
                <w:rFonts w:ascii="Calibri" w:hAnsi="Calibri" w:cs="Calibri"/>
                <w:b/>
                <w:bCs/>
                <w:szCs w:val="18"/>
              </w:rPr>
              <w:instrText>PAGE</w:instrText>
            </w:r>
            <w:r w:rsidRPr="00F37DC9">
              <w:rPr>
                <w:rFonts w:ascii="Calibri" w:hAnsi="Calibri" w:cs="Calibri"/>
                <w:b/>
                <w:bCs/>
                <w:szCs w:val="18"/>
              </w:rPr>
              <w:fldChar w:fldCharType="separate"/>
            </w:r>
            <w:r w:rsidRPr="00F37DC9">
              <w:rPr>
                <w:rFonts w:ascii="Calibri" w:hAnsi="Calibri" w:cs="Calibri"/>
                <w:b/>
                <w:bCs/>
                <w:szCs w:val="18"/>
              </w:rPr>
              <w:t>2</w:t>
            </w:r>
            <w:r w:rsidRPr="00F37DC9">
              <w:rPr>
                <w:rFonts w:ascii="Calibri" w:hAnsi="Calibri" w:cs="Calibri"/>
                <w:b/>
                <w:bCs/>
                <w:szCs w:val="18"/>
              </w:rPr>
              <w:fldChar w:fldCharType="end"/>
            </w:r>
            <w:r w:rsidRPr="00F37DC9">
              <w:rPr>
                <w:rFonts w:ascii="Calibri" w:hAnsi="Calibri" w:cs="Calibri"/>
                <w:szCs w:val="18"/>
              </w:rPr>
              <w:t xml:space="preserve"> z </w:t>
            </w:r>
            <w:r w:rsidRPr="00F37DC9">
              <w:rPr>
                <w:rFonts w:ascii="Calibri" w:hAnsi="Calibri" w:cs="Calibri"/>
                <w:b/>
                <w:bCs/>
                <w:szCs w:val="18"/>
              </w:rPr>
              <w:fldChar w:fldCharType="begin"/>
            </w:r>
            <w:r w:rsidRPr="00F37DC9">
              <w:rPr>
                <w:rFonts w:ascii="Calibri" w:hAnsi="Calibri" w:cs="Calibri"/>
                <w:b/>
                <w:bCs/>
                <w:szCs w:val="18"/>
              </w:rPr>
              <w:instrText>NUMPAGES</w:instrText>
            </w:r>
            <w:r w:rsidRPr="00F37DC9">
              <w:rPr>
                <w:rFonts w:ascii="Calibri" w:hAnsi="Calibri" w:cs="Calibri"/>
                <w:b/>
                <w:bCs/>
                <w:szCs w:val="18"/>
              </w:rPr>
              <w:fldChar w:fldCharType="separate"/>
            </w:r>
            <w:r w:rsidRPr="00F37DC9">
              <w:rPr>
                <w:rFonts w:ascii="Calibri" w:hAnsi="Calibri" w:cs="Calibri"/>
                <w:b/>
                <w:bCs/>
                <w:szCs w:val="18"/>
              </w:rPr>
              <w:t>2</w:t>
            </w:r>
            <w:r w:rsidRPr="00F37DC9">
              <w:rPr>
                <w:rFonts w:ascii="Calibri" w:hAnsi="Calibri" w:cs="Calibri"/>
                <w:b/>
                <w:bCs/>
                <w:szCs w:val="18"/>
              </w:rPr>
              <w:fldChar w:fldCharType="end"/>
            </w:r>
          </w:p>
        </w:sdtContent>
      </w:sdt>
    </w:sdtContent>
  </w:sdt>
  <w:p w14:paraId="6B2FBE8E" w14:textId="77777777" w:rsidR="00536B9B" w:rsidRPr="00FB4A1C" w:rsidRDefault="00536B9B" w:rsidP="00FB4A1C">
    <w:pPr>
      <w:pStyle w:val="Zpat"/>
      <w:tabs>
        <w:tab w:val="clear" w:pos="4536"/>
        <w:tab w:val="clear" w:pos="9072"/>
        <w:tab w:val="left" w:pos="6080"/>
      </w:tabs>
      <w:rPr>
        <w:color w:val="A6A6A6" w:themeColor="background1" w:themeShade="A6"/>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C46A1" w14:textId="77777777" w:rsidR="00FD490C" w:rsidRDefault="00FD490C" w:rsidP="00F573F1">
      <w:r>
        <w:separator/>
      </w:r>
    </w:p>
  </w:footnote>
  <w:footnote w:type="continuationSeparator" w:id="0">
    <w:p w14:paraId="226359A1" w14:textId="77777777" w:rsidR="00FD490C" w:rsidRDefault="00FD490C" w:rsidP="00F573F1">
      <w:r>
        <w:continuationSeparator/>
      </w:r>
    </w:p>
  </w:footnote>
  <w:footnote w:type="continuationNotice" w:id="1">
    <w:p w14:paraId="33600671" w14:textId="77777777" w:rsidR="00FD490C" w:rsidRDefault="00FD49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D6A72" w14:textId="2B5E0211" w:rsidR="00F37DC9" w:rsidRDefault="00F37DC9" w:rsidP="00F37DC9">
    <w:pPr>
      <w:pStyle w:val="Zhlav"/>
    </w:pPr>
    <w:r>
      <w:rPr>
        <w:noProof/>
      </w:rPr>
      <w:drawing>
        <wp:anchor distT="0" distB="0" distL="114300" distR="114300" simplePos="0" relativeHeight="251661312" behindDoc="0" locked="0" layoutInCell="1" allowOverlap="1" wp14:anchorId="12F98975" wp14:editId="270559D0">
          <wp:simplePos x="0" y="0"/>
          <wp:positionH relativeFrom="column">
            <wp:posOffset>-52705</wp:posOffset>
          </wp:positionH>
          <wp:positionV relativeFrom="paragraph">
            <wp:posOffset>29845</wp:posOffset>
          </wp:positionV>
          <wp:extent cx="2209800" cy="778510"/>
          <wp:effectExtent l="0" t="0" r="0" b="254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778510"/>
                  </a:xfrm>
                  <a:prstGeom prst="rect">
                    <a:avLst/>
                  </a:prstGeom>
                  <a:noFill/>
                  <a:ln>
                    <a:noFill/>
                  </a:ln>
                </pic:spPr>
              </pic:pic>
            </a:graphicData>
          </a:graphic>
        </wp:anchor>
      </w:drawing>
    </w:r>
    <w:r>
      <w:rPr>
        <w:noProof/>
      </w:rPr>
      <w:drawing>
        <wp:anchor distT="0" distB="0" distL="114300" distR="114300" simplePos="0" relativeHeight="251663360" behindDoc="1" locked="0" layoutInCell="1" allowOverlap="1" wp14:anchorId="4BA7D056" wp14:editId="7FF03F24">
          <wp:simplePos x="0" y="0"/>
          <wp:positionH relativeFrom="column">
            <wp:posOffset>3985895</wp:posOffset>
          </wp:positionH>
          <wp:positionV relativeFrom="paragraph">
            <wp:posOffset>-8255</wp:posOffset>
          </wp:positionV>
          <wp:extent cx="2943225" cy="243840"/>
          <wp:effectExtent l="0" t="0" r="9525" b="381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rotWithShape="1">
                  <a:blip r:embed="rId2" cstate="print">
                    <a:extLst>
                      <a:ext uri="{28A0092B-C50C-407E-A947-70E740481C1C}">
                        <a14:useLocalDpi xmlns:a14="http://schemas.microsoft.com/office/drawing/2010/main" val="0"/>
                      </a:ext>
                    </a:extLst>
                  </a:blip>
                  <a:srcRect t="94992" r="61096" b="2729"/>
                  <a:stretch/>
                </pic:blipFill>
                <pic:spPr bwMode="auto">
                  <a:xfrm>
                    <a:off x="0" y="0"/>
                    <a:ext cx="2943225" cy="243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17EE12" w14:textId="508204F7" w:rsidR="00F37DC9" w:rsidRDefault="002B1A4A">
    <w:pPr>
      <w:pStyle w:val="Zhlav"/>
    </w:pPr>
    <w:r w:rsidRPr="00F615BD">
      <w:rPr>
        <w:noProof/>
        <w:lang w:val="en-GB" w:eastAsia="en-GB"/>
      </w:rPr>
      <mc:AlternateContent>
        <mc:Choice Requires="wps">
          <w:drawing>
            <wp:anchor distT="45720" distB="45720" distL="114300" distR="114300" simplePos="0" relativeHeight="251667456" behindDoc="0" locked="0" layoutInCell="1" allowOverlap="1" wp14:anchorId="65203F4D" wp14:editId="7D6E81C2">
              <wp:simplePos x="0" y="0"/>
              <wp:positionH relativeFrom="margin">
                <wp:posOffset>2425453</wp:posOffset>
              </wp:positionH>
              <wp:positionV relativeFrom="paragraph">
                <wp:posOffset>72859</wp:posOffset>
              </wp:positionV>
              <wp:extent cx="1709530" cy="1404620"/>
              <wp:effectExtent l="0" t="0" r="0" b="2540"/>
              <wp:wrapNone/>
              <wp:docPr id="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530" cy="1404620"/>
                      </a:xfrm>
                      <a:prstGeom prst="rect">
                        <a:avLst/>
                      </a:prstGeom>
                      <a:noFill/>
                      <a:ln w="9525">
                        <a:noFill/>
                        <a:miter lim="800000"/>
                        <a:headEnd/>
                        <a:tailEnd/>
                      </a:ln>
                    </wps:spPr>
                    <wps:txbx>
                      <w:txbxContent>
                        <w:p w14:paraId="1F1A903D" w14:textId="775AB78D" w:rsidR="002B1A4A" w:rsidRPr="002B1A4A" w:rsidRDefault="002B1A4A" w:rsidP="002B1A4A">
                          <w:pPr>
                            <w:spacing w:line="276" w:lineRule="auto"/>
                            <w:jc w:val="right"/>
                            <w:rPr>
                              <w:rFonts w:ascii="Calibri" w:hAnsi="Calibri" w:cs="Calibri"/>
                              <w:b/>
                              <w:color w:val="FF0000"/>
                              <w:sz w:val="22"/>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203F4D" id="_x0000_t202" coordsize="21600,21600" o:spt="202" path="m,l,21600r21600,l21600,xe">
              <v:stroke joinstyle="miter"/>
              <v:path gradientshapeok="t" o:connecttype="rect"/>
            </v:shapetype>
            <v:shape id="Textové pole 2" o:spid="_x0000_s1029" type="#_x0000_t202" style="position:absolute;left:0;text-align:left;margin-left:191pt;margin-top:5.75pt;width:134.6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" filled="f" stroked="f">
              <v:textbox style="mso-fit-shape-to-text:t">
                <w:txbxContent>
                  <w:p w14:paraId="1F1A903D" w14:textId="775AB78D" w:rsidR="002B1A4A" w:rsidRPr="002B1A4A" w:rsidRDefault="002B1A4A" w:rsidP="002B1A4A">
                    <w:pPr>
                      <w:spacing w:line="276" w:lineRule="auto"/>
                      <w:jc w:val="right"/>
                      <w:rPr>
                        <w:rFonts w:ascii="Calibri" w:hAnsi="Calibri" w:cs="Calibri"/>
                        <w:b/>
                        <w:color w:val="FF0000"/>
                        <w:sz w:val="22"/>
                        <w:szCs w:val="24"/>
                      </w:rPr>
                    </w:pPr>
                  </w:p>
                </w:txbxContent>
              </v:textbox>
              <w10:wrap anchorx="margin"/>
            </v:shape>
          </w:pict>
        </mc:Fallback>
      </mc:AlternateContent>
    </w:r>
    <w:r w:rsidR="00F37DC9" w:rsidRPr="00F615BD">
      <w:rPr>
        <w:noProof/>
        <w:lang w:val="en-GB" w:eastAsia="en-GB"/>
      </w:rPr>
      <mc:AlternateContent>
        <mc:Choice Requires="wps">
          <w:drawing>
            <wp:anchor distT="45720" distB="45720" distL="114300" distR="114300" simplePos="0" relativeHeight="251659264" behindDoc="0" locked="0" layoutInCell="1" allowOverlap="1" wp14:anchorId="05CB3763" wp14:editId="0D54C2D8">
              <wp:simplePos x="0" y="0"/>
              <wp:positionH relativeFrom="margin">
                <wp:posOffset>5289974</wp:posOffset>
              </wp:positionH>
              <wp:positionV relativeFrom="paragraph">
                <wp:posOffset>6985</wp:posOffset>
              </wp:positionV>
              <wp:extent cx="1239520" cy="1404620"/>
              <wp:effectExtent l="0" t="0" r="0" b="0"/>
              <wp:wrapNone/>
              <wp:docPr id="20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1404620"/>
                      </a:xfrm>
                      <a:prstGeom prst="rect">
                        <a:avLst/>
                      </a:prstGeom>
                      <a:noFill/>
                      <a:ln w="9525">
                        <a:noFill/>
                        <a:miter lim="800000"/>
                        <a:headEnd/>
                        <a:tailEnd/>
                      </a:ln>
                    </wps:spPr>
                    <wps:txbx>
                      <w:txbxContent>
                        <w:p w14:paraId="49CD1CFE" w14:textId="77777777" w:rsidR="00F37DC9" w:rsidRPr="00F37DC9" w:rsidRDefault="00F37DC9" w:rsidP="00F37DC9">
                          <w:pPr>
                            <w:spacing w:line="276" w:lineRule="auto"/>
                            <w:jc w:val="right"/>
                            <w:rPr>
                              <w:rFonts w:ascii="Calibri" w:hAnsi="Calibri" w:cs="Calibri"/>
                              <w:b/>
                              <w:color w:val="13576B"/>
                              <w:sz w:val="22"/>
                              <w:szCs w:val="24"/>
                            </w:rPr>
                          </w:pPr>
                          <w:r w:rsidRPr="00F37DC9">
                            <w:rPr>
                              <w:rFonts w:ascii="Calibri" w:hAnsi="Calibri" w:cs="Calibri"/>
                              <w:b/>
                              <w:color w:val="13576B"/>
                              <w:sz w:val="22"/>
                              <w:szCs w:val="24"/>
                            </w:rPr>
                            <w:t xml:space="preserve">TISKOVÁ ZPRÁVA </w:t>
                          </w:r>
                        </w:p>
                        <w:p w14:paraId="5CDE064D" w14:textId="48BA3774" w:rsidR="00F37DC9" w:rsidRPr="00F37DC9" w:rsidRDefault="009008CB" w:rsidP="00F37DC9">
                          <w:pPr>
                            <w:spacing w:line="276" w:lineRule="auto"/>
                            <w:jc w:val="right"/>
                            <w:rPr>
                              <w:rFonts w:ascii="Calibri" w:hAnsi="Calibri" w:cs="Calibri"/>
                              <w:b/>
                              <w:color w:val="13576B"/>
                              <w:sz w:val="22"/>
                              <w:szCs w:val="24"/>
                            </w:rPr>
                          </w:pPr>
                          <w:r>
                            <w:rPr>
                              <w:rFonts w:ascii="Calibri" w:hAnsi="Calibri" w:cs="Calibri"/>
                              <w:color w:val="13576B"/>
                              <w:sz w:val="22"/>
                              <w:szCs w:val="24"/>
                            </w:rPr>
                            <w:t>20</w:t>
                          </w:r>
                          <w:r w:rsidR="00F37DC9" w:rsidRPr="00F37DC9">
                            <w:rPr>
                              <w:rFonts w:ascii="Calibri" w:hAnsi="Calibri" w:cs="Calibri"/>
                              <w:color w:val="13576B"/>
                              <w:sz w:val="22"/>
                              <w:szCs w:val="24"/>
                            </w:rPr>
                            <w:t xml:space="preserve">. </w:t>
                          </w:r>
                          <w:r>
                            <w:rPr>
                              <w:rFonts w:ascii="Calibri" w:hAnsi="Calibri" w:cs="Calibri"/>
                              <w:color w:val="13576B"/>
                              <w:sz w:val="22"/>
                              <w:szCs w:val="24"/>
                            </w:rPr>
                            <w:t>5</w:t>
                          </w:r>
                          <w:r w:rsidR="00F37DC9" w:rsidRPr="00F37DC9">
                            <w:rPr>
                              <w:rFonts w:ascii="Calibri" w:hAnsi="Calibri" w:cs="Calibri"/>
                              <w:color w:val="13576B"/>
                              <w:sz w:val="22"/>
                              <w:szCs w:val="24"/>
                            </w:rPr>
                            <w:t>. 202</w:t>
                          </w:r>
                          <w:r w:rsidR="000F64C9">
                            <w:rPr>
                              <w:rFonts w:ascii="Calibri" w:hAnsi="Calibri" w:cs="Calibri"/>
                              <w:color w:val="13576B"/>
                              <w:sz w:val="22"/>
                              <w:szCs w:val="24"/>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CB3763" id="_x0000_s1030" type="#_x0000_t202" style="position:absolute;left:0;text-align:left;margin-left:416.55pt;margin-top:.55pt;width:97.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" filled="f" stroked="f">
              <v:textbox style="mso-fit-shape-to-text:t">
                <w:txbxContent>
                  <w:p w14:paraId="49CD1CFE" w14:textId="77777777" w:rsidR="00F37DC9" w:rsidRPr="00F37DC9" w:rsidRDefault="00F37DC9" w:rsidP="00F37DC9">
                    <w:pPr>
                      <w:spacing w:line="276" w:lineRule="auto"/>
                      <w:jc w:val="right"/>
                      <w:rPr>
                        <w:rFonts w:ascii="Calibri" w:hAnsi="Calibri" w:cs="Calibri"/>
                        <w:b/>
                        <w:color w:val="13576B"/>
                        <w:sz w:val="22"/>
                        <w:szCs w:val="24"/>
                      </w:rPr>
                    </w:pPr>
                    <w:r w:rsidRPr="00F37DC9">
                      <w:rPr>
                        <w:rFonts w:ascii="Calibri" w:hAnsi="Calibri" w:cs="Calibri"/>
                        <w:b/>
                        <w:color w:val="13576B"/>
                        <w:sz w:val="22"/>
                        <w:szCs w:val="24"/>
                      </w:rPr>
                      <w:t xml:space="preserve">TISKOVÁ ZPRÁVA </w:t>
                    </w:r>
                  </w:p>
                  <w:p w14:paraId="5CDE064D" w14:textId="48BA3774" w:rsidR="00F37DC9" w:rsidRPr="00F37DC9" w:rsidRDefault="009008CB" w:rsidP="00F37DC9">
                    <w:pPr>
                      <w:spacing w:line="276" w:lineRule="auto"/>
                      <w:jc w:val="right"/>
                      <w:rPr>
                        <w:rFonts w:ascii="Calibri" w:hAnsi="Calibri" w:cs="Calibri"/>
                        <w:b/>
                        <w:color w:val="13576B"/>
                        <w:sz w:val="22"/>
                        <w:szCs w:val="24"/>
                      </w:rPr>
                    </w:pPr>
                    <w:r>
                      <w:rPr>
                        <w:rFonts w:ascii="Calibri" w:hAnsi="Calibri" w:cs="Calibri"/>
                        <w:color w:val="13576B"/>
                        <w:sz w:val="22"/>
                        <w:szCs w:val="24"/>
                      </w:rPr>
                      <w:t>20</w:t>
                    </w:r>
                    <w:r w:rsidR="00F37DC9" w:rsidRPr="00F37DC9">
                      <w:rPr>
                        <w:rFonts w:ascii="Calibri" w:hAnsi="Calibri" w:cs="Calibri"/>
                        <w:color w:val="13576B"/>
                        <w:sz w:val="22"/>
                        <w:szCs w:val="24"/>
                      </w:rPr>
                      <w:t xml:space="preserve">. </w:t>
                    </w:r>
                    <w:r>
                      <w:rPr>
                        <w:rFonts w:ascii="Calibri" w:hAnsi="Calibri" w:cs="Calibri"/>
                        <w:color w:val="13576B"/>
                        <w:sz w:val="22"/>
                        <w:szCs w:val="24"/>
                      </w:rPr>
                      <w:t>5</w:t>
                    </w:r>
                    <w:r w:rsidR="00F37DC9" w:rsidRPr="00F37DC9">
                      <w:rPr>
                        <w:rFonts w:ascii="Calibri" w:hAnsi="Calibri" w:cs="Calibri"/>
                        <w:color w:val="13576B"/>
                        <w:sz w:val="22"/>
                        <w:szCs w:val="24"/>
                      </w:rPr>
                      <w:t>. 202</w:t>
                    </w:r>
                    <w:r w:rsidR="000F64C9">
                      <w:rPr>
                        <w:rFonts w:ascii="Calibri" w:hAnsi="Calibri" w:cs="Calibri"/>
                        <w:color w:val="13576B"/>
                        <w:sz w:val="22"/>
                        <w:szCs w:val="24"/>
                      </w:rPr>
                      <w:t>6</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8A7"/>
    <w:multiLevelType w:val="hybridMultilevel"/>
    <w:tmpl w:val="ADD42E08"/>
    <w:lvl w:ilvl="0" w:tplc="9B0CBF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615A72"/>
    <w:multiLevelType w:val="hybridMultilevel"/>
    <w:tmpl w:val="4222A8D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1BE42FC1"/>
    <w:multiLevelType w:val="hybridMultilevel"/>
    <w:tmpl w:val="C296AEE6"/>
    <w:lvl w:ilvl="0" w:tplc="B256063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12C4DCE"/>
    <w:multiLevelType w:val="hybridMultilevel"/>
    <w:tmpl w:val="D4D47A08"/>
    <w:lvl w:ilvl="0" w:tplc="F062A1EA">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3786F60"/>
    <w:multiLevelType w:val="hybridMultilevel"/>
    <w:tmpl w:val="3232EEBE"/>
    <w:lvl w:ilvl="0" w:tplc="491E844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A8B2CEC"/>
    <w:multiLevelType w:val="hybridMultilevel"/>
    <w:tmpl w:val="FDB00238"/>
    <w:lvl w:ilvl="0" w:tplc="BD9EF866">
      <w:start w:val="1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4C57BCF"/>
    <w:multiLevelType w:val="hybridMultilevel"/>
    <w:tmpl w:val="3554269C"/>
    <w:lvl w:ilvl="0" w:tplc="F52C1D16">
      <w:numFmt w:val="bullet"/>
      <w:lvlText w:val="-"/>
      <w:lvlJc w:val="left"/>
      <w:pPr>
        <w:ind w:left="720" w:hanging="360"/>
      </w:pPr>
      <w:rPr>
        <w:rFonts w:ascii="Calibri" w:eastAsia="PMingLiU"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84F41FF"/>
    <w:multiLevelType w:val="hybridMultilevel"/>
    <w:tmpl w:val="06ECF1A8"/>
    <w:lvl w:ilvl="0" w:tplc="7216123C">
      <w:start w:val="1"/>
      <w:numFmt w:val="bullet"/>
      <w:lvlText w:val="-"/>
      <w:lvlJc w:val="left"/>
      <w:pPr>
        <w:tabs>
          <w:tab w:val="num" w:pos="720"/>
        </w:tabs>
        <w:ind w:left="720" w:hanging="360"/>
      </w:pPr>
      <w:rPr>
        <w:rFonts w:ascii="Arial" w:hAnsi="Arial" w:hint="default"/>
      </w:rPr>
    </w:lvl>
    <w:lvl w:ilvl="1" w:tplc="D4D69B72" w:tentative="1">
      <w:start w:val="1"/>
      <w:numFmt w:val="bullet"/>
      <w:lvlText w:val="-"/>
      <w:lvlJc w:val="left"/>
      <w:pPr>
        <w:tabs>
          <w:tab w:val="num" w:pos="1440"/>
        </w:tabs>
        <w:ind w:left="1440" w:hanging="360"/>
      </w:pPr>
      <w:rPr>
        <w:rFonts w:ascii="Arial" w:hAnsi="Arial" w:hint="default"/>
      </w:rPr>
    </w:lvl>
    <w:lvl w:ilvl="2" w:tplc="F4A4DA8A" w:tentative="1">
      <w:start w:val="1"/>
      <w:numFmt w:val="bullet"/>
      <w:lvlText w:val="-"/>
      <w:lvlJc w:val="left"/>
      <w:pPr>
        <w:tabs>
          <w:tab w:val="num" w:pos="2160"/>
        </w:tabs>
        <w:ind w:left="2160" w:hanging="360"/>
      </w:pPr>
      <w:rPr>
        <w:rFonts w:ascii="Arial" w:hAnsi="Arial" w:hint="default"/>
      </w:rPr>
    </w:lvl>
    <w:lvl w:ilvl="3" w:tplc="992E1B1C" w:tentative="1">
      <w:start w:val="1"/>
      <w:numFmt w:val="bullet"/>
      <w:lvlText w:val="-"/>
      <w:lvlJc w:val="left"/>
      <w:pPr>
        <w:tabs>
          <w:tab w:val="num" w:pos="2880"/>
        </w:tabs>
        <w:ind w:left="2880" w:hanging="360"/>
      </w:pPr>
      <w:rPr>
        <w:rFonts w:ascii="Arial" w:hAnsi="Arial" w:hint="default"/>
      </w:rPr>
    </w:lvl>
    <w:lvl w:ilvl="4" w:tplc="87344526" w:tentative="1">
      <w:start w:val="1"/>
      <w:numFmt w:val="bullet"/>
      <w:lvlText w:val="-"/>
      <w:lvlJc w:val="left"/>
      <w:pPr>
        <w:tabs>
          <w:tab w:val="num" w:pos="3600"/>
        </w:tabs>
        <w:ind w:left="3600" w:hanging="360"/>
      </w:pPr>
      <w:rPr>
        <w:rFonts w:ascii="Arial" w:hAnsi="Arial" w:hint="default"/>
      </w:rPr>
    </w:lvl>
    <w:lvl w:ilvl="5" w:tplc="48FEB5AE" w:tentative="1">
      <w:start w:val="1"/>
      <w:numFmt w:val="bullet"/>
      <w:lvlText w:val="-"/>
      <w:lvlJc w:val="left"/>
      <w:pPr>
        <w:tabs>
          <w:tab w:val="num" w:pos="4320"/>
        </w:tabs>
        <w:ind w:left="4320" w:hanging="360"/>
      </w:pPr>
      <w:rPr>
        <w:rFonts w:ascii="Arial" w:hAnsi="Arial" w:hint="default"/>
      </w:rPr>
    </w:lvl>
    <w:lvl w:ilvl="6" w:tplc="53A2F4D2" w:tentative="1">
      <w:start w:val="1"/>
      <w:numFmt w:val="bullet"/>
      <w:lvlText w:val="-"/>
      <w:lvlJc w:val="left"/>
      <w:pPr>
        <w:tabs>
          <w:tab w:val="num" w:pos="5040"/>
        </w:tabs>
        <w:ind w:left="5040" w:hanging="360"/>
      </w:pPr>
      <w:rPr>
        <w:rFonts w:ascii="Arial" w:hAnsi="Arial" w:hint="default"/>
      </w:rPr>
    </w:lvl>
    <w:lvl w:ilvl="7" w:tplc="AEA686B4" w:tentative="1">
      <w:start w:val="1"/>
      <w:numFmt w:val="bullet"/>
      <w:lvlText w:val="-"/>
      <w:lvlJc w:val="left"/>
      <w:pPr>
        <w:tabs>
          <w:tab w:val="num" w:pos="5760"/>
        </w:tabs>
        <w:ind w:left="5760" w:hanging="360"/>
      </w:pPr>
      <w:rPr>
        <w:rFonts w:ascii="Arial" w:hAnsi="Arial" w:hint="default"/>
      </w:rPr>
    </w:lvl>
    <w:lvl w:ilvl="8" w:tplc="0F3A898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FF3628E"/>
    <w:multiLevelType w:val="hybridMultilevel"/>
    <w:tmpl w:val="771602E6"/>
    <w:lvl w:ilvl="0" w:tplc="30548F9A">
      <w:start w:val="202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39763A7"/>
    <w:multiLevelType w:val="hybridMultilevel"/>
    <w:tmpl w:val="F904BEEC"/>
    <w:lvl w:ilvl="0" w:tplc="E0A2536E">
      <w:start w:val="202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3AC074F"/>
    <w:multiLevelType w:val="hybridMultilevel"/>
    <w:tmpl w:val="495E1DFA"/>
    <w:lvl w:ilvl="0" w:tplc="C0109F8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137D7D"/>
    <w:multiLevelType w:val="hybridMultilevel"/>
    <w:tmpl w:val="F856C146"/>
    <w:lvl w:ilvl="0" w:tplc="F37A31CE">
      <w:start w:val="10"/>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FA73130"/>
    <w:multiLevelType w:val="hybridMultilevel"/>
    <w:tmpl w:val="65281904"/>
    <w:lvl w:ilvl="0" w:tplc="DF56ABD4">
      <w:start w:val="1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B26451B"/>
    <w:multiLevelType w:val="hybridMultilevel"/>
    <w:tmpl w:val="C1DEF65C"/>
    <w:lvl w:ilvl="0" w:tplc="0E7285A0">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9576527">
    <w:abstractNumId w:val="1"/>
  </w:num>
  <w:num w:numId="2" w16cid:durableId="433785663">
    <w:abstractNumId w:val="2"/>
  </w:num>
  <w:num w:numId="3" w16cid:durableId="1729918350">
    <w:abstractNumId w:val="11"/>
  </w:num>
  <w:num w:numId="4" w16cid:durableId="253903565">
    <w:abstractNumId w:val="7"/>
  </w:num>
  <w:num w:numId="5" w16cid:durableId="802504195">
    <w:abstractNumId w:val="3"/>
  </w:num>
  <w:num w:numId="6" w16cid:durableId="197862842">
    <w:abstractNumId w:val="4"/>
  </w:num>
  <w:num w:numId="7" w16cid:durableId="1431047350">
    <w:abstractNumId w:val="6"/>
  </w:num>
  <w:num w:numId="8" w16cid:durableId="1469476053">
    <w:abstractNumId w:val="13"/>
  </w:num>
  <w:num w:numId="9" w16cid:durableId="1848516986">
    <w:abstractNumId w:val="0"/>
  </w:num>
  <w:num w:numId="10" w16cid:durableId="2118717874">
    <w:abstractNumId w:val="9"/>
  </w:num>
  <w:num w:numId="11" w16cid:durableId="185876810">
    <w:abstractNumId w:val="8"/>
  </w:num>
  <w:num w:numId="12" w16cid:durableId="2013485861">
    <w:abstractNumId w:val="5"/>
  </w:num>
  <w:num w:numId="13" w16cid:durableId="754328487">
    <w:abstractNumId w:val="12"/>
  </w:num>
  <w:num w:numId="14" w16cid:durableId="9503618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mailMerge>
    <w:mainDocumentType w:val="email"/>
    <w:dataType w:val="textFile"/>
    <w:activeRecord w:val="-1"/>
  </w:mailMerg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943"/>
    <w:rsid w:val="00000169"/>
    <w:rsid w:val="00001E30"/>
    <w:rsid w:val="00004650"/>
    <w:rsid w:val="00004B58"/>
    <w:rsid w:val="00005244"/>
    <w:rsid w:val="00006087"/>
    <w:rsid w:val="00006860"/>
    <w:rsid w:val="00014977"/>
    <w:rsid w:val="0001513F"/>
    <w:rsid w:val="000158F1"/>
    <w:rsid w:val="00016072"/>
    <w:rsid w:val="000162B2"/>
    <w:rsid w:val="000171EA"/>
    <w:rsid w:val="00017461"/>
    <w:rsid w:val="00017F00"/>
    <w:rsid w:val="000221D6"/>
    <w:rsid w:val="00023000"/>
    <w:rsid w:val="00026596"/>
    <w:rsid w:val="00032B41"/>
    <w:rsid w:val="00032EF8"/>
    <w:rsid w:val="00033084"/>
    <w:rsid w:val="00033B04"/>
    <w:rsid w:val="00034035"/>
    <w:rsid w:val="000349D8"/>
    <w:rsid w:val="00034F87"/>
    <w:rsid w:val="000366C2"/>
    <w:rsid w:val="00036DD3"/>
    <w:rsid w:val="000419CA"/>
    <w:rsid w:val="00044002"/>
    <w:rsid w:val="00044266"/>
    <w:rsid w:val="0005001B"/>
    <w:rsid w:val="0005108F"/>
    <w:rsid w:val="00053A1A"/>
    <w:rsid w:val="000544C4"/>
    <w:rsid w:val="0005493C"/>
    <w:rsid w:val="00054E8F"/>
    <w:rsid w:val="00055376"/>
    <w:rsid w:val="00055B74"/>
    <w:rsid w:val="00057418"/>
    <w:rsid w:val="00062A8A"/>
    <w:rsid w:val="00062D67"/>
    <w:rsid w:val="00062DC6"/>
    <w:rsid w:val="000650ED"/>
    <w:rsid w:val="00065AA0"/>
    <w:rsid w:val="00066333"/>
    <w:rsid w:val="00067197"/>
    <w:rsid w:val="00067501"/>
    <w:rsid w:val="0006786A"/>
    <w:rsid w:val="000679D7"/>
    <w:rsid w:val="0007096D"/>
    <w:rsid w:val="00071B9F"/>
    <w:rsid w:val="0007438C"/>
    <w:rsid w:val="000766D5"/>
    <w:rsid w:val="00076970"/>
    <w:rsid w:val="0007755C"/>
    <w:rsid w:val="0008071A"/>
    <w:rsid w:val="00080ADA"/>
    <w:rsid w:val="0008238B"/>
    <w:rsid w:val="00082CD7"/>
    <w:rsid w:val="00082E1D"/>
    <w:rsid w:val="000831A0"/>
    <w:rsid w:val="0008323B"/>
    <w:rsid w:val="00086563"/>
    <w:rsid w:val="00087711"/>
    <w:rsid w:val="00087849"/>
    <w:rsid w:val="00087A3D"/>
    <w:rsid w:val="00092245"/>
    <w:rsid w:val="00092ACE"/>
    <w:rsid w:val="00093C64"/>
    <w:rsid w:val="00095A11"/>
    <w:rsid w:val="00097B97"/>
    <w:rsid w:val="000A00DE"/>
    <w:rsid w:val="000A086B"/>
    <w:rsid w:val="000A1677"/>
    <w:rsid w:val="000A1D30"/>
    <w:rsid w:val="000A1E1A"/>
    <w:rsid w:val="000A1EA1"/>
    <w:rsid w:val="000A2025"/>
    <w:rsid w:val="000A2144"/>
    <w:rsid w:val="000A2EC0"/>
    <w:rsid w:val="000A337A"/>
    <w:rsid w:val="000A34D4"/>
    <w:rsid w:val="000A39EF"/>
    <w:rsid w:val="000A5EDA"/>
    <w:rsid w:val="000A6730"/>
    <w:rsid w:val="000A72B8"/>
    <w:rsid w:val="000A7E0A"/>
    <w:rsid w:val="000B1B0C"/>
    <w:rsid w:val="000B25EB"/>
    <w:rsid w:val="000B27C5"/>
    <w:rsid w:val="000B47BE"/>
    <w:rsid w:val="000B4814"/>
    <w:rsid w:val="000B6BEC"/>
    <w:rsid w:val="000C0D2C"/>
    <w:rsid w:val="000C1155"/>
    <w:rsid w:val="000C1D98"/>
    <w:rsid w:val="000C2287"/>
    <w:rsid w:val="000C52E7"/>
    <w:rsid w:val="000C552C"/>
    <w:rsid w:val="000C6B0C"/>
    <w:rsid w:val="000C779F"/>
    <w:rsid w:val="000C77D3"/>
    <w:rsid w:val="000D0BFE"/>
    <w:rsid w:val="000D12F8"/>
    <w:rsid w:val="000D1977"/>
    <w:rsid w:val="000D2B81"/>
    <w:rsid w:val="000D2DCD"/>
    <w:rsid w:val="000D314F"/>
    <w:rsid w:val="000D5D2B"/>
    <w:rsid w:val="000D70E4"/>
    <w:rsid w:val="000D7C38"/>
    <w:rsid w:val="000E1A02"/>
    <w:rsid w:val="000E1DF8"/>
    <w:rsid w:val="000E3A69"/>
    <w:rsid w:val="000E5E2A"/>
    <w:rsid w:val="000E7086"/>
    <w:rsid w:val="000F34A7"/>
    <w:rsid w:val="000F39C3"/>
    <w:rsid w:val="000F4797"/>
    <w:rsid w:val="000F60B1"/>
    <w:rsid w:val="000F64C9"/>
    <w:rsid w:val="000F790F"/>
    <w:rsid w:val="00100481"/>
    <w:rsid w:val="00100B73"/>
    <w:rsid w:val="0010372D"/>
    <w:rsid w:val="001045A6"/>
    <w:rsid w:val="00104C8C"/>
    <w:rsid w:val="00104E9B"/>
    <w:rsid w:val="001058E0"/>
    <w:rsid w:val="00105C84"/>
    <w:rsid w:val="0010643C"/>
    <w:rsid w:val="001064A7"/>
    <w:rsid w:val="0011316F"/>
    <w:rsid w:val="00114049"/>
    <w:rsid w:val="0011443F"/>
    <w:rsid w:val="0011497E"/>
    <w:rsid w:val="00114D42"/>
    <w:rsid w:val="00115103"/>
    <w:rsid w:val="00115379"/>
    <w:rsid w:val="00115462"/>
    <w:rsid w:val="00116565"/>
    <w:rsid w:val="001202B4"/>
    <w:rsid w:val="00120A0D"/>
    <w:rsid w:val="0012304F"/>
    <w:rsid w:val="001230C1"/>
    <w:rsid w:val="001246BC"/>
    <w:rsid w:val="00124A05"/>
    <w:rsid w:val="00124FA1"/>
    <w:rsid w:val="00125474"/>
    <w:rsid w:val="0012566F"/>
    <w:rsid w:val="001262D3"/>
    <w:rsid w:val="00126D6F"/>
    <w:rsid w:val="00127A07"/>
    <w:rsid w:val="001309A9"/>
    <w:rsid w:val="00131552"/>
    <w:rsid w:val="0013241A"/>
    <w:rsid w:val="0013261F"/>
    <w:rsid w:val="001329EB"/>
    <w:rsid w:val="00134800"/>
    <w:rsid w:val="00135CBF"/>
    <w:rsid w:val="00135CD7"/>
    <w:rsid w:val="001362D6"/>
    <w:rsid w:val="00141F10"/>
    <w:rsid w:val="001422DD"/>
    <w:rsid w:val="00142834"/>
    <w:rsid w:val="00142FD3"/>
    <w:rsid w:val="00144F4C"/>
    <w:rsid w:val="00146670"/>
    <w:rsid w:val="00146F24"/>
    <w:rsid w:val="0014795B"/>
    <w:rsid w:val="00147E43"/>
    <w:rsid w:val="0015008F"/>
    <w:rsid w:val="00150BD1"/>
    <w:rsid w:val="00151610"/>
    <w:rsid w:val="0015167E"/>
    <w:rsid w:val="00153984"/>
    <w:rsid w:val="00153D1F"/>
    <w:rsid w:val="00154824"/>
    <w:rsid w:val="00156D1E"/>
    <w:rsid w:val="00156EF2"/>
    <w:rsid w:val="001607D6"/>
    <w:rsid w:val="001610CA"/>
    <w:rsid w:val="001613CA"/>
    <w:rsid w:val="00161A57"/>
    <w:rsid w:val="00161E9D"/>
    <w:rsid w:val="001642C0"/>
    <w:rsid w:val="001645F1"/>
    <w:rsid w:val="00164D55"/>
    <w:rsid w:val="00165709"/>
    <w:rsid w:val="00165D62"/>
    <w:rsid w:val="00166404"/>
    <w:rsid w:val="0016743F"/>
    <w:rsid w:val="00174667"/>
    <w:rsid w:val="001764B6"/>
    <w:rsid w:val="001766F5"/>
    <w:rsid w:val="001768A6"/>
    <w:rsid w:val="001802DE"/>
    <w:rsid w:val="001828E8"/>
    <w:rsid w:val="0018297A"/>
    <w:rsid w:val="001855FF"/>
    <w:rsid w:val="001869EE"/>
    <w:rsid w:val="00186E9F"/>
    <w:rsid w:val="00187BEF"/>
    <w:rsid w:val="00190861"/>
    <w:rsid w:val="001914C2"/>
    <w:rsid w:val="00191CB2"/>
    <w:rsid w:val="00193933"/>
    <w:rsid w:val="00194F73"/>
    <w:rsid w:val="001951E8"/>
    <w:rsid w:val="00195399"/>
    <w:rsid w:val="00195C6D"/>
    <w:rsid w:val="001960B2"/>
    <w:rsid w:val="0019625C"/>
    <w:rsid w:val="0019764B"/>
    <w:rsid w:val="001A19BA"/>
    <w:rsid w:val="001A2765"/>
    <w:rsid w:val="001A3800"/>
    <w:rsid w:val="001A7447"/>
    <w:rsid w:val="001A7E43"/>
    <w:rsid w:val="001A7F7D"/>
    <w:rsid w:val="001B33B0"/>
    <w:rsid w:val="001B35D7"/>
    <w:rsid w:val="001B44EF"/>
    <w:rsid w:val="001B4FA1"/>
    <w:rsid w:val="001B5613"/>
    <w:rsid w:val="001B5FE5"/>
    <w:rsid w:val="001B69C3"/>
    <w:rsid w:val="001B79B9"/>
    <w:rsid w:val="001B7A61"/>
    <w:rsid w:val="001B7FB3"/>
    <w:rsid w:val="001C03DD"/>
    <w:rsid w:val="001C0DF4"/>
    <w:rsid w:val="001C1C00"/>
    <w:rsid w:val="001C1FEF"/>
    <w:rsid w:val="001C25B6"/>
    <w:rsid w:val="001C297A"/>
    <w:rsid w:val="001C2A36"/>
    <w:rsid w:val="001C333D"/>
    <w:rsid w:val="001C3443"/>
    <w:rsid w:val="001C48A4"/>
    <w:rsid w:val="001C576C"/>
    <w:rsid w:val="001C7F27"/>
    <w:rsid w:val="001D20AB"/>
    <w:rsid w:val="001D245F"/>
    <w:rsid w:val="001D5BB9"/>
    <w:rsid w:val="001E07DA"/>
    <w:rsid w:val="001E0921"/>
    <w:rsid w:val="001E0DB9"/>
    <w:rsid w:val="001E1D50"/>
    <w:rsid w:val="001E3643"/>
    <w:rsid w:val="001E4A94"/>
    <w:rsid w:val="001E4E51"/>
    <w:rsid w:val="001E5577"/>
    <w:rsid w:val="001E5D51"/>
    <w:rsid w:val="001E6405"/>
    <w:rsid w:val="001E6A1E"/>
    <w:rsid w:val="001F5756"/>
    <w:rsid w:val="001F64CB"/>
    <w:rsid w:val="001F6807"/>
    <w:rsid w:val="001F783F"/>
    <w:rsid w:val="001F7C24"/>
    <w:rsid w:val="00202169"/>
    <w:rsid w:val="00202BDA"/>
    <w:rsid w:val="00203F12"/>
    <w:rsid w:val="002050D0"/>
    <w:rsid w:val="00205254"/>
    <w:rsid w:val="002057D4"/>
    <w:rsid w:val="00212C61"/>
    <w:rsid w:val="00213F46"/>
    <w:rsid w:val="00213FC6"/>
    <w:rsid w:val="00214FAB"/>
    <w:rsid w:val="002165FE"/>
    <w:rsid w:val="00217AD4"/>
    <w:rsid w:val="00217E6B"/>
    <w:rsid w:val="002207A6"/>
    <w:rsid w:val="00221E42"/>
    <w:rsid w:val="00222AA1"/>
    <w:rsid w:val="0022377B"/>
    <w:rsid w:val="00224038"/>
    <w:rsid w:val="00224284"/>
    <w:rsid w:val="00224F0E"/>
    <w:rsid w:val="00230D4D"/>
    <w:rsid w:val="002401B0"/>
    <w:rsid w:val="002418DB"/>
    <w:rsid w:val="00242192"/>
    <w:rsid w:val="00244B0F"/>
    <w:rsid w:val="00245099"/>
    <w:rsid w:val="0024553D"/>
    <w:rsid w:val="00246F10"/>
    <w:rsid w:val="00247943"/>
    <w:rsid w:val="0025106C"/>
    <w:rsid w:val="002511A0"/>
    <w:rsid w:val="00251963"/>
    <w:rsid w:val="00252997"/>
    <w:rsid w:val="00253ECD"/>
    <w:rsid w:val="00254030"/>
    <w:rsid w:val="00254EB5"/>
    <w:rsid w:val="00261296"/>
    <w:rsid w:val="00261512"/>
    <w:rsid w:val="002624E9"/>
    <w:rsid w:val="002636B5"/>
    <w:rsid w:val="00263F96"/>
    <w:rsid w:val="00264CED"/>
    <w:rsid w:val="00264F1B"/>
    <w:rsid w:val="00266E32"/>
    <w:rsid w:val="00267813"/>
    <w:rsid w:val="00267ACA"/>
    <w:rsid w:val="0027007C"/>
    <w:rsid w:val="00270C46"/>
    <w:rsid w:val="002728A8"/>
    <w:rsid w:val="00272A8E"/>
    <w:rsid w:val="00272AB0"/>
    <w:rsid w:val="00273B83"/>
    <w:rsid w:val="00273C29"/>
    <w:rsid w:val="0027402B"/>
    <w:rsid w:val="00275FB5"/>
    <w:rsid w:val="0027655E"/>
    <w:rsid w:val="0028253D"/>
    <w:rsid w:val="00282A5F"/>
    <w:rsid w:val="0028378F"/>
    <w:rsid w:val="00284DD5"/>
    <w:rsid w:val="002858AE"/>
    <w:rsid w:val="002878FD"/>
    <w:rsid w:val="00292C2B"/>
    <w:rsid w:val="002930C9"/>
    <w:rsid w:val="0029614D"/>
    <w:rsid w:val="002A2B40"/>
    <w:rsid w:val="002A2D5A"/>
    <w:rsid w:val="002A2ED6"/>
    <w:rsid w:val="002A3E47"/>
    <w:rsid w:val="002A60DC"/>
    <w:rsid w:val="002A7837"/>
    <w:rsid w:val="002B1A4A"/>
    <w:rsid w:val="002B273C"/>
    <w:rsid w:val="002B3725"/>
    <w:rsid w:val="002B5D56"/>
    <w:rsid w:val="002C063C"/>
    <w:rsid w:val="002C0B36"/>
    <w:rsid w:val="002C1004"/>
    <w:rsid w:val="002C1871"/>
    <w:rsid w:val="002C2AE2"/>
    <w:rsid w:val="002C4547"/>
    <w:rsid w:val="002C4F14"/>
    <w:rsid w:val="002C51A7"/>
    <w:rsid w:val="002C5839"/>
    <w:rsid w:val="002C752B"/>
    <w:rsid w:val="002D12BD"/>
    <w:rsid w:val="002D1376"/>
    <w:rsid w:val="002D2DEC"/>
    <w:rsid w:val="002D34FC"/>
    <w:rsid w:val="002D3F33"/>
    <w:rsid w:val="002D4C1A"/>
    <w:rsid w:val="002D57C2"/>
    <w:rsid w:val="002D6131"/>
    <w:rsid w:val="002D615E"/>
    <w:rsid w:val="002D6B03"/>
    <w:rsid w:val="002E1078"/>
    <w:rsid w:val="002E18D7"/>
    <w:rsid w:val="002E1F2F"/>
    <w:rsid w:val="002E39FF"/>
    <w:rsid w:val="002E3DF7"/>
    <w:rsid w:val="002E4322"/>
    <w:rsid w:val="002E4A51"/>
    <w:rsid w:val="002E5008"/>
    <w:rsid w:val="002E732D"/>
    <w:rsid w:val="002E7CA6"/>
    <w:rsid w:val="002F076C"/>
    <w:rsid w:val="002F1A0F"/>
    <w:rsid w:val="002F2215"/>
    <w:rsid w:val="002F3D6C"/>
    <w:rsid w:val="002F477C"/>
    <w:rsid w:val="002F6016"/>
    <w:rsid w:val="00302451"/>
    <w:rsid w:val="00302716"/>
    <w:rsid w:val="00303B8A"/>
    <w:rsid w:val="00303D8D"/>
    <w:rsid w:val="00303DD6"/>
    <w:rsid w:val="00304E17"/>
    <w:rsid w:val="00310201"/>
    <w:rsid w:val="00310D0B"/>
    <w:rsid w:val="00310ECE"/>
    <w:rsid w:val="003123D0"/>
    <w:rsid w:val="00312467"/>
    <w:rsid w:val="0031389C"/>
    <w:rsid w:val="003152F5"/>
    <w:rsid w:val="00315BAC"/>
    <w:rsid w:val="00315F30"/>
    <w:rsid w:val="003161ED"/>
    <w:rsid w:val="00316A23"/>
    <w:rsid w:val="003172F8"/>
    <w:rsid w:val="00320075"/>
    <w:rsid w:val="00320A31"/>
    <w:rsid w:val="00320A3F"/>
    <w:rsid w:val="003215CA"/>
    <w:rsid w:val="0032171F"/>
    <w:rsid w:val="0032297D"/>
    <w:rsid w:val="0032343F"/>
    <w:rsid w:val="003239D9"/>
    <w:rsid w:val="00324583"/>
    <w:rsid w:val="00325C91"/>
    <w:rsid w:val="00326943"/>
    <w:rsid w:val="00327407"/>
    <w:rsid w:val="00327E59"/>
    <w:rsid w:val="003305B2"/>
    <w:rsid w:val="003306A1"/>
    <w:rsid w:val="00332DA4"/>
    <w:rsid w:val="003334FA"/>
    <w:rsid w:val="00334A50"/>
    <w:rsid w:val="00335332"/>
    <w:rsid w:val="00335638"/>
    <w:rsid w:val="003366D7"/>
    <w:rsid w:val="0033687A"/>
    <w:rsid w:val="00336B96"/>
    <w:rsid w:val="00337931"/>
    <w:rsid w:val="003401BC"/>
    <w:rsid w:val="00342579"/>
    <w:rsid w:val="00343CB8"/>
    <w:rsid w:val="00345D5D"/>
    <w:rsid w:val="003464C2"/>
    <w:rsid w:val="00346FF6"/>
    <w:rsid w:val="003503ED"/>
    <w:rsid w:val="00351068"/>
    <w:rsid w:val="0035113B"/>
    <w:rsid w:val="0035275E"/>
    <w:rsid w:val="003533C5"/>
    <w:rsid w:val="00355435"/>
    <w:rsid w:val="0035571B"/>
    <w:rsid w:val="00356262"/>
    <w:rsid w:val="0035702D"/>
    <w:rsid w:val="003571AD"/>
    <w:rsid w:val="00357877"/>
    <w:rsid w:val="003603B9"/>
    <w:rsid w:val="00360F61"/>
    <w:rsid w:val="00361426"/>
    <w:rsid w:val="00361DD8"/>
    <w:rsid w:val="00362759"/>
    <w:rsid w:val="00364050"/>
    <w:rsid w:val="00364371"/>
    <w:rsid w:val="0036442C"/>
    <w:rsid w:val="003654CD"/>
    <w:rsid w:val="00365B2D"/>
    <w:rsid w:val="00365D50"/>
    <w:rsid w:val="003660C8"/>
    <w:rsid w:val="003668D4"/>
    <w:rsid w:val="00366C7D"/>
    <w:rsid w:val="00367443"/>
    <w:rsid w:val="00367D3B"/>
    <w:rsid w:val="00367F9E"/>
    <w:rsid w:val="0037051A"/>
    <w:rsid w:val="003707A8"/>
    <w:rsid w:val="00370F35"/>
    <w:rsid w:val="003713E7"/>
    <w:rsid w:val="003716C3"/>
    <w:rsid w:val="003724E9"/>
    <w:rsid w:val="003727EB"/>
    <w:rsid w:val="0037320F"/>
    <w:rsid w:val="0037353B"/>
    <w:rsid w:val="00373AE4"/>
    <w:rsid w:val="00373D9D"/>
    <w:rsid w:val="003745FD"/>
    <w:rsid w:val="00375EA8"/>
    <w:rsid w:val="00380C99"/>
    <w:rsid w:val="00382A30"/>
    <w:rsid w:val="003831B6"/>
    <w:rsid w:val="00383E25"/>
    <w:rsid w:val="003844CD"/>
    <w:rsid w:val="003909E1"/>
    <w:rsid w:val="00391FA6"/>
    <w:rsid w:val="0039301A"/>
    <w:rsid w:val="00393731"/>
    <w:rsid w:val="003947A8"/>
    <w:rsid w:val="003952ED"/>
    <w:rsid w:val="00395434"/>
    <w:rsid w:val="00395A5D"/>
    <w:rsid w:val="00396883"/>
    <w:rsid w:val="00397D2D"/>
    <w:rsid w:val="00397F9F"/>
    <w:rsid w:val="003A0AAE"/>
    <w:rsid w:val="003A1647"/>
    <w:rsid w:val="003A2F89"/>
    <w:rsid w:val="003A30BE"/>
    <w:rsid w:val="003A42C1"/>
    <w:rsid w:val="003A44E4"/>
    <w:rsid w:val="003A5DED"/>
    <w:rsid w:val="003A6E43"/>
    <w:rsid w:val="003A6F74"/>
    <w:rsid w:val="003B0E41"/>
    <w:rsid w:val="003B29C5"/>
    <w:rsid w:val="003B2E15"/>
    <w:rsid w:val="003B2E74"/>
    <w:rsid w:val="003B3F77"/>
    <w:rsid w:val="003B48EF"/>
    <w:rsid w:val="003B61CD"/>
    <w:rsid w:val="003B6752"/>
    <w:rsid w:val="003C04E3"/>
    <w:rsid w:val="003C2522"/>
    <w:rsid w:val="003C2B53"/>
    <w:rsid w:val="003C2DA2"/>
    <w:rsid w:val="003C3D7F"/>
    <w:rsid w:val="003C4F56"/>
    <w:rsid w:val="003C5DC3"/>
    <w:rsid w:val="003C7352"/>
    <w:rsid w:val="003C7394"/>
    <w:rsid w:val="003C7CA9"/>
    <w:rsid w:val="003D104A"/>
    <w:rsid w:val="003D1132"/>
    <w:rsid w:val="003D14D7"/>
    <w:rsid w:val="003D2AB0"/>
    <w:rsid w:val="003D3DB8"/>
    <w:rsid w:val="003D424E"/>
    <w:rsid w:val="003D5446"/>
    <w:rsid w:val="003D6D17"/>
    <w:rsid w:val="003E0BE6"/>
    <w:rsid w:val="003E0E58"/>
    <w:rsid w:val="003E1610"/>
    <w:rsid w:val="003E2BA3"/>
    <w:rsid w:val="003E31EA"/>
    <w:rsid w:val="003E3DCB"/>
    <w:rsid w:val="003E515C"/>
    <w:rsid w:val="003E6581"/>
    <w:rsid w:val="003E6B52"/>
    <w:rsid w:val="003E75D1"/>
    <w:rsid w:val="003F1CB9"/>
    <w:rsid w:val="003F2B91"/>
    <w:rsid w:val="003F3510"/>
    <w:rsid w:val="003F431E"/>
    <w:rsid w:val="003F618A"/>
    <w:rsid w:val="003F762E"/>
    <w:rsid w:val="003F7F31"/>
    <w:rsid w:val="0040072F"/>
    <w:rsid w:val="00401262"/>
    <w:rsid w:val="00401322"/>
    <w:rsid w:val="00402738"/>
    <w:rsid w:val="00404CED"/>
    <w:rsid w:val="00405C26"/>
    <w:rsid w:val="00407468"/>
    <w:rsid w:val="00407F75"/>
    <w:rsid w:val="00410C72"/>
    <w:rsid w:val="00410CB7"/>
    <w:rsid w:val="00411E07"/>
    <w:rsid w:val="00414950"/>
    <w:rsid w:val="00416028"/>
    <w:rsid w:val="00416A62"/>
    <w:rsid w:val="00420888"/>
    <w:rsid w:val="00421049"/>
    <w:rsid w:val="0042113A"/>
    <w:rsid w:val="00422611"/>
    <w:rsid w:val="00423B22"/>
    <w:rsid w:val="00425C7D"/>
    <w:rsid w:val="004300C6"/>
    <w:rsid w:val="00430E68"/>
    <w:rsid w:val="00432B0F"/>
    <w:rsid w:val="004333DE"/>
    <w:rsid w:val="00433E42"/>
    <w:rsid w:val="00435968"/>
    <w:rsid w:val="00435AAD"/>
    <w:rsid w:val="00435C21"/>
    <w:rsid w:val="004366A2"/>
    <w:rsid w:val="00437356"/>
    <w:rsid w:val="00437589"/>
    <w:rsid w:val="004401B1"/>
    <w:rsid w:val="004403EB"/>
    <w:rsid w:val="00442322"/>
    <w:rsid w:val="0044304B"/>
    <w:rsid w:val="004475DD"/>
    <w:rsid w:val="004476CB"/>
    <w:rsid w:val="00447B3F"/>
    <w:rsid w:val="00453B4E"/>
    <w:rsid w:val="00453E1C"/>
    <w:rsid w:val="00454547"/>
    <w:rsid w:val="004551CA"/>
    <w:rsid w:val="00455AD4"/>
    <w:rsid w:val="0045664E"/>
    <w:rsid w:val="00457A66"/>
    <w:rsid w:val="0046134F"/>
    <w:rsid w:val="00462589"/>
    <w:rsid w:val="00463781"/>
    <w:rsid w:val="00463F39"/>
    <w:rsid w:val="0047073B"/>
    <w:rsid w:val="00471FFB"/>
    <w:rsid w:val="004728A5"/>
    <w:rsid w:val="00472906"/>
    <w:rsid w:val="00474A86"/>
    <w:rsid w:val="0047616B"/>
    <w:rsid w:val="00476BD0"/>
    <w:rsid w:val="00477857"/>
    <w:rsid w:val="00477D22"/>
    <w:rsid w:val="004817D8"/>
    <w:rsid w:val="00481E81"/>
    <w:rsid w:val="00483BB7"/>
    <w:rsid w:val="00484A70"/>
    <w:rsid w:val="00484CE4"/>
    <w:rsid w:val="00484CFC"/>
    <w:rsid w:val="00484DC6"/>
    <w:rsid w:val="00485076"/>
    <w:rsid w:val="004852C9"/>
    <w:rsid w:val="00485870"/>
    <w:rsid w:val="00490B90"/>
    <w:rsid w:val="00490DDA"/>
    <w:rsid w:val="0049113D"/>
    <w:rsid w:val="0049132F"/>
    <w:rsid w:val="00495A30"/>
    <w:rsid w:val="0049605B"/>
    <w:rsid w:val="0049790B"/>
    <w:rsid w:val="004A03FB"/>
    <w:rsid w:val="004A1724"/>
    <w:rsid w:val="004A2FAE"/>
    <w:rsid w:val="004A6401"/>
    <w:rsid w:val="004A6443"/>
    <w:rsid w:val="004A6B15"/>
    <w:rsid w:val="004A7ABD"/>
    <w:rsid w:val="004A7D28"/>
    <w:rsid w:val="004B025B"/>
    <w:rsid w:val="004B1725"/>
    <w:rsid w:val="004B49EC"/>
    <w:rsid w:val="004B4C95"/>
    <w:rsid w:val="004B4D9A"/>
    <w:rsid w:val="004B4E22"/>
    <w:rsid w:val="004C133B"/>
    <w:rsid w:val="004C1B31"/>
    <w:rsid w:val="004C297A"/>
    <w:rsid w:val="004C389E"/>
    <w:rsid w:val="004C3EBA"/>
    <w:rsid w:val="004C4302"/>
    <w:rsid w:val="004C5920"/>
    <w:rsid w:val="004C5DF3"/>
    <w:rsid w:val="004C5ED8"/>
    <w:rsid w:val="004C6901"/>
    <w:rsid w:val="004D12DA"/>
    <w:rsid w:val="004D1CED"/>
    <w:rsid w:val="004D5EDF"/>
    <w:rsid w:val="004D63E3"/>
    <w:rsid w:val="004D6685"/>
    <w:rsid w:val="004D6922"/>
    <w:rsid w:val="004D7651"/>
    <w:rsid w:val="004E1A7D"/>
    <w:rsid w:val="004E1AC6"/>
    <w:rsid w:val="004E27AE"/>
    <w:rsid w:val="004E3A25"/>
    <w:rsid w:val="004E3E95"/>
    <w:rsid w:val="004E4AD6"/>
    <w:rsid w:val="004E6615"/>
    <w:rsid w:val="004E6814"/>
    <w:rsid w:val="004F0729"/>
    <w:rsid w:val="004F09E3"/>
    <w:rsid w:val="004F1275"/>
    <w:rsid w:val="004F196E"/>
    <w:rsid w:val="004F24F2"/>
    <w:rsid w:val="004F29DA"/>
    <w:rsid w:val="004F4A74"/>
    <w:rsid w:val="005024DC"/>
    <w:rsid w:val="00503095"/>
    <w:rsid w:val="00504443"/>
    <w:rsid w:val="005044E1"/>
    <w:rsid w:val="005045E5"/>
    <w:rsid w:val="00504A5F"/>
    <w:rsid w:val="00505601"/>
    <w:rsid w:val="00505850"/>
    <w:rsid w:val="00505C9C"/>
    <w:rsid w:val="005061AA"/>
    <w:rsid w:val="00506DF1"/>
    <w:rsid w:val="00507B3C"/>
    <w:rsid w:val="00512418"/>
    <w:rsid w:val="0051322A"/>
    <w:rsid w:val="005142C0"/>
    <w:rsid w:val="0051446C"/>
    <w:rsid w:val="00514960"/>
    <w:rsid w:val="00516874"/>
    <w:rsid w:val="00517111"/>
    <w:rsid w:val="005208C8"/>
    <w:rsid w:val="00520AEA"/>
    <w:rsid w:val="00520BE6"/>
    <w:rsid w:val="00520C82"/>
    <w:rsid w:val="00521B07"/>
    <w:rsid w:val="005228D2"/>
    <w:rsid w:val="00524989"/>
    <w:rsid w:val="00525ABD"/>
    <w:rsid w:val="00525F88"/>
    <w:rsid w:val="0052644D"/>
    <w:rsid w:val="00526818"/>
    <w:rsid w:val="00527304"/>
    <w:rsid w:val="00527C61"/>
    <w:rsid w:val="00532363"/>
    <w:rsid w:val="005354AE"/>
    <w:rsid w:val="00536B9B"/>
    <w:rsid w:val="00537515"/>
    <w:rsid w:val="00537656"/>
    <w:rsid w:val="005376D6"/>
    <w:rsid w:val="00537A4D"/>
    <w:rsid w:val="00537C68"/>
    <w:rsid w:val="00540AD1"/>
    <w:rsid w:val="00545533"/>
    <w:rsid w:val="00545FBC"/>
    <w:rsid w:val="0054647F"/>
    <w:rsid w:val="0054661B"/>
    <w:rsid w:val="00550C81"/>
    <w:rsid w:val="0055128F"/>
    <w:rsid w:val="00551B4C"/>
    <w:rsid w:val="005531EC"/>
    <w:rsid w:val="00553FBC"/>
    <w:rsid w:val="005547BF"/>
    <w:rsid w:val="00554D9D"/>
    <w:rsid w:val="005552E9"/>
    <w:rsid w:val="00555B26"/>
    <w:rsid w:val="00555B91"/>
    <w:rsid w:val="00556F82"/>
    <w:rsid w:val="0056197F"/>
    <w:rsid w:val="00561FE2"/>
    <w:rsid w:val="00562D02"/>
    <w:rsid w:val="0056315C"/>
    <w:rsid w:val="00563283"/>
    <w:rsid w:val="0056335A"/>
    <w:rsid w:val="00563E7E"/>
    <w:rsid w:val="005642DD"/>
    <w:rsid w:val="00564C9B"/>
    <w:rsid w:val="00566C95"/>
    <w:rsid w:val="00571647"/>
    <w:rsid w:val="00571819"/>
    <w:rsid w:val="00572DA2"/>
    <w:rsid w:val="005736B5"/>
    <w:rsid w:val="00576028"/>
    <w:rsid w:val="005763DB"/>
    <w:rsid w:val="005775FE"/>
    <w:rsid w:val="00577677"/>
    <w:rsid w:val="00577DED"/>
    <w:rsid w:val="0058017E"/>
    <w:rsid w:val="00580733"/>
    <w:rsid w:val="00581327"/>
    <w:rsid w:val="00581C97"/>
    <w:rsid w:val="0058265B"/>
    <w:rsid w:val="0058388D"/>
    <w:rsid w:val="005839E3"/>
    <w:rsid w:val="005839F2"/>
    <w:rsid w:val="00585A0A"/>
    <w:rsid w:val="005864AD"/>
    <w:rsid w:val="00587061"/>
    <w:rsid w:val="00587D55"/>
    <w:rsid w:val="00587F82"/>
    <w:rsid w:val="00591B8C"/>
    <w:rsid w:val="00593090"/>
    <w:rsid w:val="00594873"/>
    <w:rsid w:val="00594F62"/>
    <w:rsid w:val="005954B4"/>
    <w:rsid w:val="00595CAD"/>
    <w:rsid w:val="00596CED"/>
    <w:rsid w:val="005A2501"/>
    <w:rsid w:val="005A28E8"/>
    <w:rsid w:val="005A2AF1"/>
    <w:rsid w:val="005A3968"/>
    <w:rsid w:val="005A44FF"/>
    <w:rsid w:val="005A5299"/>
    <w:rsid w:val="005A7A4D"/>
    <w:rsid w:val="005A7E70"/>
    <w:rsid w:val="005B006B"/>
    <w:rsid w:val="005B12FA"/>
    <w:rsid w:val="005B1718"/>
    <w:rsid w:val="005B2A69"/>
    <w:rsid w:val="005B4768"/>
    <w:rsid w:val="005B493E"/>
    <w:rsid w:val="005B7249"/>
    <w:rsid w:val="005C01AE"/>
    <w:rsid w:val="005C11B5"/>
    <w:rsid w:val="005C13B0"/>
    <w:rsid w:val="005C1934"/>
    <w:rsid w:val="005C1943"/>
    <w:rsid w:val="005C3C3C"/>
    <w:rsid w:val="005C41EF"/>
    <w:rsid w:val="005C575F"/>
    <w:rsid w:val="005C60BB"/>
    <w:rsid w:val="005C6A0D"/>
    <w:rsid w:val="005C6BBE"/>
    <w:rsid w:val="005C6D52"/>
    <w:rsid w:val="005C6DB6"/>
    <w:rsid w:val="005C7415"/>
    <w:rsid w:val="005D053D"/>
    <w:rsid w:val="005D0910"/>
    <w:rsid w:val="005D42A6"/>
    <w:rsid w:val="005D42B1"/>
    <w:rsid w:val="005D59CD"/>
    <w:rsid w:val="005D738B"/>
    <w:rsid w:val="005E0B44"/>
    <w:rsid w:val="005E1864"/>
    <w:rsid w:val="005E236A"/>
    <w:rsid w:val="005E3B90"/>
    <w:rsid w:val="005E419A"/>
    <w:rsid w:val="005E51FF"/>
    <w:rsid w:val="005E58E1"/>
    <w:rsid w:val="005E5B24"/>
    <w:rsid w:val="005E5B52"/>
    <w:rsid w:val="005E5ECB"/>
    <w:rsid w:val="005E7020"/>
    <w:rsid w:val="005F084E"/>
    <w:rsid w:val="005F0A8A"/>
    <w:rsid w:val="005F3FF0"/>
    <w:rsid w:val="005F4524"/>
    <w:rsid w:val="005F4ABC"/>
    <w:rsid w:val="005F5EB0"/>
    <w:rsid w:val="005F772B"/>
    <w:rsid w:val="005F7A84"/>
    <w:rsid w:val="0060060A"/>
    <w:rsid w:val="00601F1A"/>
    <w:rsid w:val="006028B1"/>
    <w:rsid w:val="00602E5F"/>
    <w:rsid w:val="00602FFB"/>
    <w:rsid w:val="00603141"/>
    <w:rsid w:val="00603693"/>
    <w:rsid w:val="00603B79"/>
    <w:rsid w:val="00603B91"/>
    <w:rsid w:val="00604274"/>
    <w:rsid w:val="0060552B"/>
    <w:rsid w:val="00610BEA"/>
    <w:rsid w:val="00611326"/>
    <w:rsid w:val="00611C5C"/>
    <w:rsid w:val="00611EFE"/>
    <w:rsid w:val="00612725"/>
    <w:rsid w:val="006146A8"/>
    <w:rsid w:val="00614E76"/>
    <w:rsid w:val="006155CF"/>
    <w:rsid w:val="006160C8"/>
    <w:rsid w:val="00621963"/>
    <w:rsid w:val="006223AD"/>
    <w:rsid w:val="00623B0C"/>
    <w:rsid w:val="006257D7"/>
    <w:rsid w:val="00626065"/>
    <w:rsid w:val="00626382"/>
    <w:rsid w:val="00627C6F"/>
    <w:rsid w:val="0063005B"/>
    <w:rsid w:val="00632959"/>
    <w:rsid w:val="00632A2F"/>
    <w:rsid w:val="00634862"/>
    <w:rsid w:val="00635DD9"/>
    <w:rsid w:val="00635F63"/>
    <w:rsid w:val="00640878"/>
    <w:rsid w:val="00642A66"/>
    <w:rsid w:val="00643505"/>
    <w:rsid w:val="0064499D"/>
    <w:rsid w:val="006454CC"/>
    <w:rsid w:val="0064654D"/>
    <w:rsid w:val="0064668C"/>
    <w:rsid w:val="006478ED"/>
    <w:rsid w:val="00647974"/>
    <w:rsid w:val="00650A3A"/>
    <w:rsid w:val="00650A73"/>
    <w:rsid w:val="006529D6"/>
    <w:rsid w:val="00652DE8"/>
    <w:rsid w:val="00653FBB"/>
    <w:rsid w:val="0065523B"/>
    <w:rsid w:val="0065675B"/>
    <w:rsid w:val="00660A8C"/>
    <w:rsid w:val="0066376E"/>
    <w:rsid w:val="00663D34"/>
    <w:rsid w:val="006642E5"/>
    <w:rsid w:val="0066436B"/>
    <w:rsid w:val="00664659"/>
    <w:rsid w:val="006648C4"/>
    <w:rsid w:val="0066682C"/>
    <w:rsid w:val="006669D1"/>
    <w:rsid w:val="006674AE"/>
    <w:rsid w:val="0066782D"/>
    <w:rsid w:val="00667BA1"/>
    <w:rsid w:val="0067027E"/>
    <w:rsid w:val="006706DD"/>
    <w:rsid w:val="00670BEE"/>
    <w:rsid w:val="0067115A"/>
    <w:rsid w:val="0067201E"/>
    <w:rsid w:val="006723C7"/>
    <w:rsid w:val="006733E8"/>
    <w:rsid w:val="006756EC"/>
    <w:rsid w:val="006756FC"/>
    <w:rsid w:val="00675820"/>
    <w:rsid w:val="00675D0C"/>
    <w:rsid w:val="00675EBD"/>
    <w:rsid w:val="00676F20"/>
    <w:rsid w:val="00680B54"/>
    <w:rsid w:val="00682D20"/>
    <w:rsid w:val="0068337D"/>
    <w:rsid w:val="00683E88"/>
    <w:rsid w:val="00684D52"/>
    <w:rsid w:val="00685126"/>
    <w:rsid w:val="0068657C"/>
    <w:rsid w:val="0069201F"/>
    <w:rsid w:val="006952F0"/>
    <w:rsid w:val="006963D2"/>
    <w:rsid w:val="006973A5"/>
    <w:rsid w:val="00697575"/>
    <w:rsid w:val="006A00DF"/>
    <w:rsid w:val="006A062A"/>
    <w:rsid w:val="006A1E09"/>
    <w:rsid w:val="006A3419"/>
    <w:rsid w:val="006A3C9A"/>
    <w:rsid w:val="006A4148"/>
    <w:rsid w:val="006A437E"/>
    <w:rsid w:val="006A54C3"/>
    <w:rsid w:val="006A5DB5"/>
    <w:rsid w:val="006A640B"/>
    <w:rsid w:val="006A7A3C"/>
    <w:rsid w:val="006A7ECC"/>
    <w:rsid w:val="006B03F0"/>
    <w:rsid w:val="006B18B6"/>
    <w:rsid w:val="006B19D1"/>
    <w:rsid w:val="006B211F"/>
    <w:rsid w:val="006B2ADD"/>
    <w:rsid w:val="006B2CA3"/>
    <w:rsid w:val="006B2F86"/>
    <w:rsid w:val="006B3936"/>
    <w:rsid w:val="006B3B72"/>
    <w:rsid w:val="006B5123"/>
    <w:rsid w:val="006B5EA5"/>
    <w:rsid w:val="006B60A6"/>
    <w:rsid w:val="006B650F"/>
    <w:rsid w:val="006B68CC"/>
    <w:rsid w:val="006B7DE5"/>
    <w:rsid w:val="006C035F"/>
    <w:rsid w:val="006C362A"/>
    <w:rsid w:val="006C3AF8"/>
    <w:rsid w:val="006C3BE5"/>
    <w:rsid w:val="006C4385"/>
    <w:rsid w:val="006C5A37"/>
    <w:rsid w:val="006C6CFF"/>
    <w:rsid w:val="006C6D8D"/>
    <w:rsid w:val="006C6DCB"/>
    <w:rsid w:val="006C7AFD"/>
    <w:rsid w:val="006D0B7D"/>
    <w:rsid w:val="006D1635"/>
    <w:rsid w:val="006D182D"/>
    <w:rsid w:val="006D23EF"/>
    <w:rsid w:val="006D3D9F"/>
    <w:rsid w:val="006D5E66"/>
    <w:rsid w:val="006D7299"/>
    <w:rsid w:val="006D7467"/>
    <w:rsid w:val="006D74B0"/>
    <w:rsid w:val="006D7A25"/>
    <w:rsid w:val="006E0634"/>
    <w:rsid w:val="006E0B29"/>
    <w:rsid w:val="006E0DB3"/>
    <w:rsid w:val="006E18EC"/>
    <w:rsid w:val="006E1DBB"/>
    <w:rsid w:val="006E27F8"/>
    <w:rsid w:val="006E335A"/>
    <w:rsid w:val="006E3A3B"/>
    <w:rsid w:val="006E6C76"/>
    <w:rsid w:val="006E7261"/>
    <w:rsid w:val="006F0636"/>
    <w:rsid w:val="006F0FDF"/>
    <w:rsid w:val="006F3FD9"/>
    <w:rsid w:val="006F4A34"/>
    <w:rsid w:val="006F5022"/>
    <w:rsid w:val="007000AB"/>
    <w:rsid w:val="0070077F"/>
    <w:rsid w:val="00700BFA"/>
    <w:rsid w:val="00700C4E"/>
    <w:rsid w:val="007022D5"/>
    <w:rsid w:val="00704FBA"/>
    <w:rsid w:val="00705401"/>
    <w:rsid w:val="007068E5"/>
    <w:rsid w:val="007075B3"/>
    <w:rsid w:val="00710350"/>
    <w:rsid w:val="00717EDF"/>
    <w:rsid w:val="00720102"/>
    <w:rsid w:val="007204F9"/>
    <w:rsid w:val="00720B0E"/>
    <w:rsid w:val="00724502"/>
    <w:rsid w:val="00724C77"/>
    <w:rsid w:val="007251C1"/>
    <w:rsid w:val="00725295"/>
    <w:rsid w:val="00725BE6"/>
    <w:rsid w:val="00726439"/>
    <w:rsid w:val="00726664"/>
    <w:rsid w:val="007270C0"/>
    <w:rsid w:val="00730B38"/>
    <w:rsid w:val="00732A91"/>
    <w:rsid w:val="007330DC"/>
    <w:rsid w:val="0073410F"/>
    <w:rsid w:val="00734471"/>
    <w:rsid w:val="007366FE"/>
    <w:rsid w:val="007403DA"/>
    <w:rsid w:val="00742137"/>
    <w:rsid w:val="00742148"/>
    <w:rsid w:val="00742303"/>
    <w:rsid w:val="00742971"/>
    <w:rsid w:val="00742DC1"/>
    <w:rsid w:val="00743530"/>
    <w:rsid w:val="0074441D"/>
    <w:rsid w:val="00744504"/>
    <w:rsid w:val="00746582"/>
    <w:rsid w:val="00747A85"/>
    <w:rsid w:val="00747C2E"/>
    <w:rsid w:val="0075147D"/>
    <w:rsid w:val="00751801"/>
    <w:rsid w:val="00752180"/>
    <w:rsid w:val="0075302C"/>
    <w:rsid w:val="00754744"/>
    <w:rsid w:val="0075587C"/>
    <w:rsid w:val="00755AE7"/>
    <w:rsid w:val="00755B46"/>
    <w:rsid w:val="00757607"/>
    <w:rsid w:val="00757E86"/>
    <w:rsid w:val="00757EA3"/>
    <w:rsid w:val="00760C39"/>
    <w:rsid w:val="00761A85"/>
    <w:rsid w:val="00761C3F"/>
    <w:rsid w:val="0076384E"/>
    <w:rsid w:val="007642B3"/>
    <w:rsid w:val="007656CF"/>
    <w:rsid w:val="00766022"/>
    <w:rsid w:val="00766D42"/>
    <w:rsid w:val="007673D0"/>
    <w:rsid w:val="0077118A"/>
    <w:rsid w:val="007725F7"/>
    <w:rsid w:val="00772999"/>
    <w:rsid w:val="00772E8C"/>
    <w:rsid w:val="00773BB4"/>
    <w:rsid w:val="00774CF4"/>
    <w:rsid w:val="00777FD3"/>
    <w:rsid w:val="007809DB"/>
    <w:rsid w:val="00781826"/>
    <w:rsid w:val="007835A4"/>
    <w:rsid w:val="007836B5"/>
    <w:rsid w:val="00783B41"/>
    <w:rsid w:val="00785CFA"/>
    <w:rsid w:val="00786866"/>
    <w:rsid w:val="00790AE2"/>
    <w:rsid w:val="007948B6"/>
    <w:rsid w:val="00794DCF"/>
    <w:rsid w:val="00794FB6"/>
    <w:rsid w:val="007951F0"/>
    <w:rsid w:val="0079753B"/>
    <w:rsid w:val="007A1BB8"/>
    <w:rsid w:val="007A35E0"/>
    <w:rsid w:val="007A6FBF"/>
    <w:rsid w:val="007A7909"/>
    <w:rsid w:val="007A7D73"/>
    <w:rsid w:val="007B02A8"/>
    <w:rsid w:val="007B17AD"/>
    <w:rsid w:val="007B27C0"/>
    <w:rsid w:val="007B5891"/>
    <w:rsid w:val="007B5D5A"/>
    <w:rsid w:val="007B5FE5"/>
    <w:rsid w:val="007B657D"/>
    <w:rsid w:val="007B661B"/>
    <w:rsid w:val="007B70F3"/>
    <w:rsid w:val="007C0171"/>
    <w:rsid w:val="007C1FCA"/>
    <w:rsid w:val="007C2872"/>
    <w:rsid w:val="007C2DA0"/>
    <w:rsid w:val="007C2F0D"/>
    <w:rsid w:val="007C4A76"/>
    <w:rsid w:val="007C4C83"/>
    <w:rsid w:val="007C5704"/>
    <w:rsid w:val="007C58D4"/>
    <w:rsid w:val="007C64E9"/>
    <w:rsid w:val="007D02A1"/>
    <w:rsid w:val="007D1A1C"/>
    <w:rsid w:val="007D23A6"/>
    <w:rsid w:val="007D4025"/>
    <w:rsid w:val="007D4AC5"/>
    <w:rsid w:val="007D4EFE"/>
    <w:rsid w:val="007D52B7"/>
    <w:rsid w:val="007D666C"/>
    <w:rsid w:val="007D6C66"/>
    <w:rsid w:val="007E029B"/>
    <w:rsid w:val="007E0BF1"/>
    <w:rsid w:val="007E0CE4"/>
    <w:rsid w:val="007E2C86"/>
    <w:rsid w:val="007E33A6"/>
    <w:rsid w:val="007E37FD"/>
    <w:rsid w:val="007E4E82"/>
    <w:rsid w:val="007E5F13"/>
    <w:rsid w:val="007E78B4"/>
    <w:rsid w:val="007E7B36"/>
    <w:rsid w:val="007F07AB"/>
    <w:rsid w:val="007F08C5"/>
    <w:rsid w:val="007F0A89"/>
    <w:rsid w:val="007F10A4"/>
    <w:rsid w:val="007F16CA"/>
    <w:rsid w:val="007F1F07"/>
    <w:rsid w:val="007F2956"/>
    <w:rsid w:val="007F2D02"/>
    <w:rsid w:val="007F40D6"/>
    <w:rsid w:val="007F45C8"/>
    <w:rsid w:val="007F61C7"/>
    <w:rsid w:val="007F6300"/>
    <w:rsid w:val="00801132"/>
    <w:rsid w:val="008030F5"/>
    <w:rsid w:val="00803E55"/>
    <w:rsid w:val="0080505A"/>
    <w:rsid w:val="00805B5F"/>
    <w:rsid w:val="00805FC0"/>
    <w:rsid w:val="00806205"/>
    <w:rsid w:val="00806391"/>
    <w:rsid w:val="008066BB"/>
    <w:rsid w:val="00806F9C"/>
    <w:rsid w:val="00807F85"/>
    <w:rsid w:val="008102BB"/>
    <w:rsid w:val="00811FE2"/>
    <w:rsid w:val="00812FD2"/>
    <w:rsid w:val="0081429A"/>
    <w:rsid w:val="00816AF0"/>
    <w:rsid w:val="008175B9"/>
    <w:rsid w:val="00821693"/>
    <w:rsid w:val="0082348D"/>
    <w:rsid w:val="008268CD"/>
    <w:rsid w:val="008270D7"/>
    <w:rsid w:val="008315F2"/>
    <w:rsid w:val="00833844"/>
    <w:rsid w:val="0083413A"/>
    <w:rsid w:val="00835E99"/>
    <w:rsid w:val="00840194"/>
    <w:rsid w:val="008404DA"/>
    <w:rsid w:val="008454CD"/>
    <w:rsid w:val="008456CB"/>
    <w:rsid w:val="008466DF"/>
    <w:rsid w:val="00847E22"/>
    <w:rsid w:val="00847F3A"/>
    <w:rsid w:val="00850043"/>
    <w:rsid w:val="00851A29"/>
    <w:rsid w:val="00851DC6"/>
    <w:rsid w:val="0085398E"/>
    <w:rsid w:val="00853DB1"/>
    <w:rsid w:val="00854190"/>
    <w:rsid w:val="00855C1D"/>
    <w:rsid w:val="00856019"/>
    <w:rsid w:val="008566F9"/>
    <w:rsid w:val="00857D12"/>
    <w:rsid w:val="008611A0"/>
    <w:rsid w:val="008620DC"/>
    <w:rsid w:val="00862465"/>
    <w:rsid w:val="00864495"/>
    <w:rsid w:val="00864784"/>
    <w:rsid w:val="00864AC0"/>
    <w:rsid w:val="008659F5"/>
    <w:rsid w:val="008667B0"/>
    <w:rsid w:val="008676B2"/>
    <w:rsid w:val="00870102"/>
    <w:rsid w:val="00870714"/>
    <w:rsid w:val="00870D1C"/>
    <w:rsid w:val="00871DD4"/>
    <w:rsid w:val="008722D9"/>
    <w:rsid w:val="00872847"/>
    <w:rsid w:val="00872976"/>
    <w:rsid w:val="00873666"/>
    <w:rsid w:val="008743BF"/>
    <w:rsid w:val="0087441A"/>
    <w:rsid w:val="00877D52"/>
    <w:rsid w:val="00881CB5"/>
    <w:rsid w:val="00881D23"/>
    <w:rsid w:val="008820E6"/>
    <w:rsid w:val="00882583"/>
    <w:rsid w:val="008825F4"/>
    <w:rsid w:val="0088279B"/>
    <w:rsid w:val="00884E72"/>
    <w:rsid w:val="008857AA"/>
    <w:rsid w:val="00886491"/>
    <w:rsid w:val="00886D42"/>
    <w:rsid w:val="0089060C"/>
    <w:rsid w:val="00890D45"/>
    <w:rsid w:val="00891074"/>
    <w:rsid w:val="008910AF"/>
    <w:rsid w:val="0089246C"/>
    <w:rsid w:val="00892903"/>
    <w:rsid w:val="00892B10"/>
    <w:rsid w:val="00893782"/>
    <w:rsid w:val="00893FAA"/>
    <w:rsid w:val="00895ED5"/>
    <w:rsid w:val="00895EF3"/>
    <w:rsid w:val="00897332"/>
    <w:rsid w:val="008A0F96"/>
    <w:rsid w:val="008A1BEE"/>
    <w:rsid w:val="008A21AE"/>
    <w:rsid w:val="008A304A"/>
    <w:rsid w:val="008A389F"/>
    <w:rsid w:val="008A3A35"/>
    <w:rsid w:val="008A531D"/>
    <w:rsid w:val="008A594F"/>
    <w:rsid w:val="008B0EB9"/>
    <w:rsid w:val="008B1328"/>
    <w:rsid w:val="008B3232"/>
    <w:rsid w:val="008B3FEF"/>
    <w:rsid w:val="008B6D55"/>
    <w:rsid w:val="008C3B72"/>
    <w:rsid w:val="008C3E6D"/>
    <w:rsid w:val="008C4379"/>
    <w:rsid w:val="008C5FB5"/>
    <w:rsid w:val="008C67EB"/>
    <w:rsid w:val="008C782F"/>
    <w:rsid w:val="008C7E08"/>
    <w:rsid w:val="008D0F71"/>
    <w:rsid w:val="008D1230"/>
    <w:rsid w:val="008D240C"/>
    <w:rsid w:val="008D2512"/>
    <w:rsid w:val="008D487B"/>
    <w:rsid w:val="008D49F6"/>
    <w:rsid w:val="008D5313"/>
    <w:rsid w:val="008D576F"/>
    <w:rsid w:val="008D6C27"/>
    <w:rsid w:val="008D7067"/>
    <w:rsid w:val="008D7CA2"/>
    <w:rsid w:val="008E02B4"/>
    <w:rsid w:val="008E0A13"/>
    <w:rsid w:val="008E1318"/>
    <w:rsid w:val="008E1BD7"/>
    <w:rsid w:val="008E265E"/>
    <w:rsid w:val="008E31EC"/>
    <w:rsid w:val="008E48CE"/>
    <w:rsid w:val="008E56B6"/>
    <w:rsid w:val="008F06AA"/>
    <w:rsid w:val="008F11D5"/>
    <w:rsid w:val="008F472D"/>
    <w:rsid w:val="008F659D"/>
    <w:rsid w:val="008F69D5"/>
    <w:rsid w:val="008F6F41"/>
    <w:rsid w:val="0090041E"/>
    <w:rsid w:val="009008CB"/>
    <w:rsid w:val="0090211A"/>
    <w:rsid w:val="009025CC"/>
    <w:rsid w:val="00903A4E"/>
    <w:rsid w:val="009047C8"/>
    <w:rsid w:val="00904D42"/>
    <w:rsid w:val="0090528F"/>
    <w:rsid w:val="009065D8"/>
    <w:rsid w:val="00906FDC"/>
    <w:rsid w:val="00907436"/>
    <w:rsid w:val="00907818"/>
    <w:rsid w:val="009100B7"/>
    <w:rsid w:val="009104D4"/>
    <w:rsid w:val="00910CBA"/>
    <w:rsid w:val="00912FA3"/>
    <w:rsid w:val="00912FEF"/>
    <w:rsid w:val="009139AF"/>
    <w:rsid w:val="00914F70"/>
    <w:rsid w:val="00914FD1"/>
    <w:rsid w:val="00915B01"/>
    <w:rsid w:val="00915CEC"/>
    <w:rsid w:val="00915DC5"/>
    <w:rsid w:val="0091603D"/>
    <w:rsid w:val="009167FD"/>
    <w:rsid w:val="009224FC"/>
    <w:rsid w:val="00926110"/>
    <w:rsid w:val="00926293"/>
    <w:rsid w:val="009263C2"/>
    <w:rsid w:val="009308CD"/>
    <w:rsid w:val="00930E42"/>
    <w:rsid w:val="009331BD"/>
    <w:rsid w:val="00934899"/>
    <w:rsid w:val="009358CC"/>
    <w:rsid w:val="00936B8C"/>
    <w:rsid w:val="00937940"/>
    <w:rsid w:val="009420E7"/>
    <w:rsid w:val="009430BD"/>
    <w:rsid w:val="00943C78"/>
    <w:rsid w:val="00943FFA"/>
    <w:rsid w:val="00944D10"/>
    <w:rsid w:val="00945AF2"/>
    <w:rsid w:val="00945EB2"/>
    <w:rsid w:val="009471C7"/>
    <w:rsid w:val="00947AC8"/>
    <w:rsid w:val="00947BA5"/>
    <w:rsid w:val="00950AD8"/>
    <w:rsid w:val="00951333"/>
    <w:rsid w:val="00951A46"/>
    <w:rsid w:val="00952CDE"/>
    <w:rsid w:val="0095568B"/>
    <w:rsid w:val="009563E8"/>
    <w:rsid w:val="00957974"/>
    <w:rsid w:val="009579A4"/>
    <w:rsid w:val="00957FF9"/>
    <w:rsid w:val="00960232"/>
    <w:rsid w:val="00960259"/>
    <w:rsid w:val="00961386"/>
    <w:rsid w:val="00961843"/>
    <w:rsid w:val="00962A49"/>
    <w:rsid w:val="009638B3"/>
    <w:rsid w:val="00970450"/>
    <w:rsid w:val="00970853"/>
    <w:rsid w:val="0097099D"/>
    <w:rsid w:val="00972535"/>
    <w:rsid w:val="00975546"/>
    <w:rsid w:val="009767A1"/>
    <w:rsid w:val="00976AD3"/>
    <w:rsid w:val="00977317"/>
    <w:rsid w:val="009774DC"/>
    <w:rsid w:val="00977832"/>
    <w:rsid w:val="009808F6"/>
    <w:rsid w:val="0098288C"/>
    <w:rsid w:val="00983579"/>
    <w:rsid w:val="0098366D"/>
    <w:rsid w:val="009836A6"/>
    <w:rsid w:val="00983D2F"/>
    <w:rsid w:val="00984334"/>
    <w:rsid w:val="00984751"/>
    <w:rsid w:val="0098573B"/>
    <w:rsid w:val="00990401"/>
    <w:rsid w:val="00996EDA"/>
    <w:rsid w:val="009976E2"/>
    <w:rsid w:val="009977AA"/>
    <w:rsid w:val="009A05A6"/>
    <w:rsid w:val="009A1A97"/>
    <w:rsid w:val="009A1DCA"/>
    <w:rsid w:val="009A24CC"/>
    <w:rsid w:val="009A3086"/>
    <w:rsid w:val="009A4429"/>
    <w:rsid w:val="009A4D08"/>
    <w:rsid w:val="009A5048"/>
    <w:rsid w:val="009A515B"/>
    <w:rsid w:val="009A6092"/>
    <w:rsid w:val="009A6859"/>
    <w:rsid w:val="009A7905"/>
    <w:rsid w:val="009B0181"/>
    <w:rsid w:val="009B0E09"/>
    <w:rsid w:val="009B1CBB"/>
    <w:rsid w:val="009B4613"/>
    <w:rsid w:val="009B4FEE"/>
    <w:rsid w:val="009B6DA6"/>
    <w:rsid w:val="009B6FB7"/>
    <w:rsid w:val="009B7D7F"/>
    <w:rsid w:val="009C181E"/>
    <w:rsid w:val="009C4DB6"/>
    <w:rsid w:val="009C4DDF"/>
    <w:rsid w:val="009C5136"/>
    <w:rsid w:val="009C5696"/>
    <w:rsid w:val="009C63C2"/>
    <w:rsid w:val="009C6555"/>
    <w:rsid w:val="009D0908"/>
    <w:rsid w:val="009D150F"/>
    <w:rsid w:val="009D5E6C"/>
    <w:rsid w:val="009D61B8"/>
    <w:rsid w:val="009D6384"/>
    <w:rsid w:val="009D6C75"/>
    <w:rsid w:val="009D73C5"/>
    <w:rsid w:val="009E1728"/>
    <w:rsid w:val="009E2261"/>
    <w:rsid w:val="009E2662"/>
    <w:rsid w:val="009E33F6"/>
    <w:rsid w:val="009E36B5"/>
    <w:rsid w:val="009E3AA1"/>
    <w:rsid w:val="009E7A41"/>
    <w:rsid w:val="009F012D"/>
    <w:rsid w:val="009F0CA8"/>
    <w:rsid w:val="009F1744"/>
    <w:rsid w:val="009F1949"/>
    <w:rsid w:val="009F1A8B"/>
    <w:rsid w:val="009F4198"/>
    <w:rsid w:val="009F569C"/>
    <w:rsid w:val="009F5B5C"/>
    <w:rsid w:val="009F5C2E"/>
    <w:rsid w:val="009F7CC2"/>
    <w:rsid w:val="00A00BF5"/>
    <w:rsid w:val="00A01EB4"/>
    <w:rsid w:val="00A020B8"/>
    <w:rsid w:val="00A02527"/>
    <w:rsid w:val="00A02AC0"/>
    <w:rsid w:val="00A0532F"/>
    <w:rsid w:val="00A06127"/>
    <w:rsid w:val="00A071F3"/>
    <w:rsid w:val="00A07E80"/>
    <w:rsid w:val="00A1037F"/>
    <w:rsid w:val="00A10A9C"/>
    <w:rsid w:val="00A114A1"/>
    <w:rsid w:val="00A12522"/>
    <w:rsid w:val="00A144A3"/>
    <w:rsid w:val="00A144D8"/>
    <w:rsid w:val="00A14650"/>
    <w:rsid w:val="00A14763"/>
    <w:rsid w:val="00A16762"/>
    <w:rsid w:val="00A1688A"/>
    <w:rsid w:val="00A1698B"/>
    <w:rsid w:val="00A177F0"/>
    <w:rsid w:val="00A22DEF"/>
    <w:rsid w:val="00A22F5D"/>
    <w:rsid w:val="00A2430B"/>
    <w:rsid w:val="00A246E9"/>
    <w:rsid w:val="00A257D9"/>
    <w:rsid w:val="00A25F05"/>
    <w:rsid w:val="00A26182"/>
    <w:rsid w:val="00A26EDB"/>
    <w:rsid w:val="00A2750F"/>
    <w:rsid w:val="00A278C7"/>
    <w:rsid w:val="00A357AF"/>
    <w:rsid w:val="00A414E1"/>
    <w:rsid w:val="00A41BA7"/>
    <w:rsid w:val="00A42EAA"/>
    <w:rsid w:val="00A43387"/>
    <w:rsid w:val="00A4779D"/>
    <w:rsid w:val="00A47C99"/>
    <w:rsid w:val="00A50114"/>
    <w:rsid w:val="00A51840"/>
    <w:rsid w:val="00A52038"/>
    <w:rsid w:val="00A520B1"/>
    <w:rsid w:val="00A55739"/>
    <w:rsid w:val="00A5767C"/>
    <w:rsid w:val="00A60208"/>
    <w:rsid w:val="00A60B81"/>
    <w:rsid w:val="00A6286E"/>
    <w:rsid w:val="00A6400E"/>
    <w:rsid w:val="00A64535"/>
    <w:rsid w:val="00A666C1"/>
    <w:rsid w:val="00A7019E"/>
    <w:rsid w:val="00A70AFB"/>
    <w:rsid w:val="00A7149F"/>
    <w:rsid w:val="00A71A8B"/>
    <w:rsid w:val="00A71F9A"/>
    <w:rsid w:val="00A72EC7"/>
    <w:rsid w:val="00A73218"/>
    <w:rsid w:val="00A732A1"/>
    <w:rsid w:val="00A757DD"/>
    <w:rsid w:val="00A76466"/>
    <w:rsid w:val="00A80ECC"/>
    <w:rsid w:val="00A81442"/>
    <w:rsid w:val="00A83A83"/>
    <w:rsid w:val="00A84275"/>
    <w:rsid w:val="00A84C99"/>
    <w:rsid w:val="00A85C43"/>
    <w:rsid w:val="00A85E41"/>
    <w:rsid w:val="00A8617F"/>
    <w:rsid w:val="00A86819"/>
    <w:rsid w:val="00A870FD"/>
    <w:rsid w:val="00A8750A"/>
    <w:rsid w:val="00A87E96"/>
    <w:rsid w:val="00A90878"/>
    <w:rsid w:val="00A908BE"/>
    <w:rsid w:val="00A9273C"/>
    <w:rsid w:val="00A928C2"/>
    <w:rsid w:val="00A929EE"/>
    <w:rsid w:val="00A941CA"/>
    <w:rsid w:val="00A95256"/>
    <w:rsid w:val="00A95C21"/>
    <w:rsid w:val="00A97B14"/>
    <w:rsid w:val="00AA0A43"/>
    <w:rsid w:val="00AA0A59"/>
    <w:rsid w:val="00AA1435"/>
    <w:rsid w:val="00AA16B8"/>
    <w:rsid w:val="00AA24D9"/>
    <w:rsid w:val="00AA2604"/>
    <w:rsid w:val="00AA2D4E"/>
    <w:rsid w:val="00AA3035"/>
    <w:rsid w:val="00AA6103"/>
    <w:rsid w:val="00AA6453"/>
    <w:rsid w:val="00AA66C1"/>
    <w:rsid w:val="00AA6BA4"/>
    <w:rsid w:val="00AB018D"/>
    <w:rsid w:val="00AB0580"/>
    <w:rsid w:val="00AB12AC"/>
    <w:rsid w:val="00AB1947"/>
    <w:rsid w:val="00AB24BA"/>
    <w:rsid w:val="00AB342B"/>
    <w:rsid w:val="00AB352D"/>
    <w:rsid w:val="00AB36AC"/>
    <w:rsid w:val="00AB39A4"/>
    <w:rsid w:val="00AB4419"/>
    <w:rsid w:val="00AB6E06"/>
    <w:rsid w:val="00AB79C8"/>
    <w:rsid w:val="00AC08E3"/>
    <w:rsid w:val="00AC0E0C"/>
    <w:rsid w:val="00AC1037"/>
    <w:rsid w:val="00AC12D8"/>
    <w:rsid w:val="00AC2661"/>
    <w:rsid w:val="00AC35AF"/>
    <w:rsid w:val="00AC3C60"/>
    <w:rsid w:val="00AC4B7C"/>
    <w:rsid w:val="00AC57E5"/>
    <w:rsid w:val="00AC5A00"/>
    <w:rsid w:val="00AC75B5"/>
    <w:rsid w:val="00AD068B"/>
    <w:rsid w:val="00AD0B10"/>
    <w:rsid w:val="00AD1BCC"/>
    <w:rsid w:val="00AD2C6F"/>
    <w:rsid w:val="00AD4CC5"/>
    <w:rsid w:val="00AD5AF2"/>
    <w:rsid w:val="00AD6D13"/>
    <w:rsid w:val="00AE125F"/>
    <w:rsid w:val="00AE1994"/>
    <w:rsid w:val="00AE3164"/>
    <w:rsid w:val="00AE69C7"/>
    <w:rsid w:val="00AE7A72"/>
    <w:rsid w:val="00AF11ED"/>
    <w:rsid w:val="00AF218D"/>
    <w:rsid w:val="00AF28AD"/>
    <w:rsid w:val="00AF36FE"/>
    <w:rsid w:val="00AF38C7"/>
    <w:rsid w:val="00AF3F59"/>
    <w:rsid w:val="00AF4DF3"/>
    <w:rsid w:val="00AF5DC8"/>
    <w:rsid w:val="00B0052C"/>
    <w:rsid w:val="00B03E8F"/>
    <w:rsid w:val="00B04775"/>
    <w:rsid w:val="00B05188"/>
    <w:rsid w:val="00B05DAB"/>
    <w:rsid w:val="00B067AB"/>
    <w:rsid w:val="00B06E15"/>
    <w:rsid w:val="00B07CAE"/>
    <w:rsid w:val="00B10A25"/>
    <w:rsid w:val="00B10C17"/>
    <w:rsid w:val="00B10FE5"/>
    <w:rsid w:val="00B11E30"/>
    <w:rsid w:val="00B1247A"/>
    <w:rsid w:val="00B13428"/>
    <w:rsid w:val="00B13809"/>
    <w:rsid w:val="00B141E8"/>
    <w:rsid w:val="00B16925"/>
    <w:rsid w:val="00B16F18"/>
    <w:rsid w:val="00B20BCD"/>
    <w:rsid w:val="00B22E78"/>
    <w:rsid w:val="00B22F63"/>
    <w:rsid w:val="00B235CA"/>
    <w:rsid w:val="00B2588D"/>
    <w:rsid w:val="00B25E96"/>
    <w:rsid w:val="00B2642D"/>
    <w:rsid w:val="00B2642F"/>
    <w:rsid w:val="00B2720B"/>
    <w:rsid w:val="00B27646"/>
    <w:rsid w:val="00B3003D"/>
    <w:rsid w:val="00B30573"/>
    <w:rsid w:val="00B3068D"/>
    <w:rsid w:val="00B32114"/>
    <w:rsid w:val="00B3228D"/>
    <w:rsid w:val="00B33525"/>
    <w:rsid w:val="00B337FB"/>
    <w:rsid w:val="00B34EF4"/>
    <w:rsid w:val="00B36071"/>
    <w:rsid w:val="00B37804"/>
    <w:rsid w:val="00B403E8"/>
    <w:rsid w:val="00B41DCC"/>
    <w:rsid w:val="00B42535"/>
    <w:rsid w:val="00B4285D"/>
    <w:rsid w:val="00B42B24"/>
    <w:rsid w:val="00B4316B"/>
    <w:rsid w:val="00B437B7"/>
    <w:rsid w:val="00B44088"/>
    <w:rsid w:val="00B445A6"/>
    <w:rsid w:val="00B447B3"/>
    <w:rsid w:val="00B45293"/>
    <w:rsid w:val="00B461D8"/>
    <w:rsid w:val="00B4671E"/>
    <w:rsid w:val="00B4716E"/>
    <w:rsid w:val="00B506AC"/>
    <w:rsid w:val="00B5087D"/>
    <w:rsid w:val="00B518BF"/>
    <w:rsid w:val="00B52170"/>
    <w:rsid w:val="00B521E9"/>
    <w:rsid w:val="00B56AE5"/>
    <w:rsid w:val="00B57E29"/>
    <w:rsid w:val="00B639BE"/>
    <w:rsid w:val="00B64423"/>
    <w:rsid w:val="00B64486"/>
    <w:rsid w:val="00B65809"/>
    <w:rsid w:val="00B717E7"/>
    <w:rsid w:val="00B729D5"/>
    <w:rsid w:val="00B7479B"/>
    <w:rsid w:val="00B74A72"/>
    <w:rsid w:val="00B76371"/>
    <w:rsid w:val="00B8098A"/>
    <w:rsid w:val="00B80CC0"/>
    <w:rsid w:val="00B82C4A"/>
    <w:rsid w:val="00B83E9D"/>
    <w:rsid w:val="00B8455A"/>
    <w:rsid w:val="00B84907"/>
    <w:rsid w:val="00B85767"/>
    <w:rsid w:val="00B858E0"/>
    <w:rsid w:val="00B87B58"/>
    <w:rsid w:val="00B87C49"/>
    <w:rsid w:val="00B90FB3"/>
    <w:rsid w:val="00B91466"/>
    <w:rsid w:val="00B93346"/>
    <w:rsid w:val="00B941DB"/>
    <w:rsid w:val="00B95673"/>
    <w:rsid w:val="00B95686"/>
    <w:rsid w:val="00B960DB"/>
    <w:rsid w:val="00B96CE1"/>
    <w:rsid w:val="00B9723F"/>
    <w:rsid w:val="00B97579"/>
    <w:rsid w:val="00B97D6A"/>
    <w:rsid w:val="00BA172A"/>
    <w:rsid w:val="00BA38A9"/>
    <w:rsid w:val="00BA417F"/>
    <w:rsid w:val="00BA49C9"/>
    <w:rsid w:val="00BA4F26"/>
    <w:rsid w:val="00BA56C8"/>
    <w:rsid w:val="00BA56E2"/>
    <w:rsid w:val="00BA5EDD"/>
    <w:rsid w:val="00BB0033"/>
    <w:rsid w:val="00BB0AF7"/>
    <w:rsid w:val="00BB1FC3"/>
    <w:rsid w:val="00BB2866"/>
    <w:rsid w:val="00BB2FFB"/>
    <w:rsid w:val="00BB3F99"/>
    <w:rsid w:val="00BB5FA5"/>
    <w:rsid w:val="00BB751C"/>
    <w:rsid w:val="00BB764D"/>
    <w:rsid w:val="00BC0374"/>
    <w:rsid w:val="00BC15D2"/>
    <w:rsid w:val="00BC203C"/>
    <w:rsid w:val="00BC20BD"/>
    <w:rsid w:val="00BC3556"/>
    <w:rsid w:val="00BC3E1C"/>
    <w:rsid w:val="00BC534D"/>
    <w:rsid w:val="00BC61FC"/>
    <w:rsid w:val="00BC646D"/>
    <w:rsid w:val="00BD1211"/>
    <w:rsid w:val="00BD42F8"/>
    <w:rsid w:val="00BD4DA9"/>
    <w:rsid w:val="00BD51B7"/>
    <w:rsid w:val="00BD55D6"/>
    <w:rsid w:val="00BD5F64"/>
    <w:rsid w:val="00BD64FB"/>
    <w:rsid w:val="00BD6A3F"/>
    <w:rsid w:val="00BD72B5"/>
    <w:rsid w:val="00BD7B5A"/>
    <w:rsid w:val="00BD7BF3"/>
    <w:rsid w:val="00BE03B5"/>
    <w:rsid w:val="00BE1009"/>
    <w:rsid w:val="00BE4AFD"/>
    <w:rsid w:val="00BF0D5A"/>
    <w:rsid w:val="00BF1E98"/>
    <w:rsid w:val="00BF48A4"/>
    <w:rsid w:val="00BF58BD"/>
    <w:rsid w:val="00BF590E"/>
    <w:rsid w:val="00BF5C5A"/>
    <w:rsid w:val="00BF73F4"/>
    <w:rsid w:val="00C019C0"/>
    <w:rsid w:val="00C01A39"/>
    <w:rsid w:val="00C01CB1"/>
    <w:rsid w:val="00C01FF9"/>
    <w:rsid w:val="00C04531"/>
    <w:rsid w:val="00C05636"/>
    <w:rsid w:val="00C05857"/>
    <w:rsid w:val="00C0609E"/>
    <w:rsid w:val="00C10771"/>
    <w:rsid w:val="00C1402D"/>
    <w:rsid w:val="00C154B0"/>
    <w:rsid w:val="00C15C17"/>
    <w:rsid w:val="00C168B8"/>
    <w:rsid w:val="00C16997"/>
    <w:rsid w:val="00C17244"/>
    <w:rsid w:val="00C212A4"/>
    <w:rsid w:val="00C224C2"/>
    <w:rsid w:val="00C23A88"/>
    <w:rsid w:val="00C253FE"/>
    <w:rsid w:val="00C25EA6"/>
    <w:rsid w:val="00C26803"/>
    <w:rsid w:val="00C311F5"/>
    <w:rsid w:val="00C31BC2"/>
    <w:rsid w:val="00C31CD3"/>
    <w:rsid w:val="00C320FB"/>
    <w:rsid w:val="00C322BF"/>
    <w:rsid w:val="00C331BB"/>
    <w:rsid w:val="00C33B31"/>
    <w:rsid w:val="00C35854"/>
    <w:rsid w:val="00C35F67"/>
    <w:rsid w:val="00C407F3"/>
    <w:rsid w:val="00C408DB"/>
    <w:rsid w:val="00C4207F"/>
    <w:rsid w:val="00C46358"/>
    <w:rsid w:val="00C4653C"/>
    <w:rsid w:val="00C50104"/>
    <w:rsid w:val="00C50233"/>
    <w:rsid w:val="00C50E1A"/>
    <w:rsid w:val="00C53046"/>
    <w:rsid w:val="00C53C29"/>
    <w:rsid w:val="00C552C2"/>
    <w:rsid w:val="00C60A8B"/>
    <w:rsid w:val="00C617BE"/>
    <w:rsid w:val="00C62B5E"/>
    <w:rsid w:val="00C62C4C"/>
    <w:rsid w:val="00C64001"/>
    <w:rsid w:val="00C64546"/>
    <w:rsid w:val="00C65737"/>
    <w:rsid w:val="00C659ED"/>
    <w:rsid w:val="00C65E53"/>
    <w:rsid w:val="00C66678"/>
    <w:rsid w:val="00C66EF2"/>
    <w:rsid w:val="00C6774E"/>
    <w:rsid w:val="00C70439"/>
    <w:rsid w:val="00C71B8F"/>
    <w:rsid w:val="00C720E9"/>
    <w:rsid w:val="00C7355E"/>
    <w:rsid w:val="00C73708"/>
    <w:rsid w:val="00C7383D"/>
    <w:rsid w:val="00C73C02"/>
    <w:rsid w:val="00C74048"/>
    <w:rsid w:val="00C745AE"/>
    <w:rsid w:val="00C74E3F"/>
    <w:rsid w:val="00C77572"/>
    <w:rsid w:val="00C77948"/>
    <w:rsid w:val="00C83793"/>
    <w:rsid w:val="00C84C93"/>
    <w:rsid w:val="00C8570C"/>
    <w:rsid w:val="00C867C8"/>
    <w:rsid w:val="00C90079"/>
    <w:rsid w:val="00C900FE"/>
    <w:rsid w:val="00C90A46"/>
    <w:rsid w:val="00C92683"/>
    <w:rsid w:val="00C92B88"/>
    <w:rsid w:val="00C93158"/>
    <w:rsid w:val="00C93EFF"/>
    <w:rsid w:val="00C94438"/>
    <w:rsid w:val="00C94867"/>
    <w:rsid w:val="00C94C33"/>
    <w:rsid w:val="00C94DCE"/>
    <w:rsid w:val="00C94E04"/>
    <w:rsid w:val="00C951E9"/>
    <w:rsid w:val="00C9579A"/>
    <w:rsid w:val="00C9744E"/>
    <w:rsid w:val="00C975C9"/>
    <w:rsid w:val="00C97815"/>
    <w:rsid w:val="00CA0CF8"/>
    <w:rsid w:val="00CA1CBA"/>
    <w:rsid w:val="00CA3DD4"/>
    <w:rsid w:val="00CA69A8"/>
    <w:rsid w:val="00CA6B72"/>
    <w:rsid w:val="00CA7415"/>
    <w:rsid w:val="00CA74FD"/>
    <w:rsid w:val="00CA7866"/>
    <w:rsid w:val="00CB00F0"/>
    <w:rsid w:val="00CB0619"/>
    <w:rsid w:val="00CB0FD3"/>
    <w:rsid w:val="00CB1B94"/>
    <w:rsid w:val="00CB1D5F"/>
    <w:rsid w:val="00CB1D9D"/>
    <w:rsid w:val="00CB28AA"/>
    <w:rsid w:val="00CB2CC6"/>
    <w:rsid w:val="00CB3A76"/>
    <w:rsid w:val="00CB5392"/>
    <w:rsid w:val="00CB5C47"/>
    <w:rsid w:val="00CB608D"/>
    <w:rsid w:val="00CB6D21"/>
    <w:rsid w:val="00CB6D60"/>
    <w:rsid w:val="00CB6EC2"/>
    <w:rsid w:val="00CB79A1"/>
    <w:rsid w:val="00CC0318"/>
    <w:rsid w:val="00CC0530"/>
    <w:rsid w:val="00CC05B2"/>
    <w:rsid w:val="00CC060E"/>
    <w:rsid w:val="00CC2549"/>
    <w:rsid w:val="00CC2DDE"/>
    <w:rsid w:val="00CC3338"/>
    <w:rsid w:val="00CC3C89"/>
    <w:rsid w:val="00CC648C"/>
    <w:rsid w:val="00CC7510"/>
    <w:rsid w:val="00CC7D61"/>
    <w:rsid w:val="00CD149B"/>
    <w:rsid w:val="00CD214E"/>
    <w:rsid w:val="00CD5288"/>
    <w:rsid w:val="00CD67B5"/>
    <w:rsid w:val="00CD7450"/>
    <w:rsid w:val="00CE0212"/>
    <w:rsid w:val="00CE1014"/>
    <w:rsid w:val="00CE165F"/>
    <w:rsid w:val="00CE21CF"/>
    <w:rsid w:val="00CE2F5F"/>
    <w:rsid w:val="00CE5236"/>
    <w:rsid w:val="00CE5BFC"/>
    <w:rsid w:val="00CE5DCA"/>
    <w:rsid w:val="00CE6DF9"/>
    <w:rsid w:val="00CF04CA"/>
    <w:rsid w:val="00CF0E31"/>
    <w:rsid w:val="00CF1CB7"/>
    <w:rsid w:val="00CF2169"/>
    <w:rsid w:val="00CF38A4"/>
    <w:rsid w:val="00CF3E48"/>
    <w:rsid w:val="00CF3F39"/>
    <w:rsid w:val="00CF5488"/>
    <w:rsid w:val="00CF6D15"/>
    <w:rsid w:val="00CF7040"/>
    <w:rsid w:val="00CF750C"/>
    <w:rsid w:val="00D0203A"/>
    <w:rsid w:val="00D021DB"/>
    <w:rsid w:val="00D03D9E"/>
    <w:rsid w:val="00D03EA1"/>
    <w:rsid w:val="00D04098"/>
    <w:rsid w:val="00D04BC7"/>
    <w:rsid w:val="00D071A8"/>
    <w:rsid w:val="00D10717"/>
    <w:rsid w:val="00D108D2"/>
    <w:rsid w:val="00D10FC9"/>
    <w:rsid w:val="00D12935"/>
    <w:rsid w:val="00D13645"/>
    <w:rsid w:val="00D14C65"/>
    <w:rsid w:val="00D15085"/>
    <w:rsid w:val="00D15281"/>
    <w:rsid w:val="00D157A4"/>
    <w:rsid w:val="00D168FB"/>
    <w:rsid w:val="00D16D29"/>
    <w:rsid w:val="00D1792F"/>
    <w:rsid w:val="00D17D09"/>
    <w:rsid w:val="00D20916"/>
    <w:rsid w:val="00D20E42"/>
    <w:rsid w:val="00D2261D"/>
    <w:rsid w:val="00D236FC"/>
    <w:rsid w:val="00D242FD"/>
    <w:rsid w:val="00D24ACA"/>
    <w:rsid w:val="00D25D5E"/>
    <w:rsid w:val="00D27F2C"/>
    <w:rsid w:val="00D30A6F"/>
    <w:rsid w:val="00D31368"/>
    <w:rsid w:val="00D32547"/>
    <w:rsid w:val="00D33278"/>
    <w:rsid w:val="00D347D2"/>
    <w:rsid w:val="00D358D2"/>
    <w:rsid w:val="00D36FE1"/>
    <w:rsid w:val="00D40CC6"/>
    <w:rsid w:val="00D414DA"/>
    <w:rsid w:val="00D42B95"/>
    <w:rsid w:val="00D43613"/>
    <w:rsid w:val="00D45BA3"/>
    <w:rsid w:val="00D462C7"/>
    <w:rsid w:val="00D47140"/>
    <w:rsid w:val="00D4786E"/>
    <w:rsid w:val="00D47FD0"/>
    <w:rsid w:val="00D50C16"/>
    <w:rsid w:val="00D517DA"/>
    <w:rsid w:val="00D520B2"/>
    <w:rsid w:val="00D53F73"/>
    <w:rsid w:val="00D546E7"/>
    <w:rsid w:val="00D5614B"/>
    <w:rsid w:val="00D568EE"/>
    <w:rsid w:val="00D56D0F"/>
    <w:rsid w:val="00D57204"/>
    <w:rsid w:val="00D57A51"/>
    <w:rsid w:val="00D61603"/>
    <w:rsid w:val="00D6204C"/>
    <w:rsid w:val="00D62AF6"/>
    <w:rsid w:val="00D6328E"/>
    <w:rsid w:val="00D648BF"/>
    <w:rsid w:val="00D65B0A"/>
    <w:rsid w:val="00D676D5"/>
    <w:rsid w:val="00D67A35"/>
    <w:rsid w:val="00D705D5"/>
    <w:rsid w:val="00D7105D"/>
    <w:rsid w:val="00D72373"/>
    <w:rsid w:val="00D72C77"/>
    <w:rsid w:val="00D73A84"/>
    <w:rsid w:val="00D73B30"/>
    <w:rsid w:val="00D7485D"/>
    <w:rsid w:val="00D7566D"/>
    <w:rsid w:val="00D768EB"/>
    <w:rsid w:val="00D7765B"/>
    <w:rsid w:val="00D77C73"/>
    <w:rsid w:val="00D8042C"/>
    <w:rsid w:val="00D80DD5"/>
    <w:rsid w:val="00D81A21"/>
    <w:rsid w:val="00D823C6"/>
    <w:rsid w:val="00D83FCD"/>
    <w:rsid w:val="00D85ED3"/>
    <w:rsid w:val="00D87B97"/>
    <w:rsid w:val="00D90D8D"/>
    <w:rsid w:val="00D9177C"/>
    <w:rsid w:val="00D91982"/>
    <w:rsid w:val="00D92AD0"/>
    <w:rsid w:val="00D9338E"/>
    <w:rsid w:val="00D93419"/>
    <w:rsid w:val="00D93C28"/>
    <w:rsid w:val="00D95BCC"/>
    <w:rsid w:val="00D967BD"/>
    <w:rsid w:val="00D97A26"/>
    <w:rsid w:val="00D97E49"/>
    <w:rsid w:val="00DA1EE9"/>
    <w:rsid w:val="00DA293A"/>
    <w:rsid w:val="00DA2C5D"/>
    <w:rsid w:val="00DA347B"/>
    <w:rsid w:val="00DA4328"/>
    <w:rsid w:val="00DA4796"/>
    <w:rsid w:val="00DA61AD"/>
    <w:rsid w:val="00DA7DB9"/>
    <w:rsid w:val="00DB3C8F"/>
    <w:rsid w:val="00DB46CC"/>
    <w:rsid w:val="00DB4B28"/>
    <w:rsid w:val="00DB4EAB"/>
    <w:rsid w:val="00DB5292"/>
    <w:rsid w:val="00DB5DA9"/>
    <w:rsid w:val="00DB7417"/>
    <w:rsid w:val="00DC0C11"/>
    <w:rsid w:val="00DC328A"/>
    <w:rsid w:val="00DC4924"/>
    <w:rsid w:val="00DC556E"/>
    <w:rsid w:val="00DC6426"/>
    <w:rsid w:val="00DC674C"/>
    <w:rsid w:val="00DC7164"/>
    <w:rsid w:val="00DD0F97"/>
    <w:rsid w:val="00DD2360"/>
    <w:rsid w:val="00DD24D1"/>
    <w:rsid w:val="00DD45CD"/>
    <w:rsid w:val="00DD4A8E"/>
    <w:rsid w:val="00DD5178"/>
    <w:rsid w:val="00DD759F"/>
    <w:rsid w:val="00DE07EE"/>
    <w:rsid w:val="00DE0976"/>
    <w:rsid w:val="00DE3055"/>
    <w:rsid w:val="00DE3268"/>
    <w:rsid w:val="00DE5733"/>
    <w:rsid w:val="00DE5952"/>
    <w:rsid w:val="00DE70AE"/>
    <w:rsid w:val="00DF00E0"/>
    <w:rsid w:val="00DF0C5E"/>
    <w:rsid w:val="00DF153D"/>
    <w:rsid w:val="00DF1C2C"/>
    <w:rsid w:val="00DF20C8"/>
    <w:rsid w:val="00DF2C13"/>
    <w:rsid w:val="00DF2CEF"/>
    <w:rsid w:val="00DF4577"/>
    <w:rsid w:val="00DF7A07"/>
    <w:rsid w:val="00E00755"/>
    <w:rsid w:val="00E00EC4"/>
    <w:rsid w:val="00E03E1A"/>
    <w:rsid w:val="00E0427D"/>
    <w:rsid w:val="00E04FC0"/>
    <w:rsid w:val="00E07861"/>
    <w:rsid w:val="00E10053"/>
    <w:rsid w:val="00E10472"/>
    <w:rsid w:val="00E11110"/>
    <w:rsid w:val="00E111EF"/>
    <w:rsid w:val="00E12866"/>
    <w:rsid w:val="00E14498"/>
    <w:rsid w:val="00E15014"/>
    <w:rsid w:val="00E15AEB"/>
    <w:rsid w:val="00E1785E"/>
    <w:rsid w:val="00E22F3F"/>
    <w:rsid w:val="00E23BAB"/>
    <w:rsid w:val="00E23E0B"/>
    <w:rsid w:val="00E23F00"/>
    <w:rsid w:val="00E27281"/>
    <w:rsid w:val="00E27B5F"/>
    <w:rsid w:val="00E27F6D"/>
    <w:rsid w:val="00E30032"/>
    <w:rsid w:val="00E3112C"/>
    <w:rsid w:val="00E3213E"/>
    <w:rsid w:val="00E3317B"/>
    <w:rsid w:val="00E3386F"/>
    <w:rsid w:val="00E3424D"/>
    <w:rsid w:val="00E3605A"/>
    <w:rsid w:val="00E37C53"/>
    <w:rsid w:val="00E40B49"/>
    <w:rsid w:val="00E44BCD"/>
    <w:rsid w:val="00E454BA"/>
    <w:rsid w:val="00E463A1"/>
    <w:rsid w:val="00E5038F"/>
    <w:rsid w:val="00E50F70"/>
    <w:rsid w:val="00E516A6"/>
    <w:rsid w:val="00E52382"/>
    <w:rsid w:val="00E52BFC"/>
    <w:rsid w:val="00E52EE1"/>
    <w:rsid w:val="00E55EFC"/>
    <w:rsid w:val="00E62677"/>
    <w:rsid w:val="00E63F7F"/>
    <w:rsid w:val="00E63FE0"/>
    <w:rsid w:val="00E643FA"/>
    <w:rsid w:val="00E708D5"/>
    <w:rsid w:val="00E729C3"/>
    <w:rsid w:val="00E732C9"/>
    <w:rsid w:val="00E74C2F"/>
    <w:rsid w:val="00E7535A"/>
    <w:rsid w:val="00E76C3A"/>
    <w:rsid w:val="00E77101"/>
    <w:rsid w:val="00E77BCA"/>
    <w:rsid w:val="00E77EE7"/>
    <w:rsid w:val="00E81839"/>
    <w:rsid w:val="00E81FB1"/>
    <w:rsid w:val="00E820A2"/>
    <w:rsid w:val="00E8230A"/>
    <w:rsid w:val="00E82950"/>
    <w:rsid w:val="00E82C0C"/>
    <w:rsid w:val="00E836B3"/>
    <w:rsid w:val="00E8453F"/>
    <w:rsid w:val="00E8486F"/>
    <w:rsid w:val="00E858A7"/>
    <w:rsid w:val="00E868F3"/>
    <w:rsid w:val="00E8716B"/>
    <w:rsid w:val="00E8787F"/>
    <w:rsid w:val="00E900AF"/>
    <w:rsid w:val="00E9176D"/>
    <w:rsid w:val="00E91C6C"/>
    <w:rsid w:val="00E92D8C"/>
    <w:rsid w:val="00E95359"/>
    <w:rsid w:val="00E966FD"/>
    <w:rsid w:val="00E96BF7"/>
    <w:rsid w:val="00EA05BA"/>
    <w:rsid w:val="00EA0715"/>
    <w:rsid w:val="00EA0A1C"/>
    <w:rsid w:val="00EA2DCF"/>
    <w:rsid w:val="00EA3EEC"/>
    <w:rsid w:val="00EA57B1"/>
    <w:rsid w:val="00EA5E6A"/>
    <w:rsid w:val="00EA6FE9"/>
    <w:rsid w:val="00EB0399"/>
    <w:rsid w:val="00EB1AD7"/>
    <w:rsid w:val="00EB2C64"/>
    <w:rsid w:val="00EB2EED"/>
    <w:rsid w:val="00EB2F2C"/>
    <w:rsid w:val="00EB36AD"/>
    <w:rsid w:val="00EB3C69"/>
    <w:rsid w:val="00EB3D5F"/>
    <w:rsid w:val="00EB3E5F"/>
    <w:rsid w:val="00EB531D"/>
    <w:rsid w:val="00EB5CBD"/>
    <w:rsid w:val="00EB62D7"/>
    <w:rsid w:val="00EB6C50"/>
    <w:rsid w:val="00EB6F2B"/>
    <w:rsid w:val="00EB708F"/>
    <w:rsid w:val="00EC126D"/>
    <w:rsid w:val="00EC3AAD"/>
    <w:rsid w:val="00EC4A5C"/>
    <w:rsid w:val="00EC5F71"/>
    <w:rsid w:val="00EC720E"/>
    <w:rsid w:val="00ED1237"/>
    <w:rsid w:val="00ED1277"/>
    <w:rsid w:val="00ED2F8C"/>
    <w:rsid w:val="00ED452D"/>
    <w:rsid w:val="00ED488C"/>
    <w:rsid w:val="00ED4B86"/>
    <w:rsid w:val="00ED525B"/>
    <w:rsid w:val="00ED595A"/>
    <w:rsid w:val="00EE0272"/>
    <w:rsid w:val="00EE3BCE"/>
    <w:rsid w:val="00EE53AB"/>
    <w:rsid w:val="00EE5AD9"/>
    <w:rsid w:val="00EE6358"/>
    <w:rsid w:val="00EE6EA2"/>
    <w:rsid w:val="00EE7B05"/>
    <w:rsid w:val="00EE7D8D"/>
    <w:rsid w:val="00EF0D43"/>
    <w:rsid w:val="00EF1FB7"/>
    <w:rsid w:val="00F00B3C"/>
    <w:rsid w:val="00F01005"/>
    <w:rsid w:val="00F0109D"/>
    <w:rsid w:val="00F01F41"/>
    <w:rsid w:val="00F039E2"/>
    <w:rsid w:val="00F0442B"/>
    <w:rsid w:val="00F052DC"/>
    <w:rsid w:val="00F05700"/>
    <w:rsid w:val="00F10CEF"/>
    <w:rsid w:val="00F110B1"/>
    <w:rsid w:val="00F11D98"/>
    <w:rsid w:val="00F120F4"/>
    <w:rsid w:val="00F123D1"/>
    <w:rsid w:val="00F1406D"/>
    <w:rsid w:val="00F14133"/>
    <w:rsid w:val="00F20CC6"/>
    <w:rsid w:val="00F20F0C"/>
    <w:rsid w:val="00F21173"/>
    <w:rsid w:val="00F2136F"/>
    <w:rsid w:val="00F21E02"/>
    <w:rsid w:val="00F21EDB"/>
    <w:rsid w:val="00F21FAB"/>
    <w:rsid w:val="00F23321"/>
    <w:rsid w:val="00F24239"/>
    <w:rsid w:val="00F24AFC"/>
    <w:rsid w:val="00F24D61"/>
    <w:rsid w:val="00F254C7"/>
    <w:rsid w:val="00F32F3A"/>
    <w:rsid w:val="00F331B0"/>
    <w:rsid w:val="00F345FE"/>
    <w:rsid w:val="00F34E21"/>
    <w:rsid w:val="00F35ABF"/>
    <w:rsid w:val="00F37CB3"/>
    <w:rsid w:val="00F37DC9"/>
    <w:rsid w:val="00F40053"/>
    <w:rsid w:val="00F438E3"/>
    <w:rsid w:val="00F43D1E"/>
    <w:rsid w:val="00F45B3E"/>
    <w:rsid w:val="00F464BF"/>
    <w:rsid w:val="00F46BA9"/>
    <w:rsid w:val="00F471FA"/>
    <w:rsid w:val="00F52243"/>
    <w:rsid w:val="00F52FD1"/>
    <w:rsid w:val="00F531A0"/>
    <w:rsid w:val="00F541E3"/>
    <w:rsid w:val="00F54329"/>
    <w:rsid w:val="00F545AC"/>
    <w:rsid w:val="00F54FF2"/>
    <w:rsid w:val="00F55212"/>
    <w:rsid w:val="00F55301"/>
    <w:rsid w:val="00F554B9"/>
    <w:rsid w:val="00F56999"/>
    <w:rsid w:val="00F573F1"/>
    <w:rsid w:val="00F602AA"/>
    <w:rsid w:val="00F60422"/>
    <w:rsid w:val="00F60644"/>
    <w:rsid w:val="00F60F91"/>
    <w:rsid w:val="00F615BD"/>
    <w:rsid w:val="00F65020"/>
    <w:rsid w:val="00F664D1"/>
    <w:rsid w:val="00F6767A"/>
    <w:rsid w:val="00F67E6A"/>
    <w:rsid w:val="00F71485"/>
    <w:rsid w:val="00F714C4"/>
    <w:rsid w:val="00F71F1F"/>
    <w:rsid w:val="00F72FB2"/>
    <w:rsid w:val="00F73328"/>
    <w:rsid w:val="00F73F74"/>
    <w:rsid w:val="00F7521F"/>
    <w:rsid w:val="00F75A88"/>
    <w:rsid w:val="00F7728A"/>
    <w:rsid w:val="00F80A00"/>
    <w:rsid w:val="00F811EE"/>
    <w:rsid w:val="00F848CC"/>
    <w:rsid w:val="00F854D8"/>
    <w:rsid w:val="00F860E1"/>
    <w:rsid w:val="00F860F7"/>
    <w:rsid w:val="00F8682A"/>
    <w:rsid w:val="00F8777E"/>
    <w:rsid w:val="00F91676"/>
    <w:rsid w:val="00F91687"/>
    <w:rsid w:val="00F916DE"/>
    <w:rsid w:val="00F9181B"/>
    <w:rsid w:val="00F93181"/>
    <w:rsid w:val="00F934FC"/>
    <w:rsid w:val="00F9553E"/>
    <w:rsid w:val="00F961C9"/>
    <w:rsid w:val="00F97C75"/>
    <w:rsid w:val="00FA03BC"/>
    <w:rsid w:val="00FA2AD8"/>
    <w:rsid w:val="00FA2D2A"/>
    <w:rsid w:val="00FA2E41"/>
    <w:rsid w:val="00FA325B"/>
    <w:rsid w:val="00FA3413"/>
    <w:rsid w:val="00FA5F5A"/>
    <w:rsid w:val="00FA65D3"/>
    <w:rsid w:val="00FA68D2"/>
    <w:rsid w:val="00FA7186"/>
    <w:rsid w:val="00FA7D6B"/>
    <w:rsid w:val="00FB115F"/>
    <w:rsid w:val="00FB19F5"/>
    <w:rsid w:val="00FB355A"/>
    <w:rsid w:val="00FB4A1C"/>
    <w:rsid w:val="00FB504D"/>
    <w:rsid w:val="00FB51DC"/>
    <w:rsid w:val="00FB5BF0"/>
    <w:rsid w:val="00FB5CD9"/>
    <w:rsid w:val="00FB66CC"/>
    <w:rsid w:val="00FB6924"/>
    <w:rsid w:val="00FB795F"/>
    <w:rsid w:val="00FB7C60"/>
    <w:rsid w:val="00FC1601"/>
    <w:rsid w:val="00FC1884"/>
    <w:rsid w:val="00FC2A77"/>
    <w:rsid w:val="00FC2DE4"/>
    <w:rsid w:val="00FC3DEC"/>
    <w:rsid w:val="00FC6275"/>
    <w:rsid w:val="00FC64FB"/>
    <w:rsid w:val="00FC7377"/>
    <w:rsid w:val="00FD0E2D"/>
    <w:rsid w:val="00FD0F4E"/>
    <w:rsid w:val="00FD12DB"/>
    <w:rsid w:val="00FD1A61"/>
    <w:rsid w:val="00FD3C84"/>
    <w:rsid w:val="00FD4088"/>
    <w:rsid w:val="00FD41A6"/>
    <w:rsid w:val="00FD490C"/>
    <w:rsid w:val="00FD57E2"/>
    <w:rsid w:val="00FD58B6"/>
    <w:rsid w:val="00FD5D61"/>
    <w:rsid w:val="00FD64E5"/>
    <w:rsid w:val="00FE03F5"/>
    <w:rsid w:val="00FE14E0"/>
    <w:rsid w:val="00FE2E40"/>
    <w:rsid w:val="00FE493E"/>
    <w:rsid w:val="00FE4E21"/>
    <w:rsid w:val="00FE5DF6"/>
    <w:rsid w:val="00FF07EE"/>
    <w:rsid w:val="00FF1673"/>
    <w:rsid w:val="00FF1D71"/>
    <w:rsid w:val="00FF2AE4"/>
    <w:rsid w:val="00FF3C7C"/>
    <w:rsid w:val="00FF5794"/>
    <w:rsid w:val="00FF69E1"/>
    <w:rsid w:val="00FF6B3D"/>
    <w:rsid w:val="00FF7A81"/>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3594D"/>
  <w15:docId w15:val="{AE278A13-9C2A-4D53-8A14-E27E9B8F7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2501"/>
    <w:pPr>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573F1"/>
    <w:pPr>
      <w:tabs>
        <w:tab w:val="center" w:pos="4536"/>
        <w:tab w:val="right" w:pos="9072"/>
      </w:tabs>
    </w:pPr>
  </w:style>
  <w:style w:type="character" w:customStyle="1" w:styleId="ZhlavChar">
    <w:name w:val="Záhlaví Char"/>
    <w:basedOn w:val="Standardnpsmoodstavce"/>
    <w:link w:val="Zhlav"/>
    <w:uiPriority w:val="99"/>
    <w:rsid w:val="00F573F1"/>
  </w:style>
  <w:style w:type="paragraph" w:styleId="Zpat">
    <w:name w:val="footer"/>
    <w:basedOn w:val="Normln"/>
    <w:link w:val="ZpatChar"/>
    <w:uiPriority w:val="99"/>
    <w:unhideWhenUsed/>
    <w:rsid w:val="00F573F1"/>
    <w:pPr>
      <w:tabs>
        <w:tab w:val="center" w:pos="4536"/>
        <w:tab w:val="right" w:pos="9072"/>
      </w:tabs>
    </w:pPr>
  </w:style>
  <w:style w:type="character" w:customStyle="1" w:styleId="ZpatChar">
    <w:name w:val="Zápatí Char"/>
    <w:basedOn w:val="Standardnpsmoodstavce"/>
    <w:link w:val="Zpat"/>
    <w:uiPriority w:val="99"/>
    <w:rsid w:val="00F573F1"/>
  </w:style>
  <w:style w:type="paragraph" w:customStyle="1" w:styleId="Standard">
    <w:name w:val="Standard"/>
    <w:rsid w:val="00F573F1"/>
    <w:pPr>
      <w:suppressAutoHyphens/>
      <w:autoSpaceDN w:val="0"/>
      <w:spacing w:after="0" w:line="240" w:lineRule="auto"/>
      <w:jc w:val="both"/>
      <w:textAlignment w:val="baseline"/>
    </w:pPr>
    <w:rPr>
      <w:rFonts w:ascii="Arial" w:eastAsia="Times New Roman" w:hAnsi="Arial" w:cs="Arial Unicode MS"/>
      <w:kern w:val="3"/>
      <w:sz w:val="18"/>
      <w:szCs w:val="20"/>
      <w:lang w:eastAsia="zh-CN" w:bidi="hi-IN"/>
    </w:rPr>
  </w:style>
  <w:style w:type="character" w:styleId="Hypertextovodkaz">
    <w:name w:val="Hyperlink"/>
    <w:basedOn w:val="Standardnpsmoodstavce"/>
    <w:uiPriority w:val="99"/>
    <w:rsid w:val="005A2501"/>
    <w:rPr>
      <w:rFonts w:cs="Times New Roman"/>
      <w:color w:val="0000FF"/>
      <w:u w:val="single"/>
    </w:rPr>
  </w:style>
  <w:style w:type="paragraph" w:styleId="Normlnweb">
    <w:name w:val="Normal (Web)"/>
    <w:basedOn w:val="Normln"/>
    <w:uiPriority w:val="99"/>
    <w:rsid w:val="005A2501"/>
    <w:pPr>
      <w:overflowPunct/>
      <w:autoSpaceDE/>
      <w:autoSpaceDN/>
      <w:adjustRightInd/>
      <w:spacing w:before="100" w:beforeAutospacing="1" w:after="100" w:afterAutospacing="1"/>
      <w:jc w:val="left"/>
      <w:textAlignment w:val="auto"/>
    </w:pPr>
    <w:rPr>
      <w:rFonts w:ascii="Times New Roman" w:eastAsia="Calibri" w:hAnsi="Times New Roman"/>
      <w:sz w:val="24"/>
      <w:szCs w:val="24"/>
    </w:rPr>
  </w:style>
  <w:style w:type="paragraph" w:styleId="Odstavecseseznamem">
    <w:name w:val="List Paragraph"/>
    <w:basedOn w:val="Normln"/>
    <w:uiPriority w:val="34"/>
    <w:qFormat/>
    <w:rsid w:val="00517111"/>
    <w:pPr>
      <w:ind w:left="720"/>
      <w:contextualSpacing/>
    </w:pPr>
  </w:style>
  <w:style w:type="paragraph" w:styleId="Textbubliny">
    <w:name w:val="Balloon Text"/>
    <w:basedOn w:val="Normln"/>
    <w:link w:val="TextbublinyChar"/>
    <w:uiPriority w:val="99"/>
    <w:semiHidden/>
    <w:unhideWhenUsed/>
    <w:rsid w:val="009139AF"/>
    <w:rPr>
      <w:rFonts w:cs="Arial"/>
      <w:szCs w:val="18"/>
    </w:rPr>
  </w:style>
  <w:style w:type="character" w:customStyle="1" w:styleId="TextbublinyChar">
    <w:name w:val="Text bubliny Char"/>
    <w:basedOn w:val="Standardnpsmoodstavce"/>
    <w:link w:val="Textbubliny"/>
    <w:uiPriority w:val="99"/>
    <w:semiHidden/>
    <w:rsid w:val="009139AF"/>
    <w:rPr>
      <w:rFonts w:ascii="Arial" w:eastAsia="Times New Roman" w:hAnsi="Arial" w:cs="Arial"/>
      <w:sz w:val="18"/>
      <w:szCs w:val="18"/>
      <w:lang w:eastAsia="cs-CZ"/>
    </w:rPr>
  </w:style>
  <w:style w:type="character" w:styleId="Odkaznakoment">
    <w:name w:val="annotation reference"/>
    <w:basedOn w:val="Standardnpsmoodstavce"/>
    <w:uiPriority w:val="99"/>
    <w:semiHidden/>
    <w:unhideWhenUsed/>
    <w:rsid w:val="00744504"/>
    <w:rPr>
      <w:sz w:val="16"/>
      <w:szCs w:val="16"/>
    </w:rPr>
  </w:style>
  <w:style w:type="paragraph" w:styleId="Textkomente">
    <w:name w:val="annotation text"/>
    <w:basedOn w:val="Normln"/>
    <w:link w:val="TextkomenteChar"/>
    <w:uiPriority w:val="99"/>
    <w:unhideWhenUsed/>
    <w:rsid w:val="00744504"/>
    <w:rPr>
      <w:sz w:val="20"/>
    </w:rPr>
  </w:style>
  <w:style w:type="character" w:customStyle="1" w:styleId="TextkomenteChar">
    <w:name w:val="Text komentáře Char"/>
    <w:basedOn w:val="Standardnpsmoodstavce"/>
    <w:link w:val="Textkomente"/>
    <w:uiPriority w:val="99"/>
    <w:rsid w:val="00744504"/>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44504"/>
    <w:rPr>
      <w:b/>
      <w:bCs/>
    </w:rPr>
  </w:style>
  <w:style w:type="character" w:customStyle="1" w:styleId="PedmtkomenteChar">
    <w:name w:val="Předmět komentáře Char"/>
    <w:basedOn w:val="TextkomenteChar"/>
    <w:link w:val="Pedmtkomente"/>
    <w:uiPriority w:val="99"/>
    <w:semiHidden/>
    <w:rsid w:val="00744504"/>
    <w:rPr>
      <w:rFonts w:ascii="Arial" w:eastAsia="Times New Roman" w:hAnsi="Arial" w:cs="Times New Roman"/>
      <w:b/>
      <w:bCs/>
      <w:sz w:val="20"/>
      <w:szCs w:val="20"/>
      <w:lang w:eastAsia="cs-CZ"/>
    </w:rPr>
  </w:style>
  <w:style w:type="paragraph" w:customStyle="1" w:styleId="Default">
    <w:name w:val="Default"/>
    <w:rsid w:val="006E1DBB"/>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747C2E"/>
    <w:pPr>
      <w:spacing w:after="0" w:line="240" w:lineRule="auto"/>
    </w:pPr>
    <w:rPr>
      <w:rFonts w:ascii="Arial" w:eastAsia="Times New Roman" w:hAnsi="Arial" w:cs="Times New Roman"/>
      <w:sz w:val="18"/>
      <w:szCs w:val="20"/>
      <w:lang w:eastAsia="cs-CZ"/>
    </w:rPr>
  </w:style>
  <w:style w:type="paragraph" w:styleId="Textpoznpodarou">
    <w:name w:val="footnote text"/>
    <w:basedOn w:val="Normln"/>
    <w:link w:val="TextpoznpodarouChar"/>
    <w:uiPriority w:val="99"/>
    <w:semiHidden/>
    <w:unhideWhenUsed/>
    <w:rsid w:val="00AA6453"/>
    <w:rPr>
      <w:sz w:val="20"/>
    </w:rPr>
  </w:style>
  <w:style w:type="character" w:customStyle="1" w:styleId="TextpoznpodarouChar">
    <w:name w:val="Text pozn. pod čarou Char"/>
    <w:basedOn w:val="Standardnpsmoodstavce"/>
    <w:link w:val="Textpoznpodarou"/>
    <w:uiPriority w:val="99"/>
    <w:semiHidden/>
    <w:rsid w:val="00AA6453"/>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AA6453"/>
    <w:rPr>
      <w:vertAlign w:val="superscript"/>
    </w:rPr>
  </w:style>
  <w:style w:type="character" w:customStyle="1" w:styleId="cf01">
    <w:name w:val="cf01"/>
    <w:basedOn w:val="Standardnpsmoodstavce"/>
    <w:rsid w:val="00983579"/>
    <w:rPr>
      <w:rFonts w:ascii="Segoe UI" w:hAnsi="Segoe UI" w:cs="Segoe UI" w:hint="default"/>
      <w:sz w:val="18"/>
      <w:szCs w:val="18"/>
    </w:rPr>
  </w:style>
  <w:style w:type="paragraph" w:customStyle="1" w:styleId="CBANadpisvTABULCE">
    <w:name w:val="CBA Nadpis v TABULCE"/>
    <w:basedOn w:val="Normln"/>
    <w:qFormat/>
    <w:rsid w:val="0073410F"/>
    <w:pPr>
      <w:spacing w:before="120" w:after="120"/>
      <w:jc w:val="left"/>
    </w:pPr>
    <w:rPr>
      <w:b/>
      <w:bCs/>
      <w:color w:val="13576B"/>
    </w:rPr>
  </w:style>
  <w:style w:type="paragraph" w:customStyle="1" w:styleId="CBAodstavecvTABULCE">
    <w:name w:val="CBA odstavec v TABULCE"/>
    <w:basedOn w:val="Normln"/>
    <w:qFormat/>
    <w:rsid w:val="0073410F"/>
    <w:pPr>
      <w:spacing w:before="120" w:after="120"/>
      <w:jc w:val="left"/>
    </w:pPr>
    <w:rPr>
      <w:color w:val="13576B"/>
    </w:rPr>
  </w:style>
  <w:style w:type="character" w:styleId="Nevyeenzmnka">
    <w:name w:val="Unresolved Mention"/>
    <w:basedOn w:val="Standardnpsmoodstavce"/>
    <w:uiPriority w:val="99"/>
    <w:semiHidden/>
    <w:unhideWhenUsed/>
    <w:rsid w:val="00E84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74939">
      <w:bodyDiv w:val="1"/>
      <w:marLeft w:val="0"/>
      <w:marRight w:val="0"/>
      <w:marTop w:val="0"/>
      <w:marBottom w:val="0"/>
      <w:divBdr>
        <w:top w:val="none" w:sz="0" w:space="0" w:color="auto"/>
        <w:left w:val="none" w:sz="0" w:space="0" w:color="auto"/>
        <w:bottom w:val="none" w:sz="0" w:space="0" w:color="auto"/>
        <w:right w:val="none" w:sz="0" w:space="0" w:color="auto"/>
      </w:divBdr>
    </w:div>
    <w:div w:id="125004222">
      <w:bodyDiv w:val="1"/>
      <w:marLeft w:val="0"/>
      <w:marRight w:val="0"/>
      <w:marTop w:val="0"/>
      <w:marBottom w:val="0"/>
      <w:divBdr>
        <w:top w:val="none" w:sz="0" w:space="0" w:color="auto"/>
        <w:left w:val="none" w:sz="0" w:space="0" w:color="auto"/>
        <w:bottom w:val="none" w:sz="0" w:space="0" w:color="auto"/>
        <w:right w:val="none" w:sz="0" w:space="0" w:color="auto"/>
      </w:divBdr>
    </w:div>
    <w:div w:id="146481197">
      <w:bodyDiv w:val="1"/>
      <w:marLeft w:val="0"/>
      <w:marRight w:val="0"/>
      <w:marTop w:val="0"/>
      <w:marBottom w:val="0"/>
      <w:divBdr>
        <w:top w:val="none" w:sz="0" w:space="0" w:color="auto"/>
        <w:left w:val="none" w:sz="0" w:space="0" w:color="auto"/>
        <w:bottom w:val="none" w:sz="0" w:space="0" w:color="auto"/>
        <w:right w:val="none" w:sz="0" w:space="0" w:color="auto"/>
      </w:divBdr>
    </w:div>
    <w:div w:id="171840413">
      <w:bodyDiv w:val="1"/>
      <w:marLeft w:val="0"/>
      <w:marRight w:val="0"/>
      <w:marTop w:val="0"/>
      <w:marBottom w:val="0"/>
      <w:divBdr>
        <w:top w:val="none" w:sz="0" w:space="0" w:color="auto"/>
        <w:left w:val="none" w:sz="0" w:space="0" w:color="auto"/>
        <w:bottom w:val="none" w:sz="0" w:space="0" w:color="auto"/>
        <w:right w:val="none" w:sz="0" w:space="0" w:color="auto"/>
      </w:divBdr>
    </w:div>
    <w:div w:id="175772208">
      <w:bodyDiv w:val="1"/>
      <w:marLeft w:val="0"/>
      <w:marRight w:val="0"/>
      <w:marTop w:val="0"/>
      <w:marBottom w:val="0"/>
      <w:divBdr>
        <w:top w:val="none" w:sz="0" w:space="0" w:color="auto"/>
        <w:left w:val="none" w:sz="0" w:space="0" w:color="auto"/>
        <w:bottom w:val="none" w:sz="0" w:space="0" w:color="auto"/>
        <w:right w:val="none" w:sz="0" w:space="0" w:color="auto"/>
      </w:divBdr>
    </w:div>
    <w:div w:id="205799727">
      <w:bodyDiv w:val="1"/>
      <w:marLeft w:val="0"/>
      <w:marRight w:val="0"/>
      <w:marTop w:val="0"/>
      <w:marBottom w:val="0"/>
      <w:divBdr>
        <w:top w:val="none" w:sz="0" w:space="0" w:color="auto"/>
        <w:left w:val="none" w:sz="0" w:space="0" w:color="auto"/>
        <w:bottom w:val="none" w:sz="0" w:space="0" w:color="auto"/>
        <w:right w:val="none" w:sz="0" w:space="0" w:color="auto"/>
      </w:divBdr>
    </w:div>
    <w:div w:id="213080258">
      <w:bodyDiv w:val="1"/>
      <w:marLeft w:val="0"/>
      <w:marRight w:val="0"/>
      <w:marTop w:val="0"/>
      <w:marBottom w:val="0"/>
      <w:divBdr>
        <w:top w:val="none" w:sz="0" w:space="0" w:color="auto"/>
        <w:left w:val="none" w:sz="0" w:space="0" w:color="auto"/>
        <w:bottom w:val="none" w:sz="0" w:space="0" w:color="auto"/>
        <w:right w:val="none" w:sz="0" w:space="0" w:color="auto"/>
      </w:divBdr>
    </w:div>
    <w:div w:id="235168362">
      <w:bodyDiv w:val="1"/>
      <w:marLeft w:val="0"/>
      <w:marRight w:val="0"/>
      <w:marTop w:val="0"/>
      <w:marBottom w:val="0"/>
      <w:divBdr>
        <w:top w:val="none" w:sz="0" w:space="0" w:color="auto"/>
        <w:left w:val="none" w:sz="0" w:space="0" w:color="auto"/>
        <w:bottom w:val="none" w:sz="0" w:space="0" w:color="auto"/>
        <w:right w:val="none" w:sz="0" w:space="0" w:color="auto"/>
      </w:divBdr>
    </w:div>
    <w:div w:id="278924704">
      <w:bodyDiv w:val="1"/>
      <w:marLeft w:val="0"/>
      <w:marRight w:val="0"/>
      <w:marTop w:val="0"/>
      <w:marBottom w:val="0"/>
      <w:divBdr>
        <w:top w:val="none" w:sz="0" w:space="0" w:color="auto"/>
        <w:left w:val="none" w:sz="0" w:space="0" w:color="auto"/>
        <w:bottom w:val="none" w:sz="0" w:space="0" w:color="auto"/>
        <w:right w:val="none" w:sz="0" w:space="0" w:color="auto"/>
      </w:divBdr>
    </w:div>
    <w:div w:id="313801545">
      <w:bodyDiv w:val="1"/>
      <w:marLeft w:val="0"/>
      <w:marRight w:val="0"/>
      <w:marTop w:val="0"/>
      <w:marBottom w:val="0"/>
      <w:divBdr>
        <w:top w:val="none" w:sz="0" w:space="0" w:color="auto"/>
        <w:left w:val="none" w:sz="0" w:space="0" w:color="auto"/>
        <w:bottom w:val="none" w:sz="0" w:space="0" w:color="auto"/>
        <w:right w:val="none" w:sz="0" w:space="0" w:color="auto"/>
      </w:divBdr>
    </w:div>
    <w:div w:id="320087060">
      <w:bodyDiv w:val="1"/>
      <w:marLeft w:val="0"/>
      <w:marRight w:val="0"/>
      <w:marTop w:val="0"/>
      <w:marBottom w:val="0"/>
      <w:divBdr>
        <w:top w:val="none" w:sz="0" w:space="0" w:color="auto"/>
        <w:left w:val="none" w:sz="0" w:space="0" w:color="auto"/>
        <w:bottom w:val="none" w:sz="0" w:space="0" w:color="auto"/>
        <w:right w:val="none" w:sz="0" w:space="0" w:color="auto"/>
      </w:divBdr>
    </w:div>
    <w:div w:id="383871093">
      <w:bodyDiv w:val="1"/>
      <w:marLeft w:val="0"/>
      <w:marRight w:val="0"/>
      <w:marTop w:val="0"/>
      <w:marBottom w:val="0"/>
      <w:divBdr>
        <w:top w:val="none" w:sz="0" w:space="0" w:color="auto"/>
        <w:left w:val="none" w:sz="0" w:space="0" w:color="auto"/>
        <w:bottom w:val="none" w:sz="0" w:space="0" w:color="auto"/>
        <w:right w:val="none" w:sz="0" w:space="0" w:color="auto"/>
      </w:divBdr>
    </w:div>
    <w:div w:id="389623159">
      <w:bodyDiv w:val="1"/>
      <w:marLeft w:val="0"/>
      <w:marRight w:val="0"/>
      <w:marTop w:val="0"/>
      <w:marBottom w:val="0"/>
      <w:divBdr>
        <w:top w:val="none" w:sz="0" w:space="0" w:color="auto"/>
        <w:left w:val="none" w:sz="0" w:space="0" w:color="auto"/>
        <w:bottom w:val="none" w:sz="0" w:space="0" w:color="auto"/>
        <w:right w:val="none" w:sz="0" w:space="0" w:color="auto"/>
      </w:divBdr>
    </w:div>
    <w:div w:id="433131831">
      <w:bodyDiv w:val="1"/>
      <w:marLeft w:val="0"/>
      <w:marRight w:val="0"/>
      <w:marTop w:val="0"/>
      <w:marBottom w:val="0"/>
      <w:divBdr>
        <w:top w:val="none" w:sz="0" w:space="0" w:color="auto"/>
        <w:left w:val="none" w:sz="0" w:space="0" w:color="auto"/>
        <w:bottom w:val="none" w:sz="0" w:space="0" w:color="auto"/>
        <w:right w:val="none" w:sz="0" w:space="0" w:color="auto"/>
      </w:divBdr>
    </w:div>
    <w:div w:id="434447739">
      <w:bodyDiv w:val="1"/>
      <w:marLeft w:val="0"/>
      <w:marRight w:val="0"/>
      <w:marTop w:val="0"/>
      <w:marBottom w:val="0"/>
      <w:divBdr>
        <w:top w:val="none" w:sz="0" w:space="0" w:color="auto"/>
        <w:left w:val="none" w:sz="0" w:space="0" w:color="auto"/>
        <w:bottom w:val="none" w:sz="0" w:space="0" w:color="auto"/>
        <w:right w:val="none" w:sz="0" w:space="0" w:color="auto"/>
      </w:divBdr>
    </w:div>
    <w:div w:id="486096695">
      <w:bodyDiv w:val="1"/>
      <w:marLeft w:val="0"/>
      <w:marRight w:val="0"/>
      <w:marTop w:val="0"/>
      <w:marBottom w:val="0"/>
      <w:divBdr>
        <w:top w:val="none" w:sz="0" w:space="0" w:color="auto"/>
        <w:left w:val="none" w:sz="0" w:space="0" w:color="auto"/>
        <w:bottom w:val="none" w:sz="0" w:space="0" w:color="auto"/>
        <w:right w:val="none" w:sz="0" w:space="0" w:color="auto"/>
      </w:divBdr>
    </w:div>
    <w:div w:id="534267763">
      <w:bodyDiv w:val="1"/>
      <w:marLeft w:val="0"/>
      <w:marRight w:val="0"/>
      <w:marTop w:val="0"/>
      <w:marBottom w:val="0"/>
      <w:divBdr>
        <w:top w:val="none" w:sz="0" w:space="0" w:color="auto"/>
        <w:left w:val="none" w:sz="0" w:space="0" w:color="auto"/>
        <w:bottom w:val="none" w:sz="0" w:space="0" w:color="auto"/>
        <w:right w:val="none" w:sz="0" w:space="0" w:color="auto"/>
      </w:divBdr>
    </w:div>
    <w:div w:id="622227915">
      <w:bodyDiv w:val="1"/>
      <w:marLeft w:val="0"/>
      <w:marRight w:val="0"/>
      <w:marTop w:val="0"/>
      <w:marBottom w:val="0"/>
      <w:divBdr>
        <w:top w:val="none" w:sz="0" w:space="0" w:color="auto"/>
        <w:left w:val="none" w:sz="0" w:space="0" w:color="auto"/>
        <w:bottom w:val="none" w:sz="0" w:space="0" w:color="auto"/>
        <w:right w:val="none" w:sz="0" w:space="0" w:color="auto"/>
      </w:divBdr>
    </w:div>
    <w:div w:id="693072444">
      <w:bodyDiv w:val="1"/>
      <w:marLeft w:val="0"/>
      <w:marRight w:val="0"/>
      <w:marTop w:val="0"/>
      <w:marBottom w:val="0"/>
      <w:divBdr>
        <w:top w:val="none" w:sz="0" w:space="0" w:color="auto"/>
        <w:left w:val="none" w:sz="0" w:space="0" w:color="auto"/>
        <w:bottom w:val="none" w:sz="0" w:space="0" w:color="auto"/>
        <w:right w:val="none" w:sz="0" w:space="0" w:color="auto"/>
      </w:divBdr>
    </w:div>
    <w:div w:id="740103959">
      <w:bodyDiv w:val="1"/>
      <w:marLeft w:val="0"/>
      <w:marRight w:val="0"/>
      <w:marTop w:val="0"/>
      <w:marBottom w:val="0"/>
      <w:divBdr>
        <w:top w:val="none" w:sz="0" w:space="0" w:color="auto"/>
        <w:left w:val="none" w:sz="0" w:space="0" w:color="auto"/>
        <w:bottom w:val="none" w:sz="0" w:space="0" w:color="auto"/>
        <w:right w:val="none" w:sz="0" w:space="0" w:color="auto"/>
      </w:divBdr>
    </w:div>
    <w:div w:id="744883708">
      <w:bodyDiv w:val="1"/>
      <w:marLeft w:val="0"/>
      <w:marRight w:val="0"/>
      <w:marTop w:val="0"/>
      <w:marBottom w:val="0"/>
      <w:divBdr>
        <w:top w:val="none" w:sz="0" w:space="0" w:color="auto"/>
        <w:left w:val="none" w:sz="0" w:space="0" w:color="auto"/>
        <w:bottom w:val="none" w:sz="0" w:space="0" w:color="auto"/>
        <w:right w:val="none" w:sz="0" w:space="0" w:color="auto"/>
      </w:divBdr>
    </w:div>
    <w:div w:id="775829942">
      <w:bodyDiv w:val="1"/>
      <w:marLeft w:val="0"/>
      <w:marRight w:val="0"/>
      <w:marTop w:val="0"/>
      <w:marBottom w:val="0"/>
      <w:divBdr>
        <w:top w:val="none" w:sz="0" w:space="0" w:color="auto"/>
        <w:left w:val="none" w:sz="0" w:space="0" w:color="auto"/>
        <w:bottom w:val="none" w:sz="0" w:space="0" w:color="auto"/>
        <w:right w:val="none" w:sz="0" w:space="0" w:color="auto"/>
      </w:divBdr>
    </w:div>
    <w:div w:id="794324714">
      <w:bodyDiv w:val="1"/>
      <w:marLeft w:val="0"/>
      <w:marRight w:val="0"/>
      <w:marTop w:val="0"/>
      <w:marBottom w:val="0"/>
      <w:divBdr>
        <w:top w:val="none" w:sz="0" w:space="0" w:color="auto"/>
        <w:left w:val="none" w:sz="0" w:space="0" w:color="auto"/>
        <w:bottom w:val="none" w:sz="0" w:space="0" w:color="auto"/>
        <w:right w:val="none" w:sz="0" w:space="0" w:color="auto"/>
      </w:divBdr>
    </w:div>
    <w:div w:id="844367420">
      <w:bodyDiv w:val="1"/>
      <w:marLeft w:val="0"/>
      <w:marRight w:val="0"/>
      <w:marTop w:val="0"/>
      <w:marBottom w:val="0"/>
      <w:divBdr>
        <w:top w:val="none" w:sz="0" w:space="0" w:color="auto"/>
        <w:left w:val="none" w:sz="0" w:space="0" w:color="auto"/>
        <w:bottom w:val="none" w:sz="0" w:space="0" w:color="auto"/>
        <w:right w:val="none" w:sz="0" w:space="0" w:color="auto"/>
      </w:divBdr>
    </w:div>
    <w:div w:id="846405975">
      <w:bodyDiv w:val="1"/>
      <w:marLeft w:val="0"/>
      <w:marRight w:val="0"/>
      <w:marTop w:val="0"/>
      <w:marBottom w:val="0"/>
      <w:divBdr>
        <w:top w:val="none" w:sz="0" w:space="0" w:color="auto"/>
        <w:left w:val="none" w:sz="0" w:space="0" w:color="auto"/>
        <w:bottom w:val="none" w:sz="0" w:space="0" w:color="auto"/>
        <w:right w:val="none" w:sz="0" w:space="0" w:color="auto"/>
      </w:divBdr>
    </w:div>
    <w:div w:id="860356969">
      <w:bodyDiv w:val="1"/>
      <w:marLeft w:val="0"/>
      <w:marRight w:val="0"/>
      <w:marTop w:val="0"/>
      <w:marBottom w:val="0"/>
      <w:divBdr>
        <w:top w:val="none" w:sz="0" w:space="0" w:color="auto"/>
        <w:left w:val="none" w:sz="0" w:space="0" w:color="auto"/>
        <w:bottom w:val="none" w:sz="0" w:space="0" w:color="auto"/>
        <w:right w:val="none" w:sz="0" w:space="0" w:color="auto"/>
      </w:divBdr>
    </w:div>
    <w:div w:id="874662016">
      <w:bodyDiv w:val="1"/>
      <w:marLeft w:val="0"/>
      <w:marRight w:val="0"/>
      <w:marTop w:val="0"/>
      <w:marBottom w:val="0"/>
      <w:divBdr>
        <w:top w:val="none" w:sz="0" w:space="0" w:color="auto"/>
        <w:left w:val="none" w:sz="0" w:space="0" w:color="auto"/>
        <w:bottom w:val="none" w:sz="0" w:space="0" w:color="auto"/>
        <w:right w:val="none" w:sz="0" w:space="0" w:color="auto"/>
      </w:divBdr>
    </w:div>
    <w:div w:id="881596654">
      <w:bodyDiv w:val="1"/>
      <w:marLeft w:val="0"/>
      <w:marRight w:val="0"/>
      <w:marTop w:val="0"/>
      <w:marBottom w:val="0"/>
      <w:divBdr>
        <w:top w:val="none" w:sz="0" w:space="0" w:color="auto"/>
        <w:left w:val="none" w:sz="0" w:space="0" w:color="auto"/>
        <w:bottom w:val="none" w:sz="0" w:space="0" w:color="auto"/>
        <w:right w:val="none" w:sz="0" w:space="0" w:color="auto"/>
      </w:divBdr>
    </w:div>
    <w:div w:id="952638638">
      <w:bodyDiv w:val="1"/>
      <w:marLeft w:val="0"/>
      <w:marRight w:val="0"/>
      <w:marTop w:val="0"/>
      <w:marBottom w:val="0"/>
      <w:divBdr>
        <w:top w:val="none" w:sz="0" w:space="0" w:color="auto"/>
        <w:left w:val="none" w:sz="0" w:space="0" w:color="auto"/>
        <w:bottom w:val="none" w:sz="0" w:space="0" w:color="auto"/>
        <w:right w:val="none" w:sz="0" w:space="0" w:color="auto"/>
      </w:divBdr>
    </w:div>
    <w:div w:id="972368172">
      <w:bodyDiv w:val="1"/>
      <w:marLeft w:val="0"/>
      <w:marRight w:val="0"/>
      <w:marTop w:val="0"/>
      <w:marBottom w:val="0"/>
      <w:divBdr>
        <w:top w:val="none" w:sz="0" w:space="0" w:color="auto"/>
        <w:left w:val="none" w:sz="0" w:space="0" w:color="auto"/>
        <w:bottom w:val="none" w:sz="0" w:space="0" w:color="auto"/>
        <w:right w:val="none" w:sz="0" w:space="0" w:color="auto"/>
      </w:divBdr>
    </w:div>
    <w:div w:id="974721017">
      <w:bodyDiv w:val="1"/>
      <w:marLeft w:val="0"/>
      <w:marRight w:val="0"/>
      <w:marTop w:val="0"/>
      <w:marBottom w:val="0"/>
      <w:divBdr>
        <w:top w:val="none" w:sz="0" w:space="0" w:color="auto"/>
        <w:left w:val="none" w:sz="0" w:space="0" w:color="auto"/>
        <w:bottom w:val="none" w:sz="0" w:space="0" w:color="auto"/>
        <w:right w:val="none" w:sz="0" w:space="0" w:color="auto"/>
      </w:divBdr>
    </w:div>
    <w:div w:id="1031538979">
      <w:bodyDiv w:val="1"/>
      <w:marLeft w:val="0"/>
      <w:marRight w:val="0"/>
      <w:marTop w:val="0"/>
      <w:marBottom w:val="0"/>
      <w:divBdr>
        <w:top w:val="none" w:sz="0" w:space="0" w:color="auto"/>
        <w:left w:val="none" w:sz="0" w:space="0" w:color="auto"/>
        <w:bottom w:val="none" w:sz="0" w:space="0" w:color="auto"/>
        <w:right w:val="none" w:sz="0" w:space="0" w:color="auto"/>
      </w:divBdr>
    </w:div>
    <w:div w:id="1053165063">
      <w:bodyDiv w:val="1"/>
      <w:marLeft w:val="0"/>
      <w:marRight w:val="0"/>
      <w:marTop w:val="0"/>
      <w:marBottom w:val="0"/>
      <w:divBdr>
        <w:top w:val="none" w:sz="0" w:space="0" w:color="auto"/>
        <w:left w:val="none" w:sz="0" w:space="0" w:color="auto"/>
        <w:bottom w:val="none" w:sz="0" w:space="0" w:color="auto"/>
        <w:right w:val="none" w:sz="0" w:space="0" w:color="auto"/>
      </w:divBdr>
    </w:div>
    <w:div w:id="1097822366">
      <w:bodyDiv w:val="1"/>
      <w:marLeft w:val="0"/>
      <w:marRight w:val="0"/>
      <w:marTop w:val="0"/>
      <w:marBottom w:val="0"/>
      <w:divBdr>
        <w:top w:val="none" w:sz="0" w:space="0" w:color="auto"/>
        <w:left w:val="none" w:sz="0" w:space="0" w:color="auto"/>
        <w:bottom w:val="none" w:sz="0" w:space="0" w:color="auto"/>
        <w:right w:val="none" w:sz="0" w:space="0" w:color="auto"/>
      </w:divBdr>
    </w:div>
    <w:div w:id="1132677217">
      <w:bodyDiv w:val="1"/>
      <w:marLeft w:val="0"/>
      <w:marRight w:val="0"/>
      <w:marTop w:val="0"/>
      <w:marBottom w:val="0"/>
      <w:divBdr>
        <w:top w:val="none" w:sz="0" w:space="0" w:color="auto"/>
        <w:left w:val="none" w:sz="0" w:space="0" w:color="auto"/>
        <w:bottom w:val="none" w:sz="0" w:space="0" w:color="auto"/>
        <w:right w:val="none" w:sz="0" w:space="0" w:color="auto"/>
      </w:divBdr>
    </w:div>
    <w:div w:id="1149251152">
      <w:bodyDiv w:val="1"/>
      <w:marLeft w:val="0"/>
      <w:marRight w:val="0"/>
      <w:marTop w:val="0"/>
      <w:marBottom w:val="0"/>
      <w:divBdr>
        <w:top w:val="none" w:sz="0" w:space="0" w:color="auto"/>
        <w:left w:val="none" w:sz="0" w:space="0" w:color="auto"/>
        <w:bottom w:val="none" w:sz="0" w:space="0" w:color="auto"/>
        <w:right w:val="none" w:sz="0" w:space="0" w:color="auto"/>
      </w:divBdr>
    </w:div>
    <w:div w:id="1244995879">
      <w:bodyDiv w:val="1"/>
      <w:marLeft w:val="0"/>
      <w:marRight w:val="0"/>
      <w:marTop w:val="0"/>
      <w:marBottom w:val="0"/>
      <w:divBdr>
        <w:top w:val="none" w:sz="0" w:space="0" w:color="auto"/>
        <w:left w:val="none" w:sz="0" w:space="0" w:color="auto"/>
        <w:bottom w:val="none" w:sz="0" w:space="0" w:color="auto"/>
        <w:right w:val="none" w:sz="0" w:space="0" w:color="auto"/>
      </w:divBdr>
    </w:div>
    <w:div w:id="1247962172">
      <w:bodyDiv w:val="1"/>
      <w:marLeft w:val="0"/>
      <w:marRight w:val="0"/>
      <w:marTop w:val="0"/>
      <w:marBottom w:val="0"/>
      <w:divBdr>
        <w:top w:val="none" w:sz="0" w:space="0" w:color="auto"/>
        <w:left w:val="none" w:sz="0" w:space="0" w:color="auto"/>
        <w:bottom w:val="none" w:sz="0" w:space="0" w:color="auto"/>
        <w:right w:val="none" w:sz="0" w:space="0" w:color="auto"/>
      </w:divBdr>
    </w:div>
    <w:div w:id="1285036963">
      <w:bodyDiv w:val="1"/>
      <w:marLeft w:val="0"/>
      <w:marRight w:val="0"/>
      <w:marTop w:val="0"/>
      <w:marBottom w:val="0"/>
      <w:divBdr>
        <w:top w:val="none" w:sz="0" w:space="0" w:color="auto"/>
        <w:left w:val="none" w:sz="0" w:space="0" w:color="auto"/>
        <w:bottom w:val="none" w:sz="0" w:space="0" w:color="auto"/>
        <w:right w:val="none" w:sz="0" w:space="0" w:color="auto"/>
      </w:divBdr>
    </w:div>
    <w:div w:id="1303655994">
      <w:bodyDiv w:val="1"/>
      <w:marLeft w:val="0"/>
      <w:marRight w:val="0"/>
      <w:marTop w:val="0"/>
      <w:marBottom w:val="0"/>
      <w:divBdr>
        <w:top w:val="none" w:sz="0" w:space="0" w:color="auto"/>
        <w:left w:val="none" w:sz="0" w:space="0" w:color="auto"/>
        <w:bottom w:val="none" w:sz="0" w:space="0" w:color="auto"/>
        <w:right w:val="none" w:sz="0" w:space="0" w:color="auto"/>
      </w:divBdr>
    </w:div>
    <w:div w:id="1350253804">
      <w:bodyDiv w:val="1"/>
      <w:marLeft w:val="0"/>
      <w:marRight w:val="0"/>
      <w:marTop w:val="0"/>
      <w:marBottom w:val="0"/>
      <w:divBdr>
        <w:top w:val="none" w:sz="0" w:space="0" w:color="auto"/>
        <w:left w:val="none" w:sz="0" w:space="0" w:color="auto"/>
        <w:bottom w:val="none" w:sz="0" w:space="0" w:color="auto"/>
        <w:right w:val="none" w:sz="0" w:space="0" w:color="auto"/>
      </w:divBdr>
    </w:div>
    <w:div w:id="1366446254">
      <w:bodyDiv w:val="1"/>
      <w:marLeft w:val="0"/>
      <w:marRight w:val="0"/>
      <w:marTop w:val="0"/>
      <w:marBottom w:val="0"/>
      <w:divBdr>
        <w:top w:val="none" w:sz="0" w:space="0" w:color="auto"/>
        <w:left w:val="none" w:sz="0" w:space="0" w:color="auto"/>
        <w:bottom w:val="none" w:sz="0" w:space="0" w:color="auto"/>
        <w:right w:val="none" w:sz="0" w:space="0" w:color="auto"/>
      </w:divBdr>
    </w:div>
    <w:div w:id="1509517607">
      <w:bodyDiv w:val="1"/>
      <w:marLeft w:val="0"/>
      <w:marRight w:val="0"/>
      <w:marTop w:val="0"/>
      <w:marBottom w:val="0"/>
      <w:divBdr>
        <w:top w:val="none" w:sz="0" w:space="0" w:color="auto"/>
        <w:left w:val="none" w:sz="0" w:space="0" w:color="auto"/>
        <w:bottom w:val="none" w:sz="0" w:space="0" w:color="auto"/>
        <w:right w:val="none" w:sz="0" w:space="0" w:color="auto"/>
      </w:divBdr>
    </w:div>
    <w:div w:id="1553422533">
      <w:bodyDiv w:val="1"/>
      <w:marLeft w:val="0"/>
      <w:marRight w:val="0"/>
      <w:marTop w:val="0"/>
      <w:marBottom w:val="0"/>
      <w:divBdr>
        <w:top w:val="none" w:sz="0" w:space="0" w:color="auto"/>
        <w:left w:val="none" w:sz="0" w:space="0" w:color="auto"/>
        <w:bottom w:val="none" w:sz="0" w:space="0" w:color="auto"/>
        <w:right w:val="none" w:sz="0" w:space="0" w:color="auto"/>
      </w:divBdr>
    </w:div>
    <w:div w:id="1575361020">
      <w:bodyDiv w:val="1"/>
      <w:marLeft w:val="0"/>
      <w:marRight w:val="0"/>
      <w:marTop w:val="0"/>
      <w:marBottom w:val="0"/>
      <w:divBdr>
        <w:top w:val="none" w:sz="0" w:space="0" w:color="auto"/>
        <w:left w:val="none" w:sz="0" w:space="0" w:color="auto"/>
        <w:bottom w:val="none" w:sz="0" w:space="0" w:color="auto"/>
        <w:right w:val="none" w:sz="0" w:space="0" w:color="auto"/>
      </w:divBdr>
    </w:div>
    <w:div w:id="1615551508">
      <w:bodyDiv w:val="1"/>
      <w:marLeft w:val="0"/>
      <w:marRight w:val="0"/>
      <w:marTop w:val="0"/>
      <w:marBottom w:val="0"/>
      <w:divBdr>
        <w:top w:val="none" w:sz="0" w:space="0" w:color="auto"/>
        <w:left w:val="none" w:sz="0" w:space="0" w:color="auto"/>
        <w:bottom w:val="none" w:sz="0" w:space="0" w:color="auto"/>
        <w:right w:val="none" w:sz="0" w:space="0" w:color="auto"/>
      </w:divBdr>
    </w:div>
    <w:div w:id="1670793888">
      <w:bodyDiv w:val="1"/>
      <w:marLeft w:val="0"/>
      <w:marRight w:val="0"/>
      <w:marTop w:val="0"/>
      <w:marBottom w:val="0"/>
      <w:divBdr>
        <w:top w:val="none" w:sz="0" w:space="0" w:color="auto"/>
        <w:left w:val="none" w:sz="0" w:space="0" w:color="auto"/>
        <w:bottom w:val="none" w:sz="0" w:space="0" w:color="auto"/>
        <w:right w:val="none" w:sz="0" w:space="0" w:color="auto"/>
      </w:divBdr>
    </w:div>
    <w:div w:id="1675649168">
      <w:bodyDiv w:val="1"/>
      <w:marLeft w:val="0"/>
      <w:marRight w:val="0"/>
      <w:marTop w:val="0"/>
      <w:marBottom w:val="0"/>
      <w:divBdr>
        <w:top w:val="none" w:sz="0" w:space="0" w:color="auto"/>
        <w:left w:val="none" w:sz="0" w:space="0" w:color="auto"/>
        <w:bottom w:val="none" w:sz="0" w:space="0" w:color="auto"/>
        <w:right w:val="none" w:sz="0" w:space="0" w:color="auto"/>
      </w:divBdr>
    </w:div>
    <w:div w:id="1727532493">
      <w:bodyDiv w:val="1"/>
      <w:marLeft w:val="0"/>
      <w:marRight w:val="0"/>
      <w:marTop w:val="0"/>
      <w:marBottom w:val="0"/>
      <w:divBdr>
        <w:top w:val="none" w:sz="0" w:space="0" w:color="auto"/>
        <w:left w:val="none" w:sz="0" w:space="0" w:color="auto"/>
        <w:bottom w:val="none" w:sz="0" w:space="0" w:color="auto"/>
        <w:right w:val="none" w:sz="0" w:space="0" w:color="auto"/>
      </w:divBdr>
    </w:div>
    <w:div w:id="1757242897">
      <w:bodyDiv w:val="1"/>
      <w:marLeft w:val="0"/>
      <w:marRight w:val="0"/>
      <w:marTop w:val="0"/>
      <w:marBottom w:val="0"/>
      <w:divBdr>
        <w:top w:val="none" w:sz="0" w:space="0" w:color="auto"/>
        <w:left w:val="none" w:sz="0" w:space="0" w:color="auto"/>
        <w:bottom w:val="none" w:sz="0" w:space="0" w:color="auto"/>
        <w:right w:val="none" w:sz="0" w:space="0" w:color="auto"/>
      </w:divBdr>
    </w:div>
    <w:div w:id="1775709910">
      <w:bodyDiv w:val="1"/>
      <w:marLeft w:val="0"/>
      <w:marRight w:val="0"/>
      <w:marTop w:val="0"/>
      <w:marBottom w:val="0"/>
      <w:divBdr>
        <w:top w:val="none" w:sz="0" w:space="0" w:color="auto"/>
        <w:left w:val="none" w:sz="0" w:space="0" w:color="auto"/>
        <w:bottom w:val="none" w:sz="0" w:space="0" w:color="auto"/>
        <w:right w:val="none" w:sz="0" w:space="0" w:color="auto"/>
      </w:divBdr>
      <w:divsChild>
        <w:div w:id="1008944210">
          <w:marLeft w:val="547"/>
          <w:marRight w:val="0"/>
          <w:marTop w:val="0"/>
          <w:marBottom w:val="0"/>
          <w:divBdr>
            <w:top w:val="none" w:sz="0" w:space="0" w:color="auto"/>
            <w:left w:val="none" w:sz="0" w:space="0" w:color="auto"/>
            <w:bottom w:val="none" w:sz="0" w:space="0" w:color="auto"/>
            <w:right w:val="none" w:sz="0" w:space="0" w:color="auto"/>
          </w:divBdr>
        </w:div>
      </w:divsChild>
    </w:div>
    <w:div w:id="1777214021">
      <w:bodyDiv w:val="1"/>
      <w:marLeft w:val="0"/>
      <w:marRight w:val="0"/>
      <w:marTop w:val="0"/>
      <w:marBottom w:val="0"/>
      <w:divBdr>
        <w:top w:val="none" w:sz="0" w:space="0" w:color="auto"/>
        <w:left w:val="none" w:sz="0" w:space="0" w:color="auto"/>
        <w:bottom w:val="none" w:sz="0" w:space="0" w:color="auto"/>
        <w:right w:val="none" w:sz="0" w:space="0" w:color="auto"/>
      </w:divBdr>
    </w:div>
    <w:div w:id="1824738871">
      <w:bodyDiv w:val="1"/>
      <w:marLeft w:val="0"/>
      <w:marRight w:val="0"/>
      <w:marTop w:val="0"/>
      <w:marBottom w:val="0"/>
      <w:divBdr>
        <w:top w:val="none" w:sz="0" w:space="0" w:color="auto"/>
        <w:left w:val="none" w:sz="0" w:space="0" w:color="auto"/>
        <w:bottom w:val="none" w:sz="0" w:space="0" w:color="auto"/>
        <w:right w:val="none" w:sz="0" w:space="0" w:color="auto"/>
      </w:divBdr>
    </w:div>
    <w:div w:id="1863548730">
      <w:bodyDiv w:val="1"/>
      <w:marLeft w:val="0"/>
      <w:marRight w:val="0"/>
      <w:marTop w:val="0"/>
      <w:marBottom w:val="0"/>
      <w:divBdr>
        <w:top w:val="none" w:sz="0" w:space="0" w:color="auto"/>
        <w:left w:val="none" w:sz="0" w:space="0" w:color="auto"/>
        <w:bottom w:val="none" w:sz="0" w:space="0" w:color="auto"/>
        <w:right w:val="none" w:sz="0" w:space="0" w:color="auto"/>
      </w:divBdr>
    </w:div>
    <w:div w:id="1882788502">
      <w:bodyDiv w:val="1"/>
      <w:marLeft w:val="0"/>
      <w:marRight w:val="0"/>
      <w:marTop w:val="0"/>
      <w:marBottom w:val="0"/>
      <w:divBdr>
        <w:top w:val="none" w:sz="0" w:space="0" w:color="auto"/>
        <w:left w:val="none" w:sz="0" w:space="0" w:color="auto"/>
        <w:bottom w:val="none" w:sz="0" w:space="0" w:color="auto"/>
        <w:right w:val="none" w:sz="0" w:space="0" w:color="auto"/>
      </w:divBdr>
    </w:div>
    <w:div w:id="1994986753">
      <w:bodyDiv w:val="1"/>
      <w:marLeft w:val="0"/>
      <w:marRight w:val="0"/>
      <w:marTop w:val="0"/>
      <w:marBottom w:val="0"/>
      <w:divBdr>
        <w:top w:val="none" w:sz="0" w:space="0" w:color="auto"/>
        <w:left w:val="none" w:sz="0" w:space="0" w:color="auto"/>
        <w:bottom w:val="none" w:sz="0" w:space="0" w:color="auto"/>
        <w:right w:val="none" w:sz="0" w:space="0" w:color="auto"/>
      </w:divBdr>
    </w:div>
    <w:div w:id="2003854515">
      <w:bodyDiv w:val="1"/>
      <w:marLeft w:val="0"/>
      <w:marRight w:val="0"/>
      <w:marTop w:val="0"/>
      <w:marBottom w:val="0"/>
      <w:divBdr>
        <w:top w:val="none" w:sz="0" w:space="0" w:color="auto"/>
        <w:left w:val="none" w:sz="0" w:space="0" w:color="auto"/>
        <w:bottom w:val="none" w:sz="0" w:space="0" w:color="auto"/>
        <w:right w:val="none" w:sz="0" w:space="0" w:color="auto"/>
      </w:divBdr>
    </w:div>
    <w:div w:id="2033920408">
      <w:bodyDiv w:val="1"/>
      <w:marLeft w:val="0"/>
      <w:marRight w:val="0"/>
      <w:marTop w:val="0"/>
      <w:marBottom w:val="0"/>
      <w:divBdr>
        <w:top w:val="none" w:sz="0" w:space="0" w:color="auto"/>
        <w:left w:val="none" w:sz="0" w:space="0" w:color="auto"/>
        <w:bottom w:val="none" w:sz="0" w:space="0" w:color="auto"/>
        <w:right w:val="none" w:sz="0" w:space="0" w:color="auto"/>
      </w:divBdr>
    </w:div>
    <w:div w:id="2048217982">
      <w:bodyDiv w:val="1"/>
      <w:marLeft w:val="0"/>
      <w:marRight w:val="0"/>
      <w:marTop w:val="0"/>
      <w:marBottom w:val="0"/>
      <w:divBdr>
        <w:top w:val="none" w:sz="0" w:space="0" w:color="auto"/>
        <w:left w:val="none" w:sz="0" w:space="0" w:color="auto"/>
        <w:bottom w:val="none" w:sz="0" w:space="0" w:color="auto"/>
        <w:right w:val="none" w:sz="0" w:space="0" w:color="auto"/>
      </w:divBdr>
    </w:div>
    <w:div w:id="2071535983">
      <w:bodyDiv w:val="1"/>
      <w:marLeft w:val="0"/>
      <w:marRight w:val="0"/>
      <w:marTop w:val="0"/>
      <w:marBottom w:val="0"/>
      <w:divBdr>
        <w:top w:val="none" w:sz="0" w:space="0" w:color="auto"/>
        <w:left w:val="none" w:sz="0" w:space="0" w:color="auto"/>
        <w:bottom w:val="none" w:sz="0" w:space="0" w:color="auto"/>
        <w:right w:val="none" w:sz="0" w:space="0" w:color="auto"/>
      </w:divBdr>
    </w:div>
    <w:div w:id="2103793932">
      <w:bodyDiv w:val="1"/>
      <w:marLeft w:val="0"/>
      <w:marRight w:val="0"/>
      <w:marTop w:val="0"/>
      <w:marBottom w:val="0"/>
      <w:divBdr>
        <w:top w:val="none" w:sz="0" w:space="0" w:color="auto"/>
        <w:left w:val="none" w:sz="0" w:space="0" w:color="auto"/>
        <w:bottom w:val="none" w:sz="0" w:space="0" w:color="auto"/>
        <w:right w:val="none" w:sz="0" w:space="0" w:color="auto"/>
      </w:divBdr>
    </w:div>
    <w:div w:id="212133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6.jpeg"/></Relationships>
</file>

<file path=word/_rels/header1.xml.rels><?xml version="1.0" encoding="UTF-8" standalone="yes"?>
<Relationships xmlns="http://schemas.openxmlformats.org/package/2006/relationships"><Relationship Id="rId2" Type="http://schemas.openxmlformats.org/officeDocument/2006/relationships/image" Target="media/image16.jpeg"/><Relationship Id="rId1" Type="http://schemas.openxmlformats.org/officeDocument/2006/relationships/image" Target="media/image15.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Vlastní 1">
      <a:majorFont>
        <a:latin typeface="Calibri Light"/>
        <a:ea typeface=""/>
        <a:cs typeface=""/>
      </a:majorFont>
      <a:minorFont>
        <a:latin typeface="Calibri Ligh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88650-8B43-417C-931A-06049C16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7</Pages>
  <Words>2097</Words>
  <Characters>12373</Characters>
  <Application>Microsoft Office Word</Application>
  <DocSecurity>0</DocSecurity>
  <Lines>103</Lines>
  <Paragraphs>28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UGIS</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vlachova</dc:creator>
  <cp:lastModifiedBy>Duffek, Adam (ČBA)</cp:lastModifiedBy>
  <cp:revision>3</cp:revision>
  <cp:lastPrinted>2023-05-10T14:22:00Z</cp:lastPrinted>
  <dcterms:created xsi:type="dcterms:W3CDTF">2026-05-19T12:54:00Z</dcterms:created>
  <dcterms:modified xsi:type="dcterms:W3CDTF">2026-05-20T07:00:00Z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0254f4-34d0-49c5-b888-af4abf762ef7_Enabled">
    <vt:lpwstr>True</vt:lpwstr>
  </property>
  <property fmtid="{D5CDD505-2E9C-101B-9397-08002B2CF9AE}" pid="3" name="MSIP_Label_390254f4-34d0-49c5-b888-af4abf762ef7_SiteId">
    <vt:lpwstr>2cc49ce9-66a1-41ac-a96b-bdc54247696a</vt:lpwstr>
  </property>
  <property fmtid="{D5CDD505-2E9C-101B-9397-08002B2CF9AE}" pid="4" name="MSIP_Label_390254f4-34d0-49c5-b888-af4abf762ef7_Owner">
    <vt:lpwstr>Pavel.Sobisek@unicreditgroup.cz</vt:lpwstr>
  </property>
  <property fmtid="{D5CDD505-2E9C-101B-9397-08002B2CF9AE}" pid="5" name="MSIP_Label_390254f4-34d0-49c5-b888-af4abf762ef7_SetDate">
    <vt:lpwstr>2020-01-15T16:11:29.8787231Z</vt:lpwstr>
  </property>
  <property fmtid="{D5CDD505-2E9C-101B-9397-08002B2CF9AE}" pid="6" name="MSIP_Label_390254f4-34d0-49c5-b888-af4abf762ef7_Name">
    <vt:lpwstr>Internal Use Only</vt:lpwstr>
  </property>
  <property fmtid="{D5CDD505-2E9C-101B-9397-08002B2CF9AE}" pid="7" name="MSIP_Label_390254f4-34d0-49c5-b888-af4abf762ef7_Application">
    <vt:lpwstr>Microsoft Azure Information Protection</vt:lpwstr>
  </property>
  <property fmtid="{D5CDD505-2E9C-101B-9397-08002B2CF9AE}" pid="8" name="MSIP_Label_390254f4-34d0-49c5-b888-af4abf762ef7_ActionId">
    <vt:lpwstr>43f3763f-d3c6-435c-ae50-a4a40081b5fb</vt:lpwstr>
  </property>
  <property fmtid="{D5CDD505-2E9C-101B-9397-08002B2CF9AE}" pid="9" name="MSIP_Label_390254f4-34d0-49c5-b888-af4abf762ef7_Extended_MSFT_Method">
    <vt:lpwstr>Automatic</vt:lpwstr>
  </property>
  <property fmtid="{D5CDD505-2E9C-101B-9397-08002B2CF9AE}" pid="10" name="MSIP_Label_faa92781-1fcb-4da3-a1a2-e534c28a25f3_Enabled">
    <vt:lpwstr>True</vt:lpwstr>
  </property>
  <property fmtid="{D5CDD505-2E9C-101B-9397-08002B2CF9AE}" pid="11" name="MSIP_Label_faa92781-1fcb-4da3-a1a2-e534c28a25f3_SiteId">
    <vt:lpwstr>2cc49ce9-66a1-41ac-a96b-bdc54247696a</vt:lpwstr>
  </property>
  <property fmtid="{D5CDD505-2E9C-101B-9397-08002B2CF9AE}" pid="12" name="MSIP_Label_faa92781-1fcb-4da3-a1a2-e534c28a25f3_Owner">
    <vt:lpwstr>Pavel.Sobisek@unicreditgroup.cz</vt:lpwstr>
  </property>
  <property fmtid="{D5CDD505-2E9C-101B-9397-08002B2CF9AE}" pid="13" name="MSIP_Label_faa92781-1fcb-4da3-a1a2-e534c28a25f3_SetDate">
    <vt:lpwstr>2020-01-15T16:11:29.8787231Z</vt:lpwstr>
  </property>
  <property fmtid="{D5CDD505-2E9C-101B-9397-08002B2CF9AE}" pid="14" name="MSIP_Label_faa92781-1fcb-4da3-a1a2-e534c28a25f3_Name">
    <vt:lpwstr>in UniCredit Group - no visual markings</vt:lpwstr>
  </property>
  <property fmtid="{D5CDD505-2E9C-101B-9397-08002B2CF9AE}" pid="15" name="MSIP_Label_faa92781-1fcb-4da3-a1a2-e534c28a25f3_Application">
    <vt:lpwstr>Microsoft Azure Information Protection</vt:lpwstr>
  </property>
  <property fmtid="{D5CDD505-2E9C-101B-9397-08002B2CF9AE}" pid="16" name="MSIP_Label_faa92781-1fcb-4da3-a1a2-e534c28a25f3_ActionId">
    <vt:lpwstr>43f3763f-d3c6-435c-ae50-a4a40081b5fb</vt:lpwstr>
  </property>
  <property fmtid="{D5CDD505-2E9C-101B-9397-08002B2CF9AE}" pid="17" name="MSIP_Label_faa92781-1fcb-4da3-a1a2-e534c28a25f3_Parent">
    <vt:lpwstr>390254f4-34d0-49c5-b888-af4abf762ef7</vt:lpwstr>
  </property>
  <property fmtid="{D5CDD505-2E9C-101B-9397-08002B2CF9AE}" pid="18" name="MSIP_Label_faa92781-1fcb-4da3-a1a2-e534c28a25f3_Extended_MSFT_Method">
    <vt:lpwstr>Automatic</vt:lpwstr>
  </property>
  <property fmtid="{D5CDD505-2E9C-101B-9397-08002B2CF9AE}" pid="19" name="MSIP_Label_2b3a104e-2916-42dc-a2f6-6210338509ed_Enabled">
    <vt:lpwstr>True</vt:lpwstr>
  </property>
  <property fmtid="{D5CDD505-2E9C-101B-9397-08002B2CF9AE}" pid="20" name="MSIP_Label_2b3a104e-2916-42dc-a2f6-6210338509ed_SiteId">
    <vt:lpwstr>e70aafb3-2e89-46a5-ba50-66803e8a4411</vt:lpwstr>
  </property>
  <property fmtid="{D5CDD505-2E9C-101B-9397-08002B2CF9AE}" pid="21" name="MSIP_Label_2b3a104e-2916-42dc-a2f6-6210338509ed_Owner">
    <vt:lpwstr>cen87316@csin.cz</vt:lpwstr>
  </property>
  <property fmtid="{D5CDD505-2E9C-101B-9397-08002B2CF9AE}" pid="22" name="MSIP_Label_2b3a104e-2916-42dc-a2f6-6210338509ed_SetDate">
    <vt:lpwstr>2020-01-17T08:10:02.3455520Z</vt:lpwstr>
  </property>
  <property fmtid="{D5CDD505-2E9C-101B-9397-08002B2CF9AE}" pid="23" name="MSIP_Label_2b3a104e-2916-42dc-a2f6-6210338509ed_Name">
    <vt:lpwstr>CS Internal</vt:lpwstr>
  </property>
  <property fmtid="{D5CDD505-2E9C-101B-9397-08002B2CF9AE}" pid="24" name="MSIP_Label_2b3a104e-2916-42dc-a2f6-6210338509ed_Application">
    <vt:lpwstr>Microsoft Azure Information Protection</vt:lpwstr>
  </property>
  <property fmtid="{D5CDD505-2E9C-101B-9397-08002B2CF9AE}" pid="25" name="MSIP_Label_2b3a104e-2916-42dc-a2f6-6210338509ed_ActionId">
    <vt:lpwstr>60b9ebe4-46ae-459c-bf59-6a05f328379e</vt:lpwstr>
  </property>
  <property fmtid="{D5CDD505-2E9C-101B-9397-08002B2CF9AE}" pid="26" name="MSIP_Label_2b3a104e-2916-42dc-a2f6-6210338509ed_Extended_MSFT_Method">
    <vt:lpwstr>Automatic</vt:lpwstr>
  </property>
  <property fmtid="{D5CDD505-2E9C-101B-9397-08002B2CF9AE}" pid="27" name="MSIP_Label_2a6524ed-fb1a-49fd-bafe-15c5e5ffd047_Enabled">
    <vt:lpwstr>true</vt:lpwstr>
  </property>
  <property fmtid="{D5CDD505-2E9C-101B-9397-08002B2CF9AE}" pid="28" name="MSIP_Label_2a6524ed-fb1a-49fd-bafe-15c5e5ffd047_SetDate">
    <vt:lpwstr>2021-05-10T05:54:55Z</vt:lpwstr>
  </property>
  <property fmtid="{D5CDD505-2E9C-101B-9397-08002B2CF9AE}" pid="29" name="MSIP_Label_2a6524ed-fb1a-49fd-bafe-15c5e5ffd047_Method">
    <vt:lpwstr>Standard</vt:lpwstr>
  </property>
  <property fmtid="{D5CDD505-2E9C-101B-9397-08002B2CF9AE}" pid="30" name="MSIP_Label_2a6524ed-fb1a-49fd-bafe-15c5e5ffd047_Name">
    <vt:lpwstr>Internal</vt:lpwstr>
  </property>
  <property fmtid="{D5CDD505-2E9C-101B-9397-08002B2CF9AE}" pid="31" name="MSIP_Label_2a6524ed-fb1a-49fd-bafe-15c5e5ffd047_SiteId">
    <vt:lpwstr>9b511fda-f0b1-43a5-b06e-1e720f64520a</vt:lpwstr>
  </property>
  <property fmtid="{D5CDD505-2E9C-101B-9397-08002B2CF9AE}" pid="32" name="MSIP_Label_2a6524ed-fb1a-49fd-bafe-15c5e5ffd047_ActionId">
    <vt:lpwstr>6e16e441-bca8-45fa-8e42-4b14b422a2ce</vt:lpwstr>
  </property>
  <property fmtid="{D5CDD505-2E9C-101B-9397-08002B2CF9AE}" pid="33" name="MSIP_Label_2a6524ed-fb1a-49fd-bafe-15c5e5ffd047_ContentBits">
    <vt:lpwstr>0</vt:lpwstr>
  </property>
  <property fmtid="{D5CDD505-2E9C-101B-9397-08002B2CF9AE}" pid="34" name="MSIP_Label_63f4bb52-bd44-4e71-98c6-b1e43e6be5b6_Enabled">
    <vt:lpwstr>true</vt:lpwstr>
  </property>
  <property fmtid="{D5CDD505-2E9C-101B-9397-08002B2CF9AE}" pid="35" name="MSIP_Label_63f4bb52-bd44-4e71-98c6-b1e43e6be5b6_SetDate">
    <vt:lpwstr>2022-08-10T09:54:41Z</vt:lpwstr>
  </property>
  <property fmtid="{D5CDD505-2E9C-101B-9397-08002B2CF9AE}" pid="36" name="MSIP_Label_63f4bb52-bd44-4e71-98c6-b1e43e6be5b6_Method">
    <vt:lpwstr>Standard</vt:lpwstr>
  </property>
  <property fmtid="{D5CDD505-2E9C-101B-9397-08002B2CF9AE}" pid="37" name="MSIP_Label_63f4bb52-bd44-4e71-98c6-b1e43e6be5b6_Name">
    <vt:lpwstr>Chráněné</vt:lpwstr>
  </property>
  <property fmtid="{D5CDD505-2E9C-101B-9397-08002B2CF9AE}" pid="38" name="MSIP_Label_63f4bb52-bd44-4e71-98c6-b1e43e6be5b6_SiteId">
    <vt:lpwstr>9cca307d-eed7-47e0-a567-a3b37ba0308b</vt:lpwstr>
  </property>
  <property fmtid="{D5CDD505-2E9C-101B-9397-08002B2CF9AE}" pid="39" name="MSIP_Label_63f4bb52-bd44-4e71-98c6-b1e43e6be5b6_ActionId">
    <vt:lpwstr>ca7f3bf3-cf89-4cf9-9bd8-fcbcfa83b433</vt:lpwstr>
  </property>
  <property fmtid="{D5CDD505-2E9C-101B-9397-08002B2CF9AE}" pid="40" name="MSIP_Label_63f4bb52-bd44-4e71-98c6-b1e43e6be5b6_ContentBits">
    <vt:lpwstr>0</vt:lpwstr>
  </property>
  <property fmtid="{D5CDD505-2E9C-101B-9397-08002B2CF9AE}" pid="41" name="MSIP_Label_95047c84-0a67-483c-b79b-e48654b86430_Enabled">
    <vt:lpwstr>true</vt:lpwstr>
  </property>
  <property fmtid="{D5CDD505-2E9C-101B-9397-08002B2CF9AE}" pid="42" name="MSIP_Label_95047c84-0a67-483c-b79b-e48654b86430_SetDate">
    <vt:lpwstr>2022-11-09T11:52:35Z</vt:lpwstr>
  </property>
  <property fmtid="{D5CDD505-2E9C-101B-9397-08002B2CF9AE}" pid="43" name="MSIP_Label_95047c84-0a67-483c-b79b-e48654b86430_Method">
    <vt:lpwstr>Standard</vt:lpwstr>
  </property>
  <property fmtid="{D5CDD505-2E9C-101B-9397-08002B2CF9AE}" pid="44" name="MSIP_Label_95047c84-0a67-483c-b79b-e48654b86430_Name">
    <vt:lpwstr>defa4170-0d19-0005-0004-bc88714345d2</vt:lpwstr>
  </property>
  <property fmtid="{D5CDD505-2E9C-101B-9397-08002B2CF9AE}" pid="45" name="MSIP_Label_95047c84-0a67-483c-b79b-e48654b86430_SiteId">
    <vt:lpwstr>3f20558b-6d29-4505-a3e9-96d02ae92fa1</vt:lpwstr>
  </property>
  <property fmtid="{D5CDD505-2E9C-101B-9397-08002B2CF9AE}" pid="46" name="MSIP_Label_95047c84-0a67-483c-b79b-e48654b86430_ActionId">
    <vt:lpwstr>09b031df-8fbf-4de6-9fcd-b47722a3820f</vt:lpwstr>
  </property>
  <property fmtid="{D5CDD505-2E9C-101B-9397-08002B2CF9AE}" pid="47" name="MSIP_Label_95047c84-0a67-483c-b79b-e48654b86430_ContentBits">
    <vt:lpwstr>0</vt:lpwstr>
  </property>
  <property fmtid="{D5CDD505-2E9C-101B-9397-08002B2CF9AE}" pid="48" name="MSIP_Label_38939b85-7e40-4a1d-91e1-0e84c3b219d7_Enabled">
    <vt:lpwstr>true</vt:lpwstr>
  </property>
  <property fmtid="{D5CDD505-2E9C-101B-9397-08002B2CF9AE}" pid="49" name="MSIP_Label_38939b85-7e40-4a1d-91e1-0e84c3b219d7_SetDate">
    <vt:lpwstr>2023-08-08T13:09:17Z</vt:lpwstr>
  </property>
  <property fmtid="{D5CDD505-2E9C-101B-9397-08002B2CF9AE}" pid="50" name="MSIP_Label_38939b85-7e40-4a1d-91e1-0e84c3b219d7_Method">
    <vt:lpwstr>Standard</vt:lpwstr>
  </property>
  <property fmtid="{D5CDD505-2E9C-101B-9397-08002B2CF9AE}" pid="51" name="MSIP_Label_38939b85-7e40-4a1d-91e1-0e84c3b219d7_Name">
    <vt:lpwstr>38939b85-7e40-4a1d-91e1-0e84c3b219d7</vt:lpwstr>
  </property>
  <property fmtid="{D5CDD505-2E9C-101B-9397-08002B2CF9AE}" pid="52" name="MSIP_Label_38939b85-7e40-4a1d-91e1-0e84c3b219d7_SiteId">
    <vt:lpwstr>3ad0376a-54d3-49a6-9e20-52de0a92fc89</vt:lpwstr>
  </property>
  <property fmtid="{D5CDD505-2E9C-101B-9397-08002B2CF9AE}" pid="53" name="MSIP_Label_38939b85-7e40-4a1d-91e1-0e84c3b219d7_ActionId">
    <vt:lpwstr>a9bfb157-61e9-41a9-8f12-7ab49d163955</vt:lpwstr>
  </property>
  <property fmtid="{D5CDD505-2E9C-101B-9397-08002B2CF9AE}" pid="54" name="MSIP_Label_38939b85-7e40-4a1d-91e1-0e84c3b219d7_ContentBits">
    <vt:lpwstr>0</vt:lpwstr>
  </property>
  <property fmtid="{D5CDD505-2E9C-101B-9397-08002B2CF9AE}" pid="55" name="MSIP_Label_076d9757-80ae-4c87-b4d7-9ffa7a0710d0_Enabled">
    <vt:lpwstr>true</vt:lpwstr>
  </property>
  <property fmtid="{D5CDD505-2E9C-101B-9397-08002B2CF9AE}" pid="56" name="MSIP_Label_076d9757-80ae-4c87-b4d7-9ffa7a0710d0_SetDate">
    <vt:lpwstr>2023-11-08T08:22:38Z</vt:lpwstr>
  </property>
  <property fmtid="{D5CDD505-2E9C-101B-9397-08002B2CF9AE}" pid="57" name="MSIP_Label_076d9757-80ae-4c87-b4d7-9ffa7a0710d0_Method">
    <vt:lpwstr>Standard</vt:lpwstr>
  </property>
  <property fmtid="{D5CDD505-2E9C-101B-9397-08002B2CF9AE}" pid="58" name="MSIP_Label_076d9757-80ae-4c87-b4d7-9ffa7a0710d0_Name">
    <vt:lpwstr>C1 - Internal</vt:lpwstr>
  </property>
  <property fmtid="{D5CDD505-2E9C-101B-9397-08002B2CF9AE}" pid="59" name="MSIP_Label_076d9757-80ae-4c87-b4d7-9ffa7a0710d0_SiteId">
    <vt:lpwstr>c79e7c80-cff5-4503-b468-3702cea89272</vt:lpwstr>
  </property>
  <property fmtid="{D5CDD505-2E9C-101B-9397-08002B2CF9AE}" pid="60" name="MSIP_Label_076d9757-80ae-4c87-b4d7-9ffa7a0710d0_ActionId">
    <vt:lpwstr>e6da5af1-39f2-4f2b-b59b-984e27099740</vt:lpwstr>
  </property>
  <property fmtid="{D5CDD505-2E9C-101B-9397-08002B2CF9AE}" pid="61" name="MSIP_Label_076d9757-80ae-4c87-b4d7-9ffa7a0710d0_ContentBits">
    <vt:lpwstr>0</vt:lpwstr>
  </property>
  <property fmtid="{D5CDD505-2E9C-101B-9397-08002B2CF9AE}" pid="62" name="Kod_Duvernosti">
    <vt:lpwstr>KB_C1_INTERNAL_992521</vt:lpwstr>
  </property>
</Properties>
</file>