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245D2" w14:textId="6DC90918" w:rsidR="00266E32" w:rsidRPr="00906FDC" w:rsidRDefault="00266E32" w:rsidP="002B1A4A">
      <w:pPr>
        <w:spacing w:after="120"/>
        <w:rPr>
          <w:rFonts w:ascii="Calibri" w:hAnsi="Calibri" w:cs="Arial"/>
          <w:b/>
          <w:color w:val="13576B"/>
          <w:sz w:val="36"/>
          <w:szCs w:val="36"/>
        </w:rPr>
      </w:pPr>
      <w:bookmarkStart w:id="0" w:name="_Hlk198644776"/>
      <w:bookmarkEnd w:id="0"/>
      <w:r w:rsidRPr="00906FDC">
        <w:rPr>
          <w:rFonts w:ascii="Calibri" w:hAnsi="Calibri" w:cs="Arial"/>
          <w:b/>
          <w:color w:val="13576B"/>
          <w:sz w:val="36"/>
          <w:szCs w:val="36"/>
        </w:rPr>
        <w:t>MAKROEKONOMICKÁ PROGNÓZA ČBA</w:t>
      </w:r>
    </w:p>
    <w:p w14:paraId="3719106D" w14:textId="48B7EEEC" w:rsidR="00B22E78" w:rsidRPr="00FE14E0" w:rsidRDefault="000F64C9" w:rsidP="00526818">
      <w:pPr>
        <w:jc w:val="left"/>
        <w:rPr>
          <w:rFonts w:ascii="Calibri" w:hAnsi="Calibri" w:cs="Arial"/>
          <w:b/>
          <w:color w:val="EE0000"/>
          <w:sz w:val="32"/>
          <w:szCs w:val="32"/>
        </w:rPr>
      </w:pPr>
      <w:r>
        <w:rPr>
          <w:rFonts w:ascii="Calibri" w:hAnsi="Calibri" w:cs="Arial"/>
          <w:b/>
          <w:color w:val="13576B"/>
          <w:sz w:val="32"/>
          <w:szCs w:val="32"/>
        </w:rPr>
        <w:t>Únor</w:t>
      </w:r>
      <w:r w:rsidR="00FF1673">
        <w:rPr>
          <w:rFonts w:ascii="Calibri" w:hAnsi="Calibri" w:cs="Arial"/>
          <w:b/>
          <w:color w:val="13576B"/>
          <w:sz w:val="32"/>
          <w:szCs w:val="32"/>
        </w:rPr>
        <w:t xml:space="preserve"> </w:t>
      </w:r>
      <w:r w:rsidR="000366C2" w:rsidRPr="00906FDC">
        <w:rPr>
          <w:rFonts w:ascii="Calibri" w:hAnsi="Calibri" w:cs="Arial"/>
          <w:b/>
          <w:color w:val="13576B"/>
          <w:sz w:val="32"/>
          <w:szCs w:val="32"/>
        </w:rPr>
        <w:t>20</w:t>
      </w:r>
      <w:r w:rsidR="00335332" w:rsidRPr="00906FDC">
        <w:rPr>
          <w:rFonts w:ascii="Calibri" w:hAnsi="Calibri" w:cs="Arial"/>
          <w:b/>
          <w:color w:val="13576B"/>
          <w:sz w:val="32"/>
          <w:szCs w:val="32"/>
        </w:rPr>
        <w:t>2</w:t>
      </w:r>
      <w:r>
        <w:rPr>
          <w:rFonts w:ascii="Calibri" w:hAnsi="Calibri" w:cs="Arial"/>
          <w:b/>
          <w:color w:val="13576B"/>
          <w:sz w:val="32"/>
          <w:szCs w:val="32"/>
        </w:rPr>
        <w:t>6</w:t>
      </w:r>
      <w:r w:rsidR="000366C2" w:rsidRPr="00906FDC">
        <w:rPr>
          <w:rFonts w:ascii="Calibri" w:hAnsi="Calibri" w:cs="Arial"/>
          <w:b/>
          <w:color w:val="13576B"/>
          <w:sz w:val="32"/>
          <w:szCs w:val="32"/>
        </w:rPr>
        <w:t xml:space="preserve">: </w:t>
      </w:r>
      <w:r w:rsidR="00410CB7">
        <w:rPr>
          <w:rFonts w:ascii="Calibri" w:hAnsi="Calibri" w:cs="Arial"/>
          <w:b/>
          <w:color w:val="13576B"/>
          <w:sz w:val="32"/>
          <w:szCs w:val="32"/>
        </w:rPr>
        <w:t xml:space="preserve">Výhled na růst se ustálil na </w:t>
      </w:r>
      <w:r w:rsidR="00603693">
        <w:rPr>
          <w:rFonts w:ascii="Calibri" w:hAnsi="Calibri" w:cs="Arial"/>
          <w:b/>
          <w:color w:val="13576B"/>
          <w:sz w:val="32"/>
          <w:szCs w:val="32"/>
        </w:rPr>
        <w:t>2,</w:t>
      </w:r>
      <w:r w:rsidR="00410CB7">
        <w:rPr>
          <w:rFonts w:ascii="Calibri" w:hAnsi="Calibri" w:cs="Arial"/>
          <w:b/>
          <w:color w:val="13576B"/>
          <w:sz w:val="32"/>
          <w:szCs w:val="32"/>
        </w:rPr>
        <w:t>6</w:t>
      </w:r>
      <w:r w:rsidR="00FC2A77">
        <w:rPr>
          <w:rFonts w:ascii="Calibri" w:hAnsi="Calibri" w:cs="Arial"/>
          <w:b/>
          <w:color w:val="13576B"/>
          <w:sz w:val="32"/>
          <w:szCs w:val="32"/>
        </w:rPr>
        <w:t xml:space="preserve"> </w:t>
      </w:r>
      <w:r w:rsidR="00603693">
        <w:rPr>
          <w:rFonts w:ascii="Calibri" w:hAnsi="Calibri" w:cs="Arial"/>
          <w:b/>
          <w:color w:val="13576B"/>
          <w:sz w:val="32"/>
          <w:szCs w:val="32"/>
        </w:rPr>
        <w:t xml:space="preserve">% </w:t>
      </w:r>
      <w:r w:rsidR="00410CB7">
        <w:rPr>
          <w:rFonts w:ascii="Calibri" w:hAnsi="Calibri" w:cs="Arial"/>
          <w:b/>
          <w:color w:val="13576B"/>
          <w:sz w:val="32"/>
          <w:szCs w:val="32"/>
        </w:rPr>
        <w:t xml:space="preserve">při nízkém růstu cen </w:t>
      </w:r>
    </w:p>
    <w:p w14:paraId="7E898DE9" w14:textId="30C532A3" w:rsidR="00684D52" w:rsidRDefault="00266E32" w:rsidP="00684D52">
      <w:pPr>
        <w:spacing w:after="120"/>
        <w:rPr>
          <w:rFonts w:ascii="Calibri" w:hAnsi="Calibri" w:cs="Calibri"/>
          <w:b/>
          <w:color w:val="13576B"/>
          <w:sz w:val="20"/>
        </w:rPr>
      </w:pPr>
      <w:r w:rsidRPr="0028378F">
        <w:rPr>
          <w:rFonts w:ascii="Calibri" w:hAnsi="Calibri" w:cs="Calibri"/>
          <w:b/>
          <w:color w:val="13576B"/>
          <w:sz w:val="20"/>
        </w:rPr>
        <w:t xml:space="preserve">Praha, </w:t>
      </w:r>
      <w:r w:rsidR="000F64C9">
        <w:rPr>
          <w:rFonts w:ascii="Calibri" w:hAnsi="Calibri" w:cs="Calibri"/>
          <w:b/>
          <w:color w:val="13576B"/>
          <w:sz w:val="20"/>
        </w:rPr>
        <w:t>11</w:t>
      </w:r>
      <w:r w:rsidRPr="0028378F">
        <w:rPr>
          <w:rFonts w:ascii="Calibri" w:hAnsi="Calibri" w:cs="Calibri"/>
          <w:b/>
          <w:color w:val="13576B"/>
          <w:sz w:val="20"/>
        </w:rPr>
        <w:t xml:space="preserve">. </w:t>
      </w:r>
      <w:r w:rsidR="000F64C9">
        <w:rPr>
          <w:rFonts w:ascii="Calibri" w:hAnsi="Calibri" w:cs="Calibri"/>
          <w:b/>
          <w:color w:val="13576B"/>
          <w:sz w:val="20"/>
        </w:rPr>
        <w:t>únor</w:t>
      </w:r>
      <w:r w:rsidR="00FF1673" w:rsidRPr="0028378F">
        <w:rPr>
          <w:rFonts w:ascii="Calibri" w:hAnsi="Calibri" w:cs="Calibri"/>
          <w:b/>
          <w:color w:val="13576B"/>
          <w:sz w:val="20"/>
        </w:rPr>
        <w:t xml:space="preserve"> </w:t>
      </w:r>
      <w:r w:rsidRPr="0028378F">
        <w:rPr>
          <w:rFonts w:ascii="Calibri" w:hAnsi="Calibri" w:cs="Calibri"/>
          <w:b/>
          <w:color w:val="13576B"/>
          <w:sz w:val="20"/>
        </w:rPr>
        <w:t>202</w:t>
      </w:r>
      <w:r w:rsidR="000F64C9">
        <w:rPr>
          <w:rFonts w:ascii="Calibri" w:hAnsi="Calibri" w:cs="Calibri"/>
          <w:b/>
          <w:color w:val="13576B"/>
          <w:sz w:val="20"/>
        </w:rPr>
        <w:t>6</w:t>
      </w:r>
      <w:r w:rsidRPr="0028378F">
        <w:rPr>
          <w:rFonts w:ascii="Calibri" w:hAnsi="Calibri" w:cs="Calibri"/>
          <w:b/>
          <w:color w:val="13576B"/>
          <w:sz w:val="20"/>
        </w:rPr>
        <w:t xml:space="preserve"> –</w:t>
      </w:r>
      <w:bookmarkStart w:id="1" w:name="_Hlk190799464"/>
      <w:r w:rsidR="00B22E78" w:rsidRPr="0028378F">
        <w:rPr>
          <w:rFonts w:ascii="Calibri" w:hAnsi="Calibri" w:cs="Calibri"/>
          <w:b/>
          <w:color w:val="13576B"/>
          <w:sz w:val="20"/>
        </w:rPr>
        <w:t xml:space="preserve"> </w:t>
      </w:r>
      <w:r w:rsidR="000544C4" w:rsidRPr="0028378F">
        <w:rPr>
          <w:rFonts w:ascii="Calibri" w:hAnsi="Calibri" w:cs="Calibri"/>
          <w:b/>
          <w:color w:val="13576B"/>
          <w:sz w:val="20"/>
        </w:rPr>
        <w:t xml:space="preserve">Prognostický panel České bankovní asociace (ČBA), sdružující hlavní ekonomy předních českých bank, </w:t>
      </w:r>
      <w:r w:rsidR="00684D52" w:rsidRPr="00684D52">
        <w:rPr>
          <w:rFonts w:ascii="Calibri" w:hAnsi="Calibri" w:cs="Calibri"/>
          <w:b/>
          <w:color w:val="13576B"/>
          <w:sz w:val="20"/>
        </w:rPr>
        <w:t xml:space="preserve">potvrzuje stabilní a vyváženou růstovou trajektorii české ekonomiky. </w:t>
      </w:r>
      <w:r w:rsidR="00D83FCD" w:rsidRPr="00D83FCD">
        <w:rPr>
          <w:rFonts w:ascii="Calibri" w:hAnsi="Calibri" w:cs="Calibri"/>
          <w:b/>
          <w:color w:val="13576B"/>
          <w:sz w:val="20"/>
        </w:rPr>
        <w:t>Dynamika reálného HDP by se měla v letech 2026 i 2027 udržet na solidních 2,6 % po zrychlení z 1,1 % v roce 2024 na 2,5 % v roce 2025.</w:t>
      </w:r>
      <w:r w:rsidR="00684D52" w:rsidRPr="00684D52">
        <w:rPr>
          <w:rFonts w:ascii="Calibri" w:hAnsi="Calibri" w:cs="Calibri"/>
          <w:b/>
          <w:color w:val="13576B"/>
          <w:sz w:val="20"/>
        </w:rPr>
        <w:t xml:space="preserve"> Oproti listopadové prognóze se jedná především o revizi směrem nahoru pro rok 2026, zatímco výhled pro rok 2027 zůstává beze změny. Zároveň se potvrzuje, že výkon ekonomiky v roce 2025 byl o něco příznivější, než se očekávalo na konci loňského roku.</w:t>
      </w:r>
      <w:r w:rsidR="00AF5DC8">
        <w:rPr>
          <w:rFonts w:ascii="Calibri" w:hAnsi="Calibri" w:cs="Calibri"/>
          <w:b/>
          <w:color w:val="13576B"/>
          <w:sz w:val="20"/>
        </w:rPr>
        <w:t xml:space="preserve"> </w:t>
      </w:r>
    </w:p>
    <w:p w14:paraId="6955ED09" w14:textId="5DE6189C" w:rsidR="000544C4" w:rsidRPr="0028378F" w:rsidRDefault="00AF5DC8" w:rsidP="00684D52">
      <w:pPr>
        <w:spacing w:after="120"/>
        <w:rPr>
          <w:rFonts w:ascii="Calibri" w:hAnsi="Calibri" w:cs="Calibri"/>
          <w:b/>
          <w:color w:val="13576B"/>
          <w:sz w:val="20"/>
        </w:rPr>
      </w:pPr>
      <w:r>
        <w:rPr>
          <w:rFonts w:ascii="Calibri" w:hAnsi="Calibri" w:cs="Calibri"/>
          <w:b/>
          <w:color w:val="13576B"/>
          <w:sz w:val="20"/>
        </w:rPr>
        <w:t>V</w:t>
      </w:r>
      <w:r w:rsidR="00410CB7">
        <w:rPr>
          <w:rFonts w:ascii="Calibri" w:hAnsi="Calibri" w:cs="Calibri"/>
          <w:b/>
          <w:color w:val="13576B"/>
          <w:sz w:val="20"/>
        </w:rPr>
        <w:t>ý</w:t>
      </w:r>
      <w:r>
        <w:rPr>
          <w:rFonts w:ascii="Calibri" w:hAnsi="Calibri" w:cs="Calibri"/>
          <w:b/>
          <w:color w:val="13576B"/>
          <w:sz w:val="20"/>
        </w:rPr>
        <w:t>hled</w:t>
      </w:r>
      <w:r w:rsidR="00684D52">
        <w:rPr>
          <w:rFonts w:ascii="Calibri" w:hAnsi="Calibri" w:cs="Calibri"/>
          <w:b/>
          <w:color w:val="13576B"/>
          <w:sz w:val="20"/>
        </w:rPr>
        <w:t xml:space="preserve"> tak</w:t>
      </w:r>
      <w:r>
        <w:rPr>
          <w:rFonts w:ascii="Calibri" w:hAnsi="Calibri" w:cs="Calibri"/>
          <w:b/>
          <w:color w:val="13576B"/>
          <w:sz w:val="20"/>
        </w:rPr>
        <w:t xml:space="preserve"> přináší další zlepšení výkonnosti české ekonomiky, a to kumulativně o </w:t>
      </w:r>
      <w:proofErr w:type="gramStart"/>
      <w:r>
        <w:rPr>
          <w:rFonts w:ascii="Calibri" w:hAnsi="Calibri" w:cs="Calibri"/>
          <w:b/>
          <w:color w:val="13576B"/>
          <w:sz w:val="20"/>
        </w:rPr>
        <w:t>0,5 procentního</w:t>
      </w:r>
      <w:proofErr w:type="gramEnd"/>
      <w:r>
        <w:rPr>
          <w:rFonts w:ascii="Calibri" w:hAnsi="Calibri" w:cs="Calibri"/>
          <w:b/>
          <w:color w:val="13576B"/>
          <w:sz w:val="20"/>
        </w:rPr>
        <w:t xml:space="preserve"> bodu, po jeho podzimním vylepšení o </w:t>
      </w:r>
      <w:r w:rsidR="000544C4" w:rsidRPr="0028378F">
        <w:rPr>
          <w:rFonts w:ascii="Calibri" w:hAnsi="Calibri" w:cs="Calibri"/>
          <w:b/>
          <w:color w:val="13576B"/>
          <w:sz w:val="20"/>
        </w:rPr>
        <w:t xml:space="preserve">0,4 a 0,2 </w:t>
      </w:r>
      <w:r>
        <w:rPr>
          <w:rFonts w:ascii="Calibri" w:hAnsi="Calibri" w:cs="Calibri"/>
          <w:b/>
          <w:color w:val="13576B"/>
          <w:sz w:val="20"/>
        </w:rPr>
        <w:t>p.</w:t>
      </w:r>
      <w:r w:rsidR="003603B9">
        <w:rPr>
          <w:rFonts w:ascii="Calibri" w:hAnsi="Calibri" w:cs="Calibri"/>
          <w:b/>
          <w:color w:val="13576B"/>
          <w:sz w:val="20"/>
        </w:rPr>
        <w:t xml:space="preserve"> </w:t>
      </w:r>
      <w:r>
        <w:rPr>
          <w:rFonts w:ascii="Calibri" w:hAnsi="Calibri" w:cs="Calibri"/>
          <w:b/>
          <w:color w:val="13576B"/>
          <w:sz w:val="20"/>
        </w:rPr>
        <w:t xml:space="preserve">b. pro roky 2025 a 2026. Tato zlepšení </w:t>
      </w:r>
      <w:r w:rsidR="009D0908">
        <w:rPr>
          <w:rFonts w:ascii="Calibri" w:hAnsi="Calibri" w:cs="Calibri"/>
          <w:b/>
          <w:color w:val="13576B"/>
          <w:sz w:val="20"/>
        </w:rPr>
        <w:t>ale</w:t>
      </w:r>
      <w:r>
        <w:rPr>
          <w:rFonts w:ascii="Calibri" w:hAnsi="Calibri" w:cs="Calibri"/>
          <w:b/>
          <w:color w:val="13576B"/>
          <w:sz w:val="20"/>
        </w:rPr>
        <w:t xml:space="preserve"> ne</w:t>
      </w:r>
      <w:r w:rsidR="000544C4" w:rsidRPr="0028378F">
        <w:rPr>
          <w:rFonts w:ascii="Calibri" w:hAnsi="Calibri" w:cs="Calibri"/>
          <w:b/>
          <w:color w:val="13576B"/>
          <w:sz w:val="20"/>
        </w:rPr>
        <w:t>odráž</w:t>
      </w:r>
      <w:r>
        <w:rPr>
          <w:rFonts w:ascii="Calibri" w:hAnsi="Calibri" w:cs="Calibri"/>
          <w:b/>
          <w:color w:val="13576B"/>
          <w:sz w:val="20"/>
        </w:rPr>
        <w:t xml:space="preserve">í pouze vyšší </w:t>
      </w:r>
      <w:r w:rsidR="000544C4" w:rsidRPr="0028378F">
        <w:rPr>
          <w:rFonts w:ascii="Calibri" w:hAnsi="Calibri" w:cs="Calibri"/>
          <w:b/>
          <w:color w:val="13576B"/>
          <w:sz w:val="20"/>
        </w:rPr>
        <w:t>odolnost české ekonomiky, podpořenou vyšším růstem mezd, vládními investicemi, deeskalací celních sporů</w:t>
      </w:r>
      <w:r w:rsidRPr="001E5D51">
        <w:rPr>
          <w:rFonts w:ascii="Calibri" w:hAnsi="Calibri" w:cs="Calibri"/>
          <w:b/>
          <w:color w:val="13576B"/>
          <w:sz w:val="20"/>
        </w:rPr>
        <w:t xml:space="preserve">, ale i do prognózy vstupuje i </w:t>
      </w:r>
      <w:r w:rsidR="000544C4" w:rsidRPr="001E5D51">
        <w:rPr>
          <w:rFonts w:ascii="Calibri" w:hAnsi="Calibri" w:cs="Calibri"/>
          <w:b/>
          <w:color w:val="13576B"/>
          <w:sz w:val="20"/>
        </w:rPr>
        <w:t>očekávan</w:t>
      </w:r>
      <w:r w:rsidRPr="001E5D51">
        <w:rPr>
          <w:rFonts w:ascii="Calibri" w:hAnsi="Calibri" w:cs="Calibri"/>
          <w:b/>
          <w:color w:val="13576B"/>
          <w:sz w:val="20"/>
        </w:rPr>
        <w:t>á</w:t>
      </w:r>
      <w:r w:rsidR="000544C4" w:rsidRPr="001E5D51">
        <w:rPr>
          <w:rFonts w:ascii="Calibri" w:hAnsi="Calibri" w:cs="Calibri"/>
          <w:b/>
          <w:color w:val="13576B"/>
          <w:sz w:val="20"/>
        </w:rPr>
        <w:t xml:space="preserve"> uvolněnější fiskální politik</w:t>
      </w:r>
      <w:r w:rsidRPr="001E5D51">
        <w:rPr>
          <w:rFonts w:ascii="Calibri" w:hAnsi="Calibri" w:cs="Calibri"/>
          <w:b/>
          <w:color w:val="13576B"/>
          <w:sz w:val="20"/>
        </w:rPr>
        <w:t>a</w:t>
      </w:r>
      <w:r w:rsidR="000544C4" w:rsidRPr="001E5D51">
        <w:rPr>
          <w:rFonts w:ascii="Calibri" w:hAnsi="Calibri" w:cs="Calibri"/>
          <w:b/>
          <w:color w:val="13576B"/>
          <w:sz w:val="20"/>
        </w:rPr>
        <w:t>. V</w:t>
      </w:r>
      <w:r w:rsidRPr="001E5D51">
        <w:rPr>
          <w:rFonts w:ascii="Calibri" w:hAnsi="Calibri" w:cs="Calibri"/>
          <w:b/>
          <w:color w:val="13576B"/>
          <w:sz w:val="20"/>
        </w:rPr>
        <w:t xml:space="preserve"> letošním roce </w:t>
      </w:r>
      <w:r w:rsidR="000544C4" w:rsidRPr="001E5D51">
        <w:rPr>
          <w:rFonts w:ascii="Calibri" w:hAnsi="Calibri" w:cs="Calibri"/>
          <w:b/>
          <w:color w:val="13576B"/>
          <w:sz w:val="20"/>
        </w:rPr>
        <w:t>se</w:t>
      </w:r>
      <w:r w:rsidR="00DD759F" w:rsidRPr="001E5D51">
        <w:rPr>
          <w:rFonts w:ascii="Calibri" w:hAnsi="Calibri" w:cs="Calibri"/>
          <w:b/>
          <w:color w:val="13576B"/>
          <w:sz w:val="20"/>
        </w:rPr>
        <w:t xml:space="preserve"> rovněž</w:t>
      </w:r>
      <w:r w:rsidR="000544C4" w:rsidRPr="001E5D51">
        <w:rPr>
          <w:rFonts w:ascii="Calibri" w:hAnsi="Calibri" w:cs="Calibri"/>
          <w:b/>
          <w:color w:val="13576B"/>
          <w:sz w:val="20"/>
        </w:rPr>
        <w:t xml:space="preserve"> pozitivně projeví oživení investiční aktivity, </w:t>
      </w:r>
      <w:r w:rsidR="001E5D51" w:rsidRPr="001E5D51">
        <w:rPr>
          <w:rFonts w:ascii="Calibri" w:hAnsi="Calibri" w:cs="Calibri"/>
          <w:b/>
          <w:color w:val="13576B"/>
          <w:sz w:val="20"/>
        </w:rPr>
        <w:t xml:space="preserve">pravděpodobně </w:t>
      </w:r>
      <w:r w:rsidR="000544C4" w:rsidRPr="001E5D51">
        <w:rPr>
          <w:rFonts w:ascii="Calibri" w:hAnsi="Calibri" w:cs="Calibri"/>
          <w:b/>
          <w:color w:val="13576B"/>
          <w:sz w:val="20"/>
        </w:rPr>
        <w:t>také díky návratu silnější úvěrové aktivity podniků</w:t>
      </w:r>
      <w:r w:rsidR="009D0908" w:rsidRPr="001E5D51">
        <w:rPr>
          <w:rFonts w:ascii="Calibri" w:hAnsi="Calibri" w:cs="Calibri"/>
          <w:b/>
          <w:color w:val="13576B"/>
          <w:sz w:val="20"/>
        </w:rPr>
        <w:t xml:space="preserve"> pozorované </w:t>
      </w:r>
      <w:r w:rsidR="000544C4" w:rsidRPr="001E5D51">
        <w:rPr>
          <w:rFonts w:ascii="Calibri" w:hAnsi="Calibri" w:cs="Calibri"/>
          <w:b/>
          <w:color w:val="13576B"/>
          <w:sz w:val="20"/>
        </w:rPr>
        <w:t>v nedávných měsících.</w:t>
      </w:r>
    </w:p>
    <w:p w14:paraId="06F5A856" w14:textId="02320C2D" w:rsidR="00410CB7" w:rsidRPr="00410CB7" w:rsidRDefault="00410CB7" w:rsidP="00410CB7">
      <w:pPr>
        <w:spacing w:after="120"/>
        <w:rPr>
          <w:rFonts w:ascii="Calibri" w:hAnsi="Calibri" w:cs="Calibri"/>
          <w:b/>
          <w:color w:val="13576B"/>
          <w:sz w:val="20"/>
        </w:rPr>
      </w:pPr>
      <w:r w:rsidRPr="00410CB7">
        <w:rPr>
          <w:rFonts w:ascii="Calibri" w:hAnsi="Calibri" w:cs="Calibri"/>
          <w:b/>
          <w:color w:val="13576B"/>
          <w:sz w:val="20"/>
        </w:rPr>
        <w:t xml:space="preserve">Růst ekonomiky zůstává relativně vyvážený napříč výdajovými složkami. Hlavním tahounem je nadále spotřeba domácností, jejíž růst se v letech 2025–2027 pohybuje mezi 2,6–2,9 %, tedy mírně pod hranicí 3 %. Tento </w:t>
      </w:r>
      <w:r w:rsidR="00FA65D3">
        <w:rPr>
          <w:rFonts w:ascii="Calibri" w:hAnsi="Calibri" w:cs="Calibri"/>
          <w:b/>
          <w:color w:val="13576B"/>
          <w:sz w:val="20"/>
        </w:rPr>
        <w:t>výhled</w:t>
      </w:r>
      <w:r w:rsidRPr="00410CB7">
        <w:rPr>
          <w:rFonts w:ascii="Calibri" w:hAnsi="Calibri" w:cs="Calibri"/>
          <w:b/>
          <w:color w:val="13576B"/>
          <w:sz w:val="20"/>
        </w:rPr>
        <w:t xml:space="preserve"> však představuje spíše pozitivní riziko, neboť disponibilní důchod domácností by měl v roce 2026 růst rychleji než v roce 2025, zejména díky silnějšímu růstu reálných mezd a změnám ve vládní politice.</w:t>
      </w:r>
    </w:p>
    <w:p w14:paraId="4D558E81" w14:textId="1888BED2" w:rsidR="00B22E78" w:rsidRDefault="00410CB7" w:rsidP="00410CB7">
      <w:pPr>
        <w:spacing w:after="120"/>
        <w:rPr>
          <w:rFonts w:ascii="Calibri" w:hAnsi="Calibri" w:cs="Calibri"/>
          <w:b/>
          <w:color w:val="13576B"/>
          <w:sz w:val="20"/>
        </w:rPr>
      </w:pPr>
      <w:r w:rsidRPr="00410CB7">
        <w:rPr>
          <w:rFonts w:ascii="Calibri" w:hAnsi="Calibri" w:cs="Calibri"/>
          <w:b/>
          <w:color w:val="13576B"/>
          <w:sz w:val="20"/>
        </w:rPr>
        <w:t xml:space="preserve">Inflace by měla v roce 2026 zpomalit na 1,7 % v průměru, po 2,5 % v roce 2025, a v roce 2027 znovu mírně zrychlit na 2,3 %. Jádrová inflace </w:t>
      </w:r>
      <w:r w:rsidR="009D0908">
        <w:rPr>
          <w:rFonts w:ascii="Calibri" w:hAnsi="Calibri" w:cs="Calibri"/>
          <w:b/>
          <w:color w:val="13576B"/>
          <w:sz w:val="20"/>
        </w:rPr>
        <w:t xml:space="preserve">ale </w:t>
      </w:r>
      <w:r w:rsidRPr="00410CB7">
        <w:rPr>
          <w:rFonts w:ascii="Calibri" w:hAnsi="Calibri" w:cs="Calibri"/>
          <w:b/>
          <w:color w:val="13576B"/>
          <w:sz w:val="20"/>
        </w:rPr>
        <w:t>zůstává zvýšená a představuje klíčové proinflační riziko, zejména v oblasti cen služeb. V tomto prostředí konsenzus prognózy nadále předpokládá stabilitu základní úrokové sazby ČNB na úrovni 3,50 % po celý horizont prognózy</w:t>
      </w:r>
      <w:r>
        <w:rPr>
          <w:rFonts w:ascii="Calibri" w:hAnsi="Calibri" w:cs="Calibri"/>
          <w:b/>
          <w:color w:val="13576B"/>
          <w:sz w:val="20"/>
        </w:rPr>
        <w:t xml:space="preserve">, i když </w:t>
      </w:r>
      <w:r w:rsidR="009D0908">
        <w:rPr>
          <w:rFonts w:ascii="Calibri" w:hAnsi="Calibri" w:cs="Calibri"/>
          <w:b/>
          <w:color w:val="13576B"/>
          <w:sz w:val="20"/>
        </w:rPr>
        <w:t xml:space="preserve">polovina panelu si dokáže představit pokles úrokové sazby o 25bp během následujících dvou let. </w:t>
      </w:r>
      <w:r w:rsidRPr="00410CB7">
        <w:rPr>
          <w:rFonts w:ascii="Calibri" w:hAnsi="Calibri" w:cs="Calibri"/>
          <w:b/>
          <w:color w:val="13576B"/>
          <w:sz w:val="20"/>
        </w:rPr>
        <w:t>Fiskální politika zůstává uvolněnější</w:t>
      </w:r>
      <w:r>
        <w:rPr>
          <w:rFonts w:ascii="Calibri" w:hAnsi="Calibri" w:cs="Calibri"/>
          <w:b/>
          <w:color w:val="13576B"/>
          <w:sz w:val="20"/>
        </w:rPr>
        <w:t xml:space="preserve">, a to </w:t>
      </w:r>
      <w:r w:rsidR="00FA65D3">
        <w:rPr>
          <w:rFonts w:ascii="Calibri" w:hAnsi="Calibri" w:cs="Calibri"/>
          <w:b/>
          <w:color w:val="13576B"/>
          <w:sz w:val="20"/>
        </w:rPr>
        <w:t>kvůli</w:t>
      </w:r>
      <w:r>
        <w:rPr>
          <w:rFonts w:ascii="Calibri" w:hAnsi="Calibri" w:cs="Calibri"/>
          <w:b/>
          <w:color w:val="13576B"/>
          <w:sz w:val="20"/>
        </w:rPr>
        <w:t xml:space="preserve"> očekávanému navýšení v</w:t>
      </w:r>
      <w:r w:rsidRPr="00410CB7">
        <w:rPr>
          <w:rFonts w:ascii="Calibri" w:hAnsi="Calibri" w:cs="Calibri"/>
          <w:b/>
          <w:color w:val="13576B"/>
          <w:sz w:val="20"/>
        </w:rPr>
        <w:t>ládní</w:t>
      </w:r>
      <w:r>
        <w:rPr>
          <w:rFonts w:ascii="Calibri" w:hAnsi="Calibri" w:cs="Calibri"/>
          <w:b/>
          <w:color w:val="13576B"/>
          <w:sz w:val="20"/>
        </w:rPr>
        <w:t>ho</w:t>
      </w:r>
      <w:r w:rsidRPr="00410CB7">
        <w:rPr>
          <w:rFonts w:ascii="Calibri" w:hAnsi="Calibri" w:cs="Calibri"/>
          <w:b/>
          <w:color w:val="13576B"/>
          <w:sz w:val="20"/>
        </w:rPr>
        <w:t xml:space="preserve"> deficit</w:t>
      </w:r>
      <w:r>
        <w:rPr>
          <w:rFonts w:ascii="Calibri" w:hAnsi="Calibri" w:cs="Calibri"/>
          <w:b/>
          <w:color w:val="13576B"/>
          <w:sz w:val="20"/>
        </w:rPr>
        <w:t>u na průměrnou hodnotu -2,7 % HDP v letošním a příštím roce</w:t>
      </w:r>
      <w:r w:rsidRPr="00410CB7">
        <w:rPr>
          <w:rFonts w:ascii="Calibri" w:hAnsi="Calibri" w:cs="Calibri"/>
          <w:b/>
          <w:color w:val="13576B"/>
          <w:sz w:val="20"/>
        </w:rPr>
        <w:t>, což vede k postupnému nárůstu vládního dluhu až k úrovni 45,7 % HDP v roce 2027.</w:t>
      </w:r>
      <w:r>
        <w:rPr>
          <w:rFonts w:ascii="Calibri" w:hAnsi="Calibri" w:cs="Calibri"/>
          <w:b/>
          <w:color w:val="13576B"/>
          <w:sz w:val="20"/>
        </w:rPr>
        <w:t xml:space="preserve"> </w:t>
      </w:r>
    </w:p>
    <w:p w14:paraId="7C9CAC19" w14:textId="3C7FF4D0" w:rsidR="009E33F6" w:rsidRDefault="009E33F6" w:rsidP="009E33F6">
      <w:pPr>
        <w:pStyle w:val="Normlnweb"/>
        <w:spacing w:before="0" w:beforeAutospacing="0" w:after="0" w:afterAutospacing="0"/>
        <w:jc w:val="both"/>
        <w:rPr>
          <w:rFonts w:ascii="Calibri" w:hAnsi="Calibri" w:cs="Calibri"/>
          <w:b/>
          <w:color w:val="13576B"/>
          <w:sz w:val="22"/>
          <w:szCs w:val="28"/>
        </w:rPr>
      </w:pPr>
      <w:r w:rsidRPr="009D6C75">
        <w:rPr>
          <w:rFonts w:ascii="Calibri" w:hAnsi="Calibri" w:cs="Calibri"/>
          <w:b/>
          <w:color w:val="EE0000"/>
          <w:sz w:val="22"/>
          <w:szCs w:val="28"/>
        </w:rPr>
        <w:t>Anketa ČBA</w:t>
      </w:r>
      <w:r w:rsidRPr="00806391">
        <w:rPr>
          <w:rFonts w:ascii="Calibri" w:hAnsi="Calibri" w:cs="Calibri"/>
          <w:b/>
          <w:color w:val="13576B"/>
          <w:sz w:val="22"/>
          <w:szCs w:val="28"/>
        </w:rPr>
        <w:t xml:space="preserve">: </w:t>
      </w:r>
      <w:r>
        <w:rPr>
          <w:rFonts w:ascii="Calibri" w:hAnsi="Calibri" w:cs="Calibri"/>
          <w:b/>
          <w:color w:val="13576B"/>
          <w:sz w:val="22"/>
          <w:szCs w:val="28"/>
        </w:rPr>
        <w:t xml:space="preserve">Potencionální růst české ekonomiky? </w:t>
      </w:r>
      <w:proofErr w:type="spellStart"/>
      <w:r w:rsidR="0015001C" w:rsidRPr="0015001C">
        <w:rPr>
          <w:rFonts w:ascii="Calibri" w:hAnsi="Calibri" w:cs="Calibri"/>
          <w:bCs/>
          <w:color w:val="13576B"/>
          <w:sz w:val="22"/>
          <w:szCs w:val="28"/>
        </w:rPr>
        <w:t>Panelisté</w:t>
      </w:r>
      <w:proofErr w:type="spellEnd"/>
      <w:r w:rsidR="0015001C" w:rsidRPr="0015001C">
        <w:rPr>
          <w:rFonts w:ascii="Calibri" w:hAnsi="Calibri" w:cs="Calibri"/>
          <w:bCs/>
          <w:color w:val="13576B"/>
          <w:sz w:val="22"/>
          <w:szCs w:val="28"/>
        </w:rPr>
        <w:t xml:space="preserve"> jej v průměru odhadují okolo 2,4 % meziročně s polovinou </w:t>
      </w:r>
      <w:proofErr w:type="spellStart"/>
      <w:r w:rsidR="0015001C" w:rsidRPr="0015001C">
        <w:rPr>
          <w:rFonts w:ascii="Calibri" w:hAnsi="Calibri" w:cs="Calibri"/>
          <w:bCs/>
          <w:color w:val="13576B"/>
          <w:sz w:val="22"/>
          <w:szCs w:val="28"/>
        </w:rPr>
        <w:t>panelistů</w:t>
      </w:r>
      <w:proofErr w:type="spellEnd"/>
      <w:r w:rsidR="0015001C" w:rsidRPr="0015001C">
        <w:rPr>
          <w:rFonts w:ascii="Calibri" w:hAnsi="Calibri" w:cs="Calibri"/>
          <w:bCs/>
          <w:color w:val="13576B"/>
          <w:sz w:val="22"/>
          <w:szCs w:val="28"/>
        </w:rPr>
        <w:t xml:space="preserve"> v rozmezí 2,2 – 2,5 %. Zároveň očekávají pro rok 2027 jeho mírné zrychlení na 2,5 %, což je nepatrně o 0,1 p.</w:t>
      </w:r>
      <w:r w:rsidR="0015001C">
        <w:rPr>
          <w:rFonts w:ascii="Calibri" w:hAnsi="Calibri" w:cs="Calibri"/>
          <w:bCs/>
          <w:color w:val="13576B"/>
          <w:sz w:val="22"/>
          <w:szCs w:val="28"/>
        </w:rPr>
        <w:t xml:space="preserve"> </w:t>
      </w:r>
      <w:r w:rsidR="0015001C" w:rsidRPr="0015001C">
        <w:rPr>
          <w:rFonts w:ascii="Calibri" w:hAnsi="Calibri" w:cs="Calibri"/>
          <w:bCs/>
          <w:color w:val="13576B"/>
          <w:sz w:val="22"/>
          <w:szCs w:val="28"/>
        </w:rPr>
        <w:t>b. výše než odhad pro rok 2027 z léta minulého roku</w:t>
      </w:r>
      <w:r w:rsidRPr="009E33F6">
        <w:rPr>
          <w:rFonts w:ascii="Calibri" w:hAnsi="Calibri" w:cs="Calibri"/>
          <w:bCs/>
          <w:color w:val="13576B"/>
          <w:sz w:val="22"/>
          <w:szCs w:val="28"/>
        </w:rPr>
        <w:t xml:space="preserve">. </w:t>
      </w:r>
    </w:p>
    <w:p w14:paraId="5FEF5BAC" w14:textId="77777777" w:rsidR="009E33F6" w:rsidRDefault="009E33F6" w:rsidP="00410CB7">
      <w:pPr>
        <w:spacing w:after="120"/>
        <w:rPr>
          <w:rFonts w:ascii="Calibri" w:hAnsi="Calibri" w:cs="Calibri"/>
          <w:b/>
          <w:color w:val="13576B"/>
          <w:sz w:val="20"/>
        </w:rPr>
      </w:pPr>
    </w:p>
    <w:p w14:paraId="1A320FDF" w14:textId="6E45777A" w:rsidR="003A42C1" w:rsidRDefault="00CC648C" w:rsidP="00806391">
      <w:pPr>
        <w:spacing w:after="120"/>
        <w:rPr>
          <w:rFonts w:ascii="Calibri" w:hAnsi="Calibri" w:cs="Calibri"/>
          <w:b/>
          <w:color w:val="EE0000"/>
          <w:sz w:val="20"/>
        </w:rPr>
      </w:pPr>
      <w:r w:rsidRPr="00CC648C">
        <w:rPr>
          <w:rFonts w:ascii="Calibri" w:hAnsi="Calibri" w:cs="Calibri"/>
          <w:b/>
          <w:noProof/>
          <w:color w:val="EE0000"/>
          <w:sz w:val="20"/>
        </w:rPr>
        <w:drawing>
          <wp:inline distT="0" distB="0" distL="0" distR="0" wp14:anchorId="7A058146" wp14:editId="5A127070">
            <wp:extent cx="6479540" cy="2859405"/>
            <wp:effectExtent l="0" t="0" r="0" b="0"/>
            <wp:docPr id="462550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50893" name=""/>
                    <pic:cNvPicPr/>
                  </pic:nvPicPr>
                  <pic:blipFill>
                    <a:blip r:embed="rId8"/>
                    <a:stretch>
                      <a:fillRect/>
                    </a:stretch>
                  </pic:blipFill>
                  <pic:spPr>
                    <a:xfrm>
                      <a:off x="0" y="0"/>
                      <a:ext cx="6479540" cy="2859405"/>
                    </a:xfrm>
                    <a:prstGeom prst="rect">
                      <a:avLst/>
                    </a:prstGeom>
                  </pic:spPr>
                </pic:pic>
              </a:graphicData>
            </a:graphic>
          </wp:inline>
        </w:drawing>
      </w:r>
    </w:p>
    <w:p w14:paraId="2C85B4A2" w14:textId="2AA31DD7" w:rsidR="00603693" w:rsidRDefault="00603693" w:rsidP="00603693">
      <w:pPr>
        <w:pStyle w:val="Normlnweb"/>
        <w:spacing w:before="0" w:beforeAutospacing="0" w:after="0" w:afterAutospacing="0"/>
        <w:jc w:val="both"/>
        <w:rPr>
          <w:noProof/>
        </w:rPr>
      </w:pPr>
      <w:bookmarkStart w:id="2" w:name="_Hlk214964158"/>
      <w:r w:rsidRPr="00B22E78">
        <w:rPr>
          <w:rFonts w:ascii="Calibri" w:hAnsi="Calibri" w:cs="Calibri"/>
          <w:bCs/>
          <w:color w:val="000000" w:themeColor="text1"/>
          <w:sz w:val="20"/>
        </w:rPr>
        <w:t xml:space="preserve"> </w:t>
      </w:r>
      <w:r w:rsidR="00726664">
        <w:rPr>
          <w:noProof/>
        </w:rPr>
        <w:t xml:space="preserve">   </w:t>
      </w:r>
    </w:p>
    <w:p w14:paraId="6DE31DE0" w14:textId="65D94604" w:rsidR="004D6685" w:rsidRDefault="004D6685" w:rsidP="00603693">
      <w:pPr>
        <w:pStyle w:val="Normlnweb"/>
        <w:spacing w:before="0" w:beforeAutospacing="0" w:after="0" w:afterAutospacing="0"/>
        <w:jc w:val="both"/>
        <w:rPr>
          <w:rFonts w:ascii="Calibri" w:hAnsi="Calibri" w:cs="Calibri"/>
          <w:bCs/>
          <w:color w:val="000000" w:themeColor="text1"/>
          <w:sz w:val="20"/>
        </w:rPr>
      </w:pPr>
      <w:r>
        <w:rPr>
          <w:rFonts w:ascii="Calibri" w:hAnsi="Calibri" w:cs="Calibri"/>
          <w:bCs/>
          <w:color w:val="000000" w:themeColor="text1"/>
          <w:sz w:val="20"/>
        </w:rPr>
        <w:t xml:space="preserve"> </w:t>
      </w:r>
    </w:p>
    <w:bookmarkEnd w:id="2"/>
    <w:p w14:paraId="332871A7" w14:textId="3A418EE0" w:rsidR="00A1698B" w:rsidRDefault="00A1698B" w:rsidP="00A1698B">
      <w:pPr>
        <w:spacing w:after="120"/>
        <w:rPr>
          <w:rFonts w:ascii="Calibri" w:eastAsia="Calibri" w:hAnsi="Calibri" w:cs="Calibri"/>
          <w:b/>
          <w:color w:val="13576B"/>
          <w:sz w:val="22"/>
          <w:szCs w:val="28"/>
        </w:rPr>
      </w:pPr>
      <w:r w:rsidRPr="00806391">
        <w:rPr>
          <w:rFonts w:ascii="Calibri" w:eastAsia="Calibri" w:hAnsi="Calibri" w:cs="Calibri"/>
          <w:b/>
          <w:color w:val="13576B"/>
          <w:sz w:val="22"/>
          <w:szCs w:val="28"/>
        </w:rPr>
        <w:lastRenderedPageBreak/>
        <w:t>Makroekonomická Prognóza ČBA v číslech:</w:t>
      </w:r>
    </w:p>
    <w:tbl>
      <w:tblPr>
        <w:tblW w:w="10500" w:type="dxa"/>
        <w:tblCellMar>
          <w:left w:w="70" w:type="dxa"/>
          <w:right w:w="70" w:type="dxa"/>
        </w:tblCellMar>
        <w:tblLook w:val="04A0" w:firstRow="1" w:lastRow="0" w:firstColumn="1" w:lastColumn="0" w:noHBand="0" w:noVBand="1"/>
      </w:tblPr>
      <w:tblGrid>
        <w:gridCol w:w="5294"/>
        <w:gridCol w:w="680"/>
        <w:gridCol w:w="680"/>
        <w:gridCol w:w="680"/>
        <w:gridCol w:w="680"/>
        <w:gridCol w:w="186"/>
        <w:gridCol w:w="720"/>
        <w:gridCol w:w="680"/>
        <w:gridCol w:w="900"/>
      </w:tblGrid>
      <w:tr w:rsidR="00CC648C" w:rsidRPr="00CC648C" w14:paraId="212ED07E" w14:textId="77777777" w:rsidTr="00CC648C">
        <w:trPr>
          <w:trHeight w:val="540"/>
        </w:trPr>
        <w:tc>
          <w:tcPr>
            <w:tcW w:w="5294" w:type="dxa"/>
            <w:vMerge w:val="restart"/>
            <w:tcBorders>
              <w:top w:val="nil"/>
              <w:left w:val="nil"/>
              <w:bottom w:val="single" w:sz="8" w:space="0" w:color="FFFFFF"/>
              <w:right w:val="single" w:sz="8" w:space="0" w:color="FFFFFF"/>
            </w:tcBorders>
            <w:shd w:val="clear" w:color="000000" w:fill="13576B"/>
            <w:vAlign w:val="center"/>
            <w:hideMark/>
          </w:tcPr>
          <w:p w14:paraId="2A9D9E53" w14:textId="77777777"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sidRPr="00CC648C">
              <w:rPr>
                <w:rFonts w:ascii="Calibri Light" w:hAnsi="Calibri Light" w:cs="Calibri Light"/>
                <w:b/>
                <w:bCs/>
                <w:color w:val="FFFFFF"/>
                <w:sz w:val="20"/>
              </w:rPr>
              <w:t>Ukazatel</w:t>
            </w:r>
          </w:p>
        </w:tc>
        <w:tc>
          <w:tcPr>
            <w:tcW w:w="680" w:type="dxa"/>
            <w:tcBorders>
              <w:top w:val="nil"/>
              <w:left w:val="nil"/>
              <w:bottom w:val="nil"/>
              <w:right w:val="single" w:sz="8" w:space="0" w:color="FFFFFF"/>
            </w:tcBorders>
            <w:shd w:val="clear" w:color="000000" w:fill="13576B"/>
            <w:vAlign w:val="center"/>
            <w:hideMark/>
          </w:tcPr>
          <w:p w14:paraId="7BCFA2A7" w14:textId="77777777"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sidRPr="00CC648C">
              <w:rPr>
                <w:rFonts w:ascii="Calibri Light" w:hAnsi="Calibri Light" w:cs="Calibri Light"/>
                <w:b/>
                <w:bCs/>
                <w:color w:val="FFFFFF"/>
                <w:sz w:val="20"/>
              </w:rPr>
              <w:t>2024</w:t>
            </w:r>
          </w:p>
        </w:tc>
        <w:tc>
          <w:tcPr>
            <w:tcW w:w="680" w:type="dxa"/>
            <w:tcBorders>
              <w:top w:val="nil"/>
              <w:left w:val="nil"/>
              <w:bottom w:val="nil"/>
              <w:right w:val="single" w:sz="8" w:space="0" w:color="FFFFFF"/>
            </w:tcBorders>
            <w:shd w:val="clear" w:color="000000" w:fill="13576B"/>
            <w:vAlign w:val="center"/>
            <w:hideMark/>
          </w:tcPr>
          <w:p w14:paraId="679FCBF7" w14:textId="77777777" w:rsidR="00CC648C" w:rsidRPr="00CC648C" w:rsidRDefault="00CC648C" w:rsidP="00CC648C">
            <w:pPr>
              <w:overflowPunct/>
              <w:autoSpaceDE/>
              <w:autoSpaceDN/>
              <w:adjustRightInd/>
              <w:jc w:val="center"/>
              <w:textAlignment w:val="auto"/>
              <w:rPr>
                <w:rFonts w:ascii="Calibri Light" w:hAnsi="Calibri Light" w:cs="Calibri Light"/>
                <w:b/>
                <w:bCs/>
                <w:color w:val="FFFFFF"/>
                <w:szCs w:val="18"/>
              </w:rPr>
            </w:pPr>
            <w:r w:rsidRPr="00CC648C">
              <w:rPr>
                <w:rFonts w:ascii="Calibri Light" w:hAnsi="Calibri Light" w:cs="Calibri Light"/>
                <w:b/>
                <w:bCs/>
                <w:color w:val="FFFFFF"/>
                <w:szCs w:val="18"/>
              </w:rPr>
              <w:t>2025</w:t>
            </w:r>
          </w:p>
        </w:tc>
        <w:tc>
          <w:tcPr>
            <w:tcW w:w="680" w:type="dxa"/>
            <w:tcBorders>
              <w:top w:val="nil"/>
              <w:left w:val="nil"/>
              <w:bottom w:val="nil"/>
              <w:right w:val="single" w:sz="8" w:space="0" w:color="FFFFFF"/>
            </w:tcBorders>
            <w:shd w:val="clear" w:color="000000" w:fill="13576B"/>
            <w:vAlign w:val="center"/>
            <w:hideMark/>
          </w:tcPr>
          <w:p w14:paraId="7860A0C3" w14:textId="77777777" w:rsidR="00CC648C" w:rsidRPr="00CC648C" w:rsidRDefault="00CC648C" w:rsidP="00CC648C">
            <w:pPr>
              <w:overflowPunct/>
              <w:autoSpaceDE/>
              <w:autoSpaceDN/>
              <w:adjustRightInd/>
              <w:jc w:val="center"/>
              <w:textAlignment w:val="auto"/>
              <w:rPr>
                <w:rFonts w:ascii="Calibri Light" w:hAnsi="Calibri Light" w:cs="Calibri Light"/>
                <w:b/>
                <w:bCs/>
                <w:color w:val="FFFFFF"/>
                <w:szCs w:val="18"/>
              </w:rPr>
            </w:pPr>
            <w:r w:rsidRPr="00CC648C">
              <w:rPr>
                <w:rFonts w:ascii="Calibri Light" w:hAnsi="Calibri Light" w:cs="Calibri Light"/>
                <w:b/>
                <w:bCs/>
                <w:color w:val="FFFFFF"/>
                <w:szCs w:val="18"/>
              </w:rPr>
              <w:t>2026</w:t>
            </w:r>
          </w:p>
        </w:tc>
        <w:tc>
          <w:tcPr>
            <w:tcW w:w="680" w:type="dxa"/>
            <w:tcBorders>
              <w:top w:val="nil"/>
              <w:left w:val="nil"/>
              <w:bottom w:val="nil"/>
              <w:right w:val="single" w:sz="8" w:space="0" w:color="FFFFFF"/>
            </w:tcBorders>
            <w:shd w:val="clear" w:color="000000" w:fill="13576B"/>
            <w:vAlign w:val="center"/>
            <w:hideMark/>
          </w:tcPr>
          <w:p w14:paraId="2E045778" w14:textId="77777777" w:rsidR="00CC648C" w:rsidRPr="00CC648C" w:rsidRDefault="00CC648C" w:rsidP="00CC648C">
            <w:pPr>
              <w:overflowPunct/>
              <w:autoSpaceDE/>
              <w:autoSpaceDN/>
              <w:adjustRightInd/>
              <w:jc w:val="center"/>
              <w:textAlignment w:val="auto"/>
              <w:rPr>
                <w:rFonts w:ascii="Calibri Light" w:hAnsi="Calibri Light" w:cs="Calibri Light"/>
                <w:b/>
                <w:bCs/>
                <w:color w:val="FFFFFF"/>
                <w:szCs w:val="18"/>
              </w:rPr>
            </w:pPr>
            <w:r w:rsidRPr="00CC648C">
              <w:rPr>
                <w:rFonts w:ascii="Calibri Light" w:hAnsi="Calibri Light" w:cs="Calibri Light"/>
                <w:b/>
                <w:bCs/>
                <w:color w:val="FFFFFF"/>
                <w:szCs w:val="18"/>
              </w:rPr>
              <w:t>2027</w:t>
            </w:r>
          </w:p>
        </w:tc>
        <w:tc>
          <w:tcPr>
            <w:tcW w:w="186" w:type="dxa"/>
            <w:tcBorders>
              <w:top w:val="nil"/>
              <w:left w:val="nil"/>
              <w:bottom w:val="nil"/>
              <w:right w:val="single" w:sz="8" w:space="0" w:color="FFFFFF"/>
            </w:tcBorders>
            <w:shd w:val="clear" w:color="000000" w:fill="13576B"/>
            <w:vAlign w:val="center"/>
            <w:hideMark/>
          </w:tcPr>
          <w:p w14:paraId="779C6F88" w14:textId="77777777" w:rsidR="00CC648C" w:rsidRPr="00CC648C" w:rsidRDefault="00CC648C" w:rsidP="00CC648C">
            <w:pPr>
              <w:overflowPunct/>
              <w:autoSpaceDE/>
              <w:autoSpaceDN/>
              <w:adjustRightInd/>
              <w:jc w:val="center"/>
              <w:textAlignment w:val="auto"/>
              <w:rPr>
                <w:rFonts w:ascii="Calibri Light" w:hAnsi="Calibri Light" w:cs="Calibri Light"/>
                <w:b/>
                <w:bCs/>
                <w:color w:val="FFFFFF"/>
                <w:szCs w:val="18"/>
              </w:rPr>
            </w:pPr>
            <w:r w:rsidRPr="00CC648C">
              <w:rPr>
                <w:rFonts w:ascii="Calibri Light" w:hAnsi="Calibri Light" w:cs="Calibri Light"/>
                <w:b/>
                <w:bCs/>
                <w:color w:val="FFFFFF"/>
                <w:szCs w:val="18"/>
              </w:rPr>
              <w:t> </w:t>
            </w:r>
          </w:p>
        </w:tc>
        <w:tc>
          <w:tcPr>
            <w:tcW w:w="2300" w:type="dxa"/>
            <w:gridSpan w:val="3"/>
            <w:tcBorders>
              <w:top w:val="nil"/>
              <w:left w:val="nil"/>
              <w:bottom w:val="nil"/>
              <w:right w:val="single" w:sz="8" w:space="0" w:color="FFFFFF"/>
            </w:tcBorders>
            <w:shd w:val="clear" w:color="000000" w:fill="13576B"/>
            <w:vAlign w:val="center"/>
            <w:hideMark/>
          </w:tcPr>
          <w:p w14:paraId="476FA58C" w14:textId="77777777" w:rsidR="00CC648C" w:rsidRPr="00CC648C" w:rsidRDefault="00CC648C" w:rsidP="00CC648C">
            <w:pPr>
              <w:overflowPunct/>
              <w:autoSpaceDE/>
              <w:autoSpaceDN/>
              <w:adjustRightInd/>
              <w:jc w:val="center"/>
              <w:textAlignment w:val="auto"/>
              <w:rPr>
                <w:rFonts w:ascii="Calibri Light" w:hAnsi="Calibri Light" w:cs="Calibri Light"/>
                <w:b/>
                <w:bCs/>
                <w:i/>
                <w:iCs/>
                <w:color w:val="FFFFFF"/>
                <w:szCs w:val="18"/>
              </w:rPr>
            </w:pPr>
            <w:r w:rsidRPr="00CC648C">
              <w:rPr>
                <w:rFonts w:ascii="Calibri Light" w:hAnsi="Calibri Light" w:cs="Calibri Light"/>
                <w:b/>
                <w:bCs/>
                <w:i/>
                <w:iCs/>
                <w:color w:val="FFFFFF"/>
                <w:szCs w:val="18"/>
              </w:rPr>
              <w:t>vs. předchozí výhled</w:t>
            </w:r>
          </w:p>
        </w:tc>
      </w:tr>
      <w:tr w:rsidR="00CC648C" w:rsidRPr="00CC648C" w14:paraId="3438153C" w14:textId="77777777" w:rsidTr="00CC648C">
        <w:trPr>
          <w:trHeight w:val="435"/>
        </w:trPr>
        <w:tc>
          <w:tcPr>
            <w:tcW w:w="5294" w:type="dxa"/>
            <w:vMerge/>
            <w:tcBorders>
              <w:top w:val="nil"/>
              <w:left w:val="nil"/>
              <w:bottom w:val="single" w:sz="8" w:space="0" w:color="FFFFFF"/>
              <w:right w:val="single" w:sz="8" w:space="0" w:color="FFFFFF"/>
            </w:tcBorders>
            <w:vAlign w:val="center"/>
            <w:hideMark/>
          </w:tcPr>
          <w:p w14:paraId="1C012314" w14:textId="77777777"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p>
        </w:tc>
        <w:tc>
          <w:tcPr>
            <w:tcW w:w="680" w:type="dxa"/>
            <w:tcBorders>
              <w:top w:val="nil"/>
              <w:left w:val="nil"/>
              <w:bottom w:val="single" w:sz="8" w:space="0" w:color="FFFFFF"/>
              <w:right w:val="single" w:sz="8" w:space="0" w:color="FFFFFF"/>
            </w:tcBorders>
            <w:shd w:val="clear" w:color="000000" w:fill="13576B"/>
            <w:vAlign w:val="center"/>
            <w:hideMark/>
          </w:tcPr>
          <w:p w14:paraId="72AB7DAB" w14:textId="77777777"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sidRPr="00CC648C">
              <w:rPr>
                <w:rFonts w:ascii="Calibri Light" w:hAnsi="Calibri Light" w:cs="Calibri Light"/>
                <w:b/>
                <w:bCs/>
                <w:color w:val="FFFFFF"/>
                <w:sz w:val="20"/>
              </w:rPr>
              <w:t> </w:t>
            </w:r>
          </w:p>
        </w:tc>
        <w:tc>
          <w:tcPr>
            <w:tcW w:w="680" w:type="dxa"/>
            <w:tcBorders>
              <w:top w:val="nil"/>
              <w:left w:val="nil"/>
              <w:bottom w:val="single" w:sz="8" w:space="0" w:color="FFFFFF"/>
              <w:right w:val="single" w:sz="8" w:space="0" w:color="FFFFFF"/>
            </w:tcBorders>
            <w:shd w:val="clear" w:color="000000" w:fill="13576B"/>
            <w:vAlign w:val="center"/>
            <w:hideMark/>
          </w:tcPr>
          <w:p w14:paraId="38010D4C" w14:textId="77777777" w:rsidR="00CC648C" w:rsidRPr="00CC648C" w:rsidRDefault="00CC648C" w:rsidP="00CC648C">
            <w:pPr>
              <w:overflowPunct/>
              <w:autoSpaceDE/>
              <w:autoSpaceDN/>
              <w:adjustRightInd/>
              <w:jc w:val="center"/>
              <w:textAlignment w:val="auto"/>
              <w:rPr>
                <w:rFonts w:ascii="Calibri Light" w:hAnsi="Calibri Light" w:cs="Calibri Light"/>
                <w:b/>
                <w:bCs/>
                <w:color w:val="FFFFFF"/>
                <w:szCs w:val="18"/>
              </w:rPr>
            </w:pPr>
            <w:r w:rsidRPr="00CC648C">
              <w:rPr>
                <w:rFonts w:ascii="Calibri Light" w:hAnsi="Calibri Light" w:cs="Calibri Light"/>
                <w:b/>
                <w:bCs/>
                <w:color w:val="FFFFFF"/>
                <w:szCs w:val="18"/>
              </w:rPr>
              <w:t> </w:t>
            </w:r>
          </w:p>
        </w:tc>
        <w:tc>
          <w:tcPr>
            <w:tcW w:w="680" w:type="dxa"/>
            <w:tcBorders>
              <w:top w:val="nil"/>
              <w:left w:val="nil"/>
              <w:bottom w:val="single" w:sz="8" w:space="0" w:color="FFFFFF"/>
              <w:right w:val="single" w:sz="8" w:space="0" w:color="FFFFFF"/>
            </w:tcBorders>
            <w:shd w:val="clear" w:color="000000" w:fill="13576B"/>
            <w:vAlign w:val="center"/>
            <w:hideMark/>
          </w:tcPr>
          <w:p w14:paraId="1B67DFF9" w14:textId="77777777" w:rsidR="00CC648C" w:rsidRPr="00CC648C" w:rsidRDefault="00CC648C" w:rsidP="00CC648C">
            <w:pPr>
              <w:overflowPunct/>
              <w:autoSpaceDE/>
              <w:autoSpaceDN/>
              <w:adjustRightInd/>
              <w:jc w:val="center"/>
              <w:textAlignment w:val="auto"/>
              <w:rPr>
                <w:rFonts w:ascii="Calibri Light" w:hAnsi="Calibri Light" w:cs="Calibri Light"/>
                <w:b/>
                <w:bCs/>
                <w:color w:val="FFFFFF"/>
                <w:szCs w:val="18"/>
              </w:rPr>
            </w:pPr>
            <w:r w:rsidRPr="00CC648C">
              <w:rPr>
                <w:rFonts w:ascii="Calibri Light" w:hAnsi="Calibri Light" w:cs="Calibri Light"/>
                <w:b/>
                <w:bCs/>
                <w:color w:val="FFFFFF"/>
                <w:szCs w:val="18"/>
              </w:rPr>
              <w:t> </w:t>
            </w:r>
          </w:p>
        </w:tc>
        <w:tc>
          <w:tcPr>
            <w:tcW w:w="680" w:type="dxa"/>
            <w:tcBorders>
              <w:top w:val="nil"/>
              <w:left w:val="nil"/>
              <w:bottom w:val="single" w:sz="8" w:space="0" w:color="FFFFFF"/>
              <w:right w:val="single" w:sz="8" w:space="0" w:color="FFFFFF"/>
            </w:tcBorders>
            <w:shd w:val="clear" w:color="000000" w:fill="13576B"/>
            <w:vAlign w:val="center"/>
            <w:hideMark/>
          </w:tcPr>
          <w:p w14:paraId="7B08123E" w14:textId="77777777" w:rsidR="00CC648C" w:rsidRPr="00CC648C" w:rsidRDefault="00CC648C" w:rsidP="00CC648C">
            <w:pPr>
              <w:overflowPunct/>
              <w:autoSpaceDE/>
              <w:autoSpaceDN/>
              <w:adjustRightInd/>
              <w:jc w:val="center"/>
              <w:textAlignment w:val="auto"/>
              <w:rPr>
                <w:rFonts w:ascii="Calibri Light" w:hAnsi="Calibri Light" w:cs="Calibri Light"/>
                <w:b/>
                <w:bCs/>
                <w:color w:val="FFFFFF"/>
                <w:szCs w:val="18"/>
              </w:rPr>
            </w:pPr>
            <w:r w:rsidRPr="00CC648C">
              <w:rPr>
                <w:rFonts w:ascii="Calibri Light" w:hAnsi="Calibri Light" w:cs="Calibri Light"/>
                <w:b/>
                <w:bCs/>
                <w:color w:val="FFFFFF"/>
                <w:szCs w:val="18"/>
              </w:rPr>
              <w:t> </w:t>
            </w:r>
          </w:p>
        </w:tc>
        <w:tc>
          <w:tcPr>
            <w:tcW w:w="186" w:type="dxa"/>
            <w:tcBorders>
              <w:top w:val="nil"/>
              <w:left w:val="nil"/>
              <w:bottom w:val="nil"/>
              <w:right w:val="single" w:sz="8" w:space="0" w:color="FFFFFF"/>
            </w:tcBorders>
            <w:shd w:val="clear" w:color="000000" w:fill="13576B"/>
            <w:vAlign w:val="center"/>
            <w:hideMark/>
          </w:tcPr>
          <w:p w14:paraId="7FB0DCF7" w14:textId="77777777" w:rsidR="00CC648C" w:rsidRPr="00CC648C" w:rsidRDefault="00CC648C" w:rsidP="00CC648C">
            <w:pPr>
              <w:overflowPunct/>
              <w:autoSpaceDE/>
              <w:autoSpaceDN/>
              <w:adjustRightInd/>
              <w:jc w:val="center"/>
              <w:textAlignment w:val="auto"/>
              <w:rPr>
                <w:rFonts w:ascii="Calibri Light" w:hAnsi="Calibri Light" w:cs="Calibri Light"/>
                <w:b/>
                <w:bCs/>
                <w:color w:val="FFFFFF"/>
                <w:szCs w:val="18"/>
              </w:rPr>
            </w:pPr>
            <w:r w:rsidRPr="00CC648C">
              <w:rPr>
                <w:rFonts w:ascii="Calibri Light" w:hAnsi="Calibri Light" w:cs="Calibri Light"/>
                <w:b/>
                <w:bCs/>
                <w:color w:val="FFFFFF"/>
                <w:szCs w:val="18"/>
              </w:rPr>
              <w:t> </w:t>
            </w:r>
          </w:p>
        </w:tc>
        <w:tc>
          <w:tcPr>
            <w:tcW w:w="720" w:type="dxa"/>
            <w:tcBorders>
              <w:top w:val="nil"/>
              <w:left w:val="nil"/>
              <w:bottom w:val="single" w:sz="8" w:space="0" w:color="FFFFFF"/>
              <w:right w:val="single" w:sz="8" w:space="0" w:color="FFFFFF"/>
            </w:tcBorders>
            <w:shd w:val="clear" w:color="000000" w:fill="13576B"/>
            <w:vAlign w:val="center"/>
            <w:hideMark/>
          </w:tcPr>
          <w:p w14:paraId="3F19E717" w14:textId="77777777" w:rsidR="00CC648C" w:rsidRPr="00CC648C" w:rsidRDefault="00CC648C" w:rsidP="00CC648C">
            <w:pPr>
              <w:overflowPunct/>
              <w:autoSpaceDE/>
              <w:autoSpaceDN/>
              <w:adjustRightInd/>
              <w:jc w:val="center"/>
              <w:textAlignment w:val="auto"/>
              <w:rPr>
                <w:rFonts w:ascii="Calibri Light" w:hAnsi="Calibri Light" w:cs="Calibri Light"/>
                <w:b/>
                <w:bCs/>
                <w:i/>
                <w:iCs/>
                <w:color w:val="FFFFFF"/>
                <w:szCs w:val="18"/>
              </w:rPr>
            </w:pPr>
            <w:r w:rsidRPr="00CC648C">
              <w:rPr>
                <w:rFonts w:ascii="Calibri Light" w:hAnsi="Calibri Light" w:cs="Calibri Light"/>
                <w:b/>
                <w:bCs/>
                <w:i/>
                <w:iCs/>
                <w:color w:val="FFFFFF"/>
                <w:szCs w:val="18"/>
              </w:rPr>
              <w:t>2025</w:t>
            </w:r>
          </w:p>
        </w:tc>
        <w:tc>
          <w:tcPr>
            <w:tcW w:w="680" w:type="dxa"/>
            <w:tcBorders>
              <w:top w:val="nil"/>
              <w:left w:val="nil"/>
              <w:bottom w:val="single" w:sz="8" w:space="0" w:color="FFFFFF"/>
              <w:right w:val="single" w:sz="8" w:space="0" w:color="FFFFFF"/>
            </w:tcBorders>
            <w:shd w:val="clear" w:color="000000" w:fill="13576B"/>
            <w:vAlign w:val="center"/>
            <w:hideMark/>
          </w:tcPr>
          <w:p w14:paraId="5FC344D4" w14:textId="77777777" w:rsidR="00CC648C" w:rsidRPr="00CC648C" w:rsidRDefault="00CC648C" w:rsidP="00CC648C">
            <w:pPr>
              <w:overflowPunct/>
              <w:autoSpaceDE/>
              <w:autoSpaceDN/>
              <w:adjustRightInd/>
              <w:jc w:val="center"/>
              <w:textAlignment w:val="auto"/>
              <w:rPr>
                <w:rFonts w:ascii="Calibri Light" w:hAnsi="Calibri Light" w:cs="Calibri Light"/>
                <w:b/>
                <w:bCs/>
                <w:i/>
                <w:iCs/>
                <w:color w:val="FFFFFF"/>
                <w:szCs w:val="18"/>
              </w:rPr>
            </w:pPr>
            <w:r w:rsidRPr="00CC648C">
              <w:rPr>
                <w:rFonts w:ascii="Calibri Light" w:hAnsi="Calibri Light" w:cs="Calibri Light"/>
                <w:b/>
                <w:bCs/>
                <w:i/>
                <w:iCs/>
                <w:color w:val="FFFFFF"/>
                <w:szCs w:val="18"/>
              </w:rPr>
              <w:t>2026</w:t>
            </w:r>
          </w:p>
        </w:tc>
        <w:tc>
          <w:tcPr>
            <w:tcW w:w="900" w:type="dxa"/>
            <w:tcBorders>
              <w:top w:val="nil"/>
              <w:left w:val="nil"/>
              <w:bottom w:val="single" w:sz="8" w:space="0" w:color="FFFFFF"/>
              <w:right w:val="single" w:sz="8" w:space="0" w:color="FFFFFF"/>
            </w:tcBorders>
            <w:shd w:val="clear" w:color="000000" w:fill="13576B"/>
            <w:vAlign w:val="center"/>
            <w:hideMark/>
          </w:tcPr>
          <w:p w14:paraId="6134734C" w14:textId="77777777" w:rsidR="00CC648C" w:rsidRPr="00CC648C" w:rsidRDefault="00CC648C" w:rsidP="00CC648C">
            <w:pPr>
              <w:overflowPunct/>
              <w:autoSpaceDE/>
              <w:autoSpaceDN/>
              <w:adjustRightInd/>
              <w:jc w:val="center"/>
              <w:textAlignment w:val="auto"/>
              <w:rPr>
                <w:rFonts w:ascii="Calibri Light" w:hAnsi="Calibri Light" w:cs="Calibri Light"/>
                <w:b/>
                <w:bCs/>
                <w:i/>
                <w:iCs/>
                <w:color w:val="FFFFFF"/>
                <w:szCs w:val="18"/>
              </w:rPr>
            </w:pPr>
            <w:r w:rsidRPr="00CC648C">
              <w:rPr>
                <w:rFonts w:ascii="Calibri Light" w:hAnsi="Calibri Light" w:cs="Calibri Light"/>
                <w:b/>
                <w:bCs/>
                <w:i/>
                <w:iCs/>
                <w:color w:val="FFFFFF"/>
                <w:szCs w:val="18"/>
              </w:rPr>
              <w:t>2027</w:t>
            </w:r>
          </w:p>
        </w:tc>
      </w:tr>
      <w:tr w:rsidR="00CC648C" w:rsidRPr="00CC648C" w14:paraId="0B9EE27A"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6693647A" w14:textId="2737D2EB"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Růst reálného HDP (%)</w:t>
            </w:r>
          </w:p>
        </w:tc>
        <w:tc>
          <w:tcPr>
            <w:tcW w:w="680" w:type="dxa"/>
            <w:tcBorders>
              <w:top w:val="nil"/>
              <w:left w:val="nil"/>
              <w:bottom w:val="nil"/>
              <w:right w:val="single" w:sz="8" w:space="0" w:color="FFFFFF"/>
            </w:tcBorders>
            <w:shd w:val="clear" w:color="000000" w:fill="D9D9D9"/>
            <w:noWrap/>
            <w:vAlign w:val="center"/>
            <w:hideMark/>
          </w:tcPr>
          <w:p w14:paraId="3F8299AD" w14:textId="4A991330"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1,1</w:t>
            </w:r>
          </w:p>
        </w:tc>
        <w:tc>
          <w:tcPr>
            <w:tcW w:w="680" w:type="dxa"/>
            <w:tcBorders>
              <w:top w:val="nil"/>
              <w:left w:val="nil"/>
              <w:bottom w:val="nil"/>
              <w:right w:val="single" w:sz="8" w:space="0" w:color="FFFFFF"/>
            </w:tcBorders>
            <w:shd w:val="clear" w:color="000000" w:fill="D9D9D9"/>
            <w:noWrap/>
            <w:vAlign w:val="center"/>
            <w:hideMark/>
          </w:tcPr>
          <w:p w14:paraId="104E5745" w14:textId="2F21097B"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w:t>
            </w:r>
          </w:p>
        </w:tc>
        <w:tc>
          <w:tcPr>
            <w:tcW w:w="680" w:type="dxa"/>
            <w:tcBorders>
              <w:top w:val="nil"/>
              <w:left w:val="nil"/>
              <w:bottom w:val="nil"/>
              <w:right w:val="single" w:sz="8" w:space="0" w:color="FFFFFF"/>
            </w:tcBorders>
            <w:shd w:val="clear" w:color="000000" w:fill="D9D9D9"/>
            <w:noWrap/>
            <w:vAlign w:val="center"/>
            <w:hideMark/>
          </w:tcPr>
          <w:p w14:paraId="2876A83E" w14:textId="3430B175"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2,6</w:t>
            </w:r>
          </w:p>
        </w:tc>
        <w:tc>
          <w:tcPr>
            <w:tcW w:w="680" w:type="dxa"/>
            <w:tcBorders>
              <w:top w:val="nil"/>
              <w:left w:val="nil"/>
              <w:bottom w:val="nil"/>
              <w:right w:val="single" w:sz="8" w:space="0" w:color="FFFFFF"/>
            </w:tcBorders>
            <w:shd w:val="clear" w:color="000000" w:fill="D9D9D9"/>
            <w:noWrap/>
            <w:vAlign w:val="center"/>
            <w:hideMark/>
          </w:tcPr>
          <w:p w14:paraId="6B211283" w14:textId="73BFD2D4"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2,6</w:t>
            </w:r>
          </w:p>
        </w:tc>
        <w:tc>
          <w:tcPr>
            <w:tcW w:w="186" w:type="dxa"/>
            <w:tcBorders>
              <w:top w:val="nil"/>
              <w:left w:val="nil"/>
              <w:bottom w:val="nil"/>
              <w:right w:val="single" w:sz="8" w:space="0" w:color="FFFFFF"/>
            </w:tcBorders>
            <w:shd w:val="clear" w:color="000000" w:fill="13576B"/>
            <w:noWrap/>
            <w:vAlign w:val="center"/>
            <w:hideMark/>
          </w:tcPr>
          <w:p w14:paraId="6ED00A12" w14:textId="4A45CB3B"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3E1F56B1" w14:textId="79F4FC0D"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c>
          <w:tcPr>
            <w:tcW w:w="680" w:type="dxa"/>
            <w:tcBorders>
              <w:top w:val="nil"/>
              <w:left w:val="nil"/>
              <w:bottom w:val="nil"/>
              <w:right w:val="single" w:sz="8" w:space="0" w:color="FFFFFF"/>
            </w:tcBorders>
            <w:shd w:val="clear" w:color="000000" w:fill="D9D9D9"/>
            <w:noWrap/>
            <w:vAlign w:val="center"/>
            <w:hideMark/>
          </w:tcPr>
          <w:p w14:paraId="534D8B68" w14:textId="4A3DE3DD"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(0,4)</w:t>
            </w:r>
          </w:p>
        </w:tc>
        <w:tc>
          <w:tcPr>
            <w:tcW w:w="900" w:type="dxa"/>
            <w:tcBorders>
              <w:top w:val="nil"/>
              <w:left w:val="nil"/>
              <w:bottom w:val="nil"/>
              <w:right w:val="single" w:sz="8" w:space="0" w:color="FFFFFF"/>
            </w:tcBorders>
            <w:shd w:val="clear" w:color="000000" w:fill="D9D9D9"/>
            <w:noWrap/>
            <w:vAlign w:val="center"/>
            <w:hideMark/>
          </w:tcPr>
          <w:p w14:paraId="60E9FD14" w14:textId="24C8DB8D"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06AEBB91"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69631F9C" w14:textId="0E382596" w:rsidR="00CC648C" w:rsidRPr="00CC648C" w:rsidRDefault="00CC648C" w:rsidP="00CC648C">
            <w:pPr>
              <w:overflowPunct/>
              <w:autoSpaceDE/>
              <w:autoSpaceDN/>
              <w:adjustRightInd/>
              <w:ind w:firstLineChars="100" w:firstLine="201"/>
              <w:jc w:val="left"/>
              <w:textAlignment w:val="auto"/>
              <w:rPr>
                <w:rFonts w:ascii="Calibri Light" w:hAnsi="Calibri Light" w:cs="Calibri Light"/>
                <w:b/>
                <w:bCs/>
                <w:color w:val="FFFFFF"/>
                <w:sz w:val="20"/>
              </w:rPr>
            </w:pPr>
            <w:r>
              <w:rPr>
                <w:rFonts w:ascii="Calibri Light" w:hAnsi="Calibri Light" w:cs="Calibri Light"/>
                <w:b/>
                <w:bCs/>
                <w:color w:val="FFFFFF"/>
                <w:sz w:val="20"/>
              </w:rPr>
              <w:t>Růst spotřeby domácností (%)</w:t>
            </w:r>
          </w:p>
        </w:tc>
        <w:tc>
          <w:tcPr>
            <w:tcW w:w="680" w:type="dxa"/>
            <w:tcBorders>
              <w:top w:val="nil"/>
              <w:left w:val="nil"/>
              <w:bottom w:val="nil"/>
              <w:right w:val="single" w:sz="8" w:space="0" w:color="FFFFFF"/>
            </w:tcBorders>
            <w:shd w:val="clear" w:color="000000" w:fill="D9D9D9"/>
            <w:noWrap/>
            <w:vAlign w:val="center"/>
            <w:hideMark/>
          </w:tcPr>
          <w:p w14:paraId="1AC093D8" w14:textId="6B9C98C4"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2,2</w:t>
            </w:r>
          </w:p>
        </w:tc>
        <w:tc>
          <w:tcPr>
            <w:tcW w:w="680" w:type="dxa"/>
            <w:tcBorders>
              <w:top w:val="nil"/>
              <w:left w:val="nil"/>
              <w:bottom w:val="nil"/>
              <w:right w:val="single" w:sz="8" w:space="0" w:color="FFFFFF"/>
            </w:tcBorders>
            <w:shd w:val="clear" w:color="000000" w:fill="D9D9D9"/>
            <w:noWrap/>
            <w:vAlign w:val="center"/>
            <w:hideMark/>
          </w:tcPr>
          <w:p w14:paraId="68F475B8" w14:textId="456766DF"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2,9</w:t>
            </w:r>
          </w:p>
        </w:tc>
        <w:tc>
          <w:tcPr>
            <w:tcW w:w="680" w:type="dxa"/>
            <w:tcBorders>
              <w:top w:val="nil"/>
              <w:left w:val="nil"/>
              <w:bottom w:val="nil"/>
              <w:right w:val="single" w:sz="8" w:space="0" w:color="FFFFFF"/>
            </w:tcBorders>
            <w:shd w:val="clear" w:color="000000" w:fill="D9D9D9"/>
            <w:noWrap/>
            <w:vAlign w:val="center"/>
            <w:hideMark/>
          </w:tcPr>
          <w:p w14:paraId="05551327" w14:textId="46FBCD98"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2,8</w:t>
            </w:r>
          </w:p>
        </w:tc>
        <w:tc>
          <w:tcPr>
            <w:tcW w:w="680" w:type="dxa"/>
            <w:tcBorders>
              <w:top w:val="nil"/>
              <w:left w:val="nil"/>
              <w:bottom w:val="nil"/>
              <w:right w:val="single" w:sz="8" w:space="0" w:color="FFFFFF"/>
            </w:tcBorders>
            <w:shd w:val="clear" w:color="000000" w:fill="D9D9D9"/>
            <w:noWrap/>
            <w:vAlign w:val="center"/>
            <w:hideMark/>
          </w:tcPr>
          <w:p w14:paraId="2BCC6396" w14:textId="5380DF50"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2,6</w:t>
            </w:r>
          </w:p>
        </w:tc>
        <w:tc>
          <w:tcPr>
            <w:tcW w:w="186" w:type="dxa"/>
            <w:tcBorders>
              <w:top w:val="nil"/>
              <w:left w:val="nil"/>
              <w:bottom w:val="nil"/>
              <w:right w:val="single" w:sz="8" w:space="0" w:color="FFFFFF"/>
            </w:tcBorders>
            <w:shd w:val="clear" w:color="000000" w:fill="13576B"/>
            <w:noWrap/>
            <w:vAlign w:val="center"/>
            <w:hideMark/>
          </w:tcPr>
          <w:p w14:paraId="5B152F9B" w14:textId="3B2129B1"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56D03D66" w14:textId="4DE31F49"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0DD06812" w14:textId="740AC766"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c>
          <w:tcPr>
            <w:tcW w:w="900" w:type="dxa"/>
            <w:tcBorders>
              <w:top w:val="nil"/>
              <w:left w:val="nil"/>
              <w:bottom w:val="nil"/>
              <w:right w:val="single" w:sz="8" w:space="0" w:color="FFFFFF"/>
            </w:tcBorders>
            <w:shd w:val="clear" w:color="000000" w:fill="D9D9D9"/>
            <w:noWrap/>
            <w:vAlign w:val="center"/>
            <w:hideMark/>
          </w:tcPr>
          <w:p w14:paraId="0F35313D" w14:textId="322CD2CC"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536752BC"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785E6B4F" w14:textId="12064BA4" w:rsidR="00CC648C" w:rsidRPr="00CC648C" w:rsidRDefault="00CC648C" w:rsidP="00CC648C">
            <w:pPr>
              <w:overflowPunct/>
              <w:autoSpaceDE/>
              <w:autoSpaceDN/>
              <w:adjustRightInd/>
              <w:ind w:firstLineChars="100" w:firstLine="201"/>
              <w:jc w:val="left"/>
              <w:textAlignment w:val="auto"/>
              <w:rPr>
                <w:rFonts w:ascii="Calibri Light" w:hAnsi="Calibri Light" w:cs="Calibri Light"/>
                <w:b/>
                <w:bCs/>
                <w:color w:val="FFFFFF"/>
                <w:sz w:val="20"/>
              </w:rPr>
            </w:pPr>
            <w:r>
              <w:rPr>
                <w:rFonts w:ascii="Calibri Light" w:hAnsi="Calibri Light" w:cs="Calibri Light"/>
                <w:b/>
                <w:bCs/>
                <w:color w:val="FFFFFF"/>
                <w:sz w:val="20"/>
              </w:rPr>
              <w:t>Růst vládní spotřeby (%)</w:t>
            </w:r>
          </w:p>
        </w:tc>
        <w:tc>
          <w:tcPr>
            <w:tcW w:w="680" w:type="dxa"/>
            <w:tcBorders>
              <w:top w:val="nil"/>
              <w:left w:val="nil"/>
              <w:bottom w:val="nil"/>
              <w:right w:val="single" w:sz="8" w:space="0" w:color="FFFFFF"/>
            </w:tcBorders>
            <w:shd w:val="clear" w:color="000000" w:fill="D9D9D9"/>
            <w:noWrap/>
            <w:vAlign w:val="center"/>
            <w:hideMark/>
          </w:tcPr>
          <w:p w14:paraId="5947BA65" w14:textId="40206805"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3,1</w:t>
            </w:r>
          </w:p>
        </w:tc>
        <w:tc>
          <w:tcPr>
            <w:tcW w:w="680" w:type="dxa"/>
            <w:tcBorders>
              <w:top w:val="nil"/>
              <w:left w:val="nil"/>
              <w:bottom w:val="nil"/>
              <w:right w:val="single" w:sz="8" w:space="0" w:color="FFFFFF"/>
            </w:tcBorders>
            <w:shd w:val="clear" w:color="000000" w:fill="D9D9D9"/>
            <w:noWrap/>
            <w:vAlign w:val="center"/>
            <w:hideMark/>
          </w:tcPr>
          <w:p w14:paraId="2FC6A8E8" w14:textId="5017D1F2"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2,1</w:t>
            </w:r>
          </w:p>
        </w:tc>
        <w:tc>
          <w:tcPr>
            <w:tcW w:w="680" w:type="dxa"/>
            <w:tcBorders>
              <w:top w:val="nil"/>
              <w:left w:val="nil"/>
              <w:bottom w:val="nil"/>
              <w:right w:val="single" w:sz="8" w:space="0" w:color="FFFFFF"/>
            </w:tcBorders>
            <w:shd w:val="clear" w:color="000000" w:fill="D9D9D9"/>
            <w:noWrap/>
            <w:vAlign w:val="center"/>
            <w:hideMark/>
          </w:tcPr>
          <w:p w14:paraId="734A9B8D" w14:textId="2FFB8102"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2,2</w:t>
            </w:r>
          </w:p>
        </w:tc>
        <w:tc>
          <w:tcPr>
            <w:tcW w:w="680" w:type="dxa"/>
            <w:tcBorders>
              <w:top w:val="nil"/>
              <w:left w:val="nil"/>
              <w:bottom w:val="nil"/>
              <w:right w:val="single" w:sz="8" w:space="0" w:color="FFFFFF"/>
            </w:tcBorders>
            <w:shd w:val="clear" w:color="000000" w:fill="D9D9D9"/>
            <w:noWrap/>
            <w:vAlign w:val="center"/>
            <w:hideMark/>
          </w:tcPr>
          <w:p w14:paraId="103E772C" w14:textId="78EFC9A0"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2,2</w:t>
            </w:r>
          </w:p>
        </w:tc>
        <w:tc>
          <w:tcPr>
            <w:tcW w:w="186" w:type="dxa"/>
            <w:tcBorders>
              <w:top w:val="nil"/>
              <w:left w:val="nil"/>
              <w:bottom w:val="nil"/>
              <w:right w:val="single" w:sz="8" w:space="0" w:color="FFFFFF"/>
            </w:tcBorders>
            <w:shd w:val="clear" w:color="000000" w:fill="13576B"/>
            <w:noWrap/>
            <w:vAlign w:val="center"/>
            <w:hideMark/>
          </w:tcPr>
          <w:p w14:paraId="476E8BB4" w14:textId="6611D97C"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76F2657C" w14:textId="5DD1CBD3"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c>
          <w:tcPr>
            <w:tcW w:w="680" w:type="dxa"/>
            <w:tcBorders>
              <w:top w:val="nil"/>
              <w:left w:val="nil"/>
              <w:bottom w:val="nil"/>
              <w:right w:val="single" w:sz="8" w:space="0" w:color="FFFFFF"/>
            </w:tcBorders>
            <w:shd w:val="clear" w:color="000000" w:fill="D9D9D9"/>
            <w:noWrap/>
            <w:vAlign w:val="center"/>
            <w:hideMark/>
          </w:tcPr>
          <w:p w14:paraId="4C2C31DE" w14:textId="19F01D6F"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c>
          <w:tcPr>
            <w:tcW w:w="900" w:type="dxa"/>
            <w:tcBorders>
              <w:top w:val="nil"/>
              <w:left w:val="nil"/>
              <w:bottom w:val="nil"/>
              <w:right w:val="single" w:sz="8" w:space="0" w:color="FFFFFF"/>
            </w:tcBorders>
            <w:shd w:val="clear" w:color="000000" w:fill="D9D9D9"/>
            <w:noWrap/>
            <w:vAlign w:val="center"/>
            <w:hideMark/>
          </w:tcPr>
          <w:p w14:paraId="5681FA2C" w14:textId="16F67DEA"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r>
      <w:tr w:rsidR="00CC648C" w:rsidRPr="00CC648C" w14:paraId="3815D532"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3DDDCD97" w14:textId="5679EA31" w:rsidR="00CC648C" w:rsidRPr="00CC648C" w:rsidRDefault="00CC648C" w:rsidP="00CC648C">
            <w:pPr>
              <w:overflowPunct/>
              <w:autoSpaceDE/>
              <w:autoSpaceDN/>
              <w:adjustRightInd/>
              <w:ind w:firstLineChars="100" w:firstLine="201"/>
              <w:jc w:val="left"/>
              <w:textAlignment w:val="auto"/>
              <w:rPr>
                <w:rFonts w:ascii="Calibri Light" w:hAnsi="Calibri Light" w:cs="Calibri Light"/>
                <w:b/>
                <w:bCs/>
                <w:color w:val="FFFFFF"/>
                <w:sz w:val="20"/>
              </w:rPr>
            </w:pPr>
            <w:r>
              <w:rPr>
                <w:rFonts w:ascii="Calibri Light" w:hAnsi="Calibri Light" w:cs="Calibri Light"/>
                <w:b/>
                <w:bCs/>
                <w:color w:val="FFFFFF"/>
                <w:sz w:val="20"/>
              </w:rPr>
              <w:t>Růst investic (bez zásob, %)</w:t>
            </w:r>
          </w:p>
        </w:tc>
        <w:tc>
          <w:tcPr>
            <w:tcW w:w="680" w:type="dxa"/>
            <w:tcBorders>
              <w:top w:val="nil"/>
              <w:left w:val="nil"/>
              <w:bottom w:val="nil"/>
              <w:right w:val="single" w:sz="8" w:space="0" w:color="FFFFFF"/>
            </w:tcBorders>
            <w:shd w:val="clear" w:color="000000" w:fill="D9D9D9"/>
            <w:noWrap/>
            <w:vAlign w:val="center"/>
            <w:hideMark/>
          </w:tcPr>
          <w:p w14:paraId="0124E4CA" w14:textId="72329E98"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-3,0</w:t>
            </w:r>
          </w:p>
        </w:tc>
        <w:tc>
          <w:tcPr>
            <w:tcW w:w="680" w:type="dxa"/>
            <w:tcBorders>
              <w:top w:val="nil"/>
              <w:left w:val="nil"/>
              <w:bottom w:val="nil"/>
              <w:right w:val="single" w:sz="8" w:space="0" w:color="FFFFFF"/>
            </w:tcBorders>
            <w:shd w:val="clear" w:color="000000" w:fill="D9D9D9"/>
            <w:noWrap/>
            <w:vAlign w:val="center"/>
            <w:hideMark/>
          </w:tcPr>
          <w:p w14:paraId="7F69BF11" w14:textId="316EF588"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0,9</w:t>
            </w:r>
          </w:p>
        </w:tc>
        <w:tc>
          <w:tcPr>
            <w:tcW w:w="680" w:type="dxa"/>
            <w:tcBorders>
              <w:top w:val="nil"/>
              <w:left w:val="nil"/>
              <w:bottom w:val="nil"/>
              <w:right w:val="single" w:sz="8" w:space="0" w:color="FFFFFF"/>
            </w:tcBorders>
            <w:shd w:val="clear" w:color="000000" w:fill="D9D9D9"/>
            <w:noWrap/>
            <w:vAlign w:val="center"/>
            <w:hideMark/>
          </w:tcPr>
          <w:p w14:paraId="16D3FD65" w14:textId="68914996"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3,2</w:t>
            </w:r>
          </w:p>
        </w:tc>
        <w:tc>
          <w:tcPr>
            <w:tcW w:w="680" w:type="dxa"/>
            <w:tcBorders>
              <w:top w:val="nil"/>
              <w:left w:val="nil"/>
              <w:bottom w:val="nil"/>
              <w:right w:val="single" w:sz="8" w:space="0" w:color="FFFFFF"/>
            </w:tcBorders>
            <w:shd w:val="clear" w:color="000000" w:fill="D9D9D9"/>
            <w:noWrap/>
            <w:vAlign w:val="center"/>
            <w:hideMark/>
          </w:tcPr>
          <w:p w14:paraId="5DACC143" w14:textId="0BE52675"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3,1</w:t>
            </w:r>
          </w:p>
        </w:tc>
        <w:tc>
          <w:tcPr>
            <w:tcW w:w="186" w:type="dxa"/>
            <w:tcBorders>
              <w:top w:val="nil"/>
              <w:left w:val="nil"/>
              <w:bottom w:val="nil"/>
              <w:right w:val="single" w:sz="8" w:space="0" w:color="FFFFFF"/>
            </w:tcBorders>
            <w:shd w:val="clear" w:color="000000" w:fill="13576B"/>
            <w:noWrap/>
            <w:vAlign w:val="center"/>
            <w:hideMark/>
          </w:tcPr>
          <w:p w14:paraId="477F22AC" w14:textId="4EDD5FE2"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7361F992" w14:textId="26294285"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(0,7)</w:t>
            </w:r>
          </w:p>
        </w:tc>
        <w:tc>
          <w:tcPr>
            <w:tcW w:w="680" w:type="dxa"/>
            <w:tcBorders>
              <w:top w:val="nil"/>
              <w:left w:val="nil"/>
              <w:bottom w:val="nil"/>
              <w:right w:val="single" w:sz="8" w:space="0" w:color="FFFFFF"/>
            </w:tcBorders>
            <w:shd w:val="clear" w:color="000000" w:fill="D9D9D9"/>
            <w:noWrap/>
            <w:vAlign w:val="center"/>
            <w:hideMark/>
          </w:tcPr>
          <w:p w14:paraId="10B0551F" w14:textId="78668847"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(0,3)</w:t>
            </w:r>
          </w:p>
        </w:tc>
        <w:tc>
          <w:tcPr>
            <w:tcW w:w="900" w:type="dxa"/>
            <w:tcBorders>
              <w:top w:val="nil"/>
              <w:left w:val="nil"/>
              <w:bottom w:val="nil"/>
              <w:right w:val="single" w:sz="8" w:space="0" w:color="FFFFFF"/>
            </w:tcBorders>
            <w:shd w:val="clear" w:color="000000" w:fill="D9D9D9"/>
            <w:noWrap/>
            <w:vAlign w:val="center"/>
            <w:hideMark/>
          </w:tcPr>
          <w:p w14:paraId="57BE3C22" w14:textId="254EE521"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r>
      <w:tr w:rsidR="00CC648C" w:rsidRPr="00CC648C" w14:paraId="088F12A3"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38A0A7C5" w14:textId="79130AD5" w:rsidR="00CC648C" w:rsidRPr="00CC648C" w:rsidRDefault="00CC648C" w:rsidP="00CC648C">
            <w:pPr>
              <w:overflowPunct/>
              <w:autoSpaceDE/>
              <w:autoSpaceDN/>
              <w:adjustRightInd/>
              <w:ind w:firstLineChars="100" w:firstLine="201"/>
              <w:jc w:val="left"/>
              <w:textAlignment w:val="auto"/>
              <w:rPr>
                <w:rFonts w:ascii="Calibri Light" w:hAnsi="Calibri Light" w:cs="Calibri Light"/>
                <w:b/>
                <w:bCs/>
                <w:color w:val="FFFFFF"/>
                <w:sz w:val="20"/>
              </w:rPr>
            </w:pPr>
            <w:r>
              <w:rPr>
                <w:rFonts w:ascii="Calibri Light" w:hAnsi="Calibri Light" w:cs="Calibri Light"/>
                <w:b/>
                <w:bCs/>
                <w:color w:val="FFFFFF"/>
                <w:sz w:val="20"/>
              </w:rPr>
              <w:t xml:space="preserve">Růst vývozů (%) </w:t>
            </w:r>
          </w:p>
        </w:tc>
        <w:tc>
          <w:tcPr>
            <w:tcW w:w="680" w:type="dxa"/>
            <w:tcBorders>
              <w:top w:val="nil"/>
              <w:left w:val="nil"/>
              <w:bottom w:val="nil"/>
              <w:right w:val="single" w:sz="8" w:space="0" w:color="FFFFFF"/>
            </w:tcBorders>
            <w:shd w:val="clear" w:color="000000" w:fill="D9D9D9"/>
            <w:noWrap/>
            <w:vAlign w:val="center"/>
            <w:hideMark/>
          </w:tcPr>
          <w:p w14:paraId="06510AC9" w14:textId="38440F1E"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1,1</w:t>
            </w:r>
          </w:p>
        </w:tc>
        <w:tc>
          <w:tcPr>
            <w:tcW w:w="680" w:type="dxa"/>
            <w:tcBorders>
              <w:top w:val="nil"/>
              <w:left w:val="nil"/>
              <w:bottom w:val="nil"/>
              <w:right w:val="single" w:sz="8" w:space="0" w:color="FFFFFF"/>
            </w:tcBorders>
            <w:shd w:val="clear" w:color="000000" w:fill="D9D9D9"/>
            <w:noWrap/>
            <w:vAlign w:val="center"/>
            <w:hideMark/>
          </w:tcPr>
          <w:p w14:paraId="6E1768CE" w14:textId="1FC411F3"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4,1</w:t>
            </w:r>
          </w:p>
        </w:tc>
        <w:tc>
          <w:tcPr>
            <w:tcW w:w="680" w:type="dxa"/>
            <w:tcBorders>
              <w:top w:val="nil"/>
              <w:left w:val="nil"/>
              <w:bottom w:val="nil"/>
              <w:right w:val="single" w:sz="8" w:space="0" w:color="FFFFFF"/>
            </w:tcBorders>
            <w:shd w:val="clear" w:color="000000" w:fill="D9D9D9"/>
            <w:noWrap/>
            <w:vAlign w:val="center"/>
            <w:hideMark/>
          </w:tcPr>
          <w:p w14:paraId="131C91FD" w14:textId="27887761"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3,6</w:t>
            </w:r>
          </w:p>
        </w:tc>
        <w:tc>
          <w:tcPr>
            <w:tcW w:w="680" w:type="dxa"/>
            <w:tcBorders>
              <w:top w:val="nil"/>
              <w:left w:val="nil"/>
              <w:bottom w:val="nil"/>
              <w:right w:val="single" w:sz="8" w:space="0" w:color="FFFFFF"/>
            </w:tcBorders>
            <w:shd w:val="clear" w:color="000000" w:fill="D9D9D9"/>
            <w:noWrap/>
            <w:vAlign w:val="center"/>
            <w:hideMark/>
          </w:tcPr>
          <w:p w14:paraId="4A1940CB" w14:textId="17BDD68D"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4,3</w:t>
            </w:r>
          </w:p>
        </w:tc>
        <w:tc>
          <w:tcPr>
            <w:tcW w:w="186" w:type="dxa"/>
            <w:tcBorders>
              <w:top w:val="nil"/>
              <w:left w:val="nil"/>
              <w:bottom w:val="nil"/>
              <w:right w:val="single" w:sz="8" w:space="0" w:color="FFFFFF"/>
            </w:tcBorders>
            <w:shd w:val="clear" w:color="000000" w:fill="13576B"/>
            <w:noWrap/>
            <w:vAlign w:val="center"/>
            <w:hideMark/>
          </w:tcPr>
          <w:p w14:paraId="45D79A31" w14:textId="74C8E299"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7B431999" w14:textId="6747C663"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(0,5)</w:t>
            </w:r>
          </w:p>
        </w:tc>
        <w:tc>
          <w:tcPr>
            <w:tcW w:w="680" w:type="dxa"/>
            <w:tcBorders>
              <w:top w:val="nil"/>
              <w:left w:val="nil"/>
              <w:bottom w:val="nil"/>
              <w:right w:val="single" w:sz="8" w:space="0" w:color="FFFFFF"/>
            </w:tcBorders>
            <w:shd w:val="clear" w:color="000000" w:fill="D9D9D9"/>
            <w:noWrap/>
            <w:vAlign w:val="center"/>
            <w:hideMark/>
          </w:tcPr>
          <w:p w14:paraId="5839ED94" w14:textId="62B92B98"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(0,5)</w:t>
            </w:r>
          </w:p>
        </w:tc>
        <w:tc>
          <w:tcPr>
            <w:tcW w:w="900" w:type="dxa"/>
            <w:tcBorders>
              <w:top w:val="nil"/>
              <w:left w:val="nil"/>
              <w:bottom w:val="nil"/>
              <w:right w:val="single" w:sz="8" w:space="0" w:color="FFFFFF"/>
            </w:tcBorders>
            <w:shd w:val="clear" w:color="000000" w:fill="D9D9D9"/>
            <w:noWrap/>
            <w:vAlign w:val="center"/>
            <w:hideMark/>
          </w:tcPr>
          <w:p w14:paraId="415C2F4A" w14:textId="12F0789C"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r>
      <w:tr w:rsidR="00CC648C" w:rsidRPr="00CC648C" w14:paraId="1437744F" w14:textId="77777777" w:rsidTr="00CC648C">
        <w:trPr>
          <w:trHeight w:val="275"/>
        </w:trPr>
        <w:tc>
          <w:tcPr>
            <w:tcW w:w="5294" w:type="dxa"/>
            <w:tcBorders>
              <w:top w:val="nil"/>
              <w:left w:val="nil"/>
              <w:bottom w:val="single" w:sz="8" w:space="0" w:color="FFFFFF"/>
              <w:right w:val="single" w:sz="8" w:space="0" w:color="FFFFFF"/>
            </w:tcBorders>
            <w:shd w:val="clear" w:color="000000" w:fill="13576B"/>
            <w:vAlign w:val="center"/>
            <w:hideMark/>
          </w:tcPr>
          <w:p w14:paraId="73CAA824" w14:textId="41D0FC5F" w:rsidR="00CC648C" w:rsidRPr="00CC648C" w:rsidRDefault="00CC648C" w:rsidP="00CC648C">
            <w:pPr>
              <w:overflowPunct/>
              <w:autoSpaceDE/>
              <w:autoSpaceDN/>
              <w:adjustRightInd/>
              <w:ind w:firstLineChars="100" w:firstLine="201"/>
              <w:jc w:val="left"/>
              <w:textAlignment w:val="auto"/>
              <w:rPr>
                <w:rFonts w:ascii="Calibri Light" w:hAnsi="Calibri Light" w:cs="Calibri Light"/>
                <w:b/>
                <w:bCs/>
                <w:color w:val="FFFFFF"/>
                <w:sz w:val="20"/>
              </w:rPr>
            </w:pPr>
            <w:r>
              <w:rPr>
                <w:rFonts w:ascii="Calibri Light" w:hAnsi="Calibri Light" w:cs="Calibri Light"/>
                <w:b/>
                <w:bCs/>
                <w:color w:val="FFFFFF"/>
                <w:sz w:val="20"/>
              </w:rPr>
              <w:t>Růst dovozů (%)</w:t>
            </w:r>
          </w:p>
        </w:tc>
        <w:tc>
          <w:tcPr>
            <w:tcW w:w="680" w:type="dxa"/>
            <w:tcBorders>
              <w:top w:val="nil"/>
              <w:left w:val="nil"/>
              <w:bottom w:val="single" w:sz="8" w:space="0" w:color="FFFFFF"/>
              <w:right w:val="single" w:sz="8" w:space="0" w:color="FFFFFF"/>
            </w:tcBorders>
            <w:shd w:val="clear" w:color="000000" w:fill="D9D9D9"/>
            <w:noWrap/>
            <w:vAlign w:val="center"/>
            <w:hideMark/>
          </w:tcPr>
          <w:p w14:paraId="40A15E5F" w14:textId="76B2CD35"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0,2</w:t>
            </w:r>
          </w:p>
        </w:tc>
        <w:tc>
          <w:tcPr>
            <w:tcW w:w="680" w:type="dxa"/>
            <w:tcBorders>
              <w:top w:val="nil"/>
              <w:left w:val="nil"/>
              <w:bottom w:val="single" w:sz="8" w:space="0" w:color="FFFFFF"/>
              <w:right w:val="single" w:sz="8" w:space="0" w:color="FFFFFF"/>
            </w:tcBorders>
            <w:shd w:val="clear" w:color="000000" w:fill="D9D9D9"/>
            <w:noWrap/>
            <w:vAlign w:val="center"/>
            <w:hideMark/>
          </w:tcPr>
          <w:p w14:paraId="09AE2E91" w14:textId="30F48204"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5,0</w:t>
            </w:r>
          </w:p>
        </w:tc>
        <w:tc>
          <w:tcPr>
            <w:tcW w:w="680" w:type="dxa"/>
            <w:tcBorders>
              <w:top w:val="nil"/>
              <w:left w:val="nil"/>
              <w:bottom w:val="single" w:sz="8" w:space="0" w:color="FFFFFF"/>
              <w:right w:val="single" w:sz="8" w:space="0" w:color="FFFFFF"/>
            </w:tcBorders>
            <w:shd w:val="clear" w:color="000000" w:fill="D9D9D9"/>
            <w:noWrap/>
            <w:vAlign w:val="center"/>
            <w:hideMark/>
          </w:tcPr>
          <w:p w14:paraId="7A3D3229" w14:textId="5D57A691"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3,7</w:t>
            </w:r>
          </w:p>
        </w:tc>
        <w:tc>
          <w:tcPr>
            <w:tcW w:w="680" w:type="dxa"/>
            <w:tcBorders>
              <w:top w:val="nil"/>
              <w:left w:val="nil"/>
              <w:bottom w:val="single" w:sz="8" w:space="0" w:color="FFFFFF"/>
              <w:right w:val="single" w:sz="8" w:space="0" w:color="FFFFFF"/>
            </w:tcBorders>
            <w:shd w:val="clear" w:color="000000" w:fill="D9D9D9"/>
            <w:noWrap/>
            <w:vAlign w:val="center"/>
            <w:hideMark/>
          </w:tcPr>
          <w:p w14:paraId="18BA45A9" w14:textId="7499F602"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4,4</w:t>
            </w:r>
          </w:p>
        </w:tc>
        <w:tc>
          <w:tcPr>
            <w:tcW w:w="186" w:type="dxa"/>
            <w:tcBorders>
              <w:top w:val="nil"/>
              <w:left w:val="nil"/>
              <w:bottom w:val="nil"/>
              <w:right w:val="single" w:sz="8" w:space="0" w:color="FFFFFF"/>
            </w:tcBorders>
            <w:shd w:val="clear" w:color="000000" w:fill="13576B"/>
            <w:noWrap/>
            <w:vAlign w:val="center"/>
            <w:hideMark/>
          </w:tcPr>
          <w:p w14:paraId="3D0F1420" w14:textId="264986C3"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0683DE27" w14:textId="099E4691"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c>
          <w:tcPr>
            <w:tcW w:w="680" w:type="dxa"/>
            <w:tcBorders>
              <w:top w:val="nil"/>
              <w:left w:val="nil"/>
              <w:bottom w:val="single" w:sz="8" w:space="0" w:color="FFFFFF"/>
              <w:right w:val="single" w:sz="8" w:space="0" w:color="FFFFFF"/>
            </w:tcBorders>
            <w:shd w:val="clear" w:color="000000" w:fill="D9D9D9"/>
            <w:noWrap/>
            <w:vAlign w:val="center"/>
            <w:hideMark/>
          </w:tcPr>
          <w:p w14:paraId="0BEE3F6F" w14:textId="3614BC3C"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c>
          <w:tcPr>
            <w:tcW w:w="900" w:type="dxa"/>
            <w:tcBorders>
              <w:top w:val="nil"/>
              <w:left w:val="nil"/>
              <w:bottom w:val="single" w:sz="8" w:space="0" w:color="FFFFFF"/>
              <w:right w:val="single" w:sz="8" w:space="0" w:color="FFFFFF"/>
            </w:tcBorders>
            <w:shd w:val="clear" w:color="000000" w:fill="D9D9D9"/>
            <w:noWrap/>
            <w:vAlign w:val="center"/>
            <w:hideMark/>
          </w:tcPr>
          <w:p w14:paraId="4E0440D1" w14:textId="37740883"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(0,3)</w:t>
            </w:r>
          </w:p>
        </w:tc>
      </w:tr>
      <w:tr w:rsidR="00CC648C" w:rsidRPr="00CC648C" w14:paraId="38F2F385"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2E75C122" w14:textId="710F2895"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Míra inflace: CPI (%) průměr</w:t>
            </w:r>
          </w:p>
        </w:tc>
        <w:tc>
          <w:tcPr>
            <w:tcW w:w="680" w:type="dxa"/>
            <w:tcBorders>
              <w:top w:val="nil"/>
              <w:left w:val="nil"/>
              <w:bottom w:val="nil"/>
              <w:right w:val="single" w:sz="8" w:space="0" w:color="FFFFFF"/>
            </w:tcBorders>
            <w:shd w:val="clear" w:color="000000" w:fill="D9D9D9"/>
            <w:noWrap/>
            <w:vAlign w:val="center"/>
            <w:hideMark/>
          </w:tcPr>
          <w:p w14:paraId="767F054C" w14:textId="01FB0475"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2,4</w:t>
            </w:r>
          </w:p>
        </w:tc>
        <w:tc>
          <w:tcPr>
            <w:tcW w:w="680" w:type="dxa"/>
            <w:tcBorders>
              <w:top w:val="nil"/>
              <w:left w:val="nil"/>
              <w:bottom w:val="nil"/>
              <w:right w:val="single" w:sz="8" w:space="0" w:color="FFFFFF"/>
            </w:tcBorders>
            <w:shd w:val="clear" w:color="000000" w:fill="D9D9D9"/>
            <w:noWrap/>
            <w:vAlign w:val="center"/>
            <w:hideMark/>
          </w:tcPr>
          <w:p w14:paraId="01FB2D8C" w14:textId="4FE86B9D"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2,5</w:t>
            </w:r>
          </w:p>
        </w:tc>
        <w:tc>
          <w:tcPr>
            <w:tcW w:w="680" w:type="dxa"/>
            <w:tcBorders>
              <w:top w:val="nil"/>
              <w:left w:val="nil"/>
              <w:bottom w:val="nil"/>
              <w:right w:val="single" w:sz="8" w:space="0" w:color="FFFFFF"/>
            </w:tcBorders>
            <w:shd w:val="clear" w:color="000000" w:fill="D9D9D9"/>
            <w:noWrap/>
            <w:vAlign w:val="center"/>
            <w:hideMark/>
          </w:tcPr>
          <w:p w14:paraId="1C0F0DEE" w14:textId="07C41EAE"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1,7</w:t>
            </w:r>
          </w:p>
        </w:tc>
        <w:tc>
          <w:tcPr>
            <w:tcW w:w="680" w:type="dxa"/>
            <w:tcBorders>
              <w:top w:val="nil"/>
              <w:left w:val="nil"/>
              <w:bottom w:val="nil"/>
              <w:right w:val="single" w:sz="8" w:space="0" w:color="FFFFFF"/>
            </w:tcBorders>
            <w:shd w:val="clear" w:color="000000" w:fill="D9D9D9"/>
            <w:noWrap/>
            <w:vAlign w:val="center"/>
            <w:hideMark/>
          </w:tcPr>
          <w:p w14:paraId="0896348A" w14:textId="7DFC5688"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2,3</w:t>
            </w:r>
          </w:p>
        </w:tc>
        <w:tc>
          <w:tcPr>
            <w:tcW w:w="186" w:type="dxa"/>
            <w:tcBorders>
              <w:top w:val="nil"/>
              <w:left w:val="nil"/>
              <w:bottom w:val="nil"/>
              <w:right w:val="single" w:sz="8" w:space="0" w:color="FFFFFF"/>
            </w:tcBorders>
            <w:shd w:val="clear" w:color="000000" w:fill="13576B"/>
            <w:noWrap/>
            <w:vAlign w:val="center"/>
            <w:hideMark/>
          </w:tcPr>
          <w:p w14:paraId="056A4AC8" w14:textId="47D57D0C"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59C39A6B" w14:textId="62C20B65"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4007EAD0" w14:textId="21DC0C27"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(-0,5)</w:t>
            </w:r>
          </w:p>
        </w:tc>
        <w:tc>
          <w:tcPr>
            <w:tcW w:w="900" w:type="dxa"/>
            <w:tcBorders>
              <w:top w:val="nil"/>
              <w:left w:val="nil"/>
              <w:bottom w:val="nil"/>
              <w:right w:val="single" w:sz="8" w:space="0" w:color="FFFFFF"/>
            </w:tcBorders>
            <w:shd w:val="clear" w:color="000000" w:fill="D9D9D9"/>
            <w:noWrap/>
            <w:vAlign w:val="center"/>
            <w:hideMark/>
          </w:tcPr>
          <w:p w14:paraId="0AC815A4" w14:textId="314209D0"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0289F486"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5B74FEF8" w14:textId="239EADE6"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Míra inflace: CPI (%) konec roku</w:t>
            </w:r>
          </w:p>
        </w:tc>
        <w:tc>
          <w:tcPr>
            <w:tcW w:w="680" w:type="dxa"/>
            <w:tcBorders>
              <w:top w:val="nil"/>
              <w:left w:val="nil"/>
              <w:bottom w:val="nil"/>
              <w:right w:val="single" w:sz="8" w:space="0" w:color="FFFFFF"/>
            </w:tcBorders>
            <w:shd w:val="clear" w:color="000000" w:fill="D9D9D9"/>
            <w:noWrap/>
            <w:vAlign w:val="center"/>
            <w:hideMark/>
          </w:tcPr>
          <w:p w14:paraId="32665F23" w14:textId="2F03747F"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2,9</w:t>
            </w:r>
          </w:p>
        </w:tc>
        <w:tc>
          <w:tcPr>
            <w:tcW w:w="680" w:type="dxa"/>
            <w:tcBorders>
              <w:top w:val="nil"/>
              <w:left w:val="nil"/>
              <w:bottom w:val="nil"/>
              <w:right w:val="single" w:sz="8" w:space="0" w:color="FFFFFF"/>
            </w:tcBorders>
            <w:shd w:val="clear" w:color="000000" w:fill="D9D9D9"/>
            <w:noWrap/>
            <w:vAlign w:val="center"/>
            <w:hideMark/>
          </w:tcPr>
          <w:p w14:paraId="1C5CA2E6" w14:textId="33A0F854"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2,1</w:t>
            </w:r>
          </w:p>
        </w:tc>
        <w:tc>
          <w:tcPr>
            <w:tcW w:w="680" w:type="dxa"/>
            <w:tcBorders>
              <w:top w:val="nil"/>
              <w:left w:val="nil"/>
              <w:bottom w:val="nil"/>
              <w:right w:val="single" w:sz="8" w:space="0" w:color="FFFFFF"/>
            </w:tcBorders>
            <w:shd w:val="clear" w:color="000000" w:fill="D9D9D9"/>
            <w:noWrap/>
            <w:vAlign w:val="center"/>
            <w:hideMark/>
          </w:tcPr>
          <w:p w14:paraId="28E21B96" w14:textId="22927B4F"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2,0</w:t>
            </w:r>
          </w:p>
        </w:tc>
        <w:tc>
          <w:tcPr>
            <w:tcW w:w="680" w:type="dxa"/>
            <w:tcBorders>
              <w:top w:val="nil"/>
              <w:left w:val="nil"/>
              <w:bottom w:val="nil"/>
              <w:right w:val="single" w:sz="8" w:space="0" w:color="FFFFFF"/>
            </w:tcBorders>
            <w:shd w:val="clear" w:color="000000" w:fill="D9D9D9"/>
            <w:noWrap/>
            <w:vAlign w:val="center"/>
            <w:hideMark/>
          </w:tcPr>
          <w:p w14:paraId="05490EA8" w14:textId="2AEE6F9C"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2,3</w:t>
            </w:r>
          </w:p>
        </w:tc>
        <w:tc>
          <w:tcPr>
            <w:tcW w:w="186" w:type="dxa"/>
            <w:tcBorders>
              <w:top w:val="nil"/>
              <w:left w:val="nil"/>
              <w:bottom w:val="nil"/>
              <w:right w:val="single" w:sz="8" w:space="0" w:color="FFFFFF"/>
            </w:tcBorders>
            <w:shd w:val="clear" w:color="000000" w:fill="13576B"/>
            <w:noWrap/>
            <w:vAlign w:val="center"/>
            <w:hideMark/>
          </w:tcPr>
          <w:p w14:paraId="5EC3E93E" w14:textId="63E2E538"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1CD7E1CB" w14:textId="685AE006"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(-0,6)</w:t>
            </w:r>
          </w:p>
        </w:tc>
        <w:tc>
          <w:tcPr>
            <w:tcW w:w="680" w:type="dxa"/>
            <w:tcBorders>
              <w:top w:val="nil"/>
              <w:left w:val="nil"/>
              <w:bottom w:val="nil"/>
              <w:right w:val="single" w:sz="8" w:space="0" w:color="FFFFFF"/>
            </w:tcBorders>
            <w:shd w:val="clear" w:color="000000" w:fill="D9D9D9"/>
            <w:noWrap/>
            <w:vAlign w:val="center"/>
            <w:hideMark/>
          </w:tcPr>
          <w:p w14:paraId="20FDDC4D" w14:textId="2248BA57"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c>
          <w:tcPr>
            <w:tcW w:w="900" w:type="dxa"/>
            <w:tcBorders>
              <w:top w:val="nil"/>
              <w:left w:val="nil"/>
              <w:bottom w:val="nil"/>
              <w:right w:val="single" w:sz="8" w:space="0" w:color="FFFFFF"/>
            </w:tcBorders>
            <w:shd w:val="clear" w:color="000000" w:fill="D9D9D9"/>
            <w:noWrap/>
            <w:vAlign w:val="center"/>
            <w:hideMark/>
          </w:tcPr>
          <w:p w14:paraId="45F92840" w14:textId="2C41E37F"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25589531"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017660EC" w14:textId="701AFC09"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Jádrová inflace CPI (%) průměr</w:t>
            </w:r>
          </w:p>
        </w:tc>
        <w:tc>
          <w:tcPr>
            <w:tcW w:w="680" w:type="dxa"/>
            <w:tcBorders>
              <w:top w:val="nil"/>
              <w:left w:val="nil"/>
              <w:bottom w:val="nil"/>
              <w:right w:val="single" w:sz="8" w:space="0" w:color="FFFFFF"/>
            </w:tcBorders>
            <w:shd w:val="clear" w:color="000000" w:fill="D9D9D9"/>
            <w:noWrap/>
            <w:vAlign w:val="center"/>
            <w:hideMark/>
          </w:tcPr>
          <w:p w14:paraId="3570DF9B" w14:textId="05096D3E"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2,5</w:t>
            </w:r>
          </w:p>
        </w:tc>
        <w:tc>
          <w:tcPr>
            <w:tcW w:w="680" w:type="dxa"/>
            <w:tcBorders>
              <w:top w:val="nil"/>
              <w:left w:val="nil"/>
              <w:bottom w:val="nil"/>
              <w:right w:val="single" w:sz="8" w:space="0" w:color="FFFFFF"/>
            </w:tcBorders>
            <w:shd w:val="clear" w:color="000000" w:fill="D9D9D9"/>
            <w:noWrap/>
            <w:vAlign w:val="center"/>
            <w:hideMark/>
          </w:tcPr>
          <w:p w14:paraId="463F0BAD" w14:textId="741BFB78"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2,7</w:t>
            </w:r>
          </w:p>
        </w:tc>
        <w:tc>
          <w:tcPr>
            <w:tcW w:w="680" w:type="dxa"/>
            <w:tcBorders>
              <w:top w:val="nil"/>
              <w:left w:val="nil"/>
              <w:bottom w:val="nil"/>
              <w:right w:val="single" w:sz="8" w:space="0" w:color="FFFFFF"/>
            </w:tcBorders>
            <w:shd w:val="clear" w:color="000000" w:fill="D9D9D9"/>
            <w:noWrap/>
            <w:vAlign w:val="center"/>
            <w:hideMark/>
          </w:tcPr>
          <w:p w14:paraId="7BAFD8CA" w14:textId="243DD9B8"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w:t>
            </w:r>
          </w:p>
        </w:tc>
        <w:tc>
          <w:tcPr>
            <w:tcW w:w="680" w:type="dxa"/>
            <w:tcBorders>
              <w:top w:val="nil"/>
              <w:left w:val="nil"/>
              <w:bottom w:val="nil"/>
              <w:right w:val="single" w:sz="8" w:space="0" w:color="FFFFFF"/>
            </w:tcBorders>
            <w:shd w:val="clear" w:color="000000" w:fill="D9D9D9"/>
            <w:noWrap/>
            <w:vAlign w:val="center"/>
            <w:hideMark/>
          </w:tcPr>
          <w:p w14:paraId="241CC1A2" w14:textId="7C6C3636"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2,3</w:t>
            </w:r>
          </w:p>
        </w:tc>
        <w:tc>
          <w:tcPr>
            <w:tcW w:w="186" w:type="dxa"/>
            <w:tcBorders>
              <w:top w:val="nil"/>
              <w:left w:val="nil"/>
              <w:bottom w:val="nil"/>
              <w:right w:val="single" w:sz="8" w:space="0" w:color="FFFFFF"/>
            </w:tcBorders>
            <w:shd w:val="clear" w:color="000000" w:fill="13576B"/>
            <w:noWrap/>
            <w:vAlign w:val="center"/>
            <w:hideMark/>
          </w:tcPr>
          <w:p w14:paraId="7E3D2E40" w14:textId="6FBE25EF"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0C245B9E" w14:textId="70A01890"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69DB745E" w14:textId="20A8AEFA"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900" w:type="dxa"/>
            <w:tcBorders>
              <w:top w:val="nil"/>
              <w:left w:val="nil"/>
              <w:bottom w:val="nil"/>
              <w:right w:val="single" w:sz="8" w:space="0" w:color="FFFFFF"/>
            </w:tcBorders>
            <w:shd w:val="clear" w:color="000000" w:fill="D9D9D9"/>
            <w:noWrap/>
            <w:vAlign w:val="center"/>
            <w:hideMark/>
          </w:tcPr>
          <w:p w14:paraId="230C2E4A" w14:textId="70CF8E9C"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3C29EC47"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52603724" w14:textId="1DB140CB"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Podíl nezaměstnaných osob (MPSV): průměr (%)</w:t>
            </w:r>
          </w:p>
        </w:tc>
        <w:tc>
          <w:tcPr>
            <w:tcW w:w="680" w:type="dxa"/>
            <w:tcBorders>
              <w:top w:val="nil"/>
              <w:left w:val="nil"/>
              <w:bottom w:val="nil"/>
              <w:right w:val="single" w:sz="8" w:space="0" w:color="FFFFFF"/>
            </w:tcBorders>
            <w:shd w:val="clear" w:color="000000" w:fill="D9D9D9"/>
            <w:noWrap/>
            <w:vAlign w:val="center"/>
            <w:hideMark/>
          </w:tcPr>
          <w:p w14:paraId="50303EB6" w14:textId="4D8576B7"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3,8</w:t>
            </w:r>
          </w:p>
        </w:tc>
        <w:tc>
          <w:tcPr>
            <w:tcW w:w="680" w:type="dxa"/>
            <w:tcBorders>
              <w:top w:val="nil"/>
              <w:left w:val="nil"/>
              <w:bottom w:val="nil"/>
              <w:right w:val="single" w:sz="8" w:space="0" w:color="FFFFFF"/>
            </w:tcBorders>
            <w:shd w:val="clear" w:color="000000" w:fill="D9D9D9"/>
            <w:noWrap/>
            <w:vAlign w:val="center"/>
            <w:hideMark/>
          </w:tcPr>
          <w:p w14:paraId="65E2B5C4" w14:textId="61D29D4C"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4,4</w:t>
            </w:r>
          </w:p>
        </w:tc>
        <w:tc>
          <w:tcPr>
            <w:tcW w:w="680" w:type="dxa"/>
            <w:tcBorders>
              <w:top w:val="nil"/>
              <w:left w:val="nil"/>
              <w:bottom w:val="nil"/>
              <w:right w:val="single" w:sz="8" w:space="0" w:color="FFFFFF"/>
            </w:tcBorders>
            <w:shd w:val="clear" w:color="000000" w:fill="D9D9D9"/>
            <w:noWrap/>
            <w:vAlign w:val="center"/>
            <w:hideMark/>
          </w:tcPr>
          <w:p w14:paraId="4563FE63" w14:textId="7E067B81"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4,6</w:t>
            </w:r>
          </w:p>
        </w:tc>
        <w:tc>
          <w:tcPr>
            <w:tcW w:w="680" w:type="dxa"/>
            <w:tcBorders>
              <w:top w:val="nil"/>
              <w:left w:val="nil"/>
              <w:bottom w:val="nil"/>
              <w:right w:val="single" w:sz="8" w:space="0" w:color="FFFFFF"/>
            </w:tcBorders>
            <w:shd w:val="clear" w:color="000000" w:fill="D9D9D9"/>
            <w:noWrap/>
            <w:vAlign w:val="center"/>
            <w:hideMark/>
          </w:tcPr>
          <w:p w14:paraId="2823022B" w14:textId="402FD5EE"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4,5</w:t>
            </w:r>
          </w:p>
        </w:tc>
        <w:tc>
          <w:tcPr>
            <w:tcW w:w="186" w:type="dxa"/>
            <w:tcBorders>
              <w:top w:val="nil"/>
              <w:left w:val="nil"/>
              <w:bottom w:val="nil"/>
              <w:right w:val="single" w:sz="8" w:space="0" w:color="FFFFFF"/>
            </w:tcBorders>
            <w:shd w:val="clear" w:color="000000" w:fill="13576B"/>
            <w:noWrap/>
            <w:vAlign w:val="center"/>
            <w:hideMark/>
          </w:tcPr>
          <w:p w14:paraId="6216FC2B" w14:textId="4FE32F5C"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26D4E194" w14:textId="6D7049D8"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4FDEAA14" w14:textId="7E1D4C67"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900" w:type="dxa"/>
            <w:tcBorders>
              <w:top w:val="nil"/>
              <w:left w:val="nil"/>
              <w:bottom w:val="nil"/>
              <w:right w:val="single" w:sz="8" w:space="0" w:color="FFFFFF"/>
            </w:tcBorders>
            <w:shd w:val="clear" w:color="000000" w:fill="D9D9D9"/>
            <w:noWrap/>
            <w:vAlign w:val="center"/>
            <w:hideMark/>
          </w:tcPr>
          <w:p w14:paraId="2C2FADC3" w14:textId="044F6446"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7003E631"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2F5A42D9" w14:textId="7CFFBFCE"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Průměrná nominální mzda (růst v %)</w:t>
            </w:r>
          </w:p>
        </w:tc>
        <w:tc>
          <w:tcPr>
            <w:tcW w:w="680" w:type="dxa"/>
            <w:tcBorders>
              <w:top w:val="nil"/>
              <w:left w:val="nil"/>
              <w:bottom w:val="nil"/>
              <w:right w:val="single" w:sz="8" w:space="0" w:color="FFFFFF"/>
            </w:tcBorders>
            <w:shd w:val="clear" w:color="000000" w:fill="D9D9D9"/>
            <w:noWrap/>
            <w:vAlign w:val="center"/>
            <w:hideMark/>
          </w:tcPr>
          <w:p w14:paraId="34C35D9E" w14:textId="73BD01CF"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7,2</w:t>
            </w:r>
          </w:p>
        </w:tc>
        <w:tc>
          <w:tcPr>
            <w:tcW w:w="680" w:type="dxa"/>
            <w:tcBorders>
              <w:top w:val="nil"/>
              <w:left w:val="nil"/>
              <w:bottom w:val="nil"/>
              <w:right w:val="single" w:sz="8" w:space="0" w:color="FFFFFF"/>
            </w:tcBorders>
            <w:shd w:val="clear" w:color="000000" w:fill="D9D9D9"/>
            <w:noWrap/>
            <w:vAlign w:val="center"/>
            <w:hideMark/>
          </w:tcPr>
          <w:p w14:paraId="45EB479F" w14:textId="2682CEA3"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7,0</w:t>
            </w:r>
          </w:p>
        </w:tc>
        <w:tc>
          <w:tcPr>
            <w:tcW w:w="680" w:type="dxa"/>
            <w:tcBorders>
              <w:top w:val="nil"/>
              <w:left w:val="nil"/>
              <w:bottom w:val="nil"/>
              <w:right w:val="single" w:sz="8" w:space="0" w:color="FFFFFF"/>
            </w:tcBorders>
            <w:shd w:val="clear" w:color="000000" w:fill="D9D9D9"/>
            <w:noWrap/>
            <w:vAlign w:val="center"/>
            <w:hideMark/>
          </w:tcPr>
          <w:p w14:paraId="6E2774B4" w14:textId="007D58CE"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5,8</w:t>
            </w:r>
          </w:p>
        </w:tc>
        <w:tc>
          <w:tcPr>
            <w:tcW w:w="680" w:type="dxa"/>
            <w:tcBorders>
              <w:top w:val="nil"/>
              <w:left w:val="nil"/>
              <w:bottom w:val="nil"/>
              <w:right w:val="single" w:sz="8" w:space="0" w:color="FFFFFF"/>
            </w:tcBorders>
            <w:shd w:val="clear" w:color="000000" w:fill="D9D9D9"/>
            <w:noWrap/>
            <w:vAlign w:val="center"/>
            <w:hideMark/>
          </w:tcPr>
          <w:p w14:paraId="7AB50457" w14:textId="07009BF7"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5,2</w:t>
            </w:r>
          </w:p>
        </w:tc>
        <w:tc>
          <w:tcPr>
            <w:tcW w:w="186" w:type="dxa"/>
            <w:tcBorders>
              <w:top w:val="nil"/>
              <w:left w:val="nil"/>
              <w:bottom w:val="nil"/>
              <w:right w:val="single" w:sz="8" w:space="0" w:color="FFFFFF"/>
            </w:tcBorders>
            <w:shd w:val="clear" w:color="000000" w:fill="13576B"/>
            <w:noWrap/>
            <w:vAlign w:val="center"/>
            <w:hideMark/>
          </w:tcPr>
          <w:p w14:paraId="0D746DA0" w14:textId="76F7313D"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469E5BE1" w14:textId="2FDA8477"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c>
          <w:tcPr>
            <w:tcW w:w="680" w:type="dxa"/>
            <w:tcBorders>
              <w:top w:val="nil"/>
              <w:left w:val="nil"/>
              <w:bottom w:val="nil"/>
              <w:right w:val="single" w:sz="8" w:space="0" w:color="FFFFFF"/>
            </w:tcBorders>
            <w:shd w:val="clear" w:color="000000" w:fill="D9D9D9"/>
            <w:noWrap/>
            <w:vAlign w:val="center"/>
            <w:hideMark/>
          </w:tcPr>
          <w:p w14:paraId="4437AEE4" w14:textId="625D7BEE"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c>
          <w:tcPr>
            <w:tcW w:w="900" w:type="dxa"/>
            <w:tcBorders>
              <w:top w:val="nil"/>
              <w:left w:val="nil"/>
              <w:bottom w:val="nil"/>
              <w:right w:val="single" w:sz="8" w:space="0" w:color="FFFFFF"/>
            </w:tcBorders>
            <w:shd w:val="clear" w:color="000000" w:fill="D9D9D9"/>
            <w:noWrap/>
            <w:vAlign w:val="center"/>
            <w:hideMark/>
          </w:tcPr>
          <w:p w14:paraId="273D26BD" w14:textId="347C1786"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r>
      <w:tr w:rsidR="00CC648C" w:rsidRPr="00CC648C" w14:paraId="6A0E3678" w14:textId="77777777" w:rsidTr="00CC648C">
        <w:trPr>
          <w:trHeight w:val="275"/>
        </w:trPr>
        <w:tc>
          <w:tcPr>
            <w:tcW w:w="5294" w:type="dxa"/>
            <w:tcBorders>
              <w:top w:val="nil"/>
              <w:left w:val="nil"/>
              <w:bottom w:val="single" w:sz="8" w:space="0" w:color="FFFFFF"/>
              <w:right w:val="single" w:sz="8" w:space="0" w:color="FFFFFF"/>
            </w:tcBorders>
            <w:shd w:val="clear" w:color="000000" w:fill="13576B"/>
            <w:vAlign w:val="center"/>
            <w:hideMark/>
          </w:tcPr>
          <w:p w14:paraId="60A2D538" w14:textId="5364558B"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Průměrná reálná mzda (%)</w:t>
            </w:r>
          </w:p>
        </w:tc>
        <w:tc>
          <w:tcPr>
            <w:tcW w:w="680" w:type="dxa"/>
            <w:tcBorders>
              <w:top w:val="nil"/>
              <w:left w:val="nil"/>
              <w:bottom w:val="single" w:sz="8" w:space="0" w:color="FFFFFF"/>
              <w:right w:val="single" w:sz="8" w:space="0" w:color="FFFFFF"/>
            </w:tcBorders>
            <w:shd w:val="clear" w:color="000000" w:fill="D9D9D9"/>
            <w:noWrap/>
            <w:vAlign w:val="center"/>
            <w:hideMark/>
          </w:tcPr>
          <w:p w14:paraId="61DAA314" w14:textId="6C30793E"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4,7</w:t>
            </w:r>
          </w:p>
        </w:tc>
        <w:tc>
          <w:tcPr>
            <w:tcW w:w="680" w:type="dxa"/>
            <w:tcBorders>
              <w:top w:val="nil"/>
              <w:left w:val="nil"/>
              <w:bottom w:val="single" w:sz="8" w:space="0" w:color="FFFFFF"/>
              <w:right w:val="single" w:sz="8" w:space="0" w:color="FFFFFF"/>
            </w:tcBorders>
            <w:shd w:val="clear" w:color="000000" w:fill="D9D9D9"/>
            <w:noWrap/>
            <w:vAlign w:val="center"/>
            <w:hideMark/>
          </w:tcPr>
          <w:p w14:paraId="1BAF1906" w14:textId="40153D2F"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4,4</w:t>
            </w:r>
          </w:p>
        </w:tc>
        <w:tc>
          <w:tcPr>
            <w:tcW w:w="680" w:type="dxa"/>
            <w:tcBorders>
              <w:top w:val="nil"/>
              <w:left w:val="nil"/>
              <w:bottom w:val="single" w:sz="8" w:space="0" w:color="FFFFFF"/>
              <w:right w:val="single" w:sz="8" w:space="0" w:color="FFFFFF"/>
            </w:tcBorders>
            <w:shd w:val="clear" w:color="000000" w:fill="D9D9D9"/>
            <w:noWrap/>
            <w:vAlign w:val="center"/>
            <w:hideMark/>
          </w:tcPr>
          <w:p w14:paraId="275FBE18" w14:textId="67A1340C"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4,0</w:t>
            </w:r>
          </w:p>
        </w:tc>
        <w:tc>
          <w:tcPr>
            <w:tcW w:w="680" w:type="dxa"/>
            <w:tcBorders>
              <w:top w:val="nil"/>
              <w:left w:val="nil"/>
              <w:bottom w:val="single" w:sz="8" w:space="0" w:color="FFFFFF"/>
              <w:right w:val="single" w:sz="8" w:space="0" w:color="FFFFFF"/>
            </w:tcBorders>
            <w:shd w:val="clear" w:color="000000" w:fill="D9D9D9"/>
            <w:noWrap/>
            <w:vAlign w:val="center"/>
            <w:hideMark/>
          </w:tcPr>
          <w:p w14:paraId="1F0C5A10" w14:textId="4CBDCD22"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2,9</w:t>
            </w:r>
          </w:p>
        </w:tc>
        <w:tc>
          <w:tcPr>
            <w:tcW w:w="186" w:type="dxa"/>
            <w:tcBorders>
              <w:top w:val="nil"/>
              <w:left w:val="nil"/>
              <w:bottom w:val="nil"/>
              <w:right w:val="single" w:sz="8" w:space="0" w:color="FFFFFF"/>
            </w:tcBorders>
            <w:shd w:val="clear" w:color="000000" w:fill="13576B"/>
            <w:noWrap/>
            <w:vAlign w:val="center"/>
            <w:hideMark/>
          </w:tcPr>
          <w:p w14:paraId="37E7EC42" w14:textId="70231A1D"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575F6EA6" w14:textId="5FA66210"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c>
          <w:tcPr>
            <w:tcW w:w="680" w:type="dxa"/>
            <w:tcBorders>
              <w:top w:val="nil"/>
              <w:left w:val="nil"/>
              <w:bottom w:val="single" w:sz="8" w:space="0" w:color="FFFFFF"/>
              <w:right w:val="single" w:sz="8" w:space="0" w:color="FFFFFF"/>
            </w:tcBorders>
            <w:shd w:val="clear" w:color="000000" w:fill="D9D9D9"/>
            <w:noWrap/>
            <w:vAlign w:val="center"/>
            <w:hideMark/>
          </w:tcPr>
          <w:p w14:paraId="0324CBDF" w14:textId="43932FFC"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(0,7)</w:t>
            </w:r>
          </w:p>
        </w:tc>
        <w:tc>
          <w:tcPr>
            <w:tcW w:w="900" w:type="dxa"/>
            <w:tcBorders>
              <w:top w:val="nil"/>
              <w:left w:val="nil"/>
              <w:bottom w:val="single" w:sz="8" w:space="0" w:color="FFFFFF"/>
              <w:right w:val="single" w:sz="8" w:space="0" w:color="FFFFFF"/>
            </w:tcBorders>
            <w:shd w:val="clear" w:color="000000" w:fill="D9D9D9"/>
            <w:noWrap/>
            <w:vAlign w:val="center"/>
            <w:hideMark/>
          </w:tcPr>
          <w:p w14:paraId="35ADDD43" w14:textId="46C811E4"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r>
      <w:tr w:rsidR="00CC648C" w:rsidRPr="00CC648C" w14:paraId="041BCF6C"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3E4C965A" w14:textId="6B4777D5"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Vládní deficit/přebytek (% HDP)</w:t>
            </w:r>
          </w:p>
        </w:tc>
        <w:tc>
          <w:tcPr>
            <w:tcW w:w="680" w:type="dxa"/>
            <w:tcBorders>
              <w:top w:val="nil"/>
              <w:left w:val="nil"/>
              <w:bottom w:val="nil"/>
              <w:right w:val="single" w:sz="8" w:space="0" w:color="FFFFFF"/>
            </w:tcBorders>
            <w:shd w:val="clear" w:color="000000" w:fill="D9D9D9"/>
            <w:noWrap/>
            <w:vAlign w:val="center"/>
            <w:hideMark/>
          </w:tcPr>
          <w:p w14:paraId="1B30BEBC" w14:textId="6CA42FFE"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-2,0</w:t>
            </w:r>
          </w:p>
        </w:tc>
        <w:tc>
          <w:tcPr>
            <w:tcW w:w="680" w:type="dxa"/>
            <w:tcBorders>
              <w:top w:val="nil"/>
              <w:left w:val="nil"/>
              <w:bottom w:val="nil"/>
              <w:right w:val="single" w:sz="8" w:space="0" w:color="FFFFFF"/>
            </w:tcBorders>
            <w:shd w:val="clear" w:color="000000" w:fill="D9D9D9"/>
            <w:noWrap/>
            <w:vAlign w:val="center"/>
            <w:hideMark/>
          </w:tcPr>
          <w:p w14:paraId="3811E313" w14:textId="255A347C"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-2,1</w:t>
            </w:r>
          </w:p>
        </w:tc>
        <w:tc>
          <w:tcPr>
            <w:tcW w:w="680" w:type="dxa"/>
            <w:tcBorders>
              <w:top w:val="nil"/>
              <w:left w:val="nil"/>
              <w:bottom w:val="nil"/>
              <w:right w:val="single" w:sz="8" w:space="0" w:color="FFFFFF"/>
            </w:tcBorders>
            <w:shd w:val="clear" w:color="000000" w:fill="D9D9D9"/>
            <w:noWrap/>
            <w:vAlign w:val="center"/>
            <w:hideMark/>
          </w:tcPr>
          <w:p w14:paraId="21413342" w14:textId="5783A761"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-2,9</w:t>
            </w:r>
          </w:p>
        </w:tc>
        <w:tc>
          <w:tcPr>
            <w:tcW w:w="680" w:type="dxa"/>
            <w:tcBorders>
              <w:top w:val="nil"/>
              <w:left w:val="nil"/>
              <w:bottom w:val="nil"/>
              <w:right w:val="single" w:sz="8" w:space="0" w:color="FFFFFF"/>
            </w:tcBorders>
            <w:shd w:val="clear" w:color="000000" w:fill="D9D9D9"/>
            <w:noWrap/>
            <w:vAlign w:val="center"/>
            <w:hideMark/>
          </w:tcPr>
          <w:p w14:paraId="5D583F45" w14:textId="0663A6AF"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-2,6</w:t>
            </w:r>
          </w:p>
        </w:tc>
        <w:tc>
          <w:tcPr>
            <w:tcW w:w="186" w:type="dxa"/>
            <w:tcBorders>
              <w:top w:val="nil"/>
              <w:left w:val="nil"/>
              <w:bottom w:val="nil"/>
              <w:right w:val="single" w:sz="8" w:space="0" w:color="FFFFFF"/>
            </w:tcBorders>
            <w:shd w:val="clear" w:color="000000" w:fill="13576B"/>
            <w:noWrap/>
            <w:vAlign w:val="center"/>
            <w:hideMark/>
          </w:tcPr>
          <w:p w14:paraId="1D80212C" w14:textId="2DDEC266"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57854610" w14:textId="55693355"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2EDDACAE" w14:textId="0895DAE5"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(-0,3)</w:t>
            </w:r>
          </w:p>
        </w:tc>
        <w:tc>
          <w:tcPr>
            <w:tcW w:w="900" w:type="dxa"/>
            <w:tcBorders>
              <w:top w:val="nil"/>
              <w:left w:val="nil"/>
              <w:bottom w:val="nil"/>
              <w:right w:val="single" w:sz="8" w:space="0" w:color="FFFFFF"/>
            </w:tcBorders>
            <w:shd w:val="clear" w:color="000000" w:fill="D9D9D9"/>
            <w:noWrap/>
            <w:vAlign w:val="center"/>
            <w:hideMark/>
          </w:tcPr>
          <w:p w14:paraId="09365306" w14:textId="7E69AD64"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r>
      <w:tr w:rsidR="00CC648C" w:rsidRPr="00CC648C" w14:paraId="053D061C" w14:textId="77777777" w:rsidTr="00CC648C">
        <w:trPr>
          <w:trHeight w:val="275"/>
        </w:trPr>
        <w:tc>
          <w:tcPr>
            <w:tcW w:w="5294" w:type="dxa"/>
            <w:tcBorders>
              <w:top w:val="nil"/>
              <w:left w:val="nil"/>
              <w:bottom w:val="single" w:sz="8" w:space="0" w:color="FFFFFF"/>
              <w:right w:val="single" w:sz="8" w:space="0" w:color="FFFFFF"/>
            </w:tcBorders>
            <w:shd w:val="clear" w:color="000000" w:fill="13576B"/>
            <w:vAlign w:val="center"/>
            <w:hideMark/>
          </w:tcPr>
          <w:p w14:paraId="39F1053A" w14:textId="71073AF3"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 xml:space="preserve">Vládní dluh (% HDP) </w:t>
            </w:r>
          </w:p>
        </w:tc>
        <w:tc>
          <w:tcPr>
            <w:tcW w:w="680" w:type="dxa"/>
            <w:tcBorders>
              <w:top w:val="nil"/>
              <w:left w:val="nil"/>
              <w:bottom w:val="single" w:sz="8" w:space="0" w:color="FFFFFF"/>
              <w:right w:val="single" w:sz="8" w:space="0" w:color="FFFFFF"/>
            </w:tcBorders>
            <w:shd w:val="clear" w:color="000000" w:fill="D9D9D9"/>
            <w:noWrap/>
            <w:vAlign w:val="center"/>
            <w:hideMark/>
          </w:tcPr>
          <w:p w14:paraId="6E62553D" w14:textId="28D51478"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43,3</w:t>
            </w:r>
          </w:p>
        </w:tc>
        <w:tc>
          <w:tcPr>
            <w:tcW w:w="680" w:type="dxa"/>
            <w:tcBorders>
              <w:top w:val="nil"/>
              <w:left w:val="nil"/>
              <w:bottom w:val="single" w:sz="8" w:space="0" w:color="FFFFFF"/>
              <w:right w:val="single" w:sz="8" w:space="0" w:color="FFFFFF"/>
            </w:tcBorders>
            <w:shd w:val="clear" w:color="000000" w:fill="D9D9D9"/>
            <w:noWrap/>
            <w:vAlign w:val="center"/>
            <w:hideMark/>
          </w:tcPr>
          <w:p w14:paraId="4D6CF6D3" w14:textId="5161C721"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43,8</w:t>
            </w:r>
          </w:p>
        </w:tc>
        <w:tc>
          <w:tcPr>
            <w:tcW w:w="680" w:type="dxa"/>
            <w:tcBorders>
              <w:top w:val="nil"/>
              <w:left w:val="nil"/>
              <w:bottom w:val="single" w:sz="8" w:space="0" w:color="FFFFFF"/>
              <w:right w:val="single" w:sz="8" w:space="0" w:color="FFFFFF"/>
            </w:tcBorders>
            <w:shd w:val="clear" w:color="000000" w:fill="D9D9D9"/>
            <w:noWrap/>
            <w:vAlign w:val="center"/>
            <w:hideMark/>
          </w:tcPr>
          <w:p w14:paraId="6845EB9E" w14:textId="238F7387"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44,9</w:t>
            </w:r>
          </w:p>
        </w:tc>
        <w:tc>
          <w:tcPr>
            <w:tcW w:w="680" w:type="dxa"/>
            <w:tcBorders>
              <w:top w:val="nil"/>
              <w:left w:val="nil"/>
              <w:bottom w:val="single" w:sz="8" w:space="0" w:color="FFFFFF"/>
              <w:right w:val="single" w:sz="8" w:space="0" w:color="FFFFFF"/>
            </w:tcBorders>
            <w:shd w:val="clear" w:color="000000" w:fill="D9D9D9"/>
            <w:noWrap/>
            <w:vAlign w:val="center"/>
            <w:hideMark/>
          </w:tcPr>
          <w:p w14:paraId="5D6D0CF9" w14:textId="7A131F90"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45,7</w:t>
            </w:r>
          </w:p>
        </w:tc>
        <w:tc>
          <w:tcPr>
            <w:tcW w:w="186" w:type="dxa"/>
            <w:tcBorders>
              <w:top w:val="nil"/>
              <w:left w:val="nil"/>
              <w:bottom w:val="nil"/>
              <w:right w:val="single" w:sz="8" w:space="0" w:color="FFFFFF"/>
            </w:tcBorders>
            <w:shd w:val="clear" w:color="000000" w:fill="13576B"/>
            <w:noWrap/>
            <w:vAlign w:val="center"/>
            <w:hideMark/>
          </w:tcPr>
          <w:p w14:paraId="3B97A0F9" w14:textId="2F72216E"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4307353E" w14:textId="6F3F8D1A"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c>
          <w:tcPr>
            <w:tcW w:w="680" w:type="dxa"/>
            <w:tcBorders>
              <w:top w:val="nil"/>
              <w:left w:val="nil"/>
              <w:bottom w:val="single" w:sz="8" w:space="0" w:color="FFFFFF"/>
              <w:right w:val="single" w:sz="8" w:space="0" w:color="FFFFFF"/>
            </w:tcBorders>
            <w:shd w:val="clear" w:color="000000" w:fill="D9D9D9"/>
            <w:noWrap/>
            <w:vAlign w:val="center"/>
            <w:hideMark/>
          </w:tcPr>
          <w:p w14:paraId="06925BA0" w14:textId="67AA8A78"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(0,4)</w:t>
            </w:r>
          </w:p>
        </w:tc>
        <w:tc>
          <w:tcPr>
            <w:tcW w:w="900" w:type="dxa"/>
            <w:tcBorders>
              <w:top w:val="nil"/>
              <w:left w:val="nil"/>
              <w:bottom w:val="single" w:sz="8" w:space="0" w:color="FFFFFF"/>
              <w:right w:val="single" w:sz="8" w:space="0" w:color="FFFFFF"/>
            </w:tcBorders>
            <w:shd w:val="clear" w:color="000000" w:fill="D9D9D9"/>
            <w:noWrap/>
            <w:vAlign w:val="center"/>
            <w:hideMark/>
          </w:tcPr>
          <w:p w14:paraId="37D1C345" w14:textId="4DBC97B8"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(0,7)</w:t>
            </w:r>
          </w:p>
        </w:tc>
      </w:tr>
      <w:tr w:rsidR="00CC648C" w:rsidRPr="00CC648C" w14:paraId="4E1C68D8"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1120240F" w14:textId="646C2D44"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 xml:space="preserve">Základní sazba ČNB </w:t>
            </w:r>
            <w:proofErr w:type="gramStart"/>
            <w:r>
              <w:rPr>
                <w:rFonts w:ascii="Calibri Light" w:hAnsi="Calibri Light" w:cs="Calibri Light"/>
                <w:b/>
                <w:bCs/>
                <w:color w:val="FFFFFF"/>
                <w:sz w:val="20"/>
              </w:rPr>
              <w:t>2T</w:t>
            </w:r>
            <w:proofErr w:type="gramEnd"/>
            <w:r>
              <w:rPr>
                <w:rFonts w:ascii="Calibri Light" w:hAnsi="Calibri Light" w:cs="Calibri Light"/>
                <w:b/>
                <w:bCs/>
                <w:color w:val="FFFFFF"/>
                <w:sz w:val="20"/>
              </w:rPr>
              <w:t xml:space="preserve"> REPO (%): konec období</w:t>
            </w:r>
          </w:p>
        </w:tc>
        <w:tc>
          <w:tcPr>
            <w:tcW w:w="680" w:type="dxa"/>
            <w:tcBorders>
              <w:top w:val="nil"/>
              <w:left w:val="nil"/>
              <w:bottom w:val="nil"/>
              <w:right w:val="single" w:sz="8" w:space="0" w:color="FFFFFF"/>
            </w:tcBorders>
            <w:shd w:val="clear" w:color="000000" w:fill="D9D9D9"/>
            <w:noWrap/>
            <w:vAlign w:val="center"/>
            <w:hideMark/>
          </w:tcPr>
          <w:p w14:paraId="19141CA8" w14:textId="27C595ED"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7,00</w:t>
            </w:r>
          </w:p>
        </w:tc>
        <w:tc>
          <w:tcPr>
            <w:tcW w:w="680" w:type="dxa"/>
            <w:tcBorders>
              <w:top w:val="nil"/>
              <w:left w:val="nil"/>
              <w:bottom w:val="nil"/>
              <w:right w:val="single" w:sz="8" w:space="0" w:color="FFFFFF"/>
            </w:tcBorders>
            <w:shd w:val="clear" w:color="000000" w:fill="D9D9D9"/>
            <w:noWrap/>
            <w:vAlign w:val="center"/>
            <w:hideMark/>
          </w:tcPr>
          <w:p w14:paraId="339C1E44" w14:textId="6D8B50AB"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3,50</w:t>
            </w:r>
          </w:p>
        </w:tc>
        <w:tc>
          <w:tcPr>
            <w:tcW w:w="680" w:type="dxa"/>
            <w:tcBorders>
              <w:top w:val="nil"/>
              <w:left w:val="nil"/>
              <w:bottom w:val="nil"/>
              <w:right w:val="single" w:sz="8" w:space="0" w:color="FFFFFF"/>
            </w:tcBorders>
            <w:shd w:val="clear" w:color="000000" w:fill="D9D9D9"/>
            <w:noWrap/>
            <w:vAlign w:val="center"/>
            <w:hideMark/>
          </w:tcPr>
          <w:p w14:paraId="0741EA41" w14:textId="3D67D386"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3,50</w:t>
            </w:r>
          </w:p>
        </w:tc>
        <w:tc>
          <w:tcPr>
            <w:tcW w:w="680" w:type="dxa"/>
            <w:tcBorders>
              <w:top w:val="nil"/>
              <w:left w:val="nil"/>
              <w:bottom w:val="nil"/>
              <w:right w:val="single" w:sz="8" w:space="0" w:color="FFFFFF"/>
            </w:tcBorders>
            <w:shd w:val="clear" w:color="000000" w:fill="D9D9D9"/>
            <w:noWrap/>
            <w:vAlign w:val="center"/>
            <w:hideMark/>
          </w:tcPr>
          <w:p w14:paraId="06C46109" w14:textId="24497A65"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3,50</w:t>
            </w:r>
          </w:p>
        </w:tc>
        <w:tc>
          <w:tcPr>
            <w:tcW w:w="186" w:type="dxa"/>
            <w:tcBorders>
              <w:top w:val="nil"/>
              <w:left w:val="nil"/>
              <w:bottom w:val="nil"/>
              <w:right w:val="single" w:sz="8" w:space="0" w:color="FFFFFF"/>
            </w:tcBorders>
            <w:shd w:val="clear" w:color="000000" w:fill="13576B"/>
            <w:noWrap/>
            <w:vAlign w:val="center"/>
            <w:hideMark/>
          </w:tcPr>
          <w:p w14:paraId="36CB4A32" w14:textId="5BA5098A"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2FEA3549" w14:textId="735B615C"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470AF22F" w14:textId="5431EF65"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900" w:type="dxa"/>
            <w:tcBorders>
              <w:top w:val="nil"/>
              <w:left w:val="nil"/>
              <w:bottom w:val="nil"/>
              <w:right w:val="single" w:sz="8" w:space="0" w:color="FFFFFF"/>
            </w:tcBorders>
            <w:shd w:val="clear" w:color="000000" w:fill="D9D9D9"/>
            <w:noWrap/>
            <w:vAlign w:val="center"/>
            <w:hideMark/>
          </w:tcPr>
          <w:p w14:paraId="09F9C58D" w14:textId="64F10ADC"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23D2D4B8"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32EF1045" w14:textId="7900F1C0"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3M-PRIBOR (%): průměr</w:t>
            </w:r>
          </w:p>
        </w:tc>
        <w:tc>
          <w:tcPr>
            <w:tcW w:w="680" w:type="dxa"/>
            <w:tcBorders>
              <w:top w:val="nil"/>
              <w:left w:val="nil"/>
              <w:bottom w:val="nil"/>
              <w:right w:val="single" w:sz="8" w:space="0" w:color="FFFFFF"/>
            </w:tcBorders>
            <w:shd w:val="clear" w:color="000000" w:fill="D9D9D9"/>
            <w:noWrap/>
            <w:vAlign w:val="center"/>
            <w:hideMark/>
          </w:tcPr>
          <w:p w14:paraId="184FECD4" w14:textId="2F714A86"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5,0</w:t>
            </w:r>
          </w:p>
        </w:tc>
        <w:tc>
          <w:tcPr>
            <w:tcW w:w="680" w:type="dxa"/>
            <w:tcBorders>
              <w:top w:val="nil"/>
              <w:left w:val="nil"/>
              <w:bottom w:val="nil"/>
              <w:right w:val="single" w:sz="8" w:space="0" w:color="FFFFFF"/>
            </w:tcBorders>
            <w:shd w:val="clear" w:color="000000" w:fill="D9D9D9"/>
            <w:noWrap/>
            <w:vAlign w:val="center"/>
            <w:hideMark/>
          </w:tcPr>
          <w:p w14:paraId="4D3D389D" w14:textId="71820130"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3,6</w:t>
            </w:r>
          </w:p>
        </w:tc>
        <w:tc>
          <w:tcPr>
            <w:tcW w:w="680" w:type="dxa"/>
            <w:tcBorders>
              <w:top w:val="nil"/>
              <w:left w:val="nil"/>
              <w:bottom w:val="nil"/>
              <w:right w:val="single" w:sz="8" w:space="0" w:color="FFFFFF"/>
            </w:tcBorders>
            <w:shd w:val="clear" w:color="000000" w:fill="D9D9D9"/>
            <w:noWrap/>
            <w:vAlign w:val="center"/>
            <w:hideMark/>
          </w:tcPr>
          <w:p w14:paraId="40B1B055" w14:textId="45668B3B"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3,5</w:t>
            </w:r>
          </w:p>
        </w:tc>
        <w:tc>
          <w:tcPr>
            <w:tcW w:w="680" w:type="dxa"/>
            <w:tcBorders>
              <w:top w:val="nil"/>
              <w:left w:val="nil"/>
              <w:bottom w:val="nil"/>
              <w:right w:val="single" w:sz="8" w:space="0" w:color="FFFFFF"/>
            </w:tcBorders>
            <w:shd w:val="clear" w:color="000000" w:fill="D9D9D9"/>
            <w:noWrap/>
            <w:vAlign w:val="center"/>
            <w:hideMark/>
          </w:tcPr>
          <w:p w14:paraId="7BC689C9" w14:textId="1077E995"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3,6</w:t>
            </w:r>
          </w:p>
        </w:tc>
        <w:tc>
          <w:tcPr>
            <w:tcW w:w="186" w:type="dxa"/>
            <w:tcBorders>
              <w:top w:val="nil"/>
              <w:left w:val="nil"/>
              <w:bottom w:val="nil"/>
              <w:right w:val="single" w:sz="8" w:space="0" w:color="FFFFFF"/>
            </w:tcBorders>
            <w:shd w:val="clear" w:color="000000" w:fill="13576B"/>
            <w:noWrap/>
            <w:vAlign w:val="center"/>
            <w:hideMark/>
          </w:tcPr>
          <w:p w14:paraId="0AA0ED38" w14:textId="74497C8A"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5AB920EF" w14:textId="08CCE28B"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0B315562" w14:textId="37C8DA29"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900" w:type="dxa"/>
            <w:tcBorders>
              <w:top w:val="nil"/>
              <w:left w:val="nil"/>
              <w:bottom w:val="nil"/>
              <w:right w:val="single" w:sz="8" w:space="0" w:color="FFFFFF"/>
            </w:tcBorders>
            <w:shd w:val="clear" w:color="000000" w:fill="D9D9D9"/>
            <w:noWrap/>
            <w:vAlign w:val="center"/>
            <w:hideMark/>
          </w:tcPr>
          <w:p w14:paraId="7EA53AEF" w14:textId="7B2F7315"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501353A7"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6A374DEA" w14:textId="61A5253A"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Výnos 10letého vládního dluhopisu (%): průměr</w:t>
            </w:r>
          </w:p>
        </w:tc>
        <w:tc>
          <w:tcPr>
            <w:tcW w:w="680" w:type="dxa"/>
            <w:tcBorders>
              <w:top w:val="nil"/>
              <w:left w:val="nil"/>
              <w:bottom w:val="nil"/>
              <w:right w:val="single" w:sz="8" w:space="0" w:color="FFFFFF"/>
            </w:tcBorders>
            <w:shd w:val="clear" w:color="000000" w:fill="D9D9D9"/>
            <w:noWrap/>
            <w:vAlign w:val="center"/>
            <w:hideMark/>
          </w:tcPr>
          <w:p w14:paraId="66B4F740" w14:textId="5870F4AF"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4,0</w:t>
            </w:r>
          </w:p>
        </w:tc>
        <w:tc>
          <w:tcPr>
            <w:tcW w:w="680" w:type="dxa"/>
            <w:tcBorders>
              <w:top w:val="nil"/>
              <w:left w:val="nil"/>
              <w:bottom w:val="nil"/>
              <w:right w:val="single" w:sz="8" w:space="0" w:color="FFFFFF"/>
            </w:tcBorders>
            <w:shd w:val="clear" w:color="000000" w:fill="D9D9D9"/>
            <w:noWrap/>
            <w:vAlign w:val="center"/>
            <w:hideMark/>
          </w:tcPr>
          <w:p w14:paraId="477E4C02" w14:textId="270B02A3"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4,3</w:t>
            </w:r>
          </w:p>
        </w:tc>
        <w:tc>
          <w:tcPr>
            <w:tcW w:w="680" w:type="dxa"/>
            <w:tcBorders>
              <w:top w:val="nil"/>
              <w:left w:val="nil"/>
              <w:bottom w:val="nil"/>
              <w:right w:val="single" w:sz="8" w:space="0" w:color="FFFFFF"/>
            </w:tcBorders>
            <w:shd w:val="clear" w:color="000000" w:fill="D9D9D9"/>
            <w:noWrap/>
            <w:vAlign w:val="center"/>
            <w:hideMark/>
          </w:tcPr>
          <w:p w14:paraId="5336C8EF" w14:textId="43C712BA"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4,4</w:t>
            </w:r>
          </w:p>
        </w:tc>
        <w:tc>
          <w:tcPr>
            <w:tcW w:w="680" w:type="dxa"/>
            <w:tcBorders>
              <w:top w:val="nil"/>
              <w:left w:val="nil"/>
              <w:bottom w:val="nil"/>
              <w:right w:val="single" w:sz="8" w:space="0" w:color="FFFFFF"/>
            </w:tcBorders>
            <w:shd w:val="clear" w:color="000000" w:fill="D9D9D9"/>
            <w:noWrap/>
            <w:vAlign w:val="center"/>
            <w:hideMark/>
          </w:tcPr>
          <w:p w14:paraId="77C75B5A" w14:textId="1FB03EF1"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4,3</w:t>
            </w:r>
          </w:p>
        </w:tc>
        <w:tc>
          <w:tcPr>
            <w:tcW w:w="186" w:type="dxa"/>
            <w:tcBorders>
              <w:top w:val="nil"/>
              <w:left w:val="nil"/>
              <w:bottom w:val="nil"/>
              <w:right w:val="single" w:sz="8" w:space="0" w:color="FFFFFF"/>
            </w:tcBorders>
            <w:shd w:val="clear" w:color="000000" w:fill="13576B"/>
            <w:noWrap/>
            <w:vAlign w:val="center"/>
            <w:hideMark/>
          </w:tcPr>
          <w:p w14:paraId="3608866E" w14:textId="7FEA4BB0"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0019F1D2" w14:textId="2EF6AE30"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7E5EC02E" w14:textId="38491372"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(0,02)</w:t>
            </w:r>
          </w:p>
        </w:tc>
        <w:tc>
          <w:tcPr>
            <w:tcW w:w="900" w:type="dxa"/>
            <w:tcBorders>
              <w:top w:val="nil"/>
              <w:left w:val="nil"/>
              <w:bottom w:val="nil"/>
              <w:right w:val="single" w:sz="8" w:space="0" w:color="FFFFFF"/>
            </w:tcBorders>
            <w:shd w:val="clear" w:color="000000" w:fill="D9D9D9"/>
            <w:noWrap/>
            <w:vAlign w:val="center"/>
            <w:hideMark/>
          </w:tcPr>
          <w:p w14:paraId="13FF9C13" w14:textId="34481648"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2D1FA8C0" w14:textId="77777777" w:rsidTr="00CC648C">
        <w:trPr>
          <w:trHeight w:val="275"/>
        </w:trPr>
        <w:tc>
          <w:tcPr>
            <w:tcW w:w="5294" w:type="dxa"/>
            <w:tcBorders>
              <w:top w:val="nil"/>
              <w:left w:val="nil"/>
              <w:bottom w:val="single" w:sz="8" w:space="0" w:color="FFFFFF"/>
              <w:right w:val="single" w:sz="8" w:space="0" w:color="FFFFFF"/>
            </w:tcBorders>
            <w:shd w:val="clear" w:color="000000" w:fill="13576B"/>
            <w:vAlign w:val="center"/>
            <w:hideMark/>
          </w:tcPr>
          <w:p w14:paraId="107D03D7" w14:textId="240EE298"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Refinanční sazba ECB (%): konec období</w:t>
            </w:r>
          </w:p>
        </w:tc>
        <w:tc>
          <w:tcPr>
            <w:tcW w:w="680" w:type="dxa"/>
            <w:tcBorders>
              <w:top w:val="nil"/>
              <w:left w:val="nil"/>
              <w:bottom w:val="single" w:sz="8" w:space="0" w:color="FFFFFF"/>
              <w:right w:val="single" w:sz="8" w:space="0" w:color="FFFFFF"/>
            </w:tcBorders>
            <w:shd w:val="clear" w:color="000000" w:fill="D9D9D9"/>
            <w:noWrap/>
            <w:vAlign w:val="center"/>
            <w:hideMark/>
          </w:tcPr>
          <w:p w14:paraId="2708FE3D" w14:textId="29E631D7"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4,50</w:t>
            </w:r>
          </w:p>
        </w:tc>
        <w:tc>
          <w:tcPr>
            <w:tcW w:w="680" w:type="dxa"/>
            <w:tcBorders>
              <w:top w:val="nil"/>
              <w:left w:val="nil"/>
              <w:bottom w:val="single" w:sz="8" w:space="0" w:color="FFFFFF"/>
              <w:right w:val="single" w:sz="8" w:space="0" w:color="FFFFFF"/>
            </w:tcBorders>
            <w:shd w:val="clear" w:color="000000" w:fill="D9D9D9"/>
            <w:noWrap/>
            <w:vAlign w:val="center"/>
            <w:hideMark/>
          </w:tcPr>
          <w:p w14:paraId="1F0E274E" w14:textId="104DAF1E"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2,15</w:t>
            </w:r>
          </w:p>
        </w:tc>
        <w:tc>
          <w:tcPr>
            <w:tcW w:w="680" w:type="dxa"/>
            <w:tcBorders>
              <w:top w:val="nil"/>
              <w:left w:val="nil"/>
              <w:bottom w:val="single" w:sz="8" w:space="0" w:color="FFFFFF"/>
              <w:right w:val="single" w:sz="8" w:space="0" w:color="FFFFFF"/>
            </w:tcBorders>
            <w:shd w:val="clear" w:color="000000" w:fill="D9D9D9"/>
            <w:noWrap/>
            <w:vAlign w:val="center"/>
            <w:hideMark/>
          </w:tcPr>
          <w:p w14:paraId="7D069733" w14:textId="372E3795"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2,15</w:t>
            </w:r>
          </w:p>
        </w:tc>
        <w:tc>
          <w:tcPr>
            <w:tcW w:w="680" w:type="dxa"/>
            <w:tcBorders>
              <w:top w:val="nil"/>
              <w:left w:val="nil"/>
              <w:bottom w:val="single" w:sz="8" w:space="0" w:color="FFFFFF"/>
              <w:right w:val="single" w:sz="8" w:space="0" w:color="FFFFFF"/>
            </w:tcBorders>
            <w:shd w:val="clear" w:color="000000" w:fill="D9D9D9"/>
            <w:noWrap/>
            <w:vAlign w:val="center"/>
            <w:hideMark/>
          </w:tcPr>
          <w:p w14:paraId="00E384C1" w14:textId="2704EC60"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2,15</w:t>
            </w:r>
          </w:p>
        </w:tc>
        <w:tc>
          <w:tcPr>
            <w:tcW w:w="186" w:type="dxa"/>
            <w:tcBorders>
              <w:top w:val="nil"/>
              <w:left w:val="nil"/>
              <w:bottom w:val="nil"/>
              <w:right w:val="single" w:sz="8" w:space="0" w:color="FFFFFF"/>
            </w:tcBorders>
            <w:shd w:val="clear" w:color="000000" w:fill="13576B"/>
            <w:noWrap/>
            <w:vAlign w:val="center"/>
            <w:hideMark/>
          </w:tcPr>
          <w:p w14:paraId="33689217" w14:textId="56707FC7"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4DB95C1D" w14:textId="7D760569"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680" w:type="dxa"/>
            <w:tcBorders>
              <w:top w:val="nil"/>
              <w:left w:val="nil"/>
              <w:bottom w:val="single" w:sz="8" w:space="0" w:color="FFFFFF"/>
              <w:right w:val="single" w:sz="8" w:space="0" w:color="FFFFFF"/>
            </w:tcBorders>
            <w:shd w:val="clear" w:color="000000" w:fill="D9D9D9"/>
            <w:noWrap/>
            <w:vAlign w:val="center"/>
            <w:hideMark/>
          </w:tcPr>
          <w:p w14:paraId="5B0FAF1F" w14:textId="14943AB0"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900" w:type="dxa"/>
            <w:tcBorders>
              <w:top w:val="nil"/>
              <w:left w:val="nil"/>
              <w:bottom w:val="single" w:sz="8" w:space="0" w:color="FFFFFF"/>
              <w:right w:val="single" w:sz="8" w:space="0" w:color="FFFFFF"/>
            </w:tcBorders>
            <w:shd w:val="clear" w:color="000000" w:fill="D9D9D9"/>
            <w:noWrap/>
            <w:vAlign w:val="center"/>
            <w:hideMark/>
          </w:tcPr>
          <w:p w14:paraId="03BE0DAF" w14:textId="24DAE815"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4F302142"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32998DBD" w14:textId="73E5444A"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Kurz CZK/EUR: průměr</w:t>
            </w:r>
          </w:p>
        </w:tc>
        <w:tc>
          <w:tcPr>
            <w:tcW w:w="680" w:type="dxa"/>
            <w:tcBorders>
              <w:top w:val="nil"/>
              <w:left w:val="nil"/>
              <w:bottom w:val="nil"/>
              <w:right w:val="single" w:sz="8" w:space="0" w:color="FFFFFF"/>
            </w:tcBorders>
            <w:shd w:val="clear" w:color="000000" w:fill="D9D9D9"/>
            <w:noWrap/>
            <w:vAlign w:val="center"/>
            <w:hideMark/>
          </w:tcPr>
          <w:p w14:paraId="47DF6A25" w14:textId="04541E09"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25,1</w:t>
            </w:r>
          </w:p>
        </w:tc>
        <w:tc>
          <w:tcPr>
            <w:tcW w:w="680" w:type="dxa"/>
            <w:tcBorders>
              <w:top w:val="nil"/>
              <w:left w:val="nil"/>
              <w:bottom w:val="nil"/>
              <w:right w:val="single" w:sz="8" w:space="0" w:color="FFFFFF"/>
            </w:tcBorders>
            <w:shd w:val="clear" w:color="000000" w:fill="D9D9D9"/>
            <w:noWrap/>
            <w:vAlign w:val="center"/>
            <w:hideMark/>
          </w:tcPr>
          <w:p w14:paraId="60F7E927" w14:textId="68A4AAE4"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24,7</w:t>
            </w:r>
          </w:p>
        </w:tc>
        <w:tc>
          <w:tcPr>
            <w:tcW w:w="680" w:type="dxa"/>
            <w:tcBorders>
              <w:top w:val="nil"/>
              <w:left w:val="nil"/>
              <w:bottom w:val="nil"/>
              <w:right w:val="single" w:sz="8" w:space="0" w:color="FFFFFF"/>
            </w:tcBorders>
            <w:shd w:val="clear" w:color="000000" w:fill="D9D9D9"/>
            <w:noWrap/>
            <w:vAlign w:val="center"/>
            <w:hideMark/>
          </w:tcPr>
          <w:p w14:paraId="21B86399" w14:textId="09D75AAE"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24,2</w:t>
            </w:r>
          </w:p>
        </w:tc>
        <w:tc>
          <w:tcPr>
            <w:tcW w:w="680" w:type="dxa"/>
            <w:tcBorders>
              <w:top w:val="nil"/>
              <w:left w:val="nil"/>
              <w:bottom w:val="nil"/>
              <w:right w:val="single" w:sz="8" w:space="0" w:color="FFFFFF"/>
            </w:tcBorders>
            <w:shd w:val="clear" w:color="000000" w:fill="D9D9D9"/>
            <w:noWrap/>
            <w:vAlign w:val="center"/>
            <w:hideMark/>
          </w:tcPr>
          <w:p w14:paraId="39D1A3AC" w14:textId="18119F23"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24,1</w:t>
            </w:r>
          </w:p>
        </w:tc>
        <w:tc>
          <w:tcPr>
            <w:tcW w:w="186" w:type="dxa"/>
            <w:tcBorders>
              <w:top w:val="nil"/>
              <w:left w:val="nil"/>
              <w:bottom w:val="nil"/>
              <w:right w:val="single" w:sz="8" w:space="0" w:color="FFFFFF"/>
            </w:tcBorders>
            <w:shd w:val="clear" w:color="000000" w:fill="13576B"/>
            <w:noWrap/>
            <w:vAlign w:val="center"/>
            <w:hideMark/>
          </w:tcPr>
          <w:p w14:paraId="3A80D514" w14:textId="25647777"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7B7B20B3" w14:textId="4F50FB3C"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3DA27B53" w14:textId="05106AD2"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c>
          <w:tcPr>
            <w:tcW w:w="900" w:type="dxa"/>
            <w:tcBorders>
              <w:top w:val="nil"/>
              <w:left w:val="nil"/>
              <w:bottom w:val="nil"/>
              <w:right w:val="single" w:sz="8" w:space="0" w:color="FFFFFF"/>
            </w:tcBorders>
            <w:shd w:val="clear" w:color="000000" w:fill="D9D9D9"/>
            <w:noWrap/>
            <w:vAlign w:val="center"/>
            <w:hideMark/>
          </w:tcPr>
          <w:p w14:paraId="1D61E237" w14:textId="384F77C5"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7213F95A" w14:textId="77777777" w:rsidTr="00CC648C">
        <w:trPr>
          <w:trHeight w:val="275"/>
        </w:trPr>
        <w:tc>
          <w:tcPr>
            <w:tcW w:w="5294" w:type="dxa"/>
            <w:tcBorders>
              <w:top w:val="nil"/>
              <w:left w:val="nil"/>
              <w:bottom w:val="single" w:sz="8" w:space="0" w:color="FFFFFF"/>
              <w:right w:val="single" w:sz="8" w:space="0" w:color="FFFFFF"/>
            </w:tcBorders>
            <w:shd w:val="clear" w:color="000000" w:fill="13576B"/>
            <w:vAlign w:val="center"/>
            <w:hideMark/>
          </w:tcPr>
          <w:p w14:paraId="0478D38C" w14:textId="6D8F9CD0"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Kurz CZK/EUR: konec roku</w:t>
            </w:r>
          </w:p>
        </w:tc>
        <w:tc>
          <w:tcPr>
            <w:tcW w:w="680" w:type="dxa"/>
            <w:tcBorders>
              <w:top w:val="nil"/>
              <w:left w:val="nil"/>
              <w:bottom w:val="single" w:sz="8" w:space="0" w:color="FFFFFF"/>
              <w:right w:val="single" w:sz="8" w:space="0" w:color="FFFFFF"/>
            </w:tcBorders>
            <w:shd w:val="clear" w:color="000000" w:fill="D9D9D9"/>
            <w:noWrap/>
            <w:vAlign w:val="center"/>
            <w:hideMark/>
          </w:tcPr>
          <w:p w14:paraId="2A584AEC" w14:textId="77435A6E"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25,2</w:t>
            </w:r>
          </w:p>
        </w:tc>
        <w:tc>
          <w:tcPr>
            <w:tcW w:w="680" w:type="dxa"/>
            <w:tcBorders>
              <w:top w:val="nil"/>
              <w:left w:val="nil"/>
              <w:bottom w:val="single" w:sz="8" w:space="0" w:color="FFFFFF"/>
              <w:right w:val="single" w:sz="8" w:space="0" w:color="FFFFFF"/>
            </w:tcBorders>
            <w:shd w:val="clear" w:color="000000" w:fill="D9D9D9"/>
            <w:noWrap/>
            <w:vAlign w:val="center"/>
            <w:hideMark/>
          </w:tcPr>
          <w:p w14:paraId="183F07E5" w14:textId="59ACE5C2"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24,2</w:t>
            </w:r>
          </w:p>
        </w:tc>
        <w:tc>
          <w:tcPr>
            <w:tcW w:w="680" w:type="dxa"/>
            <w:tcBorders>
              <w:top w:val="nil"/>
              <w:left w:val="nil"/>
              <w:bottom w:val="single" w:sz="8" w:space="0" w:color="FFFFFF"/>
              <w:right w:val="single" w:sz="8" w:space="0" w:color="FFFFFF"/>
            </w:tcBorders>
            <w:shd w:val="clear" w:color="000000" w:fill="D9D9D9"/>
            <w:noWrap/>
            <w:vAlign w:val="center"/>
            <w:hideMark/>
          </w:tcPr>
          <w:p w14:paraId="451E8C98" w14:textId="1CD5EAF6"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24,1</w:t>
            </w:r>
          </w:p>
        </w:tc>
        <w:tc>
          <w:tcPr>
            <w:tcW w:w="680" w:type="dxa"/>
            <w:tcBorders>
              <w:top w:val="nil"/>
              <w:left w:val="nil"/>
              <w:bottom w:val="single" w:sz="8" w:space="0" w:color="FFFFFF"/>
              <w:right w:val="single" w:sz="8" w:space="0" w:color="FFFFFF"/>
            </w:tcBorders>
            <w:shd w:val="clear" w:color="000000" w:fill="D9D9D9"/>
            <w:noWrap/>
            <w:vAlign w:val="center"/>
            <w:hideMark/>
          </w:tcPr>
          <w:p w14:paraId="40048A18" w14:textId="7FC97430"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23,9</w:t>
            </w:r>
          </w:p>
        </w:tc>
        <w:tc>
          <w:tcPr>
            <w:tcW w:w="186" w:type="dxa"/>
            <w:tcBorders>
              <w:top w:val="nil"/>
              <w:left w:val="nil"/>
              <w:bottom w:val="nil"/>
              <w:right w:val="single" w:sz="8" w:space="0" w:color="FFFFFF"/>
            </w:tcBorders>
            <w:shd w:val="clear" w:color="000000" w:fill="13576B"/>
            <w:noWrap/>
            <w:vAlign w:val="center"/>
            <w:hideMark/>
          </w:tcPr>
          <w:p w14:paraId="0932A39F" w14:textId="0CD64339"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76BBC9A0" w14:textId="5D1AD66E"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c>
          <w:tcPr>
            <w:tcW w:w="680" w:type="dxa"/>
            <w:tcBorders>
              <w:top w:val="nil"/>
              <w:left w:val="nil"/>
              <w:bottom w:val="single" w:sz="8" w:space="0" w:color="FFFFFF"/>
              <w:right w:val="single" w:sz="8" w:space="0" w:color="FFFFFF"/>
            </w:tcBorders>
            <w:shd w:val="clear" w:color="000000" w:fill="D9D9D9"/>
            <w:noWrap/>
            <w:vAlign w:val="center"/>
            <w:hideMark/>
          </w:tcPr>
          <w:p w14:paraId="1D32E82D" w14:textId="656A1B28"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c>
          <w:tcPr>
            <w:tcW w:w="900" w:type="dxa"/>
            <w:tcBorders>
              <w:top w:val="nil"/>
              <w:left w:val="nil"/>
              <w:bottom w:val="single" w:sz="8" w:space="0" w:color="FFFFFF"/>
              <w:right w:val="single" w:sz="8" w:space="0" w:color="FFFFFF"/>
            </w:tcBorders>
            <w:shd w:val="clear" w:color="000000" w:fill="D9D9D9"/>
            <w:noWrap/>
            <w:vAlign w:val="center"/>
            <w:hideMark/>
          </w:tcPr>
          <w:p w14:paraId="4501D34D" w14:textId="5C6F0913"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r>
      <w:tr w:rsidR="00CC648C" w:rsidRPr="00CC648C" w14:paraId="58C53C07" w14:textId="77777777" w:rsidTr="00CC648C">
        <w:trPr>
          <w:trHeight w:val="275"/>
        </w:trPr>
        <w:tc>
          <w:tcPr>
            <w:tcW w:w="5294" w:type="dxa"/>
            <w:tcBorders>
              <w:top w:val="nil"/>
              <w:left w:val="single" w:sz="8" w:space="0" w:color="FFFFFF"/>
              <w:bottom w:val="nil"/>
              <w:right w:val="single" w:sz="8" w:space="0" w:color="FFFFFF"/>
            </w:tcBorders>
            <w:shd w:val="clear" w:color="000000" w:fill="13576B"/>
            <w:vAlign w:val="center"/>
            <w:hideMark/>
          </w:tcPr>
          <w:p w14:paraId="0351DD5F" w14:textId="084443E3"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Růst reálného HDP v eurozóně (%)</w:t>
            </w:r>
          </w:p>
        </w:tc>
        <w:tc>
          <w:tcPr>
            <w:tcW w:w="680" w:type="dxa"/>
            <w:tcBorders>
              <w:top w:val="nil"/>
              <w:left w:val="nil"/>
              <w:bottom w:val="nil"/>
              <w:right w:val="single" w:sz="8" w:space="0" w:color="FFFFFF"/>
            </w:tcBorders>
            <w:shd w:val="clear" w:color="000000" w:fill="D9D9D9"/>
            <w:noWrap/>
            <w:vAlign w:val="center"/>
            <w:hideMark/>
          </w:tcPr>
          <w:p w14:paraId="76A639BC" w14:textId="4D2BE526"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0,8</w:t>
            </w:r>
          </w:p>
        </w:tc>
        <w:tc>
          <w:tcPr>
            <w:tcW w:w="680" w:type="dxa"/>
            <w:tcBorders>
              <w:top w:val="nil"/>
              <w:left w:val="nil"/>
              <w:bottom w:val="nil"/>
              <w:right w:val="single" w:sz="8" w:space="0" w:color="FFFFFF"/>
            </w:tcBorders>
            <w:shd w:val="clear" w:color="000000" w:fill="D9D9D9"/>
            <w:noWrap/>
            <w:vAlign w:val="center"/>
            <w:hideMark/>
          </w:tcPr>
          <w:p w14:paraId="6201D24A" w14:textId="0E0B8099"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1,4</w:t>
            </w:r>
          </w:p>
        </w:tc>
        <w:tc>
          <w:tcPr>
            <w:tcW w:w="680" w:type="dxa"/>
            <w:tcBorders>
              <w:top w:val="nil"/>
              <w:left w:val="nil"/>
              <w:bottom w:val="nil"/>
              <w:right w:val="single" w:sz="8" w:space="0" w:color="FFFFFF"/>
            </w:tcBorders>
            <w:shd w:val="clear" w:color="000000" w:fill="D9D9D9"/>
            <w:noWrap/>
            <w:vAlign w:val="center"/>
            <w:hideMark/>
          </w:tcPr>
          <w:p w14:paraId="7AED4E80" w14:textId="44AA96EA"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1,2</w:t>
            </w:r>
          </w:p>
        </w:tc>
        <w:tc>
          <w:tcPr>
            <w:tcW w:w="680" w:type="dxa"/>
            <w:tcBorders>
              <w:top w:val="nil"/>
              <w:left w:val="nil"/>
              <w:bottom w:val="nil"/>
              <w:right w:val="single" w:sz="8" w:space="0" w:color="FFFFFF"/>
            </w:tcBorders>
            <w:shd w:val="clear" w:color="000000" w:fill="D9D9D9"/>
            <w:noWrap/>
            <w:vAlign w:val="center"/>
            <w:hideMark/>
          </w:tcPr>
          <w:p w14:paraId="7CE97ABC" w14:textId="5EAE4B1A"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1,5</w:t>
            </w:r>
          </w:p>
        </w:tc>
        <w:tc>
          <w:tcPr>
            <w:tcW w:w="186" w:type="dxa"/>
            <w:tcBorders>
              <w:top w:val="nil"/>
              <w:left w:val="nil"/>
              <w:bottom w:val="nil"/>
              <w:right w:val="single" w:sz="8" w:space="0" w:color="FFFFFF"/>
            </w:tcBorders>
            <w:shd w:val="clear" w:color="000000" w:fill="13576B"/>
            <w:noWrap/>
            <w:vAlign w:val="center"/>
            <w:hideMark/>
          </w:tcPr>
          <w:p w14:paraId="2416706A" w14:textId="6AC6CE40"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0BE35E90" w14:textId="1A2195F1"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c>
          <w:tcPr>
            <w:tcW w:w="680" w:type="dxa"/>
            <w:tcBorders>
              <w:top w:val="nil"/>
              <w:left w:val="nil"/>
              <w:bottom w:val="nil"/>
              <w:right w:val="single" w:sz="8" w:space="0" w:color="FFFFFF"/>
            </w:tcBorders>
            <w:shd w:val="clear" w:color="000000" w:fill="D9D9D9"/>
            <w:noWrap/>
            <w:vAlign w:val="center"/>
            <w:hideMark/>
          </w:tcPr>
          <w:p w14:paraId="2CAF7BCD" w14:textId="39257A90"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c>
          <w:tcPr>
            <w:tcW w:w="900" w:type="dxa"/>
            <w:tcBorders>
              <w:top w:val="nil"/>
              <w:left w:val="nil"/>
              <w:bottom w:val="nil"/>
              <w:right w:val="single" w:sz="8" w:space="0" w:color="FFFFFF"/>
            </w:tcBorders>
            <w:shd w:val="clear" w:color="000000" w:fill="D9D9D9"/>
            <w:noWrap/>
            <w:vAlign w:val="center"/>
            <w:hideMark/>
          </w:tcPr>
          <w:p w14:paraId="632D37DE" w14:textId="22CC0551"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r>
      <w:tr w:rsidR="00CC648C" w:rsidRPr="00CC648C" w14:paraId="54895916" w14:textId="77777777" w:rsidTr="00CC648C">
        <w:trPr>
          <w:trHeight w:val="275"/>
        </w:trPr>
        <w:tc>
          <w:tcPr>
            <w:tcW w:w="5294" w:type="dxa"/>
            <w:tcBorders>
              <w:top w:val="nil"/>
              <w:left w:val="nil"/>
              <w:bottom w:val="single" w:sz="8" w:space="0" w:color="FFFFFF"/>
              <w:right w:val="single" w:sz="8" w:space="0" w:color="FFFFFF"/>
            </w:tcBorders>
            <w:shd w:val="clear" w:color="000000" w:fill="13576B"/>
            <w:vAlign w:val="center"/>
            <w:hideMark/>
          </w:tcPr>
          <w:p w14:paraId="219CC677" w14:textId="512D4B54"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Ceny ropy (USD za barel): brent průměr</w:t>
            </w:r>
          </w:p>
        </w:tc>
        <w:tc>
          <w:tcPr>
            <w:tcW w:w="680" w:type="dxa"/>
            <w:tcBorders>
              <w:top w:val="nil"/>
              <w:left w:val="nil"/>
              <w:bottom w:val="single" w:sz="8" w:space="0" w:color="FFFFFF"/>
              <w:right w:val="single" w:sz="8" w:space="0" w:color="FFFFFF"/>
            </w:tcBorders>
            <w:shd w:val="clear" w:color="000000" w:fill="D9D9D9"/>
            <w:noWrap/>
            <w:vAlign w:val="center"/>
            <w:hideMark/>
          </w:tcPr>
          <w:p w14:paraId="1676889E" w14:textId="5DB2F309"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80</w:t>
            </w:r>
          </w:p>
        </w:tc>
        <w:tc>
          <w:tcPr>
            <w:tcW w:w="680" w:type="dxa"/>
            <w:tcBorders>
              <w:top w:val="nil"/>
              <w:left w:val="nil"/>
              <w:bottom w:val="single" w:sz="8" w:space="0" w:color="FFFFFF"/>
              <w:right w:val="single" w:sz="8" w:space="0" w:color="FFFFFF"/>
            </w:tcBorders>
            <w:shd w:val="clear" w:color="000000" w:fill="D9D9D9"/>
            <w:noWrap/>
            <w:vAlign w:val="center"/>
            <w:hideMark/>
          </w:tcPr>
          <w:p w14:paraId="5C63D084" w14:textId="0B4DE0D3"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69</w:t>
            </w:r>
          </w:p>
        </w:tc>
        <w:tc>
          <w:tcPr>
            <w:tcW w:w="680" w:type="dxa"/>
            <w:tcBorders>
              <w:top w:val="nil"/>
              <w:left w:val="nil"/>
              <w:bottom w:val="single" w:sz="8" w:space="0" w:color="FFFFFF"/>
              <w:right w:val="single" w:sz="8" w:space="0" w:color="FFFFFF"/>
            </w:tcBorders>
            <w:shd w:val="clear" w:color="000000" w:fill="D9D9D9"/>
            <w:noWrap/>
            <w:vAlign w:val="center"/>
            <w:hideMark/>
          </w:tcPr>
          <w:p w14:paraId="7C433DDA" w14:textId="0C8BF149"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64</w:t>
            </w:r>
          </w:p>
        </w:tc>
        <w:tc>
          <w:tcPr>
            <w:tcW w:w="680" w:type="dxa"/>
            <w:tcBorders>
              <w:top w:val="nil"/>
              <w:left w:val="nil"/>
              <w:bottom w:val="single" w:sz="8" w:space="0" w:color="FFFFFF"/>
              <w:right w:val="single" w:sz="8" w:space="0" w:color="FFFFFF"/>
            </w:tcBorders>
            <w:shd w:val="clear" w:color="000000" w:fill="D9D9D9"/>
            <w:noWrap/>
            <w:vAlign w:val="center"/>
            <w:hideMark/>
          </w:tcPr>
          <w:p w14:paraId="3AA8D599" w14:textId="6EC2B891"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65</w:t>
            </w:r>
          </w:p>
        </w:tc>
        <w:tc>
          <w:tcPr>
            <w:tcW w:w="186" w:type="dxa"/>
            <w:tcBorders>
              <w:top w:val="nil"/>
              <w:left w:val="nil"/>
              <w:bottom w:val="nil"/>
              <w:right w:val="single" w:sz="8" w:space="0" w:color="FFFFFF"/>
            </w:tcBorders>
            <w:shd w:val="clear" w:color="000000" w:fill="13576B"/>
            <w:noWrap/>
            <w:vAlign w:val="center"/>
            <w:hideMark/>
          </w:tcPr>
          <w:p w14:paraId="7A171CBB" w14:textId="1A8DC841"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63B61D14" w14:textId="04F47929"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(0,3)</w:t>
            </w:r>
          </w:p>
        </w:tc>
        <w:tc>
          <w:tcPr>
            <w:tcW w:w="680" w:type="dxa"/>
            <w:tcBorders>
              <w:top w:val="nil"/>
              <w:left w:val="nil"/>
              <w:bottom w:val="single" w:sz="8" w:space="0" w:color="FFFFFF"/>
              <w:right w:val="single" w:sz="8" w:space="0" w:color="FFFFFF"/>
            </w:tcBorders>
            <w:shd w:val="clear" w:color="000000" w:fill="D9D9D9"/>
            <w:noWrap/>
            <w:vAlign w:val="center"/>
            <w:hideMark/>
          </w:tcPr>
          <w:p w14:paraId="5C867EE0" w14:textId="65D860D8"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(-0,1)</w:t>
            </w:r>
          </w:p>
        </w:tc>
        <w:tc>
          <w:tcPr>
            <w:tcW w:w="900" w:type="dxa"/>
            <w:tcBorders>
              <w:top w:val="nil"/>
              <w:left w:val="nil"/>
              <w:bottom w:val="single" w:sz="8" w:space="0" w:color="FFFFFF"/>
              <w:right w:val="single" w:sz="8" w:space="0" w:color="FFFFFF"/>
            </w:tcBorders>
            <w:shd w:val="clear" w:color="000000" w:fill="D9D9D9"/>
            <w:noWrap/>
            <w:vAlign w:val="center"/>
            <w:hideMark/>
          </w:tcPr>
          <w:p w14:paraId="2EBE45D2" w14:textId="0AC3D065"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3C598355"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342B8BFE" w14:textId="4B08A85E"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Růst bankovních úvěrů klientských (%)</w:t>
            </w:r>
          </w:p>
        </w:tc>
        <w:tc>
          <w:tcPr>
            <w:tcW w:w="680" w:type="dxa"/>
            <w:tcBorders>
              <w:top w:val="nil"/>
              <w:left w:val="nil"/>
              <w:bottom w:val="nil"/>
              <w:right w:val="single" w:sz="8" w:space="0" w:color="FFFFFF"/>
            </w:tcBorders>
            <w:shd w:val="clear" w:color="000000" w:fill="D9D9D9"/>
            <w:noWrap/>
            <w:vAlign w:val="center"/>
            <w:hideMark/>
          </w:tcPr>
          <w:p w14:paraId="05A65170" w14:textId="1C99706F"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6,1</w:t>
            </w:r>
          </w:p>
        </w:tc>
        <w:tc>
          <w:tcPr>
            <w:tcW w:w="680" w:type="dxa"/>
            <w:tcBorders>
              <w:top w:val="nil"/>
              <w:left w:val="nil"/>
              <w:bottom w:val="nil"/>
              <w:right w:val="single" w:sz="8" w:space="0" w:color="FFFFFF"/>
            </w:tcBorders>
            <w:shd w:val="clear" w:color="000000" w:fill="D9D9D9"/>
            <w:noWrap/>
            <w:vAlign w:val="center"/>
            <w:hideMark/>
          </w:tcPr>
          <w:p w14:paraId="588EF813" w14:textId="1D52275C"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5,8</w:t>
            </w:r>
          </w:p>
        </w:tc>
        <w:tc>
          <w:tcPr>
            <w:tcW w:w="680" w:type="dxa"/>
            <w:tcBorders>
              <w:top w:val="nil"/>
              <w:left w:val="nil"/>
              <w:bottom w:val="nil"/>
              <w:right w:val="single" w:sz="8" w:space="0" w:color="FFFFFF"/>
            </w:tcBorders>
            <w:shd w:val="clear" w:color="000000" w:fill="D9D9D9"/>
            <w:noWrap/>
            <w:vAlign w:val="center"/>
            <w:hideMark/>
          </w:tcPr>
          <w:p w14:paraId="7FCFC831" w14:textId="2AAF6FA1"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6,4</w:t>
            </w:r>
          </w:p>
        </w:tc>
        <w:tc>
          <w:tcPr>
            <w:tcW w:w="680" w:type="dxa"/>
            <w:tcBorders>
              <w:top w:val="nil"/>
              <w:left w:val="nil"/>
              <w:bottom w:val="nil"/>
              <w:right w:val="single" w:sz="8" w:space="0" w:color="FFFFFF"/>
            </w:tcBorders>
            <w:shd w:val="clear" w:color="000000" w:fill="D9D9D9"/>
            <w:noWrap/>
            <w:vAlign w:val="center"/>
            <w:hideMark/>
          </w:tcPr>
          <w:p w14:paraId="613FF117" w14:textId="4BF9BC58"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5,9</w:t>
            </w:r>
          </w:p>
        </w:tc>
        <w:tc>
          <w:tcPr>
            <w:tcW w:w="186" w:type="dxa"/>
            <w:tcBorders>
              <w:top w:val="nil"/>
              <w:left w:val="nil"/>
              <w:bottom w:val="nil"/>
              <w:right w:val="single" w:sz="8" w:space="0" w:color="FFFFFF"/>
            </w:tcBorders>
            <w:shd w:val="clear" w:color="000000" w:fill="13576B"/>
            <w:noWrap/>
            <w:vAlign w:val="center"/>
            <w:hideMark/>
          </w:tcPr>
          <w:p w14:paraId="6D10F1C5" w14:textId="1EFC93AA"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3E17FA6B" w14:textId="1BF4596C"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680" w:type="dxa"/>
            <w:tcBorders>
              <w:top w:val="nil"/>
              <w:left w:val="nil"/>
              <w:bottom w:val="nil"/>
              <w:right w:val="single" w:sz="8" w:space="0" w:color="FFFFFF"/>
            </w:tcBorders>
            <w:shd w:val="clear" w:color="000000" w:fill="D9D9D9"/>
            <w:noWrap/>
            <w:vAlign w:val="center"/>
            <w:hideMark/>
          </w:tcPr>
          <w:p w14:paraId="38EEAB6B" w14:textId="7D599771"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(0,4)</w:t>
            </w:r>
          </w:p>
        </w:tc>
        <w:tc>
          <w:tcPr>
            <w:tcW w:w="900" w:type="dxa"/>
            <w:tcBorders>
              <w:top w:val="nil"/>
              <w:left w:val="nil"/>
              <w:bottom w:val="nil"/>
              <w:right w:val="single" w:sz="8" w:space="0" w:color="FFFFFF"/>
            </w:tcBorders>
            <w:shd w:val="clear" w:color="000000" w:fill="D9D9D9"/>
            <w:noWrap/>
            <w:vAlign w:val="center"/>
            <w:hideMark/>
          </w:tcPr>
          <w:p w14:paraId="37330BD4" w14:textId="1E6E3AEF"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r>
      <w:tr w:rsidR="00CC648C" w:rsidRPr="00CC648C" w14:paraId="43AE0589"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51101A03" w14:textId="3B6011A0"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Růst bankovních úvěrů domácnostem (%)</w:t>
            </w:r>
          </w:p>
        </w:tc>
        <w:tc>
          <w:tcPr>
            <w:tcW w:w="680" w:type="dxa"/>
            <w:tcBorders>
              <w:top w:val="nil"/>
              <w:left w:val="nil"/>
              <w:bottom w:val="nil"/>
              <w:right w:val="single" w:sz="8" w:space="0" w:color="FFFFFF"/>
            </w:tcBorders>
            <w:shd w:val="clear" w:color="000000" w:fill="D9D9D9"/>
            <w:noWrap/>
            <w:vAlign w:val="center"/>
            <w:hideMark/>
          </w:tcPr>
          <w:p w14:paraId="71C2BF87" w14:textId="2AC1BFAD"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4,9</w:t>
            </w:r>
          </w:p>
        </w:tc>
        <w:tc>
          <w:tcPr>
            <w:tcW w:w="680" w:type="dxa"/>
            <w:tcBorders>
              <w:top w:val="nil"/>
              <w:left w:val="nil"/>
              <w:bottom w:val="nil"/>
              <w:right w:val="single" w:sz="8" w:space="0" w:color="FFFFFF"/>
            </w:tcBorders>
            <w:shd w:val="clear" w:color="000000" w:fill="D9D9D9"/>
            <w:noWrap/>
            <w:vAlign w:val="center"/>
            <w:hideMark/>
          </w:tcPr>
          <w:p w14:paraId="573A8119" w14:textId="56729A3B"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7,2</w:t>
            </w:r>
          </w:p>
        </w:tc>
        <w:tc>
          <w:tcPr>
            <w:tcW w:w="680" w:type="dxa"/>
            <w:tcBorders>
              <w:top w:val="nil"/>
              <w:left w:val="nil"/>
              <w:bottom w:val="nil"/>
              <w:right w:val="single" w:sz="8" w:space="0" w:color="FFFFFF"/>
            </w:tcBorders>
            <w:shd w:val="clear" w:color="000000" w:fill="D9D9D9"/>
            <w:noWrap/>
            <w:vAlign w:val="center"/>
            <w:hideMark/>
          </w:tcPr>
          <w:p w14:paraId="7A777B03" w14:textId="0BE5C65D"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7,2</w:t>
            </w:r>
          </w:p>
        </w:tc>
        <w:tc>
          <w:tcPr>
            <w:tcW w:w="680" w:type="dxa"/>
            <w:tcBorders>
              <w:top w:val="nil"/>
              <w:left w:val="nil"/>
              <w:bottom w:val="nil"/>
              <w:right w:val="single" w:sz="8" w:space="0" w:color="FFFFFF"/>
            </w:tcBorders>
            <w:shd w:val="clear" w:color="000000" w:fill="D9D9D9"/>
            <w:noWrap/>
            <w:vAlign w:val="center"/>
            <w:hideMark/>
          </w:tcPr>
          <w:p w14:paraId="54B7279C" w14:textId="1DB77B90"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6,6</w:t>
            </w:r>
          </w:p>
        </w:tc>
        <w:tc>
          <w:tcPr>
            <w:tcW w:w="186" w:type="dxa"/>
            <w:tcBorders>
              <w:top w:val="nil"/>
              <w:left w:val="nil"/>
              <w:bottom w:val="nil"/>
              <w:right w:val="single" w:sz="8" w:space="0" w:color="FFFFFF"/>
            </w:tcBorders>
            <w:shd w:val="clear" w:color="000000" w:fill="13576B"/>
            <w:noWrap/>
            <w:vAlign w:val="center"/>
            <w:hideMark/>
          </w:tcPr>
          <w:p w14:paraId="11777FE4" w14:textId="21B8FF00"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3071F6BE" w14:textId="214FD24E"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(0,4)</w:t>
            </w:r>
          </w:p>
        </w:tc>
        <w:tc>
          <w:tcPr>
            <w:tcW w:w="680" w:type="dxa"/>
            <w:tcBorders>
              <w:top w:val="nil"/>
              <w:left w:val="nil"/>
              <w:bottom w:val="nil"/>
              <w:right w:val="single" w:sz="8" w:space="0" w:color="FFFFFF"/>
            </w:tcBorders>
            <w:shd w:val="clear" w:color="000000" w:fill="D9D9D9"/>
            <w:noWrap/>
            <w:vAlign w:val="center"/>
            <w:hideMark/>
          </w:tcPr>
          <w:p w14:paraId="1F13913F" w14:textId="56F104E7"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c>
          <w:tcPr>
            <w:tcW w:w="900" w:type="dxa"/>
            <w:tcBorders>
              <w:top w:val="nil"/>
              <w:left w:val="nil"/>
              <w:bottom w:val="nil"/>
              <w:right w:val="single" w:sz="8" w:space="0" w:color="FFFFFF"/>
            </w:tcBorders>
            <w:shd w:val="clear" w:color="000000" w:fill="D9D9D9"/>
            <w:noWrap/>
            <w:vAlign w:val="center"/>
            <w:hideMark/>
          </w:tcPr>
          <w:p w14:paraId="4CB7D688" w14:textId="39AC1BD6"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(0,2)</w:t>
            </w:r>
          </w:p>
        </w:tc>
      </w:tr>
      <w:tr w:rsidR="00CC648C" w:rsidRPr="00CC648C" w14:paraId="65E257AE" w14:textId="77777777" w:rsidTr="00CC648C">
        <w:trPr>
          <w:trHeight w:val="275"/>
        </w:trPr>
        <w:tc>
          <w:tcPr>
            <w:tcW w:w="5294" w:type="dxa"/>
            <w:tcBorders>
              <w:top w:val="nil"/>
              <w:left w:val="nil"/>
              <w:bottom w:val="nil"/>
              <w:right w:val="single" w:sz="8" w:space="0" w:color="FFFFFF"/>
            </w:tcBorders>
            <w:shd w:val="clear" w:color="000000" w:fill="13576B"/>
            <w:vAlign w:val="center"/>
            <w:hideMark/>
          </w:tcPr>
          <w:p w14:paraId="0617225A" w14:textId="1E9563C6"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Růst bankovních úvěrů (nefinančním) podnikům (%)</w:t>
            </w:r>
          </w:p>
        </w:tc>
        <w:tc>
          <w:tcPr>
            <w:tcW w:w="680" w:type="dxa"/>
            <w:tcBorders>
              <w:top w:val="nil"/>
              <w:left w:val="nil"/>
              <w:bottom w:val="nil"/>
              <w:right w:val="single" w:sz="8" w:space="0" w:color="FFFFFF"/>
            </w:tcBorders>
            <w:shd w:val="clear" w:color="000000" w:fill="D9D9D9"/>
            <w:noWrap/>
            <w:vAlign w:val="center"/>
            <w:hideMark/>
          </w:tcPr>
          <w:p w14:paraId="408D9868" w14:textId="70EDC391"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7,6</w:t>
            </w:r>
          </w:p>
        </w:tc>
        <w:tc>
          <w:tcPr>
            <w:tcW w:w="680" w:type="dxa"/>
            <w:tcBorders>
              <w:top w:val="nil"/>
              <w:left w:val="nil"/>
              <w:bottom w:val="nil"/>
              <w:right w:val="single" w:sz="8" w:space="0" w:color="FFFFFF"/>
            </w:tcBorders>
            <w:shd w:val="clear" w:color="000000" w:fill="D9D9D9"/>
            <w:noWrap/>
            <w:vAlign w:val="center"/>
            <w:hideMark/>
          </w:tcPr>
          <w:p w14:paraId="131CB316" w14:textId="4E2740D5"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4,0</w:t>
            </w:r>
          </w:p>
        </w:tc>
        <w:tc>
          <w:tcPr>
            <w:tcW w:w="680" w:type="dxa"/>
            <w:tcBorders>
              <w:top w:val="nil"/>
              <w:left w:val="nil"/>
              <w:bottom w:val="nil"/>
              <w:right w:val="single" w:sz="8" w:space="0" w:color="FFFFFF"/>
            </w:tcBorders>
            <w:shd w:val="clear" w:color="000000" w:fill="D9D9D9"/>
            <w:noWrap/>
            <w:vAlign w:val="center"/>
            <w:hideMark/>
          </w:tcPr>
          <w:p w14:paraId="4F0F1CA5" w14:textId="354F1689"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5,2</w:t>
            </w:r>
          </w:p>
        </w:tc>
        <w:tc>
          <w:tcPr>
            <w:tcW w:w="680" w:type="dxa"/>
            <w:tcBorders>
              <w:top w:val="nil"/>
              <w:left w:val="nil"/>
              <w:bottom w:val="nil"/>
              <w:right w:val="single" w:sz="8" w:space="0" w:color="FFFFFF"/>
            </w:tcBorders>
            <w:shd w:val="clear" w:color="000000" w:fill="D9D9D9"/>
            <w:noWrap/>
            <w:vAlign w:val="center"/>
            <w:hideMark/>
          </w:tcPr>
          <w:p w14:paraId="11CAD4FD" w14:textId="124E7D5D"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5,4</w:t>
            </w:r>
          </w:p>
        </w:tc>
        <w:tc>
          <w:tcPr>
            <w:tcW w:w="186" w:type="dxa"/>
            <w:tcBorders>
              <w:top w:val="nil"/>
              <w:left w:val="nil"/>
              <w:bottom w:val="nil"/>
              <w:right w:val="single" w:sz="8" w:space="0" w:color="FFFFFF"/>
            </w:tcBorders>
            <w:shd w:val="clear" w:color="000000" w:fill="13576B"/>
            <w:noWrap/>
            <w:vAlign w:val="center"/>
            <w:hideMark/>
          </w:tcPr>
          <w:p w14:paraId="2D59A8BB" w14:textId="00998D14"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nil"/>
              <w:right w:val="single" w:sz="8" w:space="0" w:color="FFFFFF"/>
            </w:tcBorders>
            <w:shd w:val="clear" w:color="000000" w:fill="D9D9D9"/>
            <w:noWrap/>
            <w:vAlign w:val="center"/>
            <w:hideMark/>
          </w:tcPr>
          <w:p w14:paraId="63AAD7F6" w14:textId="4ECED43A"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(-0,5)</w:t>
            </w:r>
          </w:p>
        </w:tc>
        <w:tc>
          <w:tcPr>
            <w:tcW w:w="680" w:type="dxa"/>
            <w:tcBorders>
              <w:top w:val="nil"/>
              <w:left w:val="nil"/>
              <w:bottom w:val="nil"/>
              <w:right w:val="single" w:sz="8" w:space="0" w:color="FFFFFF"/>
            </w:tcBorders>
            <w:shd w:val="clear" w:color="000000" w:fill="D9D9D9"/>
            <w:noWrap/>
            <w:vAlign w:val="center"/>
            <w:hideMark/>
          </w:tcPr>
          <w:p w14:paraId="2C2BE3E4" w14:textId="66068427"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(0,4)</w:t>
            </w:r>
          </w:p>
        </w:tc>
        <w:tc>
          <w:tcPr>
            <w:tcW w:w="900" w:type="dxa"/>
            <w:tcBorders>
              <w:top w:val="nil"/>
              <w:left w:val="nil"/>
              <w:bottom w:val="nil"/>
              <w:right w:val="single" w:sz="8" w:space="0" w:color="FFFFFF"/>
            </w:tcBorders>
            <w:shd w:val="clear" w:color="000000" w:fill="D9D9D9"/>
            <w:noWrap/>
            <w:vAlign w:val="center"/>
            <w:hideMark/>
          </w:tcPr>
          <w:p w14:paraId="2AD26E68" w14:textId="23952A30"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r w:rsidR="00CC648C" w:rsidRPr="00CC648C" w14:paraId="110E3AEA" w14:textId="77777777" w:rsidTr="00CC648C">
        <w:trPr>
          <w:trHeight w:val="275"/>
        </w:trPr>
        <w:tc>
          <w:tcPr>
            <w:tcW w:w="5294" w:type="dxa"/>
            <w:tcBorders>
              <w:top w:val="nil"/>
              <w:left w:val="single" w:sz="8" w:space="0" w:color="FFFFFF"/>
              <w:bottom w:val="single" w:sz="8" w:space="0" w:color="FFFFFF"/>
              <w:right w:val="single" w:sz="8" w:space="0" w:color="FFFFFF"/>
            </w:tcBorders>
            <w:shd w:val="clear" w:color="000000" w:fill="13576B"/>
            <w:vAlign w:val="center"/>
            <w:hideMark/>
          </w:tcPr>
          <w:p w14:paraId="374AAE7D" w14:textId="4B507175" w:rsidR="00CC648C" w:rsidRPr="00CC648C" w:rsidRDefault="00CC648C" w:rsidP="00CC648C">
            <w:pPr>
              <w:overflowPunct/>
              <w:autoSpaceDE/>
              <w:autoSpaceDN/>
              <w:adjustRightInd/>
              <w:jc w:val="left"/>
              <w:textAlignment w:val="auto"/>
              <w:rPr>
                <w:rFonts w:ascii="Calibri Light" w:hAnsi="Calibri Light" w:cs="Calibri Light"/>
                <w:b/>
                <w:bCs/>
                <w:color w:val="FFFFFF"/>
                <w:sz w:val="20"/>
              </w:rPr>
            </w:pPr>
            <w:r>
              <w:rPr>
                <w:rFonts w:ascii="Calibri Light" w:hAnsi="Calibri Light" w:cs="Calibri Light"/>
                <w:b/>
                <w:bCs/>
                <w:color w:val="FFFFFF"/>
                <w:sz w:val="20"/>
              </w:rPr>
              <w:t>Růst bankovních vkladů klientských celkem (%)</w:t>
            </w:r>
          </w:p>
        </w:tc>
        <w:tc>
          <w:tcPr>
            <w:tcW w:w="680" w:type="dxa"/>
            <w:tcBorders>
              <w:top w:val="nil"/>
              <w:left w:val="nil"/>
              <w:bottom w:val="single" w:sz="8" w:space="0" w:color="FFFFFF"/>
              <w:right w:val="single" w:sz="8" w:space="0" w:color="FFFFFF"/>
            </w:tcBorders>
            <w:shd w:val="clear" w:color="000000" w:fill="D9D9D9"/>
            <w:noWrap/>
            <w:vAlign w:val="center"/>
            <w:hideMark/>
          </w:tcPr>
          <w:p w14:paraId="4714CA0D" w14:textId="4A28ECF4" w:rsidR="00CC648C" w:rsidRPr="00CC648C" w:rsidRDefault="00CC648C" w:rsidP="00CC648C">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7,4</w:t>
            </w:r>
          </w:p>
        </w:tc>
        <w:tc>
          <w:tcPr>
            <w:tcW w:w="680" w:type="dxa"/>
            <w:tcBorders>
              <w:top w:val="nil"/>
              <w:left w:val="nil"/>
              <w:bottom w:val="single" w:sz="8" w:space="0" w:color="FFFFFF"/>
              <w:right w:val="single" w:sz="8" w:space="0" w:color="FFFFFF"/>
            </w:tcBorders>
            <w:shd w:val="clear" w:color="000000" w:fill="D9D9D9"/>
            <w:noWrap/>
            <w:vAlign w:val="center"/>
            <w:hideMark/>
          </w:tcPr>
          <w:p w14:paraId="039829FF" w14:textId="573A4233"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13576B"/>
                <w:sz w:val="20"/>
              </w:rPr>
              <w:t>4,4</w:t>
            </w:r>
          </w:p>
        </w:tc>
        <w:tc>
          <w:tcPr>
            <w:tcW w:w="680" w:type="dxa"/>
            <w:tcBorders>
              <w:top w:val="nil"/>
              <w:left w:val="nil"/>
              <w:bottom w:val="single" w:sz="8" w:space="0" w:color="FFFFFF"/>
              <w:right w:val="single" w:sz="8" w:space="0" w:color="FFFFFF"/>
            </w:tcBorders>
            <w:shd w:val="clear" w:color="000000" w:fill="D9D9D9"/>
            <w:noWrap/>
            <w:vAlign w:val="center"/>
            <w:hideMark/>
          </w:tcPr>
          <w:p w14:paraId="7F8FC3DF" w14:textId="39178710"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4,9</w:t>
            </w:r>
          </w:p>
        </w:tc>
        <w:tc>
          <w:tcPr>
            <w:tcW w:w="680" w:type="dxa"/>
            <w:tcBorders>
              <w:top w:val="nil"/>
              <w:left w:val="nil"/>
              <w:bottom w:val="single" w:sz="8" w:space="0" w:color="FFFFFF"/>
              <w:right w:val="single" w:sz="8" w:space="0" w:color="FFFFFF"/>
            </w:tcBorders>
            <w:shd w:val="clear" w:color="000000" w:fill="D9D9D9"/>
            <w:noWrap/>
            <w:vAlign w:val="center"/>
            <w:hideMark/>
          </w:tcPr>
          <w:p w14:paraId="495A309B" w14:textId="1E3939D3"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5,0</w:t>
            </w:r>
          </w:p>
        </w:tc>
        <w:tc>
          <w:tcPr>
            <w:tcW w:w="186" w:type="dxa"/>
            <w:tcBorders>
              <w:top w:val="nil"/>
              <w:left w:val="nil"/>
              <w:bottom w:val="single" w:sz="8" w:space="0" w:color="FFFFFF"/>
              <w:right w:val="single" w:sz="8" w:space="0" w:color="FFFFFF"/>
            </w:tcBorders>
            <w:shd w:val="clear" w:color="000000" w:fill="13576B"/>
            <w:noWrap/>
            <w:vAlign w:val="center"/>
            <w:hideMark/>
          </w:tcPr>
          <w:p w14:paraId="2407880C" w14:textId="129069AD" w:rsidR="00CC648C" w:rsidRPr="00CC648C" w:rsidRDefault="00CC648C" w:rsidP="00CC648C">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 </w:t>
            </w:r>
          </w:p>
        </w:tc>
        <w:tc>
          <w:tcPr>
            <w:tcW w:w="720" w:type="dxa"/>
            <w:tcBorders>
              <w:top w:val="nil"/>
              <w:left w:val="nil"/>
              <w:bottom w:val="single" w:sz="8" w:space="0" w:color="FFFFFF"/>
              <w:right w:val="single" w:sz="8" w:space="0" w:color="FFFFFF"/>
            </w:tcBorders>
            <w:shd w:val="clear" w:color="000000" w:fill="D9D9D9"/>
            <w:noWrap/>
            <w:vAlign w:val="center"/>
            <w:hideMark/>
          </w:tcPr>
          <w:p w14:paraId="4FFAF0C0" w14:textId="3D4FC13D"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680" w:type="dxa"/>
            <w:tcBorders>
              <w:top w:val="nil"/>
              <w:left w:val="nil"/>
              <w:bottom w:val="single" w:sz="8" w:space="0" w:color="FFFFFF"/>
              <w:right w:val="single" w:sz="8" w:space="0" w:color="FFFFFF"/>
            </w:tcBorders>
            <w:shd w:val="clear" w:color="000000" w:fill="D9D9D9"/>
            <w:noWrap/>
            <w:vAlign w:val="center"/>
            <w:hideMark/>
          </w:tcPr>
          <w:p w14:paraId="68F2DF06" w14:textId="364789CC"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c>
          <w:tcPr>
            <w:tcW w:w="900" w:type="dxa"/>
            <w:tcBorders>
              <w:top w:val="nil"/>
              <w:left w:val="nil"/>
              <w:bottom w:val="single" w:sz="8" w:space="0" w:color="FFFFFF"/>
              <w:right w:val="single" w:sz="8" w:space="0" w:color="FFFFFF"/>
            </w:tcBorders>
            <w:shd w:val="clear" w:color="000000" w:fill="D9D9D9"/>
            <w:noWrap/>
            <w:vAlign w:val="center"/>
            <w:hideMark/>
          </w:tcPr>
          <w:p w14:paraId="4862CAE3" w14:textId="12032220" w:rsidR="00CC648C" w:rsidRPr="00CC648C" w:rsidRDefault="00CC648C" w:rsidP="00CC648C">
            <w:pPr>
              <w:overflowPunct/>
              <w:autoSpaceDE/>
              <w:autoSpaceDN/>
              <w:adjustRightInd/>
              <w:jc w:val="center"/>
              <w:textAlignment w:val="auto"/>
              <w:rPr>
                <w:rFonts w:ascii="Calibri Light" w:hAnsi="Calibri Light" w:cs="Calibri Light"/>
                <w:i/>
                <w:iCs/>
                <w:color w:val="FF0000"/>
                <w:sz w:val="20"/>
              </w:rPr>
            </w:pPr>
            <w:r>
              <w:rPr>
                <w:rFonts w:ascii="Calibri Light" w:hAnsi="Calibri Light" w:cs="Calibri Light"/>
                <w:i/>
                <w:iCs/>
                <w:color w:val="FF0000"/>
                <w:sz w:val="20"/>
              </w:rPr>
              <w:t>(0)</w:t>
            </w:r>
          </w:p>
        </w:tc>
      </w:tr>
    </w:tbl>
    <w:p w14:paraId="36F72888" w14:textId="0F686A1D" w:rsidR="00A1698B" w:rsidRPr="00806391" w:rsidRDefault="00A1698B" w:rsidP="00A1698B">
      <w:pPr>
        <w:spacing w:after="120"/>
        <w:rPr>
          <w:rFonts w:ascii="Calibri" w:hAnsi="Calibri" w:cs="Calibri"/>
          <w:bCs/>
          <w:color w:val="13576B"/>
          <w:szCs w:val="18"/>
        </w:rPr>
      </w:pPr>
      <w:r w:rsidRPr="00806391">
        <w:rPr>
          <w:rFonts w:ascii="Calibri" w:hAnsi="Calibri" w:cs="Calibri"/>
          <w:bCs/>
          <w:color w:val="13576B"/>
          <w:szCs w:val="18"/>
        </w:rPr>
        <w:t>Pramen: Prognóza ČBA</w:t>
      </w:r>
      <w:r>
        <w:rPr>
          <w:rFonts w:ascii="Calibri" w:hAnsi="Calibri" w:cs="Calibri"/>
          <w:bCs/>
          <w:color w:val="13576B"/>
          <w:szCs w:val="18"/>
        </w:rPr>
        <w:t xml:space="preserve">, </w:t>
      </w:r>
      <w:r w:rsidRPr="00806391">
        <w:rPr>
          <w:rFonts w:ascii="Calibri" w:hAnsi="Calibri" w:cs="Calibri"/>
          <w:bCs/>
          <w:color w:val="13576B"/>
          <w:szCs w:val="18"/>
        </w:rPr>
        <w:t xml:space="preserve">ČSÚ, ČNB, Úřad práce, </w:t>
      </w:r>
      <w:proofErr w:type="spellStart"/>
      <w:r>
        <w:rPr>
          <w:rFonts w:ascii="Calibri" w:hAnsi="Calibri" w:cs="Calibri"/>
          <w:bCs/>
          <w:color w:val="13576B"/>
          <w:szCs w:val="18"/>
        </w:rPr>
        <w:t>Macrobond</w:t>
      </w:r>
      <w:proofErr w:type="spellEnd"/>
    </w:p>
    <w:p w14:paraId="7F0AC495" w14:textId="1D40D282" w:rsidR="001E3643" w:rsidRPr="007B70F3" w:rsidRDefault="0028378F" w:rsidP="007B70F3">
      <w:pPr>
        <w:spacing w:after="120"/>
        <w:rPr>
          <w:rFonts w:ascii="Calibri" w:eastAsia="Calibri" w:hAnsi="Calibri" w:cs="Calibri"/>
          <w:b/>
          <w:color w:val="13576B"/>
          <w:sz w:val="22"/>
          <w:szCs w:val="28"/>
        </w:rPr>
      </w:pPr>
      <w:r w:rsidRPr="007B70F3">
        <w:rPr>
          <w:rFonts w:ascii="Calibri" w:eastAsia="Calibri" w:hAnsi="Calibri" w:cs="Calibri"/>
          <w:b/>
          <w:color w:val="13576B"/>
          <w:sz w:val="22"/>
          <w:szCs w:val="28"/>
        </w:rPr>
        <w:t>Klíčové faktory l</w:t>
      </w:r>
      <w:r w:rsidR="00B22E78" w:rsidRPr="007B70F3">
        <w:rPr>
          <w:rFonts w:ascii="Calibri" w:eastAsia="Calibri" w:hAnsi="Calibri" w:cs="Calibri"/>
          <w:b/>
          <w:color w:val="13576B"/>
          <w:sz w:val="22"/>
          <w:szCs w:val="28"/>
        </w:rPr>
        <w:t xml:space="preserve">epší </w:t>
      </w:r>
      <w:r w:rsidR="001E3643" w:rsidRPr="007B70F3">
        <w:rPr>
          <w:rFonts w:ascii="Calibri" w:eastAsia="Calibri" w:hAnsi="Calibri" w:cs="Calibri"/>
          <w:b/>
          <w:color w:val="13576B"/>
          <w:sz w:val="22"/>
          <w:szCs w:val="28"/>
        </w:rPr>
        <w:t>P</w:t>
      </w:r>
      <w:r w:rsidR="00B22E78" w:rsidRPr="007B70F3">
        <w:rPr>
          <w:rFonts w:ascii="Calibri" w:eastAsia="Calibri" w:hAnsi="Calibri" w:cs="Calibri"/>
          <w:b/>
          <w:color w:val="13576B"/>
          <w:sz w:val="22"/>
          <w:szCs w:val="28"/>
        </w:rPr>
        <w:t>rognóz</w:t>
      </w:r>
      <w:r w:rsidRPr="007B70F3">
        <w:rPr>
          <w:rFonts w:ascii="Calibri" w:eastAsia="Calibri" w:hAnsi="Calibri" w:cs="Calibri"/>
          <w:b/>
          <w:color w:val="13576B"/>
          <w:sz w:val="22"/>
          <w:szCs w:val="28"/>
        </w:rPr>
        <w:t>y</w:t>
      </w:r>
      <w:r w:rsidR="00B22E78" w:rsidRPr="007B70F3">
        <w:rPr>
          <w:rFonts w:ascii="Calibri" w:eastAsia="Calibri" w:hAnsi="Calibri" w:cs="Calibri"/>
          <w:b/>
          <w:color w:val="13576B"/>
          <w:sz w:val="22"/>
          <w:szCs w:val="28"/>
        </w:rPr>
        <w:t xml:space="preserve"> ČBA</w:t>
      </w:r>
    </w:p>
    <w:p w14:paraId="0898C06A" w14:textId="5355B0DF" w:rsidR="001E3643" w:rsidRDefault="001E3643" w:rsidP="00CC648C">
      <w:pPr>
        <w:pStyle w:val="Normlnweb"/>
        <w:numPr>
          <w:ilvl w:val="0"/>
          <w:numId w:val="14"/>
        </w:numPr>
        <w:spacing w:before="0" w:beforeAutospacing="0" w:after="120" w:afterAutospacing="0"/>
        <w:jc w:val="both"/>
        <w:rPr>
          <w:rFonts w:ascii="Calibri" w:hAnsi="Calibri" w:cs="Calibri"/>
          <w:bCs/>
          <w:color w:val="000000" w:themeColor="text1"/>
          <w:sz w:val="20"/>
        </w:rPr>
      </w:pPr>
      <w:r>
        <w:rPr>
          <w:rFonts w:ascii="Calibri" w:hAnsi="Calibri" w:cs="Calibri"/>
          <w:b/>
          <w:color w:val="000000" w:themeColor="text1"/>
          <w:sz w:val="20"/>
        </w:rPr>
        <w:t>Silnější exportní</w:t>
      </w:r>
      <w:r w:rsidR="00CC648C">
        <w:rPr>
          <w:rFonts w:ascii="Calibri" w:hAnsi="Calibri" w:cs="Calibri"/>
          <w:b/>
          <w:color w:val="000000" w:themeColor="text1"/>
          <w:sz w:val="20"/>
        </w:rPr>
        <w:t xml:space="preserve"> a investiční</w:t>
      </w:r>
      <w:r>
        <w:rPr>
          <w:rFonts w:ascii="Calibri" w:hAnsi="Calibri" w:cs="Calibri"/>
          <w:b/>
          <w:color w:val="000000" w:themeColor="text1"/>
          <w:sz w:val="20"/>
        </w:rPr>
        <w:t xml:space="preserve"> aktivita – </w:t>
      </w:r>
      <w:r w:rsidR="00CC648C">
        <w:rPr>
          <w:rFonts w:ascii="Calibri" w:hAnsi="Calibri" w:cs="Calibri"/>
          <w:bCs/>
          <w:color w:val="000000" w:themeColor="text1"/>
          <w:sz w:val="20"/>
        </w:rPr>
        <w:t>výhled na zahraniční poptávku se mírně zvýšil, i když bude sílit až spíše ve druhé polovině letošního roku. Společně se silnější průmyslovou a exportní aktivitou v závěru roku se v našem výhledu odráží mírně silnější růst českých vývozů, ke které přispívá také snaha o</w:t>
      </w:r>
      <w:r w:rsidRPr="001E3643">
        <w:rPr>
          <w:rFonts w:ascii="Calibri" w:hAnsi="Calibri" w:cs="Calibri"/>
          <w:bCs/>
          <w:color w:val="000000" w:themeColor="text1"/>
          <w:sz w:val="20"/>
        </w:rPr>
        <w:t xml:space="preserve"> diverzifikaci trhů (větší orientace mimo eurozónu, návrat na britský trh, růst v Asii mimo Čínu a ve Spojených státech</w:t>
      </w:r>
      <w:r w:rsidR="0011316F" w:rsidRPr="001E3643">
        <w:rPr>
          <w:rFonts w:ascii="Calibri" w:hAnsi="Calibri" w:cs="Calibri"/>
          <w:bCs/>
          <w:color w:val="000000" w:themeColor="text1"/>
          <w:sz w:val="20"/>
        </w:rPr>
        <w:t>)</w:t>
      </w:r>
      <w:r w:rsidR="007D4EFE" w:rsidRPr="001E3643">
        <w:rPr>
          <w:rFonts w:ascii="Calibri" w:hAnsi="Calibri" w:cs="Calibri"/>
          <w:bCs/>
          <w:color w:val="000000" w:themeColor="text1"/>
          <w:sz w:val="20"/>
        </w:rPr>
        <w:t xml:space="preserve">. </w:t>
      </w:r>
      <w:r w:rsidR="00CC648C">
        <w:rPr>
          <w:rFonts w:ascii="Calibri" w:hAnsi="Calibri" w:cs="Calibri"/>
          <w:bCs/>
          <w:color w:val="000000" w:themeColor="text1"/>
          <w:sz w:val="20"/>
        </w:rPr>
        <w:t xml:space="preserve">Případným rizikem </w:t>
      </w:r>
      <w:r w:rsidRPr="001E3643">
        <w:rPr>
          <w:rFonts w:ascii="Calibri" w:hAnsi="Calibri" w:cs="Calibri"/>
          <w:bCs/>
          <w:color w:val="000000" w:themeColor="text1"/>
          <w:sz w:val="20"/>
        </w:rPr>
        <w:t xml:space="preserve">zůstává </w:t>
      </w:r>
      <w:r w:rsidR="00CC648C">
        <w:rPr>
          <w:rFonts w:ascii="Calibri" w:hAnsi="Calibri" w:cs="Calibri"/>
          <w:bCs/>
          <w:color w:val="000000" w:themeColor="text1"/>
          <w:sz w:val="20"/>
        </w:rPr>
        <w:t>slab</w:t>
      </w:r>
      <w:r w:rsidR="009D0908">
        <w:rPr>
          <w:rFonts w:ascii="Calibri" w:hAnsi="Calibri" w:cs="Calibri"/>
          <w:bCs/>
          <w:color w:val="000000" w:themeColor="text1"/>
          <w:sz w:val="20"/>
        </w:rPr>
        <w:t>ý dopad</w:t>
      </w:r>
      <w:r w:rsidR="00CC648C">
        <w:rPr>
          <w:rFonts w:ascii="Calibri" w:hAnsi="Calibri" w:cs="Calibri"/>
          <w:bCs/>
          <w:color w:val="000000" w:themeColor="text1"/>
          <w:sz w:val="20"/>
        </w:rPr>
        <w:t xml:space="preserve"> fiskálního balíčku na oživení</w:t>
      </w:r>
      <w:r w:rsidR="007D4EFE" w:rsidRPr="001E3643">
        <w:rPr>
          <w:rFonts w:ascii="Calibri" w:hAnsi="Calibri" w:cs="Calibri"/>
          <w:bCs/>
          <w:color w:val="000000" w:themeColor="text1"/>
          <w:sz w:val="20"/>
        </w:rPr>
        <w:t xml:space="preserve"> německé ekonomiky</w:t>
      </w:r>
      <w:r w:rsidR="00CC648C">
        <w:rPr>
          <w:rFonts w:ascii="Calibri" w:hAnsi="Calibri" w:cs="Calibri"/>
          <w:bCs/>
          <w:color w:val="000000" w:themeColor="text1"/>
          <w:sz w:val="20"/>
        </w:rPr>
        <w:t xml:space="preserve">. </w:t>
      </w:r>
    </w:p>
    <w:p w14:paraId="6DC174A3" w14:textId="77777777" w:rsidR="001E5D51" w:rsidRDefault="00CC648C" w:rsidP="002103DA">
      <w:pPr>
        <w:pStyle w:val="Normlnweb"/>
        <w:numPr>
          <w:ilvl w:val="0"/>
          <w:numId w:val="14"/>
        </w:numPr>
        <w:spacing w:before="0" w:beforeAutospacing="0" w:after="120" w:afterAutospacing="0"/>
        <w:jc w:val="both"/>
        <w:rPr>
          <w:rFonts w:ascii="Calibri" w:hAnsi="Calibri" w:cs="Calibri"/>
          <w:b/>
          <w:color w:val="000000" w:themeColor="text1"/>
          <w:sz w:val="20"/>
        </w:rPr>
      </w:pPr>
      <w:r w:rsidRPr="001E5D51">
        <w:rPr>
          <w:rFonts w:ascii="Calibri" w:hAnsi="Calibri" w:cs="Calibri"/>
          <w:b/>
          <w:color w:val="000000" w:themeColor="text1"/>
          <w:sz w:val="20"/>
        </w:rPr>
        <w:t xml:space="preserve">Fiskální impuls </w:t>
      </w:r>
      <w:r w:rsidRPr="001E5D51">
        <w:rPr>
          <w:rFonts w:ascii="Calibri" w:hAnsi="Calibri" w:cs="Calibri"/>
          <w:bCs/>
          <w:color w:val="000000" w:themeColor="text1"/>
          <w:sz w:val="20"/>
        </w:rPr>
        <w:t xml:space="preserve">– predikce vyhlíží průměrný deficit vládních financí okolo 2,7 % HDP v letošním a příštím roce, tedy kumulativně o 1,2 % HDP více než v roce 2024 či 2025. To se odráží v silnějším výhledu, jak na spotřebu vlády, tak částečně i </w:t>
      </w:r>
      <w:r w:rsidR="009D0908" w:rsidRPr="001E5D51">
        <w:rPr>
          <w:rFonts w:ascii="Calibri" w:hAnsi="Calibri" w:cs="Calibri"/>
          <w:bCs/>
          <w:color w:val="000000" w:themeColor="text1"/>
          <w:sz w:val="20"/>
        </w:rPr>
        <w:t>domácností.</w:t>
      </w:r>
      <w:r w:rsidR="009D0908" w:rsidRPr="001E5D51">
        <w:rPr>
          <w:rFonts w:ascii="Calibri" w:hAnsi="Calibri" w:cs="Calibri"/>
          <w:b/>
          <w:color w:val="000000" w:themeColor="text1"/>
          <w:sz w:val="20"/>
        </w:rPr>
        <w:t xml:space="preserve"> </w:t>
      </w:r>
    </w:p>
    <w:p w14:paraId="527DCB13" w14:textId="7408A6BB" w:rsidR="001E3643" w:rsidRPr="001E5D51" w:rsidRDefault="00AF5DC8" w:rsidP="002103DA">
      <w:pPr>
        <w:pStyle w:val="Normlnweb"/>
        <w:numPr>
          <w:ilvl w:val="0"/>
          <w:numId w:val="14"/>
        </w:numPr>
        <w:spacing w:before="0" w:beforeAutospacing="0" w:after="120" w:afterAutospacing="0"/>
        <w:jc w:val="both"/>
        <w:rPr>
          <w:rFonts w:ascii="Calibri" w:hAnsi="Calibri" w:cs="Calibri"/>
          <w:b/>
          <w:color w:val="000000" w:themeColor="text1"/>
          <w:sz w:val="20"/>
        </w:rPr>
      </w:pPr>
      <w:r w:rsidRPr="001E5D51">
        <w:rPr>
          <w:rFonts w:ascii="Calibri" w:hAnsi="Calibri" w:cs="Calibri"/>
          <w:b/>
          <w:color w:val="000000" w:themeColor="text1"/>
          <w:sz w:val="20"/>
        </w:rPr>
        <w:t xml:space="preserve">Výhled na silnou </w:t>
      </w:r>
      <w:r w:rsidR="00104C8C" w:rsidRPr="001E5D51">
        <w:rPr>
          <w:rFonts w:ascii="Calibri" w:hAnsi="Calibri" w:cs="Calibri"/>
          <w:b/>
          <w:color w:val="000000" w:themeColor="text1"/>
          <w:sz w:val="20"/>
        </w:rPr>
        <w:t>spotřeb</w:t>
      </w:r>
      <w:r w:rsidRPr="001E5D51">
        <w:rPr>
          <w:rFonts w:ascii="Calibri" w:hAnsi="Calibri" w:cs="Calibri"/>
          <w:b/>
          <w:color w:val="000000" w:themeColor="text1"/>
          <w:sz w:val="20"/>
        </w:rPr>
        <w:t xml:space="preserve">u </w:t>
      </w:r>
      <w:r w:rsidR="006B18B6" w:rsidRPr="001E5D51">
        <w:rPr>
          <w:rFonts w:ascii="Calibri" w:hAnsi="Calibri" w:cs="Calibri"/>
          <w:b/>
          <w:color w:val="000000" w:themeColor="text1"/>
          <w:sz w:val="20"/>
        </w:rPr>
        <w:t>domácnost</w:t>
      </w:r>
      <w:r w:rsidR="001E3643" w:rsidRPr="001E5D51">
        <w:rPr>
          <w:rFonts w:ascii="Calibri" w:hAnsi="Calibri" w:cs="Calibri"/>
          <w:b/>
          <w:color w:val="000000" w:themeColor="text1"/>
          <w:sz w:val="20"/>
        </w:rPr>
        <w:t>í</w:t>
      </w:r>
      <w:r w:rsidRPr="001E5D51">
        <w:rPr>
          <w:rFonts w:ascii="Calibri" w:hAnsi="Calibri" w:cs="Calibri"/>
          <w:b/>
          <w:color w:val="000000" w:themeColor="text1"/>
          <w:sz w:val="20"/>
        </w:rPr>
        <w:t>, i když relativně konzervativní</w:t>
      </w:r>
      <w:r w:rsidR="001E3643" w:rsidRPr="001E5D51">
        <w:rPr>
          <w:rFonts w:ascii="Calibri" w:hAnsi="Calibri" w:cs="Calibri"/>
          <w:bCs/>
          <w:color w:val="000000" w:themeColor="text1"/>
          <w:sz w:val="20"/>
        </w:rPr>
        <w:t xml:space="preserve"> – podpořená</w:t>
      </w:r>
      <w:r w:rsidR="0011316F" w:rsidRPr="001E5D51">
        <w:rPr>
          <w:rFonts w:ascii="Calibri" w:hAnsi="Calibri" w:cs="Calibri"/>
          <w:bCs/>
          <w:color w:val="000000" w:themeColor="text1"/>
          <w:sz w:val="20"/>
        </w:rPr>
        <w:t xml:space="preserve"> </w:t>
      </w:r>
      <w:r w:rsidR="001E3643" w:rsidRPr="001E5D51">
        <w:rPr>
          <w:rFonts w:ascii="Calibri" w:hAnsi="Calibri" w:cs="Calibri"/>
          <w:bCs/>
          <w:color w:val="000000" w:themeColor="text1"/>
          <w:sz w:val="20"/>
        </w:rPr>
        <w:t xml:space="preserve">vyšším růstem </w:t>
      </w:r>
      <w:r w:rsidR="009D0908" w:rsidRPr="001E5D51">
        <w:rPr>
          <w:rFonts w:ascii="Calibri" w:hAnsi="Calibri" w:cs="Calibri"/>
          <w:bCs/>
          <w:color w:val="000000" w:themeColor="text1"/>
          <w:sz w:val="20"/>
        </w:rPr>
        <w:t xml:space="preserve">reálných </w:t>
      </w:r>
      <w:r w:rsidR="001E3643" w:rsidRPr="001E5D51">
        <w:rPr>
          <w:rFonts w:ascii="Calibri" w:hAnsi="Calibri" w:cs="Calibri"/>
          <w:bCs/>
          <w:color w:val="000000" w:themeColor="text1"/>
          <w:sz w:val="20"/>
        </w:rPr>
        <w:t>mezd a stále vysokou mírou úspor.</w:t>
      </w:r>
    </w:p>
    <w:p w14:paraId="54F28CBE" w14:textId="35C9C51D" w:rsidR="00603693" w:rsidRPr="00566C95" w:rsidRDefault="00610BEA" w:rsidP="006B18B6">
      <w:pPr>
        <w:pStyle w:val="Normlnweb"/>
        <w:spacing w:before="0" w:beforeAutospacing="0" w:after="120" w:afterAutospacing="0"/>
        <w:jc w:val="both"/>
        <w:rPr>
          <w:rFonts w:ascii="Calibri" w:hAnsi="Calibri" w:cs="Calibri"/>
          <w:bCs/>
          <w:color w:val="000000" w:themeColor="text1"/>
          <w:sz w:val="20"/>
        </w:rPr>
      </w:pPr>
      <w:r>
        <w:rPr>
          <w:rFonts w:ascii="Calibri" w:hAnsi="Calibri" w:cs="Calibri"/>
          <w:bCs/>
          <w:color w:val="000000" w:themeColor="text1"/>
          <w:sz w:val="20"/>
        </w:rPr>
        <w:t xml:space="preserve"> </w:t>
      </w:r>
    </w:p>
    <w:p w14:paraId="59068F7B" w14:textId="77777777" w:rsidR="00FC2A77" w:rsidRDefault="00FC2A77" w:rsidP="00410CB7">
      <w:pPr>
        <w:spacing w:after="120"/>
        <w:rPr>
          <w:rFonts w:ascii="Calibri" w:eastAsia="Calibri" w:hAnsi="Calibri" w:cs="Calibri"/>
          <w:b/>
          <w:color w:val="13576B"/>
          <w:sz w:val="22"/>
          <w:szCs w:val="28"/>
        </w:rPr>
      </w:pPr>
    </w:p>
    <w:p w14:paraId="5D4AD1B7" w14:textId="196F2C63" w:rsidR="00410CB7" w:rsidRDefault="00230D4D" w:rsidP="00410CB7">
      <w:pPr>
        <w:spacing w:after="120"/>
        <w:rPr>
          <w:rFonts w:ascii="Calibri" w:eastAsia="Calibri" w:hAnsi="Calibri" w:cs="Calibri"/>
          <w:b/>
          <w:color w:val="13576B"/>
          <w:sz w:val="22"/>
          <w:szCs w:val="28"/>
        </w:rPr>
      </w:pPr>
      <w:r>
        <w:rPr>
          <w:rFonts w:ascii="Calibri" w:eastAsia="Calibri" w:hAnsi="Calibri" w:cs="Calibri"/>
          <w:b/>
          <w:color w:val="13576B"/>
          <w:sz w:val="22"/>
          <w:szCs w:val="28"/>
        </w:rPr>
        <w:lastRenderedPageBreak/>
        <w:t>Vyvážený a stabilní růst české ekonomiky</w:t>
      </w:r>
    </w:p>
    <w:p w14:paraId="00BA9B03" w14:textId="09A22CF3" w:rsidR="0035113B" w:rsidRDefault="001E5D51" w:rsidP="00684D52">
      <w:pPr>
        <w:pStyle w:val="Normlnweb"/>
        <w:spacing w:before="0" w:beforeAutospacing="0" w:after="120" w:afterAutospacing="0"/>
        <w:jc w:val="both"/>
        <w:rPr>
          <w:rFonts w:ascii="Calibri" w:hAnsi="Calibri" w:cs="Calibri"/>
          <w:bCs/>
          <w:color w:val="000000" w:themeColor="text1"/>
          <w:sz w:val="20"/>
        </w:rPr>
      </w:pPr>
      <w:r w:rsidRPr="003503ED">
        <w:rPr>
          <w:b/>
          <w:bCs/>
          <w:noProof/>
          <w:color w:val="FF0000"/>
          <w:sz w:val="20"/>
        </w:rPr>
        <mc:AlternateContent>
          <mc:Choice Requires="wps">
            <w:drawing>
              <wp:anchor distT="45720" distB="45720" distL="114300" distR="114300" simplePos="0" relativeHeight="251669504" behindDoc="0" locked="0" layoutInCell="1" allowOverlap="1" wp14:anchorId="3F512D24" wp14:editId="3DEAA914">
                <wp:simplePos x="0" y="0"/>
                <wp:positionH relativeFrom="margin">
                  <wp:posOffset>2540</wp:posOffset>
                </wp:positionH>
                <wp:positionV relativeFrom="paragraph">
                  <wp:posOffset>1147445</wp:posOffset>
                </wp:positionV>
                <wp:extent cx="6461760" cy="704850"/>
                <wp:effectExtent l="0" t="0" r="15240" b="19050"/>
                <wp:wrapSquare wrapText="bothSides"/>
                <wp:docPr id="1636775914"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704850"/>
                        </a:xfrm>
                        <a:prstGeom prst="rect">
                          <a:avLst/>
                        </a:prstGeom>
                        <a:solidFill>
                          <a:srgbClr val="FFFFFF"/>
                        </a:solidFill>
                        <a:ln w="9525">
                          <a:solidFill>
                            <a:srgbClr val="000000"/>
                          </a:solidFill>
                          <a:miter lim="800000"/>
                          <a:headEnd/>
                          <a:tailEnd/>
                        </a:ln>
                      </wps:spPr>
                      <wps:txbx>
                        <w:txbxContent>
                          <w:p w14:paraId="780E2981" w14:textId="7671C58D" w:rsidR="00603693" w:rsidRDefault="00603693" w:rsidP="00603693">
                            <w:pPr>
                              <w:rPr>
                                <w:rFonts w:ascii="Calibri" w:hAnsi="Calibri" w:cs="Calibri"/>
                                <w:b/>
                                <w:bCs/>
                                <w:sz w:val="20"/>
                              </w:rPr>
                            </w:pPr>
                            <w:r>
                              <w:rPr>
                                <w:rFonts w:ascii="Calibri" w:hAnsi="Calibri" w:cs="Calibri"/>
                                <w:b/>
                                <w:bCs/>
                                <w:sz w:val="20"/>
                              </w:rPr>
                              <w:t>Jaromír Šindel</w:t>
                            </w:r>
                            <w:r w:rsidRPr="00222AA1">
                              <w:rPr>
                                <w:rFonts w:ascii="Calibri" w:hAnsi="Calibri" w:cs="Calibri"/>
                                <w:b/>
                                <w:bCs/>
                                <w:sz w:val="20"/>
                              </w:rPr>
                              <w:t xml:space="preserve">, </w:t>
                            </w:r>
                            <w:r>
                              <w:rPr>
                                <w:rFonts w:ascii="Calibri" w:hAnsi="Calibri" w:cs="Calibri"/>
                                <w:b/>
                                <w:bCs/>
                                <w:sz w:val="20"/>
                              </w:rPr>
                              <w:t xml:space="preserve">hlavní ekonom České bankovní asociace:  </w:t>
                            </w:r>
                          </w:p>
                          <w:p w14:paraId="525B1F2A" w14:textId="0B0562D0" w:rsidR="00603693" w:rsidRPr="0035113B" w:rsidRDefault="00603693" w:rsidP="00603693">
                            <w:pPr>
                              <w:rPr>
                                <w:rFonts w:ascii="Calibri" w:hAnsi="Calibri" w:cs="Calibri"/>
                                <w:i/>
                                <w:iCs/>
                                <w:color w:val="000000" w:themeColor="text1"/>
                                <w:sz w:val="20"/>
                              </w:rPr>
                            </w:pPr>
                            <w:r w:rsidRPr="0035113B">
                              <w:rPr>
                                <w:rFonts w:ascii="Calibri" w:hAnsi="Calibri" w:cs="Calibri"/>
                                <w:i/>
                                <w:iCs/>
                                <w:color w:val="000000" w:themeColor="text1"/>
                                <w:sz w:val="20"/>
                              </w:rPr>
                              <w:t>„</w:t>
                            </w:r>
                            <w:r w:rsidR="0035113B" w:rsidRPr="0035113B">
                              <w:rPr>
                                <w:rFonts w:ascii="Calibri" w:hAnsi="Calibri" w:cs="Calibri"/>
                                <w:i/>
                                <w:iCs/>
                                <w:color w:val="000000" w:themeColor="text1"/>
                                <w:sz w:val="20"/>
                              </w:rPr>
                              <w:t>Z pohledu výdajových komponent růstu HDP zůstává klíčovým tahounem spotřeba domácností. Její růst sice nadále očekáváme pod hranicí 3 % ve všech letech prognózy, nicméně představuje mírné pozitivní riziko. To souvisí zejména s očekávaným silnějším růstem disponibilního důchodu domácností, který by měl v roce 2026 převýšit tempo z roku 2025</w:t>
                            </w:r>
                            <w:r w:rsidRPr="0035113B">
                              <w:rPr>
                                <w:rFonts w:ascii="Calibri" w:hAnsi="Calibri" w:cs="Calibri"/>
                                <w:i/>
                                <w:iCs/>
                                <w:color w:val="000000" w:themeColor="text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12D24" id="_x0000_t202" coordsize="21600,21600" o:spt="202" path="m,l,21600r21600,l21600,xe">
                <v:stroke joinstyle="miter"/>
                <v:path gradientshapeok="t" o:connecttype="rect"/>
              </v:shapetype>
              <v:shape id="Textové pole 6" o:spid="_x0000_s1026" type="#_x0000_t202" style="position:absolute;left:0;text-align:left;margin-left:.2pt;margin-top:90.35pt;width:508.8pt;height:5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R2eDwIAAB8EAAAOAAAAZHJzL2Uyb0RvYy54bWysU9tu2zAMfR+wfxD0vtgJcqsRp+jSZRjQ&#10;XYBuH6DIcixMFjVKiZ19/Sg5TYNuexmmB0EUqSPy8HB127eGHRV6Dbbk41HOmbISKm33Jf/2dftm&#10;yZkPwlbCgFUlPynPb9evX606V6gJNGAqhYxArC86V/ImBFdkmZeNaoUfgVOWnDVgKwKZuM8qFB2h&#10;tyab5Pk86wArhyCV93R7Pzj5OuHXtZLhc117FZgpOeUW0o5p38U9W69EsUfhGi3PaYh/yKIV2tKn&#10;F6h7EQQ7oP4NqtUSwUMdRhLaDOpaS5VqoGrG+YtqHhvhVKqFyPHuQpP/f7Dy0/HRfUEW+rfQUwNT&#10;Ed49gPzumYVNI+xe3SFC1yhR0cfjSFnWOV+cn0aqfeEjyK77CBU1WRwCJKC+xjayQnUyQqcGnC6k&#10;qz4wSZfz6Xy8mJNLkm+RT5ez1JVMFE+vHfrwXkHL4qHkSE1N6OL44EPMRhRPIfEzD0ZXW21MMnC/&#10;2xhkR0EC2KaVCngRZizrSn4zm8wGAv4Kkaf1J4hWB1Ky0W3Jl5cgUUTa3tkq6SwIbYYzpWzsmcdI&#10;3UBi6Hc9BUY+d1CdiFGEQbE0YXRoAH9y1pFaS+5/HAQqzswHS125GU+nUd7JmM4WEzLw2rO79ggr&#10;CarkgbPhuAlpJCJhFu6oe7VOxD5ncs6VVJj4Pk9MlPm1naKe53r9CwAA//8DAFBLAwQUAAYACAAA&#10;ACEAQ21Vgd4AAAAJAQAADwAAAGRycy9kb3ducmV2LnhtbEyPQU/DMAyF70j8h8hIXBBLN6a1K00n&#10;hASCGwwE16zx2orEKUnWlX+Pd4Kb7ff0/L1qMzkrRgyx96RgPstAIDXe9NQqeH97uC5AxKTJaOsJ&#10;FfxghE19flbp0vgjveK4Ta3gEIqlVtClNJRSxqZDp+PMD0is7X1wOvEaWmmCPnK4s3KRZSvpdE/8&#10;odMD3nfYfG0PTkGxfBo/4/PNy0ez2tt1usrHx++g1OXFdHcLIuGU/sxwwmd0qJlp5w9korAKluzj&#10;a5HlIE5yxiOInYLFep6DrCv5v0H9CwAA//8DAFBLAQItABQABgAIAAAAIQC2gziS/gAAAOEBAAAT&#10;AAAAAAAAAAAAAAAAAAAAAABbQ29udGVudF9UeXBlc10ueG1sUEsBAi0AFAAGAAgAAAAhADj9If/W&#10;AAAAlAEAAAsAAAAAAAAAAAAAAAAALwEAAF9yZWxzLy5yZWxzUEsBAi0AFAAGAAgAAAAhAExJHZ4P&#10;AgAAHwQAAA4AAAAAAAAAAAAAAAAALgIAAGRycy9lMm9Eb2MueG1sUEsBAi0AFAAGAAgAAAAhAENt&#10;VYHeAAAACQEAAA8AAAAAAAAAAAAAAAAAaQQAAGRycy9kb3ducmV2LnhtbFBLBQYAAAAABAAEAPMA&#10;AAB0BQAAAAA=&#10;">
                <v:textbox>
                  <w:txbxContent>
                    <w:p w14:paraId="780E2981" w14:textId="7671C58D" w:rsidR="00603693" w:rsidRDefault="00603693" w:rsidP="00603693">
                      <w:pPr>
                        <w:rPr>
                          <w:rFonts w:ascii="Calibri" w:hAnsi="Calibri" w:cs="Calibri"/>
                          <w:b/>
                          <w:bCs/>
                          <w:sz w:val="20"/>
                        </w:rPr>
                      </w:pPr>
                      <w:r>
                        <w:rPr>
                          <w:rFonts w:ascii="Calibri" w:hAnsi="Calibri" w:cs="Calibri"/>
                          <w:b/>
                          <w:bCs/>
                          <w:sz w:val="20"/>
                        </w:rPr>
                        <w:t>Jaromír Šindel</w:t>
                      </w:r>
                      <w:r w:rsidRPr="00222AA1">
                        <w:rPr>
                          <w:rFonts w:ascii="Calibri" w:hAnsi="Calibri" w:cs="Calibri"/>
                          <w:b/>
                          <w:bCs/>
                          <w:sz w:val="20"/>
                        </w:rPr>
                        <w:t xml:space="preserve">, </w:t>
                      </w:r>
                      <w:r>
                        <w:rPr>
                          <w:rFonts w:ascii="Calibri" w:hAnsi="Calibri" w:cs="Calibri"/>
                          <w:b/>
                          <w:bCs/>
                          <w:sz w:val="20"/>
                        </w:rPr>
                        <w:t xml:space="preserve">hlavní ekonom České bankovní asociace:  </w:t>
                      </w:r>
                    </w:p>
                    <w:p w14:paraId="525B1F2A" w14:textId="0B0562D0" w:rsidR="00603693" w:rsidRPr="0035113B" w:rsidRDefault="00603693" w:rsidP="00603693">
                      <w:pPr>
                        <w:rPr>
                          <w:rFonts w:ascii="Calibri" w:hAnsi="Calibri" w:cs="Calibri"/>
                          <w:i/>
                          <w:iCs/>
                          <w:color w:val="000000" w:themeColor="text1"/>
                          <w:sz w:val="20"/>
                        </w:rPr>
                      </w:pPr>
                      <w:r w:rsidRPr="0035113B">
                        <w:rPr>
                          <w:rFonts w:ascii="Calibri" w:hAnsi="Calibri" w:cs="Calibri"/>
                          <w:i/>
                          <w:iCs/>
                          <w:color w:val="000000" w:themeColor="text1"/>
                          <w:sz w:val="20"/>
                        </w:rPr>
                        <w:t>„</w:t>
                      </w:r>
                      <w:r w:rsidR="0035113B" w:rsidRPr="0035113B">
                        <w:rPr>
                          <w:rFonts w:ascii="Calibri" w:hAnsi="Calibri" w:cs="Calibri"/>
                          <w:i/>
                          <w:iCs/>
                          <w:color w:val="000000" w:themeColor="text1"/>
                          <w:sz w:val="20"/>
                        </w:rPr>
                        <w:t>Z pohledu výdajových komponent růstu HDP zůstává klíčovým tahounem spotřeba domácností. Její růst sice nadále očekáváme pod hranicí 3 % ve všech letech prognózy, nicméně představuje mírné pozitivní riziko. To souvisí zejména s očekávaným silnějším růstem disponibilního důchodu domácností, který by měl v roce 2026 převýšit tempo z roku 2025</w:t>
                      </w:r>
                      <w:r w:rsidRPr="0035113B">
                        <w:rPr>
                          <w:rFonts w:ascii="Calibri" w:hAnsi="Calibri" w:cs="Calibri"/>
                          <w:i/>
                          <w:iCs/>
                          <w:color w:val="000000" w:themeColor="text1"/>
                          <w:sz w:val="20"/>
                        </w:rPr>
                        <w:t>.“</w:t>
                      </w:r>
                    </w:p>
                  </w:txbxContent>
                </v:textbox>
                <w10:wrap type="square" anchorx="margin"/>
              </v:shape>
            </w:pict>
          </mc:Fallback>
        </mc:AlternateContent>
      </w:r>
      <w:r w:rsidR="00684D52" w:rsidRPr="00684D52">
        <w:rPr>
          <w:rFonts w:ascii="Calibri" w:hAnsi="Calibri" w:cs="Calibri"/>
          <w:bCs/>
          <w:color w:val="000000" w:themeColor="text1"/>
          <w:sz w:val="20"/>
        </w:rPr>
        <w:t xml:space="preserve">Z pohledu výdajových složek HDP zůstává hlavním tahounem růstu spotřeba domácností. Ta v roce 2025 </w:t>
      </w:r>
      <w:r w:rsidR="009D0908">
        <w:rPr>
          <w:rFonts w:ascii="Calibri" w:hAnsi="Calibri" w:cs="Calibri"/>
          <w:bCs/>
          <w:color w:val="000000" w:themeColor="text1"/>
          <w:sz w:val="20"/>
        </w:rPr>
        <w:t>zřejmě vzrostla</w:t>
      </w:r>
      <w:r w:rsidR="00684D52" w:rsidRPr="00684D52">
        <w:rPr>
          <w:rFonts w:ascii="Calibri" w:hAnsi="Calibri" w:cs="Calibri"/>
          <w:bCs/>
          <w:color w:val="000000" w:themeColor="text1"/>
          <w:sz w:val="20"/>
        </w:rPr>
        <w:t xml:space="preserve"> o 2,9 %, v roce 2026 o 2,8 % a v roce 2027 o 2,6 %. </w:t>
      </w:r>
      <w:r w:rsidR="00684D52">
        <w:rPr>
          <w:rFonts w:ascii="Calibri" w:hAnsi="Calibri" w:cs="Calibri"/>
          <w:bCs/>
          <w:color w:val="000000" w:themeColor="text1"/>
          <w:sz w:val="20"/>
        </w:rPr>
        <w:t>J</w:t>
      </w:r>
      <w:r w:rsidR="00684D52" w:rsidRPr="00684D52">
        <w:rPr>
          <w:rFonts w:ascii="Calibri" w:hAnsi="Calibri" w:cs="Calibri"/>
          <w:bCs/>
          <w:color w:val="000000" w:themeColor="text1"/>
          <w:sz w:val="20"/>
        </w:rPr>
        <w:t xml:space="preserve">ejí dynamika v čase mírně </w:t>
      </w:r>
      <w:r w:rsidR="009D0908">
        <w:rPr>
          <w:rFonts w:ascii="Calibri" w:hAnsi="Calibri" w:cs="Calibri"/>
          <w:bCs/>
          <w:color w:val="000000" w:themeColor="text1"/>
          <w:sz w:val="20"/>
        </w:rPr>
        <w:t>klesá</w:t>
      </w:r>
      <w:r w:rsidR="00684D52">
        <w:rPr>
          <w:rFonts w:ascii="Calibri" w:hAnsi="Calibri" w:cs="Calibri"/>
          <w:bCs/>
          <w:color w:val="000000" w:themeColor="text1"/>
          <w:sz w:val="20"/>
        </w:rPr>
        <w:t xml:space="preserve"> kvůli pomalejšímu tempu reálných mezd a mírně vyšší míře nezaměstnanosti</w:t>
      </w:r>
      <w:r w:rsidR="00684D52" w:rsidRPr="00684D52">
        <w:rPr>
          <w:rFonts w:ascii="Calibri" w:hAnsi="Calibri" w:cs="Calibri"/>
          <w:bCs/>
          <w:color w:val="000000" w:themeColor="text1"/>
          <w:sz w:val="20"/>
        </w:rPr>
        <w:t>, přesto představuje mírné pozitivní riziko</w:t>
      </w:r>
      <w:r w:rsidR="001E0921">
        <w:rPr>
          <w:rFonts w:ascii="Calibri" w:hAnsi="Calibri" w:cs="Calibri"/>
          <w:bCs/>
          <w:color w:val="000000" w:themeColor="text1"/>
          <w:sz w:val="20"/>
        </w:rPr>
        <w:t>. Důvodem je</w:t>
      </w:r>
      <w:r w:rsidR="00CF3E48">
        <w:rPr>
          <w:rFonts w:ascii="Calibri" w:hAnsi="Calibri" w:cs="Calibri"/>
          <w:bCs/>
          <w:color w:val="000000" w:themeColor="text1"/>
          <w:sz w:val="20"/>
        </w:rPr>
        <w:t xml:space="preserve"> </w:t>
      </w:r>
      <w:r w:rsidR="00684D52" w:rsidRPr="00684D52">
        <w:rPr>
          <w:rFonts w:ascii="Calibri" w:hAnsi="Calibri" w:cs="Calibri"/>
          <w:bCs/>
          <w:color w:val="000000" w:themeColor="text1"/>
          <w:sz w:val="20"/>
        </w:rPr>
        <w:t>pokračující</w:t>
      </w:r>
      <w:r w:rsidR="00CF3E48">
        <w:rPr>
          <w:rFonts w:ascii="Calibri" w:hAnsi="Calibri" w:cs="Calibri"/>
          <w:bCs/>
          <w:color w:val="000000" w:themeColor="text1"/>
          <w:sz w:val="20"/>
        </w:rPr>
        <w:t xml:space="preserve"> siln</w:t>
      </w:r>
      <w:r w:rsidR="001E0921">
        <w:rPr>
          <w:rFonts w:ascii="Calibri" w:hAnsi="Calibri" w:cs="Calibri"/>
          <w:bCs/>
          <w:color w:val="000000" w:themeColor="text1"/>
          <w:sz w:val="20"/>
        </w:rPr>
        <w:t>ý</w:t>
      </w:r>
      <w:r w:rsidR="00CF3E48">
        <w:rPr>
          <w:rFonts w:ascii="Calibri" w:hAnsi="Calibri" w:cs="Calibri"/>
          <w:bCs/>
          <w:color w:val="000000" w:themeColor="text1"/>
          <w:sz w:val="20"/>
        </w:rPr>
        <w:t xml:space="preserve"> </w:t>
      </w:r>
      <w:r w:rsidR="00684D52" w:rsidRPr="00684D52">
        <w:rPr>
          <w:rFonts w:ascii="Calibri" w:hAnsi="Calibri" w:cs="Calibri"/>
          <w:bCs/>
          <w:color w:val="000000" w:themeColor="text1"/>
          <w:sz w:val="20"/>
        </w:rPr>
        <w:t xml:space="preserve">růst reálných mezd a </w:t>
      </w:r>
      <w:r w:rsidR="00CF3E48">
        <w:rPr>
          <w:rFonts w:ascii="Calibri" w:hAnsi="Calibri" w:cs="Calibri"/>
          <w:bCs/>
          <w:color w:val="000000" w:themeColor="text1"/>
          <w:sz w:val="20"/>
        </w:rPr>
        <w:t>odlišné</w:t>
      </w:r>
      <w:r w:rsidR="001E0921">
        <w:rPr>
          <w:rFonts w:ascii="Calibri" w:hAnsi="Calibri" w:cs="Calibri"/>
          <w:bCs/>
          <w:color w:val="000000" w:themeColor="text1"/>
          <w:sz w:val="20"/>
        </w:rPr>
        <w:t xml:space="preserve"> </w:t>
      </w:r>
      <w:r w:rsidR="00CF3E48">
        <w:rPr>
          <w:rFonts w:ascii="Calibri" w:hAnsi="Calibri" w:cs="Calibri"/>
          <w:bCs/>
          <w:color w:val="000000" w:themeColor="text1"/>
          <w:sz w:val="20"/>
        </w:rPr>
        <w:t>nastavení fiskální politiky</w:t>
      </w:r>
      <w:r w:rsidR="001E0921">
        <w:rPr>
          <w:rFonts w:ascii="Calibri" w:hAnsi="Calibri" w:cs="Calibri"/>
          <w:bCs/>
          <w:color w:val="000000" w:themeColor="text1"/>
          <w:sz w:val="20"/>
        </w:rPr>
        <w:t xml:space="preserve">. Ta </w:t>
      </w:r>
      <w:r w:rsidR="00CF3E48">
        <w:rPr>
          <w:rFonts w:ascii="Calibri" w:hAnsi="Calibri" w:cs="Calibri"/>
          <w:bCs/>
          <w:color w:val="000000" w:themeColor="text1"/>
          <w:sz w:val="20"/>
        </w:rPr>
        <w:t>pravděpodobně více podpoří disponibilní důchod domácností</w:t>
      </w:r>
      <w:r w:rsidR="001E0921">
        <w:rPr>
          <w:rFonts w:ascii="Calibri" w:hAnsi="Calibri" w:cs="Calibri"/>
          <w:bCs/>
          <w:color w:val="000000" w:themeColor="text1"/>
          <w:sz w:val="20"/>
        </w:rPr>
        <w:t>, a</w:t>
      </w:r>
      <w:r w:rsidR="00CF3E48">
        <w:rPr>
          <w:rFonts w:ascii="Calibri" w:hAnsi="Calibri" w:cs="Calibri"/>
          <w:bCs/>
          <w:color w:val="000000" w:themeColor="text1"/>
          <w:sz w:val="20"/>
        </w:rPr>
        <w:t xml:space="preserve"> to například skrze přesun platby za obnovitelné zdroje do rozpočtu, </w:t>
      </w:r>
      <w:r w:rsidR="001E0921">
        <w:rPr>
          <w:rFonts w:ascii="Calibri" w:hAnsi="Calibri" w:cs="Calibri"/>
          <w:bCs/>
          <w:color w:val="000000" w:themeColor="text1"/>
          <w:sz w:val="20"/>
        </w:rPr>
        <w:t>opětovnému snížení o</w:t>
      </w:r>
      <w:r w:rsidR="00CF3E48">
        <w:rPr>
          <w:rFonts w:ascii="Calibri" w:hAnsi="Calibri" w:cs="Calibri"/>
          <w:bCs/>
          <w:color w:val="000000" w:themeColor="text1"/>
          <w:sz w:val="20"/>
        </w:rPr>
        <w:t>dvodů OSVČ či návrat k</w:t>
      </w:r>
      <w:r w:rsidR="001E0921">
        <w:rPr>
          <w:rFonts w:ascii="Calibri" w:hAnsi="Calibri" w:cs="Calibri"/>
          <w:bCs/>
          <w:color w:val="000000" w:themeColor="text1"/>
          <w:sz w:val="20"/>
        </w:rPr>
        <w:t>e</w:t>
      </w:r>
      <w:r w:rsidR="00CF3E48">
        <w:rPr>
          <w:rFonts w:ascii="Calibri" w:hAnsi="Calibri" w:cs="Calibri"/>
          <w:bCs/>
          <w:color w:val="000000" w:themeColor="text1"/>
          <w:sz w:val="20"/>
        </w:rPr>
        <w:t> štědřejšímu valorizačnímu schématu penzí.</w:t>
      </w:r>
      <w:r w:rsidR="00717EDF">
        <w:rPr>
          <w:rFonts w:ascii="Calibri" w:hAnsi="Calibri" w:cs="Calibri"/>
          <w:bCs/>
          <w:color w:val="000000" w:themeColor="text1"/>
          <w:sz w:val="20"/>
        </w:rPr>
        <w:t xml:space="preserve"> Nejistotu představuje dopad zmíněného přesunu POZE z faktur domácností na jejich disponibilní důchod z důvodu odlišného načasování vyúčtování. </w:t>
      </w:r>
    </w:p>
    <w:p w14:paraId="076B297F" w14:textId="79BFC52D" w:rsidR="00684D52" w:rsidRPr="00684D52" w:rsidRDefault="00CF3E48" w:rsidP="00684D52">
      <w:pPr>
        <w:pStyle w:val="Normlnweb"/>
        <w:spacing w:before="0" w:beforeAutospacing="0" w:after="120" w:afterAutospacing="0"/>
        <w:jc w:val="both"/>
        <w:rPr>
          <w:rFonts w:ascii="Calibri" w:hAnsi="Calibri" w:cs="Calibri"/>
          <w:bCs/>
          <w:color w:val="000000" w:themeColor="text1"/>
          <w:sz w:val="20"/>
        </w:rPr>
      </w:pPr>
      <w:r>
        <w:rPr>
          <w:rFonts w:ascii="Calibri" w:hAnsi="Calibri" w:cs="Calibri"/>
          <w:bCs/>
          <w:color w:val="000000" w:themeColor="text1"/>
          <w:sz w:val="20"/>
        </w:rPr>
        <w:t>Pokud se naplní hypotéza silnější</w:t>
      </w:r>
      <w:r w:rsidR="001E0921">
        <w:rPr>
          <w:rFonts w:ascii="Calibri" w:hAnsi="Calibri" w:cs="Calibri"/>
          <w:bCs/>
          <w:color w:val="000000" w:themeColor="text1"/>
          <w:sz w:val="20"/>
        </w:rPr>
        <w:t>ho</w:t>
      </w:r>
      <w:r>
        <w:rPr>
          <w:rFonts w:ascii="Calibri" w:hAnsi="Calibri" w:cs="Calibri"/>
          <w:bCs/>
          <w:color w:val="000000" w:themeColor="text1"/>
          <w:sz w:val="20"/>
        </w:rPr>
        <w:t xml:space="preserve"> růstu disponibilního důchodu, který </w:t>
      </w:r>
      <w:hyperlink r:id="rId9" w:history="1">
        <w:r w:rsidRPr="00CF3E48">
          <w:rPr>
            <w:rStyle w:val="Hypertextovodkaz"/>
            <w:rFonts w:ascii="Calibri" w:hAnsi="Calibri" w:cs="Calibri"/>
            <w:bCs/>
            <w:sz w:val="20"/>
          </w:rPr>
          <w:t>v roce 2025 rostl pomaleji než průměrná mzda</w:t>
        </w:r>
      </w:hyperlink>
      <w:r>
        <w:rPr>
          <w:rFonts w:ascii="Calibri" w:hAnsi="Calibri" w:cs="Calibri"/>
          <w:bCs/>
          <w:color w:val="000000" w:themeColor="text1"/>
          <w:sz w:val="20"/>
        </w:rPr>
        <w:t xml:space="preserve"> (také kvůli negativním </w:t>
      </w:r>
      <w:r w:rsidR="001E0921">
        <w:rPr>
          <w:rFonts w:ascii="Calibri" w:hAnsi="Calibri" w:cs="Calibri"/>
          <w:bCs/>
          <w:color w:val="000000" w:themeColor="text1"/>
          <w:sz w:val="20"/>
        </w:rPr>
        <w:t>dopadům</w:t>
      </w:r>
      <w:r>
        <w:rPr>
          <w:rFonts w:ascii="Calibri" w:hAnsi="Calibri" w:cs="Calibri"/>
          <w:bCs/>
          <w:color w:val="000000" w:themeColor="text1"/>
          <w:sz w:val="20"/>
        </w:rPr>
        <w:t xml:space="preserve"> nižších úroků a fiskální </w:t>
      </w:r>
      <w:r w:rsidR="00FC2A77">
        <w:rPr>
          <w:rFonts w:ascii="Calibri" w:hAnsi="Calibri" w:cs="Calibri"/>
          <w:bCs/>
          <w:color w:val="000000" w:themeColor="text1"/>
          <w:sz w:val="20"/>
        </w:rPr>
        <w:t>konsolidace – její</w:t>
      </w:r>
      <w:r>
        <w:rPr>
          <w:rFonts w:ascii="Calibri" w:hAnsi="Calibri" w:cs="Calibri"/>
          <w:bCs/>
          <w:color w:val="000000" w:themeColor="text1"/>
          <w:sz w:val="20"/>
        </w:rPr>
        <w:t xml:space="preserve"> dopad zvolnil až ve druhém pololetí 2025), pak můžeme vidět silnější růst spotřeby domácností.</w:t>
      </w:r>
      <w:r w:rsidR="0035113B">
        <w:rPr>
          <w:rFonts w:ascii="Calibri" w:hAnsi="Calibri" w:cs="Calibri"/>
          <w:bCs/>
          <w:color w:val="000000" w:themeColor="text1"/>
          <w:sz w:val="20"/>
        </w:rPr>
        <w:t xml:space="preserve"> Ta by jinak implikovala další růst míry úspor domácností, která </w:t>
      </w:r>
      <w:r w:rsidR="0035113B" w:rsidRPr="0035113B">
        <w:rPr>
          <w:rFonts w:ascii="Calibri" w:hAnsi="Calibri" w:cs="Calibri"/>
          <w:bCs/>
          <w:color w:val="000000" w:themeColor="text1"/>
          <w:sz w:val="20"/>
        </w:rPr>
        <w:t>ve třetím čtvrtletí 20</w:t>
      </w:r>
      <w:r w:rsidR="0035113B">
        <w:rPr>
          <w:rFonts w:ascii="Calibri" w:hAnsi="Calibri" w:cs="Calibri"/>
          <w:bCs/>
          <w:color w:val="000000" w:themeColor="text1"/>
          <w:sz w:val="20"/>
        </w:rPr>
        <w:t>2</w:t>
      </w:r>
      <w:r w:rsidR="0035113B" w:rsidRPr="0035113B">
        <w:rPr>
          <w:rFonts w:ascii="Calibri" w:hAnsi="Calibri" w:cs="Calibri"/>
          <w:bCs/>
          <w:color w:val="000000" w:themeColor="text1"/>
          <w:sz w:val="20"/>
        </w:rPr>
        <w:t>5</w:t>
      </w:r>
      <w:r w:rsidR="0035113B">
        <w:rPr>
          <w:rFonts w:ascii="Calibri" w:hAnsi="Calibri" w:cs="Calibri"/>
          <w:bCs/>
          <w:color w:val="000000" w:themeColor="text1"/>
          <w:sz w:val="20"/>
        </w:rPr>
        <w:t xml:space="preserve"> zůstala na abnormálně vysoké úrovni </w:t>
      </w:r>
      <w:r w:rsidR="0035113B" w:rsidRPr="0035113B">
        <w:rPr>
          <w:rFonts w:ascii="Calibri" w:hAnsi="Calibri" w:cs="Calibri"/>
          <w:bCs/>
          <w:color w:val="000000" w:themeColor="text1"/>
          <w:sz w:val="20"/>
        </w:rPr>
        <w:t>18,4 %</w:t>
      </w:r>
      <w:r w:rsidR="0035113B">
        <w:rPr>
          <w:rFonts w:ascii="Calibri" w:hAnsi="Calibri" w:cs="Calibri"/>
          <w:bCs/>
          <w:color w:val="000000" w:themeColor="text1"/>
          <w:sz w:val="20"/>
        </w:rPr>
        <w:t>.</w:t>
      </w:r>
      <w:r w:rsidR="00717EDF">
        <w:rPr>
          <w:rFonts w:ascii="Calibri" w:hAnsi="Calibri" w:cs="Calibri"/>
          <w:bCs/>
          <w:color w:val="000000" w:themeColor="text1"/>
          <w:sz w:val="20"/>
        </w:rPr>
        <w:t xml:space="preserve"> Naopak d</w:t>
      </w:r>
      <w:r w:rsidR="00717EDF" w:rsidRPr="00717EDF">
        <w:rPr>
          <w:rFonts w:ascii="Calibri" w:hAnsi="Calibri" w:cs="Calibri"/>
          <w:bCs/>
          <w:color w:val="000000" w:themeColor="text1"/>
          <w:sz w:val="20"/>
        </w:rPr>
        <w:t>opad končících fixací nízko úročených hypoték mohou výdaje některých domácností tlumit – byť efekt refinancování z vyšších sazeb by měl v následujících dvou letech tento faktor neutralizovat.</w:t>
      </w:r>
      <w:r w:rsidR="00717EDF">
        <w:rPr>
          <w:rFonts w:ascii="Calibri" w:hAnsi="Calibri" w:cs="Calibri"/>
          <w:bCs/>
          <w:color w:val="000000" w:themeColor="text1"/>
          <w:sz w:val="20"/>
        </w:rPr>
        <w:t xml:space="preserve"> </w:t>
      </w:r>
      <w:r w:rsidR="0035113B">
        <w:rPr>
          <w:rFonts w:ascii="Calibri" w:hAnsi="Calibri" w:cs="Calibri"/>
          <w:bCs/>
          <w:color w:val="000000" w:themeColor="text1"/>
          <w:sz w:val="20"/>
        </w:rPr>
        <w:t xml:space="preserve">Spotřeba domácností může být v naší predikci podpořena i </w:t>
      </w:r>
      <w:r w:rsidR="00481E81">
        <w:rPr>
          <w:rFonts w:ascii="Calibri" w:hAnsi="Calibri" w:cs="Calibri"/>
          <w:bCs/>
          <w:color w:val="000000" w:themeColor="text1"/>
          <w:sz w:val="20"/>
        </w:rPr>
        <w:t xml:space="preserve">rizikem </w:t>
      </w:r>
      <w:r w:rsidR="0035113B">
        <w:rPr>
          <w:rFonts w:ascii="Calibri" w:hAnsi="Calibri" w:cs="Calibri"/>
          <w:bCs/>
          <w:color w:val="000000" w:themeColor="text1"/>
          <w:sz w:val="20"/>
        </w:rPr>
        <w:t>další realokac</w:t>
      </w:r>
      <w:r w:rsidR="00481E81">
        <w:rPr>
          <w:rFonts w:ascii="Calibri" w:hAnsi="Calibri" w:cs="Calibri"/>
          <w:bCs/>
          <w:color w:val="000000" w:themeColor="text1"/>
          <w:sz w:val="20"/>
        </w:rPr>
        <w:t>e</w:t>
      </w:r>
      <w:r w:rsidR="0035113B">
        <w:rPr>
          <w:rFonts w:ascii="Calibri" w:hAnsi="Calibri" w:cs="Calibri"/>
          <w:bCs/>
          <w:color w:val="000000" w:themeColor="text1"/>
          <w:sz w:val="20"/>
        </w:rPr>
        <w:t xml:space="preserve"> veřejných investičních výdajů, například z obranného sektoru</w:t>
      </w:r>
      <w:r w:rsidR="00481E81">
        <w:rPr>
          <w:rFonts w:ascii="Calibri" w:hAnsi="Calibri" w:cs="Calibri"/>
          <w:bCs/>
          <w:color w:val="000000" w:themeColor="text1"/>
          <w:sz w:val="20"/>
        </w:rPr>
        <w:t xml:space="preserve"> či zpomalení/odložení výstavby nových energetických kapacit</w:t>
      </w:r>
      <w:r w:rsidR="0035113B">
        <w:rPr>
          <w:rFonts w:ascii="Calibri" w:hAnsi="Calibri" w:cs="Calibri"/>
          <w:bCs/>
          <w:color w:val="000000" w:themeColor="text1"/>
          <w:sz w:val="20"/>
        </w:rPr>
        <w:t xml:space="preserve">, směrem ke spotřebě. </w:t>
      </w:r>
    </w:p>
    <w:p w14:paraId="5C20B573" w14:textId="080B9463" w:rsidR="00684D52" w:rsidRDefault="00684D52" w:rsidP="00684D52">
      <w:pPr>
        <w:pStyle w:val="Normlnweb"/>
        <w:spacing w:before="0" w:beforeAutospacing="0" w:after="120" w:afterAutospacing="0"/>
        <w:jc w:val="both"/>
        <w:rPr>
          <w:rFonts w:ascii="Calibri" w:hAnsi="Calibri" w:cs="Calibri"/>
          <w:bCs/>
          <w:color w:val="000000" w:themeColor="text1"/>
          <w:sz w:val="20"/>
        </w:rPr>
      </w:pPr>
      <w:r w:rsidRPr="00684D52">
        <w:rPr>
          <w:rFonts w:ascii="Calibri" w:hAnsi="Calibri" w:cs="Calibri"/>
          <w:bCs/>
          <w:color w:val="000000" w:themeColor="text1"/>
          <w:sz w:val="20"/>
        </w:rPr>
        <w:t xml:space="preserve">Vládní spotřeba </w:t>
      </w:r>
      <w:r w:rsidR="00CF3E48">
        <w:rPr>
          <w:rFonts w:ascii="Calibri" w:hAnsi="Calibri" w:cs="Calibri"/>
          <w:bCs/>
          <w:color w:val="000000" w:themeColor="text1"/>
          <w:sz w:val="20"/>
        </w:rPr>
        <w:t xml:space="preserve">v našem výhledu </w:t>
      </w:r>
      <w:r w:rsidRPr="00684D52">
        <w:rPr>
          <w:rFonts w:ascii="Calibri" w:hAnsi="Calibri" w:cs="Calibri"/>
          <w:bCs/>
          <w:color w:val="000000" w:themeColor="text1"/>
          <w:sz w:val="20"/>
        </w:rPr>
        <w:t>roste stabilním tempem kolem 2,2 %</w:t>
      </w:r>
      <w:r w:rsidR="00CF3E48">
        <w:rPr>
          <w:rFonts w:ascii="Calibri" w:hAnsi="Calibri" w:cs="Calibri"/>
          <w:bCs/>
          <w:color w:val="000000" w:themeColor="text1"/>
          <w:sz w:val="20"/>
        </w:rPr>
        <w:t xml:space="preserve"> (o 0,2 p.</w:t>
      </w:r>
      <w:r w:rsidR="00FC2A77">
        <w:rPr>
          <w:rFonts w:ascii="Calibri" w:hAnsi="Calibri" w:cs="Calibri"/>
          <w:bCs/>
          <w:color w:val="000000" w:themeColor="text1"/>
          <w:sz w:val="20"/>
        </w:rPr>
        <w:t xml:space="preserve"> </w:t>
      </w:r>
      <w:r w:rsidR="00CF3E48">
        <w:rPr>
          <w:rFonts w:ascii="Calibri" w:hAnsi="Calibri" w:cs="Calibri"/>
          <w:bCs/>
          <w:color w:val="000000" w:themeColor="text1"/>
          <w:sz w:val="20"/>
        </w:rPr>
        <w:t>b silněji než v minulé predikci)</w:t>
      </w:r>
      <w:r w:rsidRPr="00684D52">
        <w:rPr>
          <w:rFonts w:ascii="Calibri" w:hAnsi="Calibri" w:cs="Calibri"/>
          <w:bCs/>
          <w:color w:val="000000" w:themeColor="text1"/>
          <w:sz w:val="20"/>
        </w:rPr>
        <w:t xml:space="preserve">, zatímco investiční aktivita po výrazném poklesu v roce 2024 (–3,0 %) postupně ožívá. </w:t>
      </w:r>
      <w:r w:rsidR="00CF3E48">
        <w:rPr>
          <w:rFonts w:ascii="Calibri" w:hAnsi="Calibri" w:cs="Calibri"/>
          <w:bCs/>
          <w:color w:val="000000" w:themeColor="text1"/>
          <w:sz w:val="20"/>
        </w:rPr>
        <w:t xml:space="preserve">Do </w:t>
      </w:r>
      <w:r w:rsidR="001E0921">
        <w:rPr>
          <w:rFonts w:ascii="Calibri" w:hAnsi="Calibri" w:cs="Calibri"/>
          <w:bCs/>
          <w:color w:val="000000" w:themeColor="text1"/>
          <w:sz w:val="20"/>
        </w:rPr>
        <w:t xml:space="preserve">jejich </w:t>
      </w:r>
      <w:r w:rsidR="00CF3E48">
        <w:rPr>
          <w:rFonts w:ascii="Calibri" w:hAnsi="Calibri" w:cs="Calibri"/>
          <w:bCs/>
          <w:color w:val="000000" w:themeColor="text1"/>
          <w:sz w:val="20"/>
        </w:rPr>
        <w:t xml:space="preserve">zlepšeného růstu v </w:t>
      </w:r>
      <w:r w:rsidRPr="00684D52">
        <w:rPr>
          <w:rFonts w:ascii="Calibri" w:hAnsi="Calibri" w:cs="Calibri"/>
          <w:bCs/>
          <w:color w:val="000000" w:themeColor="text1"/>
          <w:sz w:val="20"/>
        </w:rPr>
        <w:t>roce 2025</w:t>
      </w:r>
      <w:r w:rsidR="00CF3E48">
        <w:rPr>
          <w:rFonts w:ascii="Calibri" w:hAnsi="Calibri" w:cs="Calibri"/>
          <w:bCs/>
          <w:color w:val="000000" w:themeColor="text1"/>
          <w:sz w:val="20"/>
        </w:rPr>
        <w:t xml:space="preserve"> o 0,</w:t>
      </w:r>
      <w:r w:rsidRPr="00684D52">
        <w:rPr>
          <w:rFonts w:ascii="Calibri" w:hAnsi="Calibri" w:cs="Calibri"/>
          <w:bCs/>
          <w:color w:val="000000" w:themeColor="text1"/>
          <w:sz w:val="20"/>
        </w:rPr>
        <w:t>9 %</w:t>
      </w:r>
      <w:r w:rsidR="00CF3E48">
        <w:rPr>
          <w:rFonts w:ascii="Calibri" w:hAnsi="Calibri" w:cs="Calibri"/>
          <w:bCs/>
          <w:color w:val="000000" w:themeColor="text1"/>
          <w:sz w:val="20"/>
        </w:rPr>
        <w:t xml:space="preserve"> meziročně</w:t>
      </w:r>
      <w:r w:rsidR="0035113B">
        <w:rPr>
          <w:rFonts w:ascii="Calibri" w:hAnsi="Calibri" w:cs="Calibri"/>
          <w:bCs/>
          <w:color w:val="000000" w:themeColor="text1"/>
          <w:sz w:val="20"/>
        </w:rPr>
        <w:t xml:space="preserve"> se </w:t>
      </w:r>
      <w:r w:rsidR="001E0921">
        <w:rPr>
          <w:rFonts w:ascii="Calibri" w:hAnsi="Calibri" w:cs="Calibri"/>
          <w:bCs/>
          <w:color w:val="000000" w:themeColor="text1"/>
          <w:sz w:val="20"/>
        </w:rPr>
        <w:t>promítají</w:t>
      </w:r>
      <w:r w:rsidR="0035113B">
        <w:rPr>
          <w:rFonts w:ascii="Calibri" w:hAnsi="Calibri" w:cs="Calibri"/>
          <w:bCs/>
          <w:color w:val="000000" w:themeColor="text1"/>
          <w:sz w:val="20"/>
        </w:rPr>
        <w:t xml:space="preserve"> </w:t>
      </w:r>
      <w:r w:rsidRPr="00684D52">
        <w:rPr>
          <w:rFonts w:ascii="Calibri" w:hAnsi="Calibri" w:cs="Calibri"/>
          <w:bCs/>
          <w:color w:val="000000" w:themeColor="text1"/>
          <w:sz w:val="20"/>
        </w:rPr>
        <w:t>silnější vládní investi</w:t>
      </w:r>
      <w:r w:rsidR="0035113B">
        <w:rPr>
          <w:rFonts w:ascii="Calibri" w:hAnsi="Calibri" w:cs="Calibri"/>
          <w:bCs/>
          <w:color w:val="000000" w:themeColor="text1"/>
          <w:sz w:val="20"/>
        </w:rPr>
        <w:t xml:space="preserve">ce. </w:t>
      </w:r>
      <w:r w:rsidR="001E0921">
        <w:rPr>
          <w:rFonts w:ascii="Calibri" w:hAnsi="Calibri" w:cs="Calibri"/>
          <w:bCs/>
          <w:color w:val="000000" w:themeColor="text1"/>
          <w:sz w:val="20"/>
        </w:rPr>
        <w:t xml:space="preserve">Další </w:t>
      </w:r>
      <w:r w:rsidR="0035113B">
        <w:rPr>
          <w:rFonts w:ascii="Calibri" w:hAnsi="Calibri" w:cs="Calibri"/>
          <w:bCs/>
          <w:color w:val="000000" w:themeColor="text1"/>
          <w:sz w:val="20"/>
        </w:rPr>
        <w:t xml:space="preserve">zrychlení investiční aktivity v letošním roce a v příštím roce nad </w:t>
      </w:r>
      <w:r w:rsidRPr="00684D52">
        <w:rPr>
          <w:rFonts w:ascii="Calibri" w:hAnsi="Calibri" w:cs="Calibri"/>
          <w:bCs/>
          <w:color w:val="000000" w:themeColor="text1"/>
          <w:sz w:val="20"/>
        </w:rPr>
        <w:t>3 % meziročně</w:t>
      </w:r>
      <w:r w:rsidR="0035113B">
        <w:rPr>
          <w:rFonts w:ascii="Calibri" w:hAnsi="Calibri" w:cs="Calibri"/>
          <w:bCs/>
          <w:color w:val="000000" w:themeColor="text1"/>
          <w:sz w:val="20"/>
        </w:rPr>
        <w:t xml:space="preserve"> </w:t>
      </w:r>
      <w:r w:rsidR="001E0921">
        <w:rPr>
          <w:rFonts w:ascii="Calibri" w:hAnsi="Calibri" w:cs="Calibri"/>
          <w:bCs/>
          <w:color w:val="000000" w:themeColor="text1"/>
          <w:sz w:val="20"/>
        </w:rPr>
        <w:t>(</w:t>
      </w:r>
      <w:r w:rsidR="0035113B">
        <w:rPr>
          <w:rFonts w:ascii="Calibri" w:hAnsi="Calibri" w:cs="Calibri"/>
          <w:bCs/>
          <w:color w:val="000000" w:themeColor="text1"/>
          <w:sz w:val="20"/>
        </w:rPr>
        <w:t>s kumulativním zlepšením výhledu o 0,4 p.</w:t>
      </w:r>
      <w:r w:rsidR="00FC2A77">
        <w:rPr>
          <w:rFonts w:ascii="Calibri" w:hAnsi="Calibri" w:cs="Calibri"/>
          <w:bCs/>
          <w:color w:val="000000" w:themeColor="text1"/>
          <w:sz w:val="20"/>
        </w:rPr>
        <w:t xml:space="preserve"> </w:t>
      </w:r>
      <w:r w:rsidR="0035113B">
        <w:rPr>
          <w:rFonts w:ascii="Calibri" w:hAnsi="Calibri" w:cs="Calibri"/>
          <w:bCs/>
          <w:color w:val="000000" w:themeColor="text1"/>
          <w:sz w:val="20"/>
        </w:rPr>
        <w:t>b.</w:t>
      </w:r>
      <w:r w:rsidR="001E0921">
        <w:rPr>
          <w:rFonts w:ascii="Calibri" w:hAnsi="Calibri" w:cs="Calibri"/>
          <w:bCs/>
          <w:color w:val="000000" w:themeColor="text1"/>
          <w:sz w:val="20"/>
        </w:rPr>
        <w:t>)</w:t>
      </w:r>
      <w:r w:rsidR="0035113B">
        <w:rPr>
          <w:rFonts w:ascii="Calibri" w:hAnsi="Calibri" w:cs="Calibri"/>
          <w:bCs/>
          <w:color w:val="000000" w:themeColor="text1"/>
          <w:sz w:val="20"/>
        </w:rPr>
        <w:t xml:space="preserve"> odráží </w:t>
      </w:r>
      <w:r w:rsidR="001E0921">
        <w:rPr>
          <w:rFonts w:ascii="Calibri" w:hAnsi="Calibri" w:cs="Calibri"/>
          <w:bCs/>
          <w:color w:val="000000" w:themeColor="text1"/>
          <w:sz w:val="20"/>
        </w:rPr>
        <w:t xml:space="preserve">pokračující </w:t>
      </w:r>
      <w:r w:rsidR="00CF3E48">
        <w:rPr>
          <w:rFonts w:ascii="Calibri" w:hAnsi="Calibri" w:cs="Calibri"/>
          <w:bCs/>
          <w:color w:val="000000" w:themeColor="text1"/>
          <w:sz w:val="20"/>
        </w:rPr>
        <w:t>sil</w:t>
      </w:r>
      <w:r w:rsidR="0035113B">
        <w:rPr>
          <w:rFonts w:ascii="Calibri" w:hAnsi="Calibri" w:cs="Calibri"/>
          <w:bCs/>
          <w:color w:val="000000" w:themeColor="text1"/>
          <w:sz w:val="20"/>
        </w:rPr>
        <w:t>né</w:t>
      </w:r>
      <w:r w:rsidR="00CF3E48">
        <w:rPr>
          <w:rFonts w:ascii="Calibri" w:hAnsi="Calibri" w:cs="Calibri"/>
          <w:bCs/>
          <w:color w:val="000000" w:themeColor="text1"/>
          <w:sz w:val="20"/>
        </w:rPr>
        <w:t xml:space="preserve"> veřejn</w:t>
      </w:r>
      <w:r w:rsidR="0035113B">
        <w:rPr>
          <w:rFonts w:ascii="Calibri" w:hAnsi="Calibri" w:cs="Calibri"/>
          <w:bCs/>
          <w:color w:val="000000" w:themeColor="text1"/>
          <w:sz w:val="20"/>
        </w:rPr>
        <w:t>é</w:t>
      </w:r>
      <w:r w:rsidR="00CF3E48">
        <w:rPr>
          <w:rFonts w:ascii="Calibri" w:hAnsi="Calibri" w:cs="Calibri"/>
          <w:bCs/>
          <w:color w:val="000000" w:themeColor="text1"/>
          <w:sz w:val="20"/>
        </w:rPr>
        <w:t xml:space="preserve"> investice</w:t>
      </w:r>
      <w:r w:rsidR="0035113B">
        <w:rPr>
          <w:rFonts w:ascii="Calibri" w:hAnsi="Calibri" w:cs="Calibri"/>
          <w:bCs/>
          <w:color w:val="000000" w:themeColor="text1"/>
          <w:sz w:val="20"/>
        </w:rPr>
        <w:t>, ale i</w:t>
      </w:r>
      <w:r w:rsidRPr="00684D52">
        <w:rPr>
          <w:rFonts w:ascii="Calibri" w:hAnsi="Calibri" w:cs="Calibri"/>
          <w:bCs/>
          <w:color w:val="000000" w:themeColor="text1"/>
          <w:sz w:val="20"/>
        </w:rPr>
        <w:t xml:space="preserve"> nižší úrov</w:t>
      </w:r>
      <w:r w:rsidR="0035113B">
        <w:rPr>
          <w:rFonts w:ascii="Calibri" w:hAnsi="Calibri" w:cs="Calibri"/>
          <w:bCs/>
          <w:color w:val="000000" w:themeColor="text1"/>
          <w:sz w:val="20"/>
        </w:rPr>
        <w:t>eň</w:t>
      </w:r>
      <w:r w:rsidRPr="00684D52">
        <w:rPr>
          <w:rFonts w:ascii="Calibri" w:hAnsi="Calibri" w:cs="Calibri"/>
          <w:bCs/>
          <w:color w:val="000000" w:themeColor="text1"/>
          <w:sz w:val="20"/>
        </w:rPr>
        <w:t xml:space="preserve"> úrokových sazeb</w:t>
      </w:r>
      <w:r w:rsidR="001E0921">
        <w:rPr>
          <w:rFonts w:ascii="Calibri" w:hAnsi="Calibri" w:cs="Calibri"/>
          <w:bCs/>
          <w:color w:val="000000" w:themeColor="text1"/>
          <w:sz w:val="20"/>
        </w:rPr>
        <w:t>. Zároveň se zde promítá se</w:t>
      </w:r>
      <w:r w:rsidRPr="00684D52">
        <w:rPr>
          <w:rFonts w:ascii="Calibri" w:hAnsi="Calibri" w:cs="Calibri"/>
          <w:bCs/>
          <w:color w:val="000000" w:themeColor="text1"/>
          <w:sz w:val="20"/>
        </w:rPr>
        <w:t xml:space="preserve"> silnější růstem ekonomiky </w:t>
      </w:r>
      <w:r w:rsidR="0035113B">
        <w:rPr>
          <w:rFonts w:ascii="Calibri" w:hAnsi="Calibri" w:cs="Calibri"/>
          <w:bCs/>
          <w:color w:val="000000" w:themeColor="text1"/>
          <w:sz w:val="20"/>
        </w:rPr>
        <w:t>spojen</w:t>
      </w:r>
      <w:r w:rsidR="001E0921">
        <w:rPr>
          <w:rFonts w:ascii="Calibri" w:hAnsi="Calibri" w:cs="Calibri"/>
          <w:bCs/>
          <w:color w:val="000000" w:themeColor="text1"/>
          <w:sz w:val="20"/>
        </w:rPr>
        <w:t>é</w:t>
      </w:r>
      <w:r w:rsidR="0035113B">
        <w:rPr>
          <w:rFonts w:ascii="Calibri" w:hAnsi="Calibri" w:cs="Calibri"/>
          <w:bCs/>
          <w:color w:val="000000" w:themeColor="text1"/>
          <w:sz w:val="20"/>
        </w:rPr>
        <w:t xml:space="preserve"> </w:t>
      </w:r>
      <w:proofErr w:type="spellStart"/>
      <w:r w:rsidRPr="00684D52">
        <w:rPr>
          <w:rFonts w:ascii="Calibri" w:hAnsi="Calibri" w:cs="Calibri"/>
          <w:bCs/>
          <w:color w:val="000000" w:themeColor="text1"/>
          <w:sz w:val="20"/>
        </w:rPr>
        <w:t>procyklick</w:t>
      </w:r>
      <w:r w:rsidR="001E0921">
        <w:rPr>
          <w:rFonts w:ascii="Calibri" w:hAnsi="Calibri" w:cs="Calibri"/>
          <w:bCs/>
          <w:color w:val="000000" w:themeColor="text1"/>
          <w:sz w:val="20"/>
        </w:rPr>
        <w:t>é</w:t>
      </w:r>
      <w:proofErr w:type="spellEnd"/>
      <w:r w:rsidRPr="00684D52">
        <w:rPr>
          <w:rFonts w:ascii="Calibri" w:hAnsi="Calibri" w:cs="Calibri"/>
          <w:bCs/>
          <w:color w:val="000000" w:themeColor="text1"/>
          <w:sz w:val="20"/>
        </w:rPr>
        <w:t xml:space="preserve"> chován</w:t>
      </w:r>
      <w:r w:rsidR="001E0921">
        <w:rPr>
          <w:rFonts w:ascii="Calibri" w:hAnsi="Calibri" w:cs="Calibri"/>
          <w:bCs/>
          <w:color w:val="000000" w:themeColor="text1"/>
          <w:sz w:val="20"/>
        </w:rPr>
        <w:t>í</w:t>
      </w:r>
      <w:r w:rsidRPr="00684D52">
        <w:rPr>
          <w:rFonts w:ascii="Calibri" w:hAnsi="Calibri" w:cs="Calibri"/>
          <w:bCs/>
          <w:color w:val="000000" w:themeColor="text1"/>
          <w:sz w:val="20"/>
        </w:rPr>
        <w:t xml:space="preserve"> investic.</w:t>
      </w:r>
      <w:r w:rsidR="0035113B">
        <w:rPr>
          <w:rFonts w:ascii="Calibri" w:hAnsi="Calibri" w:cs="Calibri"/>
          <w:bCs/>
          <w:color w:val="000000" w:themeColor="text1"/>
          <w:sz w:val="20"/>
        </w:rPr>
        <w:t xml:space="preserve"> V soukromém sektoru budou rovněž nadále působit investiční trendy spojené s vyššími výdaji na obranu v Evropě, jakož i energetické investice. </w:t>
      </w:r>
      <w:r w:rsidRPr="00684D52">
        <w:rPr>
          <w:rFonts w:ascii="Calibri" w:hAnsi="Calibri" w:cs="Calibri"/>
          <w:bCs/>
          <w:color w:val="000000" w:themeColor="text1"/>
          <w:sz w:val="20"/>
        </w:rPr>
        <w:t xml:space="preserve">Rizikem zůstává </w:t>
      </w:r>
      <w:r w:rsidR="00CF3E48">
        <w:rPr>
          <w:rFonts w:ascii="Calibri" w:hAnsi="Calibri" w:cs="Calibri"/>
          <w:bCs/>
          <w:color w:val="000000" w:themeColor="text1"/>
          <w:sz w:val="20"/>
        </w:rPr>
        <w:t>lednový pokles</w:t>
      </w:r>
      <w:r w:rsidRPr="00684D52">
        <w:rPr>
          <w:rFonts w:ascii="Calibri" w:hAnsi="Calibri" w:cs="Calibri"/>
          <w:bCs/>
          <w:color w:val="000000" w:themeColor="text1"/>
          <w:sz w:val="20"/>
        </w:rPr>
        <w:t xml:space="preserve"> využití výrobních kapacit v průmyslu a přetrvávající nejistota na straně zahraniční poptávky po průmyslových výrobcích. U nově poskytovaných úvěrů nefinančním podnikům zároveň nelze vyloučit</w:t>
      </w:r>
      <w:r w:rsidR="001E5D51">
        <w:rPr>
          <w:rFonts w:ascii="Calibri" w:hAnsi="Calibri" w:cs="Calibri"/>
          <w:bCs/>
          <w:color w:val="000000" w:themeColor="text1"/>
          <w:sz w:val="20"/>
        </w:rPr>
        <w:t xml:space="preserve"> hypotézu</w:t>
      </w:r>
      <w:r w:rsidRPr="00684D52">
        <w:rPr>
          <w:rFonts w:ascii="Calibri" w:hAnsi="Calibri" w:cs="Calibri"/>
          <w:bCs/>
          <w:color w:val="000000" w:themeColor="text1"/>
          <w:sz w:val="20"/>
        </w:rPr>
        <w:t>, že část prostředků je využívána spíše k posílení likvidity než k realizaci nových investičních projektů.</w:t>
      </w:r>
    </w:p>
    <w:p w14:paraId="371C8FB9" w14:textId="0EB5353D" w:rsidR="00410CB7" w:rsidRDefault="001E5D51" w:rsidP="00A1698B">
      <w:pPr>
        <w:pStyle w:val="Normlnweb"/>
        <w:spacing w:before="0" w:beforeAutospacing="0" w:after="120" w:afterAutospacing="0"/>
        <w:jc w:val="both"/>
        <w:rPr>
          <w:rFonts w:ascii="Calibri" w:hAnsi="Calibri" w:cs="Calibri"/>
          <w:bCs/>
          <w:color w:val="000000" w:themeColor="text1"/>
          <w:sz w:val="20"/>
        </w:rPr>
      </w:pPr>
      <w:r w:rsidRPr="003503ED">
        <w:rPr>
          <w:b/>
          <w:bCs/>
          <w:noProof/>
          <w:color w:val="FF0000"/>
          <w:sz w:val="20"/>
        </w:rPr>
        <mc:AlternateContent>
          <mc:Choice Requires="wps">
            <w:drawing>
              <wp:anchor distT="45720" distB="45720" distL="114300" distR="114300" simplePos="0" relativeHeight="251671552" behindDoc="0" locked="0" layoutInCell="1" allowOverlap="1" wp14:anchorId="1E9B9E01" wp14:editId="2A6A6FB5">
                <wp:simplePos x="0" y="0"/>
                <wp:positionH relativeFrom="margin">
                  <wp:posOffset>2540</wp:posOffset>
                </wp:positionH>
                <wp:positionV relativeFrom="paragraph">
                  <wp:posOffset>694055</wp:posOffset>
                </wp:positionV>
                <wp:extent cx="6461760" cy="809625"/>
                <wp:effectExtent l="0" t="0" r="15240" b="28575"/>
                <wp:wrapSquare wrapText="bothSides"/>
                <wp:docPr id="3385519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809625"/>
                        </a:xfrm>
                        <a:prstGeom prst="rect">
                          <a:avLst/>
                        </a:prstGeom>
                        <a:solidFill>
                          <a:srgbClr val="FFFFFF"/>
                        </a:solidFill>
                        <a:ln w="9525">
                          <a:solidFill>
                            <a:srgbClr val="000000"/>
                          </a:solidFill>
                          <a:miter lim="800000"/>
                          <a:headEnd/>
                          <a:tailEnd/>
                        </a:ln>
                      </wps:spPr>
                      <wps:txbx>
                        <w:txbxContent>
                          <w:p w14:paraId="5FD47594" w14:textId="79AFF016" w:rsidR="00603693" w:rsidRDefault="00410CB7" w:rsidP="00603693">
                            <w:pPr>
                              <w:rPr>
                                <w:rFonts w:ascii="Calibri" w:hAnsi="Calibri" w:cs="Calibri"/>
                                <w:b/>
                                <w:bCs/>
                                <w:sz w:val="20"/>
                              </w:rPr>
                            </w:pPr>
                            <w:r>
                              <w:rPr>
                                <w:rFonts w:ascii="Calibri" w:hAnsi="Calibri" w:cs="Calibri"/>
                                <w:b/>
                                <w:bCs/>
                                <w:sz w:val="20"/>
                              </w:rPr>
                              <w:t xml:space="preserve">Jan </w:t>
                            </w:r>
                            <w:r>
                              <w:rPr>
                                <w:rFonts w:ascii="Calibri" w:hAnsi="Calibri" w:cs="Calibri"/>
                                <w:b/>
                                <w:bCs/>
                                <w:sz w:val="20"/>
                              </w:rPr>
                              <w:t>Vejmělek</w:t>
                            </w:r>
                            <w:r w:rsidR="00603693" w:rsidRPr="00222AA1">
                              <w:rPr>
                                <w:rFonts w:ascii="Calibri" w:hAnsi="Calibri" w:cs="Calibri"/>
                                <w:b/>
                                <w:bCs/>
                                <w:sz w:val="20"/>
                              </w:rPr>
                              <w:t xml:space="preserve">, </w:t>
                            </w:r>
                            <w:r w:rsidR="00603693">
                              <w:rPr>
                                <w:rFonts w:ascii="Calibri" w:hAnsi="Calibri" w:cs="Calibri"/>
                                <w:b/>
                                <w:bCs/>
                                <w:sz w:val="20"/>
                              </w:rPr>
                              <w:t xml:space="preserve">hlavní ekonom </w:t>
                            </w:r>
                            <w:r>
                              <w:rPr>
                                <w:rFonts w:ascii="Calibri" w:hAnsi="Calibri" w:cs="Calibri"/>
                                <w:b/>
                                <w:bCs/>
                                <w:sz w:val="20"/>
                              </w:rPr>
                              <w:t>Komerční banky</w:t>
                            </w:r>
                            <w:r w:rsidR="00603693">
                              <w:rPr>
                                <w:rFonts w:ascii="Calibri" w:hAnsi="Calibri" w:cs="Calibri"/>
                                <w:b/>
                                <w:bCs/>
                                <w:sz w:val="20"/>
                              </w:rPr>
                              <w:t xml:space="preserve">:  </w:t>
                            </w:r>
                          </w:p>
                          <w:p w14:paraId="74AF944A" w14:textId="02346741" w:rsidR="00603693" w:rsidRPr="0035275E" w:rsidRDefault="009D0908" w:rsidP="00603693">
                            <w:pPr>
                              <w:rPr>
                                <w:rFonts w:ascii="Calibri" w:hAnsi="Calibri" w:cs="Calibri"/>
                                <w:i/>
                                <w:iCs/>
                                <w:color w:val="000000" w:themeColor="text1"/>
                                <w:sz w:val="20"/>
                              </w:rPr>
                            </w:pPr>
                            <w:r w:rsidRPr="009D0908">
                              <w:rPr>
                                <w:rFonts w:ascii="Calibri" w:hAnsi="Calibri" w:cs="Calibri"/>
                                <w:i/>
                                <w:iCs/>
                                <w:color w:val="000000" w:themeColor="text1"/>
                                <w:sz w:val="20"/>
                              </w:rPr>
                              <w:t>„Rok 2025 ukázal na odolnost české ekonomiky. Ve světle geopolitických nejistot a přemalovávání mezinárodně obchodních vztahů v souvislosti se zaváděním cel na dovozy do USA rostla vloni ekonomika nejrychleji za poslední tři roky. Spotřeba domácností se vrátila na předpandemickou úroveň, zrovna tak reálné mzdy, investice rostly dále výrazněji nad ni.</w:t>
                            </w:r>
                            <w:r w:rsidR="00A1698B" w:rsidRPr="00A1698B">
                              <w:rPr>
                                <w:rFonts w:ascii="Calibri" w:hAnsi="Calibri" w:cs="Calibri"/>
                                <w:i/>
                                <w:iCs/>
                                <w:color w:val="000000" w:themeColor="text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B9E01" id="_x0000_s1027" type="#_x0000_t202" style="position:absolute;left:0;text-align:left;margin-left:.2pt;margin-top:54.65pt;width:508.8pt;height:63.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HoEAIAACYEAAAOAAAAZHJzL2Uyb0RvYy54bWysU9tu2zAMfR+wfxD0vtgJkrQx4hRdugwD&#10;ugvQ7QNkWY6FyaJGKbG7rx+luGl2wR6G6UEgReqQPCTXN0Nn2FGh12BLPp3knCkrodZ2X/Ivn3ev&#10;rjnzQdhaGLCq5I/K85vNyxfr3hVqBi2YWiEjEOuL3pW8DcEVWeZlqzrhJ+CUJWMD2IlAKu6zGkVP&#10;6J3JZnm+zHrA2iFI5T293p2MfJPwm0bJ8LFpvArMlJxyC+nGdFfxzjZrUexRuFbLMQ3xD1l0QlsK&#10;eoa6E0GwA+rfoDotETw0YSKhy6BptFSpBqpmmv9SzUMrnEq1EDnenWny/w9Wfjg+uE/IwvAaBmpg&#10;KsK7e5BfPbOwbYXdq1tE6Fslago8jZRlvfPF+DVS7QsfQar+PdTUZHEIkICGBrvICtXJCJ0a8Hgm&#10;XQ2BSXpczpfTqyWZJNmu89VytkghRPH026EPbxV0LAolR2pqQhfHex9iNqJ4conBPBhd77QxScF9&#10;tTXIjoIGYJfOiP6Tm7GsL/lqQbH/DpGn8yeITgeaZKO7WEU80UkUkbY3tk5yENqcZErZ2JHHSN2J&#10;xDBUA9P1SHKktYL6kYhFOA0uLRoJLeB3znoa2pL7bweBijPzzlJzVtP5PE55UuaLqxkpeGmpLi3C&#10;SoIqeeDsJG5D2oyYtoVbamKjE7/PmYwp0zAm2sfFidN+qSev5/Xe/AAAAP//AwBQSwMEFAAGAAgA&#10;AAAhAIN1KZTfAAAACQEAAA8AAABkcnMvZG93bnJldi54bWxMj8FOwzAQRO9I/IO1SFwQtdtUIQ1x&#10;KoQEghuUqlzd2E0i7HWw3TT8PdsTHHdmNPumWk/OstGE2HuUMJ8JYAYbr3tsJWw/nm4LYDEp1Mp6&#10;NBJ+TIR1fXlRqVL7E76bcZNaRiUYSyWhS2koOY9NZ5yKMz8YJO/gg1OJztByHdSJyp3lCyFy7lSP&#10;9KFTg3nsTPO1OToJxfJl/Iyv2duuyQ92lW7uxufvIOX11fRwDyyZKf2F4YxP6FAT094fUUdmJSwp&#10;R6pYZcDOtpgXtG0vYZHlBfC64v8X1L8AAAD//wMAUEsBAi0AFAAGAAgAAAAhALaDOJL+AAAA4QEA&#10;ABMAAAAAAAAAAAAAAAAAAAAAAFtDb250ZW50X1R5cGVzXS54bWxQSwECLQAUAAYACAAAACEAOP0h&#10;/9YAAACUAQAACwAAAAAAAAAAAAAAAAAvAQAAX3JlbHMvLnJlbHNQSwECLQAUAAYACAAAACEAVtBh&#10;6BACAAAmBAAADgAAAAAAAAAAAAAAAAAuAgAAZHJzL2Uyb0RvYy54bWxQSwECLQAUAAYACAAAACEA&#10;g3UplN8AAAAJAQAADwAAAAAAAAAAAAAAAABqBAAAZHJzL2Rvd25yZXYueG1sUEsFBgAAAAAEAAQA&#10;8wAAAHYFAAAAAA==&#10;">
                <v:textbox>
                  <w:txbxContent>
                    <w:p w14:paraId="5FD47594" w14:textId="79AFF016" w:rsidR="00603693" w:rsidRDefault="00410CB7" w:rsidP="00603693">
                      <w:pPr>
                        <w:rPr>
                          <w:rFonts w:ascii="Calibri" w:hAnsi="Calibri" w:cs="Calibri"/>
                          <w:b/>
                          <w:bCs/>
                          <w:sz w:val="20"/>
                        </w:rPr>
                      </w:pPr>
                      <w:r>
                        <w:rPr>
                          <w:rFonts w:ascii="Calibri" w:hAnsi="Calibri" w:cs="Calibri"/>
                          <w:b/>
                          <w:bCs/>
                          <w:sz w:val="20"/>
                        </w:rPr>
                        <w:t xml:space="preserve">Jan </w:t>
                      </w:r>
                      <w:proofErr w:type="spellStart"/>
                      <w:r>
                        <w:rPr>
                          <w:rFonts w:ascii="Calibri" w:hAnsi="Calibri" w:cs="Calibri"/>
                          <w:b/>
                          <w:bCs/>
                          <w:sz w:val="20"/>
                        </w:rPr>
                        <w:t>Vejmělek</w:t>
                      </w:r>
                      <w:proofErr w:type="spellEnd"/>
                      <w:r w:rsidR="00603693" w:rsidRPr="00222AA1">
                        <w:rPr>
                          <w:rFonts w:ascii="Calibri" w:hAnsi="Calibri" w:cs="Calibri"/>
                          <w:b/>
                          <w:bCs/>
                          <w:sz w:val="20"/>
                        </w:rPr>
                        <w:t xml:space="preserve">, </w:t>
                      </w:r>
                      <w:r w:rsidR="00603693">
                        <w:rPr>
                          <w:rFonts w:ascii="Calibri" w:hAnsi="Calibri" w:cs="Calibri"/>
                          <w:b/>
                          <w:bCs/>
                          <w:sz w:val="20"/>
                        </w:rPr>
                        <w:t xml:space="preserve">hlavní ekonom </w:t>
                      </w:r>
                      <w:r>
                        <w:rPr>
                          <w:rFonts w:ascii="Calibri" w:hAnsi="Calibri" w:cs="Calibri"/>
                          <w:b/>
                          <w:bCs/>
                          <w:sz w:val="20"/>
                        </w:rPr>
                        <w:t>Komerční banky</w:t>
                      </w:r>
                      <w:r w:rsidR="00603693">
                        <w:rPr>
                          <w:rFonts w:ascii="Calibri" w:hAnsi="Calibri" w:cs="Calibri"/>
                          <w:b/>
                          <w:bCs/>
                          <w:sz w:val="20"/>
                        </w:rPr>
                        <w:t xml:space="preserve">:  </w:t>
                      </w:r>
                    </w:p>
                    <w:p w14:paraId="74AF944A" w14:textId="02346741" w:rsidR="00603693" w:rsidRPr="0035275E" w:rsidRDefault="009D0908" w:rsidP="00603693">
                      <w:pPr>
                        <w:rPr>
                          <w:rFonts w:ascii="Calibri" w:hAnsi="Calibri" w:cs="Calibri"/>
                          <w:i/>
                          <w:iCs/>
                          <w:color w:val="000000" w:themeColor="text1"/>
                          <w:sz w:val="20"/>
                        </w:rPr>
                      </w:pPr>
                      <w:r w:rsidRPr="009D0908">
                        <w:rPr>
                          <w:rFonts w:ascii="Calibri" w:hAnsi="Calibri" w:cs="Calibri"/>
                          <w:i/>
                          <w:iCs/>
                          <w:color w:val="000000" w:themeColor="text1"/>
                          <w:sz w:val="20"/>
                        </w:rPr>
                        <w:t>„Rok 2025 ukázal na odolnost české ekonomiky. Ve světle geopolitických nejistot a přemalovávání mezinárodně obchodních vztahů v souvislosti se zaváděním cel na dovozy do USA rostla vloni ekonomika nejrychleji za poslední tři roky. Spotřeba domácností se vrátila na předpandemickou úroveň, zrovna tak reálné mzdy, investice rostly dále výrazněji nad ni.</w:t>
                      </w:r>
                      <w:r w:rsidR="00A1698B" w:rsidRPr="00A1698B">
                        <w:rPr>
                          <w:rFonts w:ascii="Calibri" w:hAnsi="Calibri" w:cs="Calibri"/>
                          <w:i/>
                          <w:iCs/>
                          <w:color w:val="000000" w:themeColor="text1"/>
                          <w:sz w:val="20"/>
                        </w:rPr>
                        <w:t>“</w:t>
                      </w:r>
                    </w:p>
                  </w:txbxContent>
                </v:textbox>
                <w10:wrap type="square" anchorx="margin"/>
              </v:shape>
            </w:pict>
          </mc:Fallback>
        </mc:AlternateContent>
      </w:r>
      <w:proofErr w:type="spellStart"/>
      <w:r w:rsidR="0035113B" w:rsidRPr="0035113B">
        <w:rPr>
          <w:rFonts w:ascii="Calibri" w:hAnsi="Calibri" w:cs="Calibri"/>
          <w:bCs/>
          <w:color w:val="000000" w:themeColor="text1"/>
          <w:sz w:val="20"/>
        </w:rPr>
        <w:t>Mezikvartální</w:t>
      </w:r>
      <w:proofErr w:type="spellEnd"/>
      <w:r w:rsidR="0035113B" w:rsidRPr="0035113B">
        <w:rPr>
          <w:rFonts w:ascii="Calibri" w:hAnsi="Calibri" w:cs="Calibri"/>
          <w:bCs/>
          <w:color w:val="000000" w:themeColor="text1"/>
          <w:sz w:val="20"/>
        </w:rPr>
        <w:t xml:space="preserve"> dynamika ekonomiky by měla zůstat relativně stabilní. Neočekáváme výraznější </w:t>
      </w:r>
      <w:r w:rsidR="00717EDF">
        <w:rPr>
          <w:rFonts w:ascii="Calibri" w:hAnsi="Calibri" w:cs="Calibri"/>
          <w:bCs/>
          <w:color w:val="000000" w:themeColor="text1"/>
          <w:sz w:val="20"/>
        </w:rPr>
        <w:t>kolísání</w:t>
      </w:r>
      <w:r w:rsidR="0035113B" w:rsidRPr="0035113B">
        <w:rPr>
          <w:rFonts w:ascii="Calibri" w:hAnsi="Calibri" w:cs="Calibri"/>
          <w:bCs/>
          <w:color w:val="000000" w:themeColor="text1"/>
          <w:sz w:val="20"/>
        </w:rPr>
        <w:t xml:space="preserve"> tempa</w:t>
      </w:r>
      <w:r w:rsidR="00717EDF">
        <w:rPr>
          <w:rFonts w:ascii="Calibri" w:hAnsi="Calibri" w:cs="Calibri"/>
          <w:bCs/>
          <w:color w:val="000000" w:themeColor="text1"/>
          <w:sz w:val="20"/>
        </w:rPr>
        <w:t xml:space="preserve"> mezičtvrtletního</w:t>
      </w:r>
      <w:r w:rsidR="0035113B" w:rsidRPr="0035113B">
        <w:rPr>
          <w:rFonts w:ascii="Calibri" w:hAnsi="Calibri" w:cs="Calibri"/>
          <w:bCs/>
          <w:color w:val="000000" w:themeColor="text1"/>
          <w:sz w:val="20"/>
        </w:rPr>
        <w:t xml:space="preserve"> růst</w:t>
      </w:r>
      <w:r w:rsidR="00717EDF">
        <w:rPr>
          <w:rFonts w:ascii="Calibri" w:hAnsi="Calibri" w:cs="Calibri"/>
          <w:bCs/>
          <w:color w:val="000000" w:themeColor="text1"/>
          <w:sz w:val="20"/>
        </w:rPr>
        <w:t>u HDP</w:t>
      </w:r>
      <w:r w:rsidR="0035113B">
        <w:rPr>
          <w:rFonts w:ascii="Calibri" w:hAnsi="Calibri" w:cs="Calibri"/>
          <w:bCs/>
          <w:color w:val="000000" w:themeColor="text1"/>
          <w:sz w:val="20"/>
        </w:rPr>
        <w:t>, který</w:t>
      </w:r>
      <w:r w:rsidR="0035113B" w:rsidRPr="0035113B">
        <w:rPr>
          <w:rFonts w:ascii="Calibri" w:hAnsi="Calibri" w:cs="Calibri"/>
          <w:bCs/>
          <w:color w:val="000000" w:themeColor="text1"/>
          <w:sz w:val="20"/>
        </w:rPr>
        <w:t xml:space="preserve"> by se měl</w:t>
      </w:r>
      <w:r w:rsidR="00717EDF">
        <w:rPr>
          <w:rFonts w:ascii="Calibri" w:hAnsi="Calibri" w:cs="Calibri"/>
          <w:bCs/>
          <w:color w:val="000000" w:themeColor="text1"/>
          <w:sz w:val="20"/>
        </w:rPr>
        <w:t xml:space="preserve"> v roce 2026 i 2027</w:t>
      </w:r>
      <w:r w:rsidR="0035113B" w:rsidRPr="0035113B">
        <w:rPr>
          <w:rFonts w:ascii="Calibri" w:hAnsi="Calibri" w:cs="Calibri"/>
          <w:bCs/>
          <w:color w:val="000000" w:themeColor="text1"/>
          <w:sz w:val="20"/>
        </w:rPr>
        <w:t xml:space="preserve"> pohybovat kolem 0,6–0,7 %. Tento vývoj odráží kombinaci</w:t>
      </w:r>
      <w:r w:rsidR="00717EDF">
        <w:rPr>
          <w:rFonts w:ascii="Calibri" w:hAnsi="Calibri" w:cs="Calibri"/>
          <w:bCs/>
          <w:color w:val="000000" w:themeColor="text1"/>
          <w:sz w:val="20"/>
        </w:rPr>
        <w:t xml:space="preserve"> odlišného načasování působení vyšší reálné mzdy na spotřebu, načasování </w:t>
      </w:r>
      <w:r w:rsidR="00717EDF" w:rsidRPr="0035113B">
        <w:rPr>
          <w:rFonts w:ascii="Calibri" w:hAnsi="Calibri" w:cs="Calibri"/>
          <w:bCs/>
          <w:color w:val="000000" w:themeColor="text1"/>
          <w:sz w:val="20"/>
        </w:rPr>
        <w:t>uvolně</w:t>
      </w:r>
      <w:r w:rsidR="00717EDF">
        <w:rPr>
          <w:rFonts w:ascii="Calibri" w:hAnsi="Calibri" w:cs="Calibri"/>
          <w:bCs/>
          <w:color w:val="000000" w:themeColor="text1"/>
          <w:sz w:val="20"/>
        </w:rPr>
        <w:t>ní</w:t>
      </w:r>
      <w:r w:rsidR="0035113B" w:rsidRPr="0035113B">
        <w:rPr>
          <w:rFonts w:ascii="Calibri" w:hAnsi="Calibri" w:cs="Calibri"/>
          <w:bCs/>
          <w:color w:val="000000" w:themeColor="text1"/>
          <w:sz w:val="20"/>
        </w:rPr>
        <w:t xml:space="preserve"> fiskální politiky a </w:t>
      </w:r>
      <w:r w:rsidR="00717EDF">
        <w:rPr>
          <w:rFonts w:ascii="Calibri" w:hAnsi="Calibri" w:cs="Calibri"/>
          <w:bCs/>
          <w:color w:val="000000" w:themeColor="text1"/>
          <w:sz w:val="20"/>
        </w:rPr>
        <w:t xml:space="preserve">oživení investiční aktivity. </w:t>
      </w:r>
    </w:p>
    <w:p w14:paraId="5FEB3783" w14:textId="42284DE8" w:rsidR="00410CB7" w:rsidRDefault="00410CB7" w:rsidP="00A1698B">
      <w:pPr>
        <w:pStyle w:val="Normlnweb"/>
        <w:spacing w:before="0" w:beforeAutospacing="0" w:after="120" w:afterAutospacing="0"/>
        <w:jc w:val="both"/>
        <w:rPr>
          <w:rFonts w:ascii="Calibri" w:hAnsi="Calibri" w:cs="Calibri"/>
          <w:bCs/>
          <w:color w:val="000000" w:themeColor="text1"/>
          <w:sz w:val="20"/>
        </w:rPr>
      </w:pPr>
    </w:p>
    <w:p w14:paraId="132FBC63" w14:textId="4EB4624B" w:rsidR="00481E81" w:rsidRDefault="007B661B" w:rsidP="00481E81">
      <w:pPr>
        <w:spacing w:after="120"/>
        <w:rPr>
          <w:rFonts w:ascii="Calibri" w:eastAsia="Calibri" w:hAnsi="Calibri" w:cs="Calibri"/>
          <w:b/>
          <w:color w:val="13576B"/>
          <w:sz w:val="22"/>
          <w:szCs w:val="28"/>
        </w:rPr>
      </w:pPr>
      <w:r>
        <w:rPr>
          <w:rFonts w:ascii="Calibri" w:eastAsia="Calibri" w:hAnsi="Calibri" w:cs="Calibri"/>
          <w:b/>
          <w:color w:val="13576B"/>
          <w:sz w:val="22"/>
          <w:szCs w:val="28"/>
        </w:rPr>
        <w:t>Krátkodobé z</w:t>
      </w:r>
      <w:r w:rsidR="00481E81">
        <w:rPr>
          <w:rFonts w:ascii="Calibri" w:eastAsia="Calibri" w:hAnsi="Calibri" w:cs="Calibri"/>
          <w:b/>
          <w:color w:val="13576B"/>
          <w:sz w:val="22"/>
          <w:szCs w:val="28"/>
        </w:rPr>
        <w:t>horšení</w:t>
      </w:r>
      <w:r>
        <w:rPr>
          <w:rFonts w:ascii="Calibri" w:eastAsia="Calibri" w:hAnsi="Calibri" w:cs="Calibri"/>
          <w:b/>
          <w:color w:val="13576B"/>
          <w:sz w:val="22"/>
          <w:szCs w:val="28"/>
        </w:rPr>
        <w:t xml:space="preserve"> trhu práce</w:t>
      </w:r>
      <w:r w:rsidR="009D0908">
        <w:rPr>
          <w:rFonts w:ascii="Calibri" w:eastAsia="Calibri" w:hAnsi="Calibri" w:cs="Calibri"/>
          <w:b/>
          <w:color w:val="13576B"/>
          <w:sz w:val="22"/>
          <w:szCs w:val="28"/>
        </w:rPr>
        <w:t>, aneb návrat</w:t>
      </w:r>
      <w:r>
        <w:rPr>
          <w:rFonts w:ascii="Calibri" w:eastAsia="Calibri" w:hAnsi="Calibri" w:cs="Calibri"/>
          <w:b/>
          <w:color w:val="13576B"/>
          <w:sz w:val="22"/>
          <w:szCs w:val="28"/>
        </w:rPr>
        <w:t xml:space="preserve"> </w:t>
      </w:r>
      <w:r w:rsidR="00481E81">
        <w:rPr>
          <w:rFonts w:ascii="Calibri" w:eastAsia="Calibri" w:hAnsi="Calibri" w:cs="Calibri"/>
          <w:b/>
          <w:color w:val="13576B"/>
          <w:sz w:val="22"/>
          <w:szCs w:val="28"/>
        </w:rPr>
        <w:t xml:space="preserve">k méně proinflačnímu </w:t>
      </w:r>
      <w:r>
        <w:rPr>
          <w:rFonts w:ascii="Calibri" w:eastAsia="Calibri" w:hAnsi="Calibri" w:cs="Calibri"/>
          <w:b/>
          <w:color w:val="13576B"/>
          <w:sz w:val="22"/>
          <w:szCs w:val="28"/>
        </w:rPr>
        <w:t>p</w:t>
      </w:r>
      <w:r w:rsidR="00481E81">
        <w:rPr>
          <w:rFonts w:ascii="Calibri" w:eastAsia="Calibri" w:hAnsi="Calibri" w:cs="Calibri"/>
          <w:b/>
          <w:color w:val="13576B"/>
          <w:sz w:val="22"/>
          <w:szCs w:val="28"/>
        </w:rPr>
        <w:t>rostředí</w:t>
      </w:r>
    </w:p>
    <w:p w14:paraId="64F58E62" w14:textId="519ABFB8" w:rsidR="00481E81" w:rsidRDefault="00481E81" w:rsidP="007B661B">
      <w:pPr>
        <w:pStyle w:val="Normlnweb"/>
        <w:spacing w:after="120"/>
        <w:rPr>
          <w:rFonts w:ascii="Calibri" w:hAnsi="Calibri" w:cs="Calibri"/>
          <w:bCs/>
          <w:color w:val="000000" w:themeColor="text1"/>
          <w:sz w:val="20"/>
        </w:rPr>
      </w:pPr>
      <w:r>
        <w:rPr>
          <w:rFonts w:ascii="Calibri" w:hAnsi="Calibri" w:cs="Calibri"/>
          <w:bCs/>
          <w:color w:val="000000" w:themeColor="text1"/>
          <w:sz w:val="20"/>
        </w:rPr>
        <w:t>T</w:t>
      </w:r>
      <w:r w:rsidRPr="00481E81">
        <w:rPr>
          <w:rFonts w:ascii="Calibri" w:hAnsi="Calibri" w:cs="Calibri"/>
          <w:bCs/>
          <w:color w:val="000000" w:themeColor="text1"/>
          <w:sz w:val="20"/>
        </w:rPr>
        <w:t>rh práce zůstává relativně napjatý, přestože míra nezaměstnanosti postupně</w:t>
      </w:r>
      <w:r w:rsidR="007B661B">
        <w:rPr>
          <w:rFonts w:ascii="Calibri" w:hAnsi="Calibri" w:cs="Calibri"/>
          <w:bCs/>
          <w:color w:val="000000" w:themeColor="text1"/>
          <w:sz w:val="20"/>
        </w:rPr>
        <w:t xml:space="preserve"> roste</w:t>
      </w:r>
      <w:r w:rsidR="001E0921">
        <w:rPr>
          <w:rFonts w:ascii="Calibri" w:hAnsi="Calibri" w:cs="Calibri"/>
          <w:bCs/>
          <w:color w:val="000000" w:themeColor="text1"/>
          <w:sz w:val="20"/>
        </w:rPr>
        <w:t xml:space="preserve"> a</w:t>
      </w:r>
      <w:r w:rsidR="007B661B">
        <w:rPr>
          <w:rFonts w:ascii="Calibri" w:hAnsi="Calibri" w:cs="Calibri"/>
          <w:bCs/>
          <w:color w:val="000000" w:themeColor="text1"/>
          <w:sz w:val="20"/>
        </w:rPr>
        <w:t xml:space="preserve"> v posledních čtvrtletích </w:t>
      </w:r>
      <w:r w:rsidR="007B661B" w:rsidRPr="00230D4D">
        <w:rPr>
          <w:rFonts w:ascii="Calibri" w:hAnsi="Calibri" w:cs="Calibri"/>
          <w:bCs/>
          <w:color w:val="000000" w:themeColor="text1"/>
          <w:sz w:val="20"/>
        </w:rPr>
        <w:t>negativně překvapuje oproti naší prognóze</w:t>
      </w:r>
      <w:r w:rsidRPr="00481E81">
        <w:rPr>
          <w:rFonts w:ascii="Calibri" w:hAnsi="Calibri" w:cs="Calibri"/>
          <w:bCs/>
          <w:color w:val="000000" w:themeColor="text1"/>
          <w:sz w:val="20"/>
        </w:rPr>
        <w:t>. Průměrný podíl nezaměstnaných osob by měl vzrůst z 3,8 % v roce 2024 a 4,4 % v roce 2025 dále na 4,6 % v roce 2026, s</w:t>
      </w:r>
      <w:r w:rsidR="001E0921">
        <w:rPr>
          <w:rFonts w:ascii="Calibri" w:hAnsi="Calibri" w:cs="Calibri"/>
          <w:bCs/>
          <w:color w:val="000000" w:themeColor="text1"/>
          <w:sz w:val="20"/>
        </w:rPr>
        <w:t> </w:t>
      </w:r>
      <w:r w:rsidRPr="00481E81">
        <w:rPr>
          <w:rFonts w:ascii="Calibri" w:hAnsi="Calibri" w:cs="Calibri"/>
          <w:bCs/>
          <w:color w:val="000000" w:themeColor="text1"/>
          <w:sz w:val="20"/>
        </w:rPr>
        <w:t>mírn</w:t>
      </w:r>
      <w:r w:rsidR="001E0921">
        <w:rPr>
          <w:rFonts w:ascii="Calibri" w:hAnsi="Calibri" w:cs="Calibri"/>
          <w:bCs/>
          <w:color w:val="000000" w:themeColor="text1"/>
          <w:sz w:val="20"/>
        </w:rPr>
        <w:t>ým poklesem</w:t>
      </w:r>
      <w:r w:rsidRPr="00481E81">
        <w:rPr>
          <w:rFonts w:ascii="Calibri" w:hAnsi="Calibri" w:cs="Calibri"/>
          <w:bCs/>
          <w:color w:val="000000" w:themeColor="text1"/>
          <w:sz w:val="20"/>
        </w:rPr>
        <w:t xml:space="preserve"> na 4,5 % v roce 2027. </w:t>
      </w:r>
      <w:r w:rsidR="007B661B" w:rsidRPr="00230D4D">
        <w:rPr>
          <w:rFonts w:ascii="Calibri" w:hAnsi="Calibri" w:cs="Calibri"/>
          <w:bCs/>
          <w:color w:val="000000" w:themeColor="text1"/>
          <w:sz w:val="20"/>
        </w:rPr>
        <w:t>Na horizontu jednoho až dvou čtvrtletí</w:t>
      </w:r>
      <w:r w:rsidR="001E0921">
        <w:rPr>
          <w:rFonts w:ascii="Calibri" w:hAnsi="Calibri" w:cs="Calibri"/>
          <w:bCs/>
          <w:color w:val="000000" w:themeColor="text1"/>
          <w:sz w:val="20"/>
        </w:rPr>
        <w:t xml:space="preserve"> tedy</w:t>
      </w:r>
      <w:r w:rsidR="007B661B" w:rsidRPr="00230D4D">
        <w:rPr>
          <w:rFonts w:ascii="Calibri" w:hAnsi="Calibri" w:cs="Calibri"/>
          <w:bCs/>
          <w:color w:val="000000" w:themeColor="text1"/>
          <w:sz w:val="20"/>
        </w:rPr>
        <w:t xml:space="preserve"> očekáváme stabilizaci nezaměstnanosti, což je konzistentní se solidním výhledem průmyslové aktivity.</w:t>
      </w:r>
      <w:r w:rsidR="007B661B">
        <w:rPr>
          <w:rFonts w:ascii="Calibri" w:hAnsi="Calibri" w:cs="Calibri"/>
          <w:bCs/>
          <w:color w:val="000000" w:themeColor="text1"/>
          <w:sz w:val="20"/>
        </w:rPr>
        <w:t xml:space="preserve"> </w:t>
      </w:r>
      <w:r w:rsidRPr="00481E81">
        <w:rPr>
          <w:rFonts w:ascii="Calibri" w:hAnsi="Calibri" w:cs="Calibri"/>
          <w:bCs/>
          <w:color w:val="000000" w:themeColor="text1"/>
          <w:sz w:val="20"/>
        </w:rPr>
        <w:t>Tento</w:t>
      </w:r>
      <w:r w:rsidR="007B661B">
        <w:rPr>
          <w:rFonts w:ascii="Calibri" w:hAnsi="Calibri" w:cs="Calibri"/>
          <w:bCs/>
          <w:color w:val="000000" w:themeColor="text1"/>
          <w:sz w:val="20"/>
        </w:rPr>
        <w:t xml:space="preserve"> na první pohled smíšený obrázek trhu práce </w:t>
      </w:r>
      <w:r w:rsidRPr="00481E81">
        <w:rPr>
          <w:rFonts w:ascii="Calibri" w:hAnsi="Calibri" w:cs="Calibri"/>
          <w:bCs/>
          <w:color w:val="000000" w:themeColor="text1"/>
          <w:sz w:val="20"/>
        </w:rPr>
        <w:t xml:space="preserve">podle našeho názoru odráží především </w:t>
      </w:r>
      <w:r w:rsidR="007B661B">
        <w:rPr>
          <w:rFonts w:ascii="Calibri" w:hAnsi="Calibri" w:cs="Calibri"/>
          <w:bCs/>
          <w:color w:val="000000" w:themeColor="text1"/>
          <w:sz w:val="20"/>
        </w:rPr>
        <w:t xml:space="preserve">kulminaci </w:t>
      </w:r>
      <w:r w:rsidRPr="00481E81">
        <w:rPr>
          <w:rFonts w:ascii="Calibri" w:hAnsi="Calibri" w:cs="Calibri"/>
          <w:bCs/>
          <w:color w:val="000000" w:themeColor="text1"/>
          <w:sz w:val="20"/>
        </w:rPr>
        <w:t>strukturální</w:t>
      </w:r>
      <w:r w:rsidR="007B661B">
        <w:rPr>
          <w:rFonts w:ascii="Calibri" w:hAnsi="Calibri" w:cs="Calibri"/>
          <w:bCs/>
          <w:color w:val="000000" w:themeColor="text1"/>
          <w:sz w:val="20"/>
        </w:rPr>
        <w:t>ch</w:t>
      </w:r>
      <w:r w:rsidRPr="00481E81">
        <w:rPr>
          <w:rFonts w:ascii="Calibri" w:hAnsi="Calibri" w:cs="Calibri"/>
          <w:bCs/>
          <w:color w:val="000000" w:themeColor="text1"/>
          <w:sz w:val="20"/>
        </w:rPr>
        <w:t xml:space="preserve"> změn na trhu práce a přibližování se k neutrální míře nezaměstnanosti z historicky velmi nízkých úrovní, nikoliv cyklické ochlazení ekonomiky.</w:t>
      </w:r>
    </w:p>
    <w:p w14:paraId="0BA3DD64" w14:textId="2435865B" w:rsidR="00481E81" w:rsidRPr="00481E81" w:rsidRDefault="00481E81" w:rsidP="007B661B">
      <w:pPr>
        <w:pStyle w:val="Normlnweb"/>
        <w:spacing w:before="0" w:beforeAutospacing="0" w:after="120" w:afterAutospacing="0"/>
        <w:jc w:val="both"/>
        <w:rPr>
          <w:rFonts w:ascii="Calibri" w:hAnsi="Calibri" w:cs="Calibri"/>
          <w:bCs/>
          <w:color w:val="000000" w:themeColor="text1"/>
          <w:sz w:val="20"/>
        </w:rPr>
      </w:pPr>
      <w:r w:rsidRPr="00481E81">
        <w:rPr>
          <w:rFonts w:ascii="Calibri" w:hAnsi="Calibri" w:cs="Calibri"/>
          <w:bCs/>
          <w:color w:val="000000" w:themeColor="text1"/>
          <w:sz w:val="20"/>
        </w:rPr>
        <w:lastRenderedPageBreak/>
        <w:t xml:space="preserve">Svou roli v tomto vývoji </w:t>
      </w:r>
      <w:r w:rsidR="007B661B">
        <w:rPr>
          <w:rFonts w:ascii="Calibri" w:hAnsi="Calibri" w:cs="Calibri"/>
          <w:bCs/>
          <w:color w:val="000000" w:themeColor="text1"/>
          <w:sz w:val="20"/>
        </w:rPr>
        <w:t xml:space="preserve">může sehrávat </w:t>
      </w:r>
      <w:proofErr w:type="spellStart"/>
      <w:r w:rsidRPr="00481E81">
        <w:rPr>
          <w:rFonts w:ascii="Calibri" w:hAnsi="Calibri" w:cs="Calibri"/>
          <w:bCs/>
          <w:color w:val="000000" w:themeColor="text1"/>
          <w:sz w:val="20"/>
        </w:rPr>
        <w:t>flexinovela</w:t>
      </w:r>
      <w:proofErr w:type="spellEnd"/>
      <w:r w:rsidRPr="00481E81">
        <w:rPr>
          <w:rFonts w:ascii="Calibri" w:hAnsi="Calibri" w:cs="Calibri"/>
          <w:bCs/>
          <w:color w:val="000000" w:themeColor="text1"/>
          <w:sz w:val="20"/>
        </w:rPr>
        <w:t xml:space="preserve"> zákoníku práce, která</w:t>
      </w:r>
      <w:r w:rsidR="007B661B">
        <w:rPr>
          <w:rFonts w:ascii="Calibri" w:hAnsi="Calibri" w:cs="Calibri"/>
          <w:bCs/>
          <w:color w:val="000000" w:themeColor="text1"/>
          <w:sz w:val="20"/>
        </w:rPr>
        <w:t xml:space="preserve"> začala platit od června 2025 a</w:t>
      </w:r>
      <w:r w:rsidRPr="00481E81">
        <w:rPr>
          <w:rFonts w:ascii="Calibri" w:hAnsi="Calibri" w:cs="Calibri"/>
          <w:bCs/>
          <w:color w:val="000000" w:themeColor="text1"/>
          <w:sz w:val="20"/>
        </w:rPr>
        <w:t xml:space="preserve"> zvyšuje ochotu pracovníků měnit zaměstnání. Vyšší a déle vyplácená podpora v nezaměstnanosti, včetně zvýšeného stropu dávek, může krátkodobě zvyšovat evidovanou nezaměstnanost. Ve střednědobém horizontu však může podpořit vyšší mzdový růst, lepší alokaci pracovní síly a růst produktivity, a tím i potenciální růst ekonomiky.</w:t>
      </w:r>
    </w:p>
    <w:p w14:paraId="05AFDB3B" w14:textId="06B80FC0" w:rsidR="00481E81" w:rsidRDefault="00481E81" w:rsidP="007B661B">
      <w:pPr>
        <w:pStyle w:val="Normlnweb"/>
        <w:spacing w:before="0" w:beforeAutospacing="0" w:after="120" w:afterAutospacing="0"/>
        <w:jc w:val="both"/>
        <w:rPr>
          <w:rFonts w:ascii="Calibri" w:hAnsi="Calibri" w:cs="Calibri"/>
          <w:bCs/>
          <w:color w:val="000000" w:themeColor="text1"/>
          <w:sz w:val="20"/>
        </w:rPr>
      </w:pPr>
      <w:r w:rsidRPr="00481E81">
        <w:rPr>
          <w:rFonts w:ascii="Calibri" w:hAnsi="Calibri" w:cs="Calibri"/>
          <w:bCs/>
          <w:color w:val="000000" w:themeColor="text1"/>
          <w:sz w:val="20"/>
        </w:rPr>
        <w:t xml:space="preserve">Výhled reálných mezd byl v únorové prognóze výrazně revidován směrem nahoru. Průměrná nominální mzda v roce 2025 </w:t>
      </w:r>
      <w:r w:rsidR="001E0921">
        <w:rPr>
          <w:rFonts w:ascii="Calibri" w:hAnsi="Calibri" w:cs="Calibri"/>
          <w:bCs/>
          <w:color w:val="000000" w:themeColor="text1"/>
          <w:sz w:val="20"/>
        </w:rPr>
        <w:t xml:space="preserve">rostla zřejmě </w:t>
      </w:r>
      <w:r w:rsidR="007B661B">
        <w:rPr>
          <w:rFonts w:ascii="Calibri" w:hAnsi="Calibri" w:cs="Calibri"/>
          <w:bCs/>
          <w:color w:val="000000" w:themeColor="text1"/>
          <w:sz w:val="20"/>
        </w:rPr>
        <w:t xml:space="preserve">o </w:t>
      </w:r>
      <w:r w:rsidRPr="00481E81">
        <w:rPr>
          <w:rFonts w:ascii="Calibri" w:hAnsi="Calibri" w:cs="Calibri"/>
          <w:bCs/>
          <w:color w:val="000000" w:themeColor="text1"/>
          <w:sz w:val="20"/>
        </w:rPr>
        <w:t>7,0 %</w:t>
      </w:r>
      <w:r w:rsidR="007B661B">
        <w:rPr>
          <w:rFonts w:ascii="Calibri" w:hAnsi="Calibri" w:cs="Calibri"/>
          <w:bCs/>
          <w:color w:val="000000" w:themeColor="text1"/>
          <w:sz w:val="20"/>
        </w:rPr>
        <w:t xml:space="preserve"> meziročně</w:t>
      </w:r>
      <w:r w:rsidR="001E0921">
        <w:rPr>
          <w:rFonts w:ascii="Calibri" w:hAnsi="Calibri" w:cs="Calibri"/>
          <w:bCs/>
          <w:color w:val="000000" w:themeColor="text1"/>
          <w:sz w:val="20"/>
        </w:rPr>
        <w:t xml:space="preserve"> a </w:t>
      </w:r>
      <w:r w:rsidR="007B661B">
        <w:rPr>
          <w:rFonts w:ascii="Calibri" w:hAnsi="Calibri" w:cs="Calibri"/>
          <w:bCs/>
          <w:color w:val="000000" w:themeColor="text1"/>
          <w:sz w:val="20"/>
        </w:rPr>
        <w:t>pro letošní rok vyhlížíme její mírnější zpomalení na</w:t>
      </w:r>
      <w:r w:rsidRPr="00481E81">
        <w:rPr>
          <w:rFonts w:ascii="Calibri" w:hAnsi="Calibri" w:cs="Calibri"/>
          <w:bCs/>
          <w:color w:val="000000" w:themeColor="text1"/>
          <w:sz w:val="20"/>
        </w:rPr>
        <w:t xml:space="preserve"> 5,8 % a v roce 2027 </w:t>
      </w:r>
      <w:r w:rsidR="001E0921">
        <w:rPr>
          <w:rFonts w:ascii="Calibri" w:hAnsi="Calibri" w:cs="Calibri"/>
          <w:bCs/>
          <w:color w:val="000000" w:themeColor="text1"/>
          <w:sz w:val="20"/>
        </w:rPr>
        <w:t>na</w:t>
      </w:r>
      <w:r w:rsidRPr="00481E81">
        <w:rPr>
          <w:rFonts w:ascii="Calibri" w:hAnsi="Calibri" w:cs="Calibri"/>
          <w:bCs/>
          <w:color w:val="000000" w:themeColor="text1"/>
          <w:sz w:val="20"/>
        </w:rPr>
        <w:t xml:space="preserve"> 5,2 %. Díky výraznému zpomalení inflace to </w:t>
      </w:r>
      <w:r w:rsidR="001E0921">
        <w:rPr>
          <w:rFonts w:ascii="Calibri" w:hAnsi="Calibri" w:cs="Calibri"/>
          <w:bCs/>
          <w:color w:val="000000" w:themeColor="text1"/>
          <w:sz w:val="20"/>
        </w:rPr>
        <w:t xml:space="preserve">ovšem </w:t>
      </w:r>
      <w:r w:rsidRPr="00481E81">
        <w:rPr>
          <w:rFonts w:ascii="Calibri" w:hAnsi="Calibri" w:cs="Calibri"/>
          <w:bCs/>
          <w:color w:val="000000" w:themeColor="text1"/>
          <w:sz w:val="20"/>
        </w:rPr>
        <w:t>implikuje siln</w:t>
      </w:r>
      <w:r w:rsidR="007B661B">
        <w:rPr>
          <w:rFonts w:ascii="Calibri" w:hAnsi="Calibri" w:cs="Calibri"/>
          <w:bCs/>
          <w:color w:val="000000" w:themeColor="text1"/>
          <w:sz w:val="20"/>
        </w:rPr>
        <w:t>ější</w:t>
      </w:r>
      <w:r w:rsidRPr="00481E81">
        <w:rPr>
          <w:rFonts w:ascii="Calibri" w:hAnsi="Calibri" w:cs="Calibri"/>
          <w:bCs/>
          <w:color w:val="000000" w:themeColor="text1"/>
          <w:sz w:val="20"/>
        </w:rPr>
        <w:t xml:space="preserve"> růst reálných mezd, který v roce 2026 </w:t>
      </w:r>
      <w:r w:rsidR="007B661B">
        <w:rPr>
          <w:rFonts w:ascii="Calibri" w:hAnsi="Calibri" w:cs="Calibri"/>
          <w:bCs/>
          <w:color w:val="000000" w:themeColor="text1"/>
          <w:sz w:val="20"/>
        </w:rPr>
        <w:t xml:space="preserve">vyhlížíme na </w:t>
      </w:r>
      <w:r w:rsidRPr="00481E81">
        <w:rPr>
          <w:rFonts w:ascii="Calibri" w:hAnsi="Calibri" w:cs="Calibri"/>
          <w:bCs/>
          <w:color w:val="000000" w:themeColor="text1"/>
          <w:sz w:val="20"/>
        </w:rPr>
        <w:t>4,0 % a v roce 2027 2,9 %. Růst reálných příjmů tak představuje jeden z hlavních kanálů podpory spotřeby domácností.</w:t>
      </w:r>
    </w:p>
    <w:p w14:paraId="6C029D05" w14:textId="5E40E1F6" w:rsidR="007B661B" w:rsidRDefault="001E5D51" w:rsidP="007B661B">
      <w:pPr>
        <w:pStyle w:val="Normlnweb"/>
        <w:spacing w:before="0" w:beforeAutospacing="0" w:after="120" w:afterAutospacing="0"/>
        <w:jc w:val="both"/>
        <w:rPr>
          <w:rFonts w:ascii="Calibri" w:hAnsi="Calibri" w:cs="Calibri"/>
          <w:bCs/>
          <w:color w:val="000000" w:themeColor="text1"/>
          <w:sz w:val="20"/>
        </w:rPr>
      </w:pPr>
      <w:r w:rsidRPr="003503ED">
        <w:rPr>
          <w:b/>
          <w:bCs/>
          <w:noProof/>
          <w:color w:val="FF0000"/>
          <w:sz w:val="20"/>
        </w:rPr>
        <mc:AlternateContent>
          <mc:Choice Requires="wps">
            <w:drawing>
              <wp:anchor distT="45720" distB="45720" distL="114300" distR="114300" simplePos="0" relativeHeight="251673600" behindDoc="0" locked="0" layoutInCell="1" allowOverlap="1" wp14:anchorId="03DF028C" wp14:editId="7749E077">
                <wp:simplePos x="0" y="0"/>
                <wp:positionH relativeFrom="margin">
                  <wp:posOffset>9525</wp:posOffset>
                </wp:positionH>
                <wp:positionV relativeFrom="paragraph">
                  <wp:posOffset>735965</wp:posOffset>
                </wp:positionV>
                <wp:extent cx="6461760" cy="638175"/>
                <wp:effectExtent l="0" t="0" r="15240" b="28575"/>
                <wp:wrapSquare wrapText="bothSides"/>
                <wp:docPr id="734092044"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638175"/>
                        </a:xfrm>
                        <a:prstGeom prst="rect">
                          <a:avLst/>
                        </a:prstGeom>
                        <a:solidFill>
                          <a:srgbClr val="FFFFFF"/>
                        </a:solidFill>
                        <a:ln w="9525">
                          <a:solidFill>
                            <a:srgbClr val="000000"/>
                          </a:solidFill>
                          <a:miter lim="800000"/>
                          <a:headEnd/>
                          <a:tailEnd/>
                        </a:ln>
                      </wps:spPr>
                      <wps:txbx>
                        <w:txbxContent>
                          <w:p w14:paraId="55749E05" w14:textId="2FF38BF9" w:rsidR="00410CB7" w:rsidRDefault="00410CB7" w:rsidP="00410CB7">
                            <w:pPr>
                              <w:rPr>
                                <w:rFonts w:ascii="Calibri" w:hAnsi="Calibri" w:cs="Calibri"/>
                                <w:b/>
                                <w:bCs/>
                                <w:sz w:val="20"/>
                              </w:rPr>
                            </w:pPr>
                            <w:r>
                              <w:rPr>
                                <w:rFonts w:ascii="Calibri" w:hAnsi="Calibri" w:cs="Calibri"/>
                                <w:b/>
                                <w:bCs/>
                                <w:sz w:val="20"/>
                              </w:rPr>
                              <w:t>Pavel Sobíšek</w:t>
                            </w:r>
                            <w:r w:rsidRPr="00222AA1">
                              <w:rPr>
                                <w:rFonts w:ascii="Calibri" w:hAnsi="Calibri" w:cs="Calibri"/>
                                <w:b/>
                                <w:bCs/>
                                <w:sz w:val="20"/>
                              </w:rPr>
                              <w:t xml:space="preserve">, </w:t>
                            </w:r>
                            <w:r>
                              <w:rPr>
                                <w:rFonts w:ascii="Calibri" w:hAnsi="Calibri" w:cs="Calibri"/>
                                <w:b/>
                                <w:bCs/>
                                <w:sz w:val="20"/>
                              </w:rPr>
                              <w:t xml:space="preserve">hlavní ekonom UniCredit Bank:  </w:t>
                            </w:r>
                          </w:p>
                          <w:p w14:paraId="75DF02F3" w14:textId="0E703B1A" w:rsidR="00410CB7" w:rsidRPr="0035275E" w:rsidRDefault="00410CB7" w:rsidP="00410CB7">
                            <w:pPr>
                              <w:rPr>
                                <w:rFonts w:ascii="Calibri" w:hAnsi="Calibri" w:cs="Calibri"/>
                                <w:i/>
                                <w:iCs/>
                                <w:color w:val="000000" w:themeColor="text1"/>
                                <w:sz w:val="20"/>
                              </w:rPr>
                            </w:pPr>
                            <w:r>
                              <w:rPr>
                                <w:rFonts w:ascii="Calibri" w:hAnsi="Calibri" w:cs="Calibri"/>
                                <w:i/>
                                <w:iCs/>
                                <w:sz w:val="20"/>
                              </w:rPr>
                              <w:t>„</w:t>
                            </w:r>
                            <w:r w:rsidR="001E0921" w:rsidRPr="001E0921">
                              <w:rPr>
                                <w:rFonts w:ascii="Calibri" w:hAnsi="Calibri" w:cs="Calibri"/>
                                <w:i/>
                                <w:iCs/>
                                <w:color w:val="000000" w:themeColor="text1"/>
                                <w:sz w:val="20"/>
                              </w:rPr>
                              <w:t>Zhoršení fiskální disciplíny vidíme jako hlavní riziko, které bude ČNB bránit ve snížení úrokových sazeb. Případné posílení koruny je rizikem v opačném směru</w:t>
                            </w:r>
                            <w:r w:rsidRPr="00A1698B">
                              <w:rPr>
                                <w:rFonts w:ascii="Calibri" w:hAnsi="Calibri" w:cs="Calibri"/>
                                <w:i/>
                                <w:iCs/>
                                <w:color w:val="000000" w:themeColor="text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F028C" id="_x0000_s1028" type="#_x0000_t202" style="position:absolute;left:0;text-align:left;margin-left:.75pt;margin-top:57.95pt;width:508.8pt;height:50.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yjFAIAACYEAAAOAAAAZHJzL2Uyb0RvYy54bWysU9tu2zAMfR+wfxD0vjjOkjQ14hRdugwD&#10;ugvQ7QNkWY6FSaImKbGzry8lu2l2exmmB4EUqUPykFzf9FqRo3BegilpPplSIgyHWpp9Sb9+2b1a&#10;UeIDMzVTYERJT8LTm83LF+vOFmIGLahaOIIgxhedLWkbgi2yzPNWaOYnYIVBYwNOs4Cq22e1Yx2i&#10;a5XNptNl1oGrrQMuvMfXu8FINwm/aQQPn5rGi0BUSTG3kG6X7ire2WbNir1jtpV8TIP9QxaaSYNB&#10;z1B3LDBycPI3KC25Aw9NmHDQGTSN5CLVgNXk01+qeWiZFakWJMfbM03+/8Hyj8cH+9mR0L+BHhuY&#10;ivD2Hvg3TwxsW2b24tY56FrBagycR8qyzvpi/Bqp9oWPIFX3AWpsMjsESEB943RkBeskiI4NOJ1J&#10;F30gHB+X82V+tUQTR9vy9Sq/WqQQrHj6bZ0P7wRoEoWSOmxqQmfHex9iNqx4conBPChZ76RSSXH7&#10;aqscOTIcgF06I/pPbsqQrqTXi9liIOCvENN0/gShZcBJVlKXdHV2YkWk7a2p05wFJtUgY8rKjDxG&#10;6gYSQ1/1RNYlncUAkdYK6hMS62AYXFw0FFpwPyjpcGhL6r8fmBOUqPcGm3Odz+dxypMyX1zNUHGX&#10;lurSwgxHqJIGSgZxG9JmRN4M3GITG5n4fc5kTBmHMdE+Lk6c9ks9eT2v9+YRAAD//wMAUEsDBBQA&#10;BgAIAAAAIQArEF2S4AAAAAoBAAAPAAAAZHJzL2Rvd25yZXYueG1sTI/NTsMwEITvSLyDtUhcEHVc&#10;2tCEOBVCAtEbFARXN94mEf4JtpuGt2d7gtNqNKPZb6r1ZA0bMcTeOwlilgFD13jdu1bC+9vj9QpY&#10;TMppZbxDCT8YYV2fn1Wq1P7oXnHcppZRiYulktClNJScx6ZDq+LMD+jI2/tgVSIZWq6DOlK5NXye&#10;ZTm3qnf0oVMDPnTYfG0PVsJq8Tx+xs3Ny0eT702Rrm7Hp+8g5eXFdH8HLOGU/sJwwid0qIlp5w9O&#10;R2ZILylIRywLYCc/E4UAtpMwF/kCeF3x/xPqXwAAAP//AwBQSwECLQAUAAYACAAAACEAtoM4kv4A&#10;AADhAQAAEwAAAAAAAAAAAAAAAAAAAAAAW0NvbnRlbnRfVHlwZXNdLnhtbFBLAQItABQABgAIAAAA&#10;IQA4/SH/1gAAAJQBAAALAAAAAAAAAAAAAAAAAC8BAABfcmVscy8ucmVsc1BLAQItABQABgAIAAAA&#10;IQDDHeyjFAIAACYEAAAOAAAAAAAAAAAAAAAAAC4CAABkcnMvZTJvRG9jLnhtbFBLAQItABQABgAI&#10;AAAAIQArEF2S4AAAAAoBAAAPAAAAAAAAAAAAAAAAAG4EAABkcnMvZG93bnJldi54bWxQSwUGAAAA&#10;AAQABADzAAAAewUAAAAA&#10;">
                <v:textbox>
                  <w:txbxContent>
                    <w:p w14:paraId="55749E05" w14:textId="2FF38BF9" w:rsidR="00410CB7" w:rsidRDefault="00410CB7" w:rsidP="00410CB7">
                      <w:pPr>
                        <w:rPr>
                          <w:rFonts w:ascii="Calibri" w:hAnsi="Calibri" w:cs="Calibri"/>
                          <w:b/>
                          <w:bCs/>
                          <w:sz w:val="20"/>
                        </w:rPr>
                      </w:pPr>
                      <w:r>
                        <w:rPr>
                          <w:rFonts w:ascii="Calibri" w:hAnsi="Calibri" w:cs="Calibri"/>
                          <w:b/>
                          <w:bCs/>
                          <w:sz w:val="20"/>
                        </w:rPr>
                        <w:t>Pavel Sobíšek</w:t>
                      </w:r>
                      <w:r w:rsidRPr="00222AA1">
                        <w:rPr>
                          <w:rFonts w:ascii="Calibri" w:hAnsi="Calibri" w:cs="Calibri"/>
                          <w:b/>
                          <w:bCs/>
                          <w:sz w:val="20"/>
                        </w:rPr>
                        <w:t xml:space="preserve">, </w:t>
                      </w:r>
                      <w:r>
                        <w:rPr>
                          <w:rFonts w:ascii="Calibri" w:hAnsi="Calibri" w:cs="Calibri"/>
                          <w:b/>
                          <w:bCs/>
                          <w:sz w:val="20"/>
                        </w:rPr>
                        <w:t xml:space="preserve">hlavní ekonom UniCredit Bank:  </w:t>
                      </w:r>
                    </w:p>
                    <w:p w14:paraId="75DF02F3" w14:textId="0E703B1A" w:rsidR="00410CB7" w:rsidRPr="0035275E" w:rsidRDefault="00410CB7" w:rsidP="00410CB7">
                      <w:pPr>
                        <w:rPr>
                          <w:rFonts w:ascii="Calibri" w:hAnsi="Calibri" w:cs="Calibri"/>
                          <w:i/>
                          <w:iCs/>
                          <w:color w:val="000000" w:themeColor="text1"/>
                          <w:sz w:val="20"/>
                        </w:rPr>
                      </w:pPr>
                      <w:r>
                        <w:rPr>
                          <w:rFonts w:ascii="Calibri" w:hAnsi="Calibri" w:cs="Calibri"/>
                          <w:i/>
                          <w:iCs/>
                          <w:sz w:val="20"/>
                        </w:rPr>
                        <w:t>„</w:t>
                      </w:r>
                      <w:r w:rsidR="001E0921" w:rsidRPr="001E0921">
                        <w:rPr>
                          <w:rFonts w:ascii="Calibri" w:hAnsi="Calibri" w:cs="Calibri"/>
                          <w:i/>
                          <w:iCs/>
                          <w:color w:val="000000" w:themeColor="text1"/>
                          <w:sz w:val="20"/>
                        </w:rPr>
                        <w:t>Zhoršení fiskální disciplíny vidíme jako hlavní riziko, které bude ČNB bránit ve snížení úrokových sazeb. Případné posílení koruny je rizikem v opačném směru</w:t>
                      </w:r>
                      <w:r w:rsidRPr="00A1698B">
                        <w:rPr>
                          <w:rFonts w:ascii="Calibri" w:hAnsi="Calibri" w:cs="Calibri"/>
                          <w:i/>
                          <w:iCs/>
                          <w:color w:val="000000" w:themeColor="text1"/>
                          <w:sz w:val="20"/>
                        </w:rPr>
                        <w:t>.“</w:t>
                      </w:r>
                    </w:p>
                  </w:txbxContent>
                </v:textbox>
                <w10:wrap type="square" anchorx="margin"/>
              </v:shape>
            </w:pict>
          </mc:Fallback>
        </mc:AlternateContent>
      </w:r>
      <w:r w:rsidR="00484CFC">
        <w:rPr>
          <w:rFonts w:ascii="Calibri" w:hAnsi="Calibri" w:cs="Calibri"/>
          <w:bCs/>
          <w:color w:val="000000" w:themeColor="text1"/>
          <w:sz w:val="20"/>
        </w:rPr>
        <w:t>Ačkoliv čekáme ustálení míry nezaměstnanosti na vyšší úrovni v porovnání s předešlými 3,4 % ve 2022 a 2,8 % v roce 2019, tak se domníváme, že trh práce bude stále spíše proinflačním faktorem</w:t>
      </w:r>
      <w:r w:rsidR="001E0921">
        <w:rPr>
          <w:rFonts w:ascii="Calibri" w:hAnsi="Calibri" w:cs="Calibri"/>
          <w:bCs/>
          <w:color w:val="000000" w:themeColor="text1"/>
          <w:sz w:val="20"/>
        </w:rPr>
        <w:t>, i když mírnějším než v přechozích letech</w:t>
      </w:r>
      <w:r w:rsidR="00484CFC">
        <w:rPr>
          <w:rFonts w:ascii="Calibri" w:hAnsi="Calibri" w:cs="Calibri"/>
          <w:bCs/>
          <w:color w:val="000000" w:themeColor="text1"/>
          <w:sz w:val="20"/>
        </w:rPr>
        <w:t xml:space="preserve">, kde svou roli sehrají i fiskální politika s pravděpodobně svižnějším tempem růstu průměrné mzdy v budoucnosti. Tento dopad je zapotřebí korigovat postupnými strukturálními změnami. </w:t>
      </w:r>
    </w:p>
    <w:p w14:paraId="748BF197" w14:textId="4305E61A" w:rsidR="00484CFC" w:rsidRDefault="00484CFC" w:rsidP="00484CFC">
      <w:pPr>
        <w:spacing w:after="120"/>
        <w:rPr>
          <w:rFonts w:ascii="Calibri" w:eastAsia="Calibri" w:hAnsi="Calibri" w:cs="Calibri"/>
          <w:b/>
          <w:color w:val="13576B"/>
          <w:sz w:val="22"/>
          <w:szCs w:val="28"/>
        </w:rPr>
      </w:pPr>
      <w:r>
        <w:rPr>
          <w:rFonts w:ascii="Calibri" w:eastAsia="Calibri" w:hAnsi="Calibri" w:cs="Calibri"/>
          <w:b/>
          <w:color w:val="13576B"/>
          <w:sz w:val="22"/>
          <w:szCs w:val="28"/>
        </w:rPr>
        <w:t>Spotřebitelská inflace se bude pohybovat okolo inflačního cíle</w:t>
      </w:r>
    </w:p>
    <w:p w14:paraId="6BF15253" w14:textId="04C54C27" w:rsidR="007B661B" w:rsidRPr="007B661B" w:rsidRDefault="007B661B" w:rsidP="00484CFC">
      <w:pPr>
        <w:pStyle w:val="Normlnweb"/>
        <w:spacing w:before="0" w:beforeAutospacing="0" w:after="120" w:afterAutospacing="0"/>
        <w:jc w:val="both"/>
        <w:rPr>
          <w:rFonts w:ascii="Calibri" w:hAnsi="Calibri" w:cs="Calibri"/>
          <w:bCs/>
          <w:color w:val="000000" w:themeColor="text1"/>
          <w:sz w:val="20"/>
        </w:rPr>
      </w:pPr>
      <w:r w:rsidRPr="007B661B">
        <w:rPr>
          <w:rFonts w:ascii="Calibri" w:hAnsi="Calibri" w:cs="Calibri"/>
          <w:bCs/>
          <w:color w:val="000000" w:themeColor="text1"/>
          <w:sz w:val="20"/>
        </w:rPr>
        <w:t>Průměrná spotřebitelská inflace by měla zpomalit z 2,5 % v roce 2025 na 1,7 % v roce 2026, a následně znovu zrychlit na 2,3 % v roce 2027. Zpomalení inflace v roce 2026 tak představuje výrazné uvolnění cenových tlaků oproti předchozímu roku.</w:t>
      </w:r>
      <w:r w:rsidR="00484CFC">
        <w:rPr>
          <w:rFonts w:ascii="Calibri" w:hAnsi="Calibri" w:cs="Calibri"/>
          <w:bCs/>
          <w:color w:val="000000" w:themeColor="text1"/>
          <w:sz w:val="20"/>
        </w:rPr>
        <w:t xml:space="preserve"> Ovšem j</w:t>
      </w:r>
      <w:r w:rsidRPr="007B661B">
        <w:rPr>
          <w:rFonts w:ascii="Calibri" w:hAnsi="Calibri" w:cs="Calibri"/>
          <w:bCs/>
          <w:color w:val="000000" w:themeColor="text1"/>
          <w:sz w:val="20"/>
        </w:rPr>
        <w:t>ádrová inflace zůstává relativně zvýšená, s průměrem kolem 2,5 % v roce 2026</w:t>
      </w:r>
      <w:r w:rsidR="00516874">
        <w:rPr>
          <w:rFonts w:ascii="Calibri" w:hAnsi="Calibri" w:cs="Calibri"/>
          <w:bCs/>
          <w:color w:val="000000" w:themeColor="text1"/>
          <w:sz w:val="20"/>
        </w:rPr>
        <w:t>, a to díky přetrvávajícímu silnému anualizovanému momentu na konci minulého a počátku letošního roku blízko 3 %</w:t>
      </w:r>
      <w:r w:rsidRPr="007B661B">
        <w:rPr>
          <w:rFonts w:ascii="Calibri" w:hAnsi="Calibri" w:cs="Calibri"/>
          <w:bCs/>
          <w:color w:val="000000" w:themeColor="text1"/>
          <w:sz w:val="20"/>
        </w:rPr>
        <w:t>. Hlavním proinflačním rizikem zůstávají ceny služeb, jejichž dynamika v posledních měsících spíše zrychlovala a není plně konzistentní s návratem inflačních tlaků k</w:t>
      </w:r>
      <w:r w:rsidR="00484CFC">
        <w:rPr>
          <w:rFonts w:ascii="Calibri" w:hAnsi="Calibri" w:cs="Calibri"/>
          <w:bCs/>
          <w:color w:val="000000" w:themeColor="text1"/>
          <w:sz w:val="20"/>
        </w:rPr>
        <w:t> </w:t>
      </w:r>
      <w:r w:rsidRPr="007B661B">
        <w:rPr>
          <w:rFonts w:ascii="Calibri" w:hAnsi="Calibri" w:cs="Calibri"/>
          <w:bCs/>
          <w:color w:val="000000" w:themeColor="text1"/>
          <w:sz w:val="20"/>
        </w:rPr>
        <w:t>cíli</w:t>
      </w:r>
      <w:r w:rsidR="00484CFC">
        <w:rPr>
          <w:rFonts w:ascii="Calibri" w:hAnsi="Calibri" w:cs="Calibri"/>
          <w:bCs/>
          <w:color w:val="000000" w:themeColor="text1"/>
          <w:sz w:val="20"/>
        </w:rPr>
        <w:t>, a trh nemovitostí nevybízí k brzkému obratu</w:t>
      </w:r>
      <w:r w:rsidR="001E0921">
        <w:rPr>
          <w:rFonts w:ascii="Calibri" w:hAnsi="Calibri" w:cs="Calibri"/>
          <w:bCs/>
          <w:color w:val="000000" w:themeColor="text1"/>
          <w:sz w:val="20"/>
        </w:rPr>
        <w:t xml:space="preserve"> směrem</w:t>
      </w:r>
      <w:r w:rsidR="00484CFC">
        <w:rPr>
          <w:rFonts w:ascii="Calibri" w:hAnsi="Calibri" w:cs="Calibri"/>
          <w:bCs/>
          <w:color w:val="000000" w:themeColor="text1"/>
          <w:sz w:val="20"/>
        </w:rPr>
        <w:t xml:space="preserve"> k výrazně mírnějšímu cenovému nárůstu</w:t>
      </w:r>
      <w:r w:rsidRPr="007B661B">
        <w:rPr>
          <w:rFonts w:ascii="Calibri" w:hAnsi="Calibri" w:cs="Calibri"/>
          <w:bCs/>
          <w:color w:val="000000" w:themeColor="text1"/>
          <w:sz w:val="20"/>
        </w:rPr>
        <w:t>.</w:t>
      </w:r>
      <w:r w:rsidR="00484CFC">
        <w:rPr>
          <w:rFonts w:ascii="Calibri" w:hAnsi="Calibri" w:cs="Calibri"/>
          <w:bCs/>
          <w:color w:val="000000" w:themeColor="text1"/>
          <w:sz w:val="20"/>
        </w:rPr>
        <w:t xml:space="preserve"> Celkový vývoj inflace tak odráží </w:t>
      </w:r>
      <w:r w:rsidRPr="007B661B">
        <w:rPr>
          <w:rFonts w:ascii="Calibri" w:hAnsi="Calibri" w:cs="Calibri"/>
          <w:bCs/>
          <w:color w:val="000000" w:themeColor="text1"/>
          <w:sz w:val="20"/>
        </w:rPr>
        <w:t>kombinaci mzdového vývoje, fiskální politiky a přetrvávající napjatosti trhu práce</w:t>
      </w:r>
      <w:r w:rsidR="00484CFC">
        <w:rPr>
          <w:rFonts w:ascii="Calibri" w:hAnsi="Calibri" w:cs="Calibri"/>
          <w:bCs/>
          <w:color w:val="000000" w:themeColor="text1"/>
          <w:sz w:val="20"/>
        </w:rPr>
        <w:t xml:space="preserve"> na straně jedné oproti desinflačním regulatorním zásahům ze strany vlády na straně druhé. </w:t>
      </w:r>
    </w:p>
    <w:p w14:paraId="2B739550" w14:textId="712550EE" w:rsidR="007B661B" w:rsidRDefault="007B661B" w:rsidP="00484CFC">
      <w:pPr>
        <w:pStyle w:val="Normlnweb"/>
        <w:spacing w:before="0" w:beforeAutospacing="0" w:after="120" w:afterAutospacing="0"/>
        <w:jc w:val="both"/>
        <w:rPr>
          <w:rFonts w:ascii="Calibri" w:hAnsi="Calibri" w:cs="Calibri"/>
          <w:bCs/>
          <w:color w:val="000000" w:themeColor="text1"/>
          <w:sz w:val="20"/>
        </w:rPr>
      </w:pPr>
      <w:r w:rsidRPr="007B661B">
        <w:rPr>
          <w:rFonts w:ascii="Calibri" w:hAnsi="Calibri" w:cs="Calibri"/>
          <w:bCs/>
          <w:color w:val="000000" w:themeColor="text1"/>
          <w:sz w:val="20"/>
        </w:rPr>
        <w:t xml:space="preserve">V aktuálním konsenzu prognózy </w:t>
      </w:r>
      <w:r w:rsidR="001E0921">
        <w:rPr>
          <w:rFonts w:ascii="Calibri" w:hAnsi="Calibri" w:cs="Calibri"/>
          <w:bCs/>
          <w:color w:val="000000" w:themeColor="text1"/>
          <w:sz w:val="20"/>
        </w:rPr>
        <w:t>není</w:t>
      </w:r>
      <w:r w:rsidRPr="007B661B">
        <w:rPr>
          <w:rFonts w:ascii="Calibri" w:hAnsi="Calibri" w:cs="Calibri"/>
          <w:bCs/>
          <w:color w:val="000000" w:themeColor="text1"/>
          <w:sz w:val="20"/>
        </w:rPr>
        <w:t xml:space="preserve"> zahrnu</w:t>
      </w:r>
      <w:r w:rsidR="001E0921">
        <w:rPr>
          <w:rFonts w:ascii="Calibri" w:hAnsi="Calibri" w:cs="Calibri"/>
          <w:bCs/>
          <w:color w:val="000000" w:themeColor="text1"/>
          <w:sz w:val="20"/>
        </w:rPr>
        <w:t>to</w:t>
      </w:r>
      <w:r w:rsidRPr="007B661B">
        <w:rPr>
          <w:rFonts w:ascii="Calibri" w:hAnsi="Calibri" w:cs="Calibri"/>
          <w:bCs/>
          <w:color w:val="000000" w:themeColor="text1"/>
          <w:sz w:val="20"/>
        </w:rPr>
        <w:t xml:space="preserve"> možné </w:t>
      </w:r>
      <w:r w:rsidR="00484CFC">
        <w:rPr>
          <w:rFonts w:ascii="Calibri" w:hAnsi="Calibri" w:cs="Calibri"/>
          <w:bCs/>
          <w:color w:val="000000" w:themeColor="text1"/>
          <w:sz w:val="20"/>
        </w:rPr>
        <w:t>zrušení</w:t>
      </w:r>
      <w:r w:rsidRPr="007B661B">
        <w:rPr>
          <w:rFonts w:ascii="Calibri" w:hAnsi="Calibri" w:cs="Calibri"/>
          <w:bCs/>
          <w:color w:val="000000" w:themeColor="text1"/>
          <w:sz w:val="20"/>
        </w:rPr>
        <w:t xml:space="preserve"> koncesionářských poplatků</w:t>
      </w:r>
      <w:r w:rsidR="00484CFC">
        <w:rPr>
          <w:rFonts w:ascii="Calibri" w:hAnsi="Calibri" w:cs="Calibri"/>
          <w:bCs/>
          <w:color w:val="000000" w:themeColor="text1"/>
          <w:sz w:val="20"/>
        </w:rPr>
        <w:t xml:space="preserve">. Tento krok </w:t>
      </w:r>
      <w:r w:rsidRPr="007B661B">
        <w:rPr>
          <w:rFonts w:ascii="Calibri" w:hAnsi="Calibri" w:cs="Calibri"/>
          <w:bCs/>
          <w:color w:val="000000" w:themeColor="text1"/>
          <w:sz w:val="20"/>
        </w:rPr>
        <w:t>by mohl snížit růst spotřebitelských cen</w:t>
      </w:r>
      <w:r w:rsidR="00484CFC">
        <w:rPr>
          <w:rFonts w:ascii="Calibri" w:hAnsi="Calibri" w:cs="Calibri"/>
          <w:bCs/>
          <w:color w:val="000000" w:themeColor="text1"/>
          <w:sz w:val="20"/>
        </w:rPr>
        <w:t xml:space="preserve"> v příštím roce</w:t>
      </w:r>
      <w:r w:rsidRPr="007B661B">
        <w:rPr>
          <w:rFonts w:ascii="Calibri" w:hAnsi="Calibri" w:cs="Calibri"/>
          <w:bCs/>
          <w:color w:val="000000" w:themeColor="text1"/>
          <w:sz w:val="20"/>
        </w:rPr>
        <w:t xml:space="preserve"> přibližně o </w:t>
      </w:r>
      <w:proofErr w:type="gramStart"/>
      <w:r w:rsidRPr="007B661B">
        <w:rPr>
          <w:rFonts w:ascii="Calibri" w:hAnsi="Calibri" w:cs="Calibri"/>
          <w:bCs/>
          <w:color w:val="000000" w:themeColor="text1"/>
          <w:sz w:val="20"/>
        </w:rPr>
        <w:t>0,3 procentního</w:t>
      </w:r>
      <w:proofErr w:type="gramEnd"/>
      <w:r w:rsidRPr="007B661B">
        <w:rPr>
          <w:rFonts w:ascii="Calibri" w:hAnsi="Calibri" w:cs="Calibri"/>
          <w:bCs/>
          <w:color w:val="000000" w:themeColor="text1"/>
          <w:sz w:val="20"/>
        </w:rPr>
        <w:t xml:space="preserve"> bodu, tedy </w:t>
      </w:r>
      <w:r w:rsidR="00484CFC">
        <w:rPr>
          <w:rFonts w:ascii="Calibri" w:hAnsi="Calibri" w:cs="Calibri"/>
          <w:bCs/>
          <w:color w:val="000000" w:themeColor="text1"/>
          <w:sz w:val="20"/>
        </w:rPr>
        <w:t>na roveň</w:t>
      </w:r>
      <w:r w:rsidRPr="007B661B">
        <w:rPr>
          <w:rFonts w:ascii="Calibri" w:hAnsi="Calibri" w:cs="Calibri"/>
          <w:bCs/>
          <w:color w:val="000000" w:themeColor="text1"/>
          <w:sz w:val="20"/>
        </w:rPr>
        <w:t xml:space="preserve"> inflační</w:t>
      </w:r>
      <w:r w:rsidR="00755AE7">
        <w:rPr>
          <w:rFonts w:ascii="Calibri" w:hAnsi="Calibri" w:cs="Calibri"/>
          <w:bCs/>
          <w:color w:val="000000" w:themeColor="text1"/>
          <w:sz w:val="20"/>
        </w:rPr>
        <w:t>ho</w:t>
      </w:r>
      <w:r w:rsidRPr="007B661B">
        <w:rPr>
          <w:rFonts w:ascii="Calibri" w:hAnsi="Calibri" w:cs="Calibri"/>
          <w:bCs/>
          <w:color w:val="000000" w:themeColor="text1"/>
          <w:sz w:val="20"/>
        </w:rPr>
        <w:t xml:space="preserve"> cíl</w:t>
      </w:r>
      <w:r w:rsidR="00755AE7">
        <w:rPr>
          <w:rFonts w:ascii="Calibri" w:hAnsi="Calibri" w:cs="Calibri"/>
          <w:bCs/>
          <w:color w:val="000000" w:themeColor="text1"/>
          <w:sz w:val="20"/>
        </w:rPr>
        <w:t>e</w:t>
      </w:r>
      <w:r w:rsidRPr="007B661B">
        <w:rPr>
          <w:rFonts w:ascii="Calibri" w:hAnsi="Calibri" w:cs="Calibri"/>
          <w:bCs/>
          <w:color w:val="000000" w:themeColor="text1"/>
          <w:sz w:val="20"/>
        </w:rPr>
        <w:t xml:space="preserve">. Tento efekt by však byl pravděpodobně částečně kompenzován fiskálním stimulem v rozsahu zhruba 10 mld. Kč (lehce přes 0,1 % HDP), který </w:t>
      </w:r>
      <w:r w:rsidR="00484CFC">
        <w:rPr>
          <w:rFonts w:ascii="Calibri" w:hAnsi="Calibri" w:cs="Calibri"/>
          <w:bCs/>
          <w:color w:val="000000" w:themeColor="text1"/>
          <w:sz w:val="20"/>
        </w:rPr>
        <w:t>opět působil částečně</w:t>
      </w:r>
      <w:r w:rsidRPr="007B661B">
        <w:rPr>
          <w:rFonts w:ascii="Calibri" w:hAnsi="Calibri" w:cs="Calibri"/>
          <w:bCs/>
          <w:color w:val="000000" w:themeColor="text1"/>
          <w:sz w:val="20"/>
        </w:rPr>
        <w:t xml:space="preserve"> proinflačně</w:t>
      </w:r>
      <w:r w:rsidR="00484CFC">
        <w:rPr>
          <w:rFonts w:ascii="Calibri" w:hAnsi="Calibri" w:cs="Calibri"/>
          <w:bCs/>
          <w:color w:val="000000" w:themeColor="text1"/>
          <w:sz w:val="20"/>
        </w:rPr>
        <w:t xml:space="preserve"> na </w:t>
      </w:r>
      <w:r w:rsidRPr="007B661B">
        <w:rPr>
          <w:rFonts w:ascii="Calibri" w:hAnsi="Calibri" w:cs="Calibri"/>
          <w:bCs/>
          <w:color w:val="000000" w:themeColor="text1"/>
          <w:sz w:val="20"/>
        </w:rPr>
        <w:t>jádrov</w:t>
      </w:r>
      <w:r w:rsidR="00484CFC">
        <w:rPr>
          <w:rFonts w:ascii="Calibri" w:hAnsi="Calibri" w:cs="Calibri"/>
          <w:bCs/>
          <w:color w:val="000000" w:themeColor="text1"/>
          <w:sz w:val="20"/>
        </w:rPr>
        <w:t>ou</w:t>
      </w:r>
      <w:r w:rsidRPr="007B661B">
        <w:rPr>
          <w:rFonts w:ascii="Calibri" w:hAnsi="Calibri" w:cs="Calibri"/>
          <w:bCs/>
          <w:color w:val="000000" w:themeColor="text1"/>
          <w:sz w:val="20"/>
        </w:rPr>
        <w:t xml:space="preserve"> inflac</w:t>
      </w:r>
      <w:r w:rsidR="00484CFC">
        <w:rPr>
          <w:rFonts w:ascii="Calibri" w:hAnsi="Calibri" w:cs="Calibri"/>
          <w:bCs/>
          <w:color w:val="000000" w:themeColor="text1"/>
          <w:sz w:val="20"/>
        </w:rPr>
        <w:t>i</w:t>
      </w:r>
      <w:r w:rsidRPr="007B661B">
        <w:rPr>
          <w:rFonts w:ascii="Calibri" w:hAnsi="Calibri" w:cs="Calibri"/>
          <w:bCs/>
          <w:color w:val="000000" w:themeColor="text1"/>
          <w:sz w:val="20"/>
        </w:rPr>
        <w:t>.</w:t>
      </w:r>
      <w:r w:rsidR="00FA65D3">
        <w:rPr>
          <w:rFonts w:ascii="Calibri" w:hAnsi="Calibri" w:cs="Calibri"/>
          <w:bCs/>
          <w:color w:val="000000" w:themeColor="text1"/>
          <w:sz w:val="20"/>
        </w:rPr>
        <w:t xml:space="preserve"> Na druhou stranu za horizontem predikce lze vnímat riziko opožděného možného zavedení ETS2. </w:t>
      </w:r>
    </w:p>
    <w:p w14:paraId="37670778" w14:textId="0EE9626E" w:rsidR="00A1698B" w:rsidRDefault="007B70F3" w:rsidP="00A1698B">
      <w:pPr>
        <w:spacing w:after="120"/>
        <w:rPr>
          <w:rFonts w:ascii="Calibri" w:eastAsia="Calibri" w:hAnsi="Calibri" w:cs="Calibri"/>
          <w:b/>
          <w:color w:val="13576B"/>
          <w:sz w:val="22"/>
          <w:szCs w:val="28"/>
        </w:rPr>
      </w:pPr>
      <w:r>
        <w:rPr>
          <w:rFonts w:ascii="Calibri" w:eastAsia="Calibri" w:hAnsi="Calibri" w:cs="Calibri"/>
          <w:b/>
          <w:color w:val="13576B"/>
          <w:sz w:val="22"/>
          <w:szCs w:val="28"/>
        </w:rPr>
        <w:t>Výhled na mírnější i</w:t>
      </w:r>
      <w:r w:rsidR="00B437B7" w:rsidRPr="007B70F3">
        <w:rPr>
          <w:rFonts w:ascii="Calibri" w:eastAsia="Calibri" w:hAnsi="Calibri" w:cs="Calibri"/>
          <w:b/>
          <w:color w:val="13576B"/>
          <w:sz w:val="22"/>
          <w:szCs w:val="28"/>
        </w:rPr>
        <w:t>nflac</w:t>
      </w:r>
      <w:r w:rsidR="00E643FA">
        <w:rPr>
          <w:rFonts w:ascii="Calibri" w:eastAsia="Calibri" w:hAnsi="Calibri" w:cs="Calibri"/>
          <w:b/>
          <w:color w:val="13576B"/>
          <w:sz w:val="22"/>
          <w:szCs w:val="28"/>
        </w:rPr>
        <w:t>i</w:t>
      </w:r>
      <w:r>
        <w:rPr>
          <w:rFonts w:ascii="Calibri" w:eastAsia="Calibri" w:hAnsi="Calibri" w:cs="Calibri"/>
          <w:b/>
          <w:color w:val="13576B"/>
          <w:sz w:val="22"/>
          <w:szCs w:val="28"/>
        </w:rPr>
        <w:t xml:space="preserve"> také díky </w:t>
      </w:r>
      <w:r w:rsidR="00B437B7" w:rsidRPr="007B70F3">
        <w:rPr>
          <w:rFonts w:ascii="Calibri" w:eastAsia="Calibri" w:hAnsi="Calibri" w:cs="Calibri"/>
          <w:b/>
          <w:color w:val="13576B"/>
          <w:sz w:val="22"/>
          <w:szCs w:val="28"/>
        </w:rPr>
        <w:t>měnov</w:t>
      </w:r>
      <w:r>
        <w:rPr>
          <w:rFonts w:ascii="Calibri" w:eastAsia="Calibri" w:hAnsi="Calibri" w:cs="Calibri"/>
          <w:b/>
          <w:color w:val="13576B"/>
          <w:sz w:val="22"/>
          <w:szCs w:val="28"/>
        </w:rPr>
        <w:t>é</w:t>
      </w:r>
      <w:r w:rsidR="00B437B7" w:rsidRPr="007B70F3">
        <w:rPr>
          <w:rFonts w:ascii="Calibri" w:eastAsia="Calibri" w:hAnsi="Calibri" w:cs="Calibri"/>
          <w:b/>
          <w:color w:val="13576B"/>
          <w:sz w:val="22"/>
          <w:szCs w:val="28"/>
        </w:rPr>
        <w:t xml:space="preserve"> politi</w:t>
      </w:r>
      <w:r>
        <w:rPr>
          <w:rFonts w:ascii="Calibri" w:eastAsia="Calibri" w:hAnsi="Calibri" w:cs="Calibri"/>
          <w:b/>
          <w:color w:val="13576B"/>
          <w:sz w:val="22"/>
          <w:szCs w:val="28"/>
        </w:rPr>
        <w:t>ce</w:t>
      </w:r>
      <w:r w:rsidR="00B437B7" w:rsidRPr="007B70F3">
        <w:rPr>
          <w:rFonts w:ascii="Calibri" w:eastAsia="Calibri" w:hAnsi="Calibri" w:cs="Calibri"/>
          <w:b/>
          <w:color w:val="13576B"/>
          <w:sz w:val="22"/>
          <w:szCs w:val="28"/>
        </w:rPr>
        <w:t xml:space="preserve"> a </w:t>
      </w:r>
      <w:r>
        <w:rPr>
          <w:rFonts w:ascii="Calibri" w:eastAsia="Calibri" w:hAnsi="Calibri" w:cs="Calibri"/>
          <w:b/>
          <w:color w:val="13576B"/>
          <w:sz w:val="22"/>
          <w:szCs w:val="28"/>
        </w:rPr>
        <w:t>kurzu koruny</w:t>
      </w:r>
    </w:p>
    <w:p w14:paraId="1F7D7243" w14:textId="3F9EB2B9" w:rsidR="00484CFC" w:rsidRPr="00484CFC" w:rsidRDefault="00484CFC" w:rsidP="00484CFC">
      <w:pPr>
        <w:spacing w:after="120"/>
        <w:rPr>
          <w:rFonts w:ascii="Calibri" w:hAnsi="Calibri" w:cs="Calibri"/>
          <w:bCs/>
          <w:color w:val="000000" w:themeColor="text1"/>
          <w:sz w:val="20"/>
        </w:rPr>
      </w:pPr>
      <w:r w:rsidRPr="00484CFC">
        <w:rPr>
          <w:rFonts w:ascii="Calibri" w:hAnsi="Calibri" w:cs="Calibri"/>
          <w:bCs/>
          <w:color w:val="000000" w:themeColor="text1"/>
          <w:sz w:val="20"/>
        </w:rPr>
        <w:t xml:space="preserve">V tomto inflačním prostředí konsenzus únorové prognózy nadále předpokládá stabilitu základní sazby ČNB na úrovni 3,50 % po celý horizont prognózy. </w:t>
      </w:r>
      <w:r w:rsidR="00FA65D3">
        <w:rPr>
          <w:rFonts w:ascii="Calibri" w:hAnsi="Calibri" w:cs="Calibri"/>
          <w:bCs/>
          <w:color w:val="000000" w:themeColor="text1"/>
          <w:sz w:val="20"/>
        </w:rPr>
        <w:t>Ovšem</w:t>
      </w:r>
      <w:r w:rsidRPr="00484CFC">
        <w:rPr>
          <w:rFonts w:ascii="Calibri" w:hAnsi="Calibri" w:cs="Calibri"/>
          <w:bCs/>
          <w:color w:val="000000" w:themeColor="text1"/>
          <w:sz w:val="20"/>
        </w:rPr>
        <w:t xml:space="preserve"> </w:t>
      </w:r>
      <w:r w:rsidR="00FA65D3">
        <w:rPr>
          <w:rFonts w:ascii="Calibri" w:hAnsi="Calibri" w:cs="Calibri"/>
          <w:bCs/>
          <w:color w:val="000000" w:themeColor="text1"/>
          <w:sz w:val="20"/>
        </w:rPr>
        <w:t>polovina</w:t>
      </w:r>
      <w:r w:rsidRPr="00484CFC">
        <w:rPr>
          <w:rFonts w:ascii="Calibri" w:hAnsi="Calibri" w:cs="Calibri"/>
          <w:bCs/>
          <w:color w:val="000000" w:themeColor="text1"/>
          <w:sz w:val="20"/>
        </w:rPr>
        <w:t xml:space="preserve"> respondentů připouští možnost snížení </w:t>
      </w:r>
      <w:r w:rsidR="00FA65D3">
        <w:rPr>
          <w:rFonts w:ascii="Calibri" w:hAnsi="Calibri" w:cs="Calibri"/>
          <w:bCs/>
          <w:color w:val="000000" w:themeColor="text1"/>
          <w:sz w:val="20"/>
        </w:rPr>
        <w:t>sazby ČNB o 25bp, a to během roku 2026 či 2027.</w:t>
      </w:r>
      <w:r w:rsidR="00FA65D3" w:rsidRPr="00FA65D3">
        <w:rPr>
          <w:rFonts w:ascii="Calibri" w:hAnsi="Calibri" w:cs="Calibri"/>
          <w:bCs/>
          <w:color w:val="000000" w:themeColor="text1"/>
          <w:sz w:val="20"/>
        </w:rPr>
        <w:t xml:space="preserve"> </w:t>
      </w:r>
      <w:r w:rsidR="00FA65D3">
        <w:rPr>
          <w:rFonts w:ascii="Calibri" w:hAnsi="Calibri" w:cs="Calibri"/>
          <w:bCs/>
          <w:color w:val="000000" w:themeColor="text1"/>
          <w:sz w:val="20"/>
        </w:rPr>
        <w:t xml:space="preserve">Ale základní scénář nezměněné úrokové sazby ČNB </w:t>
      </w:r>
      <w:r w:rsidRPr="00484CFC">
        <w:rPr>
          <w:rFonts w:ascii="Calibri" w:hAnsi="Calibri" w:cs="Calibri"/>
          <w:bCs/>
          <w:color w:val="000000" w:themeColor="text1"/>
          <w:sz w:val="20"/>
        </w:rPr>
        <w:t>odráží kombinaci utlumené celkové inflace</w:t>
      </w:r>
      <w:r w:rsidR="00755AE7">
        <w:rPr>
          <w:rFonts w:ascii="Calibri" w:hAnsi="Calibri" w:cs="Calibri"/>
          <w:bCs/>
          <w:color w:val="000000" w:themeColor="text1"/>
          <w:sz w:val="20"/>
        </w:rPr>
        <w:t>,</w:t>
      </w:r>
      <w:r w:rsidR="00FA65D3">
        <w:rPr>
          <w:rFonts w:ascii="Calibri" w:hAnsi="Calibri" w:cs="Calibri"/>
          <w:bCs/>
          <w:color w:val="000000" w:themeColor="text1"/>
          <w:sz w:val="20"/>
        </w:rPr>
        <w:t xml:space="preserve"> ovšem s</w:t>
      </w:r>
      <w:r w:rsidRPr="00484CFC">
        <w:rPr>
          <w:rFonts w:ascii="Calibri" w:hAnsi="Calibri" w:cs="Calibri"/>
          <w:bCs/>
          <w:color w:val="000000" w:themeColor="text1"/>
          <w:sz w:val="20"/>
        </w:rPr>
        <w:t xml:space="preserve"> přetrvávajíc</w:t>
      </w:r>
      <w:r w:rsidR="00FA65D3">
        <w:rPr>
          <w:rFonts w:ascii="Calibri" w:hAnsi="Calibri" w:cs="Calibri"/>
          <w:bCs/>
          <w:color w:val="000000" w:themeColor="text1"/>
          <w:sz w:val="20"/>
        </w:rPr>
        <w:t>ími</w:t>
      </w:r>
      <w:r w:rsidRPr="00484CFC">
        <w:rPr>
          <w:rFonts w:ascii="Calibri" w:hAnsi="Calibri" w:cs="Calibri"/>
          <w:bCs/>
          <w:color w:val="000000" w:themeColor="text1"/>
          <w:sz w:val="20"/>
        </w:rPr>
        <w:t xml:space="preserve"> jádrový</w:t>
      </w:r>
      <w:r w:rsidR="00FA65D3">
        <w:rPr>
          <w:rFonts w:ascii="Calibri" w:hAnsi="Calibri" w:cs="Calibri"/>
          <w:bCs/>
          <w:color w:val="000000" w:themeColor="text1"/>
          <w:sz w:val="20"/>
        </w:rPr>
        <w:t>mi</w:t>
      </w:r>
      <w:r w:rsidRPr="00484CFC">
        <w:rPr>
          <w:rFonts w:ascii="Calibri" w:hAnsi="Calibri" w:cs="Calibri"/>
          <w:bCs/>
          <w:color w:val="000000" w:themeColor="text1"/>
          <w:sz w:val="20"/>
        </w:rPr>
        <w:t xml:space="preserve"> tlak</w:t>
      </w:r>
      <w:r w:rsidR="00FA65D3">
        <w:rPr>
          <w:rFonts w:ascii="Calibri" w:hAnsi="Calibri" w:cs="Calibri"/>
          <w:bCs/>
          <w:color w:val="000000" w:themeColor="text1"/>
          <w:sz w:val="20"/>
        </w:rPr>
        <w:t>y</w:t>
      </w:r>
      <w:r w:rsidRPr="00484CFC">
        <w:rPr>
          <w:rFonts w:ascii="Calibri" w:hAnsi="Calibri" w:cs="Calibri"/>
          <w:bCs/>
          <w:color w:val="000000" w:themeColor="text1"/>
          <w:sz w:val="20"/>
        </w:rPr>
        <w:t xml:space="preserve"> a nejistoty spojené s fiskální politikou, kte</w:t>
      </w:r>
      <w:r w:rsidR="00FA65D3">
        <w:rPr>
          <w:rFonts w:ascii="Calibri" w:hAnsi="Calibri" w:cs="Calibri"/>
          <w:bCs/>
          <w:color w:val="000000" w:themeColor="text1"/>
          <w:sz w:val="20"/>
        </w:rPr>
        <w:t>ré</w:t>
      </w:r>
      <w:r w:rsidRPr="00484CFC">
        <w:rPr>
          <w:rFonts w:ascii="Calibri" w:hAnsi="Calibri" w:cs="Calibri"/>
          <w:bCs/>
          <w:color w:val="000000" w:themeColor="text1"/>
          <w:sz w:val="20"/>
        </w:rPr>
        <w:t xml:space="preserve"> omezuj</w:t>
      </w:r>
      <w:r w:rsidR="00FA65D3">
        <w:rPr>
          <w:rFonts w:ascii="Calibri" w:hAnsi="Calibri" w:cs="Calibri"/>
          <w:bCs/>
          <w:color w:val="000000" w:themeColor="text1"/>
          <w:sz w:val="20"/>
        </w:rPr>
        <w:t>í</w:t>
      </w:r>
      <w:r w:rsidRPr="00484CFC">
        <w:rPr>
          <w:rFonts w:ascii="Calibri" w:hAnsi="Calibri" w:cs="Calibri"/>
          <w:bCs/>
          <w:color w:val="000000" w:themeColor="text1"/>
          <w:sz w:val="20"/>
        </w:rPr>
        <w:t xml:space="preserve"> prostor pro uvolnění měnových podmínek.</w:t>
      </w:r>
      <w:r w:rsidR="00516874" w:rsidRPr="00516874">
        <w:rPr>
          <w:rFonts w:ascii="Calibri" w:hAnsi="Calibri" w:cs="Calibri"/>
          <w:bCs/>
          <w:color w:val="000000" w:themeColor="text1"/>
          <w:sz w:val="20"/>
        </w:rPr>
        <w:t xml:space="preserve"> </w:t>
      </w:r>
      <w:r w:rsidR="00516874" w:rsidRPr="00410CB7">
        <w:rPr>
          <w:rFonts w:ascii="Calibri" w:hAnsi="Calibri" w:cs="Calibri"/>
          <w:bCs/>
          <w:color w:val="000000" w:themeColor="text1"/>
          <w:sz w:val="20"/>
        </w:rPr>
        <w:t>Průměrná sazba 3M PRIBOR by se měla pohybovat kolem 3,5–3,6 %. Výnos desetiletého vládního dluhopisu zůstává</w:t>
      </w:r>
      <w:r w:rsidR="00516874">
        <w:rPr>
          <w:rFonts w:ascii="Calibri" w:hAnsi="Calibri" w:cs="Calibri"/>
          <w:bCs/>
          <w:color w:val="000000" w:themeColor="text1"/>
          <w:sz w:val="20"/>
        </w:rPr>
        <w:t xml:space="preserve"> rovněž</w:t>
      </w:r>
      <w:r w:rsidR="00516874" w:rsidRPr="00410CB7">
        <w:rPr>
          <w:rFonts w:ascii="Calibri" w:hAnsi="Calibri" w:cs="Calibri"/>
          <w:bCs/>
          <w:color w:val="000000" w:themeColor="text1"/>
          <w:sz w:val="20"/>
        </w:rPr>
        <w:t xml:space="preserve"> relativně stabilní kolem 4,3–4,4 %.</w:t>
      </w:r>
    </w:p>
    <w:p w14:paraId="444A2C8E" w14:textId="40F7D439" w:rsidR="00484CFC" w:rsidRDefault="001E0921" w:rsidP="00484CFC">
      <w:pPr>
        <w:spacing w:after="120"/>
        <w:rPr>
          <w:rFonts w:ascii="Calibri" w:hAnsi="Calibri" w:cs="Calibri"/>
          <w:bCs/>
          <w:color w:val="000000" w:themeColor="text1"/>
          <w:sz w:val="20"/>
        </w:rPr>
      </w:pPr>
      <w:r>
        <w:rPr>
          <w:rFonts w:ascii="Calibri" w:hAnsi="Calibri" w:cs="Calibri"/>
          <w:bCs/>
          <w:color w:val="000000" w:themeColor="text1"/>
          <w:sz w:val="20"/>
        </w:rPr>
        <w:t xml:space="preserve">Úrokové sazby v reálném vyjádření </w:t>
      </w:r>
      <w:r w:rsidR="00516874">
        <w:rPr>
          <w:rFonts w:ascii="Calibri" w:hAnsi="Calibri" w:cs="Calibri"/>
          <w:bCs/>
          <w:color w:val="000000" w:themeColor="text1"/>
          <w:sz w:val="20"/>
        </w:rPr>
        <w:t xml:space="preserve">zůstávají relativně utažené </w:t>
      </w:r>
      <w:r>
        <w:rPr>
          <w:rFonts w:ascii="Calibri" w:hAnsi="Calibri" w:cs="Calibri"/>
          <w:bCs/>
          <w:color w:val="000000" w:themeColor="text1"/>
          <w:sz w:val="20"/>
        </w:rPr>
        <w:t>kvůli</w:t>
      </w:r>
      <w:r w:rsidR="00516874">
        <w:rPr>
          <w:rFonts w:ascii="Calibri" w:hAnsi="Calibri" w:cs="Calibri"/>
          <w:bCs/>
          <w:color w:val="000000" w:themeColor="text1"/>
          <w:sz w:val="20"/>
        </w:rPr>
        <w:t xml:space="preserve"> zpomalení celkového růstu spotřebitelských cen, což platí i o reálném kurzu koruny. </w:t>
      </w:r>
      <w:r w:rsidR="00FA65D3">
        <w:rPr>
          <w:rFonts w:ascii="Calibri" w:hAnsi="Calibri" w:cs="Calibri"/>
          <w:bCs/>
          <w:color w:val="000000" w:themeColor="text1"/>
          <w:sz w:val="20"/>
        </w:rPr>
        <w:t>N</w:t>
      </w:r>
      <w:r w:rsidR="00516874">
        <w:rPr>
          <w:rFonts w:ascii="Calibri" w:hAnsi="Calibri" w:cs="Calibri"/>
          <w:bCs/>
          <w:color w:val="000000" w:themeColor="text1"/>
          <w:sz w:val="20"/>
        </w:rPr>
        <w:t>ominální hodnota</w:t>
      </w:r>
      <w:r w:rsidR="00FA65D3">
        <w:rPr>
          <w:rFonts w:ascii="Calibri" w:hAnsi="Calibri" w:cs="Calibri"/>
          <w:bCs/>
          <w:color w:val="000000" w:themeColor="text1"/>
          <w:sz w:val="20"/>
        </w:rPr>
        <w:t xml:space="preserve"> koruny</w:t>
      </w:r>
      <w:r w:rsidR="00516874">
        <w:rPr>
          <w:rFonts w:ascii="Calibri" w:hAnsi="Calibri" w:cs="Calibri"/>
          <w:bCs/>
          <w:color w:val="000000" w:themeColor="text1"/>
          <w:sz w:val="20"/>
        </w:rPr>
        <w:t xml:space="preserve"> by </w:t>
      </w:r>
      <w:r w:rsidR="00484CFC" w:rsidRPr="00484CFC">
        <w:rPr>
          <w:rFonts w:ascii="Calibri" w:hAnsi="Calibri" w:cs="Calibri"/>
          <w:bCs/>
          <w:color w:val="000000" w:themeColor="text1"/>
          <w:sz w:val="20"/>
        </w:rPr>
        <w:t>měl</w:t>
      </w:r>
      <w:r w:rsidR="00516874">
        <w:rPr>
          <w:rFonts w:ascii="Calibri" w:hAnsi="Calibri" w:cs="Calibri"/>
          <w:bCs/>
          <w:color w:val="000000" w:themeColor="text1"/>
          <w:sz w:val="20"/>
        </w:rPr>
        <w:t>a</w:t>
      </w:r>
      <w:r w:rsidR="00484CFC" w:rsidRPr="00484CFC">
        <w:rPr>
          <w:rFonts w:ascii="Calibri" w:hAnsi="Calibri" w:cs="Calibri"/>
          <w:bCs/>
          <w:color w:val="000000" w:themeColor="text1"/>
          <w:sz w:val="20"/>
        </w:rPr>
        <w:t xml:space="preserve"> zůstat relativně siln</w:t>
      </w:r>
      <w:r>
        <w:rPr>
          <w:rFonts w:ascii="Calibri" w:hAnsi="Calibri" w:cs="Calibri"/>
          <w:bCs/>
          <w:color w:val="000000" w:themeColor="text1"/>
          <w:sz w:val="20"/>
        </w:rPr>
        <w:t>á</w:t>
      </w:r>
      <w:r w:rsidR="00516874">
        <w:rPr>
          <w:rFonts w:ascii="Calibri" w:hAnsi="Calibri" w:cs="Calibri"/>
          <w:bCs/>
          <w:color w:val="000000" w:themeColor="text1"/>
          <w:sz w:val="20"/>
        </w:rPr>
        <w:t>. Naše prognóza vyhlíží p</w:t>
      </w:r>
      <w:r w:rsidR="00484CFC" w:rsidRPr="00484CFC">
        <w:rPr>
          <w:rFonts w:ascii="Calibri" w:hAnsi="Calibri" w:cs="Calibri"/>
          <w:bCs/>
          <w:color w:val="000000" w:themeColor="text1"/>
          <w:sz w:val="20"/>
        </w:rPr>
        <w:t>růměrný kurz CZK/EUR v roce 202</w:t>
      </w:r>
      <w:r w:rsidR="00516874">
        <w:rPr>
          <w:rFonts w:ascii="Calibri" w:hAnsi="Calibri" w:cs="Calibri"/>
          <w:bCs/>
          <w:color w:val="000000" w:themeColor="text1"/>
          <w:sz w:val="20"/>
        </w:rPr>
        <w:t>6</w:t>
      </w:r>
      <w:r w:rsidR="00484CFC" w:rsidRPr="00484CFC">
        <w:rPr>
          <w:rFonts w:ascii="Calibri" w:hAnsi="Calibri" w:cs="Calibri"/>
          <w:bCs/>
          <w:color w:val="000000" w:themeColor="text1"/>
          <w:sz w:val="20"/>
        </w:rPr>
        <w:t xml:space="preserve"> kolem 24,2 a v roce 2027 kolem 24,1, což přispívá ke zmírnění dovážených inflačních tlaků</w:t>
      </w:r>
      <w:r w:rsidR="00516874">
        <w:rPr>
          <w:rFonts w:ascii="Calibri" w:hAnsi="Calibri" w:cs="Calibri"/>
          <w:bCs/>
          <w:color w:val="000000" w:themeColor="text1"/>
          <w:sz w:val="20"/>
        </w:rPr>
        <w:t xml:space="preserve"> v obchodovatelném segmentu. Solidní výhled na korunu odráží přetrvávající podpůrný úrokový diferenciál a opět konstruktivnější výhled na exportní aktivitu. </w:t>
      </w:r>
    </w:p>
    <w:bookmarkEnd w:id="1"/>
    <w:p w14:paraId="5ED4A81C" w14:textId="5A3F934A" w:rsidR="007B70F3" w:rsidRDefault="007B70F3" w:rsidP="007B70F3">
      <w:pPr>
        <w:spacing w:after="120"/>
        <w:rPr>
          <w:rFonts w:ascii="Calibri" w:eastAsia="Calibri" w:hAnsi="Calibri" w:cs="Calibri"/>
          <w:b/>
          <w:color w:val="13576B"/>
          <w:sz w:val="22"/>
          <w:szCs w:val="28"/>
        </w:rPr>
      </w:pPr>
      <w:r w:rsidRPr="007B70F3">
        <w:rPr>
          <w:rFonts w:ascii="Calibri" w:eastAsia="Calibri" w:hAnsi="Calibri" w:cs="Calibri"/>
          <w:b/>
          <w:color w:val="13576B"/>
          <w:sz w:val="22"/>
          <w:szCs w:val="28"/>
        </w:rPr>
        <w:t>Bankovní úvěry a vklady</w:t>
      </w:r>
    </w:p>
    <w:p w14:paraId="593C9032" w14:textId="18290344" w:rsidR="007B70F3" w:rsidRPr="00D25D5E" w:rsidRDefault="007B70F3" w:rsidP="007B70F3">
      <w:pPr>
        <w:spacing w:after="120"/>
        <w:rPr>
          <w:rFonts w:ascii="Calibri" w:hAnsi="Calibri" w:cs="Calibri"/>
          <w:bCs/>
          <w:color w:val="000000" w:themeColor="text1"/>
          <w:sz w:val="20"/>
        </w:rPr>
      </w:pPr>
      <w:r w:rsidRPr="009E33F6">
        <w:rPr>
          <w:rFonts w:ascii="Calibri" w:hAnsi="Calibri" w:cs="Calibri"/>
          <w:b/>
          <w:color w:val="000000" w:themeColor="text1"/>
          <w:sz w:val="20"/>
        </w:rPr>
        <w:t>Celkově by klientské úvěry měly</w:t>
      </w:r>
      <w:r w:rsidR="009E33F6" w:rsidRPr="009E33F6">
        <w:rPr>
          <w:rFonts w:ascii="Calibri" w:hAnsi="Calibri" w:cs="Calibri"/>
          <w:b/>
          <w:color w:val="000000" w:themeColor="text1"/>
          <w:sz w:val="20"/>
        </w:rPr>
        <w:t xml:space="preserve"> v letošním roce mírně zrychlit svůj růst</w:t>
      </w:r>
      <w:r w:rsidRPr="009E33F6">
        <w:rPr>
          <w:rFonts w:ascii="Calibri" w:hAnsi="Calibri" w:cs="Calibri"/>
          <w:b/>
          <w:color w:val="000000" w:themeColor="text1"/>
          <w:sz w:val="20"/>
        </w:rPr>
        <w:t xml:space="preserve"> </w:t>
      </w:r>
      <w:r w:rsidR="009E33F6" w:rsidRPr="009E33F6">
        <w:rPr>
          <w:rFonts w:ascii="Calibri" w:hAnsi="Calibri" w:cs="Calibri"/>
          <w:b/>
          <w:color w:val="000000" w:themeColor="text1"/>
          <w:sz w:val="20"/>
        </w:rPr>
        <w:t xml:space="preserve">na 6,4 % meziročně se strukturou odpovídající růstu české ekonomky. </w:t>
      </w:r>
      <w:r w:rsidR="009E33F6" w:rsidRPr="009E33F6">
        <w:rPr>
          <w:rFonts w:ascii="Calibri" w:hAnsi="Calibri" w:cs="Calibri"/>
          <w:bCs/>
          <w:color w:val="000000" w:themeColor="text1"/>
          <w:sz w:val="20"/>
        </w:rPr>
        <w:t>Zde máme na mysli pokračující růst úvěrů domácnost</w:t>
      </w:r>
      <w:r w:rsidR="009E33F6">
        <w:rPr>
          <w:rFonts w:ascii="Calibri" w:hAnsi="Calibri" w:cs="Calibri"/>
          <w:bCs/>
          <w:color w:val="000000" w:themeColor="text1"/>
          <w:sz w:val="20"/>
        </w:rPr>
        <w:t xml:space="preserve">em </w:t>
      </w:r>
      <w:r w:rsidR="009E33F6" w:rsidRPr="009E33F6">
        <w:rPr>
          <w:rFonts w:ascii="Calibri" w:hAnsi="Calibri" w:cs="Calibri"/>
          <w:bCs/>
          <w:color w:val="000000" w:themeColor="text1"/>
          <w:sz w:val="20"/>
        </w:rPr>
        <w:t>o 7,2 % meziročně, tedy obdobně jako v roce 2025</w:t>
      </w:r>
      <w:r w:rsidR="009E33F6">
        <w:rPr>
          <w:rFonts w:ascii="Calibri" w:hAnsi="Calibri" w:cs="Calibri"/>
          <w:bCs/>
          <w:color w:val="000000" w:themeColor="text1"/>
          <w:sz w:val="20"/>
        </w:rPr>
        <w:t>,</w:t>
      </w:r>
      <w:r w:rsidR="009E33F6" w:rsidRPr="009E33F6">
        <w:rPr>
          <w:rFonts w:ascii="Calibri" w:hAnsi="Calibri" w:cs="Calibri"/>
          <w:bCs/>
          <w:color w:val="000000" w:themeColor="text1"/>
          <w:sz w:val="20"/>
        </w:rPr>
        <w:t xml:space="preserve"> a zároveň očekáváme zrychlení i růstu úvěrů </w:t>
      </w:r>
      <w:r w:rsidR="009E33F6">
        <w:rPr>
          <w:rFonts w:ascii="Calibri" w:hAnsi="Calibri" w:cs="Calibri"/>
          <w:bCs/>
          <w:color w:val="000000" w:themeColor="text1"/>
          <w:sz w:val="20"/>
        </w:rPr>
        <w:t xml:space="preserve">nefinančním </w:t>
      </w:r>
      <w:r w:rsidR="009E33F6" w:rsidRPr="009E33F6">
        <w:rPr>
          <w:rFonts w:ascii="Calibri" w:hAnsi="Calibri" w:cs="Calibri"/>
          <w:bCs/>
          <w:color w:val="000000" w:themeColor="text1"/>
          <w:sz w:val="20"/>
        </w:rPr>
        <w:t xml:space="preserve">podnikům přes 5 % meziročně po 4 % v roce 2025. Do celkové </w:t>
      </w:r>
      <w:r w:rsidR="009E33F6" w:rsidRPr="009E33F6">
        <w:rPr>
          <w:rFonts w:ascii="Calibri" w:hAnsi="Calibri" w:cs="Calibri"/>
          <w:bCs/>
          <w:color w:val="000000" w:themeColor="text1"/>
          <w:sz w:val="20"/>
        </w:rPr>
        <w:lastRenderedPageBreak/>
        <w:t xml:space="preserve">dynamiky se odráží nejen soustavně silné objemy nově sjednaných úvěrů na bydlení, ale i výrazné oživení nových úvěrů pro korporátní sektor, kde rovněž došlo ke zmírnění dominance </w:t>
      </w:r>
      <w:proofErr w:type="spellStart"/>
      <w:r w:rsidR="009E33F6" w:rsidRPr="009E33F6">
        <w:rPr>
          <w:rFonts w:ascii="Calibri" w:hAnsi="Calibri" w:cs="Calibri"/>
          <w:bCs/>
          <w:color w:val="000000" w:themeColor="text1"/>
          <w:sz w:val="20"/>
        </w:rPr>
        <w:t>cizoměnových</w:t>
      </w:r>
      <w:proofErr w:type="spellEnd"/>
      <w:r w:rsidR="009E33F6" w:rsidRPr="009E33F6">
        <w:rPr>
          <w:rFonts w:ascii="Calibri" w:hAnsi="Calibri" w:cs="Calibri"/>
          <w:bCs/>
          <w:color w:val="000000" w:themeColor="text1"/>
          <w:sz w:val="20"/>
        </w:rPr>
        <w:t xml:space="preserve"> úvěrů. Rok 2027 by měl, i s ohledem na přetrvávající oživení investiční aktivity ponechat silný růst úvěrů podnikům blížící se 5,5 % a rovněž přinést mírné zpomalení růstu úvěrů </w:t>
      </w:r>
      <w:r w:rsidR="009E33F6" w:rsidRPr="00D25D5E">
        <w:rPr>
          <w:rFonts w:ascii="Calibri" w:hAnsi="Calibri" w:cs="Calibri"/>
          <w:bCs/>
          <w:color w:val="000000" w:themeColor="text1"/>
          <w:sz w:val="20"/>
        </w:rPr>
        <w:t>domácnostem na 6,6 %.</w:t>
      </w:r>
    </w:p>
    <w:p w14:paraId="1C491C72" w14:textId="28D5054C" w:rsidR="000D2DCD" w:rsidRPr="00D25D5E" w:rsidRDefault="007B70F3" w:rsidP="000D2DCD">
      <w:pPr>
        <w:spacing w:after="120"/>
        <w:rPr>
          <w:rFonts w:ascii="Calibri" w:hAnsi="Calibri" w:cs="Calibri"/>
          <w:bCs/>
          <w:color w:val="000000" w:themeColor="text1"/>
          <w:sz w:val="20"/>
        </w:rPr>
      </w:pPr>
      <w:r w:rsidRPr="00D25D5E">
        <w:rPr>
          <w:rFonts w:ascii="Calibri" w:hAnsi="Calibri" w:cs="Calibri"/>
          <w:bCs/>
          <w:color w:val="000000" w:themeColor="text1"/>
          <w:sz w:val="20"/>
        </w:rPr>
        <w:t xml:space="preserve">V </w:t>
      </w:r>
      <w:r w:rsidR="009E33F6" w:rsidRPr="00D25D5E">
        <w:rPr>
          <w:rFonts w:ascii="Calibri" w:hAnsi="Calibri" w:cs="Calibri"/>
          <w:bCs/>
          <w:color w:val="000000" w:themeColor="text1"/>
          <w:sz w:val="20"/>
        </w:rPr>
        <w:t>letošním</w:t>
      </w:r>
      <w:r w:rsidRPr="00D25D5E">
        <w:rPr>
          <w:rFonts w:ascii="Calibri" w:hAnsi="Calibri" w:cs="Calibri"/>
          <w:bCs/>
          <w:color w:val="000000" w:themeColor="text1"/>
          <w:sz w:val="20"/>
        </w:rPr>
        <w:t xml:space="preserve"> a příštím roce by měl zrychlit růst vkladů k 5 % po zpomalení </w:t>
      </w:r>
      <w:r w:rsidR="009E33F6" w:rsidRPr="00D25D5E">
        <w:rPr>
          <w:rFonts w:ascii="Calibri" w:hAnsi="Calibri" w:cs="Calibri"/>
          <w:bCs/>
          <w:color w:val="000000" w:themeColor="text1"/>
          <w:sz w:val="20"/>
        </w:rPr>
        <w:t xml:space="preserve">na </w:t>
      </w:r>
      <w:r w:rsidRPr="00D25D5E">
        <w:rPr>
          <w:rFonts w:ascii="Calibri" w:hAnsi="Calibri" w:cs="Calibri"/>
          <w:bCs/>
          <w:color w:val="000000" w:themeColor="text1"/>
          <w:sz w:val="20"/>
        </w:rPr>
        <w:t>4,</w:t>
      </w:r>
      <w:r w:rsidR="009E33F6" w:rsidRPr="00D25D5E">
        <w:rPr>
          <w:rFonts w:ascii="Calibri" w:hAnsi="Calibri" w:cs="Calibri"/>
          <w:bCs/>
          <w:color w:val="000000" w:themeColor="text1"/>
          <w:sz w:val="20"/>
        </w:rPr>
        <w:t>4</w:t>
      </w:r>
      <w:r w:rsidRPr="00D25D5E">
        <w:rPr>
          <w:rFonts w:ascii="Calibri" w:hAnsi="Calibri" w:cs="Calibri"/>
          <w:bCs/>
          <w:color w:val="000000" w:themeColor="text1"/>
          <w:sz w:val="20"/>
        </w:rPr>
        <w:t xml:space="preserve"> % v</w:t>
      </w:r>
      <w:r w:rsidR="009E33F6" w:rsidRPr="00D25D5E">
        <w:rPr>
          <w:rFonts w:ascii="Calibri" w:hAnsi="Calibri" w:cs="Calibri"/>
          <w:bCs/>
          <w:color w:val="000000" w:themeColor="text1"/>
          <w:sz w:val="20"/>
        </w:rPr>
        <w:t> </w:t>
      </w:r>
      <w:r w:rsidRPr="00D25D5E">
        <w:rPr>
          <w:rFonts w:ascii="Calibri" w:hAnsi="Calibri" w:cs="Calibri"/>
          <w:bCs/>
          <w:color w:val="000000" w:themeColor="text1"/>
          <w:sz w:val="20"/>
        </w:rPr>
        <w:t>roce</w:t>
      </w:r>
      <w:r w:rsidR="009E33F6" w:rsidRPr="00D25D5E">
        <w:rPr>
          <w:rFonts w:ascii="Calibri" w:hAnsi="Calibri" w:cs="Calibri"/>
          <w:bCs/>
          <w:color w:val="000000" w:themeColor="text1"/>
          <w:sz w:val="20"/>
        </w:rPr>
        <w:t xml:space="preserve"> 2025</w:t>
      </w:r>
      <w:r w:rsidRPr="00D25D5E">
        <w:rPr>
          <w:rFonts w:ascii="Calibri" w:hAnsi="Calibri" w:cs="Calibri"/>
          <w:bCs/>
          <w:color w:val="000000" w:themeColor="text1"/>
          <w:sz w:val="20"/>
        </w:rPr>
        <w:t xml:space="preserve"> (což se projevilo v mírném nárůstu poměru vkladů vůči úvěrům na 63 % v letošním září). </w:t>
      </w:r>
      <w:r w:rsidR="00D25D5E" w:rsidRPr="00D25D5E">
        <w:rPr>
          <w:rFonts w:ascii="Calibri" w:hAnsi="Calibri" w:cs="Calibri"/>
          <w:bCs/>
          <w:color w:val="000000" w:themeColor="text1"/>
          <w:sz w:val="20"/>
        </w:rPr>
        <w:t xml:space="preserve">Pomalejší růst vkladů vůči úvěrům odráží </w:t>
      </w:r>
      <w:r w:rsidRPr="00D25D5E">
        <w:rPr>
          <w:rFonts w:ascii="Calibri" w:hAnsi="Calibri" w:cs="Calibri"/>
          <w:bCs/>
          <w:color w:val="000000" w:themeColor="text1"/>
          <w:sz w:val="20"/>
        </w:rPr>
        <w:t>mírnější růst korporátních úvěrů</w:t>
      </w:r>
      <w:r w:rsidR="00D25D5E" w:rsidRPr="00D25D5E">
        <w:rPr>
          <w:rFonts w:ascii="Calibri" w:hAnsi="Calibri" w:cs="Calibri"/>
          <w:bCs/>
          <w:color w:val="000000" w:themeColor="text1"/>
          <w:sz w:val="20"/>
        </w:rPr>
        <w:t xml:space="preserve"> ve srovnání s rokem 2024, ale i</w:t>
      </w:r>
      <w:r w:rsidRPr="00D25D5E">
        <w:rPr>
          <w:rFonts w:ascii="Calibri" w:hAnsi="Calibri" w:cs="Calibri"/>
          <w:bCs/>
          <w:color w:val="000000" w:themeColor="text1"/>
          <w:sz w:val="20"/>
        </w:rPr>
        <w:t xml:space="preserve"> pokles úrokové sazby, relativní oživení portfoliových investic domácností namísto spoření a rovněž předpokládanou nižší míru úspor domácností.</w:t>
      </w:r>
    </w:p>
    <w:p w14:paraId="19F75569" w14:textId="626C7EE5" w:rsidR="007B70F3" w:rsidRPr="00914F70" w:rsidRDefault="00720102" w:rsidP="000171EA">
      <w:pPr>
        <w:jc w:val="left"/>
        <w:rPr>
          <w:rFonts w:ascii="Calibri" w:hAnsi="Calibri" w:cs="Calibri"/>
          <w:color w:val="FF0000"/>
          <w:sz w:val="20"/>
        </w:rPr>
      </w:pPr>
      <w:r>
        <w:rPr>
          <w:rFonts w:ascii="Calibri" w:hAnsi="Calibri" w:cs="Calibri"/>
          <w:noProof/>
          <w:color w:val="FF0000"/>
          <w:sz w:val="20"/>
        </w:rPr>
        <w:drawing>
          <wp:inline distT="0" distB="0" distL="0" distR="0" wp14:anchorId="00ACCFD4" wp14:editId="05E00CB0">
            <wp:extent cx="3048000" cy="2258259"/>
            <wp:effectExtent l="0" t="0" r="0" b="8890"/>
            <wp:docPr id="15924710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6440" cy="2264513"/>
                    </a:xfrm>
                    <a:prstGeom prst="rect">
                      <a:avLst/>
                    </a:prstGeom>
                    <a:noFill/>
                  </pic:spPr>
                </pic:pic>
              </a:graphicData>
            </a:graphic>
          </wp:inline>
        </w:drawing>
      </w:r>
      <w:r>
        <w:rPr>
          <w:rFonts w:ascii="Calibri" w:hAnsi="Calibri" w:cs="Calibri"/>
          <w:noProof/>
          <w:color w:val="FF0000"/>
          <w:sz w:val="20"/>
        </w:rPr>
        <w:drawing>
          <wp:inline distT="0" distB="0" distL="0" distR="0" wp14:anchorId="3B3F337B" wp14:editId="13DFA595">
            <wp:extent cx="3186545" cy="2226945"/>
            <wp:effectExtent l="0" t="0" r="0" b="1905"/>
            <wp:docPr id="18419313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3664" cy="2231920"/>
                    </a:xfrm>
                    <a:prstGeom prst="rect">
                      <a:avLst/>
                    </a:prstGeom>
                    <a:noFill/>
                  </pic:spPr>
                </pic:pic>
              </a:graphicData>
            </a:graphic>
          </wp:inline>
        </w:drawing>
      </w:r>
      <w:r w:rsidR="000D2DCD">
        <w:rPr>
          <w:rFonts w:ascii="Calibri" w:hAnsi="Calibri" w:cs="Calibri"/>
          <w:color w:val="FF0000"/>
          <w:sz w:val="20"/>
        </w:rPr>
        <w:t xml:space="preserve">    </w:t>
      </w:r>
    </w:p>
    <w:p w14:paraId="4094574A" w14:textId="3C5B817A" w:rsidR="007B70F3" w:rsidRPr="00806391" w:rsidRDefault="007B70F3" w:rsidP="007B70F3">
      <w:pPr>
        <w:spacing w:after="120"/>
        <w:rPr>
          <w:rFonts w:ascii="Calibri" w:hAnsi="Calibri" w:cs="Calibri"/>
          <w:bCs/>
          <w:color w:val="13576B"/>
          <w:szCs w:val="18"/>
        </w:rPr>
      </w:pPr>
      <w:r>
        <w:rPr>
          <w:rFonts w:ascii="Calibri" w:hAnsi="Calibri" w:cs="Calibri"/>
          <w:bCs/>
          <w:color w:val="13576B"/>
          <w:szCs w:val="18"/>
        </w:rPr>
        <w:t>Pramen</w:t>
      </w:r>
      <w:r w:rsidRPr="00806391">
        <w:rPr>
          <w:rFonts w:ascii="Calibri" w:hAnsi="Calibri" w:cs="Calibri"/>
          <w:bCs/>
          <w:color w:val="13576B"/>
          <w:szCs w:val="18"/>
        </w:rPr>
        <w:t>: ČNB, ČBA (sezónní očištění)</w:t>
      </w:r>
    </w:p>
    <w:p w14:paraId="439A8F15" w14:textId="77777777" w:rsidR="003C7CA9" w:rsidRDefault="00DD759F" w:rsidP="00A1698B">
      <w:pPr>
        <w:spacing w:after="120"/>
        <w:rPr>
          <w:rFonts w:ascii="Calibri" w:eastAsia="Calibri" w:hAnsi="Calibri" w:cs="Calibri"/>
          <w:b/>
          <w:color w:val="13576B"/>
          <w:sz w:val="22"/>
          <w:szCs w:val="28"/>
        </w:rPr>
      </w:pPr>
      <w:r w:rsidRPr="00DD759F">
        <w:rPr>
          <w:rFonts w:ascii="Calibri" w:eastAsia="Calibri" w:hAnsi="Calibri" w:cs="Calibri"/>
          <w:b/>
          <w:color w:val="13576B"/>
          <w:sz w:val="22"/>
          <w:szCs w:val="28"/>
        </w:rPr>
        <w:t>Solidní a rezistentní růstová trajektorie české ekonomiky částečně tlumí mezinárodní regionální rozdíly</w:t>
      </w:r>
    </w:p>
    <w:p w14:paraId="18D0C5D8" w14:textId="7C78DBF0" w:rsidR="007B70F3" w:rsidRPr="00D25D5E" w:rsidRDefault="007B70F3" w:rsidP="00A1698B">
      <w:pPr>
        <w:spacing w:after="120"/>
        <w:rPr>
          <w:rFonts w:ascii="Calibri" w:eastAsia="Calibri" w:hAnsi="Calibri" w:cs="Calibri"/>
          <w:b/>
          <w:color w:val="000000" w:themeColor="text1"/>
          <w:sz w:val="22"/>
          <w:szCs w:val="28"/>
        </w:rPr>
      </w:pPr>
      <w:r w:rsidRPr="00D25D5E">
        <w:rPr>
          <w:rFonts w:ascii="Calibri" w:hAnsi="Calibri" w:cs="Calibri"/>
          <w:bCs/>
          <w:color w:val="000000" w:themeColor="text1"/>
          <w:sz w:val="20"/>
        </w:rPr>
        <w:t>V rámci post</w:t>
      </w:r>
      <w:r w:rsidRPr="00D25D5E">
        <w:rPr>
          <w:rFonts w:ascii="Cambria Math" w:hAnsi="Cambria Math" w:cs="Cambria Math"/>
          <w:bCs/>
          <w:color w:val="000000" w:themeColor="text1"/>
          <w:sz w:val="20"/>
        </w:rPr>
        <w:t>‑</w:t>
      </w:r>
      <w:r w:rsidRPr="00D25D5E">
        <w:rPr>
          <w:rFonts w:ascii="Calibri" w:hAnsi="Calibri" w:cs="Calibri"/>
          <w:bCs/>
          <w:color w:val="000000" w:themeColor="text1"/>
          <w:sz w:val="20"/>
        </w:rPr>
        <w:t>covidového oživení pokračuje česká ekonomika v rychlejším tempu než Německo, které by měla na horizontu predikce (2027) překonat bezmála o 8 %. Zároveň se očekává, že český HDP na sklonku let 2026–2027 překoná post</w:t>
      </w:r>
      <w:r w:rsidRPr="00D25D5E">
        <w:rPr>
          <w:rFonts w:ascii="Cambria Math" w:hAnsi="Cambria Math" w:cs="Cambria Math"/>
          <w:bCs/>
          <w:color w:val="000000" w:themeColor="text1"/>
          <w:sz w:val="20"/>
        </w:rPr>
        <w:t>‑</w:t>
      </w:r>
      <w:r w:rsidRPr="00D25D5E">
        <w:rPr>
          <w:rFonts w:ascii="Calibri" w:hAnsi="Calibri" w:cs="Calibri"/>
          <w:bCs/>
          <w:color w:val="000000" w:themeColor="text1"/>
          <w:sz w:val="20"/>
        </w:rPr>
        <w:t>covidovou trajektorii eurozóny. V regionu by měla česká ekonomika více přiblížit Slovensku, stabilizovat rozdíl vůči Maďarsku, ale znovu mírně ztrácet na Polsko. Tyto rozdíly odrážejí odlišnou dynamiku spotřeby domácností. Pokud se naplní uvedená pozitivní rizika, česká ekonomika může svou regionální pozici dále vylepšit.</w:t>
      </w:r>
    </w:p>
    <w:p w14:paraId="5022AF46" w14:textId="0750E917" w:rsidR="001202B4" w:rsidRPr="00D25D5E" w:rsidRDefault="007B70F3" w:rsidP="00A1698B">
      <w:pPr>
        <w:spacing w:after="120"/>
        <w:rPr>
          <w:rFonts w:ascii="Calibri" w:hAnsi="Calibri" w:cs="Calibri"/>
          <w:bCs/>
          <w:color w:val="000000" w:themeColor="text1"/>
          <w:sz w:val="20"/>
        </w:rPr>
      </w:pPr>
      <w:r w:rsidRPr="00D25D5E">
        <w:rPr>
          <w:rFonts w:ascii="Calibri" w:hAnsi="Calibri" w:cs="Calibri"/>
          <w:bCs/>
          <w:color w:val="000000" w:themeColor="text1"/>
          <w:sz w:val="20"/>
        </w:rPr>
        <w:t xml:space="preserve">Z pohledu plnění inflačního cíle se růst spotřebitelských cen bude </w:t>
      </w:r>
      <w:r w:rsidR="00D25D5E" w:rsidRPr="00D25D5E">
        <w:rPr>
          <w:rFonts w:ascii="Calibri" w:hAnsi="Calibri" w:cs="Calibri"/>
          <w:bCs/>
          <w:color w:val="000000" w:themeColor="text1"/>
          <w:sz w:val="20"/>
        </w:rPr>
        <w:t>v případě české ekonomiky v průměru pohybovat okolo jeho středu, bude</w:t>
      </w:r>
      <w:r w:rsidRPr="00D25D5E">
        <w:rPr>
          <w:rFonts w:ascii="Calibri" w:hAnsi="Calibri" w:cs="Calibri"/>
          <w:bCs/>
          <w:color w:val="000000" w:themeColor="text1"/>
          <w:sz w:val="20"/>
        </w:rPr>
        <w:t xml:space="preserve"> </w:t>
      </w:r>
      <w:r w:rsidR="00D25D5E" w:rsidRPr="00D25D5E">
        <w:rPr>
          <w:rFonts w:ascii="Calibri" w:hAnsi="Calibri" w:cs="Calibri"/>
          <w:bCs/>
          <w:color w:val="000000" w:themeColor="text1"/>
          <w:sz w:val="20"/>
        </w:rPr>
        <w:t xml:space="preserve">nepatrně nad ním </w:t>
      </w:r>
      <w:r w:rsidRPr="00D25D5E">
        <w:rPr>
          <w:rFonts w:ascii="Calibri" w:hAnsi="Calibri" w:cs="Calibri"/>
          <w:bCs/>
          <w:color w:val="000000" w:themeColor="text1"/>
          <w:sz w:val="20"/>
        </w:rPr>
        <w:t xml:space="preserve">v Polsku, což tamní centrální bance </w:t>
      </w:r>
      <w:r w:rsidR="00D25D5E" w:rsidRPr="00D25D5E">
        <w:rPr>
          <w:rFonts w:ascii="Calibri" w:hAnsi="Calibri" w:cs="Calibri"/>
          <w:bCs/>
          <w:color w:val="000000" w:themeColor="text1"/>
          <w:sz w:val="20"/>
        </w:rPr>
        <w:t xml:space="preserve">umožnilo uvolnit měnovou politiku, což ovšem není případ maďarských spotřebitelských cen s jeho mírným přestřelením o půl procentního bodu a v případě slovenského růstu spotřebitelských cen v průměru o více než jeden procentní bod nad cílem centrální banky. Zatímco nečekáme překročení </w:t>
      </w:r>
      <w:proofErr w:type="gramStart"/>
      <w:r w:rsidR="00D25D5E" w:rsidRPr="00D25D5E">
        <w:rPr>
          <w:rFonts w:ascii="Calibri" w:hAnsi="Calibri" w:cs="Calibri"/>
          <w:bCs/>
          <w:color w:val="000000" w:themeColor="text1"/>
          <w:sz w:val="20"/>
        </w:rPr>
        <w:t>3%</w:t>
      </w:r>
      <w:proofErr w:type="gramEnd"/>
      <w:r w:rsidR="00D25D5E" w:rsidRPr="00D25D5E">
        <w:rPr>
          <w:rFonts w:ascii="Calibri" w:hAnsi="Calibri" w:cs="Calibri"/>
          <w:bCs/>
          <w:color w:val="000000" w:themeColor="text1"/>
          <w:sz w:val="20"/>
        </w:rPr>
        <w:t xml:space="preserve"> fiskálního limitu v případě českých vládních financí, tak Polsko ho bude v příštích dvou letech překonávat o více než 3 % HDP, Slovensko a Maďarsko přibližně o 1,4 a 2 %. </w:t>
      </w:r>
    </w:p>
    <w:p w14:paraId="5DAAEFA9" w14:textId="27169FBD" w:rsidR="001202B4" w:rsidRDefault="00D25D5E" w:rsidP="001202B4">
      <w:pPr>
        <w:rPr>
          <w:rFonts w:ascii="Calibri" w:eastAsia="Calibri" w:hAnsi="Calibri" w:cs="Calibri"/>
          <w:bCs/>
          <w:color w:val="13576B"/>
          <w:sz w:val="20"/>
          <w:szCs w:val="24"/>
        </w:rPr>
      </w:pPr>
      <w:r>
        <w:rPr>
          <w:rFonts w:ascii="Calibri" w:eastAsia="Calibri" w:hAnsi="Calibri" w:cs="Calibri"/>
          <w:bCs/>
          <w:noProof/>
          <w:color w:val="13576B"/>
          <w:sz w:val="20"/>
          <w:szCs w:val="24"/>
        </w:rPr>
        <w:lastRenderedPageBreak/>
        <w:drawing>
          <wp:inline distT="0" distB="0" distL="0" distR="0" wp14:anchorId="37C8AA19" wp14:editId="0E510131">
            <wp:extent cx="3175047" cy="2133600"/>
            <wp:effectExtent l="0" t="0" r="6350" b="0"/>
            <wp:docPr id="9117291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0450" cy="2137231"/>
                    </a:xfrm>
                    <a:prstGeom prst="rect">
                      <a:avLst/>
                    </a:prstGeom>
                    <a:noFill/>
                  </pic:spPr>
                </pic:pic>
              </a:graphicData>
            </a:graphic>
          </wp:inline>
        </w:drawing>
      </w:r>
      <w:r w:rsidR="001202B4">
        <w:rPr>
          <w:rFonts w:ascii="Calibri" w:eastAsia="Calibri" w:hAnsi="Calibri" w:cs="Calibri"/>
          <w:bCs/>
          <w:color w:val="13576B"/>
          <w:sz w:val="20"/>
          <w:szCs w:val="24"/>
        </w:rPr>
        <w:t xml:space="preserve"> </w:t>
      </w:r>
      <w:r>
        <w:rPr>
          <w:rFonts w:ascii="Calibri" w:eastAsia="Calibri" w:hAnsi="Calibri" w:cs="Calibri"/>
          <w:bCs/>
          <w:noProof/>
          <w:color w:val="13576B"/>
          <w:sz w:val="20"/>
          <w:szCs w:val="24"/>
        </w:rPr>
        <w:drawing>
          <wp:inline distT="0" distB="0" distL="0" distR="0" wp14:anchorId="345193C5" wp14:editId="76930D75">
            <wp:extent cx="3248025" cy="2192980"/>
            <wp:effectExtent l="0" t="0" r="0" b="0"/>
            <wp:docPr id="1105227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2233" cy="2195821"/>
                    </a:xfrm>
                    <a:prstGeom prst="rect">
                      <a:avLst/>
                    </a:prstGeom>
                    <a:noFill/>
                  </pic:spPr>
                </pic:pic>
              </a:graphicData>
            </a:graphic>
          </wp:inline>
        </w:drawing>
      </w:r>
    </w:p>
    <w:p w14:paraId="5AEDE564" w14:textId="3644362E" w:rsidR="001E07DA" w:rsidRDefault="001202B4" w:rsidP="001202B4">
      <w:pPr>
        <w:spacing w:after="120"/>
        <w:rPr>
          <w:rFonts w:ascii="Calibri" w:hAnsi="Calibri" w:cs="Calibri"/>
          <w:bCs/>
          <w:color w:val="13576B"/>
          <w:szCs w:val="18"/>
        </w:rPr>
      </w:pPr>
      <w:r w:rsidRPr="00806391">
        <w:rPr>
          <w:rFonts w:ascii="Calibri" w:hAnsi="Calibri" w:cs="Calibri"/>
          <w:bCs/>
          <w:color w:val="13576B"/>
          <w:szCs w:val="18"/>
        </w:rPr>
        <w:t xml:space="preserve">Pramen: </w:t>
      </w:r>
      <w:proofErr w:type="spellStart"/>
      <w:r>
        <w:rPr>
          <w:rFonts w:ascii="Calibri" w:hAnsi="Calibri" w:cs="Calibri"/>
          <w:bCs/>
          <w:color w:val="13576B"/>
          <w:szCs w:val="18"/>
        </w:rPr>
        <w:t>Macrobond</w:t>
      </w:r>
      <w:proofErr w:type="spellEnd"/>
      <w:r w:rsidRPr="00806391">
        <w:rPr>
          <w:rFonts w:ascii="Calibri" w:hAnsi="Calibri" w:cs="Calibri"/>
          <w:bCs/>
          <w:color w:val="13576B"/>
          <w:szCs w:val="18"/>
        </w:rPr>
        <w:t xml:space="preserve">, </w:t>
      </w:r>
      <w:proofErr w:type="spellStart"/>
      <w:r w:rsidRPr="00806391">
        <w:rPr>
          <w:rFonts w:ascii="Calibri" w:hAnsi="Calibri" w:cs="Calibri"/>
          <w:bCs/>
          <w:color w:val="13576B"/>
          <w:szCs w:val="18"/>
        </w:rPr>
        <w:t>Consensus</w:t>
      </w:r>
      <w:proofErr w:type="spellEnd"/>
      <w:r w:rsidRPr="00806391">
        <w:rPr>
          <w:rFonts w:ascii="Calibri" w:hAnsi="Calibri" w:cs="Calibri"/>
          <w:bCs/>
          <w:color w:val="13576B"/>
          <w:szCs w:val="18"/>
        </w:rPr>
        <w:t xml:space="preserve"> </w:t>
      </w:r>
      <w:proofErr w:type="spellStart"/>
      <w:r w:rsidRPr="00806391">
        <w:rPr>
          <w:rFonts w:ascii="Calibri" w:hAnsi="Calibri" w:cs="Calibri"/>
          <w:bCs/>
          <w:color w:val="13576B"/>
          <w:szCs w:val="18"/>
        </w:rPr>
        <w:t>Economics</w:t>
      </w:r>
      <w:proofErr w:type="spellEnd"/>
      <w:r w:rsidRPr="00806391">
        <w:rPr>
          <w:rFonts w:ascii="Calibri" w:hAnsi="Calibri" w:cs="Calibri"/>
          <w:bCs/>
          <w:color w:val="13576B"/>
          <w:szCs w:val="18"/>
        </w:rPr>
        <w:t xml:space="preserve">, ČNB, Prognóza ČBA </w:t>
      </w:r>
      <w:r w:rsidRPr="00806391">
        <w:rPr>
          <w:rFonts w:ascii="Calibri" w:hAnsi="Calibri" w:cs="Calibri"/>
          <w:bCs/>
          <w:color w:val="13576B"/>
          <w:szCs w:val="18"/>
        </w:rPr>
        <w:tab/>
        <w:t xml:space="preserve">    Pramen: </w:t>
      </w:r>
      <w:proofErr w:type="spellStart"/>
      <w:r>
        <w:rPr>
          <w:rFonts w:ascii="Calibri" w:hAnsi="Calibri" w:cs="Calibri"/>
          <w:bCs/>
          <w:color w:val="13576B"/>
          <w:szCs w:val="18"/>
        </w:rPr>
        <w:t>Macrobond</w:t>
      </w:r>
      <w:proofErr w:type="spellEnd"/>
      <w:r w:rsidRPr="00806391">
        <w:rPr>
          <w:rFonts w:ascii="Calibri" w:hAnsi="Calibri" w:cs="Calibri"/>
          <w:bCs/>
          <w:color w:val="13576B"/>
          <w:szCs w:val="18"/>
        </w:rPr>
        <w:t xml:space="preserve">, </w:t>
      </w:r>
      <w:proofErr w:type="spellStart"/>
      <w:r w:rsidRPr="00806391">
        <w:rPr>
          <w:rFonts w:ascii="Calibri" w:hAnsi="Calibri" w:cs="Calibri"/>
          <w:bCs/>
          <w:color w:val="13576B"/>
          <w:szCs w:val="18"/>
        </w:rPr>
        <w:t>Consensus</w:t>
      </w:r>
      <w:proofErr w:type="spellEnd"/>
      <w:r w:rsidRPr="00806391">
        <w:rPr>
          <w:rFonts w:ascii="Calibri" w:hAnsi="Calibri" w:cs="Calibri"/>
          <w:bCs/>
          <w:color w:val="13576B"/>
          <w:szCs w:val="18"/>
        </w:rPr>
        <w:t xml:space="preserve"> </w:t>
      </w:r>
      <w:proofErr w:type="spellStart"/>
      <w:r w:rsidRPr="00806391">
        <w:rPr>
          <w:rFonts w:ascii="Calibri" w:hAnsi="Calibri" w:cs="Calibri"/>
          <w:bCs/>
          <w:color w:val="13576B"/>
          <w:szCs w:val="18"/>
        </w:rPr>
        <w:t>Economics</w:t>
      </w:r>
      <w:proofErr w:type="spellEnd"/>
      <w:r w:rsidRPr="00806391">
        <w:rPr>
          <w:rFonts w:ascii="Calibri" w:hAnsi="Calibri" w:cs="Calibri"/>
          <w:bCs/>
          <w:color w:val="13576B"/>
          <w:szCs w:val="18"/>
        </w:rPr>
        <w:t>, ČNB, Prognóza ČBA</w:t>
      </w:r>
    </w:p>
    <w:p w14:paraId="5AEBB5F0" w14:textId="38EFBE36" w:rsidR="00806391" w:rsidRPr="001E07DA" w:rsidRDefault="00806391" w:rsidP="001E07DA">
      <w:pPr>
        <w:rPr>
          <w:rFonts w:ascii="Calibri" w:eastAsia="Calibri" w:hAnsi="Calibri" w:cs="Calibri"/>
          <w:b/>
          <w:color w:val="13576B"/>
          <w:sz w:val="22"/>
          <w:szCs w:val="28"/>
        </w:rPr>
      </w:pPr>
      <w:r w:rsidRPr="001E07DA">
        <w:rPr>
          <w:rFonts w:ascii="Calibri" w:eastAsia="Calibri" w:hAnsi="Calibri" w:cs="Calibri"/>
          <w:b/>
          <w:color w:val="13576B"/>
          <w:sz w:val="22"/>
          <w:szCs w:val="28"/>
        </w:rPr>
        <w:t xml:space="preserve">Výhled české </w:t>
      </w:r>
      <w:r w:rsidRPr="007022D5">
        <w:rPr>
          <w:rFonts w:ascii="Calibri" w:eastAsia="Calibri" w:hAnsi="Calibri" w:cs="Calibri"/>
          <w:b/>
          <w:color w:val="13576B"/>
          <w:sz w:val="22"/>
          <w:szCs w:val="28"/>
        </w:rPr>
        <w:t>ekonomiky v</w:t>
      </w:r>
      <w:r w:rsidR="001202B4" w:rsidRPr="007022D5">
        <w:rPr>
          <w:rFonts w:ascii="Calibri" w:eastAsia="Calibri" w:hAnsi="Calibri" w:cs="Calibri"/>
          <w:b/>
          <w:color w:val="13576B"/>
          <w:sz w:val="22"/>
          <w:szCs w:val="28"/>
        </w:rPr>
        <w:t> </w:t>
      </w:r>
      <w:r w:rsidRPr="007022D5">
        <w:rPr>
          <w:rFonts w:ascii="Calibri" w:eastAsia="Calibri" w:hAnsi="Calibri" w:cs="Calibri"/>
          <w:b/>
          <w:color w:val="13576B"/>
          <w:sz w:val="22"/>
          <w:szCs w:val="28"/>
        </w:rPr>
        <w:t>grafech</w:t>
      </w:r>
      <w:r w:rsidR="001202B4">
        <w:rPr>
          <w:rFonts w:ascii="Calibri" w:eastAsia="Calibri" w:hAnsi="Calibri" w:cs="Calibri"/>
          <w:b/>
          <w:color w:val="EE0000"/>
          <w:sz w:val="22"/>
          <w:szCs w:val="28"/>
        </w:rPr>
        <w:t xml:space="preserve"> </w:t>
      </w:r>
    </w:p>
    <w:p w14:paraId="78D85004" w14:textId="312AB08C" w:rsidR="00720102" w:rsidRDefault="00720102" w:rsidP="001E07DA">
      <w:pPr>
        <w:rPr>
          <w:noProof/>
        </w:rPr>
      </w:pPr>
      <w:r w:rsidRPr="00720102">
        <w:rPr>
          <w:noProof/>
        </w:rPr>
        <w:drawing>
          <wp:inline distT="0" distB="0" distL="0" distR="0" wp14:anchorId="4E6507DE" wp14:editId="752C40C5">
            <wp:extent cx="3174365" cy="1828800"/>
            <wp:effectExtent l="0" t="0" r="6985" b="0"/>
            <wp:docPr id="365062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62865" name=""/>
                    <pic:cNvPicPr/>
                  </pic:nvPicPr>
                  <pic:blipFill>
                    <a:blip r:embed="rId14"/>
                    <a:stretch>
                      <a:fillRect/>
                    </a:stretch>
                  </pic:blipFill>
                  <pic:spPr>
                    <a:xfrm>
                      <a:off x="0" y="0"/>
                      <a:ext cx="3195278" cy="1840848"/>
                    </a:xfrm>
                    <a:prstGeom prst="rect">
                      <a:avLst/>
                    </a:prstGeom>
                  </pic:spPr>
                </pic:pic>
              </a:graphicData>
            </a:graphic>
          </wp:inline>
        </w:drawing>
      </w:r>
      <w:r w:rsidR="00222AA1">
        <w:rPr>
          <w:noProof/>
        </w:rPr>
        <w:t xml:space="preserve">   </w:t>
      </w:r>
      <w:r w:rsidRPr="00720102">
        <w:rPr>
          <w:noProof/>
        </w:rPr>
        <w:drawing>
          <wp:inline distT="0" distB="0" distL="0" distR="0" wp14:anchorId="4DC3BF9A" wp14:editId="4525E446">
            <wp:extent cx="3174184" cy="1866900"/>
            <wp:effectExtent l="0" t="0" r="7620" b="0"/>
            <wp:docPr id="575403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03923" name=""/>
                    <pic:cNvPicPr/>
                  </pic:nvPicPr>
                  <pic:blipFill>
                    <a:blip r:embed="rId15"/>
                    <a:stretch>
                      <a:fillRect/>
                    </a:stretch>
                  </pic:blipFill>
                  <pic:spPr>
                    <a:xfrm>
                      <a:off x="0" y="0"/>
                      <a:ext cx="3189838" cy="1876107"/>
                    </a:xfrm>
                    <a:prstGeom prst="rect">
                      <a:avLst/>
                    </a:prstGeom>
                  </pic:spPr>
                </pic:pic>
              </a:graphicData>
            </a:graphic>
          </wp:inline>
        </w:drawing>
      </w:r>
    </w:p>
    <w:p w14:paraId="0CBF7EA2" w14:textId="58DA77ED" w:rsidR="00222AA1" w:rsidRDefault="00720102" w:rsidP="001E07DA">
      <w:pPr>
        <w:rPr>
          <w:noProof/>
        </w:rPr>
      </w:pPr>
      <w:r w:rsidRPr="00720102">
        <w:rPr>
          <w:noProof/>
        </w:rPr>
        <w:drawing>
          <wp:inline distT="0" distB="0" distL="0" distR="0" wp14:anchorId="7A297AFA" wp14:editId="6FA2FFDA">
            <wp:extent cx="3175000" cy="2051657"/>
            <wp:effectExtent l="0" t="0" r="6350" b="6350"/>
            <wp:docPr id="2141851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51442" name=""/>
                    <pic:cNvPicPr/>
                  </pic:nvPicPr>
                  <pic:blipFill>
                    <a:blip r:embed="rId16"/>
                    <a:stretch>
                      <a:fillRect/>
                    </a:stretch>
                  </pic:blipFill>
                  <pic:spPr>
                    <a:xfrm>
                      <a:off x="0" y="0"/>
                      <a:ext cx="3195923" cy="2065177"/>
                    </a:xfrm>
                    <a:prstGeom prst="rect">
                      <a:avLst/>
                    </a:prstGeom>
                  </pic:spPr>
                </pic:pic>
              </a:graphicData>
            </a:graphic>
          </wp:inline>
        </w:drawing>
      </w:r>
      <w:r w:rsidR="00222AA1">
        <w:rPr>
          <w:noProof/>
        </w:rPr>
        <w:t xml:space="preserve"> </w:t>
      </w:r>
      <w:r w:rsidRPr="00720102">
        <w:rPr>
          <w:noProof/>
        </w:rPr>
        <w:drawing>
          <wp:inline distT="0" distB="0" distL="0" distR="0" wp14:anchorId="50379A0F" wp14:editId="001E1EEC">
            <wp:extent cx="3209642" cy="2105025"/>
            <wp:effectExtent l="0" t="0" r="0" b="0"/>
            <wp:docPr id="1730564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64556" name=""/>
                    <pic:cNvPicPr/>
                  </pic:nvPicPr>
                  <pic:blipFill>
                    <a:blip r:embed="rId17"/>
                    <a:stretch>
                      <a:fillRect/>
                    </a:stretch>
                  </pic:blipFill>
                  <pic:spPr>
                    <a:xfrm>
                      <a:off x="0" y="0"/>
                      <a:ext cx="3216327" cy="2109409"/>
                    </a:xfrm>
                    <a:prstGeom prst="rect">
                      <a:avLst/>
                    </a:prstGeom>
                  </pic:spPr>
                </pic:pic>
              </a:graphicData>
            </a:graphic>
          </wp:inline>
        </w:drawing>
      </w:r>
    </w:p>
    <w:p w14:paraId="596137BA" w14:textId="6683F8BE" w:rsidR="00806391" w:rsidRPr="00806391" w:rsidRDefault="00720102" w:rsidP="001E07DA">
      <w:pPr>
        <w:rPr>
          <w:rFonts w:ascii="Calibri" w:hAnsi="Calibri" w:cs="Calibri"/>
          <w:bCs/>
          <w:color w:val="000000" w:themeColor="text1"/>
          <w:sz w:val="20"/>
        </w:rPr>
      </w:pPr>
      <w:r w:rsidRPr="00720102">
        <w:rPr>
          <w:noProof/>
        </w:rPr>
        <w:lastRenderedPageBreak/>
        <w:drawing>
          <wp:inline distT="0" distB="0" distL="0" distR="0" wp14:anchorId="3DA93FC1" wp14:editId="5DA9304C">
            <wp:extent cx="3208988" cy="2000250"/>
            <wp:effectExtent l="0" t="0" r="0" b="0"/>
            <wp:docPr id="1984573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73156" name=""/>
                    <pic:cNvPicPr/>
                  </pic:nvPicPr>
                  <pic:blipFill>
                    <a:blip r:embed="rId18"/>
                    <a:stretch>
                      <a:fillRect/>
                    </a:stretch>
                  </pic:blipFill>
                  <pic:spPr>
                    <a:xfrm>
                      <a:off x="0" y="0"/>
                      <a:ext cx="3217706" cy="2005684"/>
                    </a:xfrm>
                    <a:prstGeom prst="rect">
                      <a:avLst/>
                    </a:prstGeom>
                  </pic:spPr>
                </pic:pic>
              </a:graphicData>
            </a:graphic>
          </wp:inline>
        </w:drawing>
      </w:r>
      <w:r w:rsidR="00222AA1" w:rsidRPr="00C84D31">
        <w:rPr>
          <w:noProof/>
        </w:rPr>
        <w:t xml:space="preserve">  </w:t>
      </w:r>
      <w:r w:rsidRPr="00720102">
        <w:rPr>
          <w:noProof/>
        </w:rPr>
        <w:drawing>
          <wp:inline distT="0" distB="0" distL="0" distR="0" wp14:anchorId="196A0FB3" wp14:editId="5ACB340F">
            <wp:extent cx="3141980" cy="2009775"/>
            <wp:effectExtent l="0" t="0" r="1270" b="9525"/>
            <wp:docPr id="1345003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03325" name=""/>
                    <pic:cNvPicPr/>
                  </pic:nvPicPr>
                  <pic:blipFill>
                    <a:blip r:embed="rId19"/>
                    <a:stretch>
                      <a:fillRect/>
                    </a:stretch>
                  </pic:blipFill>
                  <pic:spPr>
                    <a:xfrm>
                      <a:off x="0" y="0"/>
                      <a:ext cx="3147617" cy="2013381"/>
                    </a:xfrm>
                    <a:prstGeom prst="rect">
                      <a:avLst/>
                    </a:prstGeom>
                  </pic:spPr>
                </pic:pic>
              </a:graphicData>
            </a:graphic>
          </wp:inline>
        </w:drawing>
      </w:r>
      <w:r w:rsidR="00806391" w:rsidRPr="00806391">
        <w:rPr>
          <w:rFonts w:ascii="Calibri" w:hAnsi="Calibri" w:cs="Calibri"/>
          <w:bCs/>
          <w:color w:val="000000" w:themeColor="text1"/>
          <w:sz w:val="20"/>
        </w:rPr>
        <w:t xml:space="preserve"> </w:t>
      </w:r>
      <w:r w:rsidRPr="00720102">
        <w:rPr>
          <w:rFonts w:ascii="Calibri" w:hAnsi="Calibri" w:cs="Calibri"/>
          <w:bCs/>
          <w:noProof/>
          <w:color w:val="000000" w:themeColor="text1"/>
          <w:sz w:val="20"/>
        </w:rPr>
        <w:drawing>
          <wp:inline distT="0" distB="0" distL="0" distR="0" wp14:anchorId="3A933516" wp14:editId="10B84561">
            <wp:extent cx="3238500" cy="1952421"/>
            <wp:effectExtent l="0" t="0" r="0" b="0"/>
            <wp:docPr id="632304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304051" name=""/>
                    <pic:cNvPicPr/>
                  </pic:nvPicPr>
                  <pic:blipFill>
                    <a:blip r:embed="rId20"/>
                    <a:stretch>
                      <a:fillRect/>
                    </a:stretch>
                  </pic:blipFill>
                  <pic:spPr>
                    <a:xfrm>
                      <a:off x="0" y="0"/>
                      <a:ext cx="3253324" cy="1961358"/>
                    </a:xfrm>
                    <a:prstGeom prst="rect">
                      <a:avLst/>
                    </a:prstGeom>
                  </pic:spPr>
                </pic:pic>
              </a:graphicData>
            </a:graphic>
          </wp:inline>
        </w:drawing>
      </w:r>
      <w:r w:rsidR="007022D5">
        <w:t xml:space="preserve"> </w:t>
      </w:r>
      <w:r w:rsidR="003A44E4">
        <w:t xml:space="preserve"> </w:t>
      </w:r>
      <w:r w:rsidRPr="00720102">
        <w:rPr>
          <w:noProof/>
        </w:rPr>
        <w:drawing>
          <wp:inline distT="0" distB="0" distL="0" distR="0" wp14:anchorId="07449576" wp14:editId="025702BD">
            <wp:extent cx="3124200" cy="2001968"/>
            <wp:effectExtent l="0" t="0" r="0" b="0"/>
            <wp:docPr id="751660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60841" name=""/>
                    <pic:cNvPicPr/>
                  </pic:nvPicPr>
                  <pic:blipFill>
                    <a:blip r:embed="rId21"/>
                    <a:stretch>
                      <a:fillRect/>
                    </a:stretch>
                  </pic:blipFill>
                  <pic:spPr>
                    <a:xfrm>
                      <a:off x="0" y="0"/>
                      <a:ext cx="3132125" cy="2007046"/>
                    </a:xfrm>
                    <a:prstGeom prst="rect">
                      <a:avLst/>
                    </a:prstGeom>
                  </pic:spPr>
                </pic:pic>
              </a:graphicData>
            </a:graphic>
          </wp:inline>
        </w:drawing>
      </w:r>
    </w:p>
    <w:p w14:paraId="01A3AFD8" w14:textId="6E916B4D" w:rsidR="00806391" w:rsidRDefault="00806391" w:rsidP="00806391">
      <w:pPr>
        <w:spacing w:after="120"/>
        <w:rPr>
          <w:rFonts w:ascii="Calibri" w:hAnsi="Calibri" w:cs="Calibri"/>
          <w:bCs/>
          <w:color w:val="13576B"/>
          <w:szCs w:val="18"/>
        </w:rPr>
      </w:pPr>
      <w:r w:rsidRPr="00806391">
        <w:rPr>
          <w:rFonts w:ascii="Calibri" w:hAnsi="Calibri" w:cs="Calibri"/>
          <w:bCs/>
          <w:color w:val="13576B"/>
          <w:szCs w:val="18"/>
        </w:rPr>
        <w:t xml:space="preserve">Pramen: </w:t>
      </w:r>
      <w:r w:rsidR="000D2DCD" w:rsidRPr="00806391">
        <w:rPr>
          <w:rFonts w:ascii="Calibri" w:hAnsi="Calibri" w:cs="Calibri"/>
          <w:bCs/>
          <w:color w:val="13576B"/>
          <w:szCs w:val="18"/>
        </w:rPr>
        <w:t>Prognóza ČBA</w:t>
      </w:r>
      <w:r w:rsidR="000D2DCD">
        <w:rPr>
          <w:rFonts w:ascii="Calibri" w:hAnsi="Calibri" w:cs="Calibri"/>
          <w:bCs/>
          <w:color w:val="13576B"/>
          <w:szCs w:val="18"/>
        </w:rPr>
        <w:t xml:space="preserve">, </w:t>
      </w:r>
      <w:r w:rsidRPr="00806391">
        <w:rPr>
          <w:rFonts w:ascii="Calibri" w:hAnsi="Calibri" w:cs="Calibri"/>
          <w:bCs/>
          <w:color w:val="13576B"/>
          <w:szCs w:val="18"/>
        </w:rPr>
        <w:t xml:space="preserve">ČSÚ, ČNB, Úřad práce, </w:t>
      </w:r>
      <w:proofErr w:type="spellStart"/>
      <w:r w:rsidR="007022D5">
        <w:rPr>
          <w:rFonts w:ascii="Calibri" w:hAnsi="Calibri" w:cs="Calibri"/>
          <w:bCs/>
          <w:color w:val="13576B"/>
          <w:szCs w:val="18"/>
        </w:rPr>
        <w:t>Macrobond</w:t>
      </w:r>
      <w:proofErr w:type="spellEnd"/>
    </w:p>
    <w:p w14:paraId="023172F4" w14:textId="77777777" w:rsidR="0066782D" w:rsidRPr="00806391" w:rsidRDefault="0066782D" w:rsidP="00806391">
      <w:pPr>
        <w:spacing w:after="120"/>
        <w:rPr>
          <w:rFonts w:ascii="Calibri" w:hAnsi="Calibri" w:cs="Calibri"/>
          <w:bCs/>
          <w:color w:val="13576B"/>
          <w:szCs w:val="18"/>
        </w:rPr>
      </w:pPr>
    </w:p>
    <w:p w14:paraId="17CF7A7C" w14:textId="3625EAC7" w:rsidR="005547BF" w:rsidRDefault="003161ED" w:rsidP="00B4285D">
      <w:pPr>
        <w:rPr>
          <w:rFonts w:ascii="Calibri" w:eastAsiaTheme="minorEastAsia" w:hAnsi="Calibri" w:cs="Calibri"/>
        </w:rPr>
      </w:pPr>
      <w:r w:rsidRPr="00C9674F">
        <w:rPr>
          <w:noProof/>
          <w:sz w:val="16"/>
          <w:szCs w:val="16"/>
        </w:rPr>
        <mc:AlternateContent>
          <mc:Choice Requires="wps">
            <w:drawing>
              <wp:anchor distT="0" distB="0" distL="114300" distR="114300" simplePos="0" relativeHeight="251661312" behindDoc="1" locked="0" layoutInCell="1" hidden="0" allowOverlap="1" wp14:anchorId="3801A402" wp14:editId="06FB1357">
                <wp:simplePos x="0" y="0"/>
                <wp:positionH relativeFrom="margin">
                  <wp:align>right</wp:align>
                </wp:positionH>
                <wp:positionV relativeFrom="paragraph">
                  <wp:posOffset>16378</wp:posOffset>
                </wp:positionV>
                <wp:extent cx="6476365" cy="1168842"/>
                <wp:effectExtent l="0" t="0" r="635" b="1270"/>
                <wp:wrapNone/>
                <wp:docPr id="4" name="Obdélník 4"/>
                <wp:cNvGraphicFramePr/>
                <a:graphic xmlns:a="http://schemas.openxmlformats.org/drawingml/2006/main">
                  <a:graphicData uri="http://schemas.microsoft.com/office/word/2010/wordprocessingShape">
                    <wps:wsp>
                      <wps:cNvSpPr/>
                      <wps:spPr>
                        <a:xfrm>
                          <a:off x="0" y="0"/>
                          <a:ext cx="6476365" cy="1168842"/>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313D1E" w14:textId="77777777" w:rsidR="00F37DC9" w:rsidRPr="0073410F" w:rsidRDefault="00F37DC9" w:rsidP="00F37DC9">
                            <w:pPr>
                              <w:spacing w:line="276" w:lineRule="auto"/>
                              <w:rPr>
                                <w:rFonts w:ascii="Calibri" w:hAnsi="Calibri" w:cs="Calibri"/>
                                <w:b/>
                                <w:color w:val="FFFFFF" w:themeColor="background1"/>
                                <w:szCs w:val="18"/>
                              </w:rPr>
                            </w:pPr>
                            <w:bookmarkStart w:id="3" w:name="_Hlk190863040"/>
                            <w:r w:rsidRPr="0073410F">
                              <w:rPr>
                                <w:rFonts w:ascii="Calibri" w:hAnsi="Calibri" w:cs="Calibri"/>
                                <w:b/>
                                <w:color w:val="FFFFFF" w:themeColor="background1"/>
                                <w:szCs w:val="18"/>
                              </w:rPr>
                              <w:t xml:space="preserve">O prognóze ČBA </w:t>
                            </w:r>
                          </w:p>
                          <w:p w14:paraId="77C1A42D" w14:textId="3FBACB94" w:rsidR="00F37DC9" w:rsidRPr="00A55BDD" w:rsidRDefault="00EE7B05" w:rsidP="00DF20C8">
                            <w:pPr>
                              <w:spacing w:line="276" w:lineRule="auto"/>
                              <w:ind w:left="28" w:hanging="28"/>
                              <w:rPr>
                                <w:sz w:val="16"/>
                                <w:szCs w:val="16"/>
                              </w:rPr>
                            </w:pPr>
                            <w:r w:rsidRPr="0073410F">
                              <w:rPr>
                                <w:rFonts w:ascii="Calibri" w:hAnsi="Calibri" w:cs="Calibri"/>
                                <w:color w:val="FFFFFF" w:themeColor="background1"/>
                                <w:szCs w:val="18"/>
                              </w:rPr>
                              <w:t xml:space="preserve">Tato prognóza vznikla na základě příspěvků analytiků </w:t>
                            </w:r>
                            <w:r w:rsidR="00453B4E">
                              <w:rPr>
                                <w:rFonts w:ascii="Calibri" w:hAnsi="Calibri" w:cs="Calibri"/>
                                <w:color w:val="FFFFFF" w:themeColor="background1"/>
                                <w:szCs w:val="18"/>
                              </w:rPr>
                              <w:t>10</w:t>
                            </w:r>
                            <w:r w:rsidRPr="0073410F">
                              <w:rPr>
                                <w:rFonts w:ascii="Calibri" w:hAnsi="Calibri" w:cs="Calibri"/>
                                <w:color w:val="FFFFFF" w:themeColor="background1"/>
                                <w:szCs w:val="18"/>
                              </w:rPr>
                              <w:t xml:space="preserve"> členských bank ČBA: </w:t>
                            </w:r>
                            <w:bookmarkEnd w:id="3"/>
                            <w:r w:rsidR="00DF20C8" w:rsidRPr="00DF20C8">
                              <w:rPr>
                                <w:rFonts w:ascii="Calibri" w:hAnsi="Calibri" w:cs="Calibri"/>
                                <w:color w:val="FFFFFF" w:themeColor="background1"/>
                                <w:szCs w:val="18"/>
                              </w:rPr>
                              <w:t>Petr Dufek (hlavní ekonom, Banka CREDITAS), Jan Bureš (hlavní ekonom</w:t>
                            </w:r>
                            <w:r w:rsidR="00453B4E">
                              <w:rPr>
                                <w:rFonts w:ascii="Calibri" w:hAnsi="Calibri" w:cs="Calibri"/>
                                <w:color w:val="FFFFFF" w:themeColor="background1"/>
                                <w:szCs w:val="18"/>
                              </w:rPr>
                              <w:t xml:space="preserve"> ČSOB</w:t>
                            </w:r>
                            <w:r w:rsidR="00DF20C8" w:rsidRPr="00DF20C8">
                              <w:rPr>
                                <w:rFonts w:ascii="Calibri" w:hAnsi="Calibri" w:cs="Calibri"/>
                                <w:color w:val="FFFFFF" w:themeColor="background1"/>
                                <w:szCs w:val="18"/>
                              </w:rPr>
                              <w:t xml:space="preserve">), Petr </w:t>
                            </w:r>
                            <w:r w:rsidR="00DF20C8" w:rsidRPr="00DF20C8">
                              <w:rPr>
                                <w:rFonts w:ascii="Calibri" w:hAnsi="Calibri" w:cs="Calibri"/>
                                <w:color w:val="FFFFFF" w:themeColor="background1"/>
                                <w:szCs w:val="18"/>
                              </w:rPr>
                              <w:t xml:space="preserve">Gapko (hlavní ekonom, MONETA Money Bank), </w:t>
                            </w:r>
                            <w:r w:rsidR="005736B5" w:rsidRPr="00DF20C8">
                              <w:rPr>
                                <w:rFonts w:ascii="Calibri" w:hAnsi="Calibri" w:cs="Calibri"/>
                                <w:color w:val="FFFFFF" w:themeColor="background1"/>
                                <w:szCs w:val="18"/>
                              </w:rPr>
                              <w:t>David Havrlant (hlavní ekonom ING)</w:t>
                            </w:r>
                            <w:r w:rsidR="005736B5">
                              <w:rPr>
                                <w:rFonts w:ascii="Calibri" w:hAnsi="Calibri" w:cs="Calibri"/>
                                <w:color w:val="FFFFFF" w:themeColor="background1"/>
                                <w:szCs w:val="18"/>
                              </w:rPr>
                              <w:t xml:space="preserve">, </w:t>
                            </w:r>
                            <w:r w:rsidR="00DF20C8" w:rsidRPr="00DF20C8">
                              <w:rPr>
                                <w:rFonts w:ascii="Calibri" w:hAnsi="Calibri" w:cs="Calibri"/>
                                <w:color w:val="FFFFFF" w:themeColor="background1"/>
                                <w:szCs w:val="18"/>
                              </w:rPr>
                              <w:t xml:space="preserve">Helena Horská a Martin Kron (ekonomický výzkum Raiffeisenbank), </w:t>
                            </w:r>
                            <w:r w:rsidR="00453B4E">
                              <w:rPr>
                                <w:rFonts w:ascii="Calibri" w:hAnsi="Calibri" w:cs="Calibri"/>
                                <w:color w:val="FFFFFF" w:themeColor="background1"/>
                                <w:szCs w:val="18"/>
                              </w:rPr>
                              <w:t>Martin Motl</w:t>
                            </w:r>
                            <w:r w:rsidR="00DF20C8" w:rsidRPr="00DF20C8">
                              <w:rPr>
                                <w:rFonts w:ascii="Calibri" w:hAnsi="Calibri" w:cs="Calibri"/>
                                <w:color w:val="FFFFFF" w:themeColor="background1"/>
                                <w:szCs w:val="18"/>
                              </w:rPr>
                              <w:t xml:space="preserve"> (hlavní ekonom Citibank), </w:t>
                            </w:r>
                            <w:r w:rsidR="00453B4E">
                              <w:rPr>
                                <w:rFonts w:ascii="Calibri" w:hAnsi="Calibri" w:cs="Calibri"/>
                                <w:color w:val="FFFFFF" w:themeColor="background1"/>
                                <w:szCs w:val="18"/>
                              </w:rPr>
                              <w:t xml:space="preserve">Adam Ruschka (ekonom J&amp;T banky), </w:t>
                            </w:r>
                            <w:r w:rsidR="00DF20C8" w:rsidRPr="00DF20C8">
                              <w:rPr>
                                <w:rFonts w:ascii="Calibri" w:hAnsi="Calibri" w:cs="Calibri"/>
                                <w:color w:val="FFFFFF" w:themeColor="background1"/>
                                <w:szCs w:val="18"/>
                              </w:rPr>
                              <w:t xml:space="preserve">Michal Skořepa </w:t>
                            </w:r>
                            <w:r w:rsidR="00453B4E">
                              <w:rPr>
                                <w:rFonts w:ascii="Calibri" w:hAnsi="Calibri" w:cs="Calibri"/>
                                <w:color w:val="FFFFFF" w:themeColor="background1"/>
                                <w:szCs w:val="18"/>
                              </w:rPr>
                              <w:t xml:space="preserve">a Jiří Polanský </w:t>
                            </w:r>
                            <w:r w:rsidR="00DF20C8" w:rsidRPr="00DF20C8">
                              <w:rPr>
                                <w:rFonts w:ascii="Calibri" w:hAnsi="Calibri" w:cs="Calibri"/>
                                <w:color w:val="FFFFFF" w:themeColor="background1"/>
                                <w:szCs w:val="18"/>
                              </w:rPr>
                              <w:t>(makroekonomi</w:t>
                            </w:r>
                            <w:r w:rsidR="00453B4E">
                              <w:rPr>
                                <w:rFonts w:ascii="Calibri" w:hAnsi="Calibri" w:cs="Calibri"/>
                                <w:color w:val="FFFFFF" w:themeColor="background1"/>
                                <w:szCs w:val="18"/>
                              </w:rPr>
                              <w:t xml:space="preserve">čtí </w:t>
                            </w:r>
                            <w:r w:rsidR="00DF20C8" w:rsidRPr="00DF20C8">
                              <w:rPr>
                                <w:rFonts w:ascii="Calibri" w:hAnsi="Calibri" w:cs="Calibri"/>
                                <w:color w:val="FFFFFF" w:themeColor="background1"/>
                                <w:szCs w:val="18"/>
                              </w:rPr>
                              <w:t>analyti</w:t>
                            </w:r>
                            <w:r w:rsidR="00453B4E">
                              <w:rPr>
                                <w:rFonts w:ascii="Calibri" w:hAnsi="Calibri" w:cs="Calibri"/>
                                <w:color w:val="FFFFFF" w:themeColor="background1"/>
                                <w:szCs w:val="18"/>
                              </w:rPr>
                              <w:t>ci</w:t>
                            </w:r>
                            <w:r w:rsidR="00DF20C8" w:rsidRPr="00DF20C8">
                              <w:rPr>
                                <w:rFonts w:ascii="Calibri" w:hAnsi="Calibri" w:cs="Calibri"/>
                                <w:color w:val="FFFFFF" w:themeColor="background1"/>
                                <w:szCs w:val="18"/>
                              </w:rPr>
                              <w:t xml:space="preserve"> České spořitelny), Pavel Sobíšek (hlavní ekonom, UniCredit Bank) a Jan Vejmělek a Martin Gürtler (ekonomický výzkum Komerční banky</w:t>
                            </w:r>
                            <w:r w:rsidR="005736B5">
                              <w:rPr>
                                <w:rFonts w:ascii="Calibri" w:hAnsi="Calibri" w:cs="Calibri"/>
                                <w:color w:val="FFFFFF" w:themeColor="background1"/>
                                <w:szCs w:val="18"/>
                              </w:rPr>
                              <w:t>)</w:t>
                            </w:r>
                            <w:r w:rsidR="00DF20C8" w:rsidRPr="00DF20C8">
                              <w:rPr>
                                <w:rFonts w:ascii="Calibri" w:hAnsi="Calibri" w:cs="Calibri"/>
                                <w:color w:val="FFFFFF" w:themeColor="background1"/>
                                <w:szCs w:val="18"/>
                              </w:rPr>
                              <w:t>. Za ČBA se na tvorbě prognózy podílel její hlavní ekonom Jaromír Šindel.</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1A402" id="Obdélník 4" o:spid="_x0000_s1029" style="position:absolute;left:0;text-align:left;margin-left:458.75pt;margin-top:1.3pt;width:509.95pt;height:92.0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UrUjgIAAJcFAAAOAAAAZHJzL2Uyb0RvYy54bWysVMFu2zAMvQ/YPwi6r7bTNg2COkXQosOA&#10;rg3WDj0rshQbkEVNUmJnXz9KcpylK3YYdrEpinwkn0he3/StIjthXQO6pMVZTonQHKpGb0r6/eX+&#10;04wS55mumAItSroXjt4sPn647sxcTKAGVQlLEES7eWdKWntv5lnmeC1a5s7ACI2XEmzLPB7tJqss&#10;6xC9Vdkkz6dZB7YyFrhwDrV36ZIuIr6UgvsnKZ3wRJUUc/Pxa+N3Hb7Z4prNN5aZuuFDGuwfsmhZ&#10;ozHoCHXHPCNb2/wB1TbcggPpzzi0GUjZcBFrwGqK/E01zzUzItaC5Dgz0uT+Hyx/3D2blUUaOuPm&#10;DsVQRS9tG/6YH+kjWfuRLNF7wlE5vbiank8vKeF4VxTT2exiEujMju7GOv9ZQEuCUFKLrxFJYrsH&#10;55PpwSREc6Ca6r5RKh5CB4hbZcmO4dutN0V0Vdv2K1RJd3WZ5/EFMWRsmGAeEzhBUjrgaQjIKWjQ&#10;ZMd6o+T3SgQ7pb8JSZoKK5zEiCNyCso4F9qnZFzNKpHUIZX3c4mAAVli/BF7ADgt8oCdshzsg6uI&#10;nTw6539LLDmPHjEyaD86t40G+x6AwqqGyMn+QFKiJrDk+3WP3JT0PFgGzRqq/coSC2mynOH3DT72&#10;A3N+xSyOEg4drgf/hB+poCspDBIlNdif7+mDPXY43lLS4WiW1P3YMisoUV809n6RzwLZxJ+c7Mlp&#10;fXLS2/YWsIsKXEaGRxH9rVcHUVpoX3GTLENkvGKaY/yS+oN469PSwE3ExXIZjXCCDfMP+tnwAB2Y&#10;Du380r8ya4ae9zguj3AYZDZ/0/rJNnhqWG49yCbOxZHZ4Q1w+mNjD5sqrJffz9HquE8XvwAAAP//&#10;AwBQSwMEFAAGAAgAAAAhALXW8bDbAAAABwEAAA8AAABkcnMvZG93bnJldi54bWxMj8FOwzAQRO9I&#10;/IO1SNyo06CGNI1TISQunKBUiOM23iYR8TrEbhr+nu0JbrOa1cybcju7Xk00hs6zgeUiAUVce9tx&#10;Y2D//nyXgwoR2WLvmQz8UIBtdX1VYmH9md9o2sVGSQiHAg20MQ6F1qFuyWFY+IFYvKMfHUY5x0bb&#10;Ec8S7nqdJkmmHXYsDS0O9NRS/bU7OenNw+t3ytP9y8ceV5+oB53ElTG3N/PjBlSkOf49wwVf0KES&#10;poM/sQ2qNyBDooE0A3Uxk+V6DeogKs8eQFel/s9f/QIAAP//AwBQSwECLQAUAAYACAAAACEAtoM4&#10;kv4AAADhAQAAEwAAAAAAAAAAAAAAAAAAAAAAW0NvbnRlbnRfVHlwZXNdLnhtbFBLAQItABQABgAI&#10;AAAAIQA4/SH/1gAAAJQBAAALAAAAAAAAAAAAAAAAAC8BAABfcmVscy8ucmVsc1BLAQItABQABgAI&#10;AAAAIQCzuUrUjgIAAJcFAAAOAAAAAAAAAAAAAAAAAC4CAABkcnMvZTJvRG9jLnhtbFBLAQItABQA&#10;BgAIAAAAIQC11vGw2wAAAAcBAAAPAAAAAAAAAAAAAAAAAOgEAABkcnMvZG93bnJldi54bWxQSwUG&#10;AAAAAAQABADzAAAA8AUAAAAA&#10;" fillcolor="#bfbfbf [2412]" stroked="f" strokeweight="1pt">
                <v:textbox inset="3mm,3mm,3mm,3mm">
                  <w:txbxContent>
                    <w:p w14:paraId="7E313D1E" w14:textId="77777777" w:rsidR="00F37DC9" w:rsidRPr="0073410F" w:rsidRDefault="00F37DC9" w:rsidP="00F37DC9">
                      <w:pPr>
                        <w:spacing w:line="276" w:lineRule="auto"/>
                        <w:rPr>
                          <w:rFonts w:ascii="Calibri" w:hAnsi="Calibri" w:cs="Calibri"/>
                          <w:b/>
                          <w:color w:val="FFFFFF" w:themeColor="background1"/>
                          <w:szCs w:val="18"/>
                        </w:rPr>
                      </w:pPr>
                      <w:bookmarkStart w:id="4" w:name="_Hlk190863040"/>
                      <w:r w:rsidRPr="0073410F">
                        <w:rPr>
                          <w:rFonts w:ascii="Calibri" w:hAnsi="Calibri" w:cs="Calibri"/>
                          <w:b/>
                          <w:color w:val="FFFFFF" w:themeColor="background1"/>
                          <w:szCs w:val="18"/>
                        </w:rPr>
                        <w:t xml:space="preserve">O prognóze ČBA </w:t>
                      </w:r>
                    </w:p>
                    <w:p w14:paraId="77C1A42D" w14:textId="3FBACB94" w:rsidR="00F37DC9" w:rsidRPr="00A55BDD" w:rsidRDefault="00EE7B05" w:rsidP="00DF20C8">
                      <w:pPr>
                        <w:spacing w:line="276" w:lineRule="auto"/>
                        <w:ind w:left="28" w:hanging="28"/>
                        <w:rPr>
                          <w:sz w:val="16"/>
                          <w:szCs w:val="16"/>
                        </w:rPr>
                      </w:pPr>
                      <w:r w:rsidRPr="0073410F">
                        <w:rPr>
                          <w:rFonts w:ascii="Calibri" w:hAnsi="Calibri" w:cs="Calibri"/>
                          <w:color w:val="FFFFFF" w:themeColor="background1"/>
                          <w:szCs w:val="18"/>
                        </w:rPr>
                        <w:t xml:space="preserve">Tato prognóza vznikla na základě příspěvků analytiků </w:t>
                      </w:r>
                      <w:r w:rsidR="00453B4E">
                        <w:rPr>
                          <w:rFonts w:ascii="Calibri" w:hAnsi="Calibri" w:cs="Calibri"/>
                          <w:color w:val="FFFFFF" w:themeColor="background1"/>
                          <w:szCs w:val="18"/>
                        </w:rPr>
                        <w:t>10</w:t>
                      </w:r>
                      <w:r w:rsidRPr="0073410F">
                        <w:rPr>
                          <w:rFonts w:ascii="Calibri" w:hAnsi="Calibri" w:cs="Calibri"/>
                          <w:color w:val="FFFFFF" w:themeColor="background1"/>
                          <w:szCs w:val="18"/>
                        </w:rPr>
                        <w:t xml:space="preserve"> členských bank ČBA: </w:t>
                      </w:r>
                      <w:bookmarkEnd w:id="4"/>
                      <w:r w:rsidR="00DF20C8" w:rsidRPr="00DF20C8">
                        <w:rPr>
                          <w:rFonts w:ascii="Calibri" w:hAnsi="Calibri" w:cs="Calibri"/>
                          <w:color w:val="FFFFFF" w:themeColor="background1"/>
                          <w:szCs w:val="18"/>
                        </w:rPr>
                        <w:t>Petr Dufek (hlavní ekonom, Banka CREDITAS), Jan Bureš (hlavní ekonom</w:t>
                      </w:r>
                      <w:r w:rsidR="00453B4E">
                        <w:rPr>
                          <w:rFonts w:ascii="Calibri" w:hAnsi="Calibri" w:cs="Calibri"/>
                          <w:color w:val="FFFFFF" w:themeColor="background1"/>
                          <w:szCs w:val="18"/>
                        </w:rPr>
                        <w:t xml:space="preserve"> ČSOB</w:t>
                      </w:r>
                      <w:r w:rsidR="00DF20C8" w:rsidRPr="00DF20C8">
                        <w:rPr>
                          <w:rFonts w:ascii="Calibri" w:hAnsi="Calibri" w:cs="Calibri"/>
                          <w:color w:val="FFFFFF" w:themeColor="background1"/>
                          <w:szCs w:val="18"/>
                        </w:rPr>
                        <w:t xml:space="preserve">), Petr </w:t>
                      </w:r>
                      <w:proofErr w:type="spellStart"/>
                      <w:r w:rsidR="00DF20C8" w:rsidRPr="00DF20C8">
                        <w:rPr>
                          <w:rFonts w:ascii="Calibri" w:hAnsi="Calibri" w:cs="Calibri"/>
                          <w:color w:val="FFFFFF" w:themeColor="background1"/>
                          <w:szCs w:val="18"/>
                        </w:rPr>
                        <w:t>Gapko</w:t>
                      </w:r>
                      <w:proofErr w:type="spellEnd"/>
                      <w:r w:rsidR="00DF20C8" w:rsidRPr="00DF20C8">
                        <w:rPr>
                          <w:rFonts w:ascii="Calibri" w:hAnsi="Calibri" w:cs="Calibri"/>
                          <w:color w:val="FFFFFF" w:themeColor="background1"/>
                          <w:szCs w:val="18"/>
                        </w:rPr>
                        <w:t xml:space="preserve"> (hlavní ekonom, MONETA Money Bank), </w:t>
                      </w:r>
                      <w:r w:rsidR="005736B5" w:rsidRPr="00DF20C8">
                        <w:rPr>
                          <w:rFonts w:ascii="Calibri" w:hAnsi="Calibri" w:cs="Calibri"/>
                          <w:color w:val="FFFFFF" w:themeColor="background1"/>
                          <w:szCs w:val="18"/>
                        </w:rPr>
                        <w:t>David Havrlant (hlavní ekonom ING)</w:t>
                      </w:r>
                      <w:r w:rsidR="005736B5">
                        <w:rPr>
                          <w:rFonts w:ascii="Calibri" w:hAnsi="Calibri" w:cs="Calibri"/>
                          <w:color w:val="FFFFFF" w:themeColor="background1"/>
                          <w:szCs w:val="18"/>
                        </w:rPr>
                        <w:t xml:space="preserve">, </w:t>
                      </w:r>
                      <w:r w:rsidR="00DF20C8" w:rsidRPr="00DF20C8">
                        <w:rPr>
                          <w:rFonts w:ascii="Calibri" w:hAnsi="Calibri" w:cs="Calibri"/>
                          <w:color w:val="FFFFFF" w:themeColor="background1"/>
                          <w:szCs w:val="18"/>
                        </w:rPr>
                        <w:t xml:space="preserve">Helena Horská a Martin Kron (ekonomický výzkum Raiffeisenbank), </w:t>
                      </w:r>
                      <w:r w:rsidR="00453B4E">
                        <w:rPr>
                          <w:rFonts w:ascii="Calibri" w:hAnsi="Calibri" w:cs="Calibri"/>
                          <w:color w:val="FFFFFF" w:themeColor="background1"/>
                          <w:szCs w:val="18"/>
                        </w:rPr>
                        <w:t>Martin Motl</w:t>
                      </w:r>
                      <w:r w:rsidR="00DF20C8" w:rsidRPr="00DF20C8">
                        <w:rPr>
                          <w:rFonts w:ascii="Calibri" w:hAnsi="Calibri" w:cs="Calibri"/>
                          <w:color w:val="FFFFFF" w:themeColor="background1"/>
                          <w:szCs w:val="18"/>
                        </w:rPr>
                        <w:t xml:space="preserve"> (hlavní ekonom Citibank), </w:t>
                      </w:r>
                      <w:r w:rsidR="00453B4E">
                        <w:rPr>
                          <w:rFonts w:ascii="Calibri" w:hAnsi="Calibri" w:cs="Calibri"/>
                          <w:color w:val="FFFFFF" w:themeColor="background1"/>
                          <w:szCs w:val="18"/>
                        </w:rPr>
                        <w:t xml:space="preserve">Adam </w:t>
                      </w:r>
                      <w:proofErr w:type="spellStart"/>
                      <w:r w:rsidR="00453B4E">
                        <w:rPr>
                          <w:rFonts w:ascii="Calibri" w:hAnsi="Calibri" w:cs="Calibri"/>
                          <w:color w:val="FFFFFF" w:themeColor="background1"/>
                          <w:szCs w:val="18"/>
                        </w:rPr>
                        <w:t>Ruschka</w:t>
                      </w:r>
                      <w:proofErr w:type="spellEnd"/>
                      <w:r w:rsidR="00453B4E">
                        <w:rPr>
                          <w:rFonts w:ascii="Calibri" w:hAnsi="Calibri" w:cs="Calibri"/>
                          <w:color w:val="FFFFFF" w:themeColor="background1"/>
                          <w:szCs w:val="18"/>
                        </w:rPr>
                        <w:t xml:space="preserve"> (ekonom J&amp;T banky), </w:t>
                      </w:r>
                      <w:r w:rsidR="00DF20C8" w:rsidRPr="00DF20C8">
                        <w:rPr>
                          <w:rFonts w:ascii="Calibri" w:hAnsi="Calibri" w:cs="Calibri"/>
                          <w:color w:val="FFFFFF" w:themeColor="background1"/>
                          <w:szCs w:val="18"/>
                        </w:rPr>
                        <w:t xml:space="preserve">Michal Skořepa </w:t>
                      </w:r>
                      <w:r w:rsidR="00453B4E">
                        <w:rPr>
                          <w:rFonts w:ascii="Calibri" w:hAnsi="Calibri" w:cs="Calibri"/>
                          <w:color w:val="FFFFFF" w:themeColor="background1"/>
                          <w:szCs w:val="18"/>
                        </w:rPr>
                        <w:t xml:space="preserve">a Jiří Polanský </w:t>
                      </w:r>
                      <w:r w:rsidR="00DF20C8" w:rsidRPr="00DF20C8">
                        <w:rPr>
                          <w:rFonts w:ascii="Calibri" w:hAnsi="Calibri" w:cs="Calibri"/>
                          <w:color w:val="FFFFFF" w:themeColor="background1"/>
                          <w:szCs w:val="18"/>
                        </w:rPr>
                        <w:t>(makroekonomi</w:t>
                      </w:r>
                      <w:r w:rsidR="00453B4E">
                        <w:rPr>
                          <w:rFonts w:ascii="Calibri" w:hAnsi="Calibri" w:cs="Calibri"/>
                          <w:color w:val="FFFFFF" w:themeColor="background1"/>
                          <w:szCs w:val="18"/>
                        </w:rPr>
                        <w:t xml:space="preserve">čtí </w:t>
                      </w:r>
                      <w:r w:rsidR="00DF20C8" w:rsidRPr="00DF20C8">
                        <w:rPr>
                          <w:rFonts w:ascii="Calibri" w:hAnsi="Calibri" w:cs="Calibri"/>
                          <w:color w:val="FFFFFF" w:themeColor="background1"/>
                          <w:szCs w:val="18"/>
                        </w:rPr>
                        <w:t>analyti</w:t>
                      </w:r>
                      <w:r w:rsidR="00453B4E">
                        <w:rPr>
                          <w:rFonts w:ascii="Calibri" w:hAnsi="Calibri" w:cs="Calibri"/>
                          <w:color w:val="FFFFFF" w:themeColor="background1"/>
                          <w:szCs w:val="18"/>
                        </w:rPr>
                        <w:t>ci</w:t>
                      </w:r>
                      <w:r w:rsidR="00DF20C8" w:rsidRPr="00DF20C8">
                        <w:rPr>
                          <w:rFonts w:ascii="Calibri" w:hAnsi="Calibri" w:cs="Calibri"/>
                          <w:color w:val="FFFFFF" w:themeColor="background1"/>
                          <w:szCs w:val="18"/>
                        </w:rPr>
                        <w:t xml:space="preserve"> České spořitelny), Pavel Sobíšek (hlavní ekonom, UniCredit Bank) a Jan </w:t>
                      </w:r>
                      <w:proofErr w:type="spellStart"/>
                      <w:r w:rsidR="00DF20C8" w:rsidRPr="00DF20C8">
                        <w:rPr>
                          <w:rFonts w:ascii="Calibri" w:hAnsi="Calibri" w:cs="Calibri"/>
                          <w:color w:val="FFFFFF" w:themeColor="background1"/>
                          <w:szCs w:val="18"/>
                        </w:rPr>
                        <w:t>Vejmělek</w:t>
                      </w:r>
                      <w:proofErr w:type="spellEnd"/>
                      <w:r w:rsidR="00DF20C8" w:rsidRPr="00DF20C8">
                        <w:rPr>
                          <w:rFonts w:ascii="Calibri" w:hAnsi="Calibri" w:cs="Calibri"/>
                          <w:color w:val="FFFFFF" w:themeColor="background1"/>
                          <w:szCs w:val="18"/>
                        </w:rPr>
                        <w:t xml:space="preserve"> a Martin </w:t>
                      </w:r>
                      <w:proofErr w:type="spellStart"/>
                      <w:r w:rsidR="00DF20C8" w:rsidRPr="00DF20C8">
                        <w:rPr>
                          <w:rFonts w:ascii="Calibri" w:hAnsi="Calibri" w:cs="Calibri"/>
                          <w:color w:val="FFFFFF" w:themeColor="background1"/>
                          <w:szCs w:val="18"/>
                        </w:rPr>
                        <w:t>Gürtler</w:t>
                      </w:r>
                      <w:proofErr w:type="spellEnd"/>
                      <w:r w:rsidR="00DF20C8" w:rsidRPr="00DF20C8">
                        <w:rPr>
                          <w:rFonts w:ascii="Calibri" w:hAnsi="Calibri" w:cs="Calibri"/>
                          <w:color w:val="FFFFFF" w:themeColor="background1"/>
                          <w:szCs w:val="18"/>
                        </w:rPr>
                        <w:t xml:space="preserve"> (ekonomický výzkum Komerční banky</w:t>
                      </w:r>
                      <w:r w:rsidR="005736B5">
                        <w:rPr>
                          <w:rFonts w:ascii="Calibri" w:hAnsi="Calibri" w:cs="Calibri"/>
                          <w:color w:val="FFFFFF" w:themeColor="background1"/>
                          <w:szCs w:val="18"/>
                        </w:rPr>
                        <w:t>)</w:t>
                      </w:r>
                      <w:r w:rsidR="00DF20C8" w:rsidRPr="00DF20C8">
                        <w:rPr>
                          <w:rFonts w:ascii="Calibri" w:hAnsi="Calibri" w:cs="Calibri"/>
                          <w:color w:val="FFFFFF" w:themeColor="background1"/>
                          <w:szCs w:val="18"/>
                        </w:rPr>
                        <w:t>. Za ČBA se na tvorbě prognózy podílel její hlavní ekonom Jaromír Šindel.</w:t>
                      </w:r>
                    </w:p>
                  </w:txbxContent>
                </v:textbox>
                <w10:wrap anchorx="margin"/>
              </v:rect>
            </w:pict>
          </mc:Fallback>
        </mc:AlternateContent>
      </w:r>
    </w:p>
    <w:p w14:paraId="3B70CAB7" w14:textId="77777777" w:rsidR="005547BF" w:rsidRDefault="005547BF" w:rsidP="00B4285D">
      <w:pPr>
        <w:rPr>
          <w:rFonts w:ascii="Calibri" w:eastAsiaTheme="minorEastAsia" w:hAnsi="Calibri" w:cs="Calibri"/>
        </w:rPr>
      </w:pPr>
    </w:p>
    <w:p w14:paraId="6DB62AD1" w14:textId="5086AED3" w:rsidR="001642C0" w:rsidRDefault="001642C0" w:rsidP="00B4285D">
      <w:pPr>
        <w:rPr>
          <w:rFonts w:ascii="Calibri" w:eastAsiaTheme="minorEastAsia" w:hAnsi="Calibri" w:cs="Calibri"/>
        </w:rPr>
      </w:pPr>
    </w:p>
    <w:p w14:paraId="52E6141C" w14:textId="16E75886" w:rsidR="00F37DC9" w:rsidRDefault="00F37DC9" w:rsidP="00B4285D">
      <w:pPr>
        <w:rPr>
          <w:rFonts w:ascii="Calibri" w:eastAsiaTheme="minorEastAsia" w:hAnsi="Calibri" w:cs="Calibri"/>
        </w:rPr>
      </w:pPr>
    </w:p>
    <w:p w14:paraId="59DD5F85" w14:textId="14AD5D2F" w:rsidR="00F37DC9" w:rsidRDefault="00F37DC9" w:rsidP="00B4285D">
      <w:pPr>
        <w:rPr>
          <w:rFonts w:ascii="Calibri" w:eastAsiaTheme="minorEastAsia" w:hAnsi="Calibri" w:cs="Calibri"/>
        </w:rPr>
      </w:pPr>
    </w:p>
    <w:p w14:paraId="333F07F6" w14:textId="217C26C9" w:rsidR="00F37DC9" w:rsidRDefault="00F37DC9" w:rsidP="00B4285D">
      <w:pPr>
        <w:rPr>
          <w:rFonts w:ascii="Calibri" w:eastAsiaTheme="minorEastAsia" w:hAnsi="Calibri" w:cs="Calibri"/>
        </w:rPr>
      </w:pPr>
    </w:p>
    <w:p w14:paraId="5ACD7EBC" w14:textId="267566DC" w:rsidR="00F37DC9" w:rsidRDefault="00F37DC9" w:rsidP="00272A8E">
      <w:pPr>
        <w:tabs>
          <w:tab w:val="left" w:pos="2532"/>
        </w:tabs>
        <w:rPr>
          <w:rFonts w:ascii="Calibri" w:eastAsiaTheme="minorEastAsia" w:hAnsi="Calibri" w:cs="Calibri"/>
        </w:rPr>
      </w:pPr>
    </w:p>
    <w:p w14:paraId="1EE8715A" w14:textId="77777777" w:rsidR="002F2215" w:rsidRDefault="002F2215" w:rsidP="00B4285D">
      <w:pPr>
        <w:rPr>
          <w:rFonts w:ascii="Calibri" w:eastAsiaTheme="minorEastAsia" w:hAnsi="Calibri" w:cs="Calibri"/>
        </w:rPr>
      </w:pPr>
    </w:p>
    <w:tbl>
      <w:tblPr>
        <w:tblW w:w="10201" w:type="dxa"/>
        <w:tblLook w:val="04A0" w:firstRow="1" w:lastRow="0" w:firstColumn="1" w:lastColumn="0" w:noHBand="0" w:noVBand="1"/>
      </w:tblPr>
      <w:tblGrid>
        <w:gridCol w:w="6817"/>
        <w:gridCol w:w="3384"/>
      </w:tblGrid>
      <w:tr w:rsidR="0073410F" w:rsidRPr="00635D8B" w14:paraId="2BB4B9D8" w14:textId="77777777" w:rsidTr="001726CC">
        <w:trPr>
          <w:trHeight w:val="1364"/>
        </w:trPr>
        <w:tc>
          <w:tcPr>
            <w:tcW w:w="6817" w:type="dxa"/>
            <w:shd w:val="clear" w:color="auto" w:fill="13576B"/>
          </w:tcPr>
          <w:p w14:paraId="32CA9EB7" w14:textId="77777777" w:rsidR="0073410F" w:rsidRDefault="0073410F" w:rsidP="001726CC">
            <w:pPr>
              <w:pStyle w:val="CBANadpisvTABULCE"/>
              <w:jc w:val="both"/>
              <w:rPr>
                <w:rFonts w:ascii="IBM Plex Sans" w:hAnsi="IBM Plex Sans" w:cs="Poppins"/>
                <w:color w:val="FFFFFF"/>
                <w:szCs w:val="18"/>
              </w:rPr>
            </w:pPr>
            <w:r>
              <w:rPr>
                <w:rFonts w:ascii="IBM Plex Sans" w:hAnsi="IBM Plex Sans" w:cs="Poppins"/>
                <w:color w:val="FFFFFF"/>
                <w:szCs w:val="18"/>
              </w:rPr>
              <w:t>O České bankovní asociaci</w:t>
            </w:r>
          </w:p>
          <w:p w14:paraId="22379D56" w14:textId="04C81A1E" w:rsidR="0073410F" w:rsidRDefault="0073410F" w:rsidP="001726CC">
            <w:pPr>
              <w:rPr>
                <w:rFonts w:ascii="Calibri" w:hAnsi="Calibri"/>
                <w:color w:val="FFFFFF"/>
                <w:sz w:val="22"/>
              </w:rPr>
            </w:pPr>
            <w:bookmarkStart w:id="4" w:name="_Hlk128734138"/>
            <w:r>
              <w:rPr>
                <w:color w:val="FFFFFF"/>
              </w:rPr>
              <w:t>Česká bankovní asociace (ČBA) je dobrovolné sdružení 3</w:t>
            </w:r>
            <w:r w:rsidR="00D83FCD">
              <w:rPr>
                <w:color w:val="FFFFFF"/>
              </w:rPr>
              <w:t>4</w:t>
            </w:r>
            <w:r>
              <w:rPr>
                <w:color w:val="FFFFFF"/>
              </w:rPr>
              <w:t xml:space="preserve"> bank působících v České republice a reprezentuje tak 99 % trhu. Již 30 let podporuje nejen rozvoj bankovního sektoru, ale i celé ekonomiky a všeobecné finanční gramotnosti. ČBA je členem Evropské bankovní federace (EBF).</w:t>
            </w:r>
          </w:p>
          <w:bookmarkEnd w:id="4"/>
          <w:p w14:paraId="4A9BB153" w14:textId="77777777" w:rsidR="0073410F" w:rsidRDefault="0073410F" w:rsidP="001726CC">
            <w:pPr>
              <w:pStyle w:val="CBAodstavecvTABULCE"/>
              <w:jc w:val="both"/>
              <w:rPr>
                <w:rFonts w:ascii="IBM Plex Sans" w:hAnsi="IBM Plex Sans" w:cs="Poppins"/>
                <w:color w:val="FFFFFF"/>
                <w:szCs w:val="18"/>
              </w:rPr>
            </w:pPr>
            <w:r>
              <w:rPr>
                <w:rFonts w:ascii="IBM Plex Sans" w:hAnsi="IBM Plex Sans" w:cs="Poppins"/>
                <w:color w:val="FFFFFF"/>
                <w:szCs w:val="18"/>
              </w:rPr>
              <w:t xml:space="preserve">Více informací na </w:t>
            </w:r>
            <w:r>
              <w:rPr>
                <w:rFonts w:ascii="IBM Plex Sans" w:hAnsi="IBM Plex Sans" w:cs="Poppins"/>
                <w:color w:val="FFFFFF"/>
                <w:szCs w:val="18"/>
                <w:u w:val="single"/>
              </w:rPr>
              <w:t>www.cbaonline.cz.</w:t>
            </w:r>
            <w:r>
              <w:rPr>
                <w:rFonts w:ascii="IBM Plex Sans" w:hAnsi="IBM Plex Sans" w:cs="Poppins"/>
                <w:color w:val="A9936D"/>
                <w:szCs w:val="18"/>
              </w:rPr>
              <w:t xml:space="preserve"> </w:t>
            </w:r>
          </w:p>
        </w:tc>
        <w:tc>
          <w:tcPr>
            <w:tcW w:w="3384" w:type="dxa"/>
            <w:shd w:val="clear" w:color="auto" w:fill="A9936D"/>
            <w:vAlign w:val="center"/>
          </w:tcPr>
          <w:p w14:paraId="51EEA920" w14:textId="77777777" w:rsidR="0073410F" w:rsidRDefault="0073410F" w:rsidP="001726CC">
            <w:pPr>
              <w:pStyle w:val="CBAodstavecvTABULCE"/>
              <w:rPr>
                <w:rFonts w:ascii="IBM Plex Sans" w:hAnsi="IBM Plex Sans" w:cs="Poppins"/>
                <w:b/>
                <w:bCs/>
                <w:color w:val="FFFFFF"/>
                <w:szCs w:val="18"/>
              </w:rPr>
            </w:pPr>
            <w:r>
              <w:rPr>
                <w:rFonts w:ascii="IBM Plex Sans" w:hAnsi="IBM Plex Sans" w:cs="Poppins"/>
                <w:b/>
                <w:bCs/>
                <w:color w:val="FFFFFF"/>
                <w:szCs w:val="18"/>
              </w:rPr>
              <w:t xml:space="preserve">                Dotazy posílejte na</w:t>
            </w:r>
          </w:p>
          <w:p w14:paraId="4BDB00A6" w14:textId="77777777" w:rsidR="0073410F" w:rsidRDefault="0073410F" w:rsidP="001726CC">
            <w:pPr>
              <w:pStyle w:val="CBAodstavecvTABULCE"/>
              <w:jc w:val="center"/>
              <w:rPr>
                <w:rFonts w:ascii="IBM Plex Sans" w:hAnsi="IBM Plex Sans" w:cs="Poppins"/>
                <w:color w:val="FFFFFF"/>
                <w:szCs w:val="18"/>
              </w:rPr>
            </w:pPr>
            <w:r>
              <w:rPr>
                <w:rFonts w:ascii="IBM Plex Sans" w:hAnsi="IBM Plex Sans" w:cs="Poppins"/>
                <w:b/>
                <w:bCs/>
                <w:color w:val="FFFFFF"/>
                <w:szCs w:val="18"/>
              </w:rPr>
              <w:t>radek.salsa@cbaonline.cz</w:t>
            </w:r>
          </w:p>
        </w:tc>
      </w:tr>
    </w:tbl>
    <w:p w14:paraId="1AE6FC8E" w14:textId="01CA802E" w:rsidR="005C1943" w:rsidRPr="00F37DC9" w:rsidRDefault="005C1943" w:rsidP="0063005B">
      <w:pPr>
        <w:rPr>
          <w:rFonts w:ascii="Calibri" w:eastAsiaTheme="minorEastAsia" w:hAnsi="Calibri" w:cs="Calibri"/>
        </w:rPr>
      </w:pPr>
    </w:p>
    <w:sectPr w:rsidR="005C1943" w:rsidRPr="00F37DC9" w:rsidSect="00524989">
      <w:headerReference w:type="default" r:id="rId22"/>
      <w:footerReference w:type="default" r:id="rId23"/>
      <w:pgSz w:w="11906" w:h="16838"/>
      <w:pgMar w:top="2552" w:right="851" w:bottom="1418" w:left="851"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1CABF" w14:textId="77777777" w:rsidR="00667610" w:rsidRDefault="00667610" w:rsidP="00F573F1">
      <w:r>
        <w:separator/>
      </w:r>
    </w:p>
  </w:endnote>
  <w:endnote w:type="continuationSeparator" w:id="0">
    <w:p w14:paraId="77743507" w14:textId="77777777" w:rsidR="00667610" w:rsidRDefault="00667610" w:rsidP="00F573F1">
      <w:r>
        <w:continuationSeparator/>
      </w:r>
    </w:p>
  </w:endnote>
  <w:endnote w:type="continuationNotice" w:id="1">
    <w:p w14:paraId="263960D3" w14:textId="77777777" w:rsidR="00667610" w:rsidRDefault="006676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IBM Plex Sans">
    <w:charset w:val="00"/>
    <w:family w:val="swiss"/>
    <w:pitch w:val="variable"/>
    <w:sig w:usb0="A00002EF" w:usb1="5000207B" w:usb2="00000000" w:usb3="00000000" w:csb0="0000019F" w:csb1="00000000"/>
  </w:font>
  <w:font w:name="Poppins">
    <w:charset w:val="EE"/>
    <w:family w:val="auto"/>
    <w:pitch w:val="variable"/>
    <w:sig w:usb0="00008007"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Cs w:val="18"/>
      </w:rPr>
      <w:id w:val="1149944182"/>
      <w:docPartObj>
        <w:docPartGallery w:val="Page Numbers (Bottom of Page)"/>
        <w:docPartUnique/>
      </w:docPartObj>
    </w:sdtPr>
    <w:sdtEndPr/>
    <w:sdtContent>
      <w:sdt>
        <w:sdtPr>
          <w:rPr>
            <w:rFonts w:ascii="Calibri" w:hAnsi="Calibri" w:cs="Calibri"/>
            <w:szCs w:val="18"/>
          </w:rPr>
          <w:id w:val="-1769616900"/>
          <w:docPartObj>
            <w:docPartGallery w:val="Page Numbers (Top of Page)"/>
            <w:docPartUnique/>
          </w:docPartObj>
        </w:sdtPr>
        <w:sdtEndPr/>
        <w:sdtContent>
          <w:p w14:paraId="7854F1F5" w14:textId="19327CD8" w:rsidR="00F37DC9" w:rsidRPr="00F37DC9" w:rsidRDefault="00F37DC9">
            <w:pPr>
              <w:pStyle w:val="Zpat"/>
              <w:jc w:val="right"/>
              <w:rPr>
                <w:rFonts w:ascii="Calibri" w:hAnsi="Calibri" w:cs="Calibri"/>
                <w:szCs w:val="18"/>
              </w:rPr>
            </w:pPr>
            <w:r w:rsidRPr="001E31AB">
              <w:rPr>
                <w:rFonts w:ascii="Calibri" w:hAnsi="Calibri"/>
                <w:noProof/>
                <w:szCs w:val="18"/>
              </w:rPr>
              <w:drawing>
                <wp:anchor distT="0" distB="0" distL="114300" distR="114300" simplePos="0" relativeHeight="251665408" behindDoc="0" locked="0" layoutInCell="1" allowOverlap="1" wp14:anchorId="40EC3339" wp14:editId="625B1AC4">
                  <wp:simplePos x="0" y="0"/>
                  <wp:positionH relativeFrom="column">
                    <wp:posOffset>-541020</wp:posOffset>
                  </wp:positionH>
                  <wp:positionV relativeFrom="paragraph">
                    <wp:posOffset>-137160</wp:posOffset>
                  </wp:positionV>
                  <wp:extent cx="3042285" cy="701040"/>
                  <wp:effectExtent l="0" t="0" r="5715"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7DC9">
              <w:rPr>
                <w:rFonts w:ascii="Calibri" w:hAnsi="Calibri" w:cs="Calibri"/>
                <w:szCs w:val="18"/>
              </w:rPr>
              <w:t xml:space="preserve">Stránka </w:t>
            </w:r>
            <w:r w:rsidRPr="00F37DC9">
              <w:rPr>
                <w:rFonts w:ascii="Calibri" w:hAnsi="Calibri" w:cs="Calibri"/>
                <w:b/>
                <w:bCs/>
                <w:szCs w:val="18"/>
              </w:rPr>
              <w:fldChar w:fldCharType="begin"/>
            </w:r>
            <w:r w:rsidRPr="00F37DC9">
              <w:rPr>
                <w:rFonts w:ascii="Calibri" w:hAnsi="Calibri" w:cs="Calibri"/>
                <w:b/>
                <w:bCs/>
                <w:szCs w:val="18"/>
              </w:rPr>
              <w:instrText>PAGE</w:instrText>
            </w:r>
            <w:r w:rsidRPr="00F37DC9">
              <w:rPr>
                <w:rFonts w:ascii="Calibri" w:hAnsi="Calibri" w:cs="Calibri"/>
                <w:b/>
                <w:bCs/>
                <w:szCs w:val="18"/>
              </w:rPr>
              <w:fldChar w:fldCharType="separate"/>
            </w:r>
            <w:r w:rsidRPr="00F37DC9">
              <w:rPr>
                <w:rFonts w:ascii="Calibri" w:hAnsi="Calibri" w:cs="Calibri"/>
                <w:b/>
                <w:bCs/>
                <w:szCs w:val="18"/>
              </w:rPr>
              <w:t>2</w:t>
            </w:r>
            <w:r w:rsidRPr="00F37DC9">
              <w:rPr>
                <w:rFonts w:ascii="Calibri" w:hAnsi="Calibri" w:cs="Calibri"/>
                <w:b/>
                <w:bCs/>
                <w:szCs w:val="18"/>
              </w:rPr>
              <w:fldChar w:fldCharType="end"/>
            </w:r>
            <w:r w:rsidRPr="00F37DC9">
              <w:rPr>
                <w:rFonts w:ascii="Calibri" w:hAnsi="Calibri" w:cs="Calibri"/>
                <w:szCs w:val="18"/>
              </w:rPr>
              <w:t xml:space="preserve"> z </w:t>
            </w:r>
            <w:r w:rsidRPr="00F37DC9">
              <w:rPr>
                <w:rFonts w:ascii="Calibri" w:hAnsi="Calibri" w:cs="Calibri"/>
                <w:b/>
                <w:bCs/>
                <w:szCs w:val="18"/>
              </w:rPr>
              <w:fldChar w:fldCharType="begin"/>
            </w:r>
            <w:r w:rsidRPr="00F37DC9">
              <w:rPr>
                <w:rFonts w:ascii="Calibri" w:hAnsi="Calibri" w:cs="Calibri"/>
                <w:b/>
                <w:bCs/>
                <w:szCs w:val="18"/>
              </w:rPr>
              <w:instrText>NUMPAGES</w:instrText>
            </w:r>
            <w:r w:rsidRPr="00F37DC9">
              <w:rPr>
                <w:rFonts w:ascii="Calibri" w:hAnsi="Calibri" w:cs="Calibri"/>
                <w:b/>
                <w:bCs/>
                <w:szCs w:val="18"/>
              </w:rPr>
              <w:fldChar w:fldCharType="separate"/>
            </w:r>
            <w:r w:rsidRPr="00F37DC9">
              <w:rPr>
                <w:rFonts w:ascii="Calibri" w:hAnsi="Calibri" w:cs="Calibri"/>
                <w:b/>
                <w:bCs/>
                <w:szCs w:val="18"/>
              </w:rPr>
              <w:t>2</w:t>
            </w:r>
            <w:r w:rsidRPr="00F37DC9">
              <w:rPr>
                <w:rFonts w:ascii="Calibri" w:hAnsi="Calibri" w:cs="Calibri"/>
                <w:b/>
                <w:bCs/>
                <w:szCs w:val="18"/>
              </w:rPr>
              <w:fldChar w:fldCharType="end"/>
            </w:r>
          </w:p>
        </w:sdtContent>
      </w:sdt>
    </w:sdtContent>
  </w:sdt>
  <w:p w14:paraId="6B2FBE8E" w14:textId="77777777" w:rsidR="00536B9B" w:rsidRPr="00FB4A1C" w:rsidRDefault="00536B9B"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230B6" w14:textId="77777777" w:rsidR="00667610" w:rsidRDefault="00667610" w:rsidP="00F573F1">
      <w:r>
        <w:separator/>
      </w:r>
    </w:p>
  </w:footnote>
  <w:footnote w:type="continuationSeparator" w:id="0">
    <w:p w14:paraId="5BB6AD56" w14:textId="77777777" w:rsidR="00667610" w:rsidRDefault="00667610" w:rsidP="00F573F1">
      <w:r>
        <w:continuationSeparator/>
      </w:r>
    </w:p>
  </w:footnote>
  <w:footnote w:type="continuationNotice" w:id="1">
    <w:p w14:paraId="39FD2586" w14:textId="77777777" w:rsidR="00667610" w:rsidRDefault="006676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6A72" w14:textId="2B5E0211" w:rsidR="00F37DC9" w:rsidRDefault="00F37DC9" w:rsidP="00F37DC9">
    <w:pPr>
      <w:pStyle w:val="Zhlav"/>
    </w:pPr>
    <w:r>
      <w:rPr>
        <w:noProof/>
      </w:rPr>
      <w:drawing>
        <wp:anchor distT="0" distB="0" distL="114300" distR="114300" simplePos="0" relativeHeight="251661312" behindDoc="0" locked="0" layoutInCell="1" allowOverlap="1" wp14:anchorId="12F98975" wp14:editId="270559D0">
          <wp:simplePos x="0" y="0"/>
          <wp:positionH relativeFrom="column">
            <wp:posOffset>-52705</wp:posOffset>
          </wp:positionH>
          <wp:positionV relativeFrom="paragraph">
            <wp:posOffset>29845</wp:posOffset>
          </wp:positionV>
          <wp:extent cx="2209800" cy="778510"/>
          <wp:effectExtent l="0" t="0" r="0" b="254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4BA7D056" wp14:editId="7FF03F24">
          <wp:simplePos x="0" y="0"/>
          <wp:positionH relativeFrom="column">
            <wp:posOffset>3985895</wp:posOffset>
          </wp:positionH>
          <wp:positionV relativeFrom="paragraph">
            <wp:posOffset>-8255</wp:posOffset>
          </wp:positionV>
          <wp:extent cx="2943225" cy="243840"/>
          <wp:effectExtent l="0" t="0" r="9525" b="381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17EE12" w14:textId="096FA199" w:rsidR="00F37DC9" w:rsidRDefault="00F37DC9">
    <w:pPr>
      <w:pStyle w:val="Zhlav"/>
    </w:pPr>
    <w:r w:rsidRPr="00F615BD">
      <w:rPr>
        <w:noProof/>
        <w:lang w:val="en-GB" w:eastAsia="en-GB"/>
      </w:rPr>
      <mc:AlternateContent>
        <mc:Choice Requires="wps">
          <w:drawing>
            <wp:anchor distT="45720" distB="45720" distL="114300" distR="114300" simplePos="0" relativeHeight="251659264" behindDoc="0" locked="0" layoutInCell="1" allowOverlap="1" wp14:anchorId="05CB3763" wp14:editId="318F63CB">
              <wp:simplePos x="0" y="0"/>
              <wp:positionH relativeFrom="margin">
                <wp:posOffset>5289974</wp:posOffset>
              </wp:positionH>
              <wp:positionV relativeFrom="paragraph">
                <wp:posOffset>6985</wp:posOffset>
              </wp:positionV>
              <wp:extent cx="1239520" cy="1404620"/>
              <wp:effectExtent l="0" t="0" r="0" b="0"/>
              <wp:wrapNone/>
              <wp:docPr id="20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49CD1CFE" w14:textId="77777777" w:rsidR="00F37DC9" w:rsidRPr="00F37DC9" w:rsidRDefault="00F37DC9" w:rsidP="00F37DC9">
                          <w:pPr>
                            <w:spacing w:line="276" w:lineRule="auto"/>
                            <w:jc w:val="right"/>
                            <w:rPr>
                              <w:rFonts w:ascii="Calibri" w:hAnsi="Calibri" w:cs="Calibri"/>
                              <w:b/>
                              <w:color w:val="13576B"/>
                              <w:sz w:val="22"/>
                              <w:szCs w:val="24"/>
                            </w:rPr>
                          </w:pPr>
                          <w:r w:rsidRPr="00F37DC9">
                            <w:rPr>
                              <w:rFonts w:ascii="Calibri" w:hAnsi="Calibri" w:cs="Calibri"/>
                              <w:b/>
                              <w:color w:val="13576B"/>
                              <w:sz w:val="22"/>
                              <w:szCs w:val="24"/>
                            </w:rPr>
                            <w:t xml:space="preserve">TISKOVÁ ZPRÁVA </w:t>
                          </w:r>
                        </w:p>
                        <w:p w14:paraId="5CDE064D" w14:textId="1D0FB77F" w:rsidR="00F37DC9" w:rsidRPr="00F37DC9" w:rsidRDefault="000F64C9" w:rsidP="00F37DC9">
                          <w:pPr>
                            <w:spacing w:line="276" w:lineRule="auto"/>
                            <w:jc w:val="right"/>
                            <w:rPr>
                              <w:rFonts w:ascii="Calibri" w:hAnsi="Calibri" w:cs="Calibri"/>
                              <w:b/>
                              <w:color w:val="13576B"/>
                              <w:sz w:val="22"/>
                              <w:szCs w:val="24"/>
                            </w:rPr>
                          </w:pPr>
                          <w:r>
                            <w:rPr>
                              <w:rFonts w:ascii="Calibri" w:hAnsi="Calibri" w:cs="Calibri"/>
                              <w:color w:val="13576B"/>
                              <w:sz w:val="22"/>
                              <w:szCs w:val="24"/>
                            </w:rPr>
                            <w:t>11</w:t>
                          </w:r>
                          <w:r w:rsidR="00F37DC9" w:rsidRPr="00F37DC9">
                            <w:rPr>
                              <w:rFonts w:ascii="Calibri" w:hAnsi="Calibri" w:cs="Calibri"/>
                              <w:color w:val="13576B"/>
                              <w:sz w:val="22"/>
                              <w:szCs w:val="24"/>
                            </w:rPr>
                            <w:t xml:space="preserve">. </w:t>
                          </w:r>
                          <w:r>
                            <w:rPr>
                              <w:rFonts w:ascii="Calibri" w:hAnsi="Calibri" w:cs="Calibri"/>
                              <w:color w:val="13576B"/>
                              <w:sz w:val="22"/>
                              <w:szCs w:val="24"/>
                            </w:rPr>
                            <w:t>2</w:t>
                          </w:r>
                          <w:r w:rsidR="00F37DC9" w:rsidRPr="00F37DC9">
                            <w:rPr>
                              <w:rFonts w:ascii="Calibri" w:hAnsi="Calibri" w:cs="Calibri"/>
                              <w:color w:val="13576B"/>
                              <w:sz w:val="22"/>
                              <w:szCs w:val="24"/>
                            </w:rPr>
                            <w:t>. 202</w:t>
                          </w:r>
                          <w:r>
                            <w:rPr>
                              <w:rFonts w:ascii="Calibri" w:hAnsi="Calibri" w:cs="Calibri"/>
                              <w:color w:val="13576B"/>
                              <w:sz w:val="22"/>
                              <w:szCs w:val="24"/>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CB3763" id="_x0000_t202" coordsize="21600,21600" o:spt="202" path="m,l,21600r21600,l21600,xe">
              <v:stroke joinstyle="miter"/>
              <v:path gradientshapeok="t" o:connecttype="rect"/>
            </v:shapetype>
            <v:shape id="Textové pole 2" o:spid="_x0000_s1030" type="#_x0000_t202" style="position:absolute;left:0;text-align:left;margin-left:416.55pt;margin-top:.55pt;width:97.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0YL9gEAAM4DAAAOAAAAZHJzL2Uyb0RvYy54bWysU8tu2zAQvBfoPxC815JdO00Ey0Ga1EWB&#10;9AEk/QCaoiyiJJdd0pbcr8+SchyjuRXVgeBqydmd2eHyerCG7RUGDa7m00nJmXISGu22Nf/5uH53&#10;yVmIwjXCgFM1P6jAr1dv3yx7X6kZdGAahYxAXKh6X/MuRl8VRZCdsiJMwCtHyRbQikghbosGRU/o&#10;1hSzsrwoesDGI0gVAv29G5N8lfHbVsn4vW2DiszUnHqLecW8btJarJai2qLwnZbHNsQ/dGGFdlT0&#10;BHUnomA71K+grJYIAdo4kWALaFstVeZAbKblX2weOuFV5kLiBH+SKfw/WPlt/+B/IIvDRxhogJlE&#10;8PcgfwXm4LYTbqtuEKHvlGio8DRJVvQ+VMerSepQhQSy6b9CQ0MWuwgZaGjRJlWIJyN0GsDhJLoa&#10;IpOp5Oz91WJGKUm56bycX1CQaojq+brHED8rsCxtao401Qwv9vchjkefj6RqDtbamDxZ41hfc8Jf&#10;5AtnGasjGc9oW/PLMn2jFRLLT67Jl6PQZtxTL8YdaSemI+c4bAY6mOhvoDmQAAijwehB0KYD/MNZ&#10;T+aqefi9E6g4M18ciXg1nc+TG3MwX3xI9PE8sznPCCcJquaRs3F7G7ODE9fgb0jstc4yvHRy7JVM&#10;k4U8Gjy58jzOp16e4eoJAAD//wMAUEsDBBQABgAIAAAAIQBegme53QAAAAoBAAAPAAAAZHJzL2Rv&#10;d25yZXYueG1sTI/BTsMwDIbvSLxDZCRuLFkqQVWaThPaxhHYKs5Z47XVGqdKsq68PdkJTpb1/fr9&#10;uVzNdmAT+tA7UrBcCGBIjTM9tQrqw/YpBxaiJqMHR6jgBwOsqvu7UhfGXekLp31sWSqhUGgFXYxj&#10;wXloOrQ6LNyIlNjJeatjWn3LjdfXVG4HLoV45lb3lC50esS3Dpvz/mIVjHHcvbz7j8/1ZjuJ+ntX&#10;y77dKPX4MK9fgUWc418YbvpJHarkdHQXMoENCvIsW6ZoAmncuJB5BuyoQEqZAa9K/v+F6hcAAP//&#10;AwBQSwECLQAUAAYACAAAACEAtoM4kv4AAADhAQAAEwAAAAAAAAAAAAAAAAAAAAAAW0NvbnRlbnRf&#10;VHlwZXNdLnhtbFBLAQItABQABgAIAAAAIQA4/SH/1gAAAJQBAAALAAAAAAAAAAAAAAAAAC8BAABf&#10;cmVscy8ucmVsc1BLAQItABQABgAIAAAAIQAXr0YL9gEAAM4DAAAOAAAAAAAAAAAAAAAAAC4CAABk&#10;cnMvZTJvRG9jLnhtbFBLAQItABQABgAIAAAAIQBegme53QAAAAoBAAAPAAAAAAAAAAAAAAAAAFAE&#10;AABkcnMvZG93bnJldi54bWxQSwUGAAAAAAQABADzAAAAWgUAAAAA&#10;" filled="f" stroked="f">
              <v:textbox style="mso-fit-shape-to-text:t">
                <w:txbxContent>
                  <w:p w14:paraId="49CD1CFE" w14:textId="77777777" w:rsidR="00F37DC9" w:rsidRPr="00F37DC9" w:rsidRDefault="00F37DC9" w:rsidP="00F37DC9">
                    <w:pPr>
                      <w:spacing w:line="276" w:lineRule="auto"/>
                      <w:jc w:val="right"/>
                      <w:rPr>
                        <w:rFonts w:ascii="Calibri" w:hAnsi="Calibri" w:cs="Calibri"/>
                        <w:b/>
                        <w:color w:val="13576B"/>
                        <w:sz w:val="22"/>
                        <w:szCs w:val="24"/>
                      </w:rPr>
                    </w:pPr>
                    <w:r w:rsidRPr="00F37DC9">
                      <w:rPr>
                        <w:rFonts w:ascii="Calibri" w:hAnsi="Calibri" w:cs="Calibri"/>
                        <w:b/>
                        <w:color w:val="13576B"/>
                        <w:sz w:val="22"/>
                        <w:szCs w:val="24"/>
                      </w:rPr>
                      <w:t xml:space="preserve">TISKOVÁ ZPRÁVA </w:t>
                    </w:r>
                  </w:p>
                  <w:p w14:paraId="5CDE064D" w14:textId="1D0FB77F" w:rsidR="00F37DC9" w:rsidRPr="00F37DC9" w:rsidRDefault="000F64C9" w:rsidP="00F37DC9">
                    <w:pPr>
                      <w:spacing w:line="276" w:lineRule="auto"/>
                      <w:jc w:val="right"/>
                      <w:rPr>
                        <w:rFonts w:ascii="Calibri" w:hAnsi="Calibri" w:cs="Calibri"/>
                        <w:b/>
                        <w:color w:val="13576B"/>
                        <w:sz w:val="22"/>
                        <w:szCs w:val="24"/>
                      </w:rPr>
                    </w:pPr>
                    <w:r>
                      <w:rPr>
                        <w:rFonts w:ascii="Calibri" w:hAnsi="Calibri" w:cs="Calibri"/>
                        <w:color w:val="13576B"/>
                        <w:sz w:val="22"/>
                        <w:szCs w:val="24"/>
                      </w:rPr>
                      <w:t>11</w:t>
                    </w:r>
                    <w:r w:rsidR="00F37DC9" w:rsidRPr="00F37DC9">
                      <w:rPr>
                        <w:rFonts w:ascii="Calibri" w:hAnsi="Calibri" w:cs="Calibri"/>
                        <w:color w:val="13576B"/>
                        <w:sz w:val="22"/>
                        <w:szCs w:val="24"/>
                      </w:rPr>
                      <w:t xml:space="preserve">. </w:t>
                    </w:r>
                    <w:r>
                      <w:rPr>
                        <w:rFonts w:ascii="Calibri" w:hAnsi="Calibri" w:cs="Calibri"/>
                        <w:color w:val="13576B"/>
                        <w:sz w:val="22"/>
                        <w:szCs w:val="24"/>
                      </w:rPr>
                      <w:t>2</w:t>
                    </w:r>
                    <w:r w:rsidR="00F37DC9" w:rsidRPr="00F37DC9">
                      <w:rPr>
                        <w:rFonts w:ascii="Calibri" w:hAnsi="Calibri" w:cs="Calibri"/>
                        <w:color w:val="13576B"/>
                        <w:sz w:val="22"/>
                        <w:szCs w:val="24"/>
                      </w:rPr>
                      <w:t>. 202</w:t>
                    </w:r>
                    <w:r>
                      <w:rPr>
                        <w:rFonts w:ascii="Calibri" w:hAnsi="Calibri" w:cs="Calibri"/>
                        <w:color w:val="13576B"/>
                        <w:sz w:val="22"/>
                        <w:szCs w:val="24"/>
                      </w:rPr>
                      <w:t>6</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8A7"/>
    <w:multiLevelType w:val="hybridMultilevel"/>
    <w:tmpl w:val="ADD42E08"/>
    <w:lvl w:ilvl="0" w:tplc="9B0CBF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615A72"/>
    <w:multiLevelType w:val="hybridMultilevel"/>
    <w:tmpl w:val="4222A8D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212C4DCE"/>
    <w:multiLevelType w:val="hybridMultilevel"/>
    <w:tmpl w:val="D4D47A08"/>
    <w:lvl w:ilvl="0" w:tplc="F062A1EA">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786F60"/>
    <w:multiLevelType w:val="hybridMultilevel"/>
    <w:tmpl w:val="3232EEBE"/>
    <w:lvl w:ilvl="0" w:tplc="491E844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A8B2CEC"/>
    <w:multiLevelType w:val="hybridMultilevel"/>
    <w:tmpl w:val="FDB00238"/>
    <w:lvl w:ilvl="0" w:tplc="BD9EF866">
      <w:start w:val="1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4C57BCF"/>
    <w:multiLevelType w:val="hybridMultilevel"/>
    <w:tmpl w:val="3554269C"/>
    <w:lvl w:ilvl="0" w:tplc="F52C1D16">
      <w:numFmt w:val="bullet"/>
      <w:lvlText w:val="-"/>
      <w:lvlJc w:val="left"/>
      <w:pPr>
        <w:ind w:left="720" w:hanging="360"/>
      </w:pPr>
      <w:rPr>
        <w:rFonts w:ascii="Calibri" w:eastAsia="PMingLiU"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84F41FF"/>
    <w:multiLevelType w:val="hybridMultilevel"/>
    <w:tmpl w:val="06ECF1A8"/>
    <w:lvl w:ilvl="0" w:tplc="7216123C">
      <w:start w:val="1"/>
      <w:numFmt w:val="bullet"/>
      <w:lvlText w:val="-"/>
      <w:lvlJc w:val="left"/>
      <w:pPr>
        <w:tabs>
          <w:tab w:val="num" w:pos="720"/>
        </w:tabs>
        <w:ind w:left="720" w:hanging="360"/>
      </w:pPr>
      <w:rPr>
        <w:rFonts w:ascii="Arial" w:hAnsi="Arial" w:hint="default"/>
      </w:rPr>
    </w:lvl>
    <w:lvl w:ilvl="1" w:tplc="D4D69B72" w:tentative="1">
      <w:start w:val="1"/>
      <w:numFmt w:val="bullet"/>
      <w:lvlText w:val="-"/>
      <w:lvlJc w:val="left"/>
      <w:pPr>
        <w:tabs>
          <w:tab w:val="num" w:pos="1440"/>
        </w:tabs>
        <w:ind w:left="1440" w:hanging="360"/>
      </w:pPr>
      <w:rPr>
        <w:rFonts w:ascii="Arial" w:hAnsi="Arial" w:hint="default"/>
      </w:rPr>
    </w:lvl>
    <w:lvl w:ilvl="2" w:tplc="F4A4DA8A" w:tentative="1">
      <w:start w:val="1"/>
      <w:numFmt w:val="bullet"/>
      <w:lvlText w:val="-"/>
      <w:lvlJc w:val="left"/>
      <w:pPr>
        <w:tabs>
          <w:tab w:val="num" w:pos="2160"/>
        </w:tabs>
        <w:ind w:left="2160" w:hanging="360"/>
      </w:pPr>
      <w:rPr>
        <w:rFonts w:ascii="Arial" w:hAnsi="Arial" w:hint="default"/>
      </w:rPr>
    </w:lvl>
    <w:lvl w:ilvl="3" w:tplc="992E1B1C" w:tentative="1">
      <w:start w:val="1"/>
      <w:numFmt w:val="bullet"/>
      <w:lvlText w:val="-"/>
      <w:lvlJc w:val="left"/>
      <w:pPr>
        <w:tabs>
          <w:tab w:val="num" w:pos="2880"/>
        </w:tabs>
        <w:ind w:left="2880" w:hanging="360"/>
      </w:pPr>
      <w:rPr>
        <w:rFonts w:ascii="Arial" w:hAnsi="Arial" w:hint="default"/>
      </w:rPr>
    </w:lvl>
    <w:lvl w:ilvl="4" w:tplc="87344526" w:tentative="1">
      <w:start w:val="1"/>
      <w:numFmt w:val="bullet"/>
      <w:lvlText w:val="-"/>
      <w:lvlJc w:val="left"/>
      <w:pPr>
        <w:tabs>
          <w:tab w:val="num" w:pos="3600"/>
        </w:tabs>
        <w:ind w:left="3600" w:hanging="360"/>
      </w:pPr>
      <w:rPr>
        <w:rFonts w:ascii="Arial" w:hAnsi="Arial" w:hint="default"/>
      </w:rPr>
    </w:lvl>
    <w:lvl w:ilvl="5" w:tplc="48FEB5AE" w:tentative="1">
      <w:start w:val="1"/>
      <w:numFmt w:val="bullet"/>
      <w:lvlText w:val="-"/>
      <w:lvlJc w:val="left"/>
      <w:pPr>
        <w:tabs>
          <w:tab w:val="num" w:pos="4320"/>
        </w:tabs>
        <w:ind w:left="4320" w:hanging="360"/>
      </w:pPr>
      <w:rPr>
        <w:rFonts w:ascii="Arial" w:hAnsi="Arial" w:hint="default"/>
      </w:rPr>
    </w:lvl>
    <w:lvl w:ilvl="6" w:tplc="53A2F4D2" w:tentative="1">
      <w:start w:val="1"/>
      <w:numFmt w:val="bullet"/>
      <w:lvlText w:val="-"/>
      <w:lvlJc w:val="left"/>
      <w:pPr>
        <w:tabs>
          <w:tab w:val="num" w:pos="5040"/>
        </w:tabs>
        <w:ind w:left="5040" w:hanging="360"/>
      </w:pPr>
      <w:rPr>
        <w:rFonts w:ascii="Arial" w:hAnsi="Arial" w:hint="default"/>
      </w:rPr>
    </w:lvl>
    <w:lvl w:ilvl="7" w:tplc="AEA686B4" w:tentative="1">
      <w:start w:val="1"/>
      <w:numFmt w:val="bullet"/>
      <w:lvlText w:val="-"/>
      <w:lvlJc w:val="left"/>
      <w:pPr>
        <w:tabs>
          <w:tab w:val="num" w:pos="5760"/>
        </w:tabs>
        <w:ind w:left="5760" w:hanging="360"/>
      </w:pPr>
      <w:rPr>
        <w:rFonts w:ascii="Arial" w:hAnsi="Arial" w:hint="default"/>
      </w:rPr>
    </w:lvl>
    <w:lvl w:ilvl="8" w:tplc="0F3A898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FF3628E"/>
    <w:multiLevelType w:val="hybridMultilevel"/>
    <w:tmpl w:val="771602E6"/>
    <w:lvl w:ilvl="0" w:tplc="30548F9A">
      <w:start w:val="202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39763A7"/>
    <w:multiLevelType w:val="hybridMultilevel"/>
    <w:tmpl w:val="F904BEEC"/>
    <w:lvl w:ilvl="0" w:tplc="E0A2536E">
      <w:start w:val="202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3AC074F"/>
    <w:multiLevelType w:val="hybridMultilevel"/>
    <w:tmpl w:val="495E1DFA"/>
    <w:lvl w:ilvl="0" w:tplc="C0109F8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FA73130"/>
    <w:multiLevelType w:val="hybridMultilevel"/>
    <w:tmpl w:val="65281904"/>
    <w:lvl w:ilvl="0" w:tplc="DF56ABD4">
      <w:start w:val="1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B26451B"/>
    <w:multiLevelType w:val="hybridMultilevel"/>
    <w:tmpl w:val="C1DEF65C"/>
    <w:lvl w:ilvl="0" w:tplc="0E7285A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29576527">
    <w:abstractNumId w:val="1"/>
  </w:num>
  <w:num w:numId="2" w16cid:durableId="433785663">
    <w:abstractNumId w:val="2"/>
  </w:num>
  <w:num w:numId="3" w16cid:durableId="1729918350">
    <w:abstractNumId w:val="11"/>
  </w:num>
  <w:num w:numId="4" w16cid:durableId="253903565">
    <w:abstractNumId w:val="7"/>
  </w:num>
  <w:num w:numId="5" w16cid:durableId="802504195">
    <w:abstractNumId w:val="3"/>
  </w:num>
  <w:num w:numId="6" w16cid:durableId="197862842">
    <w:abstractNumId w:val="4"/>
  </w:num>
  <w:num w:numId="7" w16cid:durableId="1431047350">
    <w:abstractNumId w:val="6"/>
  </w:num>
  <w:num w:numId="8" w16cid:durableId="1469476053">
    <w:abstractNumId w:val="13"/>
  </w:num>
  <w:num w:numId="9" w16cid:durableId="1848516986">
    <w:abstractNumId w:val="0"/>
  </w:num>
  <w:num w:numId="10" w16cid:durableId="2118717874">
    <w:abstractNumId w:val="9"/>
  </w:num>
  <w:num w:numId="11" w16cid:durableId="185876810">
    <w:abstractNumId w:val="8"/>
  </w:num>
  <w:num w:numId="12" w16cid:durableId="2013485861">
    <w:abstractNumId w:val="5"/>
  </w:num>
  <w:num w:numId="13" w16cid:durableId="754328487">
    <w:abstractNumId w:val="12"/>
  </w:num>
  <w:num w:numId="14" w16cid:durableId="9503618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mailMerge>
    <w:mainDocumentType w:val="email"/>
    <w:dataType w:val="textFile"/>
    <w:activeRecord w:val="-1"/>
  </w:mailMerg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169"/>
    <w:rsid w:val="00001E30"/>
    <w:rsid w:val="00004650"/>
    <w:rsid w:val="00004B58"/>
    <w:rsid w:val="00005244"/>
    <w:rsid w:val="00006087"/>
    <w:rsid w:val="00006860"/>
    <w:rsid w:val="00014977"/>
    <w:rsid w:val="0001513F"/>
    <w:rsid w:val="000158F1"/>
    <w:rsid w:val="00016072"/>
    <w:rsid w:val="000162B2"/>
    <w:rsid w:val="000171EA"/>
    <w:rsid w:val="00017461"/>
    <w:rsid w:val="00017F00"/>
    <w:rsid w:val="000221D6"/>
    <w:rsid w:val="00023000"/>
    <w:rsid w:val="00026596"/>
    <w:rsid w:val="00032B41"/>
    <w:rsid w:val="00032EF8"/>
    <w:rsid w:val="00033084"/>
    <w:rsid w:val="00033B04"/>
    <w:rsid w:val="00034035"/>
    <w:rsid w:val="000349D8"/>
    <w:rsid w:val="00034F87"/>
    <w:rsid w:val="000366C2"/>
    <w:rsid w:val="00036DD3"/>
    <w:rsid w:val="000419CA"/>
    <w:rsid w:val="00044002"/>
    <w:rsid w:val="00044266"/>
    <w:rsid w:val="0005001B"/>
    <w:rsid w:val="0005108F"/>
    <w:rsid w:val="000544C4"/>
    <w:rsid w:val="0005493C"/>
    <w:rsid w:val="00054E8F"/>
    <w:rsid w:val="00055376"/>
    <w:rsid w:val="00055B74"/>
    <w:rsid w:val="00062A8A"/>
    <w:rsid w:val="00062D67"/>
    <w:rsid w:val="00062DC6"/>
    <w:rsid w:val="000650ED"/>
    <w:rsid w:val="00065AA0"/>
    <w:rsid w:val="00066333"/>
    <w:rsid w:val="00067197"/>
    <w:rsid w:val="00067501"/>
    <w:rsid w:val="0006786A"/>
    <w:rsid w:val="0007096D"/>
    <w:rsid w:val="00071B9F"/>
    <w:rsid w:val="0007438C"/>
    <w:rsid w:val="000766D5"/>
    <w:rsid w:val="00076970"/>
    <w:rsid w:val="0007755C"/>
    <w:rsid w:val="0008071A"/>
    <w:rsid w:val="00080ADA"/>
    <w:rsid w:val="0008238B"/>
    <w:rsid w:val="00082CD7"/>
    <w:rsid w:val="00082E1D"/>
    <w:rsid w:val="000831A0"/>
    <w:rsid w:val="0008323B"/>
    <w:rsid w:val="00086563"/>
    <w:rsid w:val="00087711"/>
    <w:rsid w:val="00087849"/>
    <w:rsid w:val="00087A3D"/>
    <w:rsid w:val="00092245"/>
    <w:rsid w:val="00092ACE"/>
    <w:rsid w:val="00093C64"/>
    <w:rsid w:val="00095A11"/>
    <w:rsid w:val="00097B97"/>
    <w:rsid w:val="000A00DE"/>
    <w:rsid w:val="000A086B"/>
    <w:rsid w:val="000A1677"/>
    <w:rsid w:val="000A1D30"/>
    <w:rsid w:val="000A1E1A"/>
    <w:rsid w:val="000A1EA1"/>
    <w:rsid w:val="000A2025"/>
    <w:rsid w:val="000A2144"/>
    <w:rsid w:val="000A2EC0"/>
    <w:rsid w:val="000A337A"/>
    <w:rsid w:val="000A34D4"/>
    <w:rsid w:val="000A39EF"/>
    <w:rsid w:val="000A5EDA"/>
    <w:rsid w:val="000A6730"/>
    <w:rsid w:val="000A72B8"/>
    <w:rsid w:val="000A7E0A"/>
    <w:rsid w:val="000B1B0C"/>
    <w:rsid w:val="000B25EB"/>
    <w:rsid w:val="000B27C5"/>
    <w:rsid w:val="000B47BE"/>
    <w:rsid w:val="000B4814"/>
    <w:rsid w:val="000B6BEC"/>
    <w:rsid w:val="000C1155"/>
    <w:rsid w:val="000C1D98"/>
    <w:rsid w:val="000C2287"/>
    <w:rsid w:val="000C552C"/>
    <w:rsid w:val="000C6B0C"/>
    <w:rsid w:val="000C779F"/>
    <w:rsid w:val="000C77D3"/>
    <w:rsid w:val="000D0BFE"/>
    <w:rsid w:val="000D12F8"/>
    <w:rsid w:val="000D1977"/>
    <w:rsid w:val="000D2B81"/>
    <w:rsid w:val="000D2DCD"/>
    <w:rsid w:val="000D314F"/>
    <w:rsid w:val="000D5D2B"/>
    <w:rsid w:val="000D70E4"/>
    <w:rsid w:val="000D7C38"/>
    <w:rsid w:val="000E1A02"/>
    <w:rsid w:val="000E1DF8"/>
    <w:rsid w:val="000E3A69"/>
    <w:rsid w:val="000E5E2A"/>
    <w:rsid w:val="000E7086"/>
    <w:rsid w:val="000F34A7"/>
    <w:rsid w:val="000F39C3"/>
    <w:rsid w:val="000F4797"/>
    <w:rsid w:val="000F60B1"/>
    <w:rsid w:val="000F64C9"/>
    <w:rsid w:val="000F790F"/>
    <w:rsid w:val="00100481"/>
    <w:rsid w:val="00100B73"/>
    <w:rsid w:val="001045A6"/>
    <w:rsid w:val="00104C8C"/>
    <w:rsid w:val="00104E9B"/>
    <w:rsid w:val="001058E0"/>
    <w:rsid w:val="00105C84"/>
    <w:rsid w:val="0010643C"/>
    <w:rsid w:val="001064A7"/>
    <w:rsid w:val="0011316F"/>
    <w:rsid w:val="00114049"/>
    <w:rsid w:val="0011443F"/>
    <w:rsid w:val="0011497E"/>
    <w:rsid w:val="00114D42"/>
    <w:rsid w:val="00115103"/>
    <w:rsid w:val="00115379"/>
    <w:rsid w:val="00115462"/>
    <w:rsid w:val="00116565"/>
    <w:rsid w:val="001202B4"/>
    <w:rsid w:val="00120A0D"/>
    <w:rsid w:val="0012304F"/>
    <w:rsid w:val="001230C1"/>
    <w:rsid w:val="001246BC"/>
    <w:rsid w:val="00124A05"/>
    <w:rsid w:val="00124FA1"/>
    <w:rsid w:val="00125474"/>
    <w:rsid w:val="0012566F"/>
    <w:rsid w:val="001262D3"/>
    <w:rsid w:val="00126D6F"/>
    <w:rsid w:val="00127A07"/>
    <w:rsid w:val="001309A9"/>
    <w:rsid w:val="00131552"/>
    <w:rsid w:val="0013261F"/>
    <w:rsid w:val="00134800"/>
    <w:rsid w:val="00135CBF"/>
    <w:rsid w:val="00135CD7"/>
    <w:rsid w:val="001362D6"/>
    <w:rsid w:val="00141F10"/>
    <w:rsid w:val="001422DD"/>
    <w:rsid w:val="00142834"/>
    <w:rsid w:val="00142FD3"/>
    <w:rsid w:val="00144F4C"/>
    <w:rsid w:val="00146670"/>
    <w:rsid w:val="00146F24"/>
    <w:rsid w:val="0014795B"/>
    <w:rsid w:val="00147E43"/>
    <w:rsid w:val="0015001C"/>
    <w:rsid w:val="0015008F"/>
    <w:rsid w:val="00150BD1"/>
    <w:rsid w:val="00151610"/>
    <w:rsid w:val="0015167E"/>
    <w:rsid w:val="00153984"/>
    <w:rsid w:val="00153D1F"/>
    <w:rsid w:val="00154824"/>
    <w:rsid w:val="00156D1E"/>
    <w:rsid w:val="00156EF2"/>
    <w:rsid w:val="001607D6"/>
    <w:rsid w:val="001610CA"/>
    <w:rsid w:val="001613CA"/>
    <w:rsid w:val="00161A57"/>
    <w:rsid w:val="00161E9D"/>
    <w:rsid w:val="001642C0"/>
    <w:rsid w:val="001645F1"/>
    <w:rsid w:val="00164D55"/>
    <w:rsid w:val="00165709"/>
    <w:rsid w:val="00165D62"/>
    <w:rsid w:val="00166404"/>
    <w:rsid w:val="0016743F"/>
    <w:rsid w:val="00174667"/>
    <w:rsid w:val="001766F5"/>
    <w:rsid w:val="001768A6"/>
    <w:rsid w:val="001802DE"/>
    <w:rsid w:val="001828E8"/>
    <w:rsid w:val="0018297A"/>
    <w:rsid w:val="001855FF"/>
    <w:rsid w:val="001869EE"/>
    <w:rsid w:val="00186E9F"/>
    <w:rsid w:val="00187BEF"/>
    <w:rsid w:val="00190861"/>
    <w:rsid w:val="001914C2"/>
    <w:rsid w:val="00191CB2"/>
    <w:rsid w:val="00193933"/>
    <w:rsid w:val="00194F73"/>
    <w:rsid w:val="001951E8"/>
    <w:rsid w:val="00195399"/>
    <w:rsid w:val="00195C6D"/>
    <w:rsid w:val="001960B2"/>
    <w:rsid w:val="0019625C"/>
    <w:rsid w:val="0019764B"/>
    <w:rsid w:val="001A19BA"/>
    <w:rsid w:val="001A3800"/>
    <w:rsid w:val="001A7447"/>
    <w:rsid w:val="001A7E43"/>
    <w:rsid w:val="001A7F7D"/>
    <w:rsid w:val="001B33B0"/>
    <w:rsid w:val="001B35D7"/>
    <w:rsid w:val="001B44EF"/>
    <w:rsid w:val="001B4FA1"/>
    <w:rsid w:val="001B5613"/>
    <w:rsid w:val="001B5FE5"/>
    <w:rsid w:val="001B69C3"/>
    <w:rsid w:val="001B79B9"/>
    <w:rsid w:val="001B7A61"/>
    <w:rsid w:val="001B7FB3"/>
    <w:rsid w:val="001C03DD"/>
    <w:rsid w:val="001C0DF4"/>
    <w:rsid w:val="001C1C00"/>
    <w:rsid w:val="001C1FEF"/>
    <w:rsid w:val="001C25B6"/>
    <w:rsid w:val="001C297A"/>
    <w:rsid w:val="001C2A36"/>
    <w:rsid w:val="001C333D"/>
    <w:rsid w:val="001C3443"/>
    <w:rsid w:val="001C48A4"/>
    <w:rsid w:val="001C576C"/>
    <w:rsid w:val="001C7F27"/>
    <w:rsid w:val="001D20AB"/>
    <w:rsid w:val="001D245F"/>
    <w:rsid w:val="001D5BB9"/>
    <w:rsid w:val="001E07DA"/>
    <w:rsid w:val="001E0921"/>
    <w:rsid w:val="001E0DB9"/>
    <w:rsid w:val="001E1D50"/>
    <w:rsid w:val="001E3643"/>
    <w:rsid w:val="001E4A94"/>
    <w:rsid w:val="001E4E51"/>
    <w:rsid w:val="001E5577"/>
    <w:rsid w:val="001E5D51"/>
    <w:rsid w:val="001E6405"/>
    <w:rsid w:val="001E6A1E"/>
    <w:rsid w:val="001F5756"/>
    <w:rsid w:val="001F64CB"/>
    <w:rsid w:val="001F6807"/>
    <w:rsid w:val="001F783F"/>
    <w:rsid w:val="001F7C24"/>
    <w:rsid w:val="00202169"/>
    <w:rsid w:val="00202BDA"/>
    <w:rsid w:val="00203F12"/>
    <w:rsid w:val="002050D0"/>
    <w:rsid w:val="00205254"/>
    <w:rsid w:val="002057D4"/>
    <w:rsid w:val="00212C61"/>
    <w:rsid w:val="00213F46"/>
    <w:rsid w:val="00213FC6"/>
    <w:rsid w:val="00214FAB"/>
    <w:rsid w:val="002165FE"/>
    <w:rsid w:val="00217AD4"/>
    <w:rsid w:val="00217E6B"/>
    <w:rsid w:val="002207A6"/>
    <w:rsid w:val="00221E42"/>
    <w:rsid w:val="00222AA1"/>
    <w:rsid w:val="0022377B"/>
    <w:rsid w:val="00224038"/>
    <w:rsid w:val="00224284"/>
    <w:rsid w:val="00224F0E"/>
    <w:rsid w:val="00230D4D"/>
    <w:rsid w:val="002401B0"/>
    <w:rsid w:val="002418DB"/>
    <w:rsid w:val="00242192"/>
    <w:rsid w:val="00244B0F"/>
    <w:rsid w:val="00245099"/>
    <w:rsid w:val="0024553D"/>
    <w:rsid w:val="00246F10"/>
    <w:rsid w:val="00247943"/>
    <w:rsid w:val="0025106C"/>
    <w:rsid w:val="002511A0"/>
    <w:rsid w:val="00251963"/>
    <w:rsid w:val="00252997"/>
    <w:rsid w:val="00253ECD"/>
    <w:rsid w:val="00254030"/>
    <w:rsid w:val="00254EB5"/>
    <w:rsid w:val="00261296"/>
    <w:rsid w:val="00261512"/>
    <w:rsid w:val="002624E9"/>
    <w:rsid w:val="002636B5"/>
    <w:rsid w:val="00263F96"/>
    <w:rsid w:val="00264CED"/>
    <w:rsid w:val="00264F1B"/>
    <w:rsid w:val="00266E32"/>
    <w:rsid w:val="00267813"/>
    <w:rsid w:val="00267ACA"/>
    <w:rsid w:val="0027007C"/>
    <w:rsid w:val="00270C46"/>
    <w:rsid w:val="002728A8"/>
    <w:rsid w:val="00272A8E"/>
    <w:rsid w:val="00272AB0"/>
    <w:rsid w:val="00273B83"/>
    <w:rsid w:val="00273C29"/>
    <w:rsid w:val="0027402B"/>
    <w:rsid w:val="00275FB5"/>
    <w:rsid w:val="0027655E"/>
    <w:rsid w:val="0028253D"/>
    <w:rsid w:val="00282A5F"/>
    <w:rsid w:val="0028378F"/>
    <w:rsid w:val="00284DD5"/>
    <w:rsid w:val="002858AE"/>
    <w:rsid w:val="002878FD"/>
    <w:rsid w:val="00292C2B"/>
    <w:rsid w:val="002930C9"/>
    <w:rsid w:val="0029614D"/>
    <w:rsid w:val="002A2B40"/>
    <w:rsid w:val="002A2D5A"/>
    <w:rsid w:val="002A2ED6"/>
    <w:rsid w:val="002A3E47"/>
    <w:rsid w:val="002A60DC"/>
    <w:rsid w:val="002A7837"/>
    <w:rsid w:val="002B1A4A"/>
    <w:rsid w:val="002B273C"/>
    <w:rsid w:val="002B3725"/>
    <w:rsid w:val="002B5D56"/>
    <w:rsid w:val="002C063C"/>
    <w:rsid w:val="002C0B36"/>
    <w:rsid w:val="002C1004"/>
    <w:rsid w:val="002C1871"/>
    <w:rsid w:val="002C2AE2"/>
    <w:rsid w:val="002C4547"/>
    <w:rsid w:val="002C4F14"/>
    <w:rsid w:val="002C51A7"/>
    <w:rsid w:val="002C5839"/>
    <w:rsid w:val="002C752B"/>
    <w:rsid w:val="002D12BD"/>
    <w:rsid w:val="002D1376"/>
    <w:rsid w:val="002D2DEC"/>
    <w:rsid w:val="002D34FC"/>
    <w:rsid w:val="002D3F33"/>
    <w:rsid w:val="002D4C1A"/>
    <w:rsid w:val="002D57C2"/>
    <w:rsid w:val="002D6131"/>
    <w:rsid w:val="002D615E"/>
    <w:rsid w:val="002D6B03"/>
    <w:rsid w:val="002E1078"/>
    <w:rsid w:val="002E18D7"/>
    <w:rsid w:val="002E1F2F"/>
    <w:rsid w:val="002E39FF"/>
    <w:rsid w:val="002E3DF7"/>
    <w:rsid w:val="002E4A51"/>
    <w:rsid w:val="002E5008"/>
    <w:rsid w:val="002E732D"/>
    <w:rsid w:val="002E7CA6"/>
    <w:rsid w:val="002F076C"/>
    <w:rsid w:val="002F1A0F"/>
    <w:rsid w:val="002F2215"/>
    <w:rsid w:val="002F3D6C"/>
    <w:rsid w:val="002F477C"/>
    <w:rsid w:val="002F6016"/>
    <w:rsid w:val="00302451"/>
    <w:rsid w:val="00302716"/>
    <w:rsid w:val="00303B8A"/>
    <w:rsid w:val="00303D8D"/>
    <w:rsid w:val="00303DD6"/>
    <w:rsid w:val="00304E17"/>
    <w:rsid w:val="00310201"/>
    <w:rsid w:val="00310D0B"/>
    <w:rsid w:val="00310ECE"/>
    <w:rsid w:val="003123D0"/>
    <w:rsid w:val="00312467"/>
    <w:rsid w:val="0031389C"/>
    <w:rsid w:val="003152F5"/>
    <w:rsid w:val="00315BAC"/>
    <w:rsid w:val="00315F30"/>
    <w:rsid w:val="003161ED"/>
    <w:rsid w:val="00316A23"/>
    <w:rsid w:val="003172F8"/>
    <w:rsid w:val="00320075"/>
    <w:rsid w:val="00320A31"/>
    <w:rsid w:val="00320A3F"/>
    <w:rsid w:val="003215CA"/>
    <w:rsid w:val="0032171F"/>
    <w:rsid w:val="0032297D"/>
    <w:rsid w:val="0032343F"/>
    <w:rsid w:val="003239D9"/>
    <w:rsid w:val="00324583"/>
    <w:rsid w:val="00325C91"/>
    <w:rsid w:val="00327407"/>
    <w:rsid w:val="00327E59"/>
    <w:rsid w:val="003305B2"/>
    <w:rsid w:val="003306A1"/>
    <w:rsid w:val="003334FA"/>
    <w:rsid w:val="00334A50"/>
    <w:rsid w:val="00335332"/>
    <w:rsid w:val="00335638"/>
    <w:rsid w:val="003366D7"/>
    <w:rsid w:val="0033687A"/>
    <w:rsid w:val="00336B96"/>
    <w:rsid w:val="00337931"/>
    <w:rsid w:val="003401BC"/>
    <w:rsid w:val="00342579"/>
    <w:rsid w:val="00343CB8"/>
    <w:rsid w:val="00345D5D"/>
    <w:rsid w:val="003464C2"/>
    <w:rsid w:val="00346FF6"/>
    <w:rsid w:val="003503ED"/>
    <w:rsid w:val="00351068"/>
    <w:rsid w:val="0035113B"/>
    <w:rsid w:val="0035275E"/>
    <w:rsid w:val="003533C5"/>
    <w:rsid w:val="00355435"/>
    <w:rsid w:val="0035571B"/>
    <w:rsid w:val="00356262"/>
    <w:rsid w:val="0035702D"/>
    <w:rsid w:val="003571AD"/>
    <w:rsid w:val="00357877"/>
    <w:rsid w:val="003603B9"/>
    <w:rsid w:val="00360F61"/>
    <w:rsid w:val="00361426"/>
    <w:rsid w:val="00361DD8"/>
    <w:rsid w:val="00362759"/>
    <w:rsid w:val="00364050"/>
    <w:rsid w:val="00364371"/>
    <w:rsid w:val="0036442C"/>
    <w:rsid w:val="003654CD"/>
    <w:rsid w:val="00365B2D"/>
    <w:rsid w:val="00365D50"/>
    <w:rsid w:val="003660C8"/>
    <w:rsid w:val="003668D4"/>
    <w:rsid w:val="00366C7D"/>
    <w:rsid w:val="00367443"/>
    <w:rsid w:val="00367D3B"/>
    <w:rsid w:val="00367F9E"/>
    <w:rsid w:val="0037051A"/>
    <w:rsid w:val="003707A8"/>
    <w:rsid w:val="00370F35"/>
    <w:rsid w:val="003713E7"/>
    <w:rsid w:val="003716C3"/>
    <w:rsid w:val="003724E9"/>
    <w:rsid w:val="003727EB"/>
    <w:rsid w:val="0037320F"/>
    <w:rsid w:val="0037353B"/>
    <w:rsid w:val="00373AE4"/>
    <w:rsid w:val="00373D9D"/>
    <w:rsid w:val="003745FD"/>
    <w:rsid w:val="00375EA8"/>
    <w:rsid w:val="00380C99"/>
    <w:rsid w:val="003831B6"/>
    <w:rsid w:val="00383E25"/>
    <w:rsid w:val="003844CD"/>
    <w:rsid w:val="003909E1"/>
    <w:rsid w:val="00391FA6"/>
    <w:rsid w:val="0039301A"/>
    <w:rsid w:val="00393731"/>
    <w:rsid w:val="003947A8"/>
    <w:rsid w:val="003952ED"/>
    <w:rsid w:val="00395434"/>
    <w:rsid w:val="00395A5D"/>
    <w:rsid w:val="00396883"/>
    <w:rsid w:val="00397D2D"/>
    <w:rsid w:val="00397F9F"/>
    <w:rsid w:val="003A0AAE"/>
    <w:rsid w:val="003A1647"/>
    <w:rsid w:val="003A2F89"/>
    <w:rsid w:val="003A30BE"/>
    <w:rsid w:val="003A42C1"/>
    <w:rsid w:val="003A44E4"/>
    <w:rsid w:val="003A5DED"/>
    <w:rsid w:val="003A6E43"/>
    <w:rsid w:val="003A6F74"/>
    <w:rsid w:val="003B0E41"/>
    <w:rsid w:val="003B29C5"/>
    <w:rsid w:val="003B2E15"/>
    <w:rsid w:val="003B2E74"/>
    <w:rsid w:val="003B3F77"/>
    <w:rsid w:val="003B48EF"/>
    <w:rsid w:val="003B61CD"/>
    <w:rsid w:val="003B6752"/>
    <w:rsid w:val="003C2B53"/>
    <w:rsid w:val="003C2DA2"/>
    <w:rsid w:val="003C3D7F"/>
    <w:rsid w:val="003C4F56"/>
    <w:rsid w:val="003C5DC3"/>
    <w:rsid w:val="003C7352"/>
    <w:rsid w:val="003C7394"/>
    <w:rsid w:val="003C7CA9"/>
    <w:rsid w:val="003D104A"/>
    <w:rsid w:val="003D1132"/>
    <w:rsid w:val="003D14D7"/>
    <w:rsid w:val="003D2AB0"/>
    <w:rsid w:val="003D424E"/>
    <w:rsid w:val="003D5446"/>
    <w:rsid w:val="003D6D17"/>
    <w:rsid w:val="003E0BE6"/>
    <w:rsid w:val="003E0E58"/>
    <w:rsid w:val="003E1610"/>
    <w:rsid w:val="003E2BA3"/>
    <w:rsid w:val="003E31EA"/>
    <w:rsid w:val="003E3DCB"/>
    <w:rsid w:val="003E515C"/>
    <w:rsid w:val="003E6581"/>
    <w:rsid w:val="003E6B52"/>
    <w:rsid w:val="003E75D1"/>
    <w:rsid w:val="003F1CB9"/>
    <w:rsid w:val="003F2B91"/>
    <w:rsid w:val="003F3510"/>
    <w:rsid w:val="003F431E"/>
    <w:rsid w:val="003F618A"/>
    <w:rsid w:val="003F7F31"/>
    <w:rsid w:val="0040072F"/>
    <w:rsid w:val="00401262"/>
    <w:rsid w:val="00401322"/>
    <w:rsid w:val="00402738"/>
    <w:rsid w:val="00404CED"/>
    <w:rsid w:val="00405C26"/>
    <w:rsid w:val="00407468"/>
    <w:rsid w:val="00407F75"/>
    <w:rsid w:val="00410C72"/>
    <w:rsid w:val="00410CB7"/>
    <w:rsid w:val="00411E07"/>
    <w:rsid w:val="00414950"/>
    <w:rsid w:val="00416028"/>
    <w:rsid w:val="00416A62"/>
    <w:rsid w:val="00420888"/>
    <w:rsid w:val="00421049"/>
    <w:rsid w:val="0042113A"/>
    <w:rsid w:val="00422611"/>
    <w:rsid w:val="00423B22"/>
    <w:rsid w:val="00425C7D"/>
    <w:rsid w:val="004300C6"/>
    <w:rsid w:val="00430E68"/>
    <w:rsid w:val="00432B0F"/>
    <w:rsid w:val="004333DE"/>
    <w:rsid w:val="00433E42"/>
    <w:rsid w:val="00435968"/>
    <w:rsid w:val="00435AAD"/>
    <w:rsid w:val="00435C21"/>
    <w:rsid w:val="004366A2"/>
    <w:rsid w:val="00437356"/>
    <w:rsid w:val="00437589"/>
    <w:rsid w:val="004401B1"/>
    <w:rsid w:val="004403EB"/>
    <w:rsid w:val="00442322"/>
    <w:rsid w:val="0044304B"/>
    <w:rsid w:val="004475DD"/>
    <w:rsid w:val="004476CB"/>
    <w:rsid w:val="00447B3F"/>
    <w:rsid w:val="00453B4E"/>
    <w:rsid w:val="00453E1C"/>
    <w:rsid w:val="00454547"/>
    <w:rsid w:val="004551CA"/>
    <w:rsid w:val="00455AD4"/>
    <w:rsid w:val="0045664E"/>
    <w:rsid w:val="00457A66"/>
    <w:rsid w:val="0046134F"/>
    <w:rsid w:val="00462589"/>
    <w:rsid w:val="00463781"/>
    <w:rsid w:val="00463F39"/>
    <w:rsid w:val="0047073B"/>
    <w:rsid w:val="00471FFB"/>
    <w:rsid w:val="004728A5"/>
    <w:rsid w:val="00472906"/>
    <w:rsid w:val="00474A86"/>
    <w:rsid w:val="0047616B"/>
    <w:rsid w:val="00476BD0"/>
    <w:rsid w:val="00477857"/>
    <w:rsid w:val="004817D8"/>
    <w:rsid w:val="00481E81"/>
    <w:rsid w:val="00483BB7"/>
    <w:rsid w:val="00484A70"/>
    <w:rsid w:val="00484CE4"/>
    <w:rsid w:val="00484CFC"/>
    <w:rsid w:val="00484DC6"/>
    <w:rsid w:val="00485076"/>
    <w:rsid w:val="004852C9"/>
    <w:rsid w:val="00485870"/>
    <w:rsid w:val="00490B90"/>
    <w:rsid w:val="00490DDA"/>
    <w:rsid w:val="0049113D"/>
    <w:rsid w:val="0049132F"/>
    <w:rsid w:val="00495A30"/>
    <w:rsid w:val="0049605B"/>
    <w:rsid w:val="0049790B"/>
    <w:rsid w:val="004A03FB"/>
    <w:rsid w:val="004A1724"/>
    <w:rsid w:val="004A2FAE"/>
    <w:rsid w:val="004A6401"/>
    <w:rsid w:val="004A6443"/>
    <w:rsid w:val="004A6B15"/>
    <w:rsid w:val="004A7ABD"/>
    <w:rsid w:val="004A7D28"/>
    <w:rsid w:val="004B025B"/>
    <w:rsid w:val="004B1725"/>
    <w:rsid w:val="004B49EC"/>
    <w:rsid w:val="004B4C95"/>
    <w:rsid w:val="004B4D9A"/>
    <w:rsid w:val="004B4E22"/>
    <w:rsid w:val="004C133B"/>
    <w:rsid w:val="004C1B31"/>
    <w:rsid w:val="004C297A"/>
    <w:rsid w:val="004C389E"/>
    <w:rsid w:val="004C3EBA"/>
    <w:rsid w:val="004C4302"/>
    <w:rsid w:val="004C5DF3"/>
    <w:rsid w:val="004C5ED8"/>
    <w:rsid w:val="004C6901"/>
    <w:rsid w:val="004D12DA"/>
    <w:rsid w:val="004D1CED"/>
    <w:rsid w:val="004D5EDF"/>
    <w:rsid w:val="004D63E3"/>
    <w:rsid w:val="004D6685"/>
    <w:rsid w:val="004D6922"/>
    <w:rsid w:val="004D7651"/>
    <w:rsid w:val="004E1A7D"/>
    <w:rsid w:val="004E1AC6"/>
    <w:rsid w:val="004E27AE"/>
    <w:rsid w:val="004E3A25"/>
    <w:rsid w:val="004E3E95"/>
    <w:rsid w:val="004E4AD6"/>
    <w:rsid w:val="004E6615"/>
    <w:rsid w:val="004E6814"/>
    <w:rsid w:val="004F0729"/>
    <w:rsid w:val="004F09E3"/>
    <w:rsid w:val="004F1275"/>
    <w:rsid w:val="004F196E"/>
    <w:rsid w:val="004F24F2"/>
    <w:rsid w:val="004F29DA"/>
    <w:rsid w:val="004F4A74"/>
    <w:rsid w:val="005024DC"/>
    <w:rsid w:val="00503095"/>
    <w:rsid w:val="00504443"/>
    <w:rsid w:val="005044E1"/>
    <w:rsid w:val="005045E5"/>
    <w:rsid w:val="00504A5F"/>
    <w:rsid w:val="00505601"/>
    <w:rsid w:val="00505850"/>
    <w:rsid w:val="00505C9C"/>
    <w:rsid w:val="005061AA"/>
    <w:rsid w:val="00506DF1"/>
    <w:rsid w:val="00507B3C"/>
    <w:rsid w:val="00512418"/>
    <w:rsid w:val="0051322A"/>
    <w:rsid w:val="005142C0"/>
    <w:rsid w:val="0051446C"/>
    <w:rsid w:val="00514960"/>
    <w:rsid w:val="00516874"/>
    <w:rsid w:val="00517111"/>
    <w:rsid w:val="005208C8"/>
    <w:rsid w:val="00520AEA"/>
    <w:rsid w:val="00520BE6"/>
    <w:rsid w:val="00520C82"/>
    <w:rsid w:val="00521B07"/>
    <w:rsid w:val="005228D2"/>
    <w:rsid w:val="00524989"/>
    <w:rsid w:val="00525ABD"/>
    <w:rsid w:val="00525F88"/>
    <w:rsid w:val="0052644D"/>
    <w:rsid w:val="00526818"/>
    <w:rsid w:val="00527304"/>
    <w:rsid w:val="00527C61"/>
    <w:rsid w:val="00532363"/>
    <w:rsid w:val="005354AE"/>
    <w:rsid w:val="00536B9B"/>
    <w:rsid w:val="00537515"/>
    <w:rsid w:val="00537656"/>
    <w:rsid w:val="005376D6"/>
    <w:rsid w:val="00537A4D"/>
    <w:rsid w:val="00537C68"/>
    <w:rsid w:val="00540AD1"/>
    <w:rsid w:val="00545533"/>
    <w:rsid w:val="00545FBC"/>
    <w:rsid w:val="0054647F"/>
    <w:rsid w:val="0054661B"/>
    <w:rsid w:val="00550C81"/>
    <w:rsid w:val="0055128F"/>
    <w:rsid w:val="00551B4C"/>
    <w:rsid w:val="005531EC"/>
    <w:rsid w:val="00553FBC"/>
    <w:rsid w:val="005547BF"/>
    <w:rsid w:val="00554D9D"/>
    <w:rsid w:val="005552E9"/>
    <w:rsid w:val="00555B91"/>
    <w:rsid w:val="00556F82"/>
    <w:rsid w:val="00561FE2"/>
    <w:rsid w:val="00562D02"/>
    <w:rsid w:val="0056315C"/>
    <w:rsid w:val="0056335A"/>
    <w:rsid w:val="00563E7E"/>
    <w:rsid w:val="005642DD"/>
    <w:rsid w:val="00564C9B"/>
    <w:rsid w:val="00566C95"/>
    <w:rsid w:val="00571647"/>
    <w:rsid w:val="00571819"/>
    <w:rsid w:val="00572DA2"/>
    <w:rsid w:val="005736B5"/>
    <w:rsid w:val="00576028"/>
    <w:rsid w:val="005763DB"/>
    <w:rsid w:val="005775FE"/>
    <w:rsid w:val="00577677"/>
    <w:rsid w:val="0058017E"/>
    <w:rsid w:val="00580733"/>
    <w:rsid w:val="00581327"/>
    <w:rsid w:val="00581C97"/>
    <w:rsid w:val="0058265B"/>
    <w:rsid w:val="0058388D"/>
    <w:rsid w:val="005839E3"/>
    <w:rsid w:val="005839F2"/>
    <w:rsid w:val="00585A0A"/>
    <w:rsid w:val="005864AD"/>
    <w:rsid w:val="00587061"/>
    <w:rsid w:val="00587F82"/>
    <w:rsid w:val="00591B8C"/>
    <w:rsid w:val="00593090"/>
    <w:rsid w:val="00594873"/>
    <w:rsid w:val="00594F62"/>
    <w:rsid w:val="005954B4"/>
    <w:rsid w:val="00595CAD"/>
    <w:rsid w:val="00596CED"/>
    <w:rsid w:val="005A2501"/>
    <w:rsid w:val="005A28E8"/>
    <w:rsid w:val="005A2AF1"/>
    <w:rsid w:val="005A3968"/>
    <w:rsid w:val="005A44FF"/>
    <w:rsid w:val="005A5299"/>
    <w:rsid w:val="005A7A4D"/>
    <w:rsid w:val="005A7E70"/>
    <w:rsid w:val="005B006B"/>
    <w:rsid w:val="005B12FA"/>
    <w:rsid w:val="005B1718"/>
    <w:rsid w:val="005B2A69"/>
    <w:rsid w:val="005B4768"/>
    <w:rsid w:val="005B493E"/>
    <w:rsid w:val="005B7249"/>
    <w:rsid w:val="005C01AE"/>
    <w:rsid w:val="005C11B5"/>
    <w:rsid w:val="005C13B0"/>
    <w:rsid w:val="005C1943"/>
    <w:rsid w:val="005C3C3C"/>
    <w:rsid w:val="005C41EF"/>
    <w:rsid w:val="005C575F"/>
    <w:rsid w:val="005C60BB"/>
    <w:rsid w:val="005C6A0D"/>
    <w:rsid w:val="005C6BBE"/>
    <w:rsid w:val="005C6D52"/>
    <w:rsid w:val="005C6DB6"/>
    <w:rsid w:val="005C7415"/>
    <w:rsid w:val="005D053D"/>
    <w:rsid w:val="005D0910"/>
    <w:rsid w:val="005D42A6"/>
    <w:rsid w:val="005D42B1"/>
    <w:rsid w:val="005D59CD"/>
    <w:rsid w:val="005D738B"/>
    <w:rsid w:val="005E0B44"/>
    <w:rsid w:val="005E1864"/>
    <w:rsid w:val="005E236A"/>
    <w:rsid w:val="005E3B90"/>
    <w:rsid w:val="005E419A"/>
    <w:rsid w:val="005E51FF"/>
    <w:rsid w:val="005E58E1"/>
    <w:rsid w:val="005E5B24"/>
    <w:rsid w:val="005E5B52"/>
    <w:rsid w:val="005E5ECB"/>
    <w:rsid w:val="005E7020"/>
    <w:rsid w:val="005F084E"/>
    <w:rsid w:val="005F0A8A"/>
    <w:rsid w:val="005F3FF0"/>
    <w:rsid w:val="005F4524"/>
    <w:rsid w:val="005F4ABC"/>
    <w:rsid w:val="005F5EB0"/>
    <w:rsid w:val="005F772B"/>
    <w:rsid w:val="005F7A84"/>
    <w:rsid w:val="0060060A"/>
    <w:rsid w:val="006028B1"/>
    <w:rsid w:val="00602E5F"/>
    <w:rsid w:val="00602FFB"/>
    <w:rsid w:val="00603141"/>
    <w:rsid w:val="00603693"/>
    <w:rsid w:val="00603B79"/>
    <w:rsid w:val="00603B91"/>
    <w:rsid w:val="00604274"/>
    <w:rsid w:val="0060552B"/>
    <w:rsid w:val="00610BEA"/>
    <w:rsid w:val="00611326"/>
    <w:rsid w:val="00611C5C"/>
    <w:rsid w:val="00611EFE"/>
    <w:rsid w:val="00612725"/>
    <w:rsid w:val="006146A8"/>
    <w:rsid w:val="00614E76"/>
    <w:rsid w:val="006155CF"/>
    <w:rsid w:val="006160C8"/>
    <w:rsid w:val="00621963"/>
    <w:rsid w:val="006223AD"/>
    <w:rsid w:val="00623B0C"/>
    <w:rsid w:val="006257D7"/>
    <w:rsid w:val="00626065"/>
    <w:rsid w:val="00626382"/>
    <w:rsid w:val="00627C6F"/>
    <w:rsid w:val="0063005B"/>
    <w:rsid w:val="00632959"/>
    <w:rsid w:val="00632A2F"/>
    <w:rsid w:val="00634862"/>
    <w:rsid w:val="00635DD9"/>
    <w:rsid w:val="00635F63"/>
    <w:rsid w:val="00640878"/>
    <w:rsid w:val="00642A66"/>
    <w:rsid w:val="00643505"/>
    <w:rsid w:val="0064499D"/>
    <w:rsid w:val="006454CC"/>
    <w:rsid w:val="0064654D"/>
    <w:rsid w:val="0064668C"/>
    <w:rsid w:val="006478ED"/>
    <w:rsid w:val="00647974"/>
    <w:rsid w:val="00650A3A"/>
    <w:rsid w:val="00650A73"/>
    <w:rsid w:val="006529D6"/>
    <w:rsid w:val="00652DE8"/>
    <w:rsid w:val="00653FBB"/>
    <w:rsid w:val="0065523B"/>
    <w:rsid w:val="0065675B"/>
    <w:rsid w:val="00660A8C"/>
    <w:rsid w:val="0066376E"/>
    <w:rsid w:val="00663D34"/>
    <w:rsid w:val="006642E5"/>
    <w:rsid w:val="0066436B"/>
    <w:rsid w:val="00664659"/>
    <w:rsid w:val="006648C4"/>
    <w:rsid w:val="0066682C"/>
    <w:rsid w:val="006669D1"/>
    <w:rsid w:val="006674AE"/>
    <w:rsid w:val="00667610"/>
    <w:rsid w:val="0066782D"/>
    <w:rsid w:val="00667BA1"/>
    <w:rsid w:val="0067027E"/>
    <w:rsid w:val="00670BEE"/>
    <w:rsid w:val="0067115A"/>
    <w:rsid w:val="0067201E"/>
    <w:rsid w:val="006723C7"/>
    <w:rsid w:val="006733E8"/>
    <w:rsid w:val="006756EC"/>
    <w:rsid w:val="006756FC"/>
    <w:rsid w:val="00675820"/>
    <w:rsid w:val="00675D0C"/>
    <w:rsid w:val="00675EBD"/>
    <w:rsid w:val="00676F20"/>
    <w:rsid w:val="00680B54"/>
    <w:rsid w:val="00682D20"/>
    <w:rsid w:val="0068337D"/>
    <w:rsid w:val="00683E88"/>
    <w:rsid w:val="00684D52"/>
    <w:rsid w:val="00685126"/>
    <w:rsid w:val="0068657C"/>
    <w:rsid w:val="0069201F"/>
    <w:rsid w:val="006952F0"/>
    <w:rsid w:val="006963D2"/>
    <w:rsid w:val="006973A5"/>
    <w:rsid w:val="00697575"/>
    <w:rsid w:val="006A00DF"/>
    <w:rsid w:val="006A062A"/>
    <w:rsid w:val="006A1E09"/>
    <w:rsid w:val="006A3419"/>
    <w:rsid w:val="006A3C9A"/>
    <w:rsid w:val="006A4148"/>
    <w:rsid w:val="006A437E"/>
    <w:rsid w:val="006A54C3"/>
    <w:rsid w:val="006A5DB5"/>
    <w:rsid w:val="006A640B"/>
    <w:rsid w:val="006A7A3C"/>
    <w:rsid w:val="006A7ECC"/>
    <w:rsid w:val="006B03F0"/>
    <w:rsid w:val="006B18B6"/>
    <w:rsid w:val="006B19D1"/>
    <w:rsid w:val="006B211F"/>
    <w:rsid w:val="006B2ADD"/>
    <w:rsid w:val="006B2CA3"/>
    <w:rsid w:val="006B2F86"/>
    <w:rsid w:val="006B3936"/>
    <w:rsid w:val="006B3B72"/>
    <w:rsid w:val="006B5123"/>
    <w:rsid w:val="006B5EA5"/>
    <w:rsid w:val="006B60A6"/>
    <w:rsid w:val="006B650F"/>
    <w:rsid w:val="006B68CC"/>
    <w:rsid w:val="006B7DE5"/>
    <w:rsid w:val="006C035F"/>
    <w:rsid w:val="006C362A"/>
    <w:rsid w:val="006C3AF8"/>
    <w:rsid w:val="006C3BE5"/>
    <w:rsid w:val="006C4385"/>
    <w:rsid w:val="006C5A37"/>
    <w:rsid w:val="006C6CFF"/>
    <w:rsid w:val="006C6D8D"/>
    <w:rsid w:val="006C6DCB"/>
    <w:rsid w:val="006C7AFD"/>
    <w:rsid w:val="006D0B7D"/>
    <w:rsid w:val="006D1635"/>
    <w:rsid w:val="006D182D"/>
    <w:rsid w:val="006D23EF"/>
    <w:rsid w:val="006D3D9F"/>
    <w:rsid w:val="006D5E66"/>
    <w:rsid w:val="006D7299"/>
    <w:rsid w:val="006D7467"/>
    <w:rsid w:val="006D74B0"/>
    <w:rsid w:val="006D7A25"/>
    <w:rsid w:val="006E0634"/>
    <w:rsid w:val="006E0B29"/>
    <w:rsid w:val="006E0DB3"/>
    <w:rsid w:val="006E18EC"/>
    <w:rsid w:val="006E1DBB"/>
    <w:rsid w:val="006E27F8"/>
    <w:rsid w:val="006E335A"/>
    <w:rsid w:val="006E3A3B"/>
    <w:rsid w:val="006E6C76"/>
    <w:rsid w:val="006E7261"/>
    <w:rsid w:val="006F0636"/>
    <w:rsid w:val="006F0FDF"/>
    <w:rsid w:val="006F3FD9"/>
    <w:rsid w:val="006F4A34"/>
    <w:rsid w:val="006F5022"/>
    <w:rsid w:val="007000AB"/>
    <w:rsid w:val="0070077F"/>
    <w:rsid w:val="00700BFA"/>
    <w:rsid w:val="00700C4E"/>
    <w:rsid w:val="007022D5"/>
    <w:rsid w:val="00704FBA"/>
    <w:rsid w:val="00705401"/>
    <w:rsid w:val="007068E5"/>
    <w:rsid w:val="007075B3"/>
    <w:rsid w:val="00710350"/>
    <w:rsid w:val="00717EDF"/>
    <w:rsid w:val="00720102"/>
    <w:rsid w:val="007204F9"/>
    <w:rsid w:val="00720B0E"/>
    <w:rsid w:val="00724502"/>
    <w:rsid w:val="00724C77"/>
    <w:rsid w:val="007251C1"/>
    <w:rsid w:val="00725295"/>
    <w:rsid w:val="00725BE6"/>
    <w:rsid w:val="00726439"/>
    <w:rsid w:val="00726664"/>
    <w:rsid w:val="007270C0"/>
    <w:rsid w:val="00730B38"/>
    <w:rsid w:val="00732A91"/>
    <w:rsid w:val="007330DC"/>
    <w:rsid w:val="0073410F"/>
    <w:rsid w:val="00734471"/>
    <w:rsid w:val="007366FE"/>
    <w:rsid w:val="007403DA"/>
    <w:rsid w:val="00742137"/>
    <w:rsid w:val="00742148"/>
    <w:rsid w:val="00742303"/>
    <w:rsid w:val="00742971"/>
    <w:rsid w:val="00743530"/>
    <w:rsid w:val="0074441D"/>
    <w:rsid w:val="00744504"/>
    <w:rsid w:val="00746582"/>
    <w:rsid w:val="00747A85"/>
    <w:rsid w:val="00747C2E"/>
    <w:rsid w:val="0075147D"/>
    <w:rsid w:val="00751801"/>
    <w:rsid w:val="00752180"/>
    <w:rsid w:val="0075302C"/>
    <w:rsid w:val="00754744"/>
    <w:rsid w:val="0075587C"/>
    <w:rsid w:val="00755AE7"/>
    <w:rsid w:val="00755B46"/>
    <w:rsid w:val="00757607"/>
    <w:rsid w:val="00757E86"/>
    <w:rsid w:val="00757EA3"/>
    <w:rsid w:val="00760C39"/>
    <w:rsid w:val="00761A85"/>
    <w:rsid w:val="00761C3F"/>
    <w:rsid w:val="0076384E"/>
    <w:rsid w:val="007642B3"/>
    <w:rsid w:val="007656CF"/>
    <w:rsid w:val="00766022"/>
    <w:rsid w:val="00766D42"/>
    <w:rsid w:val="007673D0"/>
    <w:rsid w:val="0077118A"/>
    <w:rsid w:val="007725F7"/>
    <w:rsid w:val="00772999"/>
    <w:rsid w:val="00772E8C"/>
    <w:rsid w:val="00773BB4"/>
    <w:rsid w:val="00774CF4"/>
    <w:rsid w:val="00777FD3"/>
    <w:rsid w:val="007809DB"/>
    <w:rsid w:val="00781826"/>
    <w:rsid w:val="00783643"/>
    <w:rsid w:val="007836B5"/>
    <w:rsid w:val="00783B41"/>
    <w:rsid w:val="00785CFA"/>
    <w:rsid w:val="00786866"/>
    <w:rsid w:val="00790AE2"/>
    <w:rsid w:val="007948B6"/>
    <w:rsid w:val="00794DCF"/>
    <w:rsid w:val="00794FB6"/>
    <w:rsid w:val="007951F0"/>
    <w:rsid w:val="0079753B"/>
    <w:rsid w:val="007A1BB8"/>
    <w:rsid w:val="007A35E0"/>
    <w:rsid w:val="007A6FBF"/>
    <w:rsid w:val="007A7909"/>
    <w:rsid w:val="007A7D73"/>
    <w:rsid w:val="007B02A8"/>
    <w:rsid w:val="007B17AD"/>
    <w:rsid w:val="007B5891"/>
    <w:rsid w:val="007B5D5A"/>
    <w:rsid w:val="007B5FE5"/>
    <w:rsid w:val="007B657D"/>
    <w:rsid w:val="007B661B"/>
    <w:rsid w:val="007B70F3"/>
    <w:rsid w:val="007C0171"/>
    <w:rsid w:val="007C1FCA"/>
    <w:rsid w:val="007C2872"/>
    <w:rsid w:val="007C2DA0"/>
    <w:rsid w:val="007C2F0D"/>
    <w:rsid w:val="007C4A76"/>
    <w:rsid w:val="007C4C83"/>
    <w:rsid w:val="007C5704"/>
    <w:rsid w:val="007C58D4"/>
    <w:rsid w:val="007C64E9"/>
    <w:rsid w:val="007D02A1"/>
    <w:rsid w:val="007D1A1C"/>
    <w:rsid w:val="007D23A6"/>
    <w:rsid w:val="007D4025"/>
    <w:rsid w:val="007D4AC5"/>
    <w:rsid w:val="007D4EFE"/>
    <w:rsid w:val="007D52B7"/>
    <w:rsid w:val="007D666C"/>
    <w:rsid w:val="007D6C66"/>
    <w:rsid w:val="007E029B"/>
    <w:rsid w:val="007E0BF1"/>
    <w:rsid w:val="007E0CE4"/>
    <w:rsid w:val="007E2C86"/>
    <w:rsid w:val="007E33A6"/>
    <w:rsid w:val="007E37FD"/>
    <w:rsid w:val="007E4E82"/>
    <w:rsid w:val="007E5F13"/>
    <w:rsid w:val="007E78B4"/>
    <w:rsid w:val="007E7B36"/>
    <w:rsid w:val="007F07AB"/>
    <w:rsid w:val="007F0A89"/>
    <w:rsid w:val="007F10A4"/>
    <w:rsid w:val="007F16CA"/>
    <w:rsid w:val="007F1F07"/>
    <w:rsid w:val="007F2956"/>
    <w:rsid w:val="007F2D02"/>
    <w:rsid w:val="007F40D6"/>
    <w:rsid w:val="007F45C8"/>
    <w:rsid w:val="007F61C7"/>
    <w:rsid w:val="007F6300"/>
    <w:rsid w:val="00801132"/>
    <w:rsid w:val="008030F5"/>
    <w:rsid w:val="00803E55"/>
    <w:rsid w:val="0080505A"/>
    <w:rsid w:val="00805B5F"/>
    <w:rsid w:val="00805FC0"/>
    <w:rsid w:val="00806205"/>
    <w:rsid w:val="00806391"/>
    <w:rsid w:val="008066BB"/>
    <w:rsid w:val="00806F9C"/>
    <w:rsid w:val="00807F85"/>
    <w:rsid w:val="008102BB"/>
    <w:rsid w:val="00811FE2"/>
    <w:rsid w:val="00812FD2"/>
    <w:rsid w:val="0081429A"/>
    <w:rsid w:val="00816AF0"/>
    <w:rsid w:val="008175B9"/>
    <w:rsid w:val="00821693"/>
    <w:rsid w:val="0082348D"/>
    <w:rsid w:val="008268CD"/>
    <w:rsid w:val="008270D7"/>
    <w:rsid w:val="008315F2"/>
    <w:rsid w:val="00833844"/>
    <w:rsid w:val="0083413A"/>
    <w:rsid w:val="00835E99"/>
    <w:rsid w:val="00840194"/>
    <w:rsid w:val="008404DA"/>
    <w:rsid w:val="008454CD"/>
    <w:rsid w:val="008456CB"/>
    <w:rsid w:val="008466DF"/>
    <w:rsid w:val="00847E22"/>
    <w:rsid w:val="00847F3A"/>
    <w:rsid w:val="00850043"/>
    <w:rsid w:val="00851A29"/>
    <w:rsid w:val="00851DC6"/>
    <w:rsid w:val="0085398E"/>
    <w:rsid w:val="00854190"/>
    <w:rsid w:val="00855C1D"/>
    <w:rsid w:val="00856019"/>
    <w:rsid w:val="008566F9"/>
    <w:rsid w:val="00857D12"/>
    <w:rsid w:val="008611A0"/>
    <w:rsid w:val="008620DC"/>
    <w:rsid w:val="00862465"/>
    <w:rsid w:val="00864495"/>
    <w:rsid w:val="00864784"/>
    <w:rsid w:val="00864AC0"/>
    <w:rsid w:val="008659F5"/>
    <w:rsid w:val="008667B0"/>
    <w:rsid w:val="008676B2"/>
    <w:rsid w:val="00870102"/>
    <w:rsid w:val="00870714"/>
    <w:rsid w:val="00870D1C"/>
    <w:rsid w:val="00871DD4"/>
    <w:rsid w:val="008722D9"/>
    <w:rsid w:val="00872847"/>
    <w:rsid w:val="00872976"/>
    <w:rsid w:val="00873666"/>
    <w:rsid w:val="008743BF"/>
    <w:rsid w:val="0087441A"/>
    <w:rsid w:val="00877D52"/>
    <w:rsid w:val="00881CB5"/>
    <w:rsid w:val="00881D23"/>
    <w:rsid w:val="008820E6"/>
    <w:rsid w:val="00882583"/>
    <w:rsid w:val="008825F4"/>
    <w:rsid w:val="0088279B"/>
    <w:rsid w:val="00884E72"/>
    <w:rsid w:val="008857AA"/>
    <w:rsid w:val="0089060C"/>
    <w:rsid w:val="00890D45"/>
    <w:rsid w:val="00891074"/>
    <w:rsid w:val="008910AF"/>
    <w:rsid w:val="00892903"/>
    <w:rsid w:val="00892B10"/>
    <w:rsid w:val="00893782"/>
    <w:rsid w:val="00893FAA"/>
    <w:rsid w:val="00894A65"/>
    <w:rsid w:val="00895ED5"/>
    <w:rsid w:val="00895EF3"/>
    <w:rsid w:val="00897332"/>
    <w:rsid w:val="008A0F96"/>
    <w:rsid w:val="008A1BEE"/>
    <w:rsid w:val="008A21AE"/>
    <w:rsid w:val="008A304A"/>
    <w:rsid w:val="008A389F"/>
    <w:rsid w:val="008A3A35"/>
    <w:rsid w:val="008A531D"/>
    <w:rsid w:val="008A594F"/>
    <w:rsid w:val="008B0EB9"/>
    <w:rsid w:val="008B1328"/>
    <w:rsid w:val="008B3232"/>
    <w:rsid w:val="008B3FEF"/>
    <w:rsid w:val="008B6D55"/>
    <w:rsid w:val="008C3B72"/>
    <w:rsid w:val="008C3E6D"/>
    <w:rsid w:val="008C4379"/>
    <w:rsid w:val="008C5FB5"/>
    <w:rsid w:val="008C67EB"/>
    <w:rsid w:val="008C782F"/>
    <w:rsid w:val="008C7E08"/>
    <w:rsid w:val="008D0F71"/>
    <w:rsid w:val="008D1230"/>
    <w:rsid w:val="008D240C"/>
    <w:rsid w:val="008D2512"/>
    <w:rsid w:val="008D487B"/>
    <w:rsid w:val="008D49F6"/>
    <w:rsid w:val="008D5313"/>
    <w:rsid w:val="008D576F"/>
    <w:rsid w:val="008D6C27"/>
    <w:rsid w:val="008D7CA2"/>
    <w:rsid w:val="008E02B4"/>
    <w:rsid w:val="008E0A13"/>
    <w:rsid w:val="008E1318"/>
    <w:rsid w:val="008E1BD7"/>
    <w:rsid w:val="008E265E"/>
    <w:rsid w:val="008E31EC"/>
    <w:rsid w:val="008E48CE"/>
    <w:rsid w:val="008E56B6"/>
    <w:rsid w:val="008F06AA"/>
    <w:rsid w:val="008F11D5"/>
    <w:rsid w:val="008F472D"/>
    <w:rsid w:val="008F659D"/>
    <w:rsid w:val="008F69D5"/>
    <w:rsid w:val="008F6F41"/>
    <w:rsid w:val="0090211A"/>
    <w:rsid w:val="009025CC"/>
    <w:rsid w:val="00903A4E"/>
    <w:rsid w:val="009047C8"/>
    <w:rsid w:val="00904D42"/>
    <w:rsid w:val="0090528F"/>
    <w:rsid w:val="009065D8"/>
    <w:rsid w:val="00906FDC"/>
    <w:rsid w:val="00907436"/>
    <w:rsid w:val="00907818"/>
    <w:rsid w:val="009100B7"/>
    <w:rsid w:val="00910CBA"/>
    <w:rsid w:val="00912FA3"/>
    <w:rsid w:val="00912FEF"/>
    <w:rsid w:val="009139AF"/>
    <w:rsid w:val="00914F70"/>
    <w:rsid w:val="00914FD1"/>
    <w:rsid w:val="00915B01"/>
    <w:rsid w:val="00915CEC"/>
    <w:rsid w:val="00915DC5"/>
    <w:rsid w:val="0091603D"/>
    <w:rsid w:val="00917BFE"/>
    <w:rsid w:val="009224FC"/>
    <w:rsid w:val="00926110"/>
    <w:rsid w:val="009263C2"/>
    <w:rsid w:val="009308CD"/>
    <w:rsid w:val="00930E42"/>
    <w:rsid w:val="009331BD"/>
    <w:rsid w:val="00934899"/>
    <w:rsid w:val="009358CC"/>
    <w:rsid w:val="00937940"/>
    <w:rsid w:val="009420E7"/>
    <w:rsid w:val="009430BD"/>
    <w:rsid w:val="00943C78"/>
    <w:rsid w:val="00943FFA"/>
    <w:rsid w:val="00944D10"/>
    <w:rsid w:val="00945AF2"/>
    <w:rsid w:val="00945EB2"/>
    <w:rsid w:val="009471C7"/>
    <w:rsid w:val="00947AC8"/>
    <w:rsid w:val="00947BA5"/>
    <w:rsid w:val="00950AD8"/>
    <w:rsid w:val="00951333"/>
    <w:rsid w:val="00951A46"/>
    <w:rsid w:val="0095568B"/>
    <w:rsid w:val="009563E8"/>
    <w:rsid w:val="00957974"/>
    <w:rsid w:val="00957FF9"/>
    <w:rsid w:val="00960232"/>
    <w:rsid w:val="00960259"/>
    <w:rsid w:val="00961386"/>
    <w:rsid w:val="00961843"/>
    <w:rsid w:val="00962A49"/>
    <w:rsid w:val="009638B3"/>
    <w:rsid w:val="00970450"/>
    <w:rsid w:val="00970853"/>
    <w:rsid w:val="0097099D"/>
    <w:rsid w:val="00972535"/>
    <w:rsid w:val="00975546"/>
    <w:rsid w:val="00976AD3"/>
    <w:rsid w:val="00977317"/>
    <w:rsid w:val="009774DC"/>
    <w:rsid w:val="00977832"/>
    <w:rsid w:val="009808F6"/>
    <w:rsid w:val="0098288C"/>
    <w:rsid w:val="00983579"/>
    <w:rsid w:val="0098366D"/>
    <w:rsid w:val="009836A6"/>
    <w:rsid w:val="00983D2F"/>
    <w:rsid w:val="00984334"/>
    <w:rsid w:val="00984751"/>
    <w:rsid w:val="0098573B"/>
    <w:rsid w:val="00990401"/>
    <w:rsid w:val="00996EDA"/>
    <w:rsid w:val="009976E2"/>
    <w:rsid w:val="009977AA"/>
    <w:rsid w:val="009A05A6"/>
    <w:rsid w:val="009A1A97"/>
    <w:rsid w:val="009A1DCA"/>
    <w:rsid w:val="009A24CC"/>
    <w:rsid w:val="009A3086"/>
    <w:rsid w:val="009A4429"/>
    <w:rsid w:val="009A4D08"/>
    <w:rsid w:val="009A5048"/>
    <w:rsid w:val="009A515B"/>
    <w:rsid w:val="009A6092"/>
    <w:rsid w:val="009A6859"/>
    <w:rsid w:val="009A7905"/>
    <w:rsid w:val="009B0181"/>
    <w:rsid w:val="009B0E09"/>
    <w:rsid w:val="009B1CBB"/>
    <w:rsid w:val="009B4613"/>
    <w:rsid w:val="009B4FEE"/>
    <w:rsid w:val="009B6DA6"/>
    <w:rsid w:val="009B6FB7"/>
    <w:rsid w:val="009B7D7F"/>
    <w:rsid w:val="009C181E"/>
    <w:rsid w:val="009C4DB6"/>
    <w:rsid w:val="009C4DDF"/>
    <w:rsid w:val="009C5136"/>
    <w:rsid w:val="009C63C2"/>
    <w:rsid w:val="009C6555"/>
    <w:rsid w:val="009D0908"/>
    <w:rsid w:val="009D150F"/>
    <w:rsid w:val="009D5E6C"/>
    <w:rsid w:val="009D61B8"/>
    <w:rsid w:val="009D6384"/>
    <w:rsid w:val="009D6C75"/>
    <w:rsid w:val="009D73C5"/>
    <w:rsid w:val="009E1728"/>
    <w:rsid w:val="009E2261"/>
    <w:rsid w:val="009E2662"/>
    <w:rsid w:val="009E33F6"/>
    <w:rsid w:val="009E36B5"/>
    <w:rsid w:val="009E3AA1"/>
    <w:rsid w:val="009E7A41"/>
    <w:rsid w:val="009F012D"/>
    <w:rsid w:val="009F0CA8"/>
    <w:rsid w:val="009F1744"/>
    <w:rsid w:val="009F1949"/>
    <w:rsid w:val="009F1A8B"/>
    <w:rsid w:val="009F4198"/>
    <w:rsid w:val="009F569C"/>
    <w:rsid w:val="009F5B5C"/>
    <w:rsid w:val="009F5C2E"/>
    <w:rsid w:val="009F7CC2"/>
    <w:rsid w:val="00A00BF5"/>
    <w:rsid w:val="00A01EB4"/>
    <w:rsid w:val="00A020B8"/>
    <w:rsid w:val="00A02527"/>
    <w:rsid w:val="00A02AC0"/>
    <w:rsid w:val="00A0532F"/>
    <w:rsid w:val="00A06127"/>
    <w:rsid w:val="00A071F3"/>
    <w:rsid w:val="00A07E80"/>
    <w:rsid w:val="00A1037F"/>
    <w:rsid w:val="00A10A9C"/>
    <w:rsid w:val="00A114A1"/>
    <w:rsid w:val="00A12522"/>
    <w:rsid w:val="00A144A3"/>
    <w:rsid w:val="00A144D8"/>
    <w:rsid w:val="00A14650"/>
    <w:rsid w:val="00A14763"/>
    <w:rsid w:val="00A16762"/>
    <w:rsid w:val="00A1688A"/>
    <w:rsid w:val="00A1698B"/>
    <w:rsid w:val="00A177F0"/>
    <w:rsid w:val="00A22DEF"/>
    <w:rsid w:val="00A22F5D"/>
    <w:rsid w:val="00A2430B"/>
    <w:rsid w:val="00A257D9"/>
    <w:rsid w:val="00A25F05"/>
    <w:rsid w:val="00A26182"/>
    <w:rsid w:val="00A26EDB"/>
    <w:rsid w:val="00A2750F"/>
    <w:rsid w:val="00A278C7"/>
    <w:rsid w:val="00A357AF"/>
    <w:rsid w:val="00A414E1"/>
    <w:rsid w:val="00A41BA7"/>
    <w:rsid w:val="00A42EAA"/>
    <w:rsid w:val="00A43387"/>
    <w:rsid w:val="00A4779D"/>
    <w:rsid w:val="00A47C99"/>
    <w:rsid w:val="00A50114"/>
    <w:rsid w:val="00A51840"/>
    <w:rsid w:val="00A52038"/>
    <w:rsid w:val="00A520B1"/>
    <w:rsid w:val="00A55739"/>
    <w:rsid w:val="00A5767C"/>
    <w:rsid w:val="00A60208"/>
    <w:rsid w:val="00A60B81"/>
    <w:rsid w:val="00A6286E"/>
    <w:rsid w:val="00A6400E"/>
    <w:rsid w:val="00A64535"/>
    <w:rsid w:val="00A666C1"/>
    <w:rsid w:val="00A7019E"/>
    <w:rsid w:val="00A70AFB"/>
    <w:rsid w:val="00A7149F"/>
    <w:rsid w:val="00A71A8B"/>
    <w:rsid w:val="00A71F9A"/>
    <w:rsid w:val="00A72EC7"/>
    <w:rsid w:val="00A73218"/>
    <w:rsid w:val="00A732A1"/>
    <w:rsid w:val="00A757DD"/>
    <w:rsid w:val="00A76466"/>
    <w:rsid w:val="00A80ECC"/>
    <w:rsid w:val="00A81442"/>
    <w:rsid w:val="00A83A83"/>
    <w:rsid w:val="00A84275"/>
    <w:rsid w:val="00A84C99"/>
    <w:rsid w:val="00A85C43"/>
    <w:rsid w:val="00A85E41"/>
    <w:rsid w:val="00A8617F"/>
    <w:rsid w:val="00A86819"/>
    <w:rsid w:val="00A870FD"/>
    <w:rsid w:val="00A8750A"/>
    <w:rsid w:val="00A87E96"/>
    <w:rsid w:val="00A90878"/>
    <w:rsid w:val="00A908BE"/>
    <w:rsid w:val="00A9273C"/>
    <w:rsid w:val="00A928C2"/>
    <w:rsid w:val="00A929EE"/>
    <w:rsid w:val="00A941CA"/>
    <w:rsid w:val="00A95C21"/>
    <w:rsid w:val="00A97B14"/>
    <w:rsid w:val="00AA0A43"/>
    <w:rsid w:val="00AA0A59"/>
    <w:rsid w:val="00AA1435"/>
    <w:rsid w:val="00AA16B8"/>
    <w:rsid w:val="00AA24D9"/>
    <w:rsid w:val="00AA2604"/>
    <w:rsid w:val="00AA2D4E"/>
    <w:rsid w:val="00AA3035"/>
    <w:rsid w:val="00AA6103"/>
    <w:rsid w:val="00AA6453"/>
    <w:rsid w:val="00AA66C1"/>
    <w:rsid w:val="00AA6BA4"/>
    <w:rsid w:val="00AB018D"/>
    <w:rsid w:val="00AB0580"/>
    <w:rsid w:val="00AB12AC"/>
    <w:rsid w:val="00AB1947"/>
    <w:rsid w:val="00AB24BA"/>
    <w:rsid w:val="00AB342B"/>
    <w:rsid w:val="00AB352D"/>
    <w:rsid w:val="00AB36AC"/>
    <w:rsid w:val="00AB39A4"/>
    <w:rsid w:val="00AB4419"/>
    <w:rsid w:val="00AB79C8"/>
    <w:rsid w:val="00AC08E3"/>
    <w:rsid w:val="00AC0E0C"/>
    <w:rsid w:val="00AC1037"/>
    <w:rsid w:val="00AC12D8"/>
    <w:rsid w:val="00AC35AF"/>
    <w:rsid w:val="00AC3C60"/>
    <w:rsid w:val="00AC4B7C"/>
    <w:rsid w:val="00AC57E5"/>
    <w:rsid w:val="00AC5A00"/>
    <w:rsid w:val="00AC75B5"/>
    <w:rsid w:val="00AD068B"/>
    <w:rsid w:val="00AD0B10"/>
    <w:rsid w:val="00AD1BCC"/>
    <w:rsid w:val="00AD2C6F"/>
    <w:rsid w:val="00AD4CC5"/>
    <w:rsid w:val="00AD5AF2"/>
    <w:rsid w:val="00AD6D13"/>
    <w:rsid w:val="00AE125F"/>
    <w:rsid w:val="00AE1994"/>
    <w:rsid w:val="00AE3164"/>
    <w:rsid w:val="00AE69C7"/>
    <w:rsid w:val="00AE7A72"/>
    <w:rsid w:val="00AF11ED"/>
    <w:rsid w:val="00AF218D"/>
    <w:rsid w:val="00AF36FE"/>
    <w:rsid w:val="00AF38C7"/>
    <w:rsid w:val="00AF3F59"/>
    <w:rsid w:val="00AF4DF3"/>
    <w:rsid w:val="00AF5DC8"/>
    <w:rsid w:val="00B0052C"/>
    <w:rsid w:val="00B03E8F"/>
    <w:rsid w:val="00B04775"/>
    <w:rsid w:val="00B05188"/>
    <w:rsid w:val="00B05DAB"/>
    <w:rsid w:val="00B067AB"/>
    <w:rsid w:val="00B06E15"/>
    <w:rsid w:val="00B07CAE"/>
    <w:rsid w:val="00B10A25"/>
    <w:rsid w:val="00B10C17"/>
    <w:rsid w:val="00B10FE5"/>
    <w:rsid w:val="00B11E30"/>
    <w:rsid w:val="00B1247A"/>
    <w:rsid w:val="00B13428"/>
    <w:rsid w:val="00B13809"/>
    <w:rsid w:val="00B16925"/>
    <w:rsid w:val="00B16F18"/>
    <w:rsid w:val="00B20BCD"/>
    <w:rsid w:val="00B22E78"/>
    <w:rsid w:val="00B22F63"/>
    <w:rsid w:val="00B235CA"/>
    <w:rsid w:val="00B2588D"/>
    <w:rsid w:val="00B25E96"/>
    <w:rsid w:val="00B2642D"/>
    <w:rsid w:val="00B2642F"/>
    <w:rsid w:val="00B2720B"/>
    <w:rsid w:val="00B27646"/>
    <w:rsid w:val="00B3003D"/>
    <w:rsid w:val="00B30573"/>
    <w:rsid w:val="00B3068D"/>
    <w:rsid w:val="00B32114"/>
    <w:rsid w:val="00B3228D"/>
    <w:rsid w:val="00B33525"/>
    <w:rsid w:val="00B337FB"/>
    <w:rsid w:val="00B34EF4"/>
    <w:rsid w:val="00B36071"/>
    <w:rsid w:val="00B37804"/>
    <w:rsid w:val="00B403E8"/>
    <w:rsid w:val="00B4285D"/>
    <w:rsid w:val="00B42B24"/>
    <w:rsid w:val="00B4316B"/>
    <w:rsid w:val="00B437B7"/>
    <w:rsid w:val="00B44088"/>
    <w:rsid w:val="00B445A6"/>
    <w:rsid w:val="00B447B3"/>
    <w:rsid w:val="00B45293"/>
    <w:rsid w:val="00B461D8"/>
    <w:rsid w:val="00B4671E"/>
    <w:rsid w:val="00B4716E"/>
    <w:rsid w:val="00B506AC"/>
    <w:rsid w:val="00B5087D"/>
    <w:rsid w:val="00B518BF"/>
    <w:rsid w:val="00B52170"/>
    <w:rsid w:val="00B521E9"/>
    <w:rsid w:val="00B56AE5"/>
    <w:rsid w:val="00B57E29"/>
    <w:rsid w:val="00B639BE"/>
    <w:rsid w:val="00B64423"/>
    <w:rsid w:val="00B64486"/>
    <w:rsid w:val="00B65809"/>
    <w:rsid w:val="00B717E7"/>
    <w:rsid w:val="00B729D5"/>
    <w:rsid w:val="00B7479B"/>
    <w:rsid w:val="00B74A72"/>
    <w:rsid w:val="00B76371"/>
    <w:rsid w:val="00B8098A"/>
    <w:rsid w:val="00B80CC0"/>
    <w:rsid w:val="00B82C4A"/>
    <w:rsid w:val="00B83E9D"/>
    <w:rsid w:val="00B8455A"/>
    <w:rsid w:val="00B84907"/>
    <w:rsid w:val="00B85767"/>
    <w:rsid w:val="00B858E0"/>
    <w:rsid w:val="00B87B58"/>
    <w:rsid w:val="00B87C49"/>
    <w:rsid w:val="00B90FB3"/>
    <w:rsid w:val="00B91466"/>
    <w:rsid w:val="00B93346"/>
    <w:rsid w:val="00B941DB"/>
    <w:rsid w:val="00B95673"/>
    <w:rsid w:val="00B960DB"/>
    <w:rsid w:val="00B96CE1"/>
    <w:rsid w:val="00B9723F"/>
    <w:rsid w:val="00B97579"/>
    <w:rsid w:val="00B97D6A"/>
    <w:rsid w:val="00BA172A"/>
    <w:rsid w:val="00BA38A9"/>
    <w:rsid w:val="00BA417F"/>
    <w:rsid w:val="00BA49C9"/>
    <w:rsid w:val="00BA4F26"/>
    <w:rsid w:val="00BA56C8"/>
    <w:rsid w:val="00BA56E2"/>
    <w:rsid w:val="00BA5EDD"/>
    <w:rsid w:val="00BB0033"/>
    <w:rsid w:val="00BB1FC3"/>
    <w:rsid w:val="00BB2FFB"/>
    <w:rsid w:val="00BB3F99"/>
    <w:rsid w:val="00BB5FA5"/>
    <w:rsid w:val="00BB751C"/>
    <w:rsid w:val="00BC0374"/>
    <w:rsid w:val="00BC15D2"/>
    <w:rsid w:val="00BC3556"/>
    <w:rsid w:val="00BC3E1C"/>
    <w:rsid w:val="00BC61FC"/>
    <w:rsid w:val="00BC646D"/>
    <w:rsid w:val="00BD1211"/>
    <w:rsid w:val="00BD42F8"/>
    <w:rsid w:val="00BD4DA9"/>
    <w:rsid w:val="00BD51B7"/>
    <w:rsid w:val="00BD55D6"/>
    <w:rsid w:val="00BD5F64"/>
    <w:rsid w:val="00BD64FB"/>
    <w:rsid w:val="00BD6A3F"/>
    <w:rsid w:val="00BD7B5A"/>
    <w:rsid w:val="00BD7BF3"/>
    <w:rsid w:val="00BE1009"/>
    <w:rsid w:val="00BE4AFD"/>
    <w:rsid w:val="00BF0D5A"/>
    <w:rsid w:val="00BF1E98"/>
    <w:rsid w:val="00BF48A4"/>
    <w:rsid w:val="00BF58BD"/>
    <w:rsid w:val="00BF590E"/>
    <w:rsid w:val="00BF5C5A"/>
    <w:rsid w:val="00BF73F4"/>
    <w:rsid w:val="00C019C0"/>
    <w:rsid w:val="00C01A39"/>
    <w:rsid w:val="00C01CB1"/>
    <w:rsid w:val="00C01FF9"/>
    <w:rsid w:val="00C04531"/>
    <w:rsid w:val="00C05636"/>
    <w:rsid w:val="00C05857"/>
    <w:rsid w:val="00C0609E"/>
    <w:rsid w:val="00C10771"/>
    <w:rsid w:val="00C1402D"/>
    <w:rsid w:val="00C154B0"/>
    <w:rsid w:val="00C15C17"/>
    <w:rsid w:val="00C168B8"/>
    <w:rsid w:val="00C16997"/>
    <w:rsid w:val="00C17244"/>
    <w:rsid w:val="00C212A4"/>
    <w:rsid w:val="00C224C2"/>
    <w:rsid w:val="00C23A88"/>
    <w:rsid w:val="00C253FE"/>
    <w:rsid w:val="00C25EA6"/>
    <w:rsid w:val="00C26803"/>
    <w:rsid w:val="00C311F5"/>
    <w:rsid w:val="00C31BC2"/>
    <w:rsid w:val="00C31CD3"/>
    <w:rsid w:val="00C320FB"/>
    <w:rsid w:val="00C322BF"/>
    <w:rsid w:val="00C33B31"/>
    <w:rsid w:val="00C35854"/>
    <w:rsid w:val="00C35F67"/>
    <w:rsid w:val="00C407F3"/>
    <w:rsid w:val="00C408DB"/>
    <w:rsid w:val="00C4207F"/>
    <w:rsid w:val="00C46358"/>
    <w:rsid w:val="00C4653C"/>
    <w:rsid w:val="00C50104"/>
    <w:rsid w:val="00C50233"/>
    <w:rsid w:val="00C50E1A"/>
    <w:rsid w:val="00C53046"/>
    <w:rsid w:val="00C53C29"/>
    <w:rsid w:val="00C552C2"/>
    <w:rsid w:val="00C60A8B"/>
    <w:rsid w:val="00C617BE"/>
    <w:rsid w:val="00C62B5E"/>
    <w:rsid w:val="00C62C4C"/>
    <w:rsid w:val="00C64001"/>
    <w:rsid w:val="00C64546"/>
    <w:rsid w:val="00C65737"/>
    <w:rsid w:val="00C659ED"/>
    <w:rsid w:val="00C65E53"/>
    <w:rsid w:val="00C66678"/>
    <w:rsid w:val="00C66EF2"/>
    <w:rsid w:val="00C6774E"/>
    <w:rsid w:val="00C70439"/>
    <w:rsid w:val="00C71B8F"/>
    <w:rsid w:val="00C720E9"/>
    <w:rsid w:val="00C7355E"/>
    <w:rsid w:val="00C73708"/>
    <w:rsid w:val="00C7383D"/>
    <w:rsid w:val="00C73C02"/>
    <w:rsid w:val="00C74048"/>
    <w:rsid w:val="00C745AE"/>
    <w:rsid w:val="00C74E3F"/>
    <w:rsid w:val="00C77572"/>
    <w:rsid w:val="00C77948"/>
    <w:rsid w:val="00C83793"/>
    <w:rsid w:val="00C84C93"/>
    <w:rsid w:val="00C8570C"/>
    <w:rsid w:val="00C867C8"/>
    <w:rsid w:val="00C900FE"/>
    <w:rsid w:val="00C90A46"/>
    <w:rsid w:val="00C92683"/>
    <w:rsid w:val="00C92B88"/>
    <w:rsid w:val="00C93158"/>
    <w:rsid w:val="00C93EFF"/>
    <w:rsid w:val="00C94438"/>
    <w:rsid w:val="00C94867"/>
    <w:rsid w:val="00C94C33"/>
    <w:rsid w:val="00C94DCE"/>
    <w:rsid w:val="00C94E04"/>
    <w:rsid w:val="00C9579A"/>
    <w:rsid w:val="00C9744E"/>
    <w:rsid w:val="00C975C9"/>
    <w:rsid w:val="00C97815"/>
    <w:rsid w:val="00CA0CF8"/>
    <w:rsid w:val="00CA1CBA"/>
    <w:rsid w:val="00CA3DD4"/>
    <w:rsid w:val="00CA69A8"/>
    <w:rsid w:val="00CA6B72"/>
    <w:rsid w:val="00CA7415"/>
    <w:rsid w:val="00CA74FD"/>
    <w:rsid w:val="00CA7866"/>
    <w:rsid w:val="00CB0619"/>
    <w:rsid w:val="00CB0FD3"/>
    <w:rsid w:val="00CB1B94"/>
    <w:rsid w:val="00CB1D5F"/>
    <w:rsid w:val="00CB1D9D"/>
    <w:rsid w:val="00CB2CC6"/>
    <w:rsid w:val="00CB3A76"/>
    <w:rsid w:val="00CB5392"/>
    <w:rsid w:val="00CB5C47"/>
    <w:rsid w:val="00CB608D"/>
    <w:rsid w:val="00CB6D21"/>
    <w:rsid w:val="00CB6D60"/>
    <w:rsid w:val="00CB6EC2"/>
    <w:rsid w:val="00CB79A1"/>
    <w:rsid w:val="00CC0318"/>
    <w:rsid w:val="00CC0530"/>
    <w:rsid w:val="00CC05B2"/>
    <w:rsid w:val="00CC060E"/>
    <w:rsid w:val="00CC2549"/>
    <w:rsid w:val="00CC2DDE"/>
    <w:rsid w:val="00CC3338"/>
    <w:rsid w:val="00CC3C89"/>
    <w:rsid w:val="00CC648C"/>
    <w:rsid w:val="00CC7510"/>
    <w:rsid w:val="00CC7D61"/>
    <w:rsid w:val="00CD149B"/>
    <w:rsid w:val="00CD214E"/>
    <w:rsid w:val="00CD5288"/>
    <w:rsid w:val="00CD67B5"/>
    <w:rsid w:val="00CD7450"/>
    <w:rsid w:val="00CE0212"/>
    <w:rsid w:val="00CE1014"/>
    <w:rsid w:val="00CE165F"/>
    <w:rsid w:val="00CE21CF"/>
    <w:rsid w:val="00CE2F5F"/>
    <w:rsid w:val="00CE5236"/>
    <w:rsid w:val="00CE5BFC"/>
    <w:rsid w:val="00CE5DCA"/>
    <w:rsid w:val="00CE6DF9"/>
    <w:rsid w:val="00CF04CA"/>
    <w:rsid w:val="00CF0E31"/>
    <w:rsid w:val="00CF1CB7"/>
    <w:rsid w:val="00CF2169"/>
    <w:rsid w:val="00CF38A4"/>
    <w:rsid w:val="00CF3E48"/>
    <w:rsid w:val="00CF3F39"/>
    <w:rsid w:val="00CF5488"/>
    <w:rsid w:val="00CF6D15"/>
    <w:rsid w:val="00CF7040"/>
    <w:rsid w:val="00CF750C"/>
    <w:rsid w:val="00D0203A"/>
    <w:rsid w:val="00D021DB"/>
    <w:rsid w:val="00D03D9E"/>
    <w:rsid w:val="00D03EA1"/>
    <w:rsid w:val="00D04098"/>
    <w:rsid w:val="00D04BC7"/>
    <w:rsid w:val="00D071A8"/>
    <w:rsid w:val="00D10717"/>
    <w:rsid w:val="00D108D2"/>
    <w:rsid w:val="00D10FC9"/>
    <w:rsid w:val="00D12935"/>
    <w:rsid w:val="00D13645"/>
    <w:rsid w:val="00D14C65"/>
    <w:rsid w:val="00D15085"/>
    <w:rsid w:val="00D15281"/>
    <w:rsid w:val="00D157A4"/>
    <w:rsid w:val="00D168FB"/>
    <w:rsid w:val="00D16D29"/>
    <w:rsid w:val="00D1792F"/>
    <w:rsid w:val="00D17D09"/>
    <w:rsid w:val="00D20916"/>
    <w:rsid w:val="00D20E42"/>
    <w:rsid w:val="00D2261D"/>
    <w:rsid w:val="00D236FC"/>
    <w:rsid w:val="00D242FD"/>
    <w:rsid w:val="00D24ACA"/>
    <w:rsid w:val="00D25D5E"/>
    <w:rsid w:val="00D27F2C"/>
    <w:rsid w:val="00D30A6F"/>
    <w:rsid w:val="00D31368"/>
    <w:rsid w:val="00D32547"/>
    <w:rsid w:val="00D33278"/>
    <w:rsid w:val="00D347D2"/>
    <w:rsid w:val="00D358D2"/>
    <w:rsid w:val="00D36FE1"/>
    <w:rsid w:val="00D40CC6"/>
    <w:rsid w:val="00D42B95"/>
    <w:rsid w:val="00D43613"/>
    <w:rsid w:val="00D45BA3"/>
    <w:rsid w:val="00D462C7"/>
    <w:rsid w:val="00D47140"/>
    <w:rsid w:val="00D4786E"/>
    <w:rsid w:val="00D47FD0"/>
    <w:rsid w:val="00D50C16"/>
    <w:rsid w:val="00D517DA"/>
    <w:rsid w:val="00D520B2"/>
    <w:rsid w:val="00D53F73"/>
    <w:rsid w:val="00D546E7"/>
    <w:rsid w:val="00D5614B"/>
    <w:rsid w:val="00D568EE"/>
    <w:rsid w:val="00D56D0F"/>
    <w:rsid w:val="00D57204"/>
    <w:rsid w:val="00D57A51"/>
    <w:rsid w:val="00D61603"/>
    <w:rsid w:val="00D6204C"/>
    <w:rsid w:val="00D62AF6"/>
    <w:rsid w:val="00D6328E"/>
    <w:rsid w:val="00D648BF"/>
    <w:rsid w:val="00D65B0A"/>
    <w:rsid w:val="00D676D5"/>
    <w:rsid w:val="00D67A35"/>
    <w:rsid w:val="00D7105D"/>
    <w:rsid w:val="00D72373"/>
    <w:rsid w:val="00D72C77"/>
    <w:rsid w:val="00D73A84"/>
    <w:rsid w:val="00D73B30"/>
    <w:rsid w:val="00D7485D"/>
    <w:rsid w:val="00D7566D"/>
    <w:rsid w:val="00D768EB"/>
    <w:rsid w:val="00D7765B"/>
    <w:rsid w:val="00D77C73"/>
    <w:rsid w:val="00D8042C"/>
    <w:rsid w:val="00D80DD5"/>
    <w:rsid w:val="00D81A21"/>
    <w:rsid w:val="00D823C6"/>
    <w:rsid w:val="00D83FCD"/>
    <w:rsid w:val="00D85ED3"/>
    <w:rsid w:val="00D87B97"/>
    <w:rsid w:val="00D90D8D"/>
    <w:rsid w:val="00D9177C"/>
    <w:rsid w:val="00D91982"/>
    <w:rsid w:val="00D92AD0"/>
    <w:rsid w:val="00D9338E"/>
    <w:rsid w:val="00D93419"/>
    <w:rsid w:val="00D93C28"/>
    <w:rsid w:val="00D95BCC"/>
    <w:rsid w:val="00D967BD"/>
    <w:rsid w:val="00D97A26"/>
    <w:rsid w:val="00D97E49"/>
    <w:rsid w:val="00DA1EE9"/>
    <w:rsid w:val="00DA293A"/>
    <w:rsid w:val="00DA2C5D"/>
    <w:rsid w:val="00DA347B"/>
    <w:rsid w:val="00DA4328"/>
    <w:rsid w:val="00DA4796"/>
    <w:rsid w:val="00DA61AD"/>
    <w:rsid w:val="00DA7DB9"/>
    <w:rsid w:val="00DB3C8F"/>
    <w:rsid w:val="00DB46CC"/>
    <w:rsid w:val="00DB4B28"/>
    <w:rsid w:val="00DB4EAB"/>
    <w:rsid w:val="00DB5292"/>
    <w:rsid w:val="00DB5DA9"/>
    <w:rsid w:val="00DB7417"/>
    <w:rsid w:val="00DC0C11"/>
    <w:rsid w:val="00DC328A"/>
    <w:rsid w:val="00DC4924"/>
    <w:rsid w:val="00DC556E"/>
    <w:rsid w:val="00DC6426"/>
    <w:rsid w:val="00DC674C"/>
    <w:rsid w:val="00DC7164"/>
    <w:rsid w:val="00DD0F97"/>
    <w:rsid w:val="00DD2360"/>
    <w:rsid w:val="00DD24D1"/>
    <w:rsid w:val="00DD45CD"/>
    <w:rsid w:val="00DD4A8E"/>
    <w:rsid w:val="00DD5178"/>
    <w:rsid w:val="00DD759F"/>
    <w:rsid w:val="00DE07EE"/>
    <w:rsid w:val="00DE0976"/>
    <w:rsid w:val="00DE3055"/>
    <w:rsid w:val="00DE3268"/>
    <w:rsid w:val="00DE5733"/>
    <w:rsid w:val="00DE70AE"/>
    <w:rsid w:val="00DF00E0"/>
    <w:rsid w:val="00DF0C5E"/>
    <w:rsid w:val="00DF153D"/>
    <w:rsid w:val="00DF1C2C"/>
    <w:rsid w:val="00DF20C8"/>
    <w:rsid w:val="00DF2C13"/>
    <w:rsid w:val="00DF2CEF"/>
    <w:rsid w:val="00DF4577"/>
    <w:rsid w:val="00DF7A07"/>
    <w:rsid w:val="00E00755"/>
    <w:rsid w:val="00E00EC4"/>
    <w:rsid w:val="00E03E1A"/>
    <w:rsid w:val="00E0427D"/>
    <w:rsid w:val="00E04FC0"/>
    <w:rsid w:val="00E07861"/>
    <w:rsid w:val="00E10053"/>
    <w:rsid w:val="00E10472"/>
    <w:rsid w:val="00E11110"/>
    <w:rsid w:val="00E111EF"/>
    <w:rsid w:val="00E12866"/>
    <w:rsid w:val="00E14498"/>
    <w:rsid w:val="00E15014"/>
    <w:rsid w:val="00E15AEB"/>
    <w:rsid w:val="00E1785E"/>
    <w:rsid w:val="00E22F3F"/>
    <w:rsid w:val="00E23BAB"/>
    <w:rsid w:val="00E23E0B"/>
    <w:rsid w:val="00E23F00"/>
    <w:rsid w:val="00E27281"/>
    <w:rsid w:val="00E27B5F"/>
    <w:rsid w:val="00E27F6D"/>
    <w:rsid w:val="00E30032"/>
    <w:rsid w:val="00E3112C"/>
    <w:rsid w:val="00E3213E"/>
    <w:rsid w:val="00E3317B"/>
    <w:rsid w:val="00E3386F"/>
    <w:rsid w:val="00E3424D"/>
    <w:rsid w:val="00E37C53"/>
    <w:rsid w:val="00E40B49"/>
    <w:rsid w:val="00E44BCD"/>
    <w:rsid w:val="00E454BA"/>
    <w:rsid w:val="00E463A1"/>
    <w:rsid w:val="00E5038F"/>
    <w:rsid w:val="00E50F70"/>
    <w:rsid w:val="00E516A6"/>
    <w:rsid w:val="00E52382"/>
    <w:rsid w:val="00E52BFC"/>
    <w:rsid w:val="00E52EE1"/>
    <w:rsid w:val="00E62677"/>
    <w:rsid w:val="00E63F7F"/>
    <w:rsid w:val="00E63FE0"/>
    <w:rsid w:val="00E643FA"/>
    <w:rsid w:val="00E708D5"/>
    <w:rsid w:val="00E729C3"/>
    <w:rsid w:val="00E732C9"/>
    <w:rsid w:val="00E74C2F"/>
    <w:rsid w:val="00E7535A"/>
    <w:rsid w:val="00E76C3A"/>
    <w:rsid w:val="00E77101"/>
    <w:rsid w:val="00E77BCA"/>
    <w:rsid w:val="00E77EE7"/>
    <w:rsid w:val="00E81839"/>
    <w:rsid w:val="00E81FB1"/>
    <w:rsid w:val="00E820A2"/>
    <w:rsid w:val="00E8230A"/>
    <w:rsid w:val="00E82950"/>
    <w:rsid w:val="00E82C0C"/>
    <w:rsid w:val="00E836B3"/>
    <w:rsid w:val="00E8453F"/>
    <w:rsid w:val="00E8486F"/>
    <w:rsid w:val="00E858A7"/>
    <w:rsid w:val="00E868F3"/>
    <w:rsid w:val="00E8716B"/>
    <w:rsid w:val="00E8787F"/>
    <w:rsid w:val="00E900AF"/>
    <w:rsid w:val="00E9176D"/>
    <w:rsid w:val="00E91C6C"/>
    <w:rsid w:val="00E92D8C"/>
    <w:rsid w:val="00E95359"/>
    <w:rsid w:val="00E966FD"/>
    <w:rsid w:val="00E96BF7"/>
    <w:rsid w:val="00EA05BA"/>
    <w:rsid w:val="00EA0715"/>
    <w:rsid w:val="00EA0A1C"/>
    <w:rsid w:val="00EA2DCF"/>
    <w:rsid w:val="00EA3EEC"/>
    <w:rsid w:val="00EA57B1"/>
    <w:rsid w:val="00EA5E6A"/>
    <w:rsid w:val="00EA6FE9"/>
    <w:rsid w:val="00EB0399"/>
    <w:rsid w:val="00EB1AD7"/>
    <w:rsid w:val="00EB2C64"/>
    <w:rsid w:val="00EB2EED"/>
    <w:rsid w:val="00EB2F2C"/>
    <w:rsid w:val="00EB36AD"/>
    <w:rsid w:val="00EB3C69"/>
    <w:rsid w:val="00EB3D5F"/>
    <w:rsid w:val="00EB3E5F"/>
    <w:rsid w:val="00EB531D"/>
    <w:rsid w:val="00EB5CBD"/>
    <w:rsid w:val="00EB62D7"/>
    <w:rsid w:val="00EB6C50"/>
    <w:rsid w:val="00EB6F2B"/>
    <w:rsid w:val="00EB708F"/>
    <w:rsid w:val="00EC126D"/>
    <w:rsid w:val="00EC3AAD"/>
    <w:rsid w:val="00EC4A5C"/>
    <w:rsid w:val="00EC5F71"/>
    <w:rsid w:val="00EC720E"/>
    <w:rsid w:val="00ED1237"/>
    <w:rsid w:val="00ED1277"/>
    <w:rsid w:val="00ED2F8C"/>
    <w:rsid w:val="00ED452D"/>
    <w:rsid w:val="00ED488C"/>
    <w:rsid w:val="00ED4B86"/>
    <w:rsid w:val="00ED525B"/>
    <w:rsid w:val="00EE0272"/>
    <w:rsid w:val="00EE3BCE"/>
    <w:rsid w:val="00EE53AB"/>
    <w:rsid w:val="00EE5AD9"/>
    <w:rsid w:val="00EE6358"/>
    <w:rsid w:val="00EE6EA2"/>
    <w:rsid w:val="00EE7B05"/>
    <w:rsid w:val="00EE7D8D"/>
    <w:rsid w:val="00EF0D43"/>
    <w:rsid w:val="00EF1FB7"/>
    <w:rsid w:val="00F00B3C"/>
    <w:rsid w:val="00F01005"/>
    <w:rsid w:val="00F0109D"/>
    <w:rsid w:val="00F01F07"/>
    <w:rsid w:val="00F01F41"/>
    <w:rsid w:val="00F039E2"/>
    <w:rsid w:val="00F0442B"/>
    <w:rsid w:val="00F052DC"/>
    <w:rsid w:val="00F05700"/>
    <w:rsid w:val="00F10CEF"/>
    <w:rsid w:val="00F110B1"/>
    <w:rsid w:val="00F11D98"/>
    <w:rsid w:val="00F120F4"/>
    <w:rsid w:val="00F123D1"/>
    <w:rsid w:val="00F1406D"/>
    <w:rsid w:val="00F14133"/>
    <w:rsid w:val="00F20CC6"/>
    <w:rsid w:val="00F20F0C"/>
    <w:rsid w:val="00F21173"/>
    <w:rsid w:val="00F21E02"/>
    <w:rsid w:val="00F21EDB"/>
    <w:rsid w:val="00F21FAB"/>
    <w:rsid w:val="00F23321"/>
    <w:rsid w:val="00F24239"/>
    <w:rsid w:val="00F24AFC"/>
    <w:rsid w:val="00F24D61"/>
    <w:rsid w:val="00F32F3A"/>
    <w:rsid w:val="00F331B0"/>
    <w:rsid w:val="00F345FE"/>
    <w:rsid w:val="00F34E21"/>
    <w:rsid w:val="00F35ABF"/>
    <w:rsid w:val="00F37DC9"/>
    <w:rsid w:val="00F40053"/>
    <w:rsid w:val="00F438E3"/>
    <w:rsid w:val="00F43D1E"/>
    <w:rsid w:val="00F464BF"/>
    <w:rsid w:val="00F46BA9"/>
    <w:rsid w:val="00F471FA"/>
    <w:rsid w:val="00F52243"/>
    <w:rsid w:val="00F52FD1"/>
    <w:rsid w:val="00F531A0"/>
    <w:rsid w:val="00F54329"/>
    <w:rsid w:val="00F545AC"/>
    <w:rsid w:val="00F54FF2"/>
    <w:rsid w:val="00F55212"/>
    <w:rsid w:val="00F55301"/>
    <w:rsid w:val="00F554B9"/>
    <w:rsid w:val="00F56999"/>
    <w:rsid w:val="00F573F1"/>
    <w:rsid w:val="00F602AA"/>
    <w:rsid w:val="00F60422"/>
    <w:rsid w:val="00F60644"/>
    <w:rsid w:val="00F60F91"/>
    <w:rsid w:val="00F615BD"/>
    <w:rsid w:val="00F65020"/>
    <w:rsid w:val="00F664D1"/>
    <w:rsid w:val="00F6767A"/>
    <w:rsid w:val="00F67E6A"/>
    <w:rsid w:val="00F71485"/>
    <w:rsid w:val="00F714C4"/>
    <w:rsid w:val="00F71F1F"/>
    <w:rsid w:val="00F72FB2"/>
    <w:rsid w:val="00F73328"/>
    <w:rsid w:val="00F73F74"/>
    <w:rsid w:val="00F7521F"/>
    <w:rsid w:val="00F75A88"/>
    <w:rsid w:val="00F7728A"/>
    <w:rsid w:val="00F80A00"/>
    <w:rsid w:val="00F811EE"/>
    <w:rsid w:val="00F848CC"/>
    <w:rsid w:val="00F854D8"/>
    <w:rsid w:val="00F860E1"/>
    <w:rsid w:val="00F860F7"/>
    <w:rsid w:val="00F8682A"/>
    <w:rsid w:val="00F8777E"/>
    <w:rsid w:val="00F91676"/>
    <w:rsid w:val="00F91687"/>
    <w:rsid w:val="00F9181B"/>
    <w:rsid w:val="00F93181"/>
    <w:rsid w:val="00F934FC"/>
    <w:rsid w:val="00F9553E"/>
    <w:rsid w:val="00F961C9"/>
    <w:rsid w:val="00F97C75"/>
    <w:rsid w:val="00FA03BC"/>
    <w:rsid w:val="00FA2AD8"/>
    <w:rsid w:val="00FA2D2A"/>
    <w:rsid w:val="00FA2E41"/>
    <w:rsid w:val="00FA325B"/>
    <w:rsid w:val="00FA3413"/>
    <w:rsid w:val="00FA5F5A"/>
    <w:rsid w:val="00FA65D3"/>
    <w:rsid w:val="00FA68D2"/>
    <w:rsid w:val="00FA7186"/>
    <w:rsid w:val="00FA7D6B"/>
    <w:rsid w:val="00FB115F"/>
    <w:rsid w:val="00FB19F5"/>
    <w:rsid w:val="00FB355A"/>
    <w:rsid w:val="00FB4A1C"/>
    <w:rsid w:val="00FB504D"/>
    <w:rsid w:val="00FB51DC"/>
    <w:rsid w:val="00FB5BF0"/>
    <w:rsid w:val="00FB5CD9"/>
    <w:rsid w:val="00FB66CC"/>
    <w:rsid w:val="00FB6924"/>
    <w:rsid w:val="00FB795F"/>
    <w:rsid w:val="00FB7C60"/>
    <w:rsid w:val="00FC1601"/>
    <w:rsid w:val="00FC1884"/>
    <w:rsid w:val="00FC2A77"/>
    <w:rsid w:val="00FC2DE4"/>
    <w:rsid w:val="00FC3DEC"/>
    <w:rsid w:val="00FC6275"/>
    <w:rsid w:val="00FC64FB"/>
    <w:rsid w:val="00FC7377"/>
    <w:rsid w:val="00FD0E2D"/>
    <w:rsid w:val="00FD0F4E"/>
    <w:rsid w:val="00FD12DB"/>
    <w:rsid w:val="00FD1A61"/>
    <w:rsid w:val="00FD3C84"/>
    <w:rsid w:val="00FD4088"/>
    <w:rsid w:val="00FD41A6"/>
    <w:rsid w:val="00FD57E2"/>
    <w:rsid w:val="00FD58B6"/>
    <w:rsid w:val="00FD5D61"/>
    <w:rsid w:val="00FD64E5"/>
    <w:rsid w:val="00FE03F5"/>
    <w:rsid w:val="00FE14E0"/>
    <w:rsid w:val="00FE2E40"/>
    <w:rsid w:val="00FE493E"/>
    <w:rsid w:val="00FE4E21"/>
    <w:rsid w:val="00FE5DF6"/>
    <w:rsid w:val="00FF07EE"/>
    <w:rsid w:val="00FF1673"/>
    <w:rsid w:val="00FF1D71"/>
    <w:rsid w:val="00FF2AE4"/>
    <w:rsid w:val="00FF3C7C"/>
    <w:rsid w:val="00FF5794"/>
    <w:rsid w:val="00FF69E1"/>
    <w:rsid w:val="00FF6B3D"/>
    <w:rsid w:val="00FF7A81"/>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3594D"/>
  <w15:docId w15:val="{AE278A13-9C2A-4D53-8A14-E27E9B8F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501"/>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744504"/>
    <w:rPr>
      <w:sz w:val="16"/>
      <w:szCs w:val="16"/>
    </w:rPr>
  </w:style>
  <w:style w:type="paragraph" w:styleId="Textkomente">
    <w:name w:val="annotation text"/>
    <w:basedOn w:val="Normln"/>
    <w:link w:val="TextkomenteChar"/>
    <w:uiPriority w:val="99"/>
    <w:unhideWhenUsed/>
    <w:rsid w:val="00744504"/>
    <w:rPr>
      <w:sz w:val="20"/>
    </w:rPr>
  </w:style>
  <w:style w:type="character" w:customStyle="1" w:styleId="TextkomenteChar">
    <w:name w:val="Text komentáře Char"/>
    <w:basedOn w:val="Standardnpsmoodstavce"/>
    <w:link w:val="Textkomente"/>
    <w:uiPriority w:val="99"/>
    <w:rsid w:val="00744504"/>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44504"/>
    <w:rPr>
      <w:b/>
      <w:bCs/>
    </w:rPr>
  </w:style>
  <w:style w:type="character" w:customStyle="1" w:styleId="PedmtkomenteChar">
    <w:name w:val="Předmět komentáře Char"/>
    <w:basedOn w:val="TextkomenteChar"/>
    <w:link w:val="Pedmtkomente"/>
    <w:uiPriority w:val="99"/>
    <w:semiHidden/>
    <w:rsid w:val="00744504"/>
    <w:rPr>
      <w:rFonts w:ascii="Arial" w:eastAsia="Times New Roman" w:hAnsi="Arial" w:cs="Times New Roman"/>
      <w:b/>
      <w:bCs/>
      <w:sz w:val="20"/>
      <w:szCs w:val="20"/>
      <w:lang w:eastAsia="cs-CZ"/>
    </w:rPr>
  </w:style>
  <w:style w:type="paragraph" w:customStyle="1" w:styleId="Default">
    <w:name w:val="Default"/>
    <w:rsid w:val="006E1DBB"/>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747C2E"/>
    <w:pPr>
      <w:spacing w:after="0" w:line="240" w:lineRule="auto"/>
    </w:pPr>
    <w:rPr>
      <w:rFonts w:ascii="Arial" w:eastAsia="Times New Roman" w:hAnsi="Arial" w:cs="Times New Roman"/>
      <w:sz w:val="18"/>
      <w:szCs w:val="20"/>
      <w:lang w:eastAsia="cs-CZ"/>
    </w:rPr>
  </w:style>
  <w:style w:type="paragraph" w:styleId="Textpoznpodarou">
    <w:name w:val="footnote text"/>
    <w:basedOn w:val="Normln"/>
    <w:link w:val="TextpoznpodarouChar"/>
    <w:uiPriority w:val="99"/>
    <w:semiHidden/>
    <w:unhideWhenUsed/>
    <w:rsid w:val="00AA6453"/>
    <w:rPr>
      <w:sz w:val="20"/>
    </w:rPr>
  </w:style>
  <w:style w:type="character" w:customStyle="1" w:styleId="TextpoznpodarouChar">
    <w:name w:val="Text pozn. pod čarou Char"/>
    <w:basedOn w:val="Standardnpsmoodstavce"/>
    <w:link w:val="Textpoznpodarou"/>
    <w:uiPriority w:val="99"/>
    <w:semiHidden/>
    <w:rsid w:val="00AA645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AA6453"/>
    <w:rPr>
      <w:vertAlign w:val="superscript"/>
    </w:rPr>
  </w:style>
  <w:style w:type="character" w:customStyle="1" w:styleId="cf01">
    <w:name w:val="cf01"/>
    <w:basedOn w:val="Standardnpsmoodstavce"/>
    <w:rsid w:val="00983579"/>
    <w:rPr>
      <w:rFonts w:ascii="Segoe UI" w:hAnsi="Segoe UI" w:cs="Segoe UI" w:hint="default"/>
      <w:sz w:val="18"/>
      <w:szCs w:val="18"/>
    </w:rPr>
  </w:style>
  <w:style w:type="paragraph" w:customStyle="1" w:styleId="CBANadpisvTABULCE">
    <w:name w:val="CBA Nadpis v TABULCE"/>
    <w:basedOn w:val="Normln"/>
    <w:qFormat/>
    <w:rsid w:val="0073410F"/>
    <w:pPr>
      <w:spacing w:before="120" w:after="120"/>
      <w:jc w:val="left"/>
    </w:pPr>
    <w:rPr>
      <w:b/>
      <w:bCs/>
      <w:color w:val="13576B"/>
    </w:rPr>
  </w:style>
  <w:style w:type="paragraph" w:customStyle="1" w:styleId="CBAodstavecvTABULCE">
    <w:name w:val="CBA odstavec v TABULCE"/>
    <w:basedOn w:val="Normln"/>
    <w:qFormat/>
    <w:rsid w:val="0073410F"/>
    <w:pPr>
      <w:spacing w:before="120" w:after="120"/>
      <w:jc w:val="left"/>
    </w:pPr>
    <w:rPr>
      <w:color w:val="13576B"/>
    </w:rPr>
  </w:style>
  <w:style w:type="character" w:styleId="Nevyeenzmnka">
    <w:name w:val="Unresolved Mention"/>
    <w:basedOn w:val="Standardnpsmoodstavce"/>
    <w:uiPriority w:val="99"/>
    <w:semiHidden/>
    <w:unhideWhenUsed/>
    <w:rsid w:val="00E84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74939">
      <w:bodyDiv w:val="1"/>
      <w:marLeft w:val="0"/>
      <w:marRight w:val="0"/>
      <w:marTop w:val="0"/>
      <w:marBottom w:val="0"/>
      <w:divBdr>
        <w:top w:val="none" w:sz="0" w:space="0" w:color="auto"/>
        <w:left w:val="none" w:sz="0" w:space="0" w:color="auto"/>
        <w:bottom w:val="none" w:sz="0" w:space="0" w:color="auto"/>
        <w:right w:val="none" w:sz="0" w:space="0" w:color="auto"/>
      </w:divBdr>
    </w:div>
    <w:div w:id="125004222">
      <w:bodyDiv w:val="1"/>
      <w:marLeft w:val="0"/>
      <w:marRight w:val="0"/>
      <w:marTop w:val="0"/>
      <w:marBottom w:val="0"/>
      <w:divBdr>
        <w:top w:val="none" w:sz="0" w:space="0" w:color="auto"/>
        <w:left w:val="none" w:sz="0" w:space="0" w:color="auto"/>
        <w:bottom w:val="none" w:sz="0" w:space="0" w:color="auto"/>
        <w:right w:val="none" w:sz="0" w:space="0" w:color="auto"/>
      </w:divBdr>
    </w:div>
    <w:div w:id="146481197">
      <w:bodyDiv w:val="1"/>
      <w:marLeft w:val="0"/>
      <w:marRight w:val="0"/>
      <w:marTop w:val="0"/>
      <w:marBottom w:val="0"/>
      <w:divBdr>
        <w:top w:val="none" w:sz="0" w:space="0" w:color="auto"/>
        <w:left w:val="none" w:sz="0" w:space="0" w:color="auto"/>
        <w:bottom w:val="none" w:sz="0" w:space="0" w:color="auto"/>
        <w:right w:val="none" w:sz="0" w:space="0" w:color="auto"/>
      </w:divBdr>
    </w:div>
    <w:div w:id="171840413">
      <w:bodyDiv w:val="1"/>
      <w:marLeft w:val="0"/>
      <w:marRight w:val="0"/>
      <w:marTop w:val="0"/>
      <w:marBottom w:val="0"/>
      <w:divBdr>
        <w:top w:val="none" w:sz="0" w:space="0" w:color="auto"/>
        <w:left w:val="none" w:sz="0" w:space="0" w:color="auto"/>
        <w:bottom w:val="none" w:sz="0" w:space="0" w:color="auto"/>
        <w:right w:val="none" w:sz="0" w:space="0" w:color="auto"/>
      </w:divBdr>
    </w:div>
    <w:div w:id="175772208">
      <w:bodyDiv w:val="1"/>
      <w:marLeft w:val="0"/>
      <w:marRight w:val="0"/>
      <w:marTop w:val="0"/>
      <w:marBottom w:val="0"/>
      <w:divBdr>
        <w:top w:val="none" w:sz="0" w:space="0" w:color="auto"/>
        <w:left w:val="none" w:sz="0" w:space="0" w:color="auto"/>
        <w:bottom w:val="none" w:sz="0" w:space="0" w:color="auto"/>
        <w:right w:val="none" w:sz="0" w:space="0" w:color="auto"/>
      </w:divBdr>
    </w:div>
    <w:div w:id="205799727">
      <w:bodyDiv w:val="1"/>
      <w:marLeft w:val="0"/>
      <w:marRight w:val="0"/>
      <w:marTop w:val="0"/>
      <w:marBottom w:val="0"/>
      <w:divBdr>
        <w:top w:val="none" w:sz="0" w:space="0" w:color="auto"/>
        <w:left w:val="none" w:sz="0" w:space="0" w:color="auto"/>
        <w:bottom w:val="none" w:sz="0" w:space="0" w:color="auto"/>
        <w:right w:val="none" w:sz="0" w:space="0" w:color="auto"/>
      </w:divBdr>
    </w:div>
    <w:div w:id="213080258">
      <w:bodyDiv w:val="1"/>
      <w:marLeft w:val="0"/>
      <w:marRight w:val="0"/>
      <w:marTop w:val="0"/>
      <w:marBottom w:val="0"/>
      <w:divBdr>
        <w:top w:val="none" w:sz="0" w:space="0" w:color="auto"/>
        <w:left w:val="none" w:sz="0" w:space="0" w:color="auto"/>
        <w:bottom w:val="none" w:sz="0" w:space="0" w:color="auto"/>
        <w:right w:val="none" w:sz="0" w:space="0" w:color="auto"/>
      </w:divBdr>
    </w:div>
    <w:div w:id="235168362">
      <w:bodyDiv w:val="1"/>
      <w:marLeft w:val="0"/>
      <w:marRight w:val="0"/>
      <w:marTop w:val="0"/>
      <w:marBottom w:val="0"/>
      <w:divBdr>
        <w:top w:val="none" w:sz="0" w:space="0" w:color="auto"/>
        <w:left w:val="none" w:sz="0" w:space="0" w:color="auto"/>
        <w:bottom w:val="none" w:sz="0" w:space="0" w:color="auto"/>
        <w:right w:val="none" w:sz="0" w:space="0" w:color="auto"/>
      </w:divBdr>
    </w:div>
    <w:div w:id="27892470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20087060">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9623159">
      <w:bodyDiv w:val="1"/>
      <w:marLeft w:val="0"/>
      <w:marRight w:val="0"/>
      <w:marTop w:val="0"/>
      <w:marBottom w:val="0"/>
      <w:divBdr>
        <w:top w:val="none" w:sz="0" w:space="0" w:color="auto"/>
        <w:left w:val="none" w:sz="0" w:space="0" w:color="auto"/>
        <w:bottom w:val="none" w:sz="0" w:space="0" w:color="auto"/>
        <w:right w:val="none" w:sz="0" w:space="0" w:color="auto"/>
      </w:divBdr>
    </w:div>
    <w:div w:id="433131831">
      <w:bodyDiv w:val="1"/>
      <w:marLeft w:val="0"/>
      <w:marRight w:val="0"/>
      <w:marTop w:val="0"/>
      <w:marBottom w:val="0"/>
      <w:divBdr>
        <w:top w:val="none" w:sz="0" w:space="0" w:color="auto"/>
        <w:left w:val="none" w:sz="0" w:space="0" w:color="auto"/>
        <w:bottom w:val="none" w:sz="0" w:space="0" w:color="auto"/>
        <w:right w:val="none" w:sz="0" w:space="0" w:color="auto"/>
      </w:divBdr>
    </w:div>
    <w:div w:id="434447739">
      <w:bodyDiv w:val="1"/>
      <w:marLeft w:val="0"/>
      <w:marRight w:val="0"/>
      <w:marTop w:val="0"/>
      <w:marBottom w:val="0"/>
      <w:divBdr>
        <w:top w:val="none" w:sz="0" w:space="0" w:color="auto"/>
        <w:left w:val="none" w:sz="0" w:space="0" w:color="auto"/>
        <w:bottom w:val="none" w:sz="0" w:space="0" w:color="auto"/>
        <w:right w:val="none" w:sz="0" w:space="0" w:color="auto"/>
      </w:divBdr>
    </w:div>
    <w:div w:id="486096695">
      <w:bodyDiv w:val="1"/>
      <w:marLeft w:val="0"/>
      <w:marRight w:val="0"/>
      <w:marTop w:val="0"/>
      <w:marBottom w:val="0"/>
      <w:divBdr>
        <w:top w:val="none" w:sz="0" w:space="0" w:color="auto"/>
        <w:left w:val="none" w:sz="0" w:space="0" w:color="auto"/>
        <w:bottom w:val="none" w:sz="0" w:space="0" w:color="auto"/>
        <w:right w:val="none" w:sz="0" w:space="0" w:color="auto"/>
      </w:divBdr>
    </w:div>
    <w:div w:id="534267763">
      <w:bodyDiv w:val="1"/>
      <w:marLeft w:val="0"/>
      <w:marRight w:val="0"/>
      <w:marTop w:val="0"/>
      <w:marBottom w:val="0"/>
      <w:divBdr>
        <w:top w:val="none" w:sz="0" w:space="0" w:color="auto"/>
        <w:left w:val="none" w:sz="0" w:space="0" w:color="auto"/>
        <w:bottom w:val="none" w:sz="0" w:space="0" w:color="auto"/>
        <w:right w:val="none" w:sz="0" w:space="0" w:color="auto"/>
      </w:divBdr>
    </w:div>
    <w:div w:id="622227915">
      <w:bodyDiv w:val="1"/>
      <w:marLeft w:val="0"/>
      <w:marRight w:val="0"/>
      <w:marTop w:val="0"/>
      <w:marBottom w:val="0"/>
      <w:divBdr>
        <w:top w:val="none" w:sz="0" w:space="0" w:color="auto"/>
        <w:left w:val="none" w:sz="0" w:space="0" w:color="auto"/>
        <w:bottom w:val="none" w:sz="0" w:space="0" w:color="auto"/>
        <w:right w:val="none" w:sz="0" w:space="0" w:color="auto"/>
      </w:divBdr>
    </w:div>
    <w:div w:id="693072444">
      <w:bodyDiv w:val="1"/>
      <w:marLeft w:val="0"/>
      <w:marRight w:val="0"/>
      <w:marTop w:val="0"/>
      <w:marBottom w:val="0"/>
      <w:divBdr>
        <w:top w:val="none" w:sz="0" w:space="0" w:color="auto"/>
        <w:left w:val="none" w:sz="0" w:space="0" w:color="auto"/>
        <w:bottom w:val="none" w:sz="0" w:space="0" w:color="auto"/>
        <w:right w:val="none" w:sz="0" w:space="0" w:color="auto"/>
      </w:divBdr>
    </w:div>
    <w:div w:id="740103959">
      <w:bodyDiv w:val="1"/>
      <w:marLeft w:val="0"/>
      <w:marRight w:val="0"/>
      <w:marTop w:val="0"/>
      <w:marBottom w:val="0"/>
      <w:divBdr>
        <w:top w:val="none" w:sz="0" w:space="0" w:color="auto"/>
        <w:left w:val="none" w:sz="0" w:space="0" w:color="auto"/>
        <w:bottom w:val="none" w:sz="0" w:space="0" w:color="auto"/>
        <w:right w:val="none" w:sz="0" w:space="0" w:color="auto"/>
      </w:divBdr>
    </w:div>
    <w:div w:id="744883708">
      <w:bodyDiv w:val="1"/>
      <w:marLeft w:val="0"/>
      <w:marRight w:val="0"/>
      <w:marTop w:val="0"/>
      <w:marBottom w:val="0"/>
      <w:divBdr>
        <w:top w:val="none" w:sz="0" w:space="0" w:color="auto"/>
        <w:left w:val="none" w:sz="0" w:space="0" w:color="auto"/>
        <w:bottom w:val="none" w:sz="0" w:space="0" w:color="auto"/>
        <w:right w:val="none" w:sz="0" w:space="0" w:color="auto"/>
      </w:divBdr>
    </w:div>
    <w:div w:id="775829942">
      <w:bodyDiv w:val="1"/>
      <w:marLeft w:val="0"/>
      <w:marRight w:val="0"/>
      <w:marTop w:val="0"/>
      <w:marBottom w:val="0"/>
      <w:divBdr>
        <w:top w:val="none" w:sz="0" w:space="0" w:color="auto"/>
        <w:left w:val="none" w:sz="0" w:space="0" w:color="auto"/>
        <w:bottom w:val="none" w:sz="0" w:space="0" w:color="auto"/>
        <w:right w:val="none" w:sz="0" w:space="0" w:color="auto"/>
      </w:divBdr>
    </w:div>
    <w:div w:id="794324714">
      <w:bodyDiv w:val="1"/>
      <w:marLeft w:val="0"/>
      <w:marRight w:val="0"/>
      <w:marTop w:val="0"/>
      <w:marBottom w:val="0"/>
      <w:divBdr>
        <w:top w:val="none" w:sz="0" w:space="0" w:color="auto"/>
        <w:left w:val="none" w:sz="0" w:space="0" w:color="auto"/>
        <w:bottom w:val="none" w:sz="0" w:space="0" w:color="auto"/>
        <w:right w:val="none" w:sz="0" w:space="0" w:color="auto"/>
      </w:divBdr>
    </w:div>
    <w:div w:id="844367420">
      <w:bodyDiv w:val="1"/>
      <w:marLeft w:val="0"/>
      <w:marRight w:val="0"/>
      <w:marTop w:val="0"/>
      <w:marBottom w:val="0"/>
      <w:divBdr>
        <w:top w:val="none" w:sz="0" w:space="0" w:color="auto"/>
        <w:left w:val="none" w:sz="0" w:space="0" w:color="auto"/>
        <w:bottom w:val="none" w:sz="0" w:space="0" w:color="auto"/>
        <w:right w:val="none" w:sz="0" w:space="0" w:color="auto"/>
      </w:divBdr>
    </w:div>
    <w:div w:id="846405975">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74662016">
      <w:bodyDiv w:val="1"/>
      <w:marLeft w:val="0"/>
      <w:marRight w:val="0"/>
      <w:marTop w:val="0"/>
      <w:marBottom w:val="0"/>
      <w:divBdr>
        <w:top w:val="none" w:sz="0" w:space="0" w:color="auto"/>
        <w:left w:val="none" w:sz="0" w:space="0" w:color="auto"/>
        <w:bottom w:val="none" w:sz="0" w:space="0" w:color="auto"/>
        <w:right w:val="none" w:sz="0" w:space="0" w:color="auto"/>
      </w:divBdr>
    </w:div>
    <w:div w:id="881596654">
      <w:bodyDiv w:val="1"/>
      <w:marLeft w:val="0"/>
      <w:marRight w:val="0"/>
      <w:marTop w:val="0"/>
      <w:marBottom w:val="0"/>
      <w:divBdr>
        <w:top w:val="none" w:sz="0" w:space="0" w:color="auto"/>
        <w:left w:val="none" w:sz="0" w:space="0" w:color="auto"/>
        <w:bottom w:val="none" w:sz="0" w:space="0" w:color="auto"/>
        <w:right w:val="none" w:sz="0" w:space="0" w:color="auto"/>
      </w:divBdr>
    </w:div>
    <w:div w:id="952638638">
      <w:bodyDiv w:val="1"/>
      <w:marLeft w:val="0"/>
      <w:marRight w:val="0"/>
      <w:marTop w:val="0"/>
      <w:marBottom w:val="0"/>
      <w:divBdr>
        <w:top w:val="none" w:sz="0" w:space="0" w:color="auto"/>
        <w:left w:val="none" w:sz="0" w:space="0" w:color="auto"/>
        <w:bottom w:val="none" w:sz="0" w:space="0" w:color="auto"/>
        <w:right w:val="none" w:sz="0" w:space="0" w:color="auto"/>
      </w:divBdr>
    </w:div>
    <w:div w:id="972368172">
      <w:bodyDiv w:val="1"/>
      <w:marLeft w:val="0"/>
      <w:marRight w:val="0"/>
      <w:marTop w:val="0"/>
      <w:marBottom w:val="0"/>
      <w:divBdr>
        <w:top w:val="none" w:sz="0" w:space="0" w:color="auto"/>
        <w:left w:val="none" w:sz="0" w:space="0" w:color="auto"/>
        <w:bottom w:val="none" w:sz="0" w:space="0" w:color="auto"/>
        <w:right w:val="none" w:sz="0" w:space="0" w:color="auto"/>
      </w:divBdr>
    </w:div>
    <w:div w:id="974721017">
      <w:bodyDiv w:val="1"/>
      <w:marLeft w:val="0"/>
      <w:marRight w:val="0"/>
      <w:marTop w:val="0"/>
      <w:marBottom w:val="0"/>
      <w:divBdr>
        <w:top w:val="none" w:sz="0" w:space="0" w:color="auto"/>
        <w:left w:val="none" w:sz="0" w:space="0" w:color="auto"/>
        <w:bottom w:val="none" w:sz="0" w:space="0" w:color="auto"/>
        <w:right w:val="none" w:sz="0" w:space="0" w:color="auto"/>
      </w:divBdr>
    </w:div>
    <w:div w:id="1031538979">
      <w:bodyDiv w:val="1"/>
      <w:marLeft w:val="0"/>
      <w:marRight w:val="0"/>
      <w:marTop w:val="0"/>
      <w:marBottom w:val="0"/>
      <w:divBdr>
        <w:top w:val="none" w:sz="0" w:space="0" w:color="auto"/>
        <w:left w:val="none" w:sz="0" w:space="0" w:color="auto"/>
        <w:bottom w:val="none" w:sz="0" w:space="0" w:color="auto"/>
        <w:right w:val="none" w:sz="0" w:space="0" w:color="auto"/>
      </w:divBdr>
    </w:div>
    <w:div w:id="1053165063">
      <w:bodyDiv w:val="1"/>
      <w:marLeft w:val="0"/>
      <w:marRight w:val="0"/>
      <w:marTop w:val="0"/>
      <w:marBottom w:val="0"/>
      <w:divBdr>
        <w:top w:val="none" w:sz="0" w:space="0" w:color="auto"/>
        <w:left w:val="none" w:sz="0" w:space="0" w:color="auto"/>
        <w:bottom w:val="none" w:sz="0" w:space="0" w:color="auto"/>
        <w:right w:val="none" w:sz="0" w:space="0" w:color="auto"/>
      </w:divBdr>
    </w:div>
    <w:div w:id="1097822366">
      <w:bodyDiv w:val="1"/>
      <w:marLeft w:val="0"/>
      <w:marRight w:val="0"/>
      <w:marTop w:val="0"/>
      <w:marBottom w:val="0"/>
      <w:divBdr>
        <w:top w:val="none" w:sz="0" w:space="0" w:color="auto"/>
        <w:left w:val="none" w:sz="0" w:space="0" w:color="auto"/>
        <w:bottom w:val="none" w:sz="0" w:space="0" w:color="auto"/>
        <w:right w:val="none" w:sz="0" w:space="0" w:color="auto"/>
      </w:divBdr>
    </w:div>
    <w:div w:id="1132677217">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244995879">
      <w:bodyDiv w:val="1"/>
      <w:marLeft w:val="0"/>
      <w:marRight w:val="0"/>
      <w:marTop w:val="0"/>
      <w:marBottom w:val="0"/>
      <w:divBdr>
        <w:top w:val="none" w:sz="0" w:space="0" w:color="auto"/>
        <w:left w:val="none" w:sz="0" w:space="0" w:color="auto"/>
        <w:bottom w:val="none" w:sz="0" w:space="0" w:color="auto"/>
        <w:right w:val="none" w:sz="0" w:space="0" w:color="auto"/>
      </w:divBdr>
    </w:div>
    <w:div w:id="1247962172">
      <w:bodyDiv w:val="1"/>
      <w:marLeft w:val="0"/>
      <w:marRight w:val="0"/>
      <w:marTop w:val="0"/>
      <w:marBottom w:val="0"/>
      <w:divBdr>
        <w:top w:val="none" w:sz="0" w:space="0" w:color="auto"/>
        <w:left w:val="none" w:sz="0" w:space="0" w:color="auto"/>
        <w:bottom w:val="none" w:sz="0" w:space="0" w:color="auto"/>
        <w:right w:val="none" w:sz="0" w:space="0" w:color="auto"/>
      </w:divBdr>
    </w:div>
    <w:div w:id="1285036963">
      <w:bodyDiv w:val="1"/>
      <w:marLeft w:val="0"/>
      <w:marRight w:val="0"/>
      <w:marTop w:val="0"/>
      <w:marBottom w:val="0"/>
      <w:divBdr>
        <w:top w:val="none" w:sz="0" w:space="0" w:color="auto"/>
        <w:left w:val="none" w:sz="0" w:space="0" w:color="auto"/>
        <w:bottom w:val="none" w:sz="0" w:space="0" w:color="auto"/>
        <w:right w:val="none" w:sz="0" w:space="0" w:color="auto"/>
      </w:divBdr>
    </w:div>
    <w:div w:id="1303655994">
      <w:bodyDiv w:val="1"/>
      <w:marLeft w:val="0"/>
      <w:marRight w:val="0"/>
      <w:marTop w:val="0"/>
      <w:marBottom w:val="0"/>
      <w:divBdr>
        <w:top w:val="none" w:sz="0" w:space="0" w:color="auto"/>
        <w:left w:val="none" w:sz="0" w:space="0" w:color="auto"/>
        <w:bottom w:val="none" w:sz="0" w:space="0" w:color="auto"/>
        <w:right w:val="none" w:sz="0" w:space="0" w:color="auto"/>
      </w:divBdr>
    </w:div>
    <w:div w:id="1350253804">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509517607">
      <w:bodyDiv w:val="1"/>
      <w:marLeft w:val="0"/>
      <w:marRight w:val="0"/>
      <w:marTop w:val="0"/>
      <w:marBottom w:val="0"/>
      <w:divBdr>
        <w:top w:val="none" w:sz="0" w:space="0" w:color="auto"/>
        <w:left w:val="none" w:sz="0" w:space="0" w:color="auto"/>
        <w:bottom w:val="none" w:sz="0" w:space="0" w:color="auto"/>
        <w:right w:val="none" w:sz="0" w:space="0" w:color="auto"/>
      </w:divBdr>
    </w:div>
    <w:div w:id="1553422533">
      <w:bodyDiv w:val="1"/>
      <w:marLeft w:val="0"/>
      <w:marRight w:val="0"/>
      <w:marTop w:val="0"/>
      <w:marBottom w:val="0"/>
      <w:divBdr>
        <w:top w:val="none" w:sz="0" w:space="0" w:color="auto"/>
        <w:left w:val="none" w:sz="0" w:space="0" w:color="auto"/>
        <w:bottom w:val="none" w:sz="0" w:space="0" w:color="auto"/>
        <w:right w:val="none" w:sz="0" w:space="0" w:color="auto"/>
      </w:divBdr>
    </w:div>
    <w:div w:id="1575361020">
      <w:bodyDiv w:val="1"/>
      <w:marLeft w:val="0"/>
      <w:marRight w:val="0"/>
      <w:marTop w:val="0"/>
      <w:marBottom w:val="0"/>
      <w:divBdr>
        <w:top w:val="none" w:sz="0" w:space="0" w:color="auto"/>
        <w:left w:val="none" w:sz="0" w:space="0" w:color="auto"/>
        <w:bottom w:val="none" w:sz="0" w:space="0" w:color="auto"/>
        <w:right w:val="none" w:sz="0" w:space="0" w:color="auto"/>
      </w:divBdr>
    </w:div>
    <w:div w:id="1615551508">
      <w:bodyDiv w:val="1"/>
      <w:marLeft w:val="0"/>
      <w:marRight w:val="0"/>
      <w:marTop w:val="0"/>
      <w:marBottom w:val="0"/>
      <w:divBdr>
        <w:top w:val="none" w:sz="0" w:space="0" w:color="auto"/>
        <w:left w:val="none" w:sz="0" w:space="0" w:color="auto"/>
        <w:bottom w:val="none" w:sz="0" w:space="0" w:color="auto"/>
        <w:right w:val="none" w:sz="0" w:space="0" w:color="auto"/>
      </w:divBdr>
    </w:div>
    <w:div w:id="1670793888">
      <w:bodyDiv w:val="1"/>
      <w:marLeft w:val="0"/>
      <w:marRight w:val="0"/>
      <w:marTop w:val="0"/>
      <w:marBottom w:val="0"/>
      <w:divBdr>
        <w:top w:val="none" w:sz="0" w:space="0" w:color="auto"/>
        <w:left w:val="none" w:sz="0" w:space="0" w:color="auto"/>
        <w:bottom w:val="none" w:sz="0" w:space="0" w:color="auto"/>
        <w:right w:val="none" w:sz="0" w:space="0" w:color="auto"/>
      </w:divBdr>
    </w:div>
    <w:div w:id="1675649168">
      <w:bodyDiv w:val="1"/>
      <w:marLeft w:val="0"/>
      <w:marRight w:val="0"/>
      <w:marTop w:val="0"/>
      <w:marBottom w:val="0"/>
      <w:divBdr>
        <w:top w:val="none" w:sz="0" w:space="0" w:color="auto"/>
        <w:left w:val="none" w:sz="0" w:space="0" w:color="auto"/>
        <w:bottom w:val="none" w:sz="0" w:space="0" w:color="auto"/>
        <w:right w:val="none" w:sz="0" w:space="0" w:color="auto"/>
      </w:divBdr>
    </w:div>
    <w:div w:id="1727532493">
      <w:bodyDiv w:val="1"/>
      <w:marLeft w:val="0"/>
      <w:marRight w:val="0"/>
      <w:marTop w:val="0"/>
      <w:marBottom w:val="0"/>
      <w:divBdr>
        <w:top w:val="none" w:sz="0" w:space="0" w:color="auto"/>
        <w:left w:val="none" w:sz="0" w:space="0" w:color="auto"/>
        <w:bottom w:val="none" w:sz="0" w:space="0" w:color="auto"/>
        <w:right w:val="none" w:sz="0" w:space="0" w:color="auto"/>
      </w:divBdr>
    </w:div>
    <w:div w:id="1757242897">
      <w:bodyDiv w:val="1"/>
      <w:marLeft w:val="0"/>
      <w:marRight w:val="0"/>
      <w:marTop w:val="0"/>
      <w:marBottom w:val="0"/>
      <w:divBdr>
        <w:top w:val="none" w:sz="0" w:space="0" w:color="auto"/>
        <w:left w:val="none" w:sz="0" w:space="0" w:color="auto"/>
        <w:bottom w:val="none" w:sz="0" w:space="0" w:color="auto"/>
        <w:right w:val="none" w:sz="0" w:space="0" w:color="auto"/>
      </w:divBdr>
    </w:div>
    <w:div w:id="1775709910">
      <w:bodyDiv w:val="1"/>
      <w:marLeft w:val="0"/>
      <w:marRight w:val="0"/>
      <w:marTop w:val="0"/>
      <w:marBottom w:val="0"/>
      <w:divBdr>
        <w:top w:val="none" w:sz="0" w:space="0" w:color="auto"/>
        <w:left w:val="none" w:sz="0" w:space="0" w:color="auto"/>
        <w:bottom w:val="none" w:sz="0" w:space="0" w:color="auto"/>
        <w:right w:val="none" w:sz="0" w:space="0" w:color="auto"/>
      </w:divBdr>
      <w:divsChild>
        <w:div w:id="1008944210">
          <w:marLeft w:val="547"/>
          <w:marRight w:val="0"/>
          <w:marTop w:val="0"/>
          <w:marBottom w:val="0"/>
          <w:divBdr>
            <w:top w:val="none" w:sz="0" w:space="0" w:color="auto"/>
            <w:left w:val="none" w:sz="0" w:space="0" w:color="auto"/>
            <w:bottom w:val="none" w:sz="0" w:space="0" w:color="auto"/>
            <w:right w:val="none" w:sz="0" w:space="0" w:color="auto"/>
          </w:divBdr>
        </w:div>
      </w:divsChild>
    </w:div>
    <w:div w:id="1777214021">
      <w:bodyDiv w:val="1"/>
      <w:marLeft w:val="0"/>
      <w:marRight w:val="0"/>
      <w:marTop w:val="0"/>
      <w:marBottom w:val="0"/>
      <w:divBdr>
        <w:top w:val="none" w:sz="0" w:space="0" w:color="auto"/>
        <w:left w:val="none" w:sz="0" w:space="0" w:color="auto"/>
        <w:bottom w:val="none" w:sz="0" w:space="0" w:color="auto"/>
        <w:right w:val="none" w:sz="0" w:space="0" w:color="auto"/>
      </w:divBdr>
    </w:div>
    <w:div w:id="1824738871">
      <w:bodyDiv w:val="1"/>
      <w:marLeft w:val="0"/>
      <w:marRight w:val="0"/>
      <w:marTop w:val="0"/>
      <w:marBottom w:val="0"/>
      <w:divBdr>
        <w:top w:val="none" w:sz="0" w:space="0" w:color="auto"/>
        <w:left w:val="none" w:sz="0" w:space="0" w:color="auto"/>
        <w:bottom w:val="none" w:sz="0" w:space="0" w:color="auto"/>
        <w:right w:val="none" w:sz="0" w:space="0" w:color="auto"/>
      </w:divBdr>
    </w:div>
    <w:div w:id="1863548730">
      <w:bodyDiv w:val="1"/>
      <w:marLeft w:val="0"/>
      <w:marRight w:val="0"/>
      <w:marTop w:val="0"/>
      <w:marBottom w:val="0"/>
      <w:divBdr>
        <w:top w:val="none" w:sz="0" w:space="0" w:color="auto"/>
        <w:left w:val="none" w:sz="0" w:space="0" w:color="auto"/>
        <w:bottom w:val="none" w:sz="0" w:space="0" w:color="auto"/>
        <w:right w:val="none" w:sz="0" w:space="0" w:color="auto"/>
      </w:divBdr>
    </w:div>
    <w:div w:id="1882788502">
      <w:bodyDiv w:val="1"/>
      <w:marLeft w:val="0"/>
      <w:marRight w:val="0"/>
      <w:marTop w:val="0"/>
      <w:marBottom w:val="0"/>
      <w:divBdr>
        <w:top w:val="none" w:sz="0" w:space="0" w:color="auto"/>
        <w:left w:val="none" w:sz="0" w:space="0" w:color="auto"/>
        <w:bottom w:val="none" w:sz="0" w:space="0" w:color="auto"/>
        <w:right w:val="none" w:sz="0" w:space="0" w:color="auto"/>
      </w:divBdr>
    </w:div>
    <w:div w:id="1994986753">
      <w:bodyDiv w:val="1"/>
      <w:marLeft w:val="0"/>
      <w:marRight w:val="0"/>
      <w:marTop w:val="0"/>
      <w:marBottom w:val="0"/>
      <w:divBdr>
        <w:top w:val="none" w:sz="0" w:space="0" w:color="auto"/>
        <w:left w:val="none" w:sz="0" w:space="0" w:color="auto"/>
        <w:bottom w:val="none" w:sz="0" w:space="0" w:color="auto"/>
        <w:right w:val="none" w:sz="0" w:space="0" w:color="auto"/>
      </w:divBdr>
    </w:div>
    <w:div w:id="2003854515">
      <w:bodyDiv w:val="1"/>
      <w:marLeft w:val="0"/>
      <w:marRight w:val="0"/>
      <w:marTop w:val="0"/>
      <w:marBottom w:val="0"/>
      <w:divBdr>
        <w:top w:val="none" w:sz="0" w:space="0" w:color="auto"/>
        <w:left w:val="none" w:sz="0" w:space="0" w:color="auto"/>
        <w:bottom w:val="none" w:sz="0" w:space="0" w:color="auto"/>
        <w:right w:val="none" w:sz="0" w:space="0" w:color="auto"/>
      </w:divBdr>
    </w:div>
    <w:div w:id="2033920408">
      <w:bodyDiv w:val="1"/>
      <w:marLeft w:val="0"/>
      <w:marRight w:val="0"/>
      <w:marTop w:val="0"/>
      <w:marBottom w:val="0"/>
      <w:divBdr>
        <w:top w:val="none" w:sz="0" w:space="0" w:color="auto"/>
        <w:left w:val="none" w:sz="0" w:space="0" w:color="auto"/>
        <w:bottom w:val="none" w:sz="0" w:space="0" w:color="auto"/>
        <w:right w:val="none" w:sz="0" w:space="0" w:color="auto"/>
      </w:divBdr>
    </w:div>
    <w:div w:id="2048217982">
      <w:bodyDiv w:val="1"/>
      <w:marLeft w:val="0"/>
      <w:marRight w:val="0"/>
      <w:marTop w:val="0"/>
      <w:marBottom w:val="0"/>
      <w:divBdr>
        <w:top w:val="none" w:sz="0" w:space="0" w:color="auto"/>
        <w:left w:val="none" w:sz="0" w:space="0" w:color="auto"/>
        <w:bottom w:val="none" w:sz="0" w:space="0" w:color="auto"/>
        <w:right w:val="none" w:sz="0" w:space="0" w:color="auto"/>
      </w:divBdr>
    </w:div>
    <w:div w:id="2071535983">
      <w:bodyDiv w:val="1"/>
      <w:marLeft w:val="0"/>
      <w:marRight w:val="0"/>
      <w:marTop w:val="0"/>
      <w:marBottom w:val="0"/>
      <w:divBdr>
        <w:top w:val="none" w:sz="0" w:space="0" w:color="auto"/>
        <w:left w:val="none" w:sz="0" w:space="0" w:color="auto"/>
        <w:bottom w:val="none" w:sz="0" w:space="0" w:color="auto"/>
        <w:right w:val="none" w:sz="0" w:space="0" w:color="auto"/>
      </w:divBdr>
    </w:div>
    <w:div w:id="2103793932">
      <w:bodyDiv w:val="1"/>
      <w:marLeft w:val="0"/>
      <w:marRight w:val="0"/>
      <w:marTop w:val="0"/>
      <w:marBottom w:val="0"/>
      <w:divBdr>
        <w:top w:val="none" w:sz="0" w:space="0" w:color="auto"/>
        <w:left w:val="none" w:sz="0" w:space="0" w:color="auto"/>
        <w:bottom w:val="none" w:sz="0" w:space="0" w:color="auto"/>
        <w:right w:val="none" w:sz="0" w:space="0" w:color="auto"/>
      </w:divBdr>
    </w:div>
    <w:div w:id="212133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www.cbamonitor.cz/aktuality/ceny-nemovitosti-si--udrzely-10-dynamiku-coz-neplati-o-disponibilnim-duchodu" TargetMode="External"/><Relationship Id="rId14" Type="http://schemas.openxmlformats.org/officeDocument/2006/relationships/image" Target="media/image6.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5.jpeg"/></Relationships>
</file>

<file path=word/_rels/header1.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88650-8B43-417C-931A-06049C169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2423</Words>
  <Characters>14298</Characters>
  <Application>Microsoft Office Word</Application>
  <DocSecurity>0</DocSecurity>
  <Lines>119</Lines>
  <Paragraphs>33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UGIS</Company>
  <LinksUpToDate>false</LinksUpToDate>
  <CharactersWithSpaces>16688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Duffek, Adam (ČBA)</cp:lastModifiedBy>
  <cp:revision>6</cp:revision>
  <cp:lastPrinted>2023-05-10T14:22:00Z</cp:lastPrinted>
  <dcterms:created xsi:type="dcterms:W3CDTF">2026-02-10T15:33:00Z</dcterms:created>
  <dcterms:modified xsi:type="dcterms:W3CDTF">2026-02-11T07:44:00Z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0254f4-34d0-49c5-b888-af4abf762ef7_Enabled">
    <vt:lpwstr>True</vt:lpwstr>
  </property>
  <property fmtid="{D5CDD505-2E9C-101B-9397-08002B2CF9AE}" pid="3" name="MSIP_Label_390254f4-34d0-49c5-b888-af4abf762ef7_SiteId">
    <vt:lpwstr>2cc49ce9-66a1-41ac-a96b-bdc54247696a</vt:lpwstr>
  </property>
  <property fmtid="{D5CDD505-2E9C-101B-9397-08002B2CF9AE}" pid="4" name="MSIP_Label_390254f4-34d0-49c5-b888-af4abf762ef7_Owner">
    <vt:lpwstr>Pavel.Sobisek@unicreditgroup.cz</vt:lpwstr>
  </property>
  <property fmtid="{D5CDD505-2E9C-101B-9397-08002B2CF9AE}" pid="5" name="MSIP_Label_390254f4-34d0-49c5-b888-af4abf762ef7_SetDate">
    <vt:lpwstr>2020-01-15T16:11:29.8787231Z</vt:lpwstr>
  </property>
  <property fmtid="{D5CDD505-2E9C-101B-9397-08002B2CF9AE}" pid="6" name="MSIP_Label_390254f4-34d0-49c5-b888-af4abf762ef7_Name">
    <vt:lpwstr>Internal Use Only</vt:lpwstr>
  </property>
  <property fmtid="{D5CDD505-2E9C-101B-9397-08002B2CF9AE}" pid="7" name="MSIP_Label_390254f4-34d0-49c5-b888-af4abf762ef7_Application">
    <vt:lpwstr>Microsoft Azure Information Protection</vt:lpwstr>
  </property>
  <property fmtid="{D5CDD505-2E9C-101B-9397-08002B2CF9AE}" pid="8" name="MSIP_Label_390254f4-34d0-49c5-b888-af4abf762ef7_ActionId">
    <vt:lpwstr>43f3763f-d3c6-435c-ae50-a4a40081b5fb</vt:lpwstr>
  </property>
  <property fmtid="{D5CDD505-2E9C-101B-9397-08002B2CF9AE}" pid="9" name="MSIP_Label_390254f4-34d0-49c5-b888-af4abf762ef7_Extended_MSFT_Method">
    <vt:lpwstr>Automatic</vt:lpwstr>
  </property>
  <property fmtid="{D5CDD505-2E9C-101B-9397-08002B2CF9AE}" pid="10" name="MSIP_Label_faa92781-1fcb-4da3-a1a2-e534c28a25f3_Enabled">
    <vt:lpwstr>True</vt:lpwstr>
  </property>
  <property fmtid="{D5CDD505-2E9C-101B-9397-08002B2CF9AE}" pid="11" name="MSIP_Label_faa92781-1fcb-4da3-a1a2-e534c28a25f3_SiteId">
    <vt:lpwstr>2cc49ce9-66a1-41ac-a96b-bdc54247696a</vt:lpwstr>
  </property>
  <property fmtid="{D5CDD505-2E9C-101B-9397-08002B2CF9AE}" pid="12" name="MSIP_Label_faa92781-1fcb-4da3-a1a2-e534c28a25f3_Owner">
    <vt:lpwstr>Pavel.Sobisek@unicreditgroup.cz</vt:lpwstr>
  </property>
  <property fmtid="{D5CDD505-2E9C-101B-9397-08002B2CF9AE}" pid="13" name="MSIP_Label_faa92781-1fcb-4da3-a1a2-e534c28a25f3_SetDate">
    <vt:lpwstr>2020-01-15T16:11:29.8787231Z</vt:lpwstr>
  </property>
  <property fmtid="{D5CDD505-2E9C-101B-9397-08002B2CF9AE}" pid="14" name="MSIP_Label_faa92781-1fcb-4da3-a1a2-e534c28a25f3_Name">
    <vt:lpwstr>in UniCredit Group - no visual markings</vt:lpwstr>
  </property>
  <property fmtid="{D5CDD505-2E9C-101B-9397-08002B2CF9AE}" pid="15" name="MSIP_Label_faa92781-1fcb-4da3-a1a2-e534c28a25f3_Application">
    <vt:lpwstr>Microsoft Azure Information Protection</vt:lpwstr>
  </property>
  <property fmtid="{D5CDD505-2E9C-101B-9397-08002B2CF9AE}" pid="16" name="MSIP_Label_faa92781-1fcb-4da3-a1a2-e534c28a25f3_ActionId">
    <vt:lpwstr>43f3763f-d3c6-435c-ae50-a4a40081b5fb</vt:lpwstr>
  </property>
  <property fmtid="{D5CDD505-2E9C-101B-9397-08002B2CF9AE}" pid="17" name="MSIP_Label_faa92781-1fcb-4da3-a1a2-e534c28a25f3_Parent">
    <vt:lpwstr>390254f4-34d0-49c5-b888-af4abf762ef7</vt:lpwstr>
  </property>
  <property fmtid="{D5CDD505-2E9C-101B-9397-08002B2CF9AE}" pid="18" name="MSIP_Label_faa92781-1fcb-4da3-a1a2-e534c28a25f3_Extended_MSFT_Method">
    <vt:lpwstr>Automatic</vt:lpwstr>
  </property>
  <property fmtid="{D5CDD505-2E9C-101B-9397-08002B2CF9AE}" pid="19" name="MSIP_Label_2b3a104e-2916-42dc-a2f6-6210338509ed_Enabled">
    <vt:lpwstr>True</vt:lpwstr>
  </property>
  <property fmtid="{D5CDD505-2E9C-101B-9397-08002B2CF9AE}" pid="20" name="MSIP_Label_2b3a104e-2916-42dc-a2f6-6210338509ed_SiteId">
    <vt:lpwstr>e70aafb3-2e89-46a5-ba50-66803e8a4411</vt:lpwstr>
  </property>
  <property fmtid="{D5CDD505-2E9C-101B-9397-08002B2CF9AE}" pid="21" name="MSIP_Label_2b3a104e-2916-42dc-a2f6-6210338509ed_Owner">
    <vt:lpwstr>cen87316@csin.cz</vt:lpwstr>
  </property>
  <property fmtid="{D5CDD505-2E9C-101B-9397-08002B2CF9AE}" pid="22" name="MSIP_Label_2b3a104e-2916-42dc-a2f6-6210338509ed_SetDate">
    <vt:lpwstr>2020-01-17T08:10:02.3455520Z</vt:lpwstr>
  </property>
  <property fmtid="{D5CDD505-2E9C-101B-9397-08002B2CF9AE}" pid="23" name="MSIP_Label_2b3a104e-2916-42dc-a2f6-6210338509ed_Name">
    <vt:lpwstr>CS Internal</vt:lpwstr>
  </property>
  <property fmtid="{D5CDD505-2E9C-101B-9397-08002B2CF9AE}" pid="24" name="MSIP_Label_2b3a104e-2916-42dc-a2f6-6210338509ed_Application">
    <vt:lpwstr>Microsoft Azure Information Protection</vt:lpwstr>
  </property>
  <property fmtid="{D5CDD505-2E9C-101B-9397-08002B2CF9AE}" pid="25" name="MSIP_Label_2b3a104e-2916-42dc-a2f6-6210338509ed_ActionId">
    <vt:lpwstr>60b9ebe4-46ae-459c-bf59-6a05f328379e</vt:lpwstr>
  </property>
  <property fmtid="{D5CDD505-2E9C-101B-9397-08002B2CF9AE}" pid="26" name="MSIP_Label_2b3a104e-2916-42dc-a2f6-6210338509ed_Extended_MSFT_Method">
    <vt:lpwstr>Automatic</vt:lpwstr>
  </property>
  <property fmtid="{D5CDD505-2E9C-101B-9397-08002B2CF9AE}" pid="27" name="MSIP_Label_2a6524ed-fb1a-49fd-bafe-15c5e5ffd047_Enabled">
    <vt:lpwstr>true</vt:lpwstr>
  </property>
  <property fmtid="{D5CDD505-2E9C-101B-9397-08002B2CF9AE}" pid="28" name="MSIP_Label_2a6524ed-fb1a-49fd-bafe-15c5e5ffd047_SetDate">
    <vt:lpwstr>2021-05-10T05:54:55Z</vt:lpwstr>
  </property>
  <property fmtid="{D5CDD505-2E9C-101B-9397-08002B2CF9AE}" pid="29" name="MSIP_Label_2a6524ed-fb1a-49fd-bafe-15c5e5ffd047_Method">
    <vt:lpwstr>Standard</vt:lpwstr>
  </property>
  <property fmtid="{D5CDD505-2E9C-101B-9397-08002B2CF9AE}" pid="30" name="MSIP_Label_2a6524ed-fb1a-49fd-bafe-15c5e5ffd047_Name">
    <vt:lpwstr>Internal</vt:lpwstr>
  </property>
  <property fmtid="{D5CDD505-2E9C-101B-9397-08002B2CF9AE}" pid="31" name="MSIP_Label_2a6524ed-fb1a-49fd-bafe-15c5e5ffd047_SiteId">
    <vt:lpwstr>9b511fda-f0b1-43a5-b06e-1e720f64520a</vt:lpwstr>
  </property>
  <property fmtid="{D5CDD505-2E9C-101B-9397-08002B2CF9AE}" pid="32" name="MSIP_Label_2a6524ed-fb1a-49fd-bafe-15c5e5ffd047_ActionId">
    <vt:lpwstr>6e16e441-bca8-45fa-8e42-4b14b422a2ce</vt:lpwstr>
  </property>
  <property fmtid="{D5CDD505-2E9C-101B-9397-08002B2CF9AE}" pid="33" name="MSIP_Label_2a6524ed-fb1a-49fd-bafe-15c5e5ffd047_ContentBits">
    <vt:lpwstr>0</vt:lpwstr>
  </property>
  <property fmtid="{D5CDD505-2E9C-101B-9397-08002B2CF9AE}" pid="34" name="MSIP_Label_63f4bb52-bd44-4e71-98c6-b1e43e6be5b6_Enabled">
    <vt:lpwstr>true</vt:lpwstr>
  </property>
  <property fmtid="{D5CDD505-2E9C-101B-9397-08002B2CF9AE}" pid="35" name="MSIP_Label_63f4bb52-bd44-4e71-98c6-b1e43e6be5b6_SetDate">
    <vt:lpwstr>2022-08-10T09:54:41Z</vt:lpwstr>
  </property>
  <property fmtid="{D5CDD505-2E9C-101B-9397-08002B2CF9AE}" pid="36" name="MSIP_Label_63f4bb52-bd44-4e71-98c6-b1e43e6be5b6_Method">
    <vt:lpwstr>Standard</vt:lpwstr>
  </property>
  <property fmtid="{D5CDD505-2E9C-101B-9397-08002B2CF9AE}" pid="37" name="MSIP_Label_63f4bb52-bd44-4e71-98c6-b1e43e6be5b6_Name">
    <vt:lpwstr>Chráněné</vt:lpwstr>
  </property>
  <property fmtid="{D5CDD505-2E9C-101B-9397-08002B2CF9AE}" pid="38" name="MSIP_Label_63f4bb52-bd44-4e71-98c6-b1e43e6be5b6_SiteId">
    <vt:lpwstr>9cca307d-eed7-47e0-a567-a3b37ba0308b</vt:lpwstr>
  </property>
  <property fmtid="{D5CDD505-2E9C-101B-9397-08002B2CF9AE}" pid="39" name="MSIP_Label_63f4bb52-bd44-4e71-98c6-b1e43e6be5b6_ActionId">
    <vt:lpwstr>ca7f3bf3-cf89-4cf9-9bd8-fcbcfa83b433</vt:lpwstr>
  </property>
  <property fmtid="{D5CDD505-2E9C-101B-9397-08002B2CF9AE}" pid="40" name="MSIP_Label_63f4bb52-bd44-4e71-98c6-b1e43e6be5b6_ContentBits">
    <vt:lpwstr>0</vt:lpwstr>
  </property>
  <property fmtid="{D5CDD505-2E9C-101B-9397-08002B2CF9AE}" pid="41" name="MSIP_Label_95047c84-0a67-483c-b79b-e48654b86430_Enabled">
    <vt:lpwstr>true</vt:lpwstr>
  </property>
  <property fmtid="{D5CDD505-2E9C-101B-9397-08002B2CF9AE}" pid="42" name="MSIP_Label_95047c84-0a67-483c-b79b-e48654b86430_SetDate">
    <vt:lpwstr>2022-11-09T11:52:35Z</vt:lpwstr>
  </property>
  <property fmtid="{D5CDD505-2E9C-101B-9397-08002B2CF9AE}" pid="43" name="MSIP_Label_95047c84-0a67-483c-b79b-e48654b86430_Method">
    <vt:lpwstr>Standard</vt:lpwstr>
  </property>
  <property fmtid="{D5CDD505-2E9C-101B-9397-08002B2CF9AE}" pid="44" name="MSIP_Label_95047c84-0a67-483c-b79b-e48654b86430_Name">
    <vt:lpwstr>defa4170-0d19-0005-0004-bc88714345d2</vt:lpwstr>
  </property>
  <property fmtid="{D5CDD505-2E9C-101B-9397-08002B2CF9AE}" pid="45" name="MSIP_Label_95047c84-0a67-483c-b79b-e48654b86430_SiteId">
    <vt:lpwstr>3f20558b-6d29-4505-a3e9-96d02ae92fa1</vt:lpwstr>
  </property>
  <property fmtid="{D5CDD505-2E9C-101B-9397-08002B2CF9AE}" pid="46" name="MSIP_Label_95047c84-0a67-483c-b79b-e48654b86430_ActionId">
    <vt:lpwstr>09b031df-8fbf-4de6-9fcd-b47722a3820f</vt:lpwstr>
  </property>
  <property fmtid="{D5CDD505-2E9C-101B-9397-08002B2CF9AE}" pid="47" name="MSIP_Label_95047c84-0a67-483c-b79b-e48654b86430_ContentBits">
    <vt:lpwstr>0</vt:lpwstr>
  </property>
  <property fmtid="{D5CDD505-2E9C-101B-9397-08002B2CF9AE}" pid="48" name="MSIP_Label_38939b85-7e40-4a1d-91e1-0e84c3b219d7_Enabled">
    <vt:lpwstr>true</vt:lpwstr>
  </property>
  <property fmtid="{D5CDD505-2E9C-101B-9397-08002B2CF9AE}" pid="49" name="MSIP_Label_38939b85-7e40-4a1d-91e1-0e84c3b219d7_SetDate">
    <vt:lpwstr>2023-08-08T13:09:17Z</vt:lpwstr>
  </property>
  <property fmtid="{D5CDD505-2E9C-101B-9397-08002B2CF9AE}" pid="50" name="MSIP_Label_38939b85-7e40-4a1d-91e1-0e84c3b219d7_Method">
    <vt:lpwstr>Standard</vt:lpwstr>
  </property>
  <property fmtid="{D5CDD505-2E9C-101B-9397-08002B2CF9AE}" pid="51" name="MSIP_Label_38939b85-7e40-4a1d-91e1-0e84c3b219d7_Name">
    <vt:lpwstr>38939b85-7e40-4a1d-91e1-0e84c3b219d7</vt:lpwstr>
  </property>
  <property fmtid="{D5CDD505-2E9C-101B-9397-08002B2CF9AE}" pid="52" name="MSIP_Label_38939b85-7e40-4a1d-91e1-0e84c3b219d7_SiteId">
    <vt:lpwstr>3ad0376a-54d3-49a6-9e20-52de0a92fc89</vt:lpwstr>
  </property>
  <property fmtid="{D5CDD505-2E9C-101B-9397-08002B2CF9AE}" pid="53" name="MSIP_Label_38939b85-7e40-4a1d-91e1-0e84c3b219d7_ActionId">
    <vt:lpwstr>a9bfb157-61e9-41a9-8f12-7ab49d163955</vt:lpwstr>
  </property>
  <property fmtid="{D5CDD505-2E9C-101B-9397-08002B2CF9AE}" pid="54" name="MSIP_Label_38939b85-7e40-4a1d-91e1-0e84c3b219d7_ContentBits">
    <vt:lpwstr>0</vt:lpwstr>
  </property>
  <property fmtid="{D5CDD505-2E9C-101B-9397-08002B2CF9AE}" pid="55" name="MSIP_Label_076d9757-80ae-4c87-b4d7-9ffa7a0710d0_Enabled">
    <vt:lpwstr>true</vt:lpwstr>
  </property>
  <property fmtid="{D5CDD505-2E9C-101B-9397-08002B2CF9AE}" pid="56" name="MSIP_Label_076d9757-80ae-4c87-b4d7-9ffa7a0710d0_SetDate">
    <vt:lpwstr>2023-11-08T08:22:38Z</vt:lpwstr>
  </property>
  <property fmtid="{D5CDD505-2E9C-101B-9397-08002B2CF9AE}" pid="57" name="MSIP_Label_076d9757-80ae-4c87-b4d7-9ffa7a0710d0_Method">
    <vt:lpwstr>Standard</vt:lpwstr>
  </property>
  <property fmtid="{D5CDD505-2E9C-101B-9397-08002B2CF9AE}" pid="58" name="MSIP_Label_076d9757-80ae-4c87-b4d7-9ffa7a0710d0_Name">
    <vt:lpwstr>C1 - Internal</vt:lpwstr>
  </property>
  <property fmtid="{D5CDD505-2E9C-101B-9397-08002B2CF9AE}" pid="59" name="MSIP_Label_076d9757-80ae-4c87-b4d7-9ffa7a0710d0_SiteId">
    <vt:lpwstr>c79e7c80-cff5-4503-b468-3702cea89272</vt:lpwstr>
  </property>
  <property fmtid="{D5CDD505-2E9C-101B-9397-08002B2CF9AE}" pid="60" name="MSIP_Label_076d9757-80ae-4c87-b4d7-9ffa7a0710d0_ActionId">
    <vt:lpwstr>e6da5af1-39f2-4f2b-b59b-984e27099740</vt:lpwstr>
  </property>
  <property fmtid="{D5CDD505-2E9C-101B-9397-08002B2CF9AE}" pid="61" name="MSIP_Label_076d9757-80ae-4c87-b4d7-9ffa7a0710d0_ContentBits">
    <vt:lpwstr>0</vt:lpwstr>
  </property>
  <property fmtid="{D5CDD505-2E9C-101B-9397-08002B2CF9AE}" pid="62" name="Kod_Duvernosti">
    <vt:lpwstr>KB_C1_INTERNAL_992521</vt:lpwstr>
  </property>
</Properties>
</file>