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D51CC" w14:textId="334C68C3" w:rsidR="006A0A19" w:rsidRPr="002F43DE" w:rsidRDefault="003D3759" w:rsidP="00F20F27">
      <w:pPr>
        <w:rPr>
          <w:rFonts w:ascii="Calibri" w:hAnsi="Calibri" w:cs="Calibri"/>
          <w:b/>
          <w:color w:val="EE0000"/>
          <w:sz w:val="32"/>
          <w:szCs w:val="32"/>
        </w:rPr>
      </w:pPr>
      <w:bookmarkStart w:id="0" w:name="_Hlk111121205"/>
      <w:bookmarkStart w:id="1" w:name="_Hlk116472656"/>
      <w:r w:rsidRPr="00616069">
        <w:rPr>
          <w:rFonts w:ascii="Calibri" w:hAnsi="Calibri" w:cs="Calibri"/>
          <w:b/>
          <w:color w:val="13576B"/>
          <w:sz w:val="32"/>
          <w:szCs w:val="32"/>
        </w:rPr>
        <w:t xml:space="preserve">ČBA </w:t>
      </w:r>
      <w:proofErr w:type="spellStart"/>
      <w:r w:rsidRPr="00616069">
        <w:rPr>
          <w:rFonts w:ascii="Calibri" w:hAnsi="Calibri" w:cs="Calibri"/>
          <w:b/>
          <w:color w:val="13576B"/>
          <w:sz w:val="32"/>
          <w:szCs w:val="32"/>
        </w:rPr>
        <w:t>Hypomonito</w:t>
      </w:r>
      <w:r w:rsidR="007C0E2D">
        <w:rPr>
          <w:rFonts w:ascii="Calibri" w:hAnsi="Calibri" w:cs="Calibri"/>
          <w:b/>
          <w:color w:val="13576B"/>
          <w:sz w:val="32"/>
          <w:szCs w:val="32"/>
        </w:rPr>
        <w:t>r</w:t>
      </w:r>
      <w:proofErr w:type="spellEnd"/>
      <w:r w:rsidRPr="00616069">
        <w:rPr>
          <w:rFonts w:ascii="Calibri" w:hAnsi="Calibri" w:cs="Calibri"/>
          <w:b/>
          <w:color w:val="13576B"/>
          <w:sz w:val="32"/>
          <w:szCs w:val="32"/>
        </w:rPr>
        <w:t>:</w:t>
      </w:r>
      <w:r w:rsidR="00025805">
        <w:rPr>
          <w:rFonts w:ascii="Calibri" w:hAnsi="Calibri" w:cs="Calibri"/>
          <w:b/>
          <w:color w:val="13576B"/>
          <w:sz w:val="32"/>
          <w:szCs w:val="32"/>
        </w:rPr>
        <w:t xml:space="preserve"> </w:t>
      </w:r>
      <w:r w:rsidR="00EE64D0">
        <w:rPr>
          <w:rFonts w:ascii="Calibri" w:hAnsi="Calibri" w:cs="Calibri"/>
          <w:b/>
          <w:color w:val="13576B"/>
          <w:sz w:val="32"/>
          <w:szCs w:val="32"/>
        </w:rPr>
        <w:t>Březen</w:t>
      </w:r>
      <w:r w:rsidR="006B4CAC">
        <w:rPr>
          <w:rFonts w:ascii="Calibri" w:hAnsi="Calibri" w:cs="Calibri"/>
          <w:b/>
          <w:color w:val="13576B"/>
          <w:sz w:val="32"/>
          <w:szCs w:val="32"/>
        </w:rPr>
        <w:t xml:space="preserve"> pokračoval s dočasným boomem hypoték, </w:t>
      </w:r>
      <w:r w:rsidR="00EE64D0">
        <w:rPr>
          <w:rFonts w:ascii="Calibri" w:hAnsi="Calibri" w:cs="Calibri"/>
          <w:b/>
          <w:color w:val="13576B"/>
          <w:sz w:val="32"/>
          <w:szCs w:val="32"/>
        </w:rPr>
        <w:t>i díky nižší</w:t>
      </w:r>
      <w:r w:rsidR="006B4CAC">
        <w:rPr>
          <w:rFonts w:ascii="Calibri" w:hAnsi="Calibri" w:cs="Calibri"/>
          <w:b/>
          <w:color w:val="13576B"/>
          <w:sz w:val="32"/>
          <w:szCs w:val="32"/>
        </w:rPr>
        <w:t xml:space="preserve"> sazbě 4,4</w:t>
      </w:r>
      <w:r w:rsidR="00EE64D0">
        <w:rPr>
          <w:rFonts w:ascii="Calibri" w:hAnsi="Calibri" w:cs="Calibri"/>
          <w:b/>
          <w:color w:val="13576B"/>
          <w:sz w:val="32"/>
          <w:szCs w:val="32"/>
        </w:rPr>
        <w:t>3</w:t>
      </w:r>
      <w:r w:rsidR="006B4CAC">
        <w:rPr>
          <w:rFonts w:ascii="Calibri" w:hAnsi="Calibri" w:cs="Calibri"/>
          <w:b/>
          <w:color w:val="13576B"/>
          <w:sz w:val="32"/>
          <w:szCs w:val="32"/>
        </w:rPr>
        <w:t xml:space="preserve"> %.</w:t>
      </w:r>
    </w:p>
    <w:bookmarkEnd w:id="0"/>
    <w:p w14:paraId="7CBE19A6" w14:textId="32107607" w:rsidR="00A77DE1" w:rsidRPr="006B4CAC" w:rsidRDefault="007967E6" w:rsidP="002D7231">
      <w:pPr>
        <w:overflowPunct/>
        <w:autoSpaceDE/>
        <w:autoSpaceDN/>
        <w:adjustRightInd/>
        <w:spacing w:before="120" w:after="120"/>
        <w:textAlignment w:val="auto"/>
        <w:rPr>
          <w:rFonts w:ascii="Calibri" w:hAnsi="Calibri" w:cs="Calibri"/>
          <w:b/>
          <w:bCs/>
          <w:color w:val="13576B"/>
          <w:sz w:val="22"/>
          <w:szCs w:val="22"/>
        </w:rPr>
      </w:pPr>
      <w:r w:rsidRPr="006B4CAC">
        <w:rPr>
          <w:rFonts w:ascii="Calibri" w:hAnsi="Calibri" w:cs="Calibri"/>
          <w:b/>
          <w:bCs/>
          <w:color w:val="13576B"/>
          <w:sz w:val="22"/>
          <w:szCs w:val="22"/>
        </w:rPr>
        <w:t>Praha, 1</w:t>
      </w:r>
      <w:r w:rsidR="00EE64D0">
        <w:rPr>
          <w:rFonts w:ascii="Calibri" w:hAnsi="Calibri" w:cs="Calibri"/>
          <w:b/>
          <w:bCs/>
          <w:color w:val="13576B"/>
          <w:sz w:val="22"/>
          <w:szCs w:val="22"/>
        </w:rPr>
        <w:t>6</w:t>
      </w:r>
      <w:r w:rsidRPr="006B4CAC">
        <w:rPr>
          <w:rFonts w:ascii="Calibri" w:hAnsi="Calibri" w:cs="Calibri"/>
          <w:b/>
          <w:bCs/>
          <w:color w:val="13576B"/>
          <w:sz w:val="22"/>
          <w:szCs w:val="22"/>
        </w:rPr>
        <w:t>.</w:t>
      </w:r>
      <w:r w:rsidR="00EE64D0">
        <w:rPr>
          <w:rFonts w:ascii="Calibri" w:hAnsi="Calibri" w:cs="Calibri"/>
          <w:b/>
          <w:bCs/>
          <w:color w:val="13576B"/>
          <w:sz w:val="22"/>
          <w:szCs w:val="22"/>
        </w:rPr>
        <w:t xml:space="preserve"> duben</w:t>
      </w:r>
      <w:r w:rsidRPr="006B4CAC">
        <w:rPr>
          <w:rFonts w:ascii="Calibri" w:hAnsi="Calibri" w:cs="Calibri"/>
          <w:b/>
          <w:bCs/>
          <w:color w:val="13576B"/>
          <w:sz w:val="22"/>
          <w:szCs w:val="22"/>
        </w:rPr>
        <w:t xml:space="preserve"> </w:t>
      </w:r>
      <w:proofErr w:type="gramStart"/>
      <w:r w:rsidR="003C392F" w:rsidRPr="006B4CAC">
        <w:rPr>
          <w:rFonts w:ascii="Calibri" w:hAnsi="Calibri" w:cs="Calibri"/>
          <w:b/>
          <w:bCs/>
          <w:color w:val="13576B"/>
          <w:sz w:val="22"/>
          <w:szCs w:val="22"/>
        </w:rPr>
        <w:t xml:space="preserve">2025 – </w:t>
      </w:r>
      <w:r w:rsidR="00EE64D0">
        <w:rPr>
          <w:rFonts w:ascii="Calibri" w:hAnsi="Calibri" w:cs="Calibri"/>
          <w:b/>
          <w:bCs/>
          <w:color w:val="13576B"/>
          <w:sz w:val="22"/>
          <w:szCs w:val="22"/>
        </w:rPr>
        <w:t>Březen</w:t>
      </w:r>
      <w:proofErr w:type="gramEnd"/>
      <w:r w:rsidR="00EE64D0">
        <w:rPr>
          <w:rFonts w:ascii="Calibri" w:hAnsi="Calibri" w:cs="Calibri"/>
          <w:b/>
          <w:bCs/>
          <w:color w:val="13576B"/>
          <w:sz w:val="22"/>
          <w:szCs w:val="22"/>
        </w:rPr>
        <w:t xml:space="preserve"> se </w:t>
      </w:r>
      <w:r w:rsidR="00A77DE1">
        <w:rPr>
          <w:rFonts w:ascii="Calibri" w:hAnsi="Calibri" w:cs="Calibri"/>
          <w:b/>
          <w:bCs/>
          <w:color w:val="13576B"/>
          <w:sz w:val="22"/>
          <w:szCs w:val="22"/>
        </w:rPr>
        <w:t xml:space="preserve">se svým objemem nově poskytnutých hypoték zařadil mezi nejsilnější měsíce, a to </w:t>
      </w:r>
      <w:r w:rsidR="00555C70" w:rsidRPr="006B4CAC">
        <w:rPr>
          <w:rFonts w:ascii="Calibri" w:hAnsi="Calibri" w:cs="Calibri"/>
          <w:b/>
          <w:bCs/>
          <w:color w:val="13576B"/>
          <w:sz w:val="22"/>
          <w:szCs w:val="22"/>
        </w:rPr>
        <w:t>s</w:t>
      </w:r>
      <w:r w:rsidR="00A77DE1">
        <w:rPr>
          <w:rFonts w:ascii="Calibri" w:hAnsi="Calibri" w:cs="Calibri"/>
          <w:b/>
          <w:bCs/>
          <w:color w:val="13576B"/>
          <w:sz w:val="22"/>
          <w:szCs w:val="22"/>
        </w:rPr>
        <w:t xml:space="preserve">e stále </w:t>
      </w:r>
      <w:r w:rsidR="00131E24">
        <w:rPr>
          <w:rFonts w:ascii="Calibri" w:hAnsi="Calibri" w:cs="Calibri"/>
          <w:b/>
          <w:bCs/>
          <w:color w:val="13576B"/>
          <w:sz w:val="22"/>
          <w:szCs w:val="22"/>
        </w:rPr>
        <w:t>vysokým</w:t>
      </w:r>
      <w:r w:rsidR="00BA62A1" w:rsidRPr="006B4CAC">
        <w:rPr>
          <w:rFonts w:ascii="Calibri" w:hAnsi="Calibri" w:cs="Calibri"/>
          <w:b/>
          <w:bCs/>
          <w:color w:val="13576B"/>
          <w:sz w:val="22"/>
          <w:szCs w:val="22"/>
        </w:rPr>
        <w:t xml:space="preserve"> počt</w:t>
      </w:r>
      <w:r w:rsidR="00555C70" w:rsidRPr="006B4CAC">
        <w:rPr>
          <w:rFonts w:ascii="Calibri" w:hAnsi="Calibri" w:cs="Calibri"/>
          <w:b/>
          <w:bCs/>
          <w:color w:val="13576B"/>
          <w:sz w:val="22"/>
          <w:szCs w:val="22"/>
        </w:rPr>
        <w:t>em</w:t>
      </w:r>
      <w:r w:rsidR="00BA62A1" w:rsidRPr="006B4CAC">
        <w:rPr>
          <w:rFonts w:ascii="Calibri" w:hAnsi="Calibri" w:cs="Calibri"/>
          <w:b/>
          <w:bCs/>
          <w:color w:val="13576B"/>
          <w:sz w:val="22"/>
          <w:szCs w:val="22"/>
        </w:rPr>
        <w:t xml:space="preserve"> nově poskytnutých hypoték.</w:t>
      </w:r>
      <w:r w:rsidR="00A77DE1">
        <w:rPr>
          <w:rFonts w:ascii="Calibri" w:hAnsi="Calibri" w:cs="Calibri"/>
          <w:b/>
          <w:bCs/>
          <w:color w:val="13576B"/>
          <w:sz w:val="22"/>
          <w:szCs w:val="22"/>
        </w:rPr>
        <w:t xml:space="preserve"> </w:t>
      </w:r>
      <w:r w:rsidR="00A77DE1" w:rsidRPr="00A77DE1">
        <w:rPr>
          <w:rFonts w:ascii="Calibri" w:hAnsi="Calibri" w:cs="Calibri"/>
          <w:b/>
          <w:bCs/>
          <w:color w:val="13576B"/>
          <w:sz w:val="22"/>
          <w:szCs w:val="22"/>
        </w:rPr>
        <w:t>V březnu 2026 poskytly banky a stavební spořitelny skutečně nové hypotéky bez refinancování za 40,3 miliardy Kč. Oproti únoru aktivita objemově zesílila o 36 %, což odpovídá sezónnímu vlivu</w:t>
      </w:r>
      <w:r w:rsidR="002D7231">
        <w:rPr>
          <w:rFonts w:ascii="Calibri" w:hAnsi="Calibri" w:cs="Calibri"/>
          <w:b/>
          <w:bCs/>
          <w:color w:val="13576B"/>
          <w:sz w:val="22"/>
          <w:szCs w:val="22"/>
        </w:rPr>
        <w:t>,</w:t>
      </w:r>
      <w:r w:rsidR="00A77DE1">
        <w:rPr>
          <w:rFonts w:ascii="Calibri" w:hAnsi="Calibri" w:cs="Calibri"/>
          <w:b/>
          <w:bCs/>
          <w:color w:val="13576B"/>
          <w:sz w:val="22"/>
          <w:szCs w:val="22"/>
        </w:rPr>
        <w:t xml:space="preserve"> a</w:t>
      </w:r>
      <w:r w:rsidR="00490E04">
        <w:rPr>
          <w:rFonts w:ascii="Calibri" w:hAnsi="Calibri" w:cs="Calibri"/>
          <w:b/>
          <w:bCs/>
          <w:color w:val="13576B"/>
          <w:sz w:val="22"/>
          <w:szCs w:val="22"/>
        </w:rPr>
        <w:t xml:space="preserve"> i</w:t>
      </w:r>
      <w:r w:rsidR="00A77DE1">
        <w:rPr>
          <w:rFonts w:ascii="Calibri" w:hAnsi="Calibri" w:cs="Calibri"/>
          <w:b/>
          <w:bCs/>
          <w:color w:val="13576B"/>
          <w:sz w:val="22"/>
          <w:szCs w:val="22"/>
        </w:rPr>
        <w:t xml:space="preserve"> po sezónním </w:t>
      </w:r>
      <w:r w:rsidR="002D7231">
        <w:rPr>
          <w:rFonts w:ascii="Calibri" w:hAnsi="Calibri" w:cs="Calibri"/>
          <w:b/>
          <w:bCs/>
          <w:color w:val="13576B"/>
          <w:sz w:val="22"/>
          <w:szCs w:val="22"/>
        </w:rPr>
        <w:t xml:space="preserve">očistění </w:t>
      </w:r>
      <w:r w:rsidR="00490E04">
        <w:rPr>
          <w:rFonts w:ascii="Calibri" w:hAnsi="Calibri" w:cs="Calibri"/>
          <w:b/>
          <w:bCs/>
          <w:color w:val="13576B"/>
          <w:sz w:val="22"/>
          <w:szCs w:val="22"/>
        </w:rPr>
        <w:t>zůstal hypoteční trh silný jako v</w:t>
      </w:r>
      <w:r w:rsidR="002D7231">
        <w:rPr>
          <w:rFonts w:ascii="Calibri" w:hAnsi="Calibri" w:cs="Calibri"/>
          <w:b/>
          <w:bCs/>
          <w:color w:val="13576B"/>
          <w:sz w:val="22"/>
          <w:szCs w:val="22"/>
        </w:rPr>
        <w:t> lednu a únoru</w:t>
      </w:r>
      <w:r w:rsidR="00A77DE1" w:rsidRPr="00A77DE1">
        <w:rPr>
          <w:rFonts w:ascii="Calibri" w:hAnsi="Calibri" w:cs="Calibri"/>
          <w:b/>
          <w:bCs/>
          <w:color w:val="13576B"/>
          <w:sz w:val="22"/>
          <w:szCs w:val="22"/>
        </w:rPr>
        <w:t xml:space="preserve">. Od začátku roku tak objem </w:t>
      </w:r>
      <w:r w:rsidR="002D7231">
        <w:rPr>
          <w:rFonts w:ascii="Calibri" w:hAnsi="Calibri" w:cs="Calibri"/>
          <w:b/>
          <w:bCs/>
          <w:color w:val="13576B"/>
          <w:sz w:val="22"/>
          <w:szCs w:val="22"/>
        </w:rPr>
        <w:t xml:space="preserve">nových hypoték </w:t>
      </w:r>
      <w:r w:rsidR="00A77DE1" w:rsidRPr="00A77DE1">
        <w:rPr>
          <w:rFonts w:ascii="Calibri" w:hAnsi="Calibri" w:cs="Calibri"/>
          <w:b/>
          <w:bCs/>
          <w:color w:val="13576B"/>
          <w:sz w:val="22"/>
          <w:szCs w:val="22"/>
        </w:rPr>
        <w:t xml:space="preserve">dosáhl 97 miliard korun, tedy o 30 miliard více než před rokem. </w:t>
      </w:r>
      <w:r w:rsidR="00A77DE1" w:rsidRPr="006B4CAC">
        <w:rPr>
          <w:rFonts w:ascii="Calibri" w:hAnsi="Calibri" w:cs="Calibri"/>
          <w:b/>
          <w:bCs/>
          <w:color w:val="13576B"/>
          <w:sz w:val="22"/>
          <w:szCs w:val="22"/>
        </w:rPr>
        <w:t xml:space="preserve">K tomu se přidává silný objem refinancovaných hypoték, jejichž podíl na celkovém více než </w:t>
      </w:r>
      <w:r w:rsidR="002D7231">
        <w:rPr>
          <w:rFonts w:ascii="Calibri" w:hAnsi="Calibri" w:cs="Calibri"/>
          <w:b/>
          <w:bCs/>
          <w:color w:val="13576B"/>
          <w:sz w:val="22"/>
          <w:szCs w:val="22"/>
        </w:rPr>
        <w:t>55</w:t>
      </w:r>
      <w:r w:rsidR="00131E24">
        <w:rPr>
          <w:rFonts w:ascii="Calibri" w:hAnsi="Calibri" w:cs="Calibri"/>
          <w:b/>
          <w:bCs/>
          <w:color w:val="13576B"/>
          <w:sz w:val="22"/>
          <w:szCs w:val="22"/>
        </w:rPr>
        <w:t xml:space="preserve"> </w:t>
      </w:r>
      <w:r w:rsidR="00A77DE1" w:rsidRPr="006B4CAC">
        <w:rPr>
          <w:rFonts w:ascii="Calibri" w:hAnsi="Calibri" w:cs="Calibri"/>
          <w:b/>
          <w:bCs/>
          <w:color w:val="13576B"/>
          <w:sz w:val="22"/>
          <w:szCs w:val="22"/>
        </w:rPr>
        <w:t>mil</w:t>
      </w:r>
      <w:r w:rsidR="00131E24">
        <w:rPr>
          <w:rFonts w:ascii="Calibri" w:hAnsi="Calibri" w:cs="Calibri"/>
          <w:b/>
          <w:bCs/>
          <w:color w:val="13576B"/>
          <w:sz w:val="22"/>
          <w:szCs w:val="22"/>
        </w:rPr>
        <w:t>i</w:t>
      </w:r>
      <w:r w:rsidR="00A77DE1" w:rsidRPr="006B4CAC">
        <w:rPr>
          <w:rFonts w:ascii="Calibri" w:hAnsi="Calibri" w:cs="Calibri"/>
          <w:b/>
          <w:bCs/>
          <w:color w:val="13576B"/>
          <w:sz w:val="22"/>
          <w:szCs w:val="22"/>
        </w:rPr>
        <w:t>ardovém objemu nových hypotečních obchodů v únoru překonal 2</w:t>
      </w:r>
      <w:r w:rsidR="002D7231">
        <w:rPr>
          <w:rFonts w:ascii="Calibri" w:hAnsi="Calibri" w:cs="Calibri"/>
          <w:b/>
          <w:bCs/>
          <w:color w:val="13576B"/>
          <w:sz w:val="22"/>
          <w:szCs w:val="22"/>
        </w:rPr>
        <w:t>7</w:t>
      </w:r>
      <w:r w:rsidR="00A77DE1" w:rsidRPr="006B4CAC">
        <w:rPr>
          <w:rFonts w:ascii="Calibri" w:hAnsi="Calibri" w:cs="Calibri"/>
          <w:b/>
          <w:bCs/>
          <w:color w:val="13576B"/>
          <w:sz w:val="22"/>
          <w:szCs w:val="22"/>
        </w:rPr>
        <w:t xml:space="preserve"> %. </w:t>
      </w:r>
    </w:p>
    <w:p w14:paraId="1EE2E0C9" w14:textId="6AC9A7BF" w:rsidR="002D7231" w:rsidRDefault="002D7231" w:rsidP="005F4D52">
      <w:pPr>
        <w:overflowPunct/>
        <w:autoSpaceDE/>
        <w:autoSpaceDN/>
        <w:adjustRightInd/>
        <w:spacing w:before="120" w:after="120"/>
        <w:textAlignment w:val="auto"/>
        <w:rPr>
          <w:rFonts w:ascii="Calibri" w:hAnsi="Calibri" w:cs="Calibri"/>
          <w:b/>
          <w:bCs/>
          <w:color w:val="13576B"/>
          <w:sz w:val="22"/>
          <w:szCs w:val="22"/>
        </w:rPr>
      </w:pPr>
      <w:r>
        <w:rPr>
          <w:rFonts w:ascii="Calibri" w:hAnsi="Calibri" w:cs="Calibri"/>
          <w:b/>
          <w:bCs/>
          <w:color w:val="13576B"/>
          <w:sz w:val="22"/>
          <w:szCs w:val="22"/>
        </w:rPr>
        <w:t>Navzdory růstu tržních úrokových sazeb</w:t>
      </w:r>
      <w:r w:rsidRPr="006B4CAC">
        <w:rPr>
          <w:rFonts w:ascii="Calibri" w:hAnsi="Calibri" w:cs="Calibri"/>
          <w:b/>
          <w:bCs/>
          <w:color w:val="13576B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color w:val="13576B"/>
          <w:sz w:val="22"/>
          <w:szCs w:val="22"/>
        </w:rPr>
        <w:t>přispěl k</w:t>
      </w:r>
      <w:r w:rsidR="00555C70" w:rsidRPr="006B4CAC">
        <w:rPr>
          <w:rFonts w:ascii="Calibri" w:hAnsi="Calibri" w:cs="Calibri"/>
          <w:b/>
          <w:bCs/>
          <w:color w:val="13576B"/>
          <w:sz w:val="22"/>
          <w:szCs w:val="22"/>
        </w:rPr>
        <w:t> </w:t>
      </w:r>
      <w:r w:rsidR="00131E24">
        <w:rPr>
          <w:rFonts w:ascii="Calibri" w:hAnsi="Calibri" w:cs="Calibri"/>
          <w:b/>
          <w:bCs/>
          <w:color w:val="13576B"/>
          <w:sz w:val="22"/>
          <w:szCs w:val="22"/>
        </w:rPr>
        <w:t>vyššímu</w:t>
      </w:r>
      <w:r w:rsidR="00555C70" w:rsidRPr="006B4CAC">
        <w:rPr>
          <w:rFonts w:ascii="Calibri" w:hAnsi="Calibri" w:cs="Calibri"/>
          <w:b/>
          <w:bCs/>
          <w:color w:val="13576B"/>
          <w:sz w:val="22"/>
          <w:szCs w:val="22"/>
        </w:rPr>
        <w:t xml:space="preserve"> </w:t>
      </w:r>
      <w:r w:rsidR="006B4CAC" w:rsidRPr="006B4CAC">
        <w:rPr>
          <w:rFonts w:ascii="Calibri" w:hAnsi="Calibri" w:cs="Calibri"/>
          <w:b/>
          <w:bCs/>
          <w:color w:val="13576B"/>
          <w:sz w:val="22"/>
          <w:szCs w:val="22"/>
        </w:rPr>
        <w:t xml:space="preserve">objemu nově poskytnutých hypoték, </w:t>
      </w:r>
      <w:r w:rsidR="00555C70" w:rsidRPr="006B4CAC">
        <w:rPr>
          <w:rFonts w:ascii="Calibri" w:hAnsi="Calibri" w:cs="Calibri"/>
          <w:b/>
          <w:bCs/>
          <w:color w:val="13576B"/>
          <w:sz w:val="22"/>
          <w:szCs w:val="22"/>
        </w:rPr>
        <w:t>krom</w:t>
      </w:r>
      <w:r w:rsidR="00131E24">
        <w:rPr>
          <w:rFonts w:ascii="Calibri" w:hAnsi="Calibri" w:cs="Calibri"/>
          <w:b/>
          <w:bCs/>
          <w:color w:val="13576B"/>
          <w:sz w:val="22"/>
          <w:szCs w:val="22"/>
        </w:rPr>
        <w:t>ě</w:t>
      </w:r>
      <w:r w:rsidR="00555C70" w:rsidRPr="006B4CAC">
        <w:rPr>
          <w:rFonts w:ascii="Calibri" w:hAnsi="Calibri" w:cs="Calibri"/>
          <w:b/>
          <w:bCs/>
          <w:color w:val="13576B"/>
          <w:sz w:val="22"/>
          <w:szCs w:val="22"/>
        </w:rPr>
        <w:t xml:space="preserve"> blížících se </w:t>
      </w:r>
      <w:hyperlink r:id="rId11" w:history="1">
        <w:r w:rsidR="00555C70" w:rsidRPr="003C3451">
          <w:rPr>
            <w:rStyle w:val="Hyperlink"/>
            <w:rFonts w:ascii="Calibri" w:hAnsi="Calibri" w:cs="Calibri"/>
            <w:b/>
            <w:bCs/>
            <w:sz w:val="22"/>
            <w:szCs w:val="22"/>
          </w:rPr>
          <w:t>přísnějších podmínek</w:t>
        </w:r>
      </w:hyperlink>
      <w:r w:rsidR="00555C70" w:rsidRPr="006B4CAC">
        <w:rPr>
          <w:rFonts w:ascii="Calibri" w:hAnsi="Calibri" w:cs="Calibri"/>
          <w:b/>
          <w:bCs/>
          <w:color w:val="13576B"/>
          <w:sz w:val="22"/>
          <w:szCs w:val="22"/>
        </w:rPr>
        <w:t xml:space="preserve"> ČNB </w:t>
      </w:r>
      <w:r w:rsidR="00490E04">
        <w:rPr>
          <w:rFonts w:ascii="Calibri" w:hAnsi="Calibri" w:cs="Calibri"/>
          <w:b/>
          <w:bCs/>
          <w:color w:val="13576B"/>
          <w:sz w:val="22"/>
          <w:szCs w:val="22"/>
        </w:rPr>
        <w:t>pro</w:t>
      </w:r>
      <w:r w:rsidR="00555C70" w:rsidRPr="006B4CAC">
        <w:rPr>
          <w:rFonts w:ascii="Calibri" w:hAnsi="Calibri" w:cs="Calibri"/>
          <w:b/>
          <w:bCs/>
          <w:color w:val="13576B"/>
          <w:sz w:val="22"/>
          <w:szCs w:val="22"/>
        </w:rPr>
        <w:t xml:space="preserve"> tzv. investiční hypoték</w:t>
      </w:r>
      <w:r w:rsidR="00131E24">
        <w:rPr>
          <w:rFonts w:ascii="Calibri" w:hAnsi="Calibri" w:cs="Calibri"/>
          <w:b/>
          <w:bCs/>
          <w:color w:val="13576B"/>
          <w:sz w:val="22"/>
          <w:szCs w:val="22"/>
        </w:rPr>
        <w:t>y</w:t>
      </w:r>
      <w:r w:rsidR="006B4CAC" w:rsidRPr="006B4CAC">
        <w:rPr>
          <w:rFonts w:ascii="Calibri" w:hAnsi="Calibri" w:cs="Calibri"/>
          <w:b/>
          <w:bCs/>
          <w:color w:val="13576B"/>
          <w:sz w:val="22"/>
          <w:szCs w:val="22"/>
        </w:rPr>
        <w:t>,</w:t>
      </w:r>
      <w:r w:rsidR="00555C70" w:rsidRPr="006B4CAC">
        <w:rPr>
          <w:rFonts w:ascii="Calibri" w:hAnsi="Calibri" w:cs="Calibri"/>
          <w:b/>
          <w:bCs/>
          <w:color w:val="13576B"/>
          <w:sz w:val="22"/>
          <w:szCs w:val="22"/>
        </w:rPr>
        <w:t xml:space="preserve"> i další mírný pokles p</w:t>
      </w:r>
      <w:r w:rsidR="00AB747A" w:rsidRPr="006B4CAC">
        <w:rPr>
          <w:rFonts w:ascii="Calibri" w:hAnsi="Calibri" w:cs="Calibri"/>
          <w:b/>
          <w:bCs/>
          <w:color w:val="13576B"/>
          <w:sz w:val="22"/>
          <w:szCs w:val="22"/>
        </w:rPr>
        <w:t>růměrn</w:t>
      </w:r>
      <w:r w:rsidR="00131E24">
        <w:rPr>
          <w:rFonts w:ascii="Calibri" w:hAnsi="Calibri" w:cs="Calibri"/>
          <w:b/>
          <w:bCs/>
          <w:color w:val="13576B"/>
          <w:sz w:val="22"/>
          <w:szCs w:val="22"/>
        </w:rPr>
        <w:t>é</w:t>
      </w:r>
      <w:r w:rsidR="00AB747A" w:rsidRPr="006B4CAC">
        <w:rPr>
          <w:rFonts w:ascii="Calibri" w:hAnsi="Calibri" w:cs="Calibri"/>
          <w:b/>
          <w:bCs/>
          <w:color w:val="13576B"/>
          <w:sz w:val="22"/>
          <w:szCs w:val="22"/>
        </w:rPr>
        <w:t xml:space="preserve"> realizova</w:t>
      </w:r>
      <w:r w:rsidR="00555C70" w:rsidRPr="006B4CAC">
        <w:rPr>
          <w:rFonts w:ascii="Calibri" w:hAnsi="Calibri" w:cs="Calibri"/>
          <w:b/>
          <w:bCs/>
          <w:color w:val="13576B"/>
          <w:sz w:val="22"/>
          <w:szCs w:val="22"/>
        </w:rPr>
        <w:t xml:space="preserve">né </w:t>
      </w:r>
      <w:r w:rsidR="00AB747A" w:rsidRPr="006B4CAC">
        <w:rPr>
          <w:rFonts w:ascii="Calibri" w:hAnsi="Calibri" w:cs="Calibri"/>
          <w:b/>
          <w:bCs/>
          <w:color w:val="13576B"/>
          <w:sz w:val="22"/>
          <w:szCs w:val="22"/>
        </w:rPr>
        <w:t>úrokov</w:t>
      </w:r>
      <w:r w:rsidR="00555C70" w:rsidRPr="006B4CAC">
        <w:rPr>
          <w:rFonts w:ascii="Calibri" w:hAnsi="Calibri" w:cs="Calibri"/>
          <w:b/>
          <w:bCs/>
          <w:color w:val="13576B"/>
          <w:sz w:val="22"/>
          <w:szCs w:val="22"/>
        </w:rPr>
        <w:t>é</w:t>
      </w:r>
      <w:r w:rsidR="00AB747A" w:rsidRPr="006B4CAC">
        <w:rPr>
          <w:rFonts w:ascii="Calibri" w:hAnsi="Calibri" w:cs="Calibri"/>
          <w:b/>
          <w:bCs/>
          <w:color w:val="13576B"/>
          <w:sz w:val="22"/>
          <w:szCs w:val="22"/>
        </w:rPr>
        <w:t xml:space="preserve"> sazb</w:t>
      </w:r>
      <w:r w:rsidR="00555C70" w:rsidRPr="006B4CAC">
        <w:rPr>
          <w:rFonts w:ascii="Calibri" w:hAnsi="Calibri" w:cs="Calibri"/>
          <w:b/>
          <w:bCs/>
          <w:color w:val="13576B"/>
          <w:sz w:val="22"/>
          <w:szCs w:val="22"/>
        </w:rPr>
        <w:t>y</w:t>
      </w:r>
      <w:r w:rsidR="00AB747A" w:rsidRPr="006B4CAC">
        <w:rPr>
          <w:rFonts w:ascii="Calibri" w:hAnsi="Calibri" w:cs="Calibri"/>
          <w:b/>
          <w:bCs/>
          <w:color w:val="13576B"/>
          <w:sz w:val="22"/>
          <w:szCs w:val="22"/>
        </w:rPr>
        <w:t xml:space="preserve"> u nových hypoték na 4,4</w:t>
      </w:r>
      <w:r>
        <w:rPr>
          <w:rFonts w:ascii="Calibri" w:hAnsi="Calibri" w:cs="Calibri"/>
          <w:b/>
          <w:bCs/>
          <w:color w:val="13576B"/>
          <w:sz w:val="22"/>
          <w:szCs w:val="22"/>
        </w:rPr>
        <w:t>3</w:t>
      </w:r>
      <w:r w:rsidR="00AB747A" w:rsidRPr="006B4CAC">
        <w:rPr>
          <w:rFonts w:ascii="Calibri" w:hAnsi="Calibri" w:cs="Calibri"/>
          <w:b/>
          <w:bCs/>
          <w:color w:val="13576B"/>
          <w:sz w:val="22"/>
          <w:szCs w:val="22"/>
        </w:rPr>
        <w:t xml:space="preserve"> % z </w:t>
      </w:r>
      <w:r>
        <w:rPr>
          <w:rFonts w:ascii="Calibri" w:hAnsi="Calibri" w:cs="Calibri"/>
          <w:b/>
          <w:bCs/>
          <w:color w:val="13576B"/>
          <w:sz w:val="22"/>
          <w:szCs w:val="22"/>
        </w:rPr>
        <w:t>únorových</w:t>
      </w:r>
      <w:r w:rsidR="00AB747A" w:rsidRPr="006B4CAC">
        <w:rPr>
          <w:rFonts w:ascii="Calibri" w:hAnsi="Calibri" w:cs="Calibri"/>
          <w:b/>
          <w:bCs/>
          <w:color w:val="13576B"/>
          <w:sz w:val="22"/>
          <w:szCs w:val="22"/>
        </w:rPr>
        <w:t xml:space="preserve"> 4,4</w:t>
      </w:r>
      <w:r>
        <w:rPr>
          <w:rFonts w:ascii="Calibri" w:hAnsi="Calibri" w:cs="Calibri"/>
          <w:b/>
          <w:bCs/>
          <w:color w:val="13576B"/>
          <w:sz w:val="22"/>
          <w:szCs w:val="22"/>
        </w:rPr>
        <w:t>6</w:t>
      </w:r>
      <w:r w:rsidR="00AB747A" w:rsidRPr="006B4CAC">
        <w:rPr>
          <w:rFonts w:ascii="Calibri" w:hAnsi="Calibri" w:cs="Calibri"/>
          <w:b/>
          <w:bCs/>
          <w:color w:val="13576B"/>
          <w:sz w:val="22"/>
          <w:szCs w:val="22"/>
        </w:rPr>
        <w:t xml:space="preserve"> %. </w:t>
      </w:r>
      <w:r w:rsidR="005A4638">
        <w:rPr>
          <w:rFonts w:ascii="Calibri" w:hAnsi="Calibri" w:cs="Calibri"/>
          <w:b/>
          <w:bCs/>
          <w:color w:val="13576B"/>
          <w:sz w:val="22"/>
          <w:szCs w:val="22"/>
        </w:rPr>
        <w:t xml:space="preserve">Banky tak v březnu tlumily nárůst tržních úrokových sazeb. </w:t>
      </w:r>
      <w:hyperlink r:id="rId12" w:history="1">
        <w:r w:rsidR="005A4638" w:rsidRPr="005A4638">
          <w:rPr>
            <w:rStyle w:val="Hyperlink"/>
            <w:rFonts w:ascii="Calibri" w:hAnsi="Calibri" w:cs="Calibri"/>
            <w:b/>
            <w:bCs/>
            <w:sz w:val="22"/>
            <w:szCs w:val="22"/>
          </w:rPr>
          <w:t>V naší studii</w:t>
        </w:r>
      </w:hyperlink>
      <w:r w:rsidR="005A4638">
        <w:rPr>
          <w:rFonts w:ascii="Calibri" w:hAnsi="Calibri" w:cs="Calibri"/>
          <w:b/>
          <w:bCs/>
          <w:color w:val="13576B"/>
          <w:sz w:val="22"/>
          <w:szCs w:val="22"/>
        </w:rPr>
        <w:t xml:space="preserve"> jsme poukázal</w:t>
      </w:r>
      <w:r w:rsidR="00131E24">
        <w:rPr>
          <w:rFonts w:ascii="Calibri" w:hAnsi="Calibri" w:cs="Calibri"/>
          <w:b/>
          <w:bCs/>
          <w:color w:val="13576B"/>
          <w:sz w:val="22"/>
          <w:szCs w:val="22"/>
        </w:rPr>
        <w:t>i</w:t>
      </w:r>
      <w:r w:rsidR="005A4638">
        <w:rPr>
          <w:rFonts w:ascii="Calibri" w:hAnsi="Calibri" w:cs="Calibri"/>
          <w:b/>
          <w:bCs/>
          <w:color w:val="13576B"/>
          <w:sz w:val="22"/>
          <w:szCs w:val="22"/>
        </w:rPr>
        <w:t xml:space="preserve"> na strukturální faktory, především sílu poptávky na konkurenčním trhu, které ovlivňují působení tržních úrokových sazeb na hypoteční sazby. </w:t>
      </w:r>
      <w:r>
        <w:rPr>
          <w:rFonts w:ascii="Calibri" w:hAnsi="Calibri" w:cs="Calibri"/>
          <w:b/>
          <w:bCs/>
          <w:color w:val="13576B"/>
          <w:sz w:val="22"/>
          <w:szCs w:val="22"/>
        </w:rPr>
        <w:t>Efekt předzásobení se nižší úrokovou sazbou či investiční hypotékou se pravděpodobně odrazil i ve vyšší průměrné velikosti hypotéky. Ta v březnu překonala 4,8 mili</w:t>
      </w:r>
      <w:r w:rsidR="00734198">
        <w:rPr>
          <w:rFonts w:ascii="Calibri" w:hAnsi="Calibri" w:cs="Calibri"/>
          <w:b/>
          <w:bCs/>
          <w:color w:val="13576B"/>
          <w:sz w:val="22"/>
          <w:szCs w:val="22"/>
        </w:rPr>
        <w:t>o</w:t>
      </w:r>
      <w:r>
        <w:rPr>
          <w:rFonts w:ascii="Calibri" w:hAnsi="Calibri" w:cs="Calibri"/>
          <w:b/>
          <w:bCs/>
          <w:color w:val="13576B"/>
          <w:sz w:val="22"/>
          <w:szCs w:val="22"/>
        </w:rPr>
        <w:t>nu korun. Tento nárůst se odrazil i ve vyšší měsíční splátce u nově poskytnuté hypotéky, která v</w:t>
      </w:r>
      <w:r w:rsidR="005A4638">
        <w:rPr>
          <w:rFonts w:ascii="Calibri" w:hAnsi="Calibri" w:cs="Calibri"/>
          <w:b/>
          <w:bCs/>
          <w:color w:val="13576B"/>
          <w:sz w:val="22"/>
          <w:szCs w:val="22"/>
        </w:rPr>
        <w:t> </w:t>
      </w:r>
      <w:r>
        <w:rPr>
          <w:rFonts w:ascii="Calibri" w:hAnsi="Calibri" w:cs="Calibri"/>
          <w:b/>
          <w:bCs/>
          <w:color w:val="13576B"/>
          <w:sz w:val="22"/>
          <w:szCs w:val="22"/>
        </w:rPr>
        <w:t>březnu</w:t>
      </w:r>
      <w:r w:rsidR="005A4638">
        <w:rPr>
          <w:rFonts w:ascii="Calibri" w:hAnsi="Calibri" w:cs="Calibri"/>
          <w:b/>
          <w:bCs/>
          <w:color w:val="13576B"/>
          <w:sz w:val="22"/>
          <w:szCs w:val="22"/>
        </w:rPr>
        <w:t xml:space="preserve"> v průměru </w:t>
      </w:r>
      <w:r w:rsidR="0046433E">
        <w:rPr>
          <w:rFonts w:ascii="Calibri" w:hAnsi="Calibri" w:cs="Calibri"/>
          <w:b/>
          <w:bCs/>
          <w:color w:val="13576B"/>
          <w:sz w:val="22"/>
          <w:szCs w:val="22"/>
        </w:rPr>
        <w:t>překročila</w:t>
      </w:r>
      <w:r w:rsidR="005A4638">
        <w:rPr>
          <w:rFonts w:ascii="Calibri" w:hAnsi="Calibri" w:cs="Calibri"/>
          <w:b/>
          <w:bCs/>
          <w:color w:val="13576B"/>
          <w:sz w:val="22"/>
          <w:szCs w:val="22"/>
        </w:rPr>
        <w:t xml:space="preserve"> </w:t>
      </w:r>
      <w:r w:rsidR="0046433E">
        <w:rPr>
          <w:rFonts w:ascii="Calibri" w:hAnsi="Calibri" w:cs="Calibri"/>
          <w:b/>
          <w:bCs/>
          <w:color w:val="13576B"/>
          <w:sz w:val="22"/>
          <w:szCs w:val="22"/>
        </w:rPr>
        <w:t xml:space="preserve">25 tisíc korun a u mediánu 20 tisíc Kč. </w:t>
      </w:r>
    </w:p>
    <w:p w14:paraId="49FA0DA4" w14:textId="580D9109" w:rsidR="006B4CAC" w:rsidRPr="006B4CAC" w:rsidRDefault="001B59D5" w:rsidP="006B4CAC">
      <w:pPr>
        <w:overflowPunct/>
        <w:autoSpaceDE/>
        <w:autoSpaceDN/>
        <w:adjustRightInd/>
        <w:spacing w:before="120" w:after="120"/>
        <w:textAlignment w:val="auto"/>
        <w:rPr>
          <w:rFonts w:ascii="Calibri" w:hAnsi="Calibri" w:cs="Calibri"/>
          <w:b/>
          <w:bCs/>
          <w:color w:val="13576B"/>
          <w:sz w:val="22"/>
          <w:szCs w:val="22"/>
        </w:rPr>
      </w:pPr>
      <w:r w:rsidRPr="001B59D5">
        <w:rPr>
          <w:rFonts w:ascii="Calibri" w:hAnsi="Calibri" w:cs="Calibri"/>
          <w:b/>
          <w:bCs/>
          <w:color w:val="13576B"/>
          <w:sz w:val="22"/>
          <w:szCs w:val="22"/>
        </w:rPr>
        <w:t xml:space="preserve">Uvedené informace plynou z údajů ČBA Hypomonitoru, který zachycuje data všech tuzemských bank a stavebních spořitelen poskytujících hypoteční úvěry. </w:t>
      </w:r>
      <w:r w:rsidR="006B4CAC" w:rsidRPr="006B4CAC">
        <w:rPr>
          <w:rFonts w:ascii="Calibri" w:hAnsi="Calibri" w:cs="Calibri"/>
          <w:b/>
          <w:bCs/>
          <w:color w:val="13576B"/>
          <w:sz w:val="22"/>
          <w:szCs w:val="22"/>
        </w:rPr>
        <w:t xml:space="preserve">Další zasedání ČNB spojené s nastavením </w:t>
      </w:r>
      <w:proofErr w:type="spellStart"/>
      <w:r w:rsidR="006B4CAC" w:rsidRPr="006B4CAC">
        <w:rPr>
          <w:rFonts w:ascii="Calibri" w:hAnsi="Calibri" w:cs="Calibri"/>
          <w:b/>
          <w:bCs/>
          <w:color w:val="13576B"/>
          <w:sz w:val="22"/>
          <w:szCs w:val="22"/>
        </w:rPr>
        <w:t>makroobezřetnostní</w:t>
      </w:r>
      <w:proofErr w:type="spellEnd"/>
      <w:r w:rsidR="006B4CAC" w:rsidRPr="006B4CAC">
        <w:rPr>
          <w:rFonts w:ascii="Calibri" w:hAnsi="Calibri" w:cs="Calibri"/>
          <w:b/>
          <w:bCs/>
          <w:color w:val="13576B"/>
          <w:sz w:val="22"/>
          <w:szCs w:val="22"/>
        </w:rPr>
        <w:t xml:space="preserve"> politiky hypoték proběhne 4. června po březnovém relativně jestřábím komentáři k nastavení současné 1,25%</w:t>
      </w:r>
      <w:r w:rsidR="005A4638">
        <w:rPr>
          <w:rFonts w:ascii="Calibri" w:hAnsi="Calibri" w:cs="Calibri"/>
          <w:b/>
          <w:bCs/>
          <w:color w:val="13576B"/>
          <w:sz w:val="22"/>
          <w:szCs w:val="22"/>
        </w:rPr>
        <w:t xml:space="preserve"> </w:t>
      </w:r>
      <w:r w:rsidR="006B4CAC" w:rsidRPr="006B4CAC">
        <w:rPr>
          <w:rFonts w:ascii="Calibri" w:hAnsi="Calibri" w:cs="Calibri"/>
          <w:b/>
          <w:bCs/>
          <w:color w:val="13576B"/>
          <w:sz w:val="22"/>
          <w:szCs w:val="22"/>
        </w:rPr>
        <w:t>proticyklické kapitálové rezervy (následná jednání budou 10. září a 26. listopadu).</w:t>
      </w:r>
    </w:p>
    <w:p w14:paraId="4A7C2A28" w14:textId="707636E6" w:rsidR="00425883" w:rsidRDefault="00425883" w:rsidP="0009562F">
      <w:pPr>
        <w:overflowPunct/>
        <w:autoSpaceDE/>
        <w:autoSpaceDN/>
        <w:adjustRightInd/>
        <w:spacing w:before="120" w:after="120"/>
        <w:textAlignment w:val="auto"/>
        <w:rPr>
          <w:rFonts w:ascii="Calibri" w:hAnsi="Calibri" w:cs="Calibri"/>
          <w:b/>
          <w:color w:val="13576B"/>
          <w:sz w:val="23"/>
          <w:szCs w:val="23"/>
        </w:rPr>
      </w:pPr>
      <w:r w:rsidRPr="003F159E">
        <w:rPr>
          <w:rFonts w:ascii="Calibri" w:hAnsi="Calibri" w:cs="Calibri"/>
          <w:b/>
          <w:color w:val="13576B"/>
          <w:sz w:val="23"/>
          <w:szCs w:val="23"/>
        </w:rPr>
        <w:t xml:space="preserve">Tabulka č. 1: Shrnutí objemu poskytnutých hypoték a průměrných úrokových sazeb za </w:t>
      </w:r>
      <w:r w:rsidR="002D7231">
        <w:rPr>
          <w:rFonts w:ascii="Calibri" w:hAnsi="Calibri" w:cs="Calibri"/>
          <w:b/>
          <w:color w:val="13576B"/>
          <w:sz w:val="23"/>
          <w:szCs w:val="23"/>
        </w:rPr>
        <w:t>březen</w:t>
      </w:r>
      <w:r>
        <w:rPr>
          <w:rFonts w:ascii="Calibri" w:hAnsi="Calibri" w:cs="Calibri"/>
          <w:b/>
          <w:color w:val="13576B"/>
          <w:sz w:val="23"/>
          <w:szCs w:val="23"/>
        </w:rPr>
        <w:t xml:space="preserve"> 202</w:t>
      </w:r>
      <w:r w:rsidR="00BA3140">
        <w:rPr>
          <w:rFonts w:ascii="Calibri" w:hAnsi="Calibri" w:cs="Calibri"/>
          <w:b/>
          <w:color w:val="13576B"/>
          <w:sz w:val="23"/>
          <w:szCs w:val="23"/>
        </w:rPr>
        <w:t>6</w:t>
      </w:r>
    </w:p>
    <w:tbl>
      <w:tblPr>
        <w:tblW w:w="956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0"/>
        <w:gridCol w:w="1102"/>
        <w:gridCol w:w="960"/>
        <w:gridCol w:w="960"/>
        <w:gridCol w:w="242"/>
        <w:gridCol w:w="993"/>
        <w:gridCol w:w="992"/>
        <w:gridCol w:w="774"/>
      </w:tblGrid>
      <w:tr w:rsidR="003C3451" w:rsidRPr="00A06A94" w14:paraId="23438AFD" w14:textId="77777777" w:rsidTr="006E30DB">
        <w:trPr>
          <w:trHeight w:val="300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43B7281" w14:textId="77777777" w:rsidR="003C3451" w:rsidRPr="00072DB9" w:rsidRDefault="003C3451" w:rsidP="006E30DB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22" w:type="dxa"/>
            <w:gridSpan w:val="3"/>
            <w:tcBorders>
              <w:top w:val="nil"/>
              <w:left w:val="nil"/>
            </w:tcBorders>
            <w:shd w:val="clear" w:color="000000" w:fill="FFFFFF"/>
            <w:vAlign w:val="bottom"/>
          </w:tcPr>
          <w:p w14:paraId="07A4A00D" w14:textId="77777777" w:rsidR="003C3451" w:rsidRPr="00072DB9" w:rsidRDefault="003C3451" w:rsidP="006E30D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b/>
                <w:bCs/>
                <w:color w:val="13576B"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color w:val="13576B"/>
                <w:sz w:val="22"/>
                <w:szCs w:val="22"/>
              </w:rPr>
              <w:t>měsíční hodnoty</w:t>
            </w:r>
          </w:p>
        </w:tc>
        <w:tc>
          <w:tcPr>
            <w:tcW w:w="242" w:type="dxa"/>
            <w:tcBorders>
              <w:top w:val="nil"/>
              <w:right w:val="nil"/>
            </w:tcBorders>
            <w:vAlign w:val="bottom"/>
          </w:tcPr>
          <w:p w14:paraId="519CB663" w14:textId="77777777" w:rsidR="003C3451" w:rsidRPr="00072DB9" w:rsidRDefault="003C3451" w:rsidP="006E30D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b/>
                <w:bCs/>
                <w:color w:val="13576B"/>
                <w:sz w:val="22"/>
                <w:szCs w:val="22"/>
              </w:rPr>
            </w:pPr>
          </w:p>
        </w:tc>
        <w:tc>
          <w:tcPr>
            <w:tcW w:w="2759" w:type="dxa"/>
            <w:gridSpan w:val="3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</w:tcPr>
          <w:p w14:paraId="040DDF7E" w14:textId="77777777" w:rsidR="003C3451" w:rsidRPr="00A06A94" w:rsidRDefault="003C3451" w:rsidP="006E30D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i/>
                <w:iCs/>
                <w:color w:val="13576B"/>
                <w:sz w:val="22"/>
                <w:szCs w:val="22"/>
              </w:rPr>
            </w:pPr>
            <w:r w:rsidRPr="00A06A94">
              <w:rPr>
                <w:rFonts w:ascii="Calibri Light" w:hAnsi="Calibri Light" w:cs="Calibri Light"/>
                <w:i/>
                <w:iCs/>
                <w:color w:val="13576B"/>
                <w:sz w:val="22"/>
                <w:szCs w:val="22"/>
              </w:rPr>
              <w:t>hodnoty od začátku roku</w:t>
            </w:r>
          </w:p>
        </w:tc>
      </w:tr>
      <w:tr w:rsidR="003C3451" w:rsidRPr="00A06A94" w14:paraId="384D4BC7" w14:textId="77777777" w:rsidTr="006E30DB">
        <w:trPr>
          <w:trHeight w:val="300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37D7CF" w14:textId="77777777" w:rsidR="003C3451" w:rsidRPr="00072DB9" w:rsidRDefault="003C3451" w:rsidP="006E30DB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2DB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2" w:type="dxa"/>
            <w:vMerge w:val="restart"/>
            <w:tcBorders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5F207B" w14:textId="77777777" w:rsidR="003C3451" w:rsidRPr="00072DB9" w:rsidRDefault="003C3451" w:rsidP="006E30D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b/>
                <w:bCs/>
                <w:color w:val="13576B"/>
                <w:sz w:val="22"/>
                <w:szCs w:val="22"/>
              </w:rPr>
            </w:pPr>
            <w:r w:rsidRPr="00072DB9">
              <w:rPr>
                <w:rFonts w:ascii="Calibri Light" w:hAnsi="Calibri Light" w:cs="Calibri Light"/>
                <w:b/>
                <w:bCs/>
                <w:color w:val="13576B"/>
                <w:sz w:val="22"/>
                <w:szCs w:val="22"/>
              </w:rPr>
              <w:t>Objem</w:t>
            </w:r>
            <w:r w:rsidRPr="00072DB9">
              <w:rPr>
                <w:rFonts w:ascii="Calibri Light" w:hAnsi="Calibri Light" w:cs="Calibri Light"/>
                <w:b/>
                <w:bCs/>
                <w:color w:val="13576B"/>
                <w:sz w:val="22"/>
                <w:szCs w:val="22"/>
              </w:rPr>
              <w:br/>
              <w:t>(mld. Kč)</w:t>
            </w:r>
          </w:p>
        </w:tc>
        <w:tc>
          <w:tcPr>
            <w:tcW w:w="960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6DC0F7" w14:textId="77777777" w:rsidR="003C3451" w:rsidRPr="00072DB9" w:rsidRDefault="003C3451" w:rsidP="006E30D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b/>
                <w:bCs/>
                <w:color w:val="13576B"/>
                <w:sz w:val="22"/>
                <w:szCs w:val="22"/>
              </w:rPr>
            </w:pPr>
            <w:r w:rsidRPr="00072DB9">
              <w:rPr>
                <w:rFonts w:ascii="Calibri Light" w:hAnsi="Calibri Light" w:cs="Calibri Light"/>
                <w:b/>
                <w:bCs/>
                <w:color w:val="13576B"/>
                <w:sz w:val="22"/>
                <w:szCs w:val="22"/>
              </w:rPr>
              <w:t>Počet</w:t>
            </w:r>
          </w:p>
        </w:tc>
        <w:tc>
          <w:tcPr>
            <w:tcW w:w="960" w:type="dxa"/>
            <w:vMerge w:val="restart"/>
            <w:tcBorders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2F9072A3" w14:textId="77777777" w:rsidR="003C3451" w:rsidRPr="00072DB9" w:rsidRDefault="003C3451" w:rsidP="006E30D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b/>
                <w:bCs/>
                <w:color w:val="13576B"/>
                <w:sz w:val="22"/>
                <w:szCs w:val="22"/>
              </w:rPr>
            </w:pPr>
            <w:r w:rsidRPr="00072DB9">
              <w:rPr>
                <w:rFonts w:ascii="Calibri Light" w:hAnsi="Calibri Light" w:cs="Calibri Light"/>
                <w:b/>
                <w:bCs/>
                <w:color w:val="13576B"/>
                <w:sz w:val="22"/>
                <w:szCs w:val="22"/>
              </w:rPr>
              <w:t>Sazba</w:t>
            </w:r>
            <w:r w:rsidRPr="00072DB9">
              <w:rPr>
                <w:rFonts w:ascii="Calibri Light" w:hAnsi="Calibri Light" w:cs="Calibri Light"/>
                <w:b/>
                <w:bCs/>
                <w:color w:val="13576B"/>
                <w:sz w:val="22"/>
                <w:szCs w:val="22"/>
              </w:rPr>
              <w:br/>
              <w:t xml:space="preserve"> (%)</w:t>
            </w:r>
          </w:p>
        </w:tc>
        <w:tc>
          <w:tcPr>
            <w:tcW w:w="242" w:type="dxa"/>
            <w:tcBorders>
              <w:left w:val="nil"/>
              <w:right w:val="nil"/>
            </w:tcBorders>
            <w:vAlign w:val="bottom"/>
          </w:tcPr>
          <w:p w14:paraId="538AA5D0" w14:textId="77777777" w:rsidR="003C3451" w:rsidRPr="00072DB9" w:rsidRDefault="003C3451" w:rsidP="006E30D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b/>
                <w:bCs/>
                <w:color w:val="13576B"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14:paraId="09080B29" w14:textId="77777777" w:rsidR="003C3451" w:rsidRPr="00A06A94" w:rsidRDefault="003C3451" w:rsidP="006E30D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i/>
                <w:iCs/>
                <w:color w:val="13576B"/>
                <w:sz w:val="22"/>
                <w:szCs w:val="22"/>
              </w:rPr>
            </w:pPr>
            <w:r w:rsidRPr="00A06A94">
              <w:rPr>
                <w:rFonts w:ascii="Calibri Light" w:hAnsi="Calibri Light" w:cs="Calibri Light"/>
                <w:i/>
                <w:iCs/>
                <w:color w:val="13576B"/>
                <w:sz w:val="22"/>
                <w:szCs w:val="22"/>
              </w:rPr>
              <w:t>Objem</w:t>
            </w:r>
            <w:r w:rsidRPr="00A06A94">
              <w:rPr>
                <w:rFonts w:ascii="Calibri Light" w:hAnsi="Calibri Light" w:cs="Calibri Light"/>
                <w:i/>
                <w:iCs/>
                <w:color w:val="13576B"/>
                <w:sz w:val="22"/>
                <w:szCs w:val="22"/>
              </w:rPr>
              <w:br/>
              <w:t>(mld. Kč)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A0DB45" w14:textId="77777777" w:rsidR="003C3451" w:rsidRPr="00A06A94" w:rsidRDefault="003C3451" w:rsidP="006E30DB">
            <w:pPr>
              <w:overflowPunct/>
              <w:autoSpaceDE/>
              <w:autoSpaceDN/>
              <w:adjustRightInd/>
              <w:ind w:left="-73" w:firstLine="73"/>
              <w:jc w:val="center"/>
              <w:textAlignment w:val="auto"/>
              <w:rPr>
                <w:rFonts w:ascii="Calibri Light" w:hAnsi="Calibri Light" w:cs="Calibri Light"/>
                <w:i/>
                <w:iCs/>
                <w:color w:val="13576B"/>
                <w:sz w:val="22"/>
                <w:szCs w:val="22"/>
              </w:rPr>
            </w:pPr>
            <w:r w:rsidRPr="00A06A94">
              <w:rPr>
                <w:rFonts w:ascii="Calibri Light" w:hAnsi="Calibri Light" w:cs="Calibri Light"/>
                <w:i/>
                <w:iCs/>
                <w:color w:val="13576B"/>
                <w:sz w:val="22"/>
                <w:szCs w:val="22"/>
              </w:rPr>
              <w:t>Počet</w:t>
            </w:r>
          </w:p>
        </w:tc>
        <w:tc>
          <w:tcPr>
            <w:tcW w:w="774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000000" w:fill="FFFFFF"/>
            <w:vAlign w:val="bottom"/>
          </w:tcPr>
          <w:p w14:paraId="7A08A275" w14:textId="77777777" w:rsidR="003C3451" w:rsidRPr="00A06A94" w:rsidRDefault="003C3451" w:rsidP="006E30D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i/>
                <w:iCs/>
                <w:color w:val="13576B"/>
                <w:sz w:val="22"/>
                <w:szCs w:val="22"/>
              </w:rPr>
            </w:pPr>
            <w:r w:rsidRPr="00A06A94">
              <w:rPr>
                <w:rFonts w:ascii="Calibri Light" w:hAnsi="Calibri Light" w:cs="Calibri Light"/>
                <w:i/>
                <w:iCs/>
                <w:color w:val="13576B"/>
                <w:sz w:val="22"/>
                <w:szCs w:val="22"/>
              </w:rPr>
              <w:t>Sazba</w:t>
            </w:r>
            <w:r w:rsidRPr="00A06A94">
              <w:rPr>
                <w:rFonts w:ascii="Calibri Light" w:hAnsi="Calibri Light" w:cs="Calibri Light"/>
                <w:i/>
                <w:iCs/>
                <w:color w:val="13576B"/>
                <w:sz w:val="22"/>
                <w:szCs w:val="22"/>
              </w:rPr>
              <w:br/>
              <w:t xml:space="preserve"> (%)</w:t>
            </w:r>
          </w:p>
        </w:tc>
      </w:tr>
      <w:tr w:rsidR="003C3451" w:rsidRPr="00A06A94" w14:paraId="6FF8CBA7" w14:textId="77777777" w:rsidTr="006E30DB">
        <w:trPr>
          <w:trHeight w:val="300"/>
        </w:trPr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860F314" w14:textId="77777777" w:rsidR="003C3451" w:rsidRPr="00072DB9" w:rsidRDefault="003C3451" w:rsidP="006E30DB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072DB9">
              <w:rPr>
                <w:rFonts w:ascii="Calibri Light" w:hAnsi="Calibri Light" w:cs="Calibri Ligh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59FB52" w14:textId="77777777" w:rsidR="003C3451" w:rsidRPr="00072DB9" w:rsidRDefault="003C3451" w:rsidP="006E30DB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b/>
                <w:bCs/>
                <w:color w:val="13576B"/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0B1CFB" w14:textId="77777777" w:rsidR="003C3451" w:rsidRPr="00072DB9" w:rsidRDefault="003C3451" w:rsidP="006E30DB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b/>
                <w:bCs/>
                <w:color w:val="13576B"/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A6398C1" w14:textId="77777777" w:rsidR="003C3451" w:rsidRPr="00072DB9" w:rsidRDefault="003C3451" w:rsidP="006E30DB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b/>
                <w:bCs/>
                <w:color w:val="13576B"/>
                <w:sz w:val="22"/>
                <w:szCs w:val="22"/>
              </w:rPr>
            </w:pPr>
          </w:p>
        </w:tc>
        <w:tc>
          <w:tcPr>
            <w:tcW w:w="242" w:type="dxa"/>
            <w:tcBorders>
              <w:top w:val="nil"/>
              <w:left w:val="nil"/>
              <w:right w:val="nil"/>
            </w:tcBorders>
            <w:vAlign w:val="center"/>
          </w:tcPr>
          <w:p w14:paraId="59E82091" w14:textId="77777777" w:rsidR="003C3451" w:rsidRPr="00072DB9" w:rsidRDefault="003C3451" w:rsidP="006E30DB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b/>
                <w:bCs/>
                <w:color w:val="13576B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39364FA4" w14:textId="77777777" w:rsidR="003C3451" w:rsidRPr="00A06A94" w:rsidRDefault="003C3451" w:rsidP="006E30DB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i/>
                <w:iCs/>
                <w:color w:val="13576B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39A0ECE" w14:textId="77777777" w:rsidR="003C3451" w:rsidRPr="00A06A94" w:rsidRDefault="003C3451" w:rsidP="006E30DB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i/>
                <w:iCs/>
                <w:color w:val="13576B"/>
                <w:sz w:val="22"/>
                <w:szCs w:val="22"/>
              </w:rPr>
            </w:pPr>
          </w:p>
        </w:tc>
        <w:tc>
          <w:tcPr>
            <w:tcW w:w="774" w:type="dxa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7836F8EE" w14:textId="77777777" w:rsidR="003C3451" w:rsidRPr="00A06A94" w:rsidRDefault="003C3451" w:rsidP="006E30DB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i/>
                <w:iCs/>
                <w:color w:val="13576B"/>
                <w:sz w:val="22"/>
                <w:szCs w:val="22"/>
              </w:rPr>
            </w:pPr>
          </w:p>
        </w:tc>
      </w:tr>
      <w:tr w:rsidR="002D7231" w:rsidRPr="00A06A94" w14:paraId="776CBD73" w14:textId="77777777" w:rsidTr="006E30DB">
        <w:trPr>
          <w:trHeight w:val="300"/>
        </w:trPr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6A9B5FD" w14:textId="77777777" w:rsidR="002D7231" w:rsidRPr="00072DB9" w:rsidRDefault="002D7231" w:rsidP="002D723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072DB9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Celkem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B7692D" w14:textId="43E8F6CE" w:rsidR="002D7231" w:rsidRPr="00072DB9" w:rsidRDefault="002D7231" w:rsidP="002D723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55,4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4ABB04" w14:textId="536F1F08" w:rsidR="002D7231" w:rsidRPr="00072DB9" w:rsidRDefault="002D7231" w:rsidP="002D723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12 197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7F54FDC" w14:textId="7B6E6540" w:rsidR="002D7231" w:rsidRPr="00072DB9" w:rsidRDefault="002D7231" w:rsidP="002D723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4,</w:t>
            </w:r>
            <w:r w:rsidR="00E63B64">
              <w:rPr>
                <w:rFonts w:ascii="Calibri Light" w:hAnsi="Calibri Light" w:cs="Calibri Light"/>
                <w:color w:val="000000"/>
                <w:sz w:val="22"/>
                <w:szCs w:val="22"/>
              </w:rPr>
              <w:t>42</w:t>
            </w:r>
          </w:p>
        </w:tc>
        <w:tc>
          <w:tcPr>
            <w:tcW w:w="242" w:type="dxa"/>
            <w:tcBorders>
              <w:top w:val="nil"/>
              <w:left w:val="nil"/>
              <w:right w:val="nil"/>
            </w:tcBorders>
            <w:vAlign w:val="bottom"/>
          </w:tcPr>
          <w:p w14:paraId="290588BC" w14:textId="1D1DDE03" w:rsidR="002D7231" w:rsidRDefault="002D7231" w:rsidP="002D723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5B57A8" w14:textId="7397F699" w:rsidR="002D7231" w:rsidRPr="00A06A94" w:rsidRDefault="002D7231" w:rsidP="002D723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i/>
                <w:iCs/>
                <w:color w:val="808080"/>
                <w:sz w:val="22"/>
                <w:szCs w:val="22"/>
              </w:rPr>
              <w:t>131,2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3EAD2F" w14:textId="45B69969" w:rsidR="002D7231" w:rsidRPr="00A06A94" w:rsidRDefault="002D7231" w:rsidP="002D723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i/>
                <w:iCs/>
                <w:color w:val="808080"/>
                <w:sz w:val="22"/>
                <w:szCs w:val="22"/>
              </w:rPr>
              <w:t>29 589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286C628" w14:textId="552F4155" w:rsidR="002D7231" w:rsidRPr="00A06A94" w:rsidRDefault="002D7231" w:rsidP="002D723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i/>
                <w:iCs/>
                <w:color w:val="808080"/>
                <w:sz w:val="22"/>
                <w:szCs w:val="22"/>
              </w:rPr>
              <w:t>4,</w:t>
            </w:r>
            <w:r w:rsidR="006E6C7D">
              <w:rPr>
                <w:rFonts w:ascii="Calibri Light" w:hAnsi="Calibri Light" w:cs="Calibri Light"/>
                <w:i/>
                <w:iCs/>
                <w:color w:val="808080"/>
                <w:sz w:val="22"/>
                <w:szCs w:val="22"/>
              </w:rPr>
              <w:t>44</w:t>
            </w:r>
          </w:p>
        </w:tc>
      </w:tr>
      <w:tr w:rsidR="002D7231" w:rsidRPr="00A06A94" w14:paraId="1B1E7FB2" w14:textId="77777777" w:rsidTr="006E30DB">
        <w:trPr>
          <w:trHeight w:val="300"/>
        </w:trPr>
        <w:tc>
          <w:tcPr>
            <w:tcW w:w="3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solid" w:color="DAF3EA" w:fill="C1F7E9"/>
            <w:noWrap/>
            <w:vAlign w:val="bottom"/>
            <w:hideMark/>
          </w:tcPr>
          <w:p w14:paraId="21ACEB93" w14:textId="77777777" w:rsidR="002D7231" w:rsidRPr="00072DB9" w:rsidRDefault="002D7231" w:rsidP="002D7231">
            <w:pPr>
              <w:overflowPunct/>
              <w:autoSpaceDE/>
              <w:autoSpaceDN/>
              <w:adjustRightInd/>
              <w:ind w:firstLineChars="100" w:firstLine="221"/>
              <w:jc w:val="left"/>
              <w:textAlignment w:val="auto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072DB9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 xml:space="preserve">Nové úvěry 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solid" w:color="DAF3EA" w:fill="C1F7E9"/>
            <w:noWrap/>
            <w:vAlign w:val="center"/>
            <w:hideMark/>
          </w:tcPr>
          <w:p w14:paraId="01D6378E" w14:textId="45BE95D5" w:rsidR="002D7231" w:rsidRPr="00072DB9" w:rsidRDefault="002D7231" w:rsidP="002D723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40,3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solid" w:color="DAF3EA" w:fill="C1F7E9"/>
            <w:noWrap/>
            <w:vAlign w:val="center"/>
            <w:hideMark/>
          </w:tcPr>
          <w:p w14:paraId="121DEB33" w14:textId="430C6F11" w:rsidR="002D7231" w:rsidRPr="00072DB9" w:rsidRDefault="002D7231" w:rsidP="002D723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8 381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solid" w:color="DAF3EA" w:fill="C1F7E9"/>
            <w:noWrap/>
            <w:vAlign w:val="center"/>
            <w:hideMark/>
          </w:tcPr>
          <w:p w14:paraId="20D4C83E" w14:textId="5A1E3B8A" w:rsidR="002D7231" w:rsidRPr="00072DB9" w:rsidRDefault="002D7231" w:rsidP="002D723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4,43</w:t>
            </w:r>
          </w:p>
        </w:tc>
        <w:tc>
          <w:tcPr>
            <w:tcW w:w="242" w:type="dxa"/>
            <w:tcBorders>
              <w:left w:val="nil"/>
              <w:bottom w:val="nil"/>
              <w:right w:val="nil"/>
            </w:tcBorders>
            <w:vAlign w:val="bottom"/>
          </w:tcPr>
          <w:p w14:paraId="1E12AC4C" w14:textId="0BF824E7" w:rsidR="002D7231" w:rsidRDefault="002D7231" w:rsidP="002D723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solid" w:color="DAF3EA" w:fill="C1F7E9"/>
            <w:vAlign w:val="center"/>
          </w:tcPr>
          <w:p w14:paraId="4D6894CF" w14:textId="0D946996" w:rsidR="002D7231" w:rsidRPr="00A06A94" w:rsidRDefault="002D7231" w:rsidP="002D723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i/>
                <w:iCs/>
                <w:color w:val="808080"/>
                <w:sz w:val="22"/>
                <w:szCs w:val="22"/>
              </w:rPr>
              <w:t>97,0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solid" w:color="DAF3EA" w:fill="C1F7E9"/>
            <w:vAlign w:val="center"/>
          </w:tcPr>
          <w:p w14:paraId="4021A1B1" w14:textId="4142AACF" w:rsidR="002D7231" w:rsidRPr="00A06A94" w:rsidRDefault="002D7231" w:rsidP="002D723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i/>
                <w:iCs/>
                <w:color w:val="808080"/>
                <w:sz w:val="22"/>
                <w:szCs w:val="22"/>
              </w:rPr>
              <w:t>20 807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solid" w:color="DAF3EA" w:fill="C1F7E9"/>
            <w:vAlign w:val="center"/>
          </w:tcPr>
          <w:p w14:paraId="6544CAA1" w14:textId="48F76289" w:rsidR="002D7231" w:rsidRPr="00A06A94" w:rsidRDefault="002D7231" w:rsidP="002D723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i/>
                <w:iCs/>
                <w:color w:val="808080"/>
                <w:sz w:val="22"/>
                <w:szCs w:val="22"/>
              </w:rPr>
              <w:t>4,45</w:t>
            </w:r>
          </w:p>
        </w:tc>
      </w:tr>
      <w:tr w:rsidR="002D7231" w:rsidRPr="00A06A94" w14:paraId="75B50A3D" w14:textId="77777777" w:rsidTr="006E30DB">
        <w:trPr>
          <w:trHeight w:val="300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159724" w14:textId="77777777" w:rsidR="002D7231" w:rsidRPr="00072DB9" w:rsidRDefault="002D7231" w:rsidP="002D7231">
            <w:pPr>
              <w:overflowPunct/>
              <w:autoSpaceDE/>
              <w:autoSpaceDN/>
              <w:adjustRightInd/>
              <w:ind w:firstLineChars="200" w:firstLine="440"/>
              <w:jc w:val="left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072DB9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z toho: 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544B38" w14:textId="0D168DB2" w:rsidR="002D7231" w:rsidRPr="00072DB9" w:rsidRDefault="002D7231" w:rsidP="002D723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D68906" w14:textId="70F7C58A" w:rsidR="002D7231" w:rsidRPr="00072DB9" w:rsidRDefault="002D7231" w:rsidP="002D723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537150" w14:textId="0F2D631D" w:rsidR="002D7231" w:rsidRPr="00072DB9" w:rsidRDefault="002D7231" w:rsidP="002D723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2EE480" w14:textId="53FB37C9" w:rsidR="002D7231" w:rsidRDefault="002D7231" w:rsidP="002D723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5600E58E" w14:textId="7779B33E" w:rsidR="002D7231" w:rsidRPr="00A06A94" w:rsidRDefault="002D7231" w:rsidP="002D723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i/>
                <w:iCs/>
                <w:color w:val="80808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7B73575E" w14:textId="778D2BE5" w:rsidR="002D7231" w:rsidRPr="00A06A94" w:rsidRDefault="002D7231" w:rsidP="002D723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i/>
                <w:iCs/>
                <w:color w:val="808080"/>
                <w:sz w:val="22"/>
                <w:szCs w:val="22"/>
              </w:rPr>
              <w:t> 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</w:tcPr>
          <w:p w14:paraId="12EBA8BD" w14:textId="2CD9C529" w:rsidR="002D7231" w:rsidRPr="00A06A94" w:rsidRDefault="002D7231" w:rsidP="002D723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i/>
                <w:iCs/>
                <w:color w:val="808080"/>
                <w:sz w:val="22"/>
                <w:szCs w:val="22"/>
              </w:rPr>
              <w:t> </w:t>
            </w:r>
          </w:p>
        </w:tc>
      </w:tr>
      <w:tr w:rsidR="002D7231" w:rsidRPr="00A06A94" w14:paraId="7625D4E3" w14:textId="77777777" w:rsidTr="006E30DB">
        <w:trPr>
          <w:trHeight w:val="300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56AD1D" w14:textId="77777777" w:rsidR="002D7231" w:rsidRPr="00072DB9" w:rsidRDefault="002D7231" w:rsidP="002D7231">
            <w:pPr>
              <w:overflowPunct/>
              <w:autoSpaceDE/>
              <w:autoSpaceDN/>
              <w:adjustRightInd/>
              <w:ind w:firstLineChars="300" w:firstLine="660"/>
              <w:jc w:val="left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072DB9">
              <w:rPr>
                <w:rFonts w:ascii="Calibri Light" w:hAnsi="Calibri Light" w:cs="Calibri Light"/>
                <w:color w:val="000000"/>
                <w:sz w:val="22"/>
                <w:szCs w:val="22"/>
              </w:rPr>
              <w:t>na koupi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3BFB31" w14:textId="441C009A" w:rsidR="002D7231" w:rsidRPr="00072DB9" w:rsidRDefault="002D7231" w:rsidP="002D723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29,5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204F7B" w14:textId="74DA6D3D" w:rsidR="002D7231" w:rsidRPr="00072DB9" w:rsidRDefault="002D7231" w:rsidP="002D723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6 153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9602DE" w14:textId="0CC1E0C0" w:rsidR="002D7231" w:rsidRPr="00072DB9" w:rsidRDefault="002D7231" w:rsidP="002D723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4,43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F8C8AE" w14:textId="21821A10" w:rsidR="002D7231" w:rsidRDefault="002D7231" w:rsidP="002D723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0F378060" w14:textId="3A8EF836" w:rsidR="002D7231" w:rsidRPr="00A06A94" w:rsidRDefault="002D7231" w:rsidP="002D723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i/>
                <w:iCs/>
                <w:color w:val="808080"/>
                <w:sz w:val="22"/>
                <w:szCs w:val="22"/>
              </w:rPr>
              <w:t>73,3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5F448916" w14:textId="1CDE5EEB" w:rsidR="002D7231" w:rsidRPr="00A06A94" w:rsidRDefault="002D7231" w:rsidP="002D723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i/>
                <w:iCs/>
                <w:color w:val="808080"/>
                <w:sz w:val="22"/>
                <w:szCs w:val="22"/>
              </w:rPr>
              <w:t>15 716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</w:tcPr>
          <w:p w14:paraId="634C0342" w14:textId="14C1734B" w:rsidR="002D7231" w:rsidRPr="00A06A94" w:rsidRDefault="002D7231" w:rsidP="002D723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i/>
                <w:iCs/>
                <w:color w:val="808080"/>
                <w:sz w:val="22"/>
                <w:szCs w:val="22"/>
              </w:rPr>
              <w:t>4,45</w:t>
            </w:r>
          </w:p>
        </w:tc>
      </w:tr>
      <w:tr w:rsidR="002D7231" w:rsidRPr="00A06A94" w14:paraId="0E99D021" w14:textId="77777777" w:rsidTr="006E30DB">
        <w:trPr>
          <w:trHeight w:val="300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650778" w14:textId="77777777" w:rsidR="002D7231" w:rsidRPr="00072DB9" w:rsidRDefault="002D7231" w:rsidP="002D7231">
            <w:pPr>
              <w:overflowPunct/>
              <w:autoSpaceDE/>
              <w:autoSpaceDN/>
              <w:adjustRightInd/>
              <w:ind w:firstLineChars="300" w:firstLine="660"/>
              <w:jc w:val="left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072DB9">
              <w:rPr>
                <w:rFonts w:ascii="Calibri Light" w:hAnsi="Calibri Light" w:cs="Calibri Light"/>
                <w:color w:val="000000"/>
                <w:sz w:val="22"/>
                <w:szCs w:val="22"/>
              </w:rPr>
              <w:t>na výstavbu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DC5BF0" w14:textId="6B1F306D" w:rsidR="002D7231" w:rsidRPr="00072DB9" w:rsidRDefault="002D7231" w:rsidP="002D723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5,9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BFDBC1" w14:textId="3D870773" w:rsidR="002D7231" w:rsidRPr="00072DB9" w:rsidRDefault="002D7231" w:rsidP="002D723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1 244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5E6596" w14:textId="23D88527" w:rsidR="002D7231" w:rsidRPr="00072DB9" w:rsidRDefault="002D7231" w:rsidP="002D723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4,40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6C099B" w14:textId="48E5CC03" w:rsidR="002D7231" w:rsidRDefault="002D7231" w:rsidP="002D723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10B9382F" w14:textId="6DDA2822" w:rsidR="002D7231" w:rsidRPr="00A06A94" w:rsidRDefault="002D7231" w:rsidP="002D723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i/>
                <w:iCs/>
                <w:color w:val="808080"/>
                <w:sz w:val="22"/>
                <w:szCs w:val="22"/>
              </w:rPr>
              <w:t>14,0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2CAD1162" w14:textId="43F468ED" w:rsidR="002D7231" w:rsidRPr="00A06A94" w:rsidRDefault="002D7231" w:rsidP="002D723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i/>
                <w:iCs/>
                <w:color w:val="808080"/>
                <w:sz w:val="22"/>
                <w:szCs w:val="22"/>
              </w:rPr>
              <w:t>3 008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</w:tcPr>
          <w:p w14:paraId="068099D2" w14:textId="0B866DA6" w:rsidR="002D7231" w:rsidRPr="00A06A94" w:rsidRDefault="002D7231" w:rsidP="002D723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i/>
                <w:iCs/>
                <w:color w:val="808080"/>
                <w:sz w:val="22"/>
                <w:szCs w:val="22"/>
              </w:rPr>
              <w:t>4,42</w:t>
            </w:r>
          </w:p>
        </w:tc>
      </w:tr>
      <w:tr w:rsidR="002D7231" w:rsidRPr="00A06A94" w14:paraId="501771B5" w14:textId="77777777" w:rsidTr="006E30DB">
        <w:trPr>
          <w:trHeight w:val="300"/>
        </w:trPr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DD2365D" w14:textId="77777777" w:rsidR="002D7231" w:rsidRPr="00072DB9" w:rsidRDefault="002D7231" w:rsidP="002D7231">
            <w:pPr>
              <w:overflowPunct/>
              <w:autoSpaceDE/>
              <w:autoSpaceDN/>
              <w:adjustRightInd/>
              <w:ind w:firstLineChars="300" w:firstLine="660"/>
              <w:jc w:val="left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072DB9">
              <w:rPr>
                <w:rFonts w:ascii="Calibri Light" w:hAnsi="Calibri Light" w:cs="Calibri Light"/>
                <w:color w:val="000000"/>
                <w:sz w:val="22"/>
                <w:szCs w:val="22"/>
              </w:rPr>
              <w:t>ostatní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7C665A" w14:textId="6BEC238A" w:rsidR="002D7231" w:rsidRPr="00072DB9" w:rsidRDefault="002D7231" w:rsidP="002D723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4,9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6F58FE" w14:textId="2462D1AF" w:rsidR="002D7231" w:rsidRPr="00072DB9" w:rsidRDefault="002D7231" w:rsidP="002D723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984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1B6015C" w14:textId="38A7E3D4" w:rsidR="002D7231" w:rsidRPr="00072DB9" w:rsidRDefault="002D7231" w:rsidP="002D723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4,49</w:t>
            </w:r>
          </w:p>
        </w:tc>
        <w:tc>
          <w:tcPr>
            <w:tcW w:w="242" w:type="dxa"/>
            <w:tcBorders>
              <w:top w:val="nil"/>
              <w:left w:val="nil"/>
              <w:right w:val="nil"/>
            </w:tcBorders>
            <w:vAlign w:val="bottom"/>
          </w:tcPr>
          <w:p w14:paraId="0E5EEE48" w14:textId="73EBC00C" w:rsidR="002D7231" w:rsidRDefault="002D7231" w:rsidP="002D723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E7FB0C" w14:textId="2C178A44" w:rsidR="002D7231" w:rsidRPr="00A06A94" w:rsidRDefault="002D7231" w:rsidP="002D723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i/>
                <w:iCs/>
                <w:color w:val="808080"/>
                <w:sz w:val="22"/>
                <w:szCs w:val="22"/>
              </w:rPr>
              <w:t>9,7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96F2B8" w14:textId="517F5782" w:rsidR="002D7231" w:rsidRPr="00A06A94" w:rsidRDefault="002D7231" w:rsidP="002D723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i/>
                <w:iCs/>
                <w:color w:val="808080"/>
                <w:sz w:val="22"/>
                <w:szCs w:val="22"/>
              </w:rPr>
              <w:t>2 083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9EA6453" w14:textId="29FC00DC" w:rsidR="002D7231" w:rsidRPr="00A06A94" w:rsidRDefault="002D7231" w:rsidP="002D723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i/>
                <w:iCs/>
                <w:color w:val="808080"/>
                <w:sz w:val="22"/>
                <w:szCs w:val="22"/>
              </w:rPr>
              <w:t>4,52</w:t>
            </w:r>
          </w:p>
        </w:tc>
      </w:tr>
      <w:tr w:rsidR="002D7231" w:rsidRPr="00A06A94" w14:paraId="5D723CBB" w14:textId="77777777" w:rsidTr="006E30DB">
        <w:trPr>
          <w:trHeight w:val="300"/>
        </w:trPr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E721761" w14:textId="77777777" w:rsidR="002D7231" w:rsidRPr="00072DB9" w:rsidRDefault="002D7231" w:rsidP="002D7231">
            <w:pPr>
              <w:overflowPunct/>
              <w:autoSpaceDE/>
              <w:autoSpaceDN/>
              <w:adjustRightInd/>
              <w:ind w:firstLineChars="100" w:firstLine="221"/>
              <w:jc w:val="left"/>
              <w:textAlignment w:val="auto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072DB9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Refinancované z jiné instituce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F7A9EB" w14:textId="652E0501" w:rsidR="002D7231" w:rsidRPr="00072DB9" w:rsidRDefault="002D7231" w:rsidP="002D723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12,7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3E99BA" w14:textId="0643DFAA" w:rsidR="002D7231" w:rsidRPr="00072DB9" w:rsidRDefault="002D7231" w:rsidP="002D723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3 241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59C49FD" w14:textId="10EA481A" w:rsidR="002D7231" w:rsidRPr="00072DB9" w:rsidRDefault="002D7231" w:rsidP="002D723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4,</w:t>
            </w:r>
            <w:r w:rsidR="00E63B64">
              <w:rPr>
                <w:rFonts w:ascii="Calibri Light" w:hAnsi="Calibri Light" w:cs="Calibri Light"/>
                <w:color w:val="000000"/>
                <w:sz w:val="22"/>
                <w:szCs w:val="22"/>
              </w:rPr>
              <w:t>37</w:t>
            </w:r>
          </w:p>
        </w:tc>
        <w:tc>
          <w:tcPr>
            <w:tcW w:w="242" w:type="dxa"/>
            <w:tcBorders>
              <w:top w:val="nil"/>
              <w:left w:val="nil"/>
              <w:right w:val="nil"/>
            </w:tcBorders>
            <w:vAlign w:val="bottom"/>
          </w:tcPr>
          <w:p w14:paraId="17CF4B73" w14:textId="230AB8E6" w:rsidR="002D7231" w:rsidRDefault="002D7231" w:rsidP="002D723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8E3AC5" w14:textId="496C2620" w:rsidR="002D7231" w:rsidRPr="00A06A94" w:rsidRDefault="002D7231" w:rsidP="002D723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i/>
                <w:iCs/>
                <w:color w:val="808080"/>
                <w:sz w:val="22"/>
                <w:szCs w:val="22"/>
              </w:rPr>
              <w:t>28,7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714FB1" w14:textId="67B8457E" w:rsidR="002D7231" w:rsidRPr="00A06A94" w:rsidRDefault="002D7231" w:rsidP="002D723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i/>
                <w:iCs/>
                <w:color w:val="808080"/>
                <w:sz w:val="22"/>
                <w:szCs w:val="22"/>
              </w:rPr>
              <w:t>7 414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B0AEEA7" w14:textId="06DCC858" w:rsidR="002D7231" w:rsidRPr="00A06A94" w:rsidRDefault="002D7231" w:rsidP="002D723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i/>
                <w:iCs/>
                <w:color w:val="808080"/>
                <w:sz w:val="22"/>
                <w:szCs w:val="22"/>
              </w:rPr>
              <w:t>4,</w:t>
            </w:r>
            <w:r w:rsidR="006E6C7D">
              <w:rPr>
                <w:rFonts w:ascii="Calibri Light" w:hAnsi="Calibri Light" w:cs="Calibri Light"/>
                <w:i/>
                <w:iCs/>
                <w:color w:val="808080"/>
                <w:sz w:val="22"/>
                <w:szCs w:val="22"/>
              </w:rPr>
              <w:t>41</w:t>
            </w:r>
          </w:p>
        </w:tc>
      </w:tr>
      <w:tr w:rsidR="002D7231" w:rsidRPr="00A06A94" w14:paraId="2265D080" w14:textId="77777777" w:rsidTr="006E30DB">
        <w:trPr>
          <w:trHeight w:val="300"/>
        </w:trPr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290B764" w14:textId="77777777" w:rsidR="002D7231" w:rsidRPr="00072DB9" w:rsidRDefault="002D7231" w:rsidP="002D7231">
            <w:pPr>
              <w:overflowPunct/>
              <w:autoSpaceDE/>
              <w:autoSpaceDN/>
              <w:adjustRightInd/>
              <w:ind w:firstLineChars="100" w:firstLine="221"/>
              <w:jc w:val="left"/>
              <w:textAlignment w:val="auto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072DB9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Refinancované interně</w:t>
            </w:r>
            <w: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, navýšené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D8288F" w14:textId="4BDE7FD5" w:rsidR="002D7231" w:rsidRPr="00072DB9" w:rsidRDefault="002D7231" w:rsidP="002D723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2,3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98B663" w14:textId="36113DC2" w:rsidR="002D7231" w:rsidRPr="00072DB9" w:rsidRDefault="002D7231" w:rsidP="002D723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575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499ECE4" w14:textId="61A02519" w:rsidR="002D7231" w:rsidRPr="00072DB9" w:rsidRDefault="002D7231" w:rsidP="002D723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4,42</w:t>
            </w:r>
          </w:p>
        </w:tc>
        <w:tc>
          <w:tcPr>
            <w:tcW w:w="242" w:type="dxa"/>
            <w:tcBorders>
              <w:top w:val="nil"/>
              <w:left w:val="nil"/>
              <w:right w:val="nil"/>
            </w:tcBorders>
            <w:vAlign w:val="bottom"/>
          </w:tcPr>
          <w:p w14:paraId="6021B7F9" w14:textId="6C6526D5" w:rsidR="002D7231" w:rsidRDefault="002D7231" w:rsidP="002D723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9BC0CC" w14:textId="3A7E3B18" w:rsidR="002D7231" w:rsidRPr="00A06A94" w:rsidRDefault="002D7231" w:rsidP="002D723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i/>
                <w:iCs/>
                <w:color w:val="808080"/>
                <w:sz w:val="22"/>
                <w:szCs w:val="22"/>
              </w:rPr>
              <w:t>5,5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4016D1" w14:textId="0101472C" w:rsidR="002D7231" w:rsidRPr="00A06A94" w:rsidRDefault="002D7231" w:rsidP="002D723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i/>
                <w:iCs/>
                <w:color w:val="808080"/>
                <w:sz w:val="22"/>
                <w:szCs w:val="22"/>
              </w:rPr>
              <w:t>1 368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7B83F6B" w14:textId="049448B0" w:rsidR="002D7231" w:rsidRPr="00A06A94" w:rsidRDefault="002D7231" w:rsidP="002D723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i/>
                <w:iCs/>
                <w:color w:val="808080"/>
                <w:sz w:val="22"/>
                <w:szCs w:val="22"/>
              </w:rPr>
              <w:t>4,42</w:t>
            </w:r>
          </w:p>
        </w:tc>
      </w:tr>
    </w:tbl>
    <w:p w14:paraId="7749A713" w14:textId="7DA80B2C" w:rsidR="003C3451" w:rsidRPr="007821A2" w:rsidRDefault="007821A2" w:rsidP="0009562F">
      <w:pPr>
        <w:overflowPunct/>
        <w:autoSpaceDE/>
        <w:autoSpaceDN/>
        <w:adjustRightInd/>
        <w:spacing w:before="120" w:after="120"/>
        <w:textAlignment w:val="auto"/>
        <w:rPr>
          <w:rFonts w:asciiTheme="minorHAnsi" w:hAnsiTheme="minorHAnsi" w:cstheme="minorHAnsi"/>
          <w:bCs/>
          <w:color w:val="13576B"/>
          <w:sz w:val="20"/>
        </w:rPr>
      </w:pPr>
      <w:r w:rsidRPr="007821A2">
        <w:rPr>
          <w:rFonts w:asciiTheme="minorHAnsi" w:hAnsiTheme="minorHAnsi" w:cstheme="minorHAnsi"/>
          <w:bCs/>
          <w:color w:val="13576B"/>
          <w:sz w:val="20"/>
        </w:rPr>
        <w:t xml:space="preserve">Pramen: ČBA </w:t>
      </w:r>
      <w:proofErr w:type="spellStart"/>
      <w:r w:rsidRPr="007821A2">
        <w:rPr>
          <w:rFonts w:asciiTheme="minorHAnsi" w:hAnsiTheme="minorHAnsi" w:cstheme="minorHAnsi"/>
          <w:bCs/>
          <w:color w:val="13576B"/>
          <w:sz w:val="20"/>
        </w:rPr>
        <w:t>Hypomonitor</w:t>
      </w:r>
      <w:proofErr w:type="spellEnd"/>
      <w:r w:rsidRPr="007821A2">
        <w:rPr>
          <w:rFonts w:asciiTheme="minorHAnsi" w:hAnsiTheme="minorHAnsi" w:cstheme="minorHAnsi"/>
          <w:bCs/>
          <w:color w:val="13576B"/>
          <w:sz w:val="20"/>
        </w:rPr>
        <w:t>. Poznámka: sezónně neočištěná data</w:t>
      </w:r>
    </w:p>
    <w:p w14:paraId="0890E395" w14:textId="77777777" w:rsidR="003C3451" w:rsidRPr="007821A2" w:rsidRDefault="003C3451" w:rsidP="0009562F">
      <w:pPr>
        <w:overflowPunct/>
        <w:autoSpaceDE/>
        <w:autoSpaceDN/>
        <w:adjustRightInd/>
        <w:spacing w:before="120" w:after="120"/>
        <w:textAlignment w:val="auto"/>
        <w:rPr>
          <w:rFonts w:ascii="Calibri" w:hAnsi="Calibri" w:cs="Calibri"/>
          <w:bCs/>
          <w:color w:val="13576B"/>
          <w:sz w:val="23"/>
          <w:szCs w:val="23"/>
        </w:rPr>
      </w:pPr>
    </w:p>
    <w:p w14:paraId="0A5C07AA" w14:textId="4E953779" w:rsidR="006A4CF3" w:rsidRPr="003C3451" w:rsidRDefault="00D16FB5" w:rsidP="006A4C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alibri" w:hAnsi="Calibri" w:cs="Calibri"/>
          <w:i/>
          <w:iCs/>
          <w:color w:val="000000" w:themeColor="text1"/>
          <w:sz w:val="22"/>
          <w:szCs w:val="22"/>
        </w:rPr>
      </w:pPr>
      <w:bookmarkStart w:id="2" w:name="_Hlk111121228"/>
      <w:bookmarkStart w:id="3" w:name="_Hlk119308742"/>
      <w:r w:rsidRPr="0026268C">
        <w:rPr>
          <w:rFonts w:ascii="Calibri" w:hAnsi="Calibri" w:cs="Calibri"/>
          <w:i/>
          <w:iCs/>
          <w:color w:val="000000" w:themeColor="text1"/>
          <w:sz w:val="22"/>
          <w:szCs w:val="22"/>
        </w:rPr>
        <w:t>„</w:t>
      </w:r>
      <w:r w:rsidR="00A77DE1">
        <w:rPr>
          <w:rFonts w:ascii="Calibri" w:hAnsi="Calibri" w:cs="Calibri"/>
          <w:i/>
          <w:iCs/>
          <w:color w:val="000000" w:themeColor="text1"/>
          <w:sz w:val="22"/>
          <w:szCs w:val="22"/>
        </w:rPr>
        <w:t xml:space="preserve">Do </w:t>
      </w:r>
      <w:r w:rsidR="005A4638">
        <w:rPr>
          <w:rFonts w:ascii="Calibri" w:hAnsi="Calibri" w:cs="Calibri"/>
          <w:i/>
          <w:iCs/>
          <w:color w:val="000000" w:themeColor="text1"/>
          <w:sz w:val="22"/>
          <w:szCs w:val="22"/>
        </w:rPr>
        <w:t xml:space="preserve">silných </w:t>
      </w:r>
      <w:r w:rsidR="00A77DE1">
        <w:rPr>
          <w:rFonts w:ascii="Calibri" w:hAnsi="Calibri" w:cs="Calibri"/>
          <w:i/>
          <w:iCs/>
          <w:color w:val="000000" w:themeColor="text1"/>
          <w:sz w:val="22"/>
          <w:szCs w:val="22"/>
        </w:rPr>
        <w:t xml:space="preserve">březnových čísel se </w:t>
      </w:r>
      <w:r w:rsidR="005A4638">
        <w:rPr>
          <w:rFonts w:ascii="Calibri" w:hAnsi="Calibri" w:cs="Calibri"/>
          <w:i/>
          <w:iCs/>
          <w:color w:val="000000" w:themeColor="text1"/>
          <w:sz w:val="22"/>
          <w:szCs w:val="22"/>
        </w:rPr>
        <w:t xml:space="preserve">pravděpodobně promítl faktor předzásobení nižší úrokovou sazbou a přívětivějšími podmínkami pro investiční hypotéky. První důvod odráží </w:t>
      </w:r>
      <w:r w:rsidR="00A77DE1">
        <w:rPr>
          <w:rFonts w:ascii="Calibri" w:hAnsi="Calibri" w:cs="Calibri"/>
          <w:i/>
          <w:iCs/>
          <w:color w:val="000000" w:themeColor="text1"/>
          <w:sz w:val="22"/>
          <w:szCs w:val="22"/>
        </w:rPr>
        <w:t xml:space="preserve">dozvuk </w:t>
      </w:r>
      <w:r w:rsidR="005A4638">
        <w:rPr>
          <w:rFonts w:ascii="Calibri" w:hAnsi="Calibri" w:cs="Calibri"/>
          <w:i/>
          <w:iCs/>
          <w:color w:val="000000" w:themeColor="text1"/>
          <w:sz w:val="22"/>
          <w:szCs w:val="22"/>
        </w:rPr>
        <w:t>novoročního</w:t>
      </w:r>
      <w:r w:rsidR="00A77DE1">
        <w:rPr>
          <w:rFonts w:ascii="Calibri" w:hAnsi="Calibri" w:cs="Calibri"/>
          <w:i/>
          <w:iCs/>
          <w:color w:val="000000" w:themeColor="text1"/>
          <w:sz w:val="22"/>
          <w:szCs w:val="22"/>
        </w:rPr>
        <w:t xml:space="preserve"> zacenění poklesu úrokové sazby centrální banky</w:t>
      </w:r>
      <w:r w:rsidR="005A4638">
        <w:rPr>
          <w:rFonts w:ascii="Calibri" w:hAnsi="Calibri" w:cs="Calibri"/>
          <w:i/>
          <w:iCs/>
          <w:color w:val="000000" w:themeColor="text1"/>
          <w:sz w:val="22"/>
          <w:szCs w:val="22"/>
        </w:rPr>
        <w:t>, zatímco březen s íránským cenovým šokem tento trend zvrátil. Druhým důvodem je</w:t>
      </w:r>
      <w:r w:rsidR="00A77DE1">
        <w:rPr>
          <w:rFonts w:ascii="Calibri" w:hAnsi="Calibri" w:cs="Calibri"/>
          <w:i/>
          <w:iCs/>
          <w:color w:val="000000" w:themeColor="text1"/>
          <w:sz w:val="22"/>
          <w:szCs w:val="22"/>
        </w:rPr>
        <w:t xml:space="preserve"> </w:t>
      </w:r>
      <w:r w:rsidR="005A4638">
        <w:rPr>
          <w:rFonts w:ascii="Calibri" w:hAnsi="Calibri" w:cs="Calibri"/>
          <w:i/>
          <w:iCs/>
          <w:color w:val="000000" w:themeColor="text1"/>
          <w:sz w:val="22"/>
          <w:szCs w:val="22"/>
        </w:rPr>
        <w:t>dubnová aktivace</w:t>
      </w:r>
      <w:r w:rsidR="00A77DE1">
        <w:rPr>
          <w:rFonts w:ascii="Calibri" w:hAnsi="Calibri" w:cs="Calibri"/>
          <w:i/>
          <w:iCs/>
          <w:color w:val="000000" w:themeColor="text1"/>
          <w:sz w:val="22"/>
          <w:szCs w:val="22"/>
        </w:rPr>
        <w:t xml:space="preserve"> přísnějších pravidel centrální banky pro investiční hypotéky</w:t>
      </w:r>
      <w:r w:rsidR="000E55F2">
        <w:rPr>
          <w:rFonts w:ascii="Calibri" w:hAnsi="Calibri" w:cs="Calibri"/>
          <w:i/>
          <w:iCs/>
          <w:color w:val="000000" w:themeColor="text1"/>
          <w:sz w:val="22"/>
          <w:szCs w:val="22"/>
        </w:rPr>
        <w:t>,</w:t>
      </w:r>
      <w:r w:rsidRPr="0026268C">
        <w:rPr>
          <w:rFonts w:ascii="Calibri" w:hAnsi="Calibri" w:cs="Calibri"/>
          <w:i/>
          <w:iCs/>
          <w:color w:val="000000" w:themeColor="text1"/>
          <w:sz w:val="22"/>
          <w:szCs w:val="22"/>
        </w:rPr>
        <w:t>“</w:t>
      </w:r>
      <w:r w:rsidR="006A4CF3" w:rsidRPr="0026268C">
        <w:rPr>
          <w:rFonts w:ascii="Calibri" w:hAnsi="Calibri" w:cs="Calibri"/>
          <w:i/>
          <w:iCs/>
          <w:color w:val="000000" w:themeColor="text1"/>
          <w:sz w:val="22"/>
          <w:szCs w:val="22"/>
        </w:rPr>
        <w:t xml:space="preserve"> </w:t>
      </w:r>
      <w:r w:rsidR="000E55F2">
        <w:rPr>
          <w:rFonts w:ascii="Calibri" w:hAnsi="Calibri" w:cs="Calibri"/>
          <w:i/>
          <w:iCs/>
          <w:color w:val="000000" w:themeColor="text1"/>
          <w:sz w:val="22"/>
          <w:szCs w:val="22"/>
        </w:rPr>
        <w:t>d</w:t>
      </w:r>
      <w:r w:rsidR="00A77DE1">
        <w:rPr>
          <w:rFonts w:ascii="Calibri" w:hAnsi="Calibri" w:cs="Calibri"/>
          <w:sz w:val="22"/>
          <w:szCs w:val="22"/>
        </w:rPr>
        <w:t>omnívá se</w:t>
      </w:r>
      <w:r w:rsidR="006A4CF3" w:rsidRPr="00882EFB">
        <w:rPr>
          <w:rFonts w:ascii="Calibri" w:hAnsi="Calibri" w:cs="Calibri"/>
          <w:sz w:val="22"/>
          <w:szCs w:val="22"/>
        </w:rPr>
        <w:t xml:space="preserve"> </w:t>
      </w:r>
      <w:r w:rsidR="006A4CF3">
        <w:rPr>
          <w:rFonts w:ascii="Calibri" w:hAnsi="Calibri" w:cs="Calibri"/>
          <w:b/>
          <w:bCs/>
          <w:sz w:val="22"/>
          <w:szCs w:val="22"/>
        </w:rPr>
        <w:t xml:space="preserve">Jaromír Šindel, hlavní ekonom České bankovní asociace. </w:t>
      </w:r>
    </w:p>
    <w:p w14:paraId="5C0445D2" w14:textId="77777777" w:rsidR="00D17F2A" w:rsidRDefault="00D17F2A" w:rsidP="007E1421">
      <w:pPr>
        <w:rPr>
          <w:rFonts w:ascii="Calibri" w:hAnsi="Calibri" w:cs="Calibri"/>
          <w:b/>
          <w:color w:val="13576B"/>
          <w:sz w:val="23"/>
          <w:szCs w:val="23"/>
        </w:rPr>
      </w:pPr>
    </w:p>
    <w:p w14:paraId="6B7D1662" w14:textId="1610E9E3" w:rsidR="00677FE7" w:rsidRDefault="00142116" w:rsidP="007E1421">
      <w:pPr>
        <w:rPr>
          <w:rFonts w:ascii="Calibri" w:hAnsi="Calibri" w:cs="Calibri"/>
          <w:b/>
          <w:color w:val="13576B"/>
          <w:sz w:val="23"/>
          <w:szCs w:val="23"/>
        </w:rPr>
      </w:pPr>
      <w:r>
        <w:rPr>
          <w:rFonts w:ascii="Calibri" w:hAnsi="Calibri" w:cs="Calibri"/>
          <w:b/>
          <w:noProof/>
          <w:color w:val="13576B"/>
          <w:sz w:val="23"/>
          <w:szCs w:val="23"/>
        </w:rPr>
        <w:lastRenderedPageBreak/>
        <w:drawing>
          <wp:inline distT="0" distB="0" distL="0" distR="0" wp14:anchorId="55C53C04" wp14:editId="4742B841">
            <wp:extent cx="5353050" cy="4374918"/>
            <wp:effectExtent l="0" t="0" r="0" b="6985"/>
            <wp:docPr id="967778955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1126" cy="43815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C652A9F" w14:textId="6740999F" w:rsidR="007E1421" w:rsidRDefault="00E16BD3" w:rsidP="007E1421">
      <w:pPr>
        <w:overflowPunct/>
        <w:autoSpaceDE/>
        <w:autoSpaceDN/>
        <w:adjustRightInd/>
        <w:spacing w:after="120"/>
        <w:jc w:val="left"/>
        <w:textAlignment w:val="auto"/>
        <w:rPr>
          <w:rFonts w:ascii="Calibri Light" w:hAnsi="Calibri Light" w:cs="Calibri Light"/>
          <w:color w:val="13576B"/>
          <w:sz w:val="20"/>
        </w:rPr>
      </w:pPr>
      <w:r w:rsidRPr="00E16BD3">
        <w:rPr>
          <w:rFonts w:ascii="Calibri Light" w:hAnsi="Calibri Light" w:cs="Calibri Light"/>
          <w:color w:val="13576B"/>
          <w:sz w:val="20"/>
        </w:rPr>
        <w:t>Poznámka: výhled do konce roku je momentový – vychází z aktuálního trendu, nikoli z modelové predikce.</w:t>
      </w:r>
    </w:p>
    <w:p w14:paraId="7F5074D4" w14:textId="6ADFC701" w:rsidR="003C392F" w:rsidRPr="00652484" w:rsidRDefault="00142116" w:rsidP="00652484">
      <w:pPr>
        <w:overflowPunct/>
        <w:autoSpaceDE/>
        <w:autoSpaceDN/>
        <w:adjustRightInd/>
        <w:jc w:val="left"/>
        <w:textAlignment w:val="auto"/>
        <w:rPr>
          <w:rFonts w:ascii="Calibri Light" w:hAnsi="Calibri Light" w:cs="Calibri Light"/>
          <w:color w:val="13576B"/>
          <w:sz w:val="20"/>
        </w:rPr>
      </w:pPr>
      <w:r w:rsidRPr="00142116">
        <w:rPr>
          <w:noProof/>
        </w:rPr>
        <w:drawing>
          <wp:inline distT="0" distB="0" distL="0" distR="0" wp14:anchorId="2816DCFA" wp14:editId="329074DB">
            <wp:extent cx="5591175" cy="3387246"/>
            <wp:effectExtent l="0" t="0" r="0" b="3810"/>
            <wp:docPr id="1634557108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5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90" cy="3400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56E850E" w14:textId="51884C7B" w:rsidR="0009562F" w:rsidRDefault="00142116" w:rsidP="0009562F">
      <w:pPr>
        <w:overflowPunct/>
        <w:autoSpaceDE/>
        <w:autoSpaceDN/>
        <w:adjustRightInd/>
        <w:textAlignment w:val="auto"/>
        <w:rPr>
          <w:rFonts w:ascii="Calibri" w:hAnsi="Calibri" w:cs="Calibri"/>
          <w:b/>
          <w:color w:val="13576B"/>
          <w:sz w:val="23"/>
          <w:szCs w:val="23"/>
        </w:rPr>
      </w:pPr>
      <w:r>
        <w:rPr>
          <w:rFonts w:ascii="Calibri" w:hAnsi="Calibri" w:cs="Calibri"/>
          <w:b/>
          <w:color w:val="13576B"/>
          <w:sz w:val="23"/>
          <w:szCs w:val="23"/>
        </w:rPr>
        <w:lastRenderedPageBreak/>
        <w:t>Březen</w:t>
      </w:r>
      <w:r w:rsidR="00990104">
        <w:rPr>
          <w:rFonts w:ascii="Calibri" w:hAnsi="Calibri" w:cs="Calibri"/>
          <w:b/>
          <w:color w:val="13576B"/>
          <w:sz w:val="23"/>
          <w:szCs w:val="23"/>
        </w:rPr>
        <w:t xml:space="preserve"> zůstal na pravděpodobně dočasně silných </w:t>
      </w:r>
      <w:r>
        <w:rPr>
          <w:rFonts w:ascii="Calibri" w:hAnsi="Calibri" w:cs="Calibri"/>
          <w:b/>
          <w:color w:val="13576B"/>
          <w:sz w:val="23"/>
          <w:szCs w:val="23"/>
        </w:rPr>
        <w:t>objemech i počtech</w:t>
      </w:r>
    </w:p>
    <w:p w14:paraId="0EEDAD3F" w14:textId="77777777" w:rsidR="00D1522E" w:rsidRPr="00FC623B" w:rsidRDefault="00D1522E" w:rsidP="00D1522E">
      <w:pPr>
        <w:overflowPunct/>
        <w:autoSpaceDE/>
        <w:autoSpaceDN/>
        <w:adjustRightInd/>
        <w:textAlignment w:val="auto"/>
        <w:rPr>
          <w:rFonts w:ascii="Calibri" w:hAnsi="Calibri" w:cs="Calibri"/>
          <w:color w:val="000000"/>
          <w:sz w:val="22"/>
          <w:szCs w:val="22"/>
        </w:rPr>
      </w:pPr>
    </w:p>
    <w:p w14:paraId="4F1C05D4" w14:textId="56F12314" w:rsidR="00D1522E" w:rsidRPr="004E3F0C" w:rsidRDefault="00D1522E" w:rsidP="00D152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bCs/>
          <w:color w:val="000000" w:themeColor="text1"/>
        </w:rPr>
      </w:pPr>
      <w:r w:rsidRPr="006337E7">
        <w:rPr>
          <w:rFonts w:ascii="Calibri" w:hAnsi="Calibri" w:cs="Calibri"/>
          <w:i/>
          <w:iCs/>
          <w:color w:val="000000" w:themeColor="text1"/>
          <w:sz w:val="22"/>
          <w:szCs w:val="22"/>
        </w:rPr>
        <w:t>„</w:t>
      </w:r>
      <w:r w:rsidR="00142116" w:rsidRPr="00142116">
        <w:rPr>
          <w:rFonts w:ascii="Calibri" w:hAnsi="Calibri" w:cs="Calibri"/>
          <w:i/>
          <w:iCs/>
          <w:color w:val="000000" w:themeColor="text1"/>
          <w:sz w:val="22"/>
          <w:szCs w:val="22"/>
        </w:rPr>
        <w:t>Trh s bydlením si i v posledních měsících udržuje vysokou dynamiku a očekáváme, že ceny nemovitostí porostou i nadále, byť mírnějším tempem. Dlouhodobý převis poptávky představuje strukturální charakteristiku českého trhu, která vychází zejména z omezené nové výstavby. Zaměřujeme se proto i na širší přístupy k dosažení lepší dostupnosti bydlení pro různé skupiny obyvatel. Příkladem je naše podpora družstevního bydlení s významným potenciálem pro rozšíření nabídky trhu</w:t>
      </w:r>
      <w:r w:rsidRPr="006337E7">
        <w:rPr>
          <w:rFonts w:ascii="Calibri" w:hAnsi="Calibri" w:cs="Calibri"/>
          <w:i/>
          <w:iCs/>
          <w:color w:val="000000" w:themeColor="text1"/>
          <w:sz w:val="22"/>
          <w:szCs w:val="22"/>
        </w:rPr>
        <w:t xml:space="preserve">,“ </w:t>
      </w:r>
      <w:r w:rsidR="00142116">
        <w:rPr>
          <w:rFonts w:ascii="Calibri" w:hAnsi="Calibri" w:cs="Calibri"/>
          <w:color w:val="000000" w:themeColor="text1"/>
          <w:sz w:val="22"/>
          <w:szCs w:val="22"/>
        </w:rPr>
        <w:t>doplňuje</w:t>
      </w:r>
      <w:r w:rsidRPr="006337E7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142116" w:rsidRPr="00142116">
        <w:rPr>
          <w:rFonts w:ascii="Calibri" w:hAnsi="Calibri" w:cs="Calibri"/>
          <w:b/>
          <w:bCs/>
          <w:color w:val="000000" w:themeColor="text1"/>
          <w:sz w:val="22"/>
          <w:szCs w:val="22"/>
        </w:rPr>
        <w:t>Marti</w:t>
      </w:r>
      <w:r w:rsidR="00142116">
        <w:rPr>
          <w:rFonts w:ascii="Calibri" w:hAnsi="Calibri" w:cs="Calibri"/>
          <w:b/>
          <w:bCs/>
          <w:color w:val="000000" w:themeColor="text1"/>
          <w:sz w:val="22"/>
          <w:szCs w:val="22"/>
        </w:rPr>
        <w:t>n</w:t>
      </w:r>
      <w:r w:rsidR="00142116" w:rsidRPr="00142116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Vaš</w:t>
      </w:r>
      <w:r w:rsidR="00142116">
        <w:rPr>
          <w:rFonts w:ascii="Calibri" w:hAnsi="Calibri" w:cs="Calibri"/>
          <w:b/>
          <w:bCs/>
          <w:color w:val="000000" w:themeColor="text1"/>
          <w:sz w:val="22"/>
          <w:szCs w:val="22"/>
        </w:rPr>
        <w:t>e</w:t>
      </w:r>
      <w:r w:rsidR="00142116" w:rsidRPr="00142116">
        <w:rPr>
          <w:rFonts w:ascii="Calibri" w:hAnsi="Calibri" w:cs="Calibri"/>
          <w:b/>
          <w:bCs/>
          <w:color w:val="000000" w:themeColor="text1"/>
          <w:sz w:val="22"/>
          <w:szCs w:val="22"/>
        </w:rPr>
        <w:t>k</w:t>
      </w:r>
      <w:r w:rsidRPr="007D77FB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, </w:t>
      </w:r>
      <w:r w:rsidR="00142116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generální ředitel Hypoteční banky skupiny ČSOB. </w:t>
      </w:r>
    </w:p>
    <w:p w14:paraId="01187BD9" w14:textId="77777777" w:rsidR="00D1522E" w:rsidRDefault="00D1522E" w:rsidP="00D1522E">
      <w:pPr>
        <w:overflowPunct/>
        <w:autoSpaceDE/>
        <w:autoSpaceDN/>
        <w:adjustRightInd/>
        <w:textAlignment w:val="auto"/>
        <w:rPr>
          <w:rFonts w:ascii="Calibri" w:hAnsi="Calibri" w:cs="Calibri"/>
          <w:i/>
          <w:iCs/>
          <w:sz w:val="22"/>
          <w:szCs w:val="22"/>
        </w:rPr>
      </w:pPr>
    </w:p>
    <w:p w14:paraId="6C1AF8FA" w14:textId="61CE922B" w:rsidR="002F416F" w:rsidRDefault="002F416F" w:rsidP="002F416F">
      <w:pPr>
        <w:overflowPunct/>
        <w:autoSpaceDE/>
        <w:autoSpaceDN/>
        <w:adjustRightInd/>
        <w:textAlignment w:val="auto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142116">
        <w:rPr>
          <w:rFonts w:ascii="Calibri" w:hAnsi="Calibri" w:cs="Calibri"/>
          <w:b/>
          <w:bCs/>
          <w:color w:val="000000"/>
          <w:sz w:val="22"/>
          <w:szCs w:val="22"/>
        </w:rPr>
        <w:t>Celkově banky a stavební spořitelny v březnu poskytly nové a refinancované hypotéky v objemu 55,4 mld. Kč, což je o 36,8 % více než před měsícem. Jejich celkový objem tak v letošním roce prozatím dosáhl 131 mld. Kč, což představuje 62% nárůst ve srovnání s lednem až březnem předcházejícího roku.</w:t>
      </w:r>
    </w:p>
    <w:p w14:paraId="0BC6FE6B" w14:textId="77777777" w:rsidR="002F416F" w:rsidRDefault="002F416F" w:rsidP="00142116">
      <w:pPr>
        <w:overflowPunct/>
        <w:autoSpaceDE/>
        <w:autoSpaceDN/>
        <w:adjustRightInd/>
        <w:textAlignment w:val="auto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4634EE10" w14:textId="72AB9636" w:rsidR="00142116" w:rsidRDefault="00142116" w:rsidP="00142116">
      <w:pPr>
        <w:overflowPunct/>
        <w:autoSpaceDE/>
        <w:autoSpaceDN/>
        <w:adjustRightInd/>
        <w:textAlignment w:val="auto"/>
        <w:rPr>
          <w:rFonts w:ascii="Calibri" w:hAnsi="Calibri" w:cs="Calibri"/>
          <w:color w:val="000000"/>
          <w:sz w:val="22"/>
          <w:szCs w:val="22"/>
        </w:rPr>
      </w:pPr>
      <w:r w:rsidRPr="00142116">
        <w:rPr>
          <w:rFonts w:ascii="Calibri" w:hAnsi="Calibri" w:cs="Calibri"/>
          <w:b/>
          <w:bCs/>
          <w:color w:val="000000"/>
          <w:sz w:val="22"/>
          <w:szCs w:val="22"/>
        </w:rPr>
        <w:t xml:space="preserve">V březnu poskytly banky a stavební spořitelny skutečně nové hypoteční úvěry bez refinancování za 40,3 mld. Kč. </w:t>
      </w:r>
      <w:r w:rsidRPr="00142116">
        <w:rPr>
          <w:rFonts w:ascii="Calibri" w:hAnsi="Calibri" w:cs="Calibri"/>
          <w:color w:val="000000"/>
          <w:sz w:val="22"/>
          <w:szCs w:val="22"/>
        </w:rPr>
        <w:t xml:space="preserve">Oproti únoru tak nová hypoteční aktivita objemově stoupla přibližně o 36 %, což částečně sezónnímu vlivu (obvykle objem nových hypoték v březnu meziměsíčně naroste o 28 %; předchozí měsíc stoupl o 10 % v porovnání s obvyklými 13 %). Po sezónní úpravě přinesla březnová čísla nových hypoték 6% zlepšení na 35,8 mld. Kč ve srovnání s únorovými 33,8 </w:t>
      </w:r>
      <w:r w:rsidR="005A4638">
        <w:rPr>
          <w:rFonts w:ascii="Calibri" w:hAnsi="Calibri" w:cs="Calibri"/>
          <w:color w:val="000000"/>
          <w:sz w:val="22"/>
          <w:szCs w:val="22"/>
        </w:rPr>
        <w:t>miliardami</w:t>
      </w:r>
      <w:r>
        <w:rPr>
          <w:rFonts w:ascii="Calibri" w:hAnsi="Calibri" w:cs="Calibri"/>
          <w:color w:val="000000"/>
          <w:sz w:val="22"/>
          <w:szCs w:val="22"/>
        </w:rPr>
        <w:t xml:space="preserve">. Nepatrně tak překonala lednový rekord </w:t>
      </w:r>
      <w:r w:rsidR="000E55F2">
        <w:rPr>
          <w:rFonts w:ascii="Calibri" w:hAnsi="Calibri" w:cs="Calibri"/>
          <w:color w:val="000000"/>
          <w:sz w:val="22"/>
          <w:szCs w:val="22"/>
        </w:rPr>
        <w:t>a</w:t>
      </w:r>
      <w:r>
        <w:rPr>
          <w:rFonts w:ascii="Calibri" w:hAnsi="Calibri" w:cs="Calibri"/>
          <w:color w:val="000000"/>
          <w:sz w:val="22"/>
          <w:szCs w:val="22"/>
        </w:rPr>
        <w:t xml:space="preserve"> objemově se zařadila na první místo</w:t>
      </w:r>
      <w:r w:rsidRPr="00142116">
        <w:rPr>
          <w:rFonts w:ascii="Calibri" w:hAnsi="Calibri" w:cs="Calibri"/>
          <w:color w:val="000000"/>
          <w:sz w:val="22"/>
          <w:szCs w:val="22"/>
        </w:rPr>
        <w:t>. V meziročním vyjádření růst objemu poskytnutých hypoték v březnu zesílil na 49 % po průměrném 41% meziročním nárůstu v minulém roce. V letošním roce bylo okolo 76 % objemu nových úvěrů určeno ke koupi</w:t>
      </w:r>
      <w:r w:rsidR="002F416F">
        <w:rPr>
          <w:rFonts w:ascii="Calibri" w:hAnsi="Calibri" w:cs="Calibri"/>
          <w:color w:val="000000"/>
          <w:sz w:val="22"/>
          <w:szCs w:val="22"/>
        </w:rPr>
        <w:t xml:space="preserve">, což je pod průměrnými loňskými 79 %, mírně stoupl podíl úvěrů na výstavbu na 14 % a roste podíl ostatních úvěrů s 10 %. </w:t>
      </w:r>
    </w:p>
    <w:p w14:paraId="1EC567EC" w14:textId="77777777" w:rsidR="00142116" w:rsidRPr="00142116" w:rsidRDefault="00142116" w:rsidP="00142116">
      <w:pPr>
        <w:overflowPunct/>
        <w:autoSpaceDE/>
        <w:autoSpaceDN/>
        <w:adjustRightInd/>
        <w:textAlignment w:val="auto"/>
        <w:rPr>
          <w:rFonts w:ascii="Calibri" w:hAnsi="Calibri" w:cs="Calibri"/>
          <w:color w:val="000000"/>
          <w:sz w:val="22"/>
          <w:szCs w:val="22"/>
        </w:rPr>
      </w:pPr>
    </w:p>
    <w:p w14:paraId="120EBF90" w14:textId="5AB4D2D0" w:rsidR="002F416F" w:rsidRPr="00990104" w:rsidRDefault="00142116" w:rsidP="002F416F">
      <w:pPr>
        <w:overflowPunct/>
        <w:autoSpaceDE/>
        <w:autoSpaceDN/>
        <w:adjustRightInd/>
        <w:textAlignment w:val="auto"/>
        <w:rPr>
          <w:rFonts w:ascii="Calibri" w:hAnsi="Calibri" w:cs="Calibri"/>
          <w:color w:val="000000"/>
          <w:sz w:val="22"/>
          <w:szCs w:val="22"/>
        </w:rPr>
      </w:pPr>
      <w:r w:rsidRPr="00142116">
        <w:rPr>
          <w:rFonts w:ascii="Calibri" w:hAnsi="Calibri" w:cs="Calibri"/>
          <w:b/>
          <w:bCs/>
          <w:color w:val="000000"/>
          <w:sz w:val="22"/>
          <w:szCs w:val="22"/>
        </w:rPr>
        <w:t xml:space="preserve">Počet nových hypoték v březnu narostl o 30,7 % meziměsíčně na 8 381 kusů, což je o 25 % více než před rokem. </w:t>
      </w:r>
      <w:r w:rsidRPr="002F416F">
        <w:rPr>
          <w:rFonts w:ascii="Calibri" w:hAnsi="Calibri" w:cs="Calibri"/>
          <w:color w:val="000000"/>
          <w:sz w:val="22"/>
          <w:szCs w:val="22"/>
        </w:rPr>
        <w:t>Odhadujeme, že po sezónním očištění se jejich počet pohybuje okolo 7 480, přibližně 5 % nad průměrným počtem (7 104) v předchozích třech měsících. Od počátku roku dosáhl počet nových hypoték 20,8 tisíc</w:t>
      </w:r>
      <w:r w:rsidR="000E55F2">
        <w:rPr>
          <w:rFonts w:ascii="Calibri" w:hAnsi="Calibri" w:cs="Calibri"/>
          <w:color w:val="000000"/>
          <w:sz w:val="22"/>
          <w:szCs w:val="22"/>
        </w:rPr>
        <w:t>e</w:t>
      </w:r>
      <w:r w:rsidRPr="002F416F">
        <w:rPr>
          <w:rFonts w:ascii="Calibri" w:hAnsi="Calibri" w:cs="Calibri"/>
          <w:color w:val="000000"/>
          <w:sz w:val="22"/>
          <w:szCs w:val="22"/>
        </w:rPr>
        <w:t xml:space="preserve"> kusů</w:t>
      </w:r>
      <w:r w:rsidR="002F416F">
        <w:rPr>
          <w:rFonts w:ascii="Calibri" w:hAnsi="Calibri" w:cs="Calibri"/>
          <w:color w:val="000000"/>
          <w:sz w:val="22"/>
          <w:szCs w:val="22"/>
        </w:rPr>
        <w:t xml:space="preserve">, téměř o čtvrtinu více než před rokem. </w:t>
      </w:r>
      <w:r w:rsidRPr="002F416F">
        <w:rPr>
          <w:rFonts w:ascii="Calibri" w:hAnsi="Calibri" w:cs="Calibri"/>
          <w:color w:val="000000"/>
          <w:sz w:val="22"/>
          <w:szCs w:val="22"/>
        </w:rPr>
        <w:t>Dynamika počtu nových hypoték z posledních tří měsíců, tedy za leden až březen implikuje jejich letošní nárůst na celkový počet okolo 89,2 tisíc, což by bylo téměř o 17 % více než v loňském roc</w:t>
      </w:r>
      <w:r w:rsidR="002F416F">
        <w:rPr>
          <w:rFonts w:ascii="Calibri" w:hAnsi="Calibri" w:cs="Calibri"/>
          <w:color w:val="000000"/>
          <w:sz w:val="22"/>
          <w:szCs w:val="22"/>
        </w:rPr>
        <w:t xml:space="preserve">e. Ale po </w:t>
      </w:r>
      <w:hyperlink r:id="rId15" w:history="1">
        <w:r w:rsidR="002F416F" w:rsidRPr="00990104">
          <w:rPr>
            <w:rStyle w:val="Hyperlink"/>
            <w:rFonts w:ascii="Calibri" w:hAnsi="Calibri" w:cs="Calibri"/>
            <w:sz w:val="22"/>
            <w:szCs w:val="22"/>
          </w:rPr>
          <w:t>dubnovém zpřísnění podmínek ČNB</w:t>
        </w:r>
      </w:hyperlink>
      <w:r w:rsidR="002F416F">
        <w:rPr>
          <w:rFonts w:ascii="Calibri" w:hAnsi="Calibri" w:cs="Calibri"/>
          <w:color w:val="000000"/>
          <w:sz w:val="22"/>
          <w:szCs w:val="22"/>
        </w:rPr>
        <w:t xml:space="preserve"> lze očekávat menší počty nových hypoték, který by při negativním 7% šoku letošní rok uzavřely pod 85 tisíc</w:t>
      </w:r>
      <w:r w:rsidR="000E55F2">
        <w:rPr>
          <w:rFonts w:ascii="Calibri" w:hAnsi="Calibri" w:cs="Calibri"/>
          <w:color w:val="000000"/>
          <w:sz w:val="22"/>
          <w:szCs w:val="22"/>
        </w:rPr>
        <w:t>i</w:t>
      </w:r>
      <w:r w:rsidR="002F416F">
        <w:rPr>
          <w:rFonts w:ascii="Calibri" w:hAnsi="Calibri" w:cs="Calibri"/>
          <w:color w:val="000000"/>
          <w:sz w:val="22"/>
          <w:szCs w:val="22"/>
        </w:rPr>
        <w:t>, c</w:t>
      </w:r>
      <w:r w:rsidR="002F416F" w:rsidRPr="00990104">
        <w:rPr>
          <w:rFonts w:ascii="Calibri" w:hAnsi="Calibri" w:cs="Calibri"/>
          <w:color w:val="000000"/>
          <w:sz w:val="22"/>
          <w:szCs w:val="22"/>
        </w:rPr>
        <w:t xml:space="preserve">ož by bylo </w:t>
      </w:r>
      <w:r w:rsidR="002F416F">
        <w:rPr>
          <w:rFonts w:ascii="Calibri" w:hAnsi="Calibri" w:cs="Calibri"/>
          <w:color w:val="000000"/>
          <w:sz w:val="22"/>
          <w:szCs w:val="22"/>
        </w:rPr>
        <w:t>o 11</w:t>
      </w:r>
      <w:r w:rsidR="002F416F" w:rsidRPr="00990104">
        <w:rPr>
          <w:rFonts w:ascii="Calibri" w:hAnsi="Calibri" w:cs="Calibri"/>
          <w:color w:val="000000"/>
          <w:sz w:val="22"/>
          <w:szCs w:val="22"/>
        </w:rPr>
        <w:t xml:space="preserve"> % více než v loňském roce</w:t>
      </w:r>
      <w:r w:rsidR="002F416F">
        <w:rPr>
          <w:rFonts w:ascii="Calibri" w:hAnsi="Calibri" w:cs="Calibri"/>
          <w:color w:val="000000"/>
          <w:sz w:val="22"/>
          <w:szCs w:val="22"/>
        </w:rPr>
        <w:t xml:space="preserve">. Ovšem tyto počty by zůstaly </w:t>
      </w:r>
      <w:r w:rsidR="002F416F" w:rsidRPr="00990104">
        <w:rPr>
          <w:rFonts w:ascii="Calibri" w:hAnsi="Calibri" w:cs="Calibri"/>
          <w:color w:val="000000"/>
          <w:sz w:val="22"/>
          <w:szCs w:val="22"/>
        </w:rPr>
        <w:t>pod průměrnými 95 tisíc</w:t>
      </w:r>
      <w:r w:rsidR="002F416F">
        <w:rPr>
          <w:rFonts w:ascii="Calibri" w:hAnsi="Calibri" w:cs="Calibri"/>
          <w:color w:val="000000"/>
          <w:sz w:val="22"/>
          <w:szCs w:val="22"/>
        </w:rPr>
        <w:t>i</w:t>
      </w:r>
      <w:r w:rsidR="002F416F" w:rsidRPr="00990104">
        <w:rPr>
          <w:rFonts w:ascii="Calibri" w:hAnsi="Calibri" w:cs="Calibri"/>
          <w:color w:val="000000"/>
          <w:sz w:val="22"/>
          <w:szCs w:val="22"/>
        </w:rPr>
        <w:t xml:space="preserve"> z let 2016 až 2018 či</w:t>
      </w:r>
      <w:r w:rsidR="002F416F">
        <w:rPr>
          <w:rFonts w:ascii="Calibri" w:hAnsi="Calibri" w:cs="Calibri"/>
          <w:color w:val="000000"/>
          <w:sz w:val="22"/>
          <w:szCs w:val="22"/>
        </w:rPr>
        <w:t xml:space="preserve"> výrazněji</w:t>
      </w:r>
      <w:r w:rsidR="002F416F" w:rsidRPr="00990104">
        <w:rPr>
          <w:rFonts w:ascii="Calibri" w:hAnsi="Calibri" w:cs="Calibri"/>
          <w:color w:val="000000"/>
          <w:sz w:val="22"/>
          <w:szCs w:val="22"/>
        </w:rPr>
        <w:t xml:space="preserve"> pod 114 tisíci z roku 2021. </w:t>
      </w:r>
    </w:p>
    <w:p w14:paraId="78E132BE" w14:textId="5AD7C097" w:rsidR="00142116" w:rsidRPr="00142116" w:rsidRDefault="00142116" w:rsidP="00142116">
      <w:pPr>
        <w:overflowPunct/>
        <w:autoSpaceDE/>
        <w:autoSpaceDN/>
        <w:adjustRightInd/>
        <w:textAlignment w:val="auto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4296189D" w14:textId="77777777" w:rsidR="00F0147C" w:rsidRDefault="00F0147C" w:rsidP="001B2E5E">
      <w:pPr>
        <w:rPr>
          <w:rFonts w:ascii="Calibri" w:hAnsi="Calibri" w:cs="Calibri"/>
          <w:b/>
          <w:color w:val="13576B"/>
          <w:sz w:val="23"/>
          <w:szCs w:val="23"/>
        </w:rPr>
        <w:sectPr w:rsidR="00F0147C" w:rsidSect="00A06A94">
          <w:headerReference w:type="default" r:id="rId16"/>
          <w:footerReference w:type="default" r:id="rId17"/>
          <w:pgSz w:w="11906" w:h="16838"/>
          <w:pgMar w:top="2552" w:right="849" w:bottom="1560" w:left="851" w:header="709" w:footer="283" w:gutter="0"/>
          <w:cols w:space="708"/>
          <w:docGrid w:linePitch="360"/>
        </w:sectPr>
      </w:pPr>
    </w:p>
    <w:p w14:paraId="7678271E" w14:textId="19803698" w:rsidR="00436085" w:rsidRDefault="00616F34" w:rsidP="00F0147C">
      <w:pPr>
        <w:rPr>
          <w:rFonts w:ascii="Calibri" w:hAnsi="Calibri" w:cs="Calibri"/>
          <w:bCs/>
          <w:i/>
          <w:iCs/>
          <w:color w:val="13576B"/>
          <w:sz w:val="23"/>
          <w:szCs w:val="23"/>
        </w:rPr>
      </w:pPr>
      <w:r w:rsidRPr="00F463BF">
        <w:rPr>
          <w:rFonts w:ascii="Calibri" w:hAnsi="Calibri" w:cs="Calibri"/>
          <w:b/>
          <w:color w:val="13576B"/>
          <w:sz w:val="23"/>
          <w:szCs w:val="23"/>
        </w:rPr>
        <w:t xml:space="preserve">Graf </w:t>
      </w:r>
      <w:r w:rsidR="001B2E5E" w:rsidRPr="00F463BF">
        <w:rPr>
          <w:rFonts w:ascii="Calibri" w:hAnsi="Calibri" w:cs="Calibri"/>
          <w:b/>
          <w:color w:val="13576B"/>
          <w:sz w:val="23"/>
          <w:szCs w:val="23"/>
        </w:rPr>
        <w:t xml:space="preserve">č. </w:t>
      </w:r>
      <w:r w:rsidR="00E27948" w:rsidRPr="00F463BF">
        <w:rPr>
          <w:rFonts w:ascii="Calibri" w:hAnsi="Calibri" w:cs="Calibri"/>
          <w:b/>
          <w:color w:val="13576B"/>
          <w:sz w:val="23"/>
          <w:szCs w:val="23"/>
        </w:rPr>
        <w:t>2</w:t>
      </w:r>
      <w:r w:rsidR="001B2E5E" w:rsidRPr="00F463BF">
        <w:rPr>
          <w:rFonts w:ascii="Calibri" w:hAnsi="Calibri" w:cs="Calibri"/>
          <w:b/>
          <w:color w:val="13576B"/>
          <w:sz w:val="23"/>
          <w:szCs w:val="23"/>
        </w:rPr>
        <w:t>: Nově poskytnuté hypotéky bez refinancování</w:t>
      </w:r>
      <w:r w:rsidR="00BC63D5" w:rsidRPr="00F463BF">
        <w:rPr>
          <w:rFonts w:ascii="Calibri" w:hAnsi="Calibri" w:cs="Calibri"/>
          <w:b/>
          <w:color w:val="13576B"/>
          <w:sz w:val="23"/>
          <w:szCs w:val="23"/>
        </w:rPr>
        <w:br/>
      </w:r>
      <w:r w:rsidR="00436085">
        <w:rPr>
          <w:rFonts w:ascii="Calibri" w:hAnsi="Calibri" w:cs="Calibri"/>
          <w:bCs/>
          <w:i/>
          <w:iCs/>
          <w:color w:val="13576B"/>
          <w:sz w:val="23"/>
          <w:szCs w:val="23"/>
        </w:rPr>
        <w:t xml:space="preserve">Počátek letošního roku ukázal </w:t>
      </w:r>
      <w:r w:rsidR="00686618">
        <w:rPr>
          <w:rFonts w:ascii="Calibri" w:hAnsi="Calibri" w:cs="Calibri"/>
          <w:bCs/>
          <w:i/>
          <w:iCs/>
          <w:color w:val="13576B"/>
          <w:sz w:val="23"/>
          <w:szCs w:val="23"/>
        </w:rPr>
        <w:t xml:space="preserve">silné nadprůměrné objemy, </w:t>
      </w:r>
      <w:r w:rsidR="00436085">
        <w:rPr>
          <w:rFonts w:ascii="Calibri" w:hAnsi="Calibri" w:cs="Calibri"/>
          <w:bCs/>
          <w:i/>
          <w:iCs/>
          <w:color w:val="13576B"/>
          <w:sz w:val="23"/>
          <w:szCs w:val="23"/>
        </w:rPr>
        <w:t>a to i v procentech výkonu ekonomiky.</w:t>
      </w:r>
      <w:r w:rsidR="00F0147C" w:rsidRPr="00F463BF">
        <w:rPr>
          <w:rFonts w:ascii="Calibri" w:hAnsi="Calibri" w:cs="Calibri"/>
          <w:bCs/>
          <w:i/>
          <w:iCs/>
          <w:color w:val="13576B"/>
          <w:sz w:val="23"/>
          <w:szCs w:val="23"/>
        </w:rPr>
        <w:t xml:space="preserve"> </w:t>
      </w:r>
    </w:p>
    <w:p w14:paraId="593F8D50" w14:textId="44DC5604" w:rsidR="001B2E5E" w:rsidRDefault="001B2E5E" w:rsidP="00F0147C">
      <w:pPr>
        <w:rPr>
          <w:rFonts w:ascii="Calibri" w:hAnsi="Calibri" w:cs="Calibri"/>
          <w:b/>
          <w:color w:val="13576B"/>
          <w:sz w:val="23"/>
          <w:szCs w:val="23"/>
        </w:rPr>
      </w:pPr>
      <w:r w:rsidRPr="00C42E87">
        <w:rPr>
          <w:rFonts w:ascii="Calibri" w:hAnsi="Calibri" w:cs="Calibri"/>
          <w:b/>
          <w:color w:val="13576B"/>
          <w:sz w:val="23"/>
          <w:szCs w:val="23"/>
        </w:rPr>
        <w:t xml:space="preserve">Graf č. </w:t>
      </w:r>
      <w:r w:rsidR="00E27948">
        <w:rPr>
          <w:rFonts w:ascii="Calibri" w:hAnsi="Calibri" w:cs="Calibri"/>
          <w:b/>
          <w:color w:val="13576B"/>
          <w:sz w:val="23"/>
          <w:szCs w:val="23"/>
        </w:rPr>
        <w:t>3:</w:t>
      </w:r>
      <w:r w:rsidRPr="00C42E87">
        <w:rPr>
          <w:rFonts w:ascii="Calibri" w:hAnsi="Calibri" w:cs="Calibri"/>
          <w:b/>
          <w:color w:val="13576B"/>
          <w:sz w:val="23"/>
          <w:szCs w:val="23"/>
        </w:rPr>
        <w:t xml:space="preserve"> Průměrná výše hypotéky podle účelu</w:t>
      </w:r>
      <w:r>
        <w:rPr>
          <w:rFonts w:ascii="Calibri" w:hAnsi="Calibri" w:cs="Calibri"/>
          <w:b/>
          <w:color w:val="13576B"/>
          <w:sz w:val="23"/>
          <w:szCs w:val="23"/>
        </w:rPr>
        <w:t xml:space="preserve"> </w:t>
      </w:r>
    </w:p>
    <w:p w14:paraId="169F70AA" w14:textId="76BD066E" w:rsidR="001B2E5E" w:rsidRPr="00CB3460" w:rsidRDefault="00436085" w:rsidP="00436085">
      <w:pPr>
        <w:spacing w:after="120"/>
        <w:rPr>
          <w:rFonts w:ascii="Calibri" w:hAnsi="Calibri" w:cs="Calibri"/>
          <w:bCs/>
          <w:i/>
          <w:iCs/>
          <w:color w:val="13576B"/>
          <w:sz w:val="23"/>
          <w:szCs w:val="23"/>
        </w:rPr>
      </w:pPr>
      <w:r w:rsidRPr="00436085">
        <w:rPr>
          <w:rFonts w:ascii="Calibri" w:hAnsi="Calibri" w:cs="Calibri"/>
          <w:bCs/>
          <w:i/>
          <w:iCs/>
          <w:color w:val="13576B"/>
          <w:sz w:val="23"/>
          <w:szCs w:val="23"/>
        </w:rPr>
        <w:t xml:space="preserve">Průměrná velikost skutečně nově poskytnuté hypotéky v březnu stoupla na 4,81 mil. Kč, tedy o 19 % </w:t>
      </w:r>
      <w:r>
        <w:rPr>
          <w:rFonts w:ascii="Calibri" w:hAnsi="Calibri" w:cs="Calibri"/>
          <w:bCs/>
          <w:i/>
          <w:iCs/>
          <w:color w:val="13576B"/>
          <w:sz w:val="23"/>
          <w:szCs w:val="23"/>
        </w:rPr>
        <w:t xml:space="preserve">meziročně. </w:t>
      </w:r>
      <w:r w:rsidRPr="00436085">
        <w:rPr>
          <w:rFonts w:ascii="Calibri" w:hAnsi="Calibri" w:cs="Calibri"/>
          <w:bCs/>
          <w:i/>
          <w:iCs/>
          <w:color w:val="13576B"/>
          <w:sz w:val="23"/>
          <w:szCs w:val="23"/>
        </w:rPr>
        <w:t xml:space="preserve"> </w:t>
      </w:r>
    </w:p>
    <w:p w14:paraId="133B2338" w14:textId="77777777" w:rsidR="001B2E5E" w:rsidRDefault="001B2E5E" w:rsidP="00B40FEB">
      <w:pPr>
        <w:overflowPunct/>
        <w:autoSpaceDE/>
        <w:autoSpaceDN/>
        <w:adjustRightInd/>
        <w:textAlignment w:val="auto"/>
        <w:rPr>
          <w:rFonts w:ascii="Calibri" w:hAnsi="Calibri" w:cs="Calibri"/>
          <w:color w:val="000000"/>
          <w:sz w:val="22"/>
          <w:szCs w:val="22"/>
        </w:rPr>
        <w:sectPr w:rsidR="001B2E5E" w:rsidSect="001B2E5E">
          <w:type w:val="continuous"/>
          <w:pgSz w:w="11906" w:h="16838"/>
          <w:pgMar w:top="2552" w:right="849" w:bottom="1560" w:left="851" w:header="709" w:footer="283" w:gutter="0"/>
          <w:cols w:num="2" w:space="708"/>
          <w:docGrid w:linePitch="360"/>
        </w:sectPr>
      </w:pPr>
    </w:p>
    <w:p w14:paraId="64EBBCB8" w14:textId="023E38E4" w:rsidR="00686618" w:rsidRDefault="00436085" w:rsidP="00606031">
      <w:pPr>
        <w:rPr>
          <w:rFonts w:ascii="Calibri Light" w:hAnsi="Calibri Light" w:cs="Calibri Light"/>
          <w:noProof/>
          <w:color w:val="13576B"/>
          <w:sz w:val="20"/>
        </w:rPr>
      </w:pPr>
      <w:r>
        <w:rPr>
          <w:rFonts w:ascii="Calibri Light" w:hAnsi="Calibri Light" w:cs="Calibri Light"/>
          <w:noProof/>
          <w:color w:val="13576B"/>
          <w:sz w:val="20"/>
        </w:rPr>
        <w:drawing>
          <wp:inline distT="0" distB="0" distL="0" distR="0" wp14:anchorId="6645B62E" wp14:editId="03D96D4C">
            <wp:extent cx="2743200" cy="1949519"/>
            <wp:effectExtent l="0" t="0" r="0" b="0"/>
            <wp:docPr id="114617948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1860" cy="1962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A1F1E51" w14:textId="77777777" w:rsidR="00436085" w:rsidRPr="00606031" w:rsidRDefault="00436085" w:rsidP="00436085">
      <w:pPr>
        <w:rPr>
          <w:rFonts w:ascii="Calibri" w:hAnsi="Calibri" w:cs="Calibri"/>
          <w:bCs/>
          <w:i/>
          <w:iCs/>
          <w:color w:val="EE0000"/>
          <w:sz w:val="23"/>
          <w:szCs w:val="23"/>
        </w:rPr>
      </w:pPr>
      <w:r>
        <w:rPr>
          <w:rFonts w:ascii="Calibri Light" w:hAnsi="Calibri Light" w:cs="Calibri Light"/>
          <w:color w:val="13576B"/>
          <w:sz w:val="20"/>
        </w:rPr>
        <w:t>P</w:t>
      </w:r>
      <w:r w:rsidRPr="00277397">
        <w:rPr>
          <w:rFonts w:ascii="Calibri Light" w:hAnsi="Calibri Light" w:cs="Calibri Light"/>
          <w:color w:val="13576B"/>
          <w:sz w:val="20"/>
        </w:rPr>
        <w:t>ramen:</w:t>
      </w:r>
      <w:r w:rsidRPr="00686618">
        <w:rPr>
          <w:rFonts w:ascii="Calibri Light" w:hAnsi="Calibri Light" w:cs="Calibri Light"/>
          <w:color w:val="13576B"/>
          <w:sz w:val="20"/>
        </w:rPr>
        <w:t xml:space="preserve"> Česká bankovní asociace, ČNB, ČSÚ, </w:t>
      </w:r>
      <w:proofErr w:type="spellStart"/>
      <w:r w:rsidRPr="00686618">
        <w:rPr>
          <w:rFonts w:ascii="Calibri Light" w:hAnsi="Calibri Light" w:cs="Calibri Light"/>
          <w:color w:val="13576B"/>
          <w:sz w:val="20"/>
        </w:rPr>
        <w:t>Flat</w:t>
      </w:r>
      <w:proofErr w:type="spellEnd"/>
      <w:r w:rsidRPr="00686618">
        <w:rPr>
          <w:rFonts w:ascii="Calibri Light" w:hAnsi="Calibri Light" w:cs="Calibri Light"/>
          <w:color w:val="13576B"/>
          <w:sz w:val="20"/>
        </w:rPr>
        <w:t xml:space="preserve"> </w:t>
      </w:r>
      <w:proofErr w:type="spellStart"/>
      <w:r w:rsidRPr="00686618">
        <w:rPr>
          <w:rFonts w:ascii="Calibri Light" w:hAnsi="Calibri Light" w:cs="Calibri Light"/>
          <w:color w:val="13576B"/>
          <w:sz w:val="20"/>
        </w:rPr>
        <w:t>Zone</w:t>
      </w:r>
      <w:proofErr w:type="spellEnd"/>
      <w:r w:rsidRPr="00277397">
        <w:rPr>
          <w:rFonts w:ascii="Calibri Light" w:hAnsi="Calibri Light" w:cs="Calibri Light"/>
          <w:color w:val="13576B"/>
          <w:sz w:val="20"/>
        </w:rPr>
        <w:t>.</w:t>
      </w:r>
    </w:p>
    <w:p w14:paraId="4DD0766A" w14:textId="44D5AF86" w:rsidR="00D2301A" w:rsidRPr="00D24B00" w:rsidRDefault="00436085" w:rsidP="004A5428">
      <w:pPr>
        <w:rPr>
          <w:rFonts w:ascii="Calibri" w:hAnsi="Calibri" w:cs="Calibri"/>
          <w:b/>
          <w:bCs/>
          <w:sz w:val="22"/>
          <w:szCs w:val="22"/>
          <w:highlight w:val="yellow"/>
        </w:rPr>
      </w:pPr>
      <w:r>
        <w:rPr>
          <w:rFonts w:ascii="Calibri" w:hAnsi="Calibri" w:cs="Calibri"/>
          <w:b/>
          <w:bCs/>
          <w:noProof/>
          <w:sz w:val="22"/>
          <w:szCs w:val="22"/>
          <w:highlight w:val="yellow"/>
        </w:rPr>
        <w:drawing>
          <wp:inline distT="0" distB="0" distL="0" distR="0" wp14:anchorId="7A647399" wp14:editId="0DBF6D86">
            <wp:extent cx="2970634" cy="1949450"/>
            <wp:effectExtent l="0" t="0" r="1270" b="0"/>
            <wp:docPr id="55994227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4138" cy="1971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32F9ABC" w14:textId="77777777" w:rsidR="00606031" w:rsidRDefault="004A5428" w:rsidP="004A5428">
      <w:pPr>
        <w:overflowPunct/>
        <w:autoSpaceDE/>
        <w:adjustRightInd/>
        <w:rPr>
          <w:rFonts w:ascii="Calibri Light" w:hAnsi="Calibri Light" w:cs="Calibri Light"/>
          <w:color w:val="13576B"/>
          <w:sz w:val="20"/>
        </w:rPr>
        <w:sectPr w:rsidR="00606031" w:rsidSect="00606031">
          <w:type w:val="continuous"/>
          <w:pgSz w:w="11906" w:h="16838"/>
          <w:pgMar w:top="2552" w:right="849" w:bottom="1560" w:left="851" w:header="709" w:footer="283" w:gutter="0"/>
          <w:cols w:num="2" w:space="708"/>
          <w:docGrid w:linePitch="360"/>
        </w:sectPr>
      </w:pPr>
      <w:r w:rsidRPr="002F4CBD">
        <w:rPr>
          <w:rFonts w:ascii="Calibri Light" w:hAnsi="Calibri Light" w:cs="Calibri Light"/>
          <w:color w:val="13576B"/>
          <w:sz w:val="20"/>
        </w:rPr>
        <w:t xml:space="preserve">Pramen: </w:t>
      </w:r>
      <w:r>
        <w:rPr>
          <w:rFonts w:ascii="Calibri Light" w:hAnsi="Calibri Light" w:cs="Calibri Light"/>
          <w:color w:val="13576B"/>
          <w:sz w:val="20"/>
        </w:rPr>
        <w:t xml:space="preserve">ČNB, </w:t>
      </w:r>
      <w:r w:rsidRPr="002F4CBD">
        <w:rPr>
          <w:rFonts w:ascii="Calibri Light" w:hAnsi="Calibri Light" w:cs="Calibri Light"/>
          <w:color w:val="13576B"/>
          <w:sz w:val="20"/>
        </w:rPr>
        <w:t xml:space="preserve">ČBA </w:t>
      </w:r>
      <w:proofErr w:type="spellStart"/>
      <w:r w:rsidRPr="002F4CBD">
        <w:rPr>
          <w:rFonts w:ascii="Calibri Light" w:hAnsi="Calibri Light" w:cs="Calibri Light"/>
          <w:color w:val="13576B"/>
          <w:sz w:val="20"/>
        </w:rPr>
        <w:t>Hypomonitor</w:t>
      </w:r>
      <w:proofErr w:type="spellEnd"/>
    </w:p>
    <w:bookmarkEnd w:id="1"/>
    <w:bookmarkEnd w:id="2"/>
    <w:bookmarkEnd w:id="3"/>
    <w:p w14:paraId="3F4E447D" w14:textId="77777777" w:rsidR="00436085" w:rsidRDefault="00436085" w:rsidP="00436085">
      <w:pPr>
        <w:overflowPunct/>
        <w:autoSpaceDE/>
        <w:autoSpaceDN/>
        <w:adjustRightInd/>
        <w:textAlignment w:val="auto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4778D5E3" w14:textId="77777777" w:rsidR="00652484" w:rsidRPr="002F416F" w:rsidRDefault="00652484" w:rsidP="00652484">
      <w:pPr>
        <w:overflowPunct/>
        <w:autoSpaceDE/>
        <w:autoSpaceDN/>
        <w:adjustRightInd/>
        <w:textAlignment w:val="auto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Podíl refinancovaných a navýšených úvěrů roste navzdory silnému růstu nových hypoték</w:t>
      </w:r>
      <w:r w:rsidRPr="00B12AAF">
        <w:rPr>
          <w:rFonts w:ascii="Calibri" w:hAnsi="Calibri" w:cs="Calibri"/>
          <w:color w:val="000000"/>
          <w:sz w:val="22"/>
          <w:szCs w:val="22"/>
        </w:rPr>
        <w:t>.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B12AAF">
        <w:rPr>
          <w:rFonts w:ascii="Calibri" w:hAnsi="Calibri" w:cs="Calibri"/>
          <w:color w:val="000000"/>
          <w:sz w:val="22"/>
          <w:szCs w:val="22"/>
        </w:rPr>
        <w:t xml:space="preserve">Objem refinancovaných a navýšených úvěrů (interně či z jiné instituce) v březnu stoupl na 15,1 mld. Kč. </w:t>
      </w:r>
      <w:r w:rsidRPr="002F416F">
        <w:rPr>
          <w:rFonts w:ascii="Calibri" w:hAnsi="Calibri" w:cs="Calibri"/>
          <w:color w:val="000000"/>
          <w:sz w:val="22"/>
          <w:szCs w:val="22"/>
        </w:rPr>
        <w:t>To je o 113 % více než průměrných 7,1 miliardy refinancovaných v loňském roce a o 285 % nad 3,9 miliardami refinancovanými v roce 2024. Podíl refinancovaných úvěrů na celkovém objemu poskytnutých hypoték pak vzrostl na 27,3 %, což je nad loňským průměrem 20,7 %. Nachází se tak nad 17,2% podílem z let 2022-2023, ovšem stále pod téměř 29% podílem z let 2020-2021, kdy domácnosti refinancovaly za hypoteční sazbu 2,14 %. V březnu 2026 se domácnosti refinancovaly za úrokovou sazbu 4,</w:t>
      </w:r>
      <w:r>
        <w:rPr>
          <w:rFonts w:ascii="Calibri" w:hAnsi="Calibri" w:cs="Calibri"/>
          <w:color w:val="000000"/>
          <w:sz w:val="22"/>
          <w:szCs w:val="22"/>
        </w:rPr>
        <w:t>38</w:t>
      </w:r>
      <w:r w:rsidRPr="002F416F">
        <w:rPr>
          <w:rFonts w:ascii="Calibri" w:hAnsi="Calibri" w:cs="Calibri"/>
          <w:color w:val="000000"/>
          <w:sz w:val="22"/>
          <w:szCs w:val="22"/>
        </w:rPr>
        <w:t xml:space="preserve"> %, což je </w:t>
      </w:r>
      <w:r>
        <w:rPr>
          <w:rFonts w:ascii="Calibri" w:hAnsi="Calibri" w:cs="Calibri"/>
          <w:color w:val="000000"/>
          <w:sz w:val="22"/>
          <w:szCs w:val="22"/>
        </w:rPr>
        <w:t>o</w:t>
      </w:r>
      <w:r w:rsidRPr="002F416F">
        <w:rPr>
          <w:rFonts w:ascii="Calibri" w:hAnsi="Calibri" w:cs="Calibri"/>
          <w:color w:val="000000"/>
          <w:sz w:val="22"/>
          <w:szCs w:val="22"/>
        </w:rPr>
        <w:t xml:space="preserve"> 0,</w:t>
      </w:r>
      <w:r>
        <w:rPr>
          <w:rFonts w:ascii="Calibri" w:hAnsi="Calibri" w:cs="Calibri"/>
          <w:color w:val="000000"/>
          <w:sz w:val="22"/>
          <w:szCs w:val="22"/>
        </w:rPr>
        <w:t>3</w:t>
      </w:r>
      <w:r w:rsidRPr="002F416F">
        <w:rPr>
          <w:rFonts w:ascii="Calibri" w:hAnsi="Calibri" w:cs="Calibri"/>
          <w:color w:val="000000"/>
          <w:sz w:val="22"/>
          <w:szCs w:val="22"/>
        </w:rPr>
        <w:t xml:space="preserve"> procentního bodu méně než 4,66 % před rokem. Vyšší objemy refinancování odrážejí souběh končících delších fixací z období nízkých úrokových sazeb a kratších fixací z nedávného období vyšších úrokových sazeb. </w:t>
      </w:r>
    </w:p>
    <w:p w14:paraId="3339B245" w14:textId="77777777" w:rsidR="00652484" w:rsidRPr="00FF3215" w:rsidRDefault="00652484" w:rsidP="00436085">
      <w:pPr>
        <w:overflowPunct/>
        <w:autoSpaceDE/>
        <w:autoSpaceDN/>
        <w:adjustRightInd/>
        <w:textAlignment w:val="auto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38A6516B" w14:textId="50BA30A5" w:rsidR="00436085" w:rsidRPr="00CC5202" w:rsidRDefault="00436085" w:rsidP="00436085">
      <w:pPr>
        <w:pBdr>
          <w:top w:val="single" w:sz="4" w:space="4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alibri" w:eastAsia="Calibri" w:hAnsi="Calibri" w:cs="Calibri"/>
          <w:i/>
          <w:iCs/>
          <w:sz w:val="22"/>
          <w:szCs w:val="22"/>
        </w:rPr>
      </w:pPr>
      <w:r w:rsidRPr="00AB747A">
        <w:rPr>
          <w:rFonts w:ascii="Calibri" w:hAnsi="Calibri" w:cs="Calibri"/>
          <w:i/>
          <w:iCs/>
          <w:color w:val="000000" w:themeColor="text1"/>
          <w:sz w:val="22"/>
          <w:szCs w:val="22"/>
        </w:rPr>
        <w:t>„</w:t>
      </w:r>
      <w:r w:rsidRPr="00436085">
        <w:rPr>
          <w:rFonts w:ascii="Calibri" w:hAnsi="Calibri" w:cs="Calibri"/>
          <w:i/>
          <w:iCs/>
          <w:color w:val="000000" w:themeColor="text1"/>
          <w:sz w:val="22"/>
          <w:szCs w:val="22"/>
        </w:rPr>
        <w:t>Březen byl z pohledu hypoték velice úspěšný a jedním z faktorů tohoto úspěchu je cena. Ta byla v březnu velmi příznivá, ale očekává se, že v budoucích měsících spíše poroste. Na vině je geopolitické dění, íránský konflikt totiž zvedá ceny pohonných hmot, což vyústí ve vyšší inflaci a pravděpodobně i vyšší úrokové sazby</w:t>
      </w:r>
      <w:r w:rsidR="00586686">
        <w:rPr>
          <w:rFonts w:ascii="Calibri" w:hAnsi="Calibri" w:cs="Calibri"/>
          <w:i/>
          <w:iCs/>
          <w:color w:val="000000" w:themeColor="text1"/>
          <w:sz w:val="22"/>
          <w:szCs w:val="22"/>
        </w:rPr>
        <w:t>,</w:t>
      </w:r>
      <w:r>
        <w:rPr>
          <w:rFonts w:ascii="Calibri" w:hAnsi="Calibri" w:cs="Calibri"/>
          <w:i/>
          <w:iCs/>
          <w:color w:val="000000" w:themeColor="text1"/>
          <w:sz w:val="22"/>
          <w:szCs w:val="22"/>
        </w:rPr>
        <w:t xml:space="preserve">“ </w:t>
      </w:r>
      <w:r>
        <w:rPr>
          <w:rFonts w:ascii="Calibri" w:hAnsi="Calibri" w:cs="Calibri"/>
          <w:color w:val="000000" w:themeColor="text1"/>
          <w:sz w:val="22"/>
          <w:szCs w:val="22"/>
        </w:rPr>
        <w:t>podotýká</w:t>
      </w:r>
      <w:r w:rsidRPr="002F6A6D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color w:val="000000" w:themeColor="text1"/>
          <w:sz w:val="22"/>
          <w:szCs w:val="22"/>
        </w:rPr>
        <w:t>Petr Gapko</w:t>
      </w:r>
      <w:r w:rsidRPr="001E3B01">
        <w:rPr>
          <w:rFonts w:ascii="Calibri" w:hAnsi="Calibri" w:cs="Calibri"/>
          <w:b/>
          <w:bCs/>
          <w:color w:val="000000" w:themeColor="text1"/>
          <w:sz w:val="22"/>
          <w:szCs w:val="22"/>
        </w:rPr>
        <w:t>,</w:t>
      </w:r>
      <w:r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hlavní ekonom MONETA Money Bank. </w:t>
      </w:r>
    </w:p>
    <w:p w14:paraId="5F8E3FD3" w14:textId="77777777" w:rsidR="00436085" w:rsidRDefault="00436085" w:rsidP="00436085">
      <w:pPr>
        <w:overflowPunct/>
        <w:autoSpaceDE/>
        <w:autoSpaceDN/>
        <w:adjustRightInd/>
        <w:textAlignment w:val="auto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0A09737B" w14:textId="77777777" w:rsidR="00652484" w:rsidRDefault="00652484" w:rsidP="00436085">
      <w:pPr>
        <w:rPr>
          <w:rFonts w:ascii="Calibri" w:hAnsi="Calibri" w:cs="Calibri"/>
          <w:b/>
          <w:color w:val="13576B"/>
          <w:sz w:val="23"/>
          <w:szCs w:val="23"/>
        </w:rPr>
      </w:pPr>
    </w:p>
    <w:p w14:paraId="79DB8501" w14:textId="444E4713" w:rsidR="00436085" w:rsidRDefault="00436085" w:rsidP="00436085">
      <w:pPr>
        <w:rPr>
          <w:rFonts w:ascii="Calibri" w:hAnsi="Calibri" w:cs="Calibri"/>
          <w:b/>
          <w:color w:val="13576B"/>
          <w:sz w:val="23"/>
          <w:szCs w:val="23"/>
        </w:rPr>
      </w:pPr>
      <w:r>
        <w:rPr>
          <w:rFonts w:ascii="Calibri" w:hAnsi="Calibri" w:cs="Calibri"/>
          <w:b/>
          <w:color w:val="13576B"/>
          <w:sz w:val="23"/>
          <w:szCs w:val="23"/>
        </w:rPr>
        <w:t>P</w:t>
      </w:r>
      <w:r w:rsidRPr="008B048B">
        <w:rPr>
          <w:rFonts w:ascii="Calibri" w:hAnsi="Calibri" w:cs="Calibri"/>
          <w:b/>
          <w:color w:val="13576B"/>
          <w:sz w:val="23"/>
          <w:szCs w:val="23"/>
        </w:rPr>
        <w:t xml:space="preserve">růměrná hypoteční sazba </w:t>
      </w:r>
      <w:r>
        <w:rPr>
          <w:rFonts w:ascii="Calibri" w:hAnsi="Calibri" w:cs="Calibri"/>
          <w:b/>
          <w:color w:val="13576B"/>
          <w:sz w:val="23"/>
          <w:szCs w:val="23"/>
        </w:rPr>
        <w:t>v březnu dále mírně klesla na 4,43 %, ale skok v tržních sazbách tento trend zlomí</w:t>
      </w:r>
    </w:p>
    <w:p w14:paraId="17D6276F" w14:textId="77777777" w:rsidR="00B12AAF" w:rsidRDefault="00B12AAF" w:rsidP="00436085">
      <w:pPr>
        <w:rPr>
          <w:rFonts w:ascii="Calibri" w:hAnsi="Calibri" w:cs="Calibri"/>
          <w:b/>
          <w:color w:val="000000" w:themeColor="text1"/>
          <w:sz w:val="23"/>
          <w:szCs w:val="23"/>
        </w:rPr>
      </w:pPr>
    </w:p>
    <w:p w14:paraId="3C4DB53D" w14:textId="60C59AF2" w:rsidR="00436085" w:rsidRDefault="00436085" w:rsidP="00436085">
      <w:pPr>
        <w:rPr>
          <w:rFonts w:ascii="Calibri" w:hAnsi="Calibri" w:cs="Calibri"/>
          <w:bCs/>
          <w:color w:val="000000" w:themeColor="text1"/>
          <w:sz w:val="23"/>
          <w:szCs w:val="23"/>
        </w:rPr>
      </w:pPr>
      <w:r w:rsidRPr="00486BC4">
        <w:rPr>
          <w:rFonts w:ascii="Calibri" w:hAnsi="Calibri" w:cs="Calibri"/>
          <w:b/>
          <w:color w:val="000000" w:themeColor="text1"/>
          <w:sz w:val="23"/>
          <w:szCs w:val="23"/>
        </w:rPr>
        <w:t>Průměrná realizovaná úroková sazba u nových hypoték v březnu nepatrně dále klesla na 4,43 % z únorových 4,46 %.</w:t>
      </w:r>
      <w:r w:rsidRPr="00436085">
        <w:rPr>
          <w:rFonts w:ascii="Calibri" w:hAnsi="Calibri" w:cs="Calibri"/>
          <w:bCs/>
          <w:color w:val="000000" w:themeColor="text1"/>
          <w:sz w:val="23"/>
          <w:szCs w:val="23"/>
        </w:rPr>
        <w:t xml:space="preserve"> Její snížení </w:t>
      </w:r>
      <w:r>
        <w:rPr>
          <w:rFonts w:ascii="Calibri" w:hAnsi="Calibri" w:cs="Calibri"/>
          <w:bCs/>
          <w:color w:val="000000" w:themeColor="text1"/>
          <w:sz w:val="23"/>
          <w:szCs w:val="23"/>
        </w:rPr>
        <w:t xml:space="preserve">následuje po únorovém mírném poklesu, což reflektuje předchozí pokles tržních úrokových sazeb, které v prvních dvou měsících </w:t>
      </w:r>
      <w:proofErr w:type="spellStart"/>
      <w:r>
        <w:rPr>
          <w:rFonts w:ascii="Calibri" w:hAnsi="Calibri" w:cs="Calibri"/>
          <w:bCs/>
          <w:color w:val="000000" w:themeColor="text1"/>
          <w:sz w:val="23"/>
          <w:szCs w:val="23"/>
        </w:rPr>
        <w:t>zaceňovaly</w:t>
      </w:r>
      <w:proofErr w:type="spellEnd"/>
      <w:r>
        <w:rPr>
          <w:rFonts w:ascii="Calibri" w:hAnsi="Calibri" w:cs="Calibri"/>
          <w:bCs/>
          <w:color w:val="000000" w:themeColor="text1"/>
          <w:sz w:val="23"/>
          <w:szCs w:val="23"/>
        </w:rPr>
        <w:t xml:space="preserve"> snížení úrokové sazby ČNB. B</w:t>
      </w:r>
      <w:r w:rsidRPr="00436085">
        <w:rPr>
          <w:rFonts w:ascii="Calibri" w:hAnsi="Calibri" w:cs="Calibri"/>
          <w:bCs/>
          <w:color w:val="000000" w:themeColor="text1"/>
          <w:sz w:val="23"/>
          <w:szCs w:val="23"/>
        </w:rPr>
        <w:t xml:space="preserve">řeznová </w:t>
      </w:r>
      <w:r>
        <w:rPr>
          <w:rFonts w:ascii="Calibri" w:hAnsi="Calibri" w:cs="Calibri"/>
          <w:bCs/>
          <w:color w:val="000000" w:themeColor="text1"/>
          <w:sz w:val="23"/>
          <w:szCs w:val="23"/>
        </w:rPr>
        <w:t xml:space="preserve">hypoteční sazba je tak </w:t>
      </w:r>
      <w:r w:rsidRPr="00436085">
        <w:rPr>
          <w:rFonts w:ascii="Calibri" w:hAnsi="Calibri" w:cs="Calibri"/>
          <w:bCs/>
          <w:color w:val="000000" w:themeColor="text1"/>
          <w:sz w:val="23"/>
          <w:szCs w:val="23"/>
        </w:rPr>
        <w:t xml:space="preserve">o </w:t>
      </w:r>
      <w:r>
        <w:rPr>
          <w:rFonts w:ascii="Calibri" w:hAnsi="Calibri" w:cs="Calibri"/>
          <w:bCs/>
          <w:color w:val="000000" w:themeColor="text1"/>
          <w:sz w:val="23"/>
          <w:szCs w:val="23"/>
        </w:rPr>
        <w:t>čtvrt</w:t>
      </w:r>
      <w:r w:rsidRPr="00436085">
        <w:rPr>
          <w:rFonts w:ascii="Calibri" w:hAnsi="Calibri" w:cs="Calibri"/>
          <w:bCs/>
          <w:color w:val="000000" w:themeColor="text1"/>
          <w:sz w:val="23"/>
          <w:szCs w:val="23"/>
        </w:rPr>
        <w:t xml:space="preserve"> procentního bodu níže než 4,68% sazba před rokem, což snižuje měsíční splátky hypotéky přibližně o 0,7 % čistého příjmu žadatele, tedy o 0,7 tis. Kč. Pro srovnání průměrná hodnota hypoteční sazby v roce 2025 dosáhla 4,58 % v porovnání se sazbou 5,07 % v roce 2024. </w:t>
      </w:r>
    </w:p>
    <w:p w14:paraId="396B2EC5" w14:textId="77777777" w:rsidR="00436085" w:rsidRPr="00436085" w:rsidRDefault="00436085" w:rsidP="00436085">
      <w:pPr>
        <w:rPr>
          <w:rFonts w:ascii="Calibri" w:hAnsi="Calibri" w:cs="Calibri"/>
          <w:bCs/>
          <w:color w:val="000000" w:themeColor="text1"/>
          <w:sz w:val="23"/>
          <w:szCs w:val="23"/>
        </w:rPr>
      </w:pPr>
    </w:p>
    <w:p w14:paraId="36ECB5A8" w14:textId="77777777" w:rsidR="00486BC4" w:rsidRDefault="00486BC4" w:rsidP="00436085">
      <w:pPr>
        <w:rPr>
          <w:rFonts w:ascii="Calibri" w:hAnsi="Calibri" w:cs="Calibri"/>
          <w:bCs/>
          <w:color w:val="000000" w:themeColor="text1"/>
          <w:sz w:val="23"/>
          <w:szCs w:val="23"/>
        </w:rPr>
      </w:pPr>
      <w:r w:rsidRPr="00486BC4">
        <w:rPr>
          <w:rFonts w:ascii="Calibri" w:hAnsi="Calibri" w:cs="Calibri"/>
          <w:b/>
          <w:color w:val="000000" w:themeColor="text1"/>
          <w:sz w:val="23"/>
          <w:szCs w:val="23"/>
        </w:rPr>
        <w:t>České tržní delší úrokové sazby,</w:t>
      </w:r>
      <w:r w:rsidRPr="00486BC4">
        <w:rPr>
          <w:rStyle w:val="FootnoteReference"/>
          <w:rFonts w:ascii="Calibri" w:hAnsi="Calibri" w:cs="Calibri"/>
          <w:b/>
          <w:i/>
          <w:iCs/>
          <w:color w:val="000000" w:themeColor="text1"/>
          <w:sz w:val="22"/>
          <w:szCs w:val="22"/>
        </w:rPr>
        <w:t xml:space="preserve"> </w:t>
      </w:r>
      <w:r w:rsidRPr="00486BC4">
        <w:rPr>
          <w:rStyle w:val="FootnoteReference"/>
          <w:rFonts w:ascii="Calibri" w:hAnsi="Calibri" w:cs="Calibri"/>
          <w:b/>
          <w:i/>
          <w:iCs/>
          <w:color w:val="000000" w:themeColor="text1"/>
          <w:sz w:val="22"/>
          <w:szCs w:val="22"/>
        </w:rPr>
        <w:footnoteReference w:id="1"/>
      </w:r>
      <w:r w:rsidRPr="00486BC4">
        <w:rPr>
          <w:rFonts w:ascii="Calibri" w:hAnsi="Calibri" w:cs="Calibri"/>
          <w:b/>
          <w:color w:val="000000" w:themeColor="text1"/>
          <w:sz w:val="22"/>
          <w:szCs w:val="22"/>
        </w:rPr>
        <w:t xml:space="preserve"> </w:t>
      </w:r>
      <w:r w:rsidRPr="00486BC4">
        <w:rPr>
          <w:rFonts w:ascii="Calibri" w:hAnsi="Calibri" w:cs="Calibri"/>
          <w:b/>
          <w:color w:val="000000" w:themeColor="text1"/>
          <w:sz w:val="23"/>
          <w:szCs w:val="23"/>
        </w:rPr>
        <w:t>které mají klíčový vliv na hypoteční sazby, v březnu ovšem významně stouply.</w:t>
      </w:r>
      <w:r w:rsidRPr="00436085">
        <w:rPr>
          <w:rFonts w:ascii="Calibri" w:hAnsi="Calibri" w:cs="Calibri"/>
          <w:bCs/>
          <w:color w:val="000000" w:themeColor="text1"/>
          <w:sz w:val="23"/>
          <w:szCs w:val="23"/>
        </w:rPr>
        <w:t xml:space="preserve"> </w:t>
      </w:r>
      <w:r w:rsidR="00436085" w:rsidRPr="00436085">
        <w:rPr>
          <w:rFonts w:ascii="Calibri" w:hAnsi="Calibri" w:cs="Calibri"/>
          <w:bCs/>
          <w:color w:val="000000" w:themeColor="text1"/>
          <w:sz w:val="23"/>
          <w:szCs w:val="23"/>
        </w:rPr>
        <w:t>Březnová úroková hypoteční sazba se se 4,43 % nacházela 0,34 procentního bodu nad průměrnými tržními swapovými sazbami. To je přibližně 0,72 p. b. pod dlouhodobým průměrem od roku 2014 (1,06 p. b.)</w:t>
      </w:r>
      <w:r w:rsidR="00436085">
        <w:rPr>
          <w:rFonts w:ascii="Calibri" w:hAnsi="Calibri" w:cs="Calibri"/>
          <w:bCs/>
          <w:color w:val="000000" w:themeColor="text1"/>
          <w:sz w:val="23"/>
          <w:szCs w:val="23"/>
        </w:rPr>
        <w:t xml:space="preserve">. </w:t>
      </w:r>
      <w:r w:rsidR="00436085" w:rsidRPr="00436085">
        <w:rPr>
          <w:rFonts w:ascii="Calibri" w:hAnsi="Calibri" w:cs="Calibri"/>
          <w:bCs/>
          <w:color w:val="000000" w:themeColor="text1"/>
          <w:sz w:val="23"/>
          <w:szCs w:val="23"/>
        </w:rPr>
        <w:t>České pětileté úrokové swapy v březnu stouply o 0,</w:t>
      </w:r>
      <w:r>
        <w:rPr>
          <w:rFonts w:ascii="Calibri" w:hAnsi="Calibri" w:cs="Calibri"/>
          <w:bCs/>
          <w:color w:val="000000" w:themeColor="text1"/>
          <w:sz w:val="23"/>
          <w:szCs w:val="23"/>
        </w:rPr>
        <w:t>6</w:t>
      </w:r>
      <w:r w:rsidR="00436085" w:rsidRPr="00436085">
        <w:rPr>
          <w:rFonts w:ascii="Calibri" w:hAnsi="Calibri" w:cs="Calibri"/>
          <w:bCs/>
          <w:color w:val="000000" w:themeColor="text1"/>
          <w:sz w:val="23"/>
          <w:szCs w:val="23"/>
        </w:rPr>
        <w:t xml:space="preserve"> procentního bodu na 4,</w:t>
      </w:r>
      <w:r>
        <w:rPr>
          <w:rFonts w:ascii="Calibri" w:hAnsi="Calibri" w:cs="Calibri"/>
          <w:bCs/>
          <w:color w:val="000000" w:themeColor="text1"/>
          <w:sz w:val="23"/>
          <w:szCs w:val="23"/>
        </w:rPr>
        <w:t>2</w:t>
      </w:r>
      <w:r w:rsidR="00436085" w:rsidRPr="00436085">
        <w:rPr>
          <w:rFonts w:ascii="Calibri" w:hAnsi="Calibri" w:cs="Calibri"/>
          <w:bCs/>
          <w:color w:val="000000" w:themeColor="text1"/>
          <w:sz w:val="23"/>
          <w:szCs w:val="23"/>
        </w:rPr>
        <w:t xml:space="preserve"> % z únorových 3,6 %</w:t>
      </w:r>
      <w:r>
        <w:rPr>
          <w:rFonts w:ascii="Calibri" w:hAnsi="Calibri" w:cs="Calibri"/>
          <w:bCs/>
          <w:color w:val="000000" w:themeColor="text1"/>
          <w:sz w:val="23"/>
          <w:szCs w:val="23"/>
        </w:rPr>
        <w:t xml:space="preserve">. </w:t>
      </w:r>
      <w:r w:rsidR="00436085" w:rsidRPr="00436085">
        <w:rPr>
          <w:rFonts w:ascii="Calibri" w:hAnsi="Calibri" w:cs="Calibri"/>
          <w:bCs/>
          <w:color w:val="000000" w:themeColor="text1"/>
          <w:sz w:val="23"/>
          <w:szCs w:val="23"/>
        </w:rPr>
        <w:t xml:space="preserve">Jejich březnová úroveň je o </w:t>
      </w:r>
      <w:r>
        <w:rPr>
          <w:rFonts w:ascii="Calibri" w:hAnsi="Calibri" w:cs="Calibri"/>
          <w:bCs/>
          <w:color w:val="000000" w:themeColor="text1"/>
          <w:sz w:val="23"/>
          <w:szCs w:val="23"/>
        </w:rPr>
        <w:t xml:space="preserve">čtvrt procentního bodu nad průměrnými </w:t>
      </w:r>
      <w:r w:rsidR="00436085" w:rsidRPr="00436085">
        <w:rPr>
          <w:rFonts w:ascii="Calibri" w:hAnsi="Calibri" w:cs="Calibri"/>
          <w:bCs/>
          <w:color w:val="000000" w:themeColor="text1"/>
          <w:sz w:val="23"/>
          <w:szCs w:val="23"/>
        </w:rPr>
        <w:t xml:space="preserve">3,93 % z předcházejícího čtvrtého čtvrtletí. V posledních dvanácti měsících se české pětileté swapy pohybovaly v rozmezí měsíčních průměrů 3,29 % (v dubnu 2025) a 4,19 % (z března 2026). </w:t>
      </w:r>
    </w:p>
    <w:p w14:paraId="0A9C9955" w14:textId="77777777" w:rsidR="00486BC4" w:rsidRDefault="00486BC4" w:rsidP="00436085">
      <w:pPr>
        <w:rPr>
          <w:rFonts w:ascii="Calibri" w:hAnsi="Calibri" w:cs="Calibri"/>
          <w:bCs/>
          <w:color w:val="000000" w:themeColor="text1"/>
          <w:sz w:val="23"/>
          <w:szCs w:val="23"/>
        </w:rPr>
      </w:pPr>
    </w:p>
    <w:p w14:paraId="6EBB3727" w14:textId="0EA71A04" w:rsidR="00436085" w:rsidRDefault="00486BC4" w:rsidP="00436085">
      <w:pPr>
        <w:rPr>
          <w:rFonts w:ascii="Calibri" w:hAnsi="Calibri" w:cs="Calibri"/>
          <w:bCs/>
          <w:color w:val="000000" w:themeColor="text1"/>
          <w:sz w:val="23"/>
          <w:szCs w:val="23"/>
        </w:rPr>
      </w:pPr>
      <w:r>
        <w:rPr>
          <w:rFonts w:ascii="Calibri" w:hAnsi="Calibri" w:cs="Calibri"/>
          <w:bCs/>
          <w:color w:val="000000" w:themeColor="text1"/>
          <w:sz w:val="23"/>
          <w:szCs w:val="23"/>
        </w:rPr>
        <w:t xml:space="preserve">Obdobně v reakci na nabídkový šok kvůli Íránské válce vzrostly i </w:t>
      </w:r>
      <w:r w:rsidR="00436085" w:rsidRPr="00436085">
        <w:rPr>
          <w:rFonts w:ascii="Calibri" w:hAnsi="Calibri" w:cs="Calibri"/>
          <w:bCs/>
          <w:color w:val="000000" w:themeColor="text1"/>
          <w:sz w:val="23"/>
          <w:szCs w:val="23"/>
        </w:rPr>
        <w:t>americk</w:t>
      </w:r>
      <w:r>
        <w:rPr>
          <w:rFonts w:ascii="Calibri" w:hAnsi="Calibri" w:cs="Calibri"/>
          <w:bCs/>
          <w:color w:val="000000" w:themeColor="text1"/>
          <w:sz w:val="23"/>
          <w:szCs w:val="23"/>
        </w:rPr>
        <w:t xml:space="preserve">é </w:t>
      </w:r>
      <w:r w:rsidR="00436085" w:rsidRPr="00436085">
        <w:rPr>
          <w:rFonts w:ascii="Calibri" w:hAnsi="Calibri" w:cs="Calibri"/>
          <w:bCs/>
          <w:color w:val="000000" w:themeColor="text1"/>
          <w:sz w:val="23"/>
          <w:szCs w:val="23"/>
        </w:rPr>
        <w:t>pětilet</w:t>
      </w:r>
      <w:r>
        <w:rPr>
          <w:rFonts w:ascii="Calibri" w:hAnsi="Calibri" w:cs="Calibri"/>
          <w:bCs/>
          <w:color w:val="000000" w:themeColor="text1"/>
          <w:sz w:val="23"/>
          <w:szCs w:val="23"/>
        </w:rPr>
        <w:t>é</w:t>
      </w:r>
      <w:r w:rsidR="00436085" w:rsidRPr="00436085">
        <w:rPr>
          <w:rFonts w:ascii="Calibri" w:hAnsi="Calibri" w:cs="Calibri"/>
          <w:bCs/>
          <w:color w:val="000000" w:themeColor="text1"/>
          <w:sz w:val="23"/>
          <w:szCs w:val="23"/>
        </w:rPr>
        <w:t xml:space="preserve"> úrokov</w:t>
      </w:r>
      <w:r>
        <w:rPr>
          <w:rFonts w:ascii="Calibri" w:hAnsi="Calibri" w:cs="Calibri"/>
          <w:bCs/>
          <w:color w:val="000000" w:themeColor="text1"/>
          <w:sz w:val="23"/>
          <w:szCs w:val="23"/>
        </w:rPr>
        <w:t>é</w:t>
      </w:r>
      <w:r w:rsidR="00436085" w:rsidRPr="00436085">
        <w:rPr>
          <w:rFonts w:ascii="Calibri" w:hAnsi="Calibri" w:cs="Calibri"/>
          <w:bCs/>
          <w:color w:val="000000" w:themeColor="text1"/>
          <w:sz w:val="23"/>
          <w:szCs w:val="23"/>
        </w:rPr>
        <w:t xml:space="preserve"> swap</w:t>
      </w:r>
      <w:r>
        <w:rPr>
          <w:rFonts w:ascii="Calibri" w:hAnsi="Calibri" w:cs="Calibri"/>
          <w:bCs/>
          <w:color w:val="000000" w:themeColor="text1"/>
          <w:sz w:val="23"/>
          <w:szCs w:val="23"/>
        </w:rPr>
        <w:t>y</w:t>
      </w:r>
      <w:r w:rsidR="00436085" w:rsidRPr="00436085">
        <w:rPr>
          <w:rFonts w:ascii="Calibri" w:hAnsi="Calibri" w:cs="Calibri"/>
          <w:bCs/>
          <w:color w:val="000000" w:themeColor="text1"/>
          <w:sz w:val="23"/>
          <w:szCs w:val="23"/>
        </w:rPr>
        <w:t xml:space="preserve"> na </w:t>
      </w:r>
      <w:r>
        <w:rPr>
          <w:rFonts w:ascii="Calibri" w:hAnsi="Calibri" w:cs="Calibri"/>
          <w:bCs/>
          <w:color w:val="000000" w:themeColor="text1"/>
          <w:sz w:val="23"/>
          <w:szCs w:val="23"/>
        </w:rPr>
        <w:t xml:space="preserve">březnová </w:t>
      </w:r>
      <w:r w:rsidR="00436085" w:rsidRPr="00436085">
        <w:rPr>
          <w:rFonts w:ascii="Calibri" w:hAnsi="Calibri" w:cs="Calibri"/>
          <w:bCs/>
          <w:color w:val="000000" w:themeColor="text1"/>
          <w:sz w:val="23"/>
          <w:szCs w:val="23"/>
        </w:rPr>
        <w:t>3,8 % z únorových 3,</w:t>
      </w:r>
      <w:r>
        <w:rPr>
          <w:rFonts w:ascii="Calibri" w:hAnsi="Calibri" w:cs="Calibri"/>
          <w:bCs/>
          <w:color w:val="000000" w:themeColor="text1"/>
          <w:sz w:val="23"/>
          <w:szCs w:val="23"/>
        </w:rPr>
        <w:t>7 %, zatímco e</w:t>
      </w:r>
      <w:r w:rsidR="00436085" w:rsidRPr="00436085">
        <w:rPr>
          <w:rFonts w:ascii="Calibri" w:hAnsi="Calibri" w:cs="Calibri"/>
          <w:bCs/>
          <w:color w:val="000000" w:themeColor="text1"/>
          <w:sz w:val="23"/>
          <w:szCs w:val="23"/>
        </w:rPr>
        <w:t xml:space="preserve">urové pětileté swapy v březnu stouply na 2,74 % z únorových 2,45 % a byly 0,4 p. b. nad jejich průměrnou loňskou úrovní 2,34 %. Mezi domácí faktory, které </w:t>
      </w:r>
      <w:r>
        <w:rPr>
          <w:rFonts w:ascii="Calibri" w:hAnsi="Calibri" w:cs="Calibri"/>
          <w:bCs/>
          <w:color w:val="000000" w:themeColor="text1"/>
          <w:sz w:val="23"/>
          <w:szCs w:val="23"/>
        </w:rPr>
        <w:t>se také mohou propisovat do</w:t>
      </w:r>
      <w:r w:rsidR="00436085" w:rsidRPr="00436085">
        <w:rPr>
          <w:rFonts w:ascii="Calibri" w:hAnsi="Calibri" w:cs="Calibri"/>
          <w:bCs/>
          <w:color w:val="000000" w:themeColor="text1"/>
          <w:sz w:val="23"/>
          <w:szCs w:val="23"/>
        </w:rPr>
        <w:t xml:space="preserve"> vývoj</w:t>
      </w:r>
      <w:r>
        <w:rPr>
          <w:rFonts w:ascii="Calibri" w:hAnsi="Calibri" w:cs="Calibri"/>
          <w:bCs/>
          <w:color w:val="000000" w:themeColor="text1"/>
          <w:sz w:val="23"/>
          <w:szCs w:val="23"/>
        </w:rPr>
        <w:t>e</w:t>
      </w:r>
      <w:r w:rsidR="00436085" w:rsidRPr="00436085">
        <w:rPr>
          <w:rFonts w:ascii="Calibri" w:hAnsi="Calibri" w:cs="Calibri"/>
          <w:bCs/>
          <w:color w:val="000000" w:themeColor="text1"/>
          <w:sz w:val="23"/>
          <w:szCs w:val="23"/>
        </w:rPr>
        <w:t xml:space="preserve"> úrokových swapů především patřily: </w:t>
      </w:r>
      <w:r w:rsidR="00586686">
        <w:rPr>
          <w:rFonts w:ascii="Calibri" w:hAnsi="Calibri" w:cs="Calibri"/>
          <w:bCs/>
          <w:color w:val="000000" w:themeColor="text1"/>
          <w:sz w:val="23"/>
          <w:szCs w:val="23"/>
        </w:rPr>
        <w:t>I</w:t>
      </w:r>
      <w:r w:rsidR="00436085" w:rsidRPr="00436085">
        <w:rPr>
          <w:rFonts w:ascii="Calibri" w:hAnsi="Calibri" w:cs="Calibri"/>
          <w:bCs/>
          <w:color w:val="000000" w:themeColor="text1"/>
          <w:sz w:val="23"/>
          <w:szCs w:val="23"/>
        </w:rPr>
        <w:t xml:space="preserve">) </w:t>
      </w:r>
      <w:r>
        <w:rPr>
          <w:rFonts w:ascii="Calibri" w:hAnsi="Calibri" w:cs="Calibri"/>
          <w:bCs/>
          <w:color w:val="000000" w:themeColor="text1"/>
          <w:sz w:val="23"/>
          <w:szCs w:val="23"/>
        </w:rPr>
        <w:t xml:space="preserve">vyšší březnová </w:t>
      </w:r>
      <w:hyperlink r:id="rId20" w:history="1">
        <w:r w:rsidRPr="005A4638">
          <w:rPr>
            <w:rStyle w:val="Hyperlink"/>
            <w:rFonts w:ascii="Calibri" w:hAnsi="Calibri" w:cs="Calibri"/>
            <w:bCs/>
            <w:sz w:val="23"/>
            <w:szCs w:val="23"/>
          </w:rPr>
          <w:t>jádrová inflace</w:t>
        </w:r>
      </w:hyperlink>
      <w:r w:rsidR="00436085" w:rsidRPr="00436085">
        <w:rPr>
          <w:rFonts w:ascii="Calibri" w:hAnsi="Calibri" w:cs="Calibri"/>
          <w:bCs/>
          <w:color w:val="000000" w:themeColor="text1"/>
          <w:sz w:val="23"/>
          <w:szCs w:val="23"/>
        </w:rPr>
        <w:t xml:space="preserve">; </w:t>
      </w:r>
      <w:r w:rsidR="00586686">
        <w:rPr>
          <w:rFonts w:ascii="Calibri" w:hAnsi="Calibri" w:cs="Calibri"/>
          <w:bCs/>
          <w:color w:val="000000" w:themeColor="text1"/>
          <w:sz w:val="23"/>
          <w:szCs w:val="23"/>
        </w:rPr>
        <w:t>II</w:t>
      </w:r>
      <w:r w:rsidR="00436085" w:rsidRPr="00436085">
        <w:rPr>
          <w:rFonts w:ascii="Calibri" w:hAnsi="Calibri" w:cs="Calibri"/>
          <w:bCs/>
          <w:color w:val="000000" w:themeColor="text1"/>
          <w:sz w:val="23"/>
          <w:szCs w:val="23"/>
        </w:rPr>
        <w:t xml:space="preserve">) </w:t>
      </w:r>
      <w:r>
        <w:rPr>
          <w:rFonts w:ascii="Calibri" w:hAnsi="Calibri" w:cs="Calibri"/>
          <w:bCs/>
          <w:color w:val="000000" w:themeColor="text1"/>
          <w:sz w:val="23"/>
          <w:szCs w:val="23"/>
        </w:rPr>
        <w:t xml:space="preserve">stále solidní </w:t>
      </w:r>
      <w:hyperlink r:id="rId21" w:history="1">
        <w:r w:rsidRPr="005A4638">
          <w:rPr>
            <w:rStyle w:val="Hyperlink"/>
            <w:rFonts w:ascii="Calibri" w:hAnsi="Calibri" w:cs="Calibri"/>
            <w:bCs/>
            <w:sz w:val="23"/>
            <w:szCs w:val="23"/>
          </w:rPr>
          <w:t>tržby v maloobchodě</w:t>
        </w:r>
      </w:hyperlink>
      <w:r w:rsidR="00436085" w:rsidRPr="00436085">
        <w:rPr>
          <w:rFonts w:ascii="Calibri" w:hAnsi="Calibri" w:cs="Calibri"/>
          <w:bCs/>
          <w:color w:val="000000" w:themeColor="text1"/>
          <w:sz w:val="23"/>
          <w:szCs w:val="23"/>
        </w:rPr>
        <w:t xml:space="preserve">; </w:t>
      </w:r>
      <w:r w:rsidR="00586686">
        <w:rPr>
          <w:rFonts w:ascii="Calibri" w:hAnsi="Calibri" w:cs="Calibri"/>
          <w:bCs/>
          <w:color w:val="000000" w:themeColor="text1"/>
          <w:sz w:val="23"/>
          <w:szCs w:val="23"/>
        </w:rPr>
        <w:t>III</w:t>
      </w:r>
      <w:r w:rsidR="00436085" w:rsidRPr="00436085">
        <w:rPr>
          <w:rFonts w:ascii="Calibri" w:hAnsi="Calibri" w:cs="Calibri"/>
          <w:bCs/>
          <w:color w:val="000000" w:themeColor="text1"/>
          <w:sz w:val="23"/>
          <w:szCs w:val="23"/>
        </w:rPr>
        <w:t xml:space="preserve">) </w:t>
      </w:r>
      <w:r>
        <w:rPr>
          <w:rFonts w:ascii="Calibri" w:hAnsi="Calibri" w:cs="Calibri"/>
          <w:bCs/>
          <w:color w:val="000000" w:themeColor="text1"/>
          <w:sz w:val="23"/>
          <w:szCs w:val="23"/>
        </w:rPr>
        <w:t>silný růst mezd v průmyslu</w:t>
      </w:r>
      <w:r w:rsidR="00436085" w:rsidRPr="00436085">
        <w:rPr>
          <w:rFonts w:ascii="Calibri" w:hAnsi="Calibri" w:cs="Calibri"/>
          <w:bCs/>
          <w:color w:val="000000" w:themeColor="text1"/>
          <w:sz w:val="23"/>
          <w:szCs w:val="23"/>
        </w:rPr>
        <w:t xml:space="preserve">; </w:t>
      </w:r>
      <w:r w:rsidR="00586686">
        <w:rPr>
          <w:rFonts w:ascii="Calibri" w:hAnsi="Calibri" w:cs="Calibri"/>
          <w:bCs/>
          <w:color w:val="000000" w:themeColor="text1"/>
          <w:sz w:val="23"/>
          <w:szCs w:val="23"/>
        </w:rPr>
        <w:t>IV</w:t>
      </w:r>
      <w:r w:rsidR="00436085" w:rsidRPr="00436085">
        <w:rPr>
          <w:rFonts w:ascii="Calibri" w:hAnsi="Calibri" w:cs="Calibri"/>
          <w:bCs/>
          <w:color w:val="000000" w:themeColor="text1"/>
          <w:sz w:val="23"/>
          <w:szCs w:val="23"/>
        </w:rPr>
        <w:t xml:space="preserve">) </w:t>
      </w:r>
      <w:r>
        <w:rPr>
          <w:rFonts w:ascii="Calibri" w:hAnsi="Calibri" w:cs="Calibri"/>
          <w:bCs/>
          <w:color w:val="000000" w:themeColor="text1"/>
          <w:sz w:val="23"/>
          <w:szCs w:val="23"/>
        </w:rPr>
        <w:t xml:space="preserve">po silném mzdovém růstu </w:t>
      </w:r>
      <w:hyperlink r:id="rId22" w:history="1">
        <w:r w:rsidRPr="005A4638">
          <w:rPr>
            <w:rStyle w:val="Hyperlink"/>
            <w:rFonts w:ascii="Calibri" w:hAnsi="Calibri" w:cs="Calibri"/>
            <w:bCs/>
            <w:sz w:val="23"/>
            <w:szCs w:val="23"/>
          </w:rPr>
          <w:t>v závěru loňského roku</w:t>
        </w:r>
      </w:hyperlink>
      <w:r>
        <w:rPr>
          <w:rFonts w:ascii="Calibri" w:hAnsi="Calibri" w:cs="Calibri"/>
          <w:bCs/>
          <w:color w:val="000000" w:themeColor="text1"/>
          <w:sz w:val="23"/>
          <w:szCs w:val="23"/>
        </w:rPr>
        <w:t>;</w:t>
      </w:r>
      <w:r w:rsidR="00436085" w:rsidRPr="00436085">
        <w:rPr>
          <w:rFonts w:ascii="Calibri" w:hAnsi="Calibri" w:cs="Calibri"/>
          <w:bCs/>
          <w:color w:val="000000" w:themeColor="text1"/>
          <w:sz w:val="23"/>
          <w:szCs w:val="23"/>
        </w:rPr>
        <w:t xml:space="preserve"> </w:t>
      </w:r>
      <w:r w:rsidR="00586686">
        <w:rPr>
          <w:rFonts w:ascii="Calibri" w:hAnsi="Calibri" w:cs="Calibri"/>
          <w:bCs/>
          <w:color w:val="000000" w:themeColor="text1"/>
          <w:sz w:val="23"/>
          <w:szCs w:val="23"/>
        </w:rPr>
        <w:t>V</w:t>
      </w:r>
      <w:r w:rsidR="00436085" w:rsidRPr="00436085">
        <w:rPr>
          <w:rFonts w:ascii="Calibri" w:hAnsi="Calibri" w:cs="Calibri"/>
          <w:bCs/>
          <w:color w:val="000000" w:themeColor="text1"/>
          <w:sz w:val="23"/>
          <w:szCs w:val="23"/>
        </w:rPr>
        <w:t xml:space="preserve">) </w:t>
      </w:r>
      <w:r>
        <w:rPr>
          <w:rFonts w:ascii="Calibri" w:hAnsi="Calibri" w:cs="Calibri"/>
          <w:bCs/>
          <w:color w:val="000000" w:themeColor="text1"/>
          <w:sz w:val="23"/>
          <w:szCs w:val="23"/>
        </w:rPr>
        <w:t xml:space="preserve">doprovázeného </w:t>
      </w:r>
      <w:hyperlink r:id="rId23" w:history="1">
        <w:r w:rsidRPr="005A4638">
          <w:rPr>
            <w:rStyle w:val="Hyperlink"/>
            <w:rFonts w:ascii="Calibri" w:hAnsi="Calibri" w:cs="Calibri"/>
            <w:bCs/>
            <w:sz w:val="23"/>
            <w:szCs w:val="23"/>
          </w:rPr>
          <w:t>slabším růstem produktivity</w:t>
        </w:r>
      </w:hyperlink>
      <w:r>
        <w:rPr>
          <w:rFonts w:ascii="Calibri" w:hAnsi="Calibri" w:cs="Calibri"/>
          <w:bCs/>
          <w:color w:val="000000" w:themeColor="text1"/>
          <w:sz w:val="23"/>
          <w:szCs w:val="23"/>
        </w:rPr>
        <w:t xml:space="preserve">. </w:t>
      </w:r>
    </w:p>
    <w:p w14:paraId="3C30E209" w14:textId="77777777" w:rsidR="00652484" w:rsidRPr="00436085" w:rsidRDefault="00652484" w:rsidP="00436085">
      <w:pPr>
        <w:rPr>
          <w:rFonts w:ascii="Calibri" w:hAnsi="Calibri" w:cs="Calibri"/>
          <w:bCs/>
          <w:color w:val="000000" w:themeColor="text1"/>
          <w:sz w:val="23"/>
          <w:szCs w:val="23"/>
        </w:rPr>
      </w:pPr>
    </w:p>
    <w:p w14:paraId="3EDC2E0C" w14:textId="77777777" w:rsidR="00436085" w:rsidRDefault="00436085" w:rsidP="00436085">
      <w:pPr>
        <w:rPr>
          <w:rFonts w:ascii="Calibri" w:hAnsi="Calibri" w:cs="Calibri"/>
          <w:b/>
          <w:color w:val="000000" w:themeColor="text1"/>
          <w:sz w:val="23"/>
          <w:szCs w:val="23"/>
        </w:rPr>
      </w:pPr>
    </w:p>
    <w:p w14:paraId="479EF412" w14:textId="4D40C121" w:rsidR="00616F34" w:rsidRPr="00616F34" w:rsidRDefault="00616F34" w:rsidP="00616F34">
      <w:pPr>
        <w:rPr>
          <w:rFonts w:ascii="Calibri" w:hAnsi="Calibri" w:cs="Calibri"/>
          <w:color w:val="000000" w:themeColor="text1"/>
          <w:sz w:val="22"/>
          <w:szCs w:val="22"/>
        </w:rPr>
        <w:sectPr w:rsidR="00616F34" w:rsidRPr="00616F34" w:rsidSect="00606031">
          <w:type w:val="continuous"/>
          <w:pgSz w:w="11906" w:h="16838"/>
          <w:pgMar w:top="2552" w:right="849" w:bottom="1560" w:left="851" w:header="709" w:footer="283" w:gutter="0"/>
          <w:cols w:space="708"/>
          <w:docGrid w:linePitch="360"/>
        </w:sectPr>
      </w:pPr>
    </w:p>
    <w:p w14:paraId="636F55D4" w14:textId="535B8789" w:rsidR="001B2E5E" w:rsidRDefault="001B2E5E" w:rsidP="001B2E5E">
      <w:pPr>
        <w:spacing w:after="120"/>
        <w:rPr>
          <w:rFonts w:ascii="Calibri" w:hAnsi="Calibri" w:cs="Calibri"/>
          <w:b/>
          <w:color w:val="13576B"/>
          <w:sz w:val="23"/>
          <w:szCs w:val="23"/>
        </w:rPr>
      </w:pPr>
      <w:r>
        <w:rPr>
          <w:rFonts w:ascii="Calibri" w:hAnsi="Calibri" w:cs="Calibri"/>
          <w:b/>
          <w:color w:val="13576B"/>
          <w:sz w:val="23"/>
          <w:szCs w:val="23"/>
        </w:rPr>
        <w:lastRenderedPageBreak/>
        <w:t xml:space="preserve">Graf </w:t>
      </w:r>
      <w:r w:rsidRPr="005B4653">
        <w:rPr>
          <w:rFonts w:ascii="Calibri" w:hAnsi="Calibri" w:cs="Calibri"/>
          <w:b/>
          <w:color w:val="13576B"/>
          <w:sz w:val="23"/>
          <w:szCs w:val="23"/>
        </w:rPr>
        <w:t xml:space="preserve">č. </w:t>
      </w:r>
      <w:r w:rsidR="00E27948">
        <w:rPr>
          <w:rFonts w:ascii="Calibri" w:hAnsi="Calibri" w:cs="Calibri"/>
          <w:b/>
          <w:color w:val="13576B"/>
          <w:sz w:val="23"/>
          <w:szCs w:val="23"/>
        </w:rPr>
        <w:t>4</w:t>
      </w:r>
      <w:r>
        <w:rPr>
          <w:rFonts w:ascii="Calibri" w:hAnsi="Calibri" w:cs="Calibri"/>
          <w:b/>
          <w:color w:val="13576B"/>
          <w:sz w:val="23"/>
          <w:szCs w:val="23"/>
        </w:rPr>
        <w:t>:</w:t>
      </w:r>
      <w:r w:rsidRPr="005B4653">
        <w:rPr>
          <w:rFonts w:ascii="Calibri" w:hAnsi="Calibri" w:cs="Calibri"/>
          <w:b/>
          <w:color w:val="13576B"/>
          <w:sz w:val="23"/>
          <w:szCs w:val="23"/>
        </w:rPr>
        <w:t xml:space="preserve"> Průměrná hypoteční </w:t>
      </w:r>
      <w:r>
        <w:rPr>
          <w:rFonts w:ascii="Calibri" w:hAnsi="Calibri" w:cs="Calibri"/>
          <w:b/>
          <w:color w:val="13576B"/>
          <w:sz w:val="23"/>
          <w:szCs w:val="23"/>
        </w:rPr>
        <w:t xml:space="preserve">úroková </w:t>
      </w:r>
      <w:r w:rsidRPr="005B4653">
        <w:rPr>
          <w:rFonts w:ascii="Calibri" w:hAnsi="Calibri" w:cs="Calibri"/>
          <w:b/>
          <w:color w:val="13576B"/>
          <w:sz w:val="23"/>
          <w:szCs w:val="23"/>
        </w:rPr>
        <w:t>sazba – nové obchody</w:t>
      </w:r>
    </w:p>
    <w:p w14:paraId="00505FA7" w14:textId="77777777" w:rsidR="005A4638" w:rsidRDefault="00486BC4" w:rsidP="008E3BA7">
      <w:pPr>
        <w:rPr>
          <w:rFonts w:ascii="Calibri" w:hAnsi="Calibri" w:cs="Calibri"/>
          <w:bCs/>
          <w:i/>
          <w:iCs/>
          <w:color w:val="13576B"/>
          <w:sz w:val="23"/>
          <w:szCs w:val="23"/>
        </w:rPr>
      </w:pPr>
      <w:r>
        <w:rPr>
          <w:rFonts w:ascii="Calibri" w:hAnsi="Calibri" w:cs="Calibri"/>
          <w:bCs/>
          <w:i/>
          <w:iCs/>
          <w:color w:val="13576B"/>
          <w:sz w:val="23"/>
          <w:szCs w:val="23"/>
        </w:rPr>
        <w:t>Březnové</w:t>
      </w:r>
      <w:r w:rsidR="00F463BF">
        <w:rPr>
          <w:rFonts w:ascii="Calibri" w:hAnsi="Calibri" w:cs="Calibri"/>
          <w:bCs/>
          <w:i/>
          <w:iCs/>
          <w:color w:val="13576B"/>
          <w:sz w:val="23"/>
          <w:szCs w:val="23"/>
        </w:rPr>
        <w:t xml:space="preserve"> hypoteční sazby nepatrně </w:t>
      </w:r>
      <w:r w:rsidR="00AD4353">
        <w:rPr>
          <w:rFonts w:ascii="Calibri" w:hAnsi="Calibri" w:cs="Calibri"/>
          <w:bCs/>
          <w:i/>
          <w:iCs/>
          <w:color w:val="13576B"/>
          <w:sz w:val="23"/>
          <w:szCs w:val="23"/>
        </w:rPr>
        <w:t xml:space="preserve">dále </w:t>
      </w:r>
      <w:r w:rsidR="00F463BF">
        <w:rPr>
          <w:rFonts w:ascii="Calibri" w:hAnsi="Calibri" w:cs="Calibri"/>
          <w:bCs/>
          <w:i/>
          <w:iCs/>
          <w:color w:val="13576B"/>
          <w:sz w:val="23"/>
          <w:szCs w:val="23"/>
        </w:rPr>
        <w:t>poklesl</w:t>
      </w:r>
      <w:r w:rsidR="00AD4353">
        <w:rPr>
          <w:rFonts w:ascii="Calibri" w:hAnsi="Calibri" w:cs="Calibri"/>
          <w:bCs/>
          <w:i/>
          <w:iCs/>
          <w:color w:val="13576B"/>
          <w:sz w:val="23"/>
          <w:szCs w:val="23"/>
        </w:rPr>
        <w:t xml:space="preserve">y </w:t>
      </w:r>
    </w:p>
    <w:p w14:paraId="1AAB3FAB" w14:textId="26722F5C" w:rsidR="008E3BA7" w:rsidRPr="008E3BA7" w:rsidRDefault="008E3BA7" w:rsidP="008E3BA7">
      <w:pPr>
        <w:rPr>
          <w:rFonts w:ascii="Calibri" w:hAnsi="Calibri" w:cs="Calibri"/>
          <w:bCs/>
          <w:i/>
          <w:iCs/>
          <w:color w:val="13576B"/>
          <w:sz w:val="23"/>
          <w:szCs w:val="23"/>
        </w:rPr>
      </w:pPr>
    </w:p>
    <w:p w14:paraId="380635EC" w14:textId="22E0E7E9" w:rsidR="001B2E5E" w:rsidRPr="006D5361" w:rsidRDefault="001B2E5E" w:rsidP="006D5361">
      <w:pPr>
        <w:overflowPunct/>
        <w:autoSpaceDE/>
        <w:adjustRightInd/>
        <w:rPr>
          <w:rFonts w:ascii="Calibri" w:hAnsi="Calibri" w:cs="Calibri"/>
          <w:b/>
          <w:color w:val="13576B"/>
          <w:sz w:val="23"/>
          <w:szCs w:val="23"/>
        </w:rPr>
        <w:sectPr w:rsidR="001B2E5E" w:rsidRPr="006D5361" w:rsidSect="001B2E5E">
          <w:type w:val="continuous"/>
          <w:pgSz w:w="11906" w:h="16838"/>
          <w:pgMar w:top="2552" w:right="849" w:bottom="1560" w:left="851" w:header="709" w:footer="283" w:gutter="0"/>
          <w:cols w:num="2" w:space="708"/>
          <w:docGrid w:linePitch="360"/>
        </w:sectPr>
      </w:pPr>
      <w:r w:rsidRPr="005B4653">
        <w:rPr>
          <w:rFonts w:ascii="Calibri" w:hAnsi="Calibri" w:cs="Calibri"/>
          <w:b/>
          <w:color w:val="13576B"/>
          <w:sz w:val="23"/>
          <w:szCs w:val="23"/>
        </w:rPr>
        <w:t xml:space="preserve">Graf č. </w:t>
      </w:r>
      <w:r w:rsidR="00E27948">
        <w:rPr>
          <w:rFonts w:ascii="Calibri" w:hAnsi="Calibri" w:cs="Calibri"/>
          <w:b/>
          <w:color w:val="13576B"/>
          <w:sz w:val="23"/>
          <w:szCs w:val="23"/>
        </w:rPr>
        <w:t>5</w:t>
      </w:r>
      <w:r>
        <w:rPr>
          <w:rFonts w:ascii="Calibri" w:hAnsi="Calibri" w:cs="Calibri"/>
          <w:b/>
          <w:color w:val="13576B"/>
          <w:sz w:val="23"/>
          <w:szCs w:val="23"/>
        </w:rPr>
        <w:t>:</w:t>
      </w:r>
      <w:r w:rsidRPr="005B4653">
        <w:rPr>
          <w:rFonts w:ascii="Calibri" w:hAnsi="Calibri" w:cs="Calibri"/>
          <w:b/>
          <w:color w:val="13576B"/>
          <w:sz w:val="23"/>
          <w:szCs w:val="23"/>
        </w:rPr>
        <w:t xml:space="preserve"> </w:t>
      </w:r>
      <w:r w:rsidR="00AD4353">
        <w:rPr>
          <w:rFonts w:ascii="Calibri" w:hAnsi="Calibri" w:cs="Calibri"/>
          <w:b/>
          <w:color w:val="13576B"/>
          <w:sz w:val="23"/>
          <w:szCs w:val="23"/>
        </w:rPr>
        <w:t xml:space="preserve">Americký útok na Írán </w:t>
      </w:r>
      <w:r w:rsidR="00486BC4">
        <w:rPr>
          <w:rFonts w:ascii="Calibri" w:hAnsi="Calibri" w:cs="Calibri"/>
          <w:b/>
          <w:color w:val="13576B"/>
          <w:sz w:val="23"/>
          <w:szCs w:val="23"/>
        </w:rPr>
        <w:t>výrazně navýšil tržní swapové úrokové sazby</w:t>
      </w:r>
    </w:p>
    <w:p w14:paraId="7CBC6B5A" w14:textId="77777777" w:rsidR="001B2E5E" w:rsidRPr="004803D6" w:rsidRDefault="001B2E5E" w:rsidP="00F625CA">
      <w:pPr>
        <w:rPr>
          <w:rFonts w:ascii="Calibri" w:hAnsi="Calibri" w:cs="Calibri"/>
          <w:color w:val="000000"/>
          <w:sz w:val="22"/>
          <w:szCs w:val="22"/>
        </w:rPr>
      </w:pPr>
    </w:p>
    <w:p w14:paraId="0230887A" w14:textId="77777777" w:rsidR="00606031" w:rsidRDefault="00606031" w:rsidP="005874B8">
      <w:pPr>
        <w:spacing w:after="120"/>
        <w:rPr>
          <w:rFonts w:ascii="Calibri" w:hAnsi="Calibri" w:cs="Calibri"/>
          <w:b/>
          <w:color w:val="13576B"/>
          <w:sz w:val="23"/>
          <w:szCs w:val="23"/>
        </w:rPr>
        <w:sectPr w:rsidR="00606031" w:rsidSect="00606031">
          <w:type w:val="continuous"/>
          <w:pgSz w:w="11906" w:h="16838"/>
          <w:pgMar w:top="2552" w:right="849" w:bottom="1560" w:left="851" w:header="709" w:footer="283" w:gutter="0"/>
          <w:cols w:space="708"/>
          <w:docGrid w:linePitch="360"/>
        </w:sectPr>
      </w:pPr>
    </w:p>
    <w:p w14:paraId="5C054A6D" w14:textId="5FFB04F2" w:rsidR="00D2301A" w:rsidRPr="002138C0" w:rsidRDefault="00486BC4" w:rsidP="005874B8">
      <w:pPr>
        <w:rPr>
          <w:rFonts w:ascii="Calibri" w:hAnsi="Calibri" w:cs="Calibri"/>
          <w:sz w:val="22"/>
          <w:szCs w:val="22"/>
          <w:highlight w:val="yellow"/>
        </w:rPr>
      </w:pPr>
      <w:r>
        <w:rPr>
          <w:rFonts w:ascii="Calibri" w:hAnsi="Calibri" w:cs="Calibri"/>
          <w:noProof/>
          <w:sz w:val="22"/>
          <w:szCs w:val="22"/>
          <w:highlight w:val="yellow"/>
        </w:rPr>
        <w:drawing>
          <wp:inline distT="0" distB="0" distL="0" distR="0" wp14:anchorId="693F0E2A" wp14:editId="3B721DDC">
            <wp:extent cx="3165894" cy="1992473"/>
            <wp:effectExtent l="0" t="0" r="0" b="8255"/>
            <wp:docPr id="231769544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4069" cy="20039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9B88724" w14:textId="17255E86" w:rsidR="001B2E5E" w:rsidRDefault="00691287" w:rsidP="001B2E5E">
      <w:pPr>
        <w:overflowPunct/>
        <w:autoSpaceDE/>
        <w:adjustRightInd/>
        <w:rPr>
          <w:rFonts w:ascii="Calibri" w:hAnsi="Calibri" w:cs="Calibri"/>
          <w:b/>
          <w:color w:val="13576B"/>
          <w:sz w:val="23"/>
          <w:szCs w:val="23"/>
        </w:rPr>
      </w:pPr>
      <w:r w:rsidRPr="002F4CBD">
        <w:rPr>
          <w:rFonts w:ascii="Calibri Light" w:hAnsi="Calibri Light" w:cs="Calibri Light"/>
          <w:color w:val="13576B"/>
          <w:sz w:val="20"/>
        </w:rPr>
        <w:t xml:space="preserve">Pramen: </w:t>
      </w:r>
      <w:r w:rsidR="006F74BF">
        <w:rPr>
          <w:rFonts w:ascii="Calibri Light" w:hAnsi="Calibri Light" w:cs="Calibri Light"/>
          <w:color w:val="13576B"/>
          <w:sz w:val="20"/>
        </w:rPr>
        <w:t xml:space="preserve">ČNB, </w:t>
      </w:r>
      <w:r w:rsidRPr="002F4CBD">
        <w:rPr>
          <w:rFonts w:ascii="Calibri Light" w:hAnsi="Calibri Light" w:cs="Calibri Light"/>
          <w:color w:val="13576B"/>
          <w:sz w:val="20"/>
        </w:rPr>
        <w:t xml:space="preserve">ČBA </w:t>
      </w:r>
      <w:proofErr w:type="spellStart"/>
      <w:r w:rsidRPr="002F4CBD">
        <w:rPr>
          <w:rFonts w:ascii="Calibri Light" w:hAnsi="Calibri Light" w:cs="Calibri Light"/>
          <w:color w:val="13576B"/>
          <w:sz w:val="20"/>
        </w:rPr>
        <w:t>Hypomonitor</w:t>
      </w:r>
      <w:bookmarkStart w:id="4" w:name="_Hlk137652102"/>
      <w:proofErr w:type="spellEnd"/>
    </w:p>
    <w:p w14:paraId="53F00851" w14:textId="40C70AEE" w:rsidR="006337E7" w:rsidRDefault="00486BC4" w:rsidP="006337E7">
      <w:pPr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noProof/>
          <w:color w:val="000000" w:themeColor="text1"/>
          <w:sz w:val="22"/>
          <w:szCs w:val="22"/>
        </w:rPr>
        <w:drawing>
          <wp:inline distT="0" distB="0" distL="0" distR="0" wp14:anchorId="675E6A1D" wp14:editId="1E46CEC9">
            <wp:extent cx="2908742" cy="1839019"/>
            <wp:effectExtent l="0" t="0" r="6350" b="8890"/>
            <wp:docPr id="106440786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6757" cy="18440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6B50194" w14:textId="2B80E3BE" w:rsidR="00F20967" w:rsidRDefault="006337E7" w:rsidP="00DD1BFF">
      <w:pPr>
        <w:rPr>
          <w:rFonts w:asciiTheme="minorHAnsi" w:hAnsiTheme="minorHAnsi" w:cstheme="minorHAnsi"/>
          <w:color w:val="13576B"/>
          <w:sz w:val="20"/>
        </w:rPr>
      </w:pPr>
      <w:r w:rsidRPr="00AA62A7">
        <w:rPr>
          <w:rFonts w:asciiTheme="minorHAnsi" w:hAnsiTheme="minorHAnsi" w:cstheme="minorHAnsi"/>
          <w:color w:val="2F5496" w:themeColor="accent5" w:themeShade="BF"/>
          <w:sz w:val="20"/>
        </w:rPr>
        <w:t>Pramen</w:t>
      </w:r>
      <w:r w:rsidRPr="00AA62A7">
        <w:rPr>
          <w:rFonts w:asciiTheme="minorHAnsi" w:hAnsiTheme="minorHAnsi" w:cstheme="minorHAnsi"/>
          <w:color w:val="13576B"/>
          <w:sz w:val="20"/>
        </w:rPr>
        <w:t xml:space="preserve">: </w:t>
      </w:r>
      <w:r>
        <w:rPr>
          <w:rFonts w:asciiTheme="minorHAnsi" w:hAnsiTheme="minorHAnsi" w:cstheme="minorHAnsi"/>
          <w:color w:val="13576B"/>
          <w:sz w:val="20"/>
        </w:rPr>
        <w:t>LSEG, Macrobond (</w:t>
      </w:r>
      <w:r w:rsidR="00BA3140">
        <w:rPr>
          <w:rFonts w:asciiTheme="minorHAnsi" w:hAnsiTheme="minorHAnsi" w:cstheme="minorHAnsi"/>
          <w:color w:val="13576B"/>
          <w:sz w:val="20"/>
        </w:rPr>
        <w:t>1</w:t>
      </w:r>
      <w:r w:rsidR="00486BC4">
        <w:rPr>
          <w:rFonts w:asciiTheme="minorHAnsi" w:hAnsiTheme="minorHAnsi" w:cstheme="minorHAnsi"/>
          <w:color w:val="13576B"/>
          <w:sz w:val="20"/>
        </w:rPr>
        <w:t>5</w:t>
      </w:r>
      <w:r>
        <w:rPr>
          <w:rFonts w:asciiTheme="minorHAnsi" w:hAnsiTheme="minorHAnsi" w:cstheme="minorHAnsi"/>
          <w:color w:val="13576B"/>
          <w:sz w:val="20"/>
        </w:rPr>
        <w:t xml:space="preserve">. </w:t>
      </w:r>
      <w:r w:rsidR="00486BC4">
        <w:rPr>
          <w:rFonts w:asciiTheme="minorHAnsi" w:hAnsiTheme="minorHAnsi" w:cstheme="minorHAnsi"/>
          <w:color w:val="13576B"/>
          <w:sz w:val="20"/>
        </w:rPr>
        <w:t>dubna</w:t>
      </w:r>
      <w:r w:rsidR="00055000">
        <w:rPr>
          <w:rFonts w:asciiTheme="minorHAnsi" w:hAnsiTheme="minorHAnsi" w:cstheme="minorHAnsi"/>
          <w:color w:val="13576B"/>
          <w:sz w:val="20"/>
        </w:rPr>
        <w:t xml:space="preserve"> </w:t>
      </w:r>
      <w:r>
        <w:rPr>
          <w:rFonts w:asciiTheme="minorHAnsi" w:hAnsiTheme="minorHAnsi" w:cstheme="minorHAnsi"/>
          <w:color w:val="13576B"/>
          <w:sz w:val="20"/>
        </w:rPr>
        <w:t>202</w:t>
      </w:r>
      <w:r w:rsidR="00BA3140">
        <w:rPr>
          <w:rFonts w:asciiTheme="minorHAnsi" w:hAnsiTheme="minorHAnsi" w:cstheme="minorHAnsi"/>
          <w:color w:val="13576B"/>
          <w:sz w:val="20"/>
        </w:rPr>
        <w:t>6</w:t>
      </w:r>
      <w:r>
        <w:rPr>
          <w:rFonts w:asciiTheme="minorHAnsi" w:hAnsiTheme="minorHAnsi" w:cstheme="minorHAnsi"/>
          <w:color w:val="13576B"/>
          <w:sz w:val="20"/>
        </w:rPr>
        <w:t xml:space="preserve">), </w:t>
      </w:r>
      <w:r w:rsidRPr="00AA62A7">
        <w:rPr>
          <w:rFonts w:asciiTheme="minorHAnsi" w:hAnsiTheme="minorHAnsi" w:cstheme="minorHAnsi"/>
          <w:color w:val="13576B"/>
          <w:sz w:val="20"/>
        </w:rPr>
        <w:t>ČB</w:t>
      </w:r>
      <w:r w:rsidR="00F20967">
        <w:rPr>
          <w:rFonts w:asciiTheme="minorHAnsi" w:hAnsiTheme="minorHAnsi" w:cstheme="minorHAnsi"/>
          <w:color w:val="13576B"/>
          <w:sz w:val="20"/>
        </w:rPr>
        <w:t>A</w:t>
      </w:r>
    </w:p>
    <w:p w14:paraId="1AF065D2" w14:textId="464EA7CD" w:rsidR="00F20967" w:rsidRPr="00606031" w:rsidRDefault="00F20967" w:rsidP="00DD1BFF">
      <w:pPr>
        <w:rPr>
          <w:rFonts w:ascii="Calibri" w:hAnsi="Calibri" w:cs="Calibri"/>
          <w:color w:val="000000" w:themeColor="text1"/>
          <w:sz w:val="22"/>
          <w:szCs w:val="22"/>
        </w:rPr>
        <w:sectPr w:rsidR="00F20967" w:rsidRPr="00606031" w:rsidSect="00606031">
          <w:type w:val="continuous"/>
          <w:pgSz w:w="11906" w:h="16838"/>
          <w:pgMar w:top="2552" w:right="849" w:bottom="1560" w:left="851" w:header="709" w:footer="283" w:gutter="0"/>
          <w:cols w:num="2" w:space="708"/>
          <w:docGrid w:linePitch="360"/>
        </w:sectPr>
      </w:pPr>
    </w:p>
    <w:p w14:paraId="602A8F07" w14:textId="77777777" w:rsidR="001B2E5E" w:rsidRDefault="001B2E5E" w:rsidP="00055000">
      <w:pPr>
        <w:overflowPunct/>
        <w:autoSpaceDE/>
        <w:autoSpaceDN/>
        <w:adjustRightInd/>
        <w:textAlignment w:val="auto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14:paraId="077932C6" w14:textId="079249F7" w:rsidR="00D1522E" w:rsidRPr="00D1522E" w:rsidRDefault="00C802D7" w:rsidP="009C5D66">
      <w:pPr>
        <w:rPr>
          <w:rFonts w:ascii="Calibri" w:hAnsi="Calibri" w:cs="Calibri"/>
          <w:b/>
          <w:color w:val="13576B"/>
          <w:sz w:val="24"/>
          <w:szCs w:val="24"/>
        </w:rPr>
      </w:pPr>
      <w:bookmarkStart w:id="5" w:name="_Hlk100672905"/>
      <w:bookmarkEnd w:id="4"/>
      <w:r w:rsidRPr="00C802D7">
        <w:rPr>
          <w:rFonts w:ascii="Calibri" w:hAnsi="Calibri" w:cs="Calibri"/>
          <w:b/>
          <w:color w:val="13576B"/>
          <w:sz w:val="24"/>
          <w:szCs w:val="24"/>
        </w:rPr>
        <w:t>Dopady na průměrnou měsíční hypoteční splátku okolo 25,6 tisíc Kč</w:t>
      </w:r>
      <w:r w:rsidR="00D1522E" w:rsidRPr="00D1522E">
        <w:rPr>
          <w:rFonts w:ascii="Calibri" w:hAnsi="Calibri" w:cs="Calibri"/>
          <w:b/>
          <w:color w:val="13576B"/>
          <w:sz w:val="24"/>
          <w:szCs w:val="24"/>
        </w:rPr>
        <w:t xml:space="preserve">, ovšem s mediánem </w:t>
      </w:r>
      <w:r w:rsidR="006D49D0">
        <w:rPr>
          <w:rFonts w:ascii="Calibri" w:hAnsi="Calibri" w:cs="Calibri"/>
          <w:b/>
          <w:color w:val="13576B"/>
          <w:sz w:val="24"/>
          <w:szCs w:val="24"/>
        </w:rPr>
        <w:t xml:space="preserve">na </w:t>
      </w:r>
      <w:r>
        <w:rPr>
          <w:rFonts w:ascii="Calibri" w:hAnsi="Calibri" w:cs="Calibri"/>
          <w:b/>
          <w:color w:val="13576B"/>
          <w:sz w:val="24"/>
          <w:szCs w:val="24"/>
        </w:rPr>
        <w:t>přes 20</w:t>
      </w:r>
      <w:r w:rsidR="00D1522E" w:rsidRPr="00D1522E">
        <w:rPr>
          <w:rFonts w:ascii="Calibri" w:hAnsi="Calibri" w:cs="Calibri"/>
          <w:b/>
          <w:color w:val="13576B"/>
          <w:sz w:val="24"/>
          <w:szCs w:val="24"/>
        </w:rPr>
        <w:t xml:space="preserve"> tisíc</w:t>
      </w:r>
    </w:p>
    <w:p w14:paraId="21211815" w14:textId="77777777" w:rsidR="00D1522E" w:rsidRDefault="00D1522E" w:rsidP="009C5D66">
      <w:pPr>
        <w:rPr>
          <w:rFonts w:ascii="Calibri" w:hAnsi="Calibri" w:cs="Calibri"/>
          <w:color w:val="000000" w:themeColor="text1"/>
          <w:sz w:val="22"/>
          <w:szCs w:val="22"/>
        </w:rPr>
      </w:pPr>
    </w:p>
    <w:p w14:paraId="55AF9C61" w14:textId="2322B760" w:rsidR="00486BC4" w:rsidRPr="00C802D7" w:rsidRDefault="00486BC4" w:rsidP="006D49D0">
      <w:pPr>
        <w:rPr>
          <w:rFonts w:ascii="Calibri" w:hAnsi="Calibri" w:cs="Calibri"/>
          <w:color w:val="000000" w:themeColor="text1"/>
          <w:sz w:val="22"/>
          <w:szCs w:val="22"/>
        </w:rPr>
      </w:pPr>
      <w:r w:rsidRPr="00486BC4">
        <w:rPr>
          <w:rFonts w:ascii="Calibri" w:hAnsi="Calibri" w:cs="Calibri"/>
          <w:b/>
          <w:bCs/>
          <w:color w:val="000000" w:themeColor="text1"/>
          <w:sz w:val="22"/>
          <w:szCs w:val="22"/>
        </w:rPr>
        <w:t>Kombinace poklesu úrokové sazby a vyšší průměrné výše hypotéky v březnu 2026 ve srovnání s průměrnými hodnotami z roku 2025 zvýšily průměrnou měsíční splátku</w:t>
      </w:r>
      <w:r w:rsidR="00C802D7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nově poskytnuté </w:t>
      </w:r>
      <w:r w:rsidRPr="00486BC4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hypotéky o 2,8 tis. Kč. </w:t>
      </w:r>
      <w:r w:rsidRPr="00C802D7">
        <w:rPr>
          <w:rFonts w:ascii="Calibri" w:hAnsi="Calibri" w:cs="Calibri"/>
          <w:color w:val="000000" w:themeColor="text1"/>
          <w:sz w:val="22"/>
          <w:szCs w:val="22"/>
        </w:rPr>
        <w:t xml:space="preserve">Scénáře vývoje měsíční splátky pro různé délky splatnosti hypotéky znázorňuje tabulka č. 2. Ta napovídá, že pokles hypotečních sazeb bezmála o 0,2 procentního bodu vůči jejich průměrné výši 4,58 % v roce 2025 přinesl, pro průměrnou velikost hypotéky při jejím obvyklém přibližně 26,8letém splácení, snížení měsíční splátky o necelých 400 Kč na přibližně 25,6 tis. Kč, tedy o 0,4 % čistého příjmu žadatele v porovnání s průměrnou splátkou v minulém roce. </w:t>
      </w:r>
    </w:p>
    <w:p w14:paraId="72AD9C38" w14:textId="77777777" w:rsidR="00C802D7" w:rsidRPr="00C802D7" w:rsidRDefault="00C802D7" w:rsidP="006D49D0">
      <w:pPr>
        <w:rPr>
          <w:rFonts w:ascii="Calibri" w:hAnsi="Calibri" w:cs="Calibri"/>
          <w:color w:val="000000" w:themeColor="text1"/>
          <w:sz w:val="22"/>
          <w:szCs w:val="22"/>
        </w:rPr>
      </w:pPr>
    </w:p>
    <w:p w14:paraId="2FE8AA1D" w14:textId="3B9DCB98" w:rsidR="00C802D7" w:rsidRDefault="006D49D0" w:rsidP="006D49D0">
      <w:pPr>
        <w:rPr>
          <w:rFonts w:ascii="Calibri" w:hAnsi="Calibri" w:cs="Calibri"/>
          <w:color w:val="000000" w:themeColor="text1"/>
          <w:sz w:val="22"/>
          <w:szCs w:val="22"/>
        </w:rPr>
      </w:pPr>
      <w:r w:rsidRPr="006D49D0">
        <w:rPr>
          <w:rFonts w:ascii="Calibri" w:hAnsi="Calibri" w:cs="Calibri"/>
          <w:b/>
          <w:bCs/>
          <w:color w:val="000000" w:themeColor="text1"/>
          <w:sz w:val="22"/>
          <w:szCs w:val="22"/>
        </w:rPr>
        <w:t>Naopak ve srovnání s průměrnou 2,8% úrokovou hypoteční sazbou pro nové hypotéky v roce 2019</w:t>
      </w:r>
      <w:r w:rsidRPr="006D49D0">
        <w:rPr>
          <w:rFonts w:ascii="Calibri" w:hAnsi="Calibri" w:cs="Calibri"/>
          <w:color w:val="000000" w:themeColor="text1"/>
          <w:sz w:val="22"/>
          <w:szCs w:val="22"/>
        </w:rPr>
        <w:t xml:space="preserve">, </w:t>
      </w:r>
      <w:r w:rsidR="00C802D7" w:rsidRPr="00C802D7">
        <w:rPr>
          <w:rFonts w:ascii="Calibri" w:hAnsi="Calibri" w:cs="Calibri"/>
          <w:color w:val="000000" w:themeColor="text1"/>
          <w:sz w:val="22"/>
          <w:szCs w:val="22"/>
        </w:rPr>
        <w:t>tak současná hypoteční sazba pro refinancování ve výši 4,16 % při zkrácení splatnosti úvěru zvedá měsíční splátky u průměrné hypotéky téměř o 1300 Kč, tedy asi o 2,6 % současné hrubé průměrné mzdy.</w:t>
      </w:r>
    </w:p>
    <w:p w14:paraId="127D4536" w14:textId="77777777" w:rsidR="00D1522E" w:rsidRDefault="00D1522E" w:rsidP="009C5D66">
      <w:pPr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14:paraId="1A267256" w14:textId="4D53EFB8" w:rsidR="009D3067" w:rsidRDefault="009D3067" w:rsidP="008569DC">
      <w:pPr>
        <w:overflowPunct/>
        <w:autoSpaceDE/>
        <w:autoSpaceDN/>
        <w:adjustRightInd/>
        <w:spacing w:line="259" w:lineRule="auto"/>
        <w:textAlignment w:val="auto"/>
        <w:rPr>
          <w:rFonts w:ascii="Calibri" w:hAnsi="Calibri" w:cs="Calibri"/>
          <w:b/>
          <w:color w:val="13576B"/>
          <w:sz w:val="23"/>
          <w:szCs w:val="23"/>
        </w:rPr>
      </w:pPr>
      <w:bookmarkStart w:id="6" w:name="_Hlk190458144"/>
      <w:bookmarkEnd w:id="5"/>
      <w:r w:rsidRPr="00515ECA">
        <w:rPr>
          <w:rFonts w:ascii="Calibri" w:hAnsi="Calibri" w:cs="Calibri"/>
          <w:b/>
          <w:color w:val="13576B"/>
          <w:sz w:val="23"/>
          <w:szCs w:val="23"/>
        </w:rPr>
        <w:t xml:space="preserve">Tabulka č. 2: </w:t>
      </w:r>
      <w:r w:rsidR="004B441B">
        <w:rPr>
          <w:rFonts w:ascii="Calibri" w:hAnsi="Calibri" w:cs="Calibri"/>
          <w:b/>
          <w:color w:val="13576B"/>
          <w:sz w:val="23"/>
          <w:szCs w:val="23"/>
        </w:rPr>
        <w:t>Ilustrace</w:t>
      </w:r>
      <w:r w:rsidR="00EB1892">
        <w:rPr>
          <w:rFonts w:ascii="Calibri" w:hAnsi="Calibri" w:cs="Calibri"/>
          <w:b/>
          <w:color w:val="13576B"/>
          <w:sz w:val="23"/>
          <w:szCs w:val="23"/>
        </w:rPr>
        <w:t xml:space="preserve"> m</w:t>
      </w:r>
      <w:r w:rsidRPr="00515ECA">
        <w:rPr>
          <w:rFonts w:ascii="Calibri" w:hAnsi="Calibri" w:cs="Calibri"/>
          <w:b/>
          <w:color w:val="13576B"/>
          <w:sz w:val="23"/>
          <w:szCs w:val="23"/>
        </w:rPr>
        <w:t>ěsíční splátk</w:t>
      </w:r>
      <w:r w:rsidR="004B441B">
        <w:rPr>
          <w:rFonts w:ascii="Calibri" w:hAnsi="Calibri" w:cs="Calibri"/>
          <w:b/>
          <w:color w:val="13576B"/>
          <w:sz w:val="23"/>
          <w:szCs w:val="23"/>
        </w:rPr>
        <w:t>y</w:t>
      </w:r>
      <w:r w:rsidRPr="00515ECA">
        <w:rPr>
          <w:rFonts w:ascii="Calibri" w:hAnsi="Calibri" w:cs="Calibri"/>
          <w:b/>
          <w:color w:val="13576B"/>
          <w:sz w:val="23"/>
          <w:szCs w:val="23"/>
        </w:rPr>
        <w:t xml:space="preserve"> průměrné</w:t>
      </w:r>
      <w:r w:rsidR="00D1522E">
        <w:rPr>
          <w:rFonts w:ascii="Calibri" w:hAnsi="Calibri" w:cs="Calibri"/>
          <w:b/>
          <w:color w:val="13576B"/>
          <w:sz w:val="23"/>
          <w:szCs w:val="23"/>
        </w:rPr>
        <w:t xml:space="preserve"> a mediánové</w:t>
      </w:r>
      <w:r w:rsidRPr="00515ECA">
        <w:rPr>
          <w:rFonts w:ascii="Calibri" w:hAnsi="Calibri" w:cs="Calibri"/>
          <w:b/>
          <w:color w:val="13576B"/>
          <w:sz w:val="23"/>
          <w:szCs w:val="23"/>
        </w:rPr>
        <w:t xml:space="preserve"> hypotéky v závislosti na délce splatnosti a úrokové sazbě</w:t>
      </w:r>
    </w:p>
    <w:p w14:paraId="52373159" w14:textId="6406BFFF" w:rsidR="00D21C7E" w:rsidRDefault="00C802D7" w:rsidP="008569DC">
      <w:pPr>
        <w:overflowPunct/>
        <w:autoSpaceDE/>
        <w:autoSpaceDN/>
        <w:adjustRightInd/>
        <w:spacing w:line="259" w:lineRule="auto"/>
        <w:textAlignment w:val="auto"/>
        <w:rPr>
          <w:rFonts w:ascii="Calibri" w:hAnsi="Calibri" w:cs="Calibri"/>
          <w:b/>
          <w:color w:val="13576B"/>
          <w:sz w:val="23"/>
          <w:szCs w:val="23"/>
        </w:rPr>
      </w:pPr>
      <w:r w:rsidRPr="00C802D7">
        <w:rPr>
          <w:noProof/>
        </w:rPr>
        <w:drawing>
          <wp:inline distT="0" distB="0" distL="0" distR="0" wp14:anchorId="0837F6B0" wp14:editId="596DCAB7">
            <wp:extent cx="6480810" cy="1342390"/>
            <wp:effectExtent l="0" t="0" r="0" b="0"/>
            <wp:docPr id="1740785774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1342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6BF4B6" w14:textId="77777777" w:rsidR="00C802D7" w:rsidRDefault="00C802D7" w:rsidP="008569DC">
      <w:pPr>
        <w:overflowPunct/>
        <w:autoSpaceDE/>
        <w:autoSpaceDN/>
        <w:adjustRightInd/>
        <w:spacing w:line="259" w:lineRule="auto"/>
        <w:textAlignment w:val="auto"/>
        <w:rPr>
          <w:rFonts w:ascii="Calibri" w:hAnsi="Calibri" w:cs="Calibri"/>
          <w:b/>
          <w:color w:val="13576B"/>
          <w:sz w:val="23"/>
          <w:szCs w:val="23"/>
        </w:rPr>
      </w:pPr>
    </w:p>
    <w:p w14:paraId="601AFABF" w14:textId="29024A8B" w:rsidR="00D21C7E" w:rsidRDefault="00D21C7E" w:rsidP="008569DC">
      <w:pPr>
        <w:overflowPunct/>
        <w:autoSpaceDE/>
        <w:autoSpaceDN/>
        <w:adjustRightInd/>
        <w:spacing w:line="259" w:lineRule="auto"/>
        <w:textAlignment w:val="auto"/>
        <w:rPr>
          <w:rFonts w:ascii="Calibri" w:hAnsi="Calibri" w:cs="Calibri"/>
          <w:b/>
          <w:color w:val="13576B"/>
          <w:sz w:val="23"/>
          <w:szCs w:val="23"/>
        </w:rPr>
      </w:pPr>
    </w:p>
    <w:p w14:paraId="7E582742" w14:textId="77777777" w:rsidR="00652484" w:rsidRDefault="00652484" w:rsidP="008569DC">
      <w:pPr>
        <w:overflowPunct/>
        <w:autoSpaceDE/>
        <w:autoSpaceDN/>
        <w:adjustRightInd/>
        <w:spacing w:line="259" w:lineRule="auto"/>
        <w:textAlignment w:val="auto"/>
        <w:rPr>
          <w:rFonts w:ascii="Calibri" w:hAnsi="Calibri" w:cs="Calibri"/>
          <w:b/>
          <w:color w:val="13576B"/>
          <w:sz w:val="23"/>
          <w:szCs w:val="23"/>
        </w:rPr>
      </w:pPr>
    </w:p>
    <w:p w14:paraId="3A85DAB7" w14:textId="77777777" w:rsidR="00652484" w:rsidRDefault="00652484" w:rsidP="008569DC">
      <w:pPr>
        <w:overflowPunct/>
        <w:autoSpaceDE/>
        <w:autoSpaceDN/>
        <w:adjustRightInd/>
        <w:spacing w:line="259" w:lineRule="auto"/>
        <w:textAlignment w:val="auto"/>
        <w:rPr>
          <w:rFonts w:ascii="Calibri" w:hAnsi="Calibri" w:cs="Calibri"/>
          <w:b/>
          <w:color w:val="13576B"/>
          <w:sz w:val="23"/>
          <w:szCs w:val="23"/>
        </w:rPr>
      </w:pPr>
    </w:p>
    <w:p w14:paraId="5DB89881" w14:textId="77777777" w:rsidR="00652484" w:rsidRDefault="00652484" w:rsidP="008569DC">
      <w:pPr>
        <w:overflowPunct/>
        <w:autoSpaceDE/>
        <w:autoSpaceDN/>
        <w:adjustRightInd/>
        <w:spacing w:line="259" w:lineRule="auto"/>
        <w:textAlignment w:val="auto"/>
        <w:rPr>
          <w:rFonts w:ascii="Calibri" w:hAnsi="Calibri" w:cs="Calibri"/>
          <w:b/>
          <w:color w:val="13576B"/>
          <w:sz w:val="23"/>
          <w:szCs w:val="23"/>
        </w:rPr>
      </w:pPr>
    </w:p>
    <w:p w14:paraId="3F1ACB94" w14:textId="4D7B7DEA" w:rsidR="00D1522E" w:rsidRDefault="00D1522E" w:rsidP="00D1522E">
      <w:pPr>
        <w:rPr>
          <w:rFonts w:ascii="Calibri" w:hAnsi="Calibri" w:cs="Calibri"/>
          <w:b/>
          <w:color w:val="13576B"/>
          <w:sz w:val="24"/>
          <w:szCs w:val="24"/>
        </w:rPr>
      </w:pPr>
      <w:r w:rsidRPr="00D03B38">
        <w:rPr>
          <w:rFonts w:ascii="Calibri" w:hAnsi="Calibri" w:cs="Calibri"/>
          <w:b/>
          <w:color w:val="13576B"/>
          <w:sz w:val="24"/>
          <w:szCs w:val="24"/>
        </w:rPr>
        <w:lastRenderedPageBreak/>
        <w:t xml:space="preserve">Průměrná velikost nově poskytnuté hypotéky </w:t>
      </w:r>
      <w:r>
        <w:rPr>
          <w:rFonts w:ascii="Calibri" w:hAnsi="Calibri" w:cs="Calibri"/>
          <w:b/>
          <w:color w:val="13576B"/>
          <w:sz w:val="24"/>
          <w:szCs w:val="24"/>
        </w:rPr>
        <w:t>se s </w:t>
      </w:r>
      <w:r w:rsidR="00356A6D">
        <w:rPr>
          <w:rFonts w:ascii="Calibri" w:hAnsi="Calibri" w:cs="Calibri"/>
          <w:b/>
          <w:color w:val="13576B"/>
          <w:sz w:val="24"/>
          <w:szCs w:val="24"/>
        </w:rPr>
        <w:t>lednovými</w:t>
      </w:r>
      <w:r>
        <w:rPr>
          <w:rFonts w:ascii="Calibri" w:hAnsi="Calibri" w:cs="Calibri"/>
          <w:b/>
          <w:color w:val="13576B"/>
          <w:sz w:val="24"/>
          <w:szCs w:val="24"/>
        </w:rPr>
        <w:t xml:space="preserve"> </w:t>
      </w:r>
      <w:r w:rsidRPr="00D03B38">
        <w:rPr>
          <w:rFonts w:ascii="Calibri" w:hAnsi="Calibri" w:cs="Calibri"/>
          <w:b/>
          <w:color w:val="13576B"/>
          <w:sz w:val="24"/>
          <w:szCs w:val="24"/>
        </w:rPr>
        <w:t>4,</w:t>
      </w:r>
      <w:r w:rsidR="00356A6D">
        <w:rPr>
          <w:rFonts w:ascii="Calibri" w:hAnsi="Calibri" w:cs="Calibri"/>
          <w:b/>
          <w:color w:val="13576B"/>
          <w:sz w:val="24"/>
          <w:szCs w:val="24"/>
        </w:rPr>
        <w:t>51</w:t>
      </w:r>
      <w:r w:rsidRPr="00D03B38">
        <w:rPr>
          <w:rFonts w:ascii="Calibri" w:hAnsi="Calibri" w:cs="Calibri"/>
          <w:b/>
          <w:color w:val="13576B"/>
          <w:sz w:val="24"/>
          <w:szCs w:val="24"/>
        </w:rPr>
        <w:t xml:space="preserve"> mil. Kč</w:t>
      </w:r>
      <w:r>
        <w:rPr>
          <w:rFonts w:ascii="Calibri" w:hAnsi="Calibri" w:cs="Calibri"/>
          <w:b/>
          <w:color w:val="13576B"/>
          <w:sz w:val="24"/>
          <w:szCs w:val="24"/>
        </w:rPr>
        <w:t xml:space="preserve"> udržuje na růstové trajektorii </w:t>
      </w:r>
    </w:p>
    <w:p w14:paraId="0200B3F4" w14:textId="77777777" w:rsidR="00D1522E" w:rsidRDefault="00D1522E" w:rsidP="00D1522E">
      <w:pPr>
        <w:overflowPunct/>
        <w:autoSpaceDE/>
        <w:autoSpaceDN/>
        <w:adjustRightInd/>
        <w:textAlignment w:val="auto"/>
        <w:rPr>
          <w:rFonts w:ascii="Calibri" w:hAnsi="Calibri" w:cs="Calibri"/>
          <w:color w:val="000000"/>
          <w:sz w:val="22"/>
          <w:szCs w:val="22"/>
        </w:rPr>
      </w:pPr>
    </w:p>
    <w:p w14:paraId="21EAE44F" w14:textId="3167CEFA" w:rsidR="00C802D7" w:rsidRDefault="00C802D7" w:rsidP="00C802D7">
      <w:pPr>
        <w:overflowPunct/>
        <w:autoSpaceDE/>
        <w:autoSpaceDN/>
        <w:adjustRightInd/>
        <w:textAlignment w:val="auto"/>
        <w:rPr>
          <w:rFonts w:ascii="Calibri" w:hAnsi="Calibri" w:cs="Calibri"/>
          <w:color w:val="000000"/>
          <w:sz w:val="22"/>
          <w:szCs w:val="22"/>
        </w:rPr>
      </w:pPr>
      <w:r w:rsidRPr="00486BC4">
        <w:rPr>
          <w:rFonts w:ascii="Calibri" w:hAnsi="Calibri" w:cs="Calibri"/>
          <w:b/>
          <w:bCs/>
          <w:color w:val="000000"/>
          <w:sz w:val="22"/>
          <w:szCs w:val="22"/>
        </w:rPr>
        <w:t xml:space="preserve">Průměrná velikost skutečně nově poskytnuté hypotéky v březnu stoupla na 4,81 mil. Kč, tedy téměř o 4 % meziměsíčně. </w:t>
      </w:r>
      <w:r w:rsidRPr="00C802D7">
        <w:rPr>
          <w:rFonts w:ascii="Calibri" w:hAnsi="Calibri" w:cs="Calibri"/>
          <w:color w:val="000000"/>
          <w:sz w:val="22"/>
          <w:szCs w:val="22"/>
        </w:rPr>
        <w:t xml:space="preserve">Její velikost je tak o 19 % vyšší než 4,04 mil. Kč před rokem. </w:t>
      </w:r>
      <w:r>
        <w:rPr>
          <w:rFonts w:ascii="Calibri" w:hAnsi="Calibri" w:cs="Calibri"/>
          <w:color w:val="000000"/>
          <w:sz w:val="22"/>
          <w:szCs w:val="22"/>
        </w:rPr>
        <w:t xml:space="preserve">Vyšší průměrná velikost hypotéky pravděpodobně odráží efekt předzásobení u tzv. investičních hypoték, kde od dubna ČNB zpřísní požadavky (LTV na 70 % a DTI na 7x), ale efekt předzásobení asi bude relevantní i kvůli zlomu v tržních úrokových sazbách. Na pozadí také působí </w:t>
      </w:r>
      <w:r w:rsidRPr="00650088">
        <w:rPr>
          <w:rFonts w:ascii="Calibri" w:hAnsi="Calibri" w:cs="Calibri"/>
          <w:color w:val="000000"/>
          <w:sz w:val="22"/>
          <w:szCs w:val="22"/>
        </w:rPr>
        <w:t xml:space="preserve">postupný růst reálných </w:t>
      </w:r>
      <w:r>
        <w:rPr>
          <w:rFonts w:ascii="Calibri" w:hAnsi="Calibri" w:cs="Calibri"/>
          <w:color w:val="000000"/>
          <w:sz w:val="22"/>
          <w:szCs w:val="22"/>
        </w:rPr>
        <w:t>mezd</w:t>
      </w:r>
      <w:r w:rsidRPr="00650088">
        <w:rPr>
          <w:rFonts w:ascii="Calibri" w:hAnsi="Calibri" w:cs="Calibri"/>
          <w:color w:val="000000"/>
          <w:sz w:val="22"/>
          <w:szCs w:val="22"/>
        </w:rPr>
        <w:t xml:space="preserve"> domácností (</w:t>
      </w:r>
      <w:r>
        <w:rPr>
          <w:rFonts w:ascii="Calibri" w:hAnsi="Calibri" w:cs="Calibri"/>
          <w:color w:val="000000"/>
          <w:sz w:val="22"/>
          <w:szCs w:val="22"/>
        </w:rPr>
        <w:t>5,1</w:t>
      </w:r>
      <w:r w:rsidRPr="00055000">
        <w:rPr>
          <w:rFonts w:ascii="Calibri" w:hAnsi="Calibri" w:cs="Calibri"/>
          <w:color w:val="000000" w:themeColor="text1"/>
          <w:sz w:val="22"/>
          <w:szCs w:val="22"/>
        </w:rPr>
        <w:t xml:space="preserve"> % meziročně </w:t>
      </w:r>
      <w:r>
        <w:rPr>
          <w:rFonts w:ascii="Calibri" w:hAnsi="Calibri" w:cs="Calibri"/>
          <w:color w:val="000000"/>
          <w:sz w:val="22"/>
          <w:szCs w:val="22"/>
        </w:rPr>
        <w:t>v </w:t>
      </w:r>
      <w:hyperlink r:id="rId27" w:history="1">
        <w:r w:rsidRPr="00E96618">
          <w:rPr>
            <w:rStyle w:val="Hyperlink"/>
            <w:rFonts w:ascii="Calibri" w:hAnsi="Calibri" w:cs="Calibri"/>
            <w:sz w:val="22"/>
            <w:szCs w:val="22"/>
          </w:rPr>
          <w:t>Q</w:t>
        </w:r>
        <w:r>
          <w:rPr>
            <w:rStyle w:val="Hyperlink"/>
            <w:rFonts w:ascii="Calibri" w:hAnsi="Calibri" w:cs="Calibri"/>
            <w:sz w:val="22"/>
            <w:szCs w:val="22"/>
          </w:rPr>
          <w:t>4</w:t>
        </w:r>
        <w:r w:rsidRPr="00E96618">
          <w:rPr>
            <w:rStyle w:val="Hyperlink"/>
            <w:rFonts w:ascii="Calibri" w:hAnsi="Calibri" w:cs="Calibri"/>
            <w:sz w:val="22"/>
            <w:szCs w:val="22"/>
          </w:rPr>
          <w:t>-2025</w:t>
        </w:r>
      </w:hyperlink>
      <w:r>
        <w:t xml:space="preserve"> </w:t>
      </w:r>
      <w:r w:rsidRPr="009C040E">
        <w:rPr>
          <w:rFonts w:ascii="Calibri" w:hAnsi="Calibri" w:cs="Calibri"/>
          <w:sz w:val="22"/>
          <w:szCs w:val="22"/>
        </w:rPr>
        <w:t xml:space="preserve">či graficky </w:t>
      </w:r>
      <w:hyperlink r:id="rId28" w:history="1">
        <w:r w:rsidRPr="009C040E">
          <w:rPr>
            <w:rStyle w:val="Hyperlink"/>
            <w:rFonts w:ascii="Calibri" w:hAnsi="Calibri" w:cs="Calibri"/>
            <w:sz w:val="22"/>
            <w:szCs w:val="22"/>
          </w:rPr>
          <w:t>zde</w:t>
        </w:r>
      </w:hyperlink>
      <w:r w:rsidRPr="00650088">
        <w:rPr>
          <w:rFonts w:ascii="Calibri" w:hAnsi="Calibri" w:cs="Calibri"/>
          <w:color w:val="000000"/>
          <w:sz w:val="22"/>
          <w:szCs w:val="22"/>
        </w:rPr>
        <w:t>)</w:t>
      </w:r>
      <w:r>
        <w:rPr>
          <w:rFonts w:ascii="Calibri" w:hAnsi="Calibri" w:cs="Calibri"/>
          <w:color w:val="000000"/>
          <w:sz w:val="22"/>
          <w:szCs w:val="22"/>
        </w:rPr>
        <w:t xml:space="preserve">. </w:t>
      </w:r>
    </w:p>
    <w:p w14:paraId="40A205DB" w14:textId="77777777" w:rsidR="00C802D7" w:rsidRDefault="00C802D7" w:rsidP="00C802D7">
      <w:pPr>
        <w:overflowPunct/>
        <w:autoSpaceDE/>
        <w:autoSpaceDN/>
        <w:adjustRightInd/>
        <w:textAlignment w:val="auto"/>
        <w:rPr>
          <w:rFonts w:ascii="Calibri" w:hAnsi="Calibri" w:cs="Calibri"/>
          <w:color w:val="000000"/>
          <w:sz w:val="22"/>
          <w:szCs w:val="22"/>
        </w:rPr>
      </w:pPr>
    </w:p>
    <w:p w14:paraId="4D390434" w14:textId="3DBD2BA5" w:rsidR="00C802D7" w:rsidRDefault="00C802D7" w:rsidP="00C802D7">
      <w:pPr>
        <w:overflowPunct/>
        <w:autoSpaceDE/>
        <w:autoSpaceDN/>
        <w:adjustRightInd/>
        <w:textAlignment w:val="auto"/>
        <w:rPr>
          <w:rFonts w:ascii="Calibri" w:hAnsi="Calibri" w:cs="Calibri"/>
          <w:color w:val="000000"/>
          <w:sz w:val="22"/>
          <w:szCs w:val="22"/>
        </w:rPr>
      </w:pPr>
      <w:r w:rsidRPr="00616F34">
        <w:rPr>
          <w:rFonts w:ascii="Calibri" w:hAnsi="Calibri" w:cs="Calibri"/>
          <w:b/>
          <w:bCs/>
          <w:color w:val="000000"/>
          <w:sz w:val="22"/>
          <w:szCs w:val="22"/>
        </w:rPr>
        <w:t>Výše hypotéky pak souvisí také s vývojem cen nemovitostí,</w:t>
      </w:r>
      <w:r w:rsidRPr="004803D6">
        <w:rPr>
          <w:rFonts w:ascii="Calibri" w:hAnsi="Calibri" w:cs="Calibri"/>
          <w:color w:val="000000"/>
          <w:sz w:val="22"/>
          <w:szCs w:val="22"/>
        </w:rPr>
        <w:t xml:space="preserve"> které </w:t>
      </w:r>
      <w:r>
        <w:rPr>
          <w:rFonts w:ascii="Calibri" w:hAnsi="Calibri" w:cs="Calibri"/>
          <w:color w:val="000000"/>
          <w:sz w:val="22"/>
          <w:szCs w:val="22"/>
        </w:rPr>
        <w:t xml:space="preserve">i ve čtvrtým čtvrtletí roku 2025 pokračovaly se silným téměř </w:t>
      </w:r>
      <w:hyperlink r:id="rId29" w:history="1">
        <w:r w:rsidRPr="00356A6D">
          <w:rPr>
            <w:rStyle w:val="Hyperlink"/>
            <w:rFonts w:ascii="Calibri" w:hAnsi="Calibri" w:cs="Calibri"/>
            <w:sz w:val="22"/>
            <w:szCs w:val="22"/>
          </w:rPr>
          <w:t>11% meziročním růstem</w:t>
        </w:r>
      </w:hyperlink>
      <w:r>
        <w:rPr>
          <w:rFonts w:ascii="Calibri" w:hAnsi="Calibri" w:cs="Calibri"/>
          <w:color w:val="000000"/>
          <w:sz w:val="22"/>
          <w:szCs w:val="22"/>
        </w:rPr>
        <w:t xml:space="preserve">. </w:t>
      </w:r>
      <w:r w:rsidRPr="00D43642">
        <w:rPr>
          <w:rFonts w:ascii="Calibri" w:hAnsi="Calibri" w:cs="Calibri"/>
          <w:color w:val="000000"/>
          <w:sz w:val="22"/>
          <w:szCs w:val="22"/>
        </w:rPr>
        <w:t xml:space="preserve">Nabídkové ceny </w:t>
      </w:r>
      <w:hyperlink r:id="rId30" w:history="1">
        <w:r w:rsidRPr="00490E04">
          <w:rPr>
            <w:rStyle w:val="Hyperlink"/>
            <w:rFonts w:ascii="Calibri" w:hAnsi="Calibri" w:cs="Calibri"/>
            <w:sz w:val="22"/>
            <w:szCs w:val="22"/>
          </w:rPr>
          <w:t>v prvním čtvrtletí 2025</w:t>
        </w:r>
      </w:hyperlink>
      <w:r w:rsidRPr="00D43642"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 xml:space="preserve">mírně zrychlily na </w:t>
      </w:r>
      <w:r w:rsidRPr="00D43642">
        <w:rPr>
          <w:rFonts w:ascii="Calibri" w:hAnsi="Calibri" w:cs="Calibri"/>
          <w:color w:val="000000"/>
          <w:sz w:val="22"/>
          <w:szCs w:val="22"/>
        </w:rPr>
        <w:t>2,</w:t>
      </w:r>
      <w:r>
        <w:rPr>
          <w:rFonts w:ascii="Calibri" w:hAnsi="Calibri" w:cs="Calibri"/>
          <w:color w:val="000000"/>
          <w:sz w:val="22"/>
          <w:szCs w:val="22"/>
        </w:rPr>
        <w:t>7</w:t>
      </w:r>
      <w:r w:rsidRPr="00D43642">
        <w:rPr>
          <w:rFonts w:ascii="Calibri" w:hAnsi="Calibri" w:cs="Calibri"/>
          <w:color w:val="000000"/>
          <w:sz w:val="22"/>
          <w:szCs w:val="22"/>
        </w:rPr>
        <w:t xml:space="preserve"> %</w:t>
      </w:r>
      <w:r>
        <w:rPr>
          <w:rFonts w:ascii="Calibri" w:hAnsi="Calibri" w:cs="Calibri"/>
          <w:color w:val="000000"/>
          <w:sz w:val="22"/>
          <w:szCs w:val="22"/>
        </w:rPr>
        <w:t xml:space="preserve"> mezičtvrtletně, což stále převyšuje jejich </w:t>
      </w:r>
      <w:r w:rsidRPr="00D43642">
        <w:rPr>
          <w:rFonts w:ascii="Calibri" w:hAnsi="Calibri" w:cs="Calibri"/>
          <w:color w:val="000000"/>
          <w:sz w:val="22"/>
          <w:szCs w:val="22"/>
        </w:rPr>
        <w:t>dlouhodob</w:t>
      </w:r>
      <w:r>
        <w:rPr>
          <w:rFonts w:ascii="Calibri" w:hAnsi="Calibri" w:cs="Calibri"/>
          <w:color w:val="000000"/>
          <w:sz w:val="22"/>
          <w:szCs w:val="22"/>
        </w:rPr>
        <w:t xml:space="preserve">é průměrné navýšení o </w:t>
      </w:r>
      <w:r w:rsidRPr="00D43642">
        <w:rPr>
          <w:rFonts w:ascii="Calibri" w:hAnsi="Calibri" w:cs="Calibri"/>
          <w:color w:val="000000"/>
          <w:sz w:val="22"/>
          <w:szCs w:val="22"/>
        </w:rPr>
        <w:t xml:space="preserve">1,8 %. </w:t>
      </w:r>
      <w:r w:rsidRPr="00BA1D00">
        <w:rPr>
          <w:rFonts w:ascii="Calibri" w:hAnsi="Calibri" w:cs="Calibri"/>
          <w:color w:val="000000"/>
          <w:sz w:val="22"/>
          <w:szCs w:val="22"/>
        </w:rPr>
        <w:t xml:space="preserve">Podle dat od společnosti </w:t>
      </w:r>
      <w:proofErr w:type="spellStart"/>
      <w:r w:rsidRPr="00BA1D00">
        <w:rPr>
          <w:rFonts w:ascii="Calibri" w:hAnsi="Calibri" w:cs="Calibri"/>
          <w:color w:val="000000"/>
          <w:sz w:val="22"/>
          <w:szCs w:val="22"/>
        </w:rPr>
        <w:t>Flat</w:t>
      </w:r>
      <w:proofErr w:type="spellEnd"/>
      <w:r w:rsidRPr="00BA1D00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BA1D00">
        <w:rPr>
          <w:rFonts w:ascii="Calibri" w:hAnsi="Calibri" w:cs="Calibri"/>
          <w:color w:val="000000"/>
          <w:sz w:val="22"/>
          <w:szCs w:val="22"/>
        </w:rPr>
        <w:t>Zone</w:t>
      </w:r>
      <w:proofErr w:type="spellEnd"/>
      <w:r w:rsidRPr="00BA1D00">
        <w:rPr>
          <w:rFonts w:ascii="Calibri" w:hAnsi="Calibri" w:cs="Calibri"/>
          <w:color w:val="000000"/>
          <w:sz w:val="22"/>
          <w:szCs w:val="22"/>
        </w:rPr>
        <w:t xml:space="preserve"> se průměrná transakční cena bytů, jak nových, tak starších v ČR ve čtvrtém čtvrtletí dostala na 97,5 tis. Kč/m2 (viz grafy na </w:t>
      </w:r>
      <w:hyperlink r:id="rId31" w:history="1">
        <w:r w:rsidRPr="00BA1D00">
          <w:rPr>
            <w:rStyle w:val="Hyperlink"/>
            <w:rFonts w:ascii="Calibri" w:hAnsi="Calibri" w:cs="Calibri"/>
            <w:sz w:val="22"/>
            <w:szCs w:val="22"/>
          </w:rPr>
          <w:t>ČBA Monitor</w:t>
        </w:r>
      </w:hyperlink>
      <w:r w:rsidRPr="00BA1D00">
        <w:rPr>
          <w:rFonts w:ascii="Calibri" w:hAnsi="Calibri" w:cs="Calibri"/>
          <w:color w:val="000000"/>
          <w:sz w:val="22"/>
          <w:szCs w:val="22"/>
        </w:rPr>
        <w:t>), což odráží 2% mezikvartální a 11,3% meziroční nárůst.</w:t>
      </w:r>
    </w:p>
    <w:p w14:paraId="36769E17" w14:textId="77777777" w:rsidR="00C802D7" w:rsidRDefault="00C802D7" w:rsidP="00C802D7">
      <w:pPr>
        <w:overflowPunct/>
        <w:autoSpaceDE/>
        <w:autoSpaceDN/>
        <w:adjustRightInd/>
        <w:textAlignment w:val="auto"/>
        <w:rPr>
          <w:rFonts w:ascii="Calibri" w:hAnsi="Calibri" w:cs="Calibri"/>
          <w:color w:val="000000"/>
          <w:sz w:val="22"/>
          <w:szCs w:val="22"/>
        </w:rPr>
      </w:pPr>
    </w:p>
    <w:p w14:paraId="37433820" w14:textId="442BE726" w:rsidR="00573D34" w:rsidRDefault="00EB1892" w:rsidP="00573D34">
      <w:pPr>
        <w:spacing w:after="120"/>
        <w:rPr>
          <w:rFonts w:ascii="Calibri" w:hAnsi="Calibri" w:cs="Calibri"/>
          <w:b/>
          <w:color w:val="13576B"/>
          <w:sz w:val="23"/>
          <w:szCs w:val="23"/>
        </w:rPr>
      </w:pPr>
      <w:r w:rsidRPr="005B4653">
        <w:rPr>
          <w:rFonts w:ascii="Calibri" w:hAnsi="Calibri" w:cs="Calibri"/>
          <w:b/>
          <w:color w:val="13576B"/>
          <w:sz w:val="23"/>
          <w:szCs w:val="23"/>
        </w:rPr>
        <w:t xml:space="preserve">Graf č. </w:t>
      </w:r>
      <w:r w:rsidR="00506126">
        <w:rPr>
          <w:rFonts w:ascii="Calibri" w:hAnsi="Calibri" w:cs="Calibri"/>
          <w:b/>
          <w:color w:val="13576B"/>
          <w:sz w:val="23"/>
          <w:szCs w:val="23"/>
        </w:rPr>
        <w:t>5</w:t>
      </w:r>
      <w:r w:rsidRPr="005B4653">
        <w:rPr>
          <w:rFonts w:ascii="Calibri" w:hAnsi="Calibri" w:cs="Calibri"/>
          <w:b/>
          <w:color w:val="13576B"/>
          <w:sz w:val="23"/>
          <w:szCs w:val="23"/>
        </w:rPr>
        <w:t xml:space="preserve">: </w:t>
      </w:r>
      <w:r w:rsidR="009D5F35">
        <w:rPr>
          <w:rFonts w:ascii="Calibri" w:hAnsi="Calibri" w:cs="Calibri"/>
          <w:b/>
          <w:color w:val="13576B"/>
          <w:sz w:val="23"/>
          <w:szCs w:val="23"/>
        </w:rPr>
        <w:t xml:space="preserve">Ilustrativní srovnání výše měsíční splátky průměrné </w:t>
      </w:r>
      <w:r w:rsidR="00490E04">
        <w:rPr>
          <w:rFonts w:ascii="Calibri" w:hAnsi="Calibri" w:cs="Calibri"/>
          <w:b/>
          <w:color w:val="13576B"/>
          <w:sz w:val="23"/>
          <w:szCs w:val="23"/>
        </w:rPr>
        <w:t xml:space="preserve">nově poskytnuté </w:t>
      </w:r>
      <w:r w:rsidR="009D5F35">
        <w:rPr>
          <w:rFonts w:ascii="Calibri" w:hAnsi="Calibri" w:cs="Calibri"/>
          <w:b/>
          <w:color w:val="13576B"/>
          <w:sz w:val="23"/>
          <w:szCs w:val="23"/>
        </w:rPr>
        <w:t>hypotéky s obdobím před rokem v závislosti na výši úroku, velikosti hypotéky a její splatnosti v</w:t>
      </w:r>
      <w:r w:rsidR="00573D34">
        <w:rPr>
          <w:rFonts w:ascii="Calibri" w:hAnsi="Calibri" w:cs="Calibri"/>
          <w:b/>
          <w:color w:val="13576B"/>
          <w:sz w:val="23"/>
          <w:szCs w:val="23"/>
        </w:rPr>
        <w:t> </w:t>
      </w:r>
      <w:r w:rsidR="009D5F35">
        <w:rPr>
          <w:rFonts w:ascii="Calibri" w:hAnsi="Calibri" w:cs="Calibri"/>
          <w:b/>
          <w:color w:val="13576B"/>
          <w:sz w:val="23"/>
          <w:szCs w:val="23"/>
        </w:rPr>
        <w:t>letech</w:t>
      </w:r>
    </w:p>
    <w:p w14:paraId="53476FC3" w14:textId="6D15E990" w:rsidR="00BA3140" w:rsidRDefault="006D49D0" w:rsidP="00AA62A7">
      <w:pPr>
        <w:overflowPunct/>
        <w:autoSpaceDE/>
        <w:autoSpaceDN/>
        <w:adjustRightInd/>
        <w:spacing w:line="259" w:lineRule="auto"/>
        <w:jc w:val="left"/>
        <w:textAlignment w:val="auto"/>
        <w:rPr>
          <w:rFonts w:ascii="Calibri" w:hAnsi="Calibri" w:cs="Calibri"/>
          <w:bCs/>
          <w:i/>
          <w:iCs/>
          <w:noProof/>
          <w:color w:val="13576B"/>
          <w:sz w:val="23"/>
          <w:szCs w:val="23"/>
        </w:rPr>
      </w:pPr>
      <w:r w:rsidRPr="006D49D0">
        <w:rPr>
          <w:rFonts w:ascii="Calibri" w:hAnsi="Calibri" w:cs="Calibri"/>
          <w:bCs/>
          <w:i/>
          <w:iCs/>
          <w:color w:val="13576B"/>
          <w:sz w:val="23"/>
          <w:szCs w:val="23"/>
        </w:rPr>
        <w:t xml:space="preserve">V meziročním srovnání přinesl pokles hypoteční sazby </w:t>
      </w:r>
      <w:r w:rsidR="00490E04">
        <w:rPr>
          <w:rFonts w:ascii="Calibri" w:hAnsi="Calibri" w:cs="Calibri"/>
          <w:bCs/>
          <w:i/>
          <w:iCs/>
          <w:color w:val="13576B"/>
          <w:sz w:val="23"/>
          <w:szCs w:val="23"/>
        </w:rPr>
        <w:t xml:space="preserve">ilustrativní </w:t>
      </w:r>
      <w:r w:rsidRPr="006D49D0">
        <w:rPr>
          <w:rFonts w:ascii="Calibri" w:hAnsi="Calibri" w:cs="Calibri"/>
          <w:bCs/>
          <w:i/>
          <w:iCs/>
          <w:color w:val="13576B"/>
          <w:sz w:val="23"/>
          <w:szCs w:val="23"/>
        </w:rPr>
        <w:t xml:space="preserve">úsporu průměrné měsíční splátky o 700 Kč, ovšem růst průměrné výše hypotéky způsobil její navýšení o 3 370 Kč. </w:t>
      </w:r>
    </w:p>
    <w:p w14:paraId="3524D768" w14:textId="3D1A7C08" w:rsidR="00490E04" w:rsidRDefault="00490E04" w:rsidP="00AA62A7">
      <w:pPr>
        <w:overflowPunct/>
        <w:autoSpaceDE/>
        <w:autoSpaceDN/>
        <w:adjustRightInd/>
        <w:spacing w:line="259" w:lineRule="auto"/>
        <w:jc w:val="left"/>
        <w:textAlignment w:val="auto"/>
        <w:rPr>
          <w:rFonts w:ascii="Calibri" w:hAnsi="Calibri" w:cs="Calibri"/>
          <w:bCs/>
          <w:i/>
          <w:iCs/>
          <w:noProof/>
          <w:color w:val="13576B"/>
          <w:sz w:val="23"/>
          <w:szCs w:val="23"/>
        </w:rPr>
      </w:pPr>
      <w:r>
        <w:rPr>
          <w:rFonts w:ascii="Calibri" w:hAnsi="Calibri" w:cs="Calibri"/>
          <w:bCs/>
          <w:i/>
          <w:iCs/>
          <w:noProof/>
          <w:color w:val="13576B"/>
          <w:sz w:val="23"/>
          <w:szCs w:val="23"/>
        </w:rPr>
        <w:drawing>
          <wp:inline distT="0" distB="0" distL="0" distR="0" wp14:anchorId="11C2856A" wp14:editId="52016DE1">
            <wp:extent cx="5773420" cy="3841115"/>
            <wp:effectExtent l="0" t="0" r="0" b="6985"/>
            <wp:docPr id="419015348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3420" cy="3841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DADE1A7" w14:textId="4B9EF024" w:rsidR="009D5F35" w:rsidRDefault="009D5F35" w:rsidP="009D5F35">
      <w:pPr>
        <w:overflowPunct/>
        <w:autoSpaceDE/>
        <w:adjustRightInd/>
        <w:rPr>
          <w:rFonts w:ascii="Calibri Light" w:hAnsi="Calibri Light" w:cs="Calibri Light"/>
          <w:color w:val="13576B"/>
          <w:sz w:val="20"/>
        </w:rPr>
      </w:pPr>
      <w:r w:rsidRPr="002F4CBD">
        <w:rPr>
          <w:rFonts w:ascii="Calibri Light" w:hAnsi="Calibri Light" w:cs="Calibri Light"/>
          <w:color w:val="13576B"/>
          <w:sz w:val="20"/>
        </w:rPr>
        <w:t>Pramen:</w:t>
      </w:r>
      <w:r>
        <w:rPr>
          <w:rFonts w:ascii="Calibri Light" w:hAnsi="Calibri Light" w:cs="Calibri Light"/>
          <w:color w:val="13576B"/>
          <w:sz w:val="20"/>
        </w:rPr>
        <w:t xml:space="preserve"> </w:t>
      </w:r>
      <w:r w:rsidRPr="002F4CBD">
        <w:rPr>
          <w:rFonts w:ascii="Calibri Light" w:hAnsi="Calibri Light" w:cs="Calibri Light"/>
          <w:color w:val="13576B"/>
          <w:sz w:val="20"/>
        </w:rPr>
        <w:t>ČBA</w:t>
      </w:r>
      <w:r w:rsidR="00AA62A7">
        <w:rPr>
          <w:rFonts w:ascii="Calibri Light" w:hAnsi="Calibri Light" w:cs="Calibri Light"/>
          <w:color w:val="13576B"/>
          <w:sz w:val="20"/>
        </w:rPr>
        <w:t xml:space="preserve">. Pozn.: </w:t>
      </w:r>
      <w:r w:rsidR="00AA62A7" w:rsidRPr="00AA62A7">
        <w:rPr>
          <w:rFonts w:ascii="Calibri Light" w:hAnsi="Calibri Light" w:cs="Calibri Light"/>
          <w:color w:val="13576B"/>
          <w:sz w:val="20"/>
        </w:rPr>
        <w:t>částky jsou zaokrouhleny na desítky korun.</w:t>
      </w:r>
    </w:p>
    <w:p w14:paraId="7ECA69B5" w14:textId="77777777" w:rsidR="00173D31" w:rsidRDefault="00173D31" w:rsidP="009D5F35">
      <w:pPr>
        <w:overflowPunct/>
        <w:autoSpaceDE/>
        <w:adjustRightInd/>
        <w:rPr>
          <w:rFonts w:ascii="Calibri Light" w:hAnsi="Calibri Light" w:cs="Calibri Light"/>
          <w:color w:val="13576B"/>
          <w:sz w:val="20"/>
        </w:rPr>
      </w:pPr>
    </w:p>
    <w:p w14:paraId="620D9ACD" w14:textId="77777777" w:rsidR="00BA3140" w:rsidRDefault="00BA3140" w:rsidP="002E4EFD">
      <w:pPr>
        <w:rPr>
          <w:rFonts w:ascii="Calibri" w:hAnsi="Calibri" w:cs="Calibri"/>
          <w:b/>
          <w:color w:val="13576B"/>
          <w:sz w:val="24"/>
          <w:szCs w:val="24"/>
        </w:rPr>
      </w:pPr>
    </w:p>
    <w:p w14:paraId="5A72B105" w14:textId="31FA153D" w:rsidR="002E4EFD" w:rsidRDefault="008723A8" w:rsidP="002E4EFD">
      <w:pPr>
        <w:rPr>
          <w:rFonts w:ascii="Calibri" w:hAnsi="Calibri" w:cs="Calibri"/>
          <w:b/>
          <w:color w:val="13576B"/>
          <w:sz w:val="24"/>
          <w:szCs w:val="24"/>
        </w:rPr>
      </w:pPr>
      <w:r>
        <w:rPr>
          <w:rFonts w:ascii="Calibri" w:hAnsi="Calibri" w:cs="Calibri"/>
          <w:b/>
          <w:color w:val="13576B"/>
          <w:sz w:val="24"/>
          <w:szCs w:val="24"/>
        </w:rPr>
        <w:t>Statistická příloha</w:t>
      </w:r>
    </w:p>
    <w:p w14:paraId="7D8CD8E4" w14:textId="77777777" w:rsidR="00582221" w:rsidRDefault="00582221" w:rsidP="002E4EFD">
      <w:pPr>
        <w:rPr>
          <w:rFonts w:ascii="Calibri" w:hAnsi="Calibri" w:cs="Calibri"/>
          <w:b/>
          <w:color w:val="13576B"/>
          <w:sz w:val="24"/>
          <w:szCs w:val="24"/>
        </w:rPr>
      </w:pPr>
    </w:p>
    <w:p w14:paraId="2FA0BE1C" w14:textId="24706C40" w:rsidR="00582221" w:rsidRPr="00D24B00" w:rsidRDefault="00582221" w:rsidP="002E4EFD">
      <w:pPr>
        <w:rPr>
          <w:rFonts w:ascii="Calibri" w:hAnsi="Calibri" w:cs="Calibri"/>
          <w:b/>
          <w:color w:val="EE0000"/>
          <w:sz w:val="24"/>
          <w:szCs w:val="24"/>
        </w:rPr>
      </w:pPr>
      <w:r w:rsidRPr="005B4653">
        <w:rPr>
          <w:rFonts w:ascii="Calibri" w:hAnsi="Calibri" w:cs="Calibri"/>
          <w:b/>
          <w:color w:val="13576B"/>
          <w:sz w:val="23"/>
          <w:szCs w:val="23"/>
        </w:rPr>
        <w:lastRenderedPageBreak/>
        <w:t xml:space="preserve">Graf č. </w:t>
      </w:r>
      <w:r w:rsidR="00506126">
        <w:rPr>
          <w:rFonts w:ascii="Calibri" w:hAnsi="Calibri" w:cs="Calibri"/>
          <w:b/>
          <w:color w:val="13576B"/>
          <w:sz w:val="23"/>
          <w:szCs w:val="23"/>
        </w:rPr>
        <w:t>6</w:t>
      </w:r>
      <w:r w:rsidRPr="005B4653">
        <w:rPr>
          <w:rFonts w:ascii="Calibri" w:hAnsi="Calibri" w:cs="Calibri"/>
          <w:b/>
          <w:color w:val="13576B"/>
          <w:sz w:val="23"/>
          <w:szCs w:val="23"/>
        </w:rPr>
        <w:t xml:space="preserve">: </w:t>
      </w:r>
      <w:r>
        <w:rPr>
          <w:rFonts w:ascii="Calibri" w:hAnsi="Calibri" w:cs="Calibri"/>
          <w:b/>
          <w:color w:val="13576B"/>
          <w:sz w:val="23"/>
          <w:szCs w:val="23"/>
        </w:rPr>
        <w:t>Sezónnost nových hypotečních úvěrů</w:t>
      </w:r>
    </w:p>
    <w:p w14:paraId="384BA2E5" w14:textId="240D8F8B" w:rsidR="0033440C" w:rsidRDefault="00490E04" w:rsidP="009D5F35">
      <w:pPr>
        <w:overflowPunct/>
        <w:autoSpaceDE/>
        <w:adjustRightInd/>
        <w:rPr>
          <w:rFonts w:ascii="Calibri Light" w:hAnsi="Calibri Light" w:cs="Calibri Light"/>
          <w:color w:val="13576B"/>
          <w:sz w:val="20"/>
        </w:rPr>
      </w:pPr>
      <w:r>
        <w:rPr>
          <w:rFonts w:ascii="Calibri Light" w:hAnsi="Calibri Light" w:cs="Calibri Light"/>
          <w:noProof/>
          <w:color w:val="13576B"/>
          <w:sz w:val="20"/>
        </w:rPr>
        <w:drawing>
          <wp:inline distT="0" distB="0" distL="0" distR="0" wp14:anchorId="178E3528" wp14:editId="2272602A">
            <wp:extent cx="6489500" cy="4209726"/>
            <wp:effectExtent l="0" t="0" r="6985" b="635"/>
            <wp:docPr id="1139344638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6868" cy="422099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543E5F5" w14:textId="68A6E96C" w:rsidR="0033440C" w:rsidRDefault="008723A8" w:rsidP="009D5F35">
      <w:pPr>
        <w:overflowPunct/>
        <w:autoSpaceDE/>
        <w:adjustRightInd/>
        <w:rPr>
          <w:rFonts w:ascii="Calibri Light" w:hAnsi="Calibri Light" w:cs="Calibri Light"/>
          <w:color w:val="13576B"/>
          <w:sz w:val="20"/>
        </w:rPr>
      </w:pPr>
      <w:r w:rsidRPr="002F4CBD">
        <w:rPr>
          <w:rFonts w:ascii="Calibri Light" w:hAnsi="Calibri Light" w:cs="Calibri Light"/>
          <w:color w:val="13576B"/>
          <w:sz w:val="20"/>
        </w:rPr>
        <w:t>Pramen:</w:t>
      </w:r>
      <w:r>
        <w:rPr>
          <w:rFonts w:ascii="Calibri Light" w:hAnsi="Calibri Light" w:cs="Calibri Light"/>
          <w:color w:val="13576B"/>
          <w:sz w:val="20"/>
        </w:rPr>
        <w:t xml:space="preserve"> </w:t>
      </w:r>
      <w:r w:rsidRPr="002F4CBD">
        <w:rPr>
          <w:rFonts w:ascii="Calibri Light" w:hAnsi="Calibri Light" w:cs="Calibri Light"/>
          <w:color w:val="13576B"/>
          <w:sz w:val="20"/>
        </w:rPr>
        <w:t>ČBA</w:t>
      </w:r>
      <w:r>
        <w:rPr>
          <w:rFonts w:ascii="Calibri Light" w:hAnsi="Calibri Light" w:cs="Calibri Light"/>
          <w:color w:val="13576B"/>
          <w:sz w:val="20"/>
        </w:rPr>
        <w:t xml:space="preserve"> </w:t>
      </w:r>
      <w:proofErr w:type="spellStart"/>
      <w:r>
        <w:rPr>
          <w:rFonts w:ascii="Calibri Light" w:hAnsi="Calibri Light" w:cs="Calibri Light"/>
          <w:color w:val="13576B"/>
          <w:sz w:val="20"/>
        </w:rPr>
        <w:t>Hypomonitor</w:t>
      </w:r>
      <w:proofErr w:type="spellEnd"/>
    </w:p>
    <w:p w14:paraId="03530238" w14:textId="378A1F3A" w:rsidR="008723A8" w:rsidRDefault="008723A8" w:rsidP="009D5F35">
      <w:pPr>
        <w:overflowPunct/>
        <w:autoSpaceDE/>
        <w:adjustRightInd/>
        <w:rPr>
          <w:rFonts w:ascii="Calibri Light" w:hAnsi="Calibri Light" w:cs="Calibri Light"/>
          <w:color w:val="13576B"/>
          <w:sz w:val="20"/>
        </w:rPr>
      </w:pPr>
      <w:r>
        <w:rPr>
          <w:rFonts w:ascii="Calibri Light" w:hAnsi="Calibri Light" w:cs="Calibri Light"/>
          <w:color w:val="13576B"/>
          <w:sz w:val="20"/>
        </w:rPr>
        <w:t xml:space="preserve">Poznámka: </w:t>
      </w:r>
      <w:r w:rsidR="006E2E7E">
        <w:rPr>
          <w:rFonts w:ascii="Calibri Light" w:hAnsi="Calibri Light" w:cs="Calibri Light"/>
          <w:color w:val="13576B"/>
          <w:sz w:val="20"/>
        </w:rPr>
        <w:t xml:space="preserve">Jedná se o skutečně nové hypotéky (tedy </w:t>
      </w:r>
      <w:r w:rsidR="00F50DD0">
        <w:rPr>
          <w:rFonts w:ascii="Calibri Light" w:hAnsi="Calibri Light" w:cs="Calibri Light"/>
          <w:color w:val="13576B"/>
          <w:sz w:val="20"/>
        </w:rPr>
        <w:t xml:space="preserve">bez </w:t>
      </w:r>
      <w:r w:rsidR="006E2E7E">
        <w:rPr>
          <w:rFonts w:ascii="Calibri Light" w:hAnsi="Calibri Light" w:cs="Calibri Light"/>
          <w:color w:val="13576B"/>
          <w:sz w:val="20"/>
        </w:rPr>
        <w:t xml:space="preserve">refinancování a navýšeni). </w:t>
      </w:r>
      <w:r>
        <w:rPr>
          <w:rFonts w:ascii="Calibri Light" w:hAnsi="Calibri Light" w:cs="Calibri Light"/>
          <w:color w:val="13576B"/>
          <w:sz w:val="20"/>
        </w:rPr>
        <w:t xml:space="preserve">Podkladová data jsou </w:t>
      </w:r>
      <w:r w:rsidRPr="008723A8">
        <w:rPr>
          <w:rFonts w:ascii="Calibri Light" w:hAnsi="Calibri Light" w:cs="Calibri Light"/>
          <w:color w:val="13576B"/>
          <w:sz w:val="20"/>
        </w:rPr>
        <w:t xml:space="preserve">k dispozici v souboru </w:t>
      </w:r>
      <w:proofErr w:type="spellStart"/>
      <w:r w:rsidRPr="008723A8">
        <w:rPr>
          <w:rFonts w:ascii="Calibri Light" w:hAnsi="Calibri Light" w:cs="Calibri Light"/>
          <w:color w:val="13576B"/>
          <w:sz w:val="20"/>
        </w:rPr>
        <w:t>xls</w:t>
      </w:r>
      <w:proofErr w:type="spellEnd"/>
      <w:r w:rsidRPr="008723A8">
        <w:rPr>
          <w:rFonts w:ascii="Calibri Light" w:hAnsi="Calibri Light" w:cs="Calibri Light"/>
          <w:color w:val="13576B"/>
          <w:sz w:val="20"/>
        </w:rPr>
        <w:t xml:space="preserve"> přiloženém na webových stránkách ČBA Hypomonitoru</w:t>
      </w:r>
      <w:r w:rsidR="00E16BD3">
        <w:rPr>
          <w:rFonts w:ascii="Calibri Light" w:hAnsi="Calibri Light" w:cs="Calibri Light"/>
          <w:color w:val="13576B"/>
          <w:sz w:val="20"/>
        </w:rPr>
        <w:t>. V</w:t>
      </w:r>
      <w:r w:rsidR="00E16BD3" w:rsidRPr="00E16BD3">
        <w:rPr>
          <w:rFonts w:ascii="Calibri Light" w:hAnsi="Calibri Light" w:cs="Calibri Light"/>
          <w:color w:val="13576B"/>
          <w:sz w:val="20"/>
        </w:rPr>
        <w:t>ýhled do konce roku</w:t>
      </w:r>
      <w:r w:rsidR="00E16BD3">
        <w:rPr>
          <w:rFonts w:ascii="Calibri Light" w:hAnsi="Calibri Light" w:cs="Calibri Light"/>
          <w:color w:val="13576B"/>
          <w:sz w:val="20"/>
        </w:rPr>
        <w:t xml:space="preserve"> (</w:t>
      </w:r>
      <w:proofErr w:type="spellStart"/>
      <w:r w:rsidR="00E16BD3">
        <w:rPr>
          <w:rFonts w:ascii="Calibri Light" w:hAnsi="Calibri Light" w:cs="Calibri Light"/>
          <w:color w:val="13576B"/>
          <w:sz w:val="20"/>
        </w:rPr>
        <w:t>fcst</w:t>
      </w:r>
      <w:proofErr w:type="spellEnd"/>
      <w:r w:rsidR="00E16BD3">
        <w:rPr>
          <w:rFonts w:ascii="Calibri Light" w:hAnsi="Calibri Light" w:cs="Calibri Light"/>
          <w:color w:val="13576B"/>
          <w:sz w:val="20"/>
        </w:rPr>
        <w:t>)</w:t>
      </w:r>
      <w:r w:rsidR="00E16BD3" w:rsidRPr="00E16BD3">
        <w:rPr>
          <w:rFonts w:ascii="Calibri Light" w:hAnsi="Calibri Light" w:cs="Calibri Light"/>
          <w:color w:val="13576B"/>
          <w:sz w:val="20"/>
        </w:rPr>
        <w:t xml:space="preserve"> je momentový – vychází z aktuálního trendu, nikoli z modelové predikce.</w:t>
      </w:r>
    </w:p>
    <w:p w14:paraId="50F3BD64" w14:textId="77777777" w:rsidR="0033440C" w:rsidRDefault="0033440C" w:rsidP="009D5F35">
      <w:pPr>
        <w:overflowPunct/>
        <w:autoSpaceDE/>
        <w:adjustRightInd/>
        <w:rPr>
          <w:rFonts w:ascii="Calibri Light" w:hAnsi="Calibri Light" w:cs="Calibri Light"/>
          <w:color w:val="13576B"/>
          <w:sz w:val="20"/>
        </w:rPr>
      </w:pPr>
    </w:p>
    <w:p w14:paraId="67028DE4" w14:textId="753DB133" w:rsidR="00582221" w:rsidRDefault="00582221" w:rsidP="009D5F35">
      <w:pPr>
        <w:overflowPunct/>
        <w:autoSpaceDE/>
        <w:adjustRightInd/>
        <w:rPr>
          <w:rFonts w:ascii="Calibri Light" w:hAnsi="Calibri Light" w:cs="Calibri Light"/>
          <w:color w:val="13576B"/>
          <w:sz w:val="20"/>
        </w:rPr>
      </w:pPr>
      <w:r w:rsidRPr="005B4653">
        <w:rPr>
          <w:rFonts w:ascii="Calibri" w:hAnsi="Calibri" w:cs="Calibri"/>
          <w:b/>
          <w:color w:val="13576B"/>
          <w:sz w:val="23"/>
          <w:szCs w:val="23"/>
        </w:rPr>
        <w:t xml:space="preserve">Graf č. </w:t>
      </w:r>
      <w:r w:rsidR="00506126">
        <w:rPr>
          <w:rFonts w:ascii="Calibri" w:hAnsi="Calibri" w:cs="Calibri"/>
          <w:b/>
          <w:color w:val="13576B"/>
          <w:sz w:val="23"/>
          <w:szCs w:val="23"/>
        </w:rPr>
        <w:t>7</w:t>
      </w:r>
      <w:r w:rsidRPr="005B4653">
        <w:rPr>
          <w:rFonts w:ascii="Calibri" w:hAnsi="Calibri" w:cs="Calibri"/>
          <w:b/>
          <w:color w:val="13576B"/>
          <w:sz w:val="23"/>
          <w:szCs w:val="23"/>
        </w:rPr>
        <w:t xml:space="preserve">: </w:t>
      </w:r>
      <w:r>
        <w:rPr>
          <w:rFonts w:ascii="Calibri" w:hAnsi="Calibri" w:cs="Calibri"/>
          <w:b/>
          <w:color w:val="13576B"/>
          <w:sz w:val="23"/>
          <w:szCs w:val="23"/>
        </w:rPr>
        <w:t>Rozložení nových hypotečních úvěrů podle účelu</w:t>
      </w:r>
    </w:p>
    <w:p w14:paraId="6D87A84C" w14:textId="732CC321" w:rsidR="00582221" w:rsidRDefault="00490E04" w:rsidP="009D5F35">
      <w:pPr>
        <w:overflowPunct/>
        <w:autoSpaceDE/>
        <w:adjustRightInd/>
        <w:rPr>
          <w:rFonts w:ascii="Calibri Light" w:hAnsi="Calibri Light" w:cs="Calibri Light"/>
          <w:color w:val="13576B"/>
          <w:sz w:val="20"/>
        </w:rPr>
      </w:pPr>
      <w:r>
        <w:rPr>
          <w:rFonts w:ascii="Calibri Light" w:hAnsi="Calibri Light" w:cs="Calibri Light"/>
          <w:noProof/>
          <w:color w:val="13576B"/>
          <w:sz w:val="20"/>
        </w:rPr>
        <w:drawing>
          <wp:inline distT="0" distB="0" distL="0" distR="0" wp14:anchorId="28838D87" wp14:editId="0DB387EC">
            <wp:extent cx="6551031" cy="2224709"/>
            <wp:effectExtent l="0" t="0" r="2540" b="4445"/>
            <wp:docPr id="1533500673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8282" cy="22339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6D7AF75" w14:textId="77777777" w:rsidR="00582221" w:rsidRDefault="00582221" w:rsidP="00582221">
      <w:pPr>
        <w:overflowPunct/>
        <w:autoSpaceDE/>
        <w:adjustRightInd/>
        <w:rPr>
          <w:rFonts w:ascii="Calibri Light" w:hAnsi="Calibri Light" w:cs="Calibri Light"/>
          <w:color w:val="13576B"/>
          <w:sz w:val="20"/>
        </w:rPr>
      </w:pPr>
      <w:r w:rsidRPr="002F4CBD">
        <w:rPr>
          <w:rFonts w:ascii="Calibri Light" w:hAnsi="Calibri Light" w:cs="Calibri Light"/>
          <w:color w:val="13576B"/>
          <w:sz w:val="20"/>
        </w:rPr>
        <w:t>Pramen:</w:t>
      </w:r>
      <w:r>
        <w:rPr>
          <w:rFonts w:ascii="Calibri Light" w:hAnsi="Calibri Light" w:cs="Calibri Light"/>
          <w:color w:val="13576B"/>
          <w:sz w:val="20"/>
        </w:rPr>
        <w:t xml:space="preserve"> </w:t>
      </w:r>
      <w:r w:rsidRPr="002F4CBD">
        <w:rPr>
          <w:rFonts w:ascii="Calibri Light" w:hAnsi="Calibri Light" w:cs="Calibri Light"/>
          <w:color w:val="13576B"/>
          <w:sz w:val="20"/>
        </w:rPr>
        <w:t>ČBA</w:t>
      </w:r>
      <w:r>
        <w:rPr>
          <w:rFonts w:ascii="Calibri Light" w:hAnsi="Calibri Light" w:cs="Calibri Light"/>
          <w:color w:val="13576B"/>
          <w:sz w:val="20"/>
        </w:rPr>
        <w:t xml:space="preserve"> </w:t>
      </w:r>
      <w:proofErr w:type="spellStart"/>
      <w:r>
        <w:rPr>
          <w:rFonts w:ascii="Calibri Light" w:hAnsi="Calibri Light" w:cs="Calibri Light"/>
          <w:color w:val="13576B"/>
          <w:sz w:val="20"/>
        </w:rPr>
        <w:t>Hypomonitor</w:t>
      </w:r>
      <w:proofErr w:type="spellEnd"/>
    </w:p>
    <w:p w14:paraId="5303965F" w14:textId="4D0A9CAE" w:rsidR="0033440C" w:rsidRPr="00616069" w:rsidRDefault="00582221" w:rsidP="00582221">
      <w:pPr>
        <w:overflowPunct/>
        <w:autoSpaceDE/>
        <w:adjustRightInd/>
        <w:rPr>
          <w:rFonts w:ascii="Calibri Light" w:hAnsi="Calibri Light" w:cs="Calibri Light"/>
          <w:color w:val="13576B"/>
          <w:sz w:val="20"/>
        </w:rPr>
      </w:pPr>
      <w:r>
        <w:rPr>
          <w:rFonts w:ascii="Calibri Light" w:hAnsi="Calibri Light" w:cs="Calibri Light"/>
          <w:color w:val="13576B"/>
          <w:sz w:val="20"/>
        </w:rPr>
        <w:t xml:space="preserve">Poznámka: Poslední údaj představuje průměr za posledních 12 měsíců. </w:t>
      </w:r>
    </w:p>
    <w:bookmarkEnd w:id="6"/>
    <w:p w14:paraId="045825E8" w14:textId="77777777" w:rsidR="00801B60" w:rsidRDefault="00801B60" w:rsidP="002A5D11">
      <w:pPr>
        <w:rPr>
          <w:rFonts w:ascii="Calibri" w:hAnsi="Calibri" w:cs="Calibri"/>
          <w:b/>
          <w:color w:val="13576B"/>
          <w:sz w:val="24"/>
          <w:szCs w:val="24"/>
        </w:rPr>
      </w:pPr>
    </w:p>
    <w:p w14:paraId="38F7CB3F" w14:textId="2FEEAD4C" w:rsidR="00BA3140" w:rsidRPr="002A5D11" w:rsidRDefault="00BA3140" w:rsidP="00BA3140">
      <w:pPr>
        <w:rPr>
          <w:rFonts w:ascii="Calibri" w:hAnsi="Calibri" w:cs="Calibri"/>
          <w:b/>
          <w:color w:val="13576B"/>
          <w:sz w:val="24"/>
          <w:szCs w:val="24"/>
        </w:rPr>
      </w:pPr>
      <w:r w:rsidRPr="002A5D11">
        <w:rPr>
          <w:rFonts w:ascii="Calibri" w:hAnsi="Calibri" w:cs="Calibri"/>
          <w:b/>
          <w:color w:val="13576B"/>
          <w:sz w:val="24"/>
          <w:szCs w:val="24"/>
        </w:rPr>
        <w:lastRenderedPageBreak/>
        <w:t>Hypoteční trh v roce 202</w:t>
      </w:r>
      <w:r>
        <w:rPr>
          <w:rFonts w:ascii="Calibri" w:hAnsi="Calibri" w:cs="Calibri"/>
          <w:b/>
          <w:color w:val="13576B"/>
          <w:sz w:val="24"/>
          <w:szCs w:val="24"/>
        </w:rPr>
        <w:t>5</w:t>
      </w:r>
      <w:r w:rsidR="00356A6D">
        <w:rPr>
          <w:rFonts w:ascii="Calibri" w:hAnsi="Calibri" w:cs="Calibri"/>
          <w:b/>
          <w:color w:val="13576B"/>
          <w:sz w:val="24"/>
          <w:szCs w:val="24"/>
        </w:rPr>
        <w:t xml:space="preserve"> přinesl </w:t>
      </w:r>
      <w:r>
        <w:rPr>
          <w:rFonts w:ascii="Calibri" w:hAnsi="Calibri" w:cs="Calibri"/>
          <w:b/>
          <w:color w:val="13576B"/>
          <w:sz w:val="24"/>
          <w:szCs w:val="24"/>
        </w:rPr>
        <w:t>silný</w:t>
      </w:r>
      <w:r w:rsidRPr="002A5D11">
        <w:rPr>
          <w:rFonts w:ascii="Calibri" w:hAnsi="Calibri" w:cs="Calibri"/>
          <w:b/>
          <w:color w:val="13576B"/>
          <w:sz w:val="24"/>
          <w:szCs w:val="24"/>
        </w:rPr>
        <w:t xml:space="preserve"> </w:t>
      </w:r>
      <w:r>
        <w:rPr>
          <w:rFonts w:ascii="Calibri" w:hAnsi="Calibri" w:cs="Calibri"/>
          <w:b/>
          <w:color w:val="13576B"/>
          <w:sz w:val="24"/>
          <w:szCs w:val="24"/>
        </w:rPr>
        <w:t xml:space="preserve">objemový </w:t>
      </w:r>
      <w:r w:rsidRPr="002A5D11">
        <w:rPr>
          <w:rFonts w:ascii="Calibri" w:hAnsi="Calibri" w:cs="Calibri"/>
          <w:b/>
          <w:color w:val="13576B"/>
          <w:sz w:val="24"/>
          <w:szCs w:val="24"/>
        </w:rPr>
        <w:t xml:space="preserve">růst o </w:t>
      </w:r>
      <w:r>
        <w:rPr>
          <w:rFonts w:ascii="Calibri" w:hAnsi="Calibri" w:cs="Calibri"/>
          <w:b/>
          <w:color w:val="13576B"/>
          <w:sz w:val="24"/>
          <w:szCs w:val="24"/>
        </w:rPr>
        <w:t>41</w:t>
      </w:r>
      <w:r w:rsidRPr="002A5D11">
        <w:rPr>
          <w:rFonts w:ascii="Calibri" w:hAnsi="Calibri" w:cs="Calibri"/>
          <w:b/>
          <w:color w:val="13576B"/>
          <w:sz w:val="24"/>
          <w:szCs w:val="24"/>
        </w:rPr>
        <w:t xml:space="preserve"> %</w:t>
      </w:r>
      <w:r>
        <w:rPr>
          <w:rFonts w:ascii="Calibri" w:hAnsi="Calibri" w:cs="Calibri"/>
          <w:b/>
          <w:color w:val="13576B"/>
          <w:sz w:val="24"/>
          <w:szCs w:val="24"/>
        </w:rPr>
        <w:t xml:space="preserve"> a o téměř čtvrtinu v počtech</w:t>
      </w:r>
    </w:p>
    <w:p w14:paraId="153D0109" w14:textId="77777777" w:rsidR="00BA3140" w:rsidRPr="00840F7C" w:rsidRDefault="00BA3140" w:rsidP="00BA3140">
      <w:pPr>
        <w:rPr>
          <w:rFonts w:ascii="Calibri" w:hAnsi="Calibri" w:cs="Calibri"/>
          <w:b/>
          <w:bCs/>
          <w:sz w:val="22"/>
          <w:szCs w:val="22"/>
        </w:rPr>
      </w:pPr>
    </w:p>
    <w:p w14:paraId="605D853E" w14:textId="77777777" w:rsidR="00BA3140" w:rsidRDefault="00BA3140" w:rsidP="00BA3140">
      <w:pPr>
        <w:rPr>
          <w:rFonts w:ascii="Calibri" w:hAnsi="Calibri" w:cs="Calibri"/>
          <w:color w:val="000000" w:themeColor="text1"/>
          <w:sz w:val="22"/>
          <w:szCs w:val="22"/>
        </w:rPr>
      </w:pPr>
      <w:r w:rsidRPr="00840F7C">
        <w:rPr>
          <w:rFonts w:ascii="Calibri" w:hAnsi="Calibri" w:cs="Calibri"/>
          <w:b/>
          <w:bCs/>
          <w:color w:val="000000" w:themeColor="text1"/>
          <w:sz w:val="22"/>
          <w:szCs w:val="22"/>
        </w:rPr>
        <w:t>Za celý rok 202</w:t>
      </w:r>
      <w:r>
        <w:rPr>
          <w:rFonts w:ascii="Calibri" w:hAnsi="Calibri" w:cs="Calibri"/>
          <w:b/>
          <w:bCs/>
          <w:color w:val="000000" w:themeColor="text1"/>
          <w:sz w:val="22"/>
          <w:szCs w:val="22"/>
        </w:rPr>
        <w:t>5</w:t>
      </w:r>
      <w:r w:rsidRPr="00840F7C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poskytly banky a stavební spořitelny nové hypoteční úvěry v objemu </w:t>
      </w:r>
      <w:r>
        <w:rPr>
          <w:rFonts w:ascii="Calibri" w:hAnsi="Calibri" w:cs="Calibri"/>
          <w:b/>
          <w:bCs/>
          <w:color w:val="000000" w:themeColor="text1"/>
          <w:sz w:val="22"/>
          <w:szCs w:val="22"/>
        </w:rPr>
        <w:t>321</w:t>
      </w:r>
      <w:r w:rsidRPr="00840F7C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miliard Kč.</w:t>
      </w:r>
      <w:r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</w:t>
      </w:r>
      <w:r w:rsidRPr="00840F7C">
        <w:rPr>
          <w:rFonts w:ascii="Calibri" w:hAnsi="Calibri" w:cs="Calibri"/>
          <w:color w:val="000000" w:themeColor="text1"/>
          <w:sz w:val="22"/>
          <w:szCs w:val="22"/>
        </w:rPr>
        <w:t>To je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 o</w:t>
      </w:r>
      <w:r w:rsidRPr="00840F7C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>
        <w:rPr>
          <w:rFonts w:ascii="Calibri" w:hAnsi="Calibri" w:cs="Calibri"/>
          <w:color w:val="000000" w:themeColor="text1"/>
          <w:sz w:val="22"/>
          <w:szCs w:val="22"/>
        </w:rPr>
        <w:t>93 miliard korun</w:t>
      </w:r>
      <w:r w:rsidRPr="00840F7C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více než 228 miliard vytvořených v roce 2024. Tento meziroční skok odpovídá 41% nárůstu. </w:t>
      </w:r>
      <w:r w:rsidRPr="00840F7C">
        <w:rPr>
          <w:rFonts w:ascii="Calibri" w:hAnsi="Calibri" w:cs="Calibri"/>
          <w:color w:val="000000" w:themeColor="text1"/>
          <w:sz w:val="22"/>
          <w:szCs w:val="22"/>
        </w:rPr>
        <w:t xml:space="preserve">K tomu se navíc refinancovaly hypotéky v rozsahu 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85 </w:t>
      </w:r>
      <w:r w:rsidRPr="00840F7C">
        <w:rPr>
          <w:rFonts w:ascii="Calibri" w:hAnsi="Calibri" w:cs="Calibri"/>
          <w:color w:val="000000" w:themeColor="text1"/>
          <w:sz w:val="22"/>
          <w:szCs w:val="22"/>
        </w:rPr>
        <w:t>miliard Kč a celý hypoteční trh tak v roce 202</w:t>
      </w:r>
      <w:r>
        <w:rPr>
          <w:rFonts w:ascii="Calibri" w:hAnsi="Calibri" w:cs="Calibri"/>
          <w:color w:val="000000" w:themeColor="text1"/>
          <w:sz w:val="22"/>
          <w:szCs w:val="22"/>
        </w:rPr>
        <w:t>5</w:t>
      </w:r>
      <w:r w:rsidRPr="00840F7C">
        <w:rPr>
          <w:rFonts w:ascii="Calibri" w:hAnsi="Calibri" w:cs="Calibri"/>
          <w:color w:val="000000" w:themeColor="text1"/>
          <w:sz w:val="22"/>
          <w:szCs w:val="22"/>
        </w:rPr>
        <w:t xml:space="preserve"> narostl na </w:t>
      </w:r>
      <w:r>
        <w:rPr>
          <w:rFonts w:ascii="Calibri" w:hAnsi="Calibri" w:cs="Calibri"/>
          <w:color w:val="000000" w:themeColor="text1"/>
          <w:sz w:val="22"/>
          <w:szCs w:val="22"/>
        </w:rPr>
        <w:t>406</w:t>
      </w:r>
      <w:r w:rsidRPr="00840F7C">
        <w:rPr>
          <w:rFonts w:ascii="Calibri" w:hAnsi="Calibri" w:cs="Calibri"/>
          <w:color w:val="000000" w:themeColor="text1"/>
          <w:sz w:val="22"/>
          <w:szCs w:val="22"/>
        </w:rPr>
        <w:t xml:space="preserve"> miliard Kč z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 275 </w:t>
      </w:r>
      <w:r w:rsidRPr="00840F7C">
        <w:rPr>
          <w:rFonts w:ascii="Calibri" w:hAnsi="Calibri" w:cs="Calibri"/>
          <w:color w:val="000000" w:themeColor="text1"/>
          <w:sz w:val="22"/>
          <w:szCs w:val="22"/>
        </w:rPr>
        <w:t>miliard v roce 202</w:t>
      </w:r>
      <w:r>
        <w:rPr>
          <w:rFonts w:ascii="Calibri" w:hAnsi="Calibri" w:cs="Calibri"/>
          <w:color w:val="000000" w:themeColor="text1"/>
          <w:sz w:val="22"/>
          <w:szCs w:val="22"/>
        </w:rPr>
        <w:t>4</w:t>
      </w:r>
      <w:r w:rsidRPr="00840F7C">
        <w:rPr>
          <w:rFonts w:ascii="Calibri" w:hAnsi="Calibri" w:cs="Calibri"/>
          <w:color w:val="000000" w:themeColor="text1"/>
          <w:sz w:val="22"/>
          <w:szCs w:val="22"/>
        </w:rPr>
        <w:t xml:space="preserve">. Pokud upravíme objemy o nárůst cen </w:t>
      </w:r>
      <w:r>
        <w:rPr>
          <w:rFonts w:ascii="Calibri" w:hAnsi="Calibri" w:cs="Calibri"/>
          <w:color w:val="000000" w:themeColor="text1"/>
          <w:sz w:val="22"/>
          <w:szCs w:val="22"/>
        </w:rPr>
        <w:t>bytů okolo 15-16</w:t>
      </w:r>
      <w:r w:rsidRPr="00840F7C">
        <w:rPr>
          <w:rFonts w:ascii="Calibri" w:hAnsi="Calibri" w:cs="Calibri"/>
          <w:color w:val="000000" w:themeColor="text1"/>
          <w:sz w:val="22"/>
          <w:szCs w:val="22"/>
        </w:rPr>
        <w:t xml:space="preserve"> % (dle různých statistik), objem nových hypoték vzrostl reálně o něco méně. To odpovídá i mírnějšímu nárůstu počtu nových hypoték v roce 202</w:t>
      </w:r>
      <w:r>
        <w:rPr>
          <w:rFonts w:ascii="Calibri" w:hAnsi="Calibri" w:cs="Calibri"/>
          <w:color w:val="000000" w:themeColor="text1"/>
          <w:sz w:val="22"/>
          <w:szCs w:val="22"/>
        </w:rPr>
        <w:t>5, o necelou čtvrtinu na více než 76,11</w:t>
      </w:r>
      <w:r w:rsidRPr="00872E78">
        <w:rPr>
          <w:rFonts w:ascii="Calibri" w:hAnsi="Calibri" w:cs="Calibri"/>
          <w:color w:val="000000" w:themeColor="text1"/>
          <w:sz w:val="22"/>
          <w:szCs w:val="22"/>
        </w:rPr>
        <w:t xml:space="preserve"> tisíc</w:t>
      </w:r>
      <w:r>
        <w:rPr>
          <w:rFonts w:ascii="Calibri" w:hAnsi="Calibri" w:cs="Calibri"/>
          <w:color w:val="000000" w:themeColor="text1"/>
          <w:sz w:val="22"/>
          <w:szCs w:val="22"/>
        </w:rPr>
        <w:t>,</w:t>
      </w:r>
      <w:r w:rsidRPr="00872E78">
        <w:rPr>
          <w:rFonts w:ascii="Calibri" w:hAnsi="Calibri" w:cs="Calibri"/>
          <w:color w:val="000000" w:themeColor="text1"/>
          <w:sz w:val="22"/>
          <w:szCs w:val="22"/>
        </w:rPr>
        <w:t xml:space="preserve"> a téměř </w:t>
      </w:r>
      <w:r>
        <w:rPr>
          <w:rFonts w:ascii="Calibri" w:hAnsi="Calibri" w:cs="Calibri"/>
          <w:color w:val="000000" w:themeColor="text1"/>
          <w:sz w:val="22"/>
          <w:szCs w:val="22"/>
        </w:rPr>
        <w:t>15</w:t>
      </w:r>
      <w:r w:rsidRPr="00872E78">
        <w:rPr>
          <w:rFonts w:ascii="Calibri" w:hAnsi="Calibri" w:cs="Calibri"/>
          <w:color w:val="000000" w:themeColor="text1"/>
          <w:sz w:val="22"/>
          <w:szCs w:val="22"/>
        </w:rPr>
        <w:t>% nárůstu průměrné výše poskytnuté nové hypotéky na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 4,21</w:t>
      </w:r>
      <w:r w:rsidRPr="00872E78">
        <w:rPr>
          <w:rFonts w:ascii="Calibri" w:hAnsi="Calibri" w:cs="Calibri"/>
          <w:color w:val="000000" w:themeColor="text1"/>
          <w:sz w:val="22"/>
          <w:szCs w:val="22"/>
        </w:rPr>
        <w:t xml:space="preserve"> milion</w:t>
      </w:r>
      <w:r>
        <w:rPr>
          <w:rFonts w:ascii="Calibri" w:hAnsi="Calibri" w:cs="Calibri"/>
          <w:color w:val="000000" w:themeColor="text1"/>
          <w:sz w:val="22"/>
          <w:szCs w:val="22"/>
        </w:rPr>
        <w:t>u</w:t>
      </w:r>
      <w:r w:rsidRPr="00872E78">
        <w:rPr>
          <w:rFonts w:ascii="Calibri" w:hAnsi="Calibri" w:cs="Calibri"/>
          <w:color w:val="000000" w:themeColor="text1"/>
          <w:sz w:val="22"/>
          <w:szCs w:val="22"/>
        </w:rPr>
        <w:t xml:space="preserve"> Kč. </w:t>
      </w:r>
    </w:p>
    <w:p w14:paraId="7ECD8698" w14:textId="77777777" w:rsidR="00BA3140" w:rsidRDefault="00BA3140" w:rsidP="00BA3140">
      <w:pPr>
        <w:rPr>
          <w:rFonts w:ascii="Calibri" w:hAnsi="Calibri" w:cs="Calibri"/>
          <w:color w:val="000000" w:themeColor="text1"/>
          <w:sz w:val="22"/>
          <w:szCs w:val="22"/>
        </w:rPr>
      </w:pPr>
    </w:p>
    <w:p w14:paraId="2DB164B7" w14:textId="77777777" w:rsidR="00BA3140" w:rsidRPr="009C5D66" w:rsidRDefault="00BA3140" w:rsidP="00BA3140">
      <w:pPr>
        <w:rPr>
          <w:rFonts w:ascii="Calibri" w:hAnsi="Calibri" w:cs="Calibri"/>
          <w:color w:val="000000" w:themeColor="text1"/>
          <w:sz w:val="22"/>
          <w:szCs w:val="22"/>
        </w:rPr>
      </w:pPr>
      <w:r w:rsidRPr="009C5D66">
        <w:rPr>
          <w:rFonts w:ascii="Calibri" w:hAnsi="Calibri" w:cs="Calibri"/>
          <w:color w:val="000000" w:themeColor="text1"/>
          <w:sz w:val="22"/>
          <w:szCs w:val="22"/>
        </w:rPr>
        <w:t xml:space="preserve">Nové hypotéky se v roce 2025 financovaly průměrnou úrokovou sazbu 4,58 %, což bylo o půl procentního bodu méně než v roce 2024, přičemž spread vůči tržní swapové 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úrokové </w:t>
      </w:r>
      <w:r w:rsidRPr="009C5D66">
        <w:rPr>
          <w:rFonts w:ascii="Calibri" w:hAnsi="Calibri" w:cs="Calibri"/>
          <w:color w:val="000000" w:themeColor="text1"/>
          <w:sz w:val="22"/>
          <w:szCs w:val="22"/>
        </w:rPr>
        <w:t>křivce dosáhl necelého jednoho procentního bodu, což je mírně pod dlouhodobým průměrem. Průměrná měsíční výše hypoteční splátky v roce 2025 dosáhla necelých 22,8 tisíc</w:t>
      </w:r>
      <w:r>
        <w:rPr>
          <w:rFonts w:ascii="Calibri" w:hAnsi="Calibri" w:cs="Calibri"/>
          <w:color w:val="000000" w:themeColor="text1"/>
          <w:sz w:val="22"/>
          <w:szCs w:val="22"/>
        </w:rPr>
        <w:t>e</w:t>
      </w:r>
      <w:r w:rsidRPr="009C5D66">
        <w:rPr>
          <w:rFonts w:ascii="Calibri" w:hAnsi="Calibri" w:cs="Calibri"/>
          <w:color w:val="000000" w:themeColor="text1"/>
          <w:sz w:val="22"/>
          <w:szCs w:val="22"/>
        </w:rPr>
        <w:t xml:space="preserve"> Kč, což je o 8,6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 %</w:t>
      </w:r>
      <w:r w:rsidRPr="009C5D66">
        <w:rPr>
          <w:rFonts w:ascii="Calibri" w:hAnsi="Calibri" w:cs="Calibri"/>
          <w:color w:val="000000" w:themeColor="text1"/>
          <w:sz w:val="22"/>
          <w:szCs w:val="22"/>
        </w:rPr>
        <w:t xml:space="preserve"> více než v roce 2024, </w:t>
      </w:r>
      <w:r>
        <w:rPr>
          <w:rFonts w:ascii="Calibri" w:hAnsi="Calibri" w:cs="Calibri"/>
          <w:color w:val="000000" w:themeColor="text1"/>
          <w:sz w:val="22"/>
          <w:szCs w:val="22"/>
        </w:rPr>
        <w:t>a mírně překonalo pravděpodobně více než 7% loňský nárůst</w:t>
      </w:r>
      <w:r w:rsidRPr="009C5D66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hyperlink r:id="rId35" w:history="1">
        <w:r w:rsidRPr="009C5D66">
          <w:rPr>
            <w:rStyle w:val="Hyperlink"/>
            <w:rFonts w:ascii="Calibri" w:hAnsi="Calibri" w:cs="Calibri"/>
            <w:sz w:val="22"/>
            <w:szCs w:val="22"/>
          </w:rPr>
          <w:t>průměrn</w:t>
        </w:r>
        <w:r>
          <w:rPr>
            <w:rStyle w:val="Hyperlink"/>
            <w:rFonts w:ascii="Calibri" w:hAnsi="Calibri" w:cs="Calibri"/>
            <w:sz w:val="22"/>
            <w:szCs w:val="22"/>
          </w:rPr>
          <w:t>é</w:t>
        </w:r>
        <w:r w:rsidRPr="009C5D66">
          <w:rPr>
            <w:rStyle w:val="Hyperlink"/>
            <w:rFonts w:ascii="Calibri" w:hAnsi="Calibri" w:cs="Calibri"/>
            <w:sz w:val="22"/>
            <w:szCs w:val="22"/>
          </w:rPr>
          <w:t xml:space="preserve"> nominální mzdy</w:t>
        </w:r>
      </w:hyperlink>
      <w:r w:rsidRPr="009C5D66">
        <w:rPr>
          <w:rFonts w:ascii="Calibri" w:hAnsi="Calibri" w:cs="Calibri"/>
          <w:color w:val="000000" w:themeColor="text1"/>
          <w:sz w:val="22"/>
          <w:szCs w:val="22"/>
        </w:rPr>
        <w:t xml:space="preserve">. </w:t>
      </w:r>
      <w:r>
        <w:rPr>
          <w:rFonts w:ascii="Calibri" w:hAnsi="Calibri" w:cs="Calibri"/>
          <w:color w:val="000000" w:themeColor="text1"/>
          <w:sz w:val="22"/>
          <w:szCs w:val="22"/>
        </w:rPr>
        <w:t>P</w:t>
      </w:r>
      <w:r w:rsidRPr="009C5D66">
        <w:rPr>
          <w:rFonts w:ascii="Calibri" w:hAnsi="Calibri" w:cs="Calibri"/>
          <w:color w:val="000000" w:themeColor="text1"/>
          <w:sz w:val="22"/>
          <w:szCs w:val="22"/>
        </w:rPr>
        <w:t xml:space="preserve">růměrný meziroční nárůst měsíční 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hypoteční </w:t>
      </w:r>
      <w:r w:rsidRPr="009C5D66">
        <w:rPr>
          <w:rFonts w:ascii="Calibri" w:hAnsi="Calibri" w:cs="Calibri"/>
          <w:color w:val="000000" w:themeColor="text1"/>
          <w:sz w:val="22"/>
          <w:szCs w:val="22"/>
        </w:rPr>
        <w:t>splátky přibližně o 1 800 korun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 v roce 2025</w:t>
      </w:r>
      <w:r w:rsidRPr="009C5D66">
        <w:rPr>
          <w:rFonts w:ascii="Calibri" w:hAnsi="Calibri" w:cs="Calibri"/>
          <w:color w:val="000000" w:themeColor="text1"/>
          <w:sz w:val="22"/>
          <w:szCs w:val="22"/>
        </w:rPr>
        <w:t xml:space="preserve"> především odrážel vyšší průměrnou </w:t>
      </w:r>
      <w:r>
        <w:rPr>
          <w:rFonts w:ascii="Calibri" w:hAnsi="Calibri" w:cs="Calibri"/>
          <w:color w:val="000000" w:themeColor="text1"/>
          <w:sz w:val="22"/>
          <w:szCs w:val="22"/>
        </w:rPr>
        <w:t>úroveň</w:t>
      </w:r>
      <w:r w:rsidRPr="009C5D66">
        <w:rPr>
          <w:rFonts w:ascii="Calibri" w:hAnsi="Calibri" w:cs="Calibri"/>
          <w:color w:val="000000" w:themeColor="text1"/>
          <w:sz w:val="22"/>
          <w:szCs w:val="22"/>
        </w:rPr>
        <w:t xml:space="preserve"> hypotéky s navýšením splátky téměř o 2,9 tis. Kč, zatímco nižší hypoteční úroková sazba snížila průměrnou měsíční splátku o více než 1,2 tis. Kč. </w:t>
      </w:r>
    </w:p>
    <w:p w14:paraId="09717EC0" w14:textId="77777777" w:rsidR="00BA3140" w:rsidRDefault="00BA3140" w:rsidP="00BA3140">
      <w:pPr>
        <w:rPr>
          <w:rFonts w:ascii="Calibri" w:hAnsi="Calibri" w:cs="Calibri"/>
          <w:b/>
          <w:color w:val="13576B"/>
          <w:sz w:val="23"/>
          <w:szCs w:val="23"/>
          <w:highlight w:val="yellow"/>
        </w:rPr>
      </w:pPr>
    </w:p>
    <w:p w14:paraId="62183D0D" w14:textId="77777777" w:rsidR="00BA3140" w:rsidRPr="002F4CBD" w:rsidRDefault="00BA3140" w:rsidP="00BA3140">
      <w:pPr>
        <w:rPr>
          <w:rFonts w:ascii="Calibri" w:hAnsi="Calibri" w:cs="Calibri"/>
          <w:sz w:val="22"/>
          <w:szCs w:val="22"/>
        </w:rPr>
      </w:pPr>
      <w:r w:rsidRPr="002F4CBD">
        <w:rPr>
          <w:rFonts w:ascii="Calibri" w:hAnsi="Calibri" w:cs="Calibri"/>
          <w:b/>
          <w:color w:val="13576B"/>
          <w:sz w:val="23"/>
          <w:szCs w:val="23"/>
        </w:rPr>
        <w:t xml:space="preserve">Graf č. </w:t>
      </w:r>
      <w:r>
        <w:rPr>
          <w:rFonts w:ascii="Calibri" w:hAnsi="Calibri" w:cs="Calibri"/>
          <w:b/>
          <w:color w:val="13576B"/>
          <w:sz w:val="23"/>
          <w:szCs w:val="23"/>
        </w:rPr>
        <w:t>1</w:t>
      </w:r>
      <w:r w:rsidRPr="002F4CBD">
        <w:rPr>
          <w:rFonts w:ascii="Calibri" w:hAnsi="Calibri" w:cs="Calibri"/>
          <w:b/>
          <w:color w:val="13576B"/>
          <w:sz w:val="23"/>
          <w:szCs w:val="23"/>
        </w:rPr>
        <w:t>: Celoroční objem</w:t>
      </w:r>
      <w:r>
        <w:rPr>
          <w:rFonts w:ascii="Calibri" w:hAnsi="Calibri" w:cs="Calibri"/>
          <w:b/>
          <w:color w:val="13576B"/>
          <w:sz w:val="23"/>
          <w:szCs w:val="23"/>
        </w:rPr>
        <w:t xml:space="preserve">, </w:t>
      </w:r>
      <w:r w:rsidRPr="002F4CBD">
        <w:rPr>
          <w:rFonts w:ascii="Calibri" w:hAnsi="Calibri" w:cs="Calibri"/>
          <w:b/>
          <w:color w:val="13576B"/>
          <w:sz w:val="23"/>
          <w:szCs w:val="23"/>
        </w:rPr>
        <w:t xml:space="preserve">počet </w:t>
      </w:r>
      <w:r>
        <w:rPr>
          <w:rFonts w:ascii="Calibri" w:hAnsi="Calibri" w:cs="Calibri"/>
          <w:b/>
          <w:color w:val="13576B"/>
          <w:sz w:val="23"/>
          <w:szCs w:val="23"/>
        </w:rPr>
        <w:t xml:space="preserve">a průměrná výše </w:t>
      </w:r>
      <w:r w:rsidRPr="002F4CBD">
        <w:rPr>
          <w:rFonts w:ascii="Calibri" w:hAnsi="Calibri" w:cs="Calibri"/>
          <w:b/>
          <w:color w:val="13576B"/>
          <w:sz w:val="23"/>
          <w:szCs w:val="23"/>
        </w:rPr>
        <w:t>poskytnutých hypoték v letech 202</w:t>
      </w:r>
      <w:r>
        <w:rPr>
          <w:rFonts w:ascii="Calibri" w:hAnsi="Calibri" w:cs="Calibri"/>
          <w:b/>
          <w:color w:val="13576B"/>
          <w:sz w:val="23"/>
          <w:szCs w:val="23"/>
        </w:rPr>
        <w:t>0</w:t>
      </w:r>
      <w:r w:rsidRPr="002F4CBD">
        <w:rPr>
          <w:rFonts w:ascii="Calibri" w:hAnsi="Calibri" w:cs="Calibri"/>
          <w:b/>
          <w:color w:val="13576B"/>
          <w:sz w:val="23"/>
          <w:szCs w:val="23"/>
        </w:rPr>
        <w:t xml:space="preserve"> až 202</w:t>
      </w:r>
      <w:r>
        <w:rPr>
          <w:rFonts w:ascii="Calibri" w:hAnsi="Calibri" w:cs="Calibri"/>
          <w:b/>
          <w:color w:val="13576B"/>
          <w:sz w:val="23"/>
          <w:szCs w:val="23"/>
        </w:rPr>
        <w:t>5</w:t>
      </w:r>
    </w:p>
    <w:p w14:paraId="56EB097E" w14:textId="77777777" w:rsidR="00BA3140" w:rsidRPr="002F4CBD" w:rsidRDefault="00BA3140" w:rsidP="00BA3140">
      <w:pPr>
        <w:rPr>
          <w:rFonts w:ascii="Calibri" w:hAnsi="Calibri" w:cs="Calibri"/>
          <w:sz w:val="22"/>
          <w:szCs w:val="22"/>
        </w:rPr>
      </w:pPr>
    </w:p>
    <w:p w14:paraId="11D80496" w14:textId="77777777" w:rsidR="00BA3140" w:rsidRPr="002F4CBD" w:rsidRDefault="00BA3140" w:rsidP="00BA3140">
      <w:pPr>
        <w:rPr>
          <w:rFonts w:ascii="Calibri" w:hAnsi="Calibri" w:cs="Calibri"/>
          <w:sz w:val="22"/>
          <w:szCs w:val="22"/>
        </w:rPr>
      </w:pPr>
      <w:r w:rsidRPr="00E77326">
        <w:rPr>
          <w:noProof/>
        </w:rPr>
        <w:drawing>
          <wp:inline distT="0" distB="0" distL="0" distR="0" wp14:anchorId="2B97DD5A" wp14:editId="7C138169">
            <wp:extent cx="6480810" cy="2125345"/>
            <wp:effectExtent l="0" t="0" r="0" b="8255"/>
            <wp:docPr id="39175904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2125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34B1DB" w14:textId="77777777" w:rsidR="00BA3140" w:rsidRPr="00616069" w:rsidRDefault="00BA3140" w:rsidP="00BA3140">
      <w:pPr>
        <w:overflowPunct/>
        <w:autoSpaceDE/>
        <w:adjustRightInd/>
        <w:rPr>
          <w:rFonts w:ascii="Calibri Light" w:hAnsi="Calibri Light" w:cs="Calibri Light"/>
          <w:color w:val="13576B"/>
          <w:sz w:val="20"/>
        </w:rPr>
      </w:pPr>
      <w:r w:rsidRPr="002F4CBD">
        <w:rPr>
          <w:rFonts w:ascii="Calibri Light" w:hAnsi="Calibri Light" w:cs="Calibri Light"/>
          <w:color w:val="13576B"/>
          <w:sz w:val="20"/>
        </w:rPr>
        <w:t xml:space="preserve">Pramen: ČBA </w:t>
      </w:r>
      <w:proofErr w:type="spellStart"/>
      <w:r w:rsidRPr="002F4CBD">
        <w:rPr>
          <w:rFonts w:ascii="Calibri Light" w:hAnsi="Calibri Light" w:cs="Calibri Light"/>
          <w:color w:val="13576B"/>
          <w:sz w:val="20"/>
        </w:rPr>
        <w:t>Hypomonitor</w:t>
      </w:r>
      <w:proofErr w:type="spellEnd"/>
    </w:p>
    <w:p w14:paraId="22ED378A" w14:textId="017879D6" w:rsidR="006C53A0" w:rsidRDefault="006C53A0" w:rsidP="007F41A0">
      <w:pPr>
        <w:rPr>
          <w:rFonts w:ascii="Calibri" w:hAnsi="Calibri" w:cs="Calibri"/>
          <w:b/>
          <w:color w:val="13576B"/>
          <w:sz w:val="23"/>
          <w:szCs w:val="23"/>
        </w:rPr>
      </w:pPr>
    </w:p>
    <w:p w14:paraId="628239FF" w14:textId="77777777" w:rsidR="00BA3140" w:rsidRPr="00616069" w:rsidRDefault="00BA3140" w:rsidP="007F41A0">
      <w:pPr>
        <w:rPr>
          <w:rFonts w:ascii="Calibri" w:hAnsi="Calibri" w:cs="Calibri"/>
          <w:b/>
          <w:color w:val="13576B"/>
          <w:sz w:val="23"/>
          <w:szCs w:val="23"/>
        </w:rPr>
      </w:pPr>
    </w:p>
    <w:p w14:paraId="1117B780" w14:textId="3B9498AC" w:rsidR="007F41A0" w:rsidRPr="00616069" w:rsidRDefault="007F41A0" w:rsidP="007F41A0">
      <w:pPr>
        <w:rPr>
          <w:rFonts w:ascii="Calibri" w:hAnsi="Calibri" w:cs="Calibri"/>
          <w:b/>
          <w:color w:val="13576B"/>
          <w:sz w:val="23"/>
          <w:szCs w:val="23"/>
        </w:rPr>
      </w:pPr>
      <w:r w:rsidRPr="00616069">
        <w:rPr>
          <w:rFonts w:ascii="Calibri" w:hAnsi="Calibri" w:cs="Calibri"/>
          <w:b/>
          <w:color w:val="13576B"/>
          <w:sz w:val="23"/>
          <w:szCs w:val="23"/>
        </w:rPr>
        <w:t>ČBA zveřejňuje souhrnné statistiky za celý bankovní trh</w:t>
      </w:r>
    </w:p>
    <w:p w14:paraId="55E76E82" w14:textId="019F3D7D" w:rsidR="007F41A0" w:rsidRPr="00616069" w:rsidRDefault="007F41A0" w:rsidP="007F41A0">
      <w:pPr>
        <w:rPr>
          <w:rFonts w:ascii="Calibri" w:hAnsi="Calibri" w:cs="Calibri"/>
          <w:b/>
          <w:bCs/>
          <w:sz w:val="22"/>
          <w:szCs w:val="22"/>
        </w:rPr>
      </w:pPr>
      <w:r w:rsidRPr="00616069">
        <w:rPr>
          <w:rFonts w:ascii="Calibri" w:hAnsi="Calibri" w:cs="Calibri"/>
          <w:sz w:val="22"/>
          <w:szCs w:val="22"/>
        </w:rPr>
        <w:t xml:space="preserve">Česká bankovní asociace zveřejňuje ve spolupráci s členskými bankami nové souhrnné statistiky z trhu bydlení. Jde především o objemy a počty nově poskytnutých a refinancovaných hypoték a příslušnou úrokovou sazbu. Tyto statistiky publikuje ČBA v agregované podobě za celý bankovní sektor na pravidelné bázi vždy zhruba v polovině měsíce. Šetření se účastní všechny tuzemské banky a stavební spořitelny poskytující v ČR hypotéky. Data jsou dostupná od ledna roku 2020 v přiloženém souboru na stránkách </w:t>
      </w:r>
      <w:hyperlink r:id="rId37" w:history="1">
        <w:r w:rsidR="004674AA" w:rsidRPr="00616069">
          <w:rPr>
            <w:rStyle w:val="Hyperlink"/>
            <w:rFonts w:ascii="Calibri" w:hAnsi="Calibri" w:cs="Calibri"/>
            <w:b/>
            <w:bCs/>
            <w:sz w:val="22"/>
            <w:szCs w:val="22"/>
          </w:rPr>
          <w:t>www.cbaonline.cz</w:t>
        </w:r>
      </w:hyperlink>
      <w:r w:rsidR="004674AA" w:rsidRPr="00616069">
        <w:rPr>
          <w:rFonts w:ascii="Calibri" w:hAnsi="Calibri" w:cs="Calibri"/>
          <w:b/>
          <w:bCs/>
          <w:sz w:val="22"/>
          <w:szCs w:val="22"/>
        </w:rPr>
        <w:t xml:space="preserve">, </w:t>
      </w:r>
      <w:r w:rsidRPr="00616069">
        <w:rPr>
          <w:rFonts w:ascii="Calibri" w:hAnsi="Calibri" w:cs="Calibri"/>
          <w:sz w:val="22"/>
          <w:szCs w:val="22"/>
        </w:rPr>
        <w:t>kde lze také příslušné statistiky najít zvlášť pro banky a stavební spořitelny. Výše uvedené hodnoty jsou pro sektor jako celek</w:t>
      </w:r>
      <w:r w:rsidR="004674AA" w:rsidRPr="00616069">
        <w:rPr>
          <w:rFonts w:ascii="Calibri" w:hAnsi="Calibri" w:cs="Calibri"/>
          <w:sz w:val="22"/>
          <w:szCs w:val="22"/>
        </w:rPr>
        <w:t>, které lze v jednoduch</w:t>
      </w:r>
      <w:r w:rsidR="004C593C">
        <w:rPr>
          <w:rFonts w:ascii="Calibri" w:hAnsi="Calibri" w:cs="Calibri"/>
          <w:sz w:val="22"/>
          <w:szCs w:val="22"/>
        </w:rPr>
        <w:t>é</w:t>
      </w:r>
      <w:r w:rsidR="004674AA" w:rsidRPr="00616069">
        <w:rPr>
          <w:rFonts w:ascii="Calibri" w:hAnsi="Calibri" w:cs="Calibri"/>
          <w:sz w:val="22"/>
          <w:szCs w:val="22"/>
        </w:rPr>
        <w:t xml:space="preserve"> grafické podobě sledovat také na stránkách </w:t>
      </w:r>
      <w:hyperlink r:id="rId38" w:history="1">
        <w:r w:rsidR="004674AA" w:rsidRPr="00616069">
          <w:rPr>
            <w:rStyle w:val="Hyperlink"/>
            <w:rFonts w:ascii="Calibri" w:hAnsi="Calibri" w:cs="Calibri"/>
            <w:b/>
            <w:bCs/>
            <w:sz w:val="22"/>
            <w:szCs w:val="22"/>
          </w:rPr>
          <w:t>cbamonitor.cz</w:t>
        </w:r>
      </w:hyperlink>
      <w:r w:rsidRPr="00616069">
        <w:rPr>
          <w:rFonts w:ascii="Calibri" w:hAnsi="Calibri" w:cs="Calibri"/>
          <w:sz w:val="22"/>
          <w:szCs w:val="22"/>
        </w:rPr>
        <w:t>.</w:t>
      </w:r>
      <w:r w:rsidRPr="00616069">
        <w:rPr>
          <w:rFonts w:ascii="Calibri" w:hAnsi="Calibri" w:cs="Calibri"/>
          <w:i/>
          <w:iCs/>
          <w:sz w:val="20"/>
        </w:rPr>
        <w:t xml:space="preserve"> </w:t>
      </w:r>
    </w:p>
    <w:p w14:paraId="3F99F9FA" w14:textId="6DA0884C" w:rsidR="007F41A0" w:rsidRPr="00616069" w:rsidRDefault="007F41A0" w:rsidP="003417B4">
      <w:pPr>
        <w:rPr>
          <w:rFonts w:ascii="Calibri" w:hAnsi="Calibri" w:cs="Calibri"/>
          <w:sz w:val="22"/>
          <w:szCs w:val="22"/>
        </w:rPr>
      </w:pPr>
    </w:p>
    <w:p w14:paraId="4AE26056" w14:textId="77777777" w:rsidR="00137560" w:rsidRPr="00616069" w:rsidRDefault="00137560" w:rsidP="00CA3B41">
      <w:pPr>
        <w:rPr>
          <w:rFonts w:ascii="Calibri" w:hAnsi="Calibri" w:cs="Calibri"/>
          <w:sz w:val="22"/>
          <w:szCs w:val="22"/>
        </w:rPr>
      </w:pPr>
    </w:p>
    <w:p w14:paraId="146C6D89" w14:textId="77777777" w:rsidR="0028530F" w:rsidRPr="00B04FE2" w:rsidRDefault="004975FD" w:rsidP="00CA3B41">
      <w:pPr>
        <w:rPr>
          <w:rFonts w:ascii="Calibri" w:hAnsi="Calibri" w:cs="Calibri"/>
          <w:sz w:val="22"/>
          <w:szCs w:val="22"/>
        </w:rPr>
      </w:pPr>
      <w:r w:rsidRPr="00616069">
        <w:rPr>
          <w:rFonts w:ascii="Calibri" w:hAnsi="Calibri" w:cs="Calibri"/>
          <w:i/>
          <w:iCs/>
          <w:noProof/>
          <w:sz w:val="20"/>
        </w:rPr>
        <w:lastRenderedPageBreak/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025DA650" wp14:editId="15515F89">
                <wp:simplePos x="0" y="0"/>
                <wp:positionH relativeFrom="margin">
                  <wp:align>center</wp:align>
                </wp:positionH>
                <wp:positionV relativeFrom="paragraph">
                  <wp:posOffset>282527</wp:posOffset>
                </wp:positionV>
                <wp:extent cx="6574790" cy="4675505"/>
                <wp:effectExtent l="0" t="0" r="0" b="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4790" cy="4675505"/>
                        </a:xfrm>
                        <a:prstGeom prst="rect">
                          <a:avLst/>
                        </a:prstGeom>
                        <a:solidFill>
                          <a:srgbClr val="13576B">
                            <a:alpha val="83922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3681E4" w14:textId="20B4FCBA" w:rsidR="0001227F" w:rsidRPr="00616069" w:rsidRDefault="0001227F" w:rsidP="0001227F">
                            <w:pPr>
                              <w:spacing w:line="276" w:lineRule="auto"/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616069"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Metodika ČBA Hypomonitoru</w:t>
                            </w:r>
                          </w:p>
                          <w:p w14:paraId="7401467C" w14:textId="77777777" w:rsidR="00414AD4" w:rsidRPr="00616069" w:rsidRDefault="00414AD4" w:rsidP="0001227F">
                            <w:pPr>
                              <w:spacing w:line="276" w:lineRule="auto"/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</w:pPr>
                          </w:p>
                          <w:p w14:paraId="1021EABD" w14:textId="16015784" w:rsidR="0001227F" w:rsidRPr="00616069" w:rsidRDefault="00414AD4" w:rsidP="0001227F">
                            <w:pPr>
                              <w:spacing w:line="276" w:lineRule="auto"/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</w:pPr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 xml:space="preserve">ČBA </w:t>
                            </w:r>
                            <w:proofErr w:type="spellStart"/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>Hypomonitor</w:t>
                            </w:r>
                            <w:proofErr w:type="spellEnd"/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 xml:space="preserve"> </w:t>
                            </w:r>
                            <w:r w:rsidR="00FB47DE" w:rsidRPr="00616069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 xml:space="preserve">rozděluje poskytnuté hypoteční úvěry </w:t>
                            </w:r>
                            <w:r w:rsidR="00810DCF" w:rsidRPr="00616069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>bank a stavebních spořitelen</w:t>
                            </w:r>
                            <w:r w:rsidR="00B426A2" w:rsidRPr="00616069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 xml:space="preserve"> domácnostem</w:t>
                            </w:r>
                            <w:r w:rsidR="00810DCF" w:rsidRPr="00616069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 xml:space="preserve"> </w:t>
                            </w:r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>do několika kategorií tak, aby byly rozlišeny nové úvěry od refinancovaných či interních refixací</w:t>
                            </w:r>
                            <w:r w:rsidR="000B70C8" w:rsidRPr="00616069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>.</w:t>
                            </w:r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 xml:space="preserve"> Nové úvěry jsou </w:t>
                            </w:r>
                            <w:r w:rsidR="00581CC1" w:rsidRPr="00616069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>pak</w:t>
                            </w:r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 xml:space="preserve"> vykazovány v</w:t>
                            </w:r>
                            <w:r w:rsidR="00581CC1" w:rsidRPr="00616069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> </w:t>
                            </w:r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>kategoriích</w:t>
                            </w:r>
                            <w:r w:rsidR="00581CC1" w:rsidRPr="00616069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 xml:space="preserve"> dle účelu úvěru</w:t>
                            </w:r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>:</w:t>
                            </w:r>
                          </w:p>
                          <w:p w14:paraId="58E707E8" w14:textId="77777777" w:rsidR="0001227F" w:rsidRPr="00616069" w:rsidRDefault="0001227F" w:rsidP="0001227F">
                            <w:pPr>
                              <w:spacing w:line="276" w:lineRule="auto"/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</w:pPr>
                          </w:p>
                          <w:p w14:paraId="3227247A" w14:textId="11714118" w:rsidR="0001227F" w:rsidRPr="00616069" w:rsidRDefault="00E818C3" w:rsidP="00E818C3">
                            <w:pPr>
                              <w:spacing w:line="276" w:lineRule="auto"/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</w:rPr>
                            </w:pPr>
                            <w:r w:rsidRPr="00616069"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</w:rPr>
                              <w:t xml:space="preserve">1. </w:t>
                            </w:r>
                            <w:r w:rsidR="0001227F" w:rsidRPr="00616069"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</w:rPr>
                              <w:t>Nové úvěry</w:t>
                            </w:r>
                          </w:p>
                          <w:p w14:paraId="22AF3257" w14:textId="77777777" w:rsidR="0001227F" w:rsidRPr="00616069" w:rsidRDefault="0001227F" w:rsidP="0001227F">
                            <w:pPr>
                              <w:spacing w:line="276" w:lineRule="auto"/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</w:pPr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Jsou úvěry, jejichž celý objem poprvé vstupuje do ekonomiky. Do této kategorie nepatří konsolidace úvěrů anebo refinancování úvěrů. Dělí se do tří kategorií:</w:t>
                            </w:r>
                          </w:p>
                          <w:p w14:paraId="362AFB2A" w14:textId="77777777" w:rsidR="0001227F" w:rsidRPr="00616069" w:rsidRDefault="0001227F" w:rsidP="00E818C3">
                            <w:pPr>
                              <w:pStyle w:val="ListParagraph"/>
                              <w:numPr>
                                <w:ilvl w:val="0"/>
                                <w:numId w:val="30"/>
                              </w:numPr>
                              <w:spacing w:line="276" w:lineRule="auto"/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</w:pPr>
                            <w:r w:rsidRPr="00616069"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</w:rPr>
                              <w:t>Nákup nemovitosti</w:t>
                            </w:r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 </w:t>
                            </w:r>
                          </w:p>
                          <w:p w14:paraId="29F23FA5" w14:textId="6EE96893" w:rsidR="0001227F" w:rsidRPr="00616069" w:rsidRDefault="0001227F" w:rsidP="00E818C3">
                            <w:pPr>
                              <w:pStyle w:val="ListParagraph"/>
                              <w:numPr>
                                <w:ilvl w:val="0"/>
                                <w:numId w:val="30"/>
                              </w:numPr>
                              <w:spacing w:line="276" w:lineRule="auto"/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</w:pPr>
                            <w:r w:rsidRPr="00616069"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</w:rPr>
                              <w:t>Výstavba nemovitosti</w:t>
                            </w:r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 – včetně rekonstrukce nemovitosti </w:t>
                            </w:r>
                          </w:p>
                          <w:p w14:paraId="4D80580F" w14:textId="11E0715F" w:rsidR="0001227F" w:rsidRPr="00616069" w:rsidRDefault="0001227F" w:rsidP="00E818C3">
                            <w:pPr>
                              <w:pStyle w:val="ListParagraph"/>
                              <w:numPr>
                                <w:ilvl w:val="0"/>
                                <w:numId w:val="30"/>
                              </w:numPr>
                              <w:spacing w:line="276" w:lineRule="auto"/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</w:pPr>
                            <w:r w:rsidRPr="00616069"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</w:rPr>
                              <w:t>Ostatní nová ujednání</w:t>
                            </w:r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 – pouze nové úvěry, které nijak nesouvisí s koupí nebo výstavbou nemovitosti, např. tzv. americké hypotéky, vypořádání SJM, zpětná úhrada kupní ceny, vypořádání dědického podílu, vypořádání družstevního </w:t>
                            </w:r>
                            <w:proofErr w:type="gramStart"/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podílu,</w:t>
                            </w:r>
                            <w:proofErr w:type="gramEnd"/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 atp.</w:t>
                            </w:r>
                          </w:p>
                          <w:p w14:paraId="4FBF1D5A" w14:textId="77777777" w:rsidR="0001227F" w:rsidRPr="00616069" w:rsidRDefault="0001227F" w:rsidP="0001227F">
                            <w:pPr>
                              <w:spacing w:line="276" w:lineRule="auto"/>
                              <w:ind w:left="708"/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</w:pPr>
                          </w:p>
                          <w:p w14:paraId="71D5E0BB" w14:textId="7D112C27" w:rsidR="0001227F" w:rsidRPr="00616069" w:rsidRDefault="00E818C3" w:rsidP="0001227F">
                            <w:pPr>
                              <w:spacing w:line="276" w:lineRule="auto"/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</w:rPr>
                            </w:pPr>
                            <w:r w:rsidRPr="00616069"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</w:rPr>
                              <w:t xml:space="preserve">2. </w:t>
                            </w:r>
                            <w:r w:rsidR="0001227F" w:rsidRPr="00616069"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</w:rPr>
                              <w:t>Refinancované úvěry z jiné finanční instituce</w:t>
                            </w:r>
                          </w:p>
                          <w:p w14:paraId="351B5A60" w14:textId="0B5DCBB6" w:rsidR="0001227F" w:rsidRPr="00616069" w:rsidRDefault="0001227F" w:rsidP="0001227F">
                            <w:pPr>
                              <w:spacing w:line="276" w:lineRule="auto"/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</w:pPr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Jsou úvěry, které vznikly refinancováním jednoho nebo více úvěrů z jiné finanční instituce než </w:t>
                            </w:r>
                            <w:r w:rsidR="00973197"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té</w:t>
                            </w:r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 vykazující. Bez ohledu na výši refinancované částky a bez ohledu na výši případného navýšení se celková výše nově vzniklého úvěru vykazuje do této kategorie. </w:t>
                            </w:r>
                          </w:p>
                          <w:p w14:paraId="7566D2D6" w14:textId="77777777" w:rsidR="0001227F" w:rsidRPr="00616069" w:rsidRDefault="0001227F" w:rsidP="0001227F">
                            <w:pPr>
                              <w:spacing w:line="276" w:lineRule="auto"/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</w:pPr>
                          </w:p>
                          <w:p w14:paraId="04B36444" w14:textId="4F20B25F" w:rsidR="0001227F" w:rsidRPr="00616069" w:rsidRDefault="00E818C3" w:rsidP="0001227F">
                            <w:pPr>
                              <w:spacing w:line="276" w:lineRule="auto"/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</w:rPr>
                            </w:pPr>
                            <w:r w:rsidRPr="00616069"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</w:rPr>
                              <w:t xml:space="preserve">3. </w:t>
                            </w:r>
                            <w:r w:rsidR="0001227F" w:rsidRPr="00616069"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</w:rPr>
                              <w:t>Navýšené anebo interně refinancované úvěry</w:t>
                            </w:r>
                          </w:p>
                          <w:p w14:paraId="711A3661" w14:textId="2A271010" w:rsidR="0001227F" w:rsidRPr="00616069" w:rsidRDefault="0001227F" w:rsidP="0001227F">
                            <w:pPr>
                              <w:spacing w:line="276" w:lineRule="auto"/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</w:pPr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Jsou úvěry, které již byly </w:t>
                            </w:r>
                            <w:r w:rsidR="00647A7A"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v </w:t>
                            </w:r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předchozí</w:t>
                            </w:r>
                            <w:r w:rsidR="0079039B"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m</w:t>
                            </w:r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 vykazované</w:t>
                            </w:r>
                            <w:r w:rsidR="0079039B"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m</w:t>
                            </w:r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 období součástí portfolia vykazujícího subjektu, a ve vykazovaném období u nich došlo k některé z následujících změn:</w:t>
                            </w:r>
                          </w:p>
                          <w:p w14:paraId="4A6B00C0" w14:textId="77777777" w:rsidR="00E818C3" w:rsidRPr="00616069" w:rsidRDefault="0001227F" w:rsidP="0001227F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overflowPunct/>
                              <w:autoSpaceDE/>
                              <w:autoSpaceDN/>
                              <w:adjustRightInd/>
                              <w:spacing w:line="276" w:lineRule="auto"/>
                              <w:jc w:val="left"/>
                              <w:textAlignment w:val="auto"/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</w:pPr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navýšení sjednané částky </w:t>
                            </w:r>
                          </w:p>
                          <w:p w14:paraId="44682079" w14:textId="72C23671" w:rsidR="0001227F" w:rsidRPr="00616069" w:rsidRDefault="0001227F" w:rsidP="0001227F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overflowPunct/>
                              <w:autoSpaceDE/>
                              <w:autoSpaceDN/>
                              <w:adjustRightInd/>
                              <w:spacing w:line="276" w:lineRule="auto"/>
                              <w:jc w:val="left"/>
                              <w:textAlignment w:val="auto"/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</w:pPr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došlo k takovým změnám, že původní úvěr byl v rámci vykazujícího subjektu refinancován/převeden na nový úvěr. </w:t>
                            </w:r>
                            <w:r w:rsidR="00E74228"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J</w:t>
                            </w:r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de</w:t>
                            </w:r>
                            <w:r w:rsidR="00CD28EC"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 tak o</w:t>
                            </w:r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 skutečně </w:t>
                            </w:r>
                            <w:r w:rsidR="00E74228"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novou smlouvu</w:t>
                            </w:r>
                            <w:r w:rsidR="00132EE9"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, nikoli např. jen </w:t>
                            </w:r>
                            <w:r w:rsidR="007B79F6"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nové ujednání v rámci refi</w:t>
                            </w:r>
                            <w:r w:rsidR="000F02C1"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xace </w:t>
                            </w:r>
                            <w:r w:rsidR="00132EE9"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stávající smlouvy. Proto je objem takových úvěru ve statistice ČBA nižší oproti „ostatním novým ujednáním“ ve statistice České </w:t>
                            </w:r>
                            <w:r w:rsidR="002D3F94"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n</w:t>
                            </w:r>
                            <w:r w:rsidR="00132EE9"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árodní </w:t>
                            </w:r>
                            <w:r w:rsidR="002D3F94"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b</w:t>
                            </w:r>
                            <w:r w:rsidR="00132EE9"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anky.</w:t>
                            </w:r>
                          </w:p>
                          <w:p w14:paraId="1FAF8B9B" w14:textId="4C474A58" w:rsidR="006F08E1" w:rsidRPr="00616069" w:rsidRDefault="006F08E1" w:rsidP="006F08E1">
                            <w:pPr>
                              <w:overflowPunct/>
                              <w:autoSpaceDE/>
                              <w:autoSpaceDN/>
                              <w:adjustRightInd/>
                              <w:spacing w:line="276" w:lineRule="auto"/>
                              <w:jc w:val="left"/>
                              <w:textAlignment w:val="auto"/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</w:pPr>
                          </w:p>
                          <w:p w14:paraId="65FC0189" w14:textId="1B58C64B" w:rsidR="006F08E1" w:rsidRPr="00616069" w:rsidRDefault="001F49EA" w:rsidP="006F08E1">
                            <w:pPr>
                              <w:overflowPunct/>
                              <w:autoSpaceDE/>
                              <w:autoSpaceDN/>
                              <w:adjustRightInd/>
                              <w:spacing w:line="276" w:lineRule="auto"/>
                              <w:jc w:val="left"/>
                              <w:textAlignment w:val="auto"/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</w:pPr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Data pro ČBA </w:t>
                            </w:r>
                            <w:proofErr w:type="spellStart"/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Hypomonitor</w:t>
                            </w:r>
                            <w:proofErr w:type="spellEnd"/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 poskytují následující banky a stavební spořitelny: Air Bank, Česká spořitelna, ČSOB, ČSOB Stavební spořitelna, Fio banka, Hypoteční banka, Komerční banka, mBank, Modrá pyramida, MONETA Money Bank, MONETA Stavební spořitelna, Oberbank, </w:t>
                            </w:r>
                            <w:r w:rsidR="003E1AAB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Partners Banka, </w:t>
                            </w:r>
                            <w:proofErr w:type="spellStart"/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Raiffeisen</w:t>
                            </w:r>
                            <w:proofErr w:type="spellEnd"/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 stavební spořitelna, Raiffeisenbank, Stavební spořitelna České spořitelny, UniCredit Bank.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5DA650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0;margin-top:22.25pt;width:517.7pt;height:368.15pt;z-index:25166848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" fillcolor="#13576b" stroked="f">
                <v:fill opacity="54998f"/>
                <v:textbox>
                  <w:txbxContent>
                    <w:p w14:paraId="523681E4" w14:textId="20B4FCBA" w:rsidR="0001227F" w:rsidRPr="00616069" w:rsidRDefault="0001227F" w:rsidP="0001227F">
                      <w:pPr>
                        <w:spacing w:line="276" w:lineRule="auto"/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</w:pPr>
                      <w:r w:rsidRPr="00616069"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 xml:space="preserve">Metodika ČBA </w:t>
                      </w:r>
                      <w:proofErr w:type="spellStart"/>
                      <w:r w:rsidRPr="00616069"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Hypomonitoru</w:t>
                      </w:r>
                      <w:proofErr w:type="spellEnd"/>
                    </w:p>
                    <w:p w14:paraId="7401467C" w14:textId="77777777" w:rsidR="00414AD4" w:rsidRPr="00616069" w:rsidRDefault="00414AD4" w:rsidP="0001227F">
                      <w:pPr>
                        <w:spacing w:line="276" w:lineRule="auto"/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</w:pPr>
                    </w:p>
                    <w:p w14:paraId="1021EABD" w14:textId="16015784" w:rsidR="0001227F" w:rsidRPr="00616069" w:rsidRDefault="00414AD4" w:rsidP="0001227F">
                      <w:pPr>
                        <w:spacing w:line="276" w:lineRule="auto"/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</w:pPr>
                      <w:r w:rsidRPr="00616069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 xml:space="preserve">ČBA </w:t>
                      </w:r>
                      <w:proofErr w:type="spellStart"/>
                      <w:r w:rsidRPr="00616069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>Hypomonitor</w:t>
                      </w:r>
                      <w:proofErr w:type="spellEnd"/>
                      <w:r w:rsidRPr="00616069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 xml:space="preserve"> </w:t>
                      </w:r>
                      <w:r w:rsidR="00FB47DE" w:rsidRPr="00616069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 xml:space="preserve">rozděluje poskytnuté hypoteční úvěry </w:t>
                      </w:r>
                      <w:r w:rsidR="00810DCF" w:rsidRPr="00616069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>bank a stavebních spořitelen</w:t>
                      </w:r>
                      <w:r w:rsidR="00B426A2" w:rsidRPr="00616069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 xml:space="preserve"> domácnostem</w:t>
                      </w:r>
                      <w:r w:rsidR="00810DCF" w:rsidRPr="00616069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 xml:space="preserve"> </w:t>
                      </w:r>
                      <w:r w:rsidRPr="00616069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>do několika kategorií tak, aby byly rozlišeny nové úvěry od refinancovaných či interních refixací</w:t>
                      </w:r>
                      <w:r w:rsidR="000B70C8" w:rsidRPr="00616069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>.</w:t>
                      </w:r>
                      <w:r w:rsidRPr="00616069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 xml:space="preserve"> Nové úvěry jsou </w:t>
                      </w:r>
                      <w:r w:rsidR="00581CC1" w:rsidRPr="00616069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>pak</w:t>
                      </w:r>
                      <w:r w:rsidRPr="00616069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 xml:space="preserve"> vykazovány v</w:t>
                      </w:r>
                      <w:r w:rsidR="00581CC1" w:rsidRPr="00616069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> </w:t>
                      </w:r>
                      <w:r w:rsidRPr="00616069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>kategoriích</w:t>
                      </w:r>
                      <w:r w:rsidR="00581CC1" w:rsidRPr="00616069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 xml:space="preserve"> dle účelu úvěru</w:t>
                      </w:r>
                      <w:r w:rsidRPr="00616069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>:</w:t>
                      </w:r>
                    </w:p>
                    <w:p w14:paraId="58E707E8" w14:textId="77777777" w:rsidR="0001227F" w:rsidRPr="00616069" w:rsidRDefault="0001227F" w:rsidP="0001227F">
                      <w:pPr>
                        <w:spacing w:line="276" w:lineRule="auto"/>
                        <w:rPr>
                          <w:rFonts w:ascii="Calibri" w:hAnsi="Calibri" w:cs="Calibri"/>
                          <w:color w:val="FFFFFF" w:themeColor="background1"/>
                        </w:rPr>
                      </w:pPr>
                    </w:p>
                    <w:p w14:paraId="3227247A" w14:textId="11714118" w:rsidR="0001227F" w:rsidRPr="00616069" w:rsidRDefault="00E818C3" w:rsidP="00E818C3">
                      <w:pPr>
                        <w:spacing w:line="276" w:lineRule="auto"/>
                        <w:rPr>
                          <w:rFonts w:ascii="Calibri" w:hAnsi="Calibri" w:cs="Calibri"/>
                          <w:b/>
                          <w:color w:val="FFFFFF" w:themeColor="background1"/>
                        </w:rPr>
                      </w:pPr>
                      <w:r w:rsidRPr="00616069">
                        <w:rPr>
                          <w:rFonts w:ascii="Calibri" w:hAnsi="Calibri" w:cs="Calibri"/>
                          <w:b/>
                          <w:color w:val="FFFFFF" w:themeColor="background1"/>
                        </w:rPr>
                        <w:t xml:space="preserve">1. </w:t>
                      </w:r>
                      <w:r w:rsidR="0001227F" w:rsidRPr="00616069">
                        <w:rPr>
                          <w:rFonts w:ascii="Calibri" w:hAnsi="Calibri" w:cs="Calibri"/>
                          <w:b/>
                          <w:color w:val="FFFFFF" w:themeColor="background1"/>
                        </w:rPr>
                        <w:t>Nové úvěry</w:t>
                      </w:r>
                    </w:p>
                    <w:p w14:paraId="22AF3257" w14:textId="77777777" w:rsidR="0001227F" w:rsidRPr="00616069" w:rsidRDefault="0001227F" w:rsidP="0001227F">
                      <w:pPr>
                        <w:spacing w:line="276" w:lineRule="auto"/>
                        <w:rPr>
                          <w:rFonts w:ascii="Calibri" w:hAnsi="Calibri" w:cs="Calibri"/>
                          <w:color w:val="FFFFFF" w:themeColor="background1"/>
                        </w:rPr>
                      </w:pPr>
                      <w:r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>Jsou úvěry, jejichž celý objem poprvé vstupuje do ekonomiky. Do této kategorie nepatří konsolidace úvěrů anebo refinancování úvěrů. Dělí se do tří kategorií:</w:t>
                      </w:r>
                    </w:p>
                    <w:p w14:paraId="362AFB2A" w14:textId="77777777" w:rsidR="0001227F" w:rsidRPr="00616069" w:rsidRDefault="0001227F" w:rsidP="00E818C3">
                      <w:pPr>
                        <w:pStyle w:val="Odstavecseseznamem"/>
                        <w:numPr>
                          <w:ilvl w:val="0"/>
                          <w:numId w:val="30"/>
                        </w:numPr>
                        <w:spacing w:line="276" w:lineRule="auto"/>
                        <w:rPr>
                          <w:rFonts w:ascii="Calibri" w:hAnsi="Calibri" w:cs="Calibri"/>
                          <w:color w:val="FFFFFF" w:themeColor="background1"/>
                        </w:rPr>
                      </w:pPr>
                      <w:r w:rsidRPr="00616069">
                        <w:rPr>
                          <w:rFonts w:ascii="Calibri" w:hAnsi="Calibri" w:cs="Calibri"/>
                          <w:b/>
                          <w:color w:val="FFFFFF" w:themeColor="background1"/>
                        </w:rPr>
                        <w:t>Nákup nemovitosti</w:t>
                      </w:r>
                      <w:r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 xml:space="preserve"> </w:t>
                      </w:r>
                    </w:p>
                    <w:p w14:paraId="29F23FA5" w14:textId="6EE96893" w:rsidR="0001227F" w:rsidRPr="00616069" w:rsidRDefault="0001227F" w:rsidP="00E818C3">
                      <w:pPr>
                        <w:pStyle w:val="Odstavecseseznamem"/>
                        <w:numPr>
                          <w:ilvl w:val="0"/>
                          <w:numId w:val="30"/>
                        </w:numPr>
                        <w:spacing w:line="276" w:lineRule="auto"/>
                        <w:rPr>
                          <w:rFonts w:ascii="Calibri" w:hAnsi="Calibri" w:cs="Calibri"/>
                          <w:color w:val="FFFFFF" w:themeColor="background1"/>
                        </w:rPr>
                      </w:pPr>
                      <w:r w:rsidRPr="00616069">
                        <w:rPr>
                          <w:rFonts w:ascii="Calibri" w:hAnsi="Calibri" w:cs="Calibri"/>
                          <w:b/>
                          <w:color w:val="FFFFFF" w:themeColor="background1"/>
                        </w:rPr>
                        <w:t>Výstavba nemovitosti</w:t>
                      </w:r>
                      <w:r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 xml:space="preserve"> – včetně rekonstrukce nemovitosti </w:t>
                      </w:r>
                    </w:p>
                    <w:p w14:paraId="4D80580F" w14:textId="11E0715F" w:rsidR="0001227F" w:rsidRPr="00616069" w:rsidRDefault="0001227F" w:rsidP="00E818C3">
                      <w:pPr>
                        <w:pStyle w:val="Odstavecseseznamem"/>
                        <w:numPr>
                          <w:ilvl w:val="0"/>
                          <w:numId w:val="30"/>
                        </w:numPr>
                        <w:spacing w:line="276" w:lineRule="auto"/>
                        <w:rPr>
                          <w:rFonts w:ascii="Calibri" w:hAnsi="Calibri" w:cs="Calibri"/>
                          <w:color w:val="FFFFFF" w:themeColor="background1"/>
                        </w:rPr>
                      </w:pPr>
                      <w:r w:rsidRPr="00616069">
                        <w:rPr>
                          <w:rFonts w:ascii="Calibri" w:hAnsi="Calibri" w:cs="Calibri"/>
                          <w:b/>
                          <w:color w:val="FFFFFF" w:themeColor="background1"/>
                        </w:rPr>
                        <w:t>Ostatní nová ujednání</w:t>
                      </w:r>
                      <w:r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 xml:space="preserve"> – pouze nové úvěry, které nijak nesouvisí s koupí nebo výstavbou nemovitosti, např. tzv. americké hypotéky, vypořádání SJM, zpětná úhrada kupní ceny, vypořádání dědického podílu, vypořádání družstevního </w:t>
                      </w:r>
                      <w:proofErr w:type="gramStart"/>
                      <w:r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>podílu,</w:t>
                      </w:r>
                      <w:proofErr w:type="gramEnd"/>
                      <w:r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 xml:space="preserve"> atp.</w:t>
                      </w:r>
                    </w:p>
                    <w:p w14:paraId="4FBF1D5A" w14:textId="77777777" w:rsidR="0001227F" w:rsidRPr="00616069" w:rsidRDefault="0001227F" w:rsidP="0001227F">
                      <w:pPr>
                        <w:spacing w:line="276" w:lineRule="auto"/>
                        <w:ind w:left="708"/>
                        <w:rPr>
                          <w:rFonts w:ascii="Calibri" w:hAnsi="Calibri" w:cs="Calibri"/>
                          <w:color w:val="FFFFFF" w:themeColor="background1"/>
                        </w:rPr>
                      </w:pPr>
                    </w:p>
                    <w:p w14:paraId="71D5E0BB" w14:textId="7D112C27" w:rsidR="0001227F" w:rsidRPr="00616069" w:rsidRDefault="00E818C3" w:rsidP="0001227F">
                      <w:pPr>
                        <w:spacing w:line="276" w:lineRule="auto"/>
                        <w:rPr>
                          <w:rFonts w:ascii="Calibri" w:hAnsi="Calibri" w:cs="Calibri"/>
                          <w:b/>
                          <w:color w:val="FFFFFF" w:themeColor="background1"/>
                        </w:rPr>
                      </w:pPr>
                      <w:r w:rsidRPr="00616069">
                        <w:rPr>
                          <w:rFonts w:ascii="Calibri" w:hAnsi="Calibri" w:cs="Calibri"/>
                          <w:b/>
                          <w:color w:val="FFFFFF" w:themeColor="background1"/>
                        </w:rPr>
                        <w:t xml:space="preserve">2. </w:t>
                      </w:r>
                      <w:r w:rsidR="0001227F" w:rsidRPr="00616069">
                        <w:rPr>
                          <w:rFonts w:ascii="Calibri" w:hAnsi="Calibri" w:cs="Calibri"/>
                          <w:b/>
                          <w:color w:val="FFFFFF" w:themeColor="background1"/>
                        </w:rPr>
                        <w:t>Refinancované úvěry z jiné finanční instituce</w:t>
                      </w:r>
                    </w:p>
                    <w:p w14:paraId="351B5A60" w14:textId="0B5DCBB6" w:rsidR="0001227F" w:rsidRPr="00616069" w:rsidRDefault="0001227F" w:rsidP="0001227F">
                      <w:pPr>
                        <w:spacing w:line="276" w:lineRule="auto"/>
                        <w:rPr>
                          <w:rFonts w:ascii="Calibri" w:hAnsi="Calibri" w:cs="Calibri"/>
                          <w:color w:val="FFFFFF" w:themeColor="background1"/>
                        </w:rPr>
                      </w:pPr>
                      <w:r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 xml:space="preserve">Jsou úvěry, které vznikly refinancováním jednoho nebo více úvěrů z jiné finanční instituce než </w:t>
                      </w:r>
                      <w:r w:rsidR="00973197"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>té</w:t>
                      </w:r>
                      <w:r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 xml:space="preserve"> vykazující. Bez ohledu na výši refinancované částky a bez ohledu na výši případného navýšení se celková výše nově vzniklého úvěru vykazuje do této kategorie. </w:t>
                      </w:r>
                    </w:p>
                    <w:p w14:paraId="7566D2D6" w14:textId="77777777" w:rsidR="0001227F" w:rsidRPr="00616069" w:rsidRDefault="0001227F" w:rsidP="0001227F">
                      <w:pPr>
                        <w:spacing w:line="276" w:lineRule="auto"/>
                        <w:rPr>
                          <w:rFonts w:ascii="Calibri" w:hAnsi="Calibri" w:cs="Calibri"/>
                          <w:color w:val="FFFFFF" w:themeColor="background1"/>
                        </w:rPr>
                      </w:pPr>
                    </w:p>
                    <w:p w14:paraId="04B36444" w14:textId="4F20B25F" w:rsidR="0001227F" w:rsidRPr="00616069" w:rsidRDefault="00E818C3" w:rsidP="0001227F">
                      <w:pPr>
                        <w:spacing w:line="276" w:lineRule="auto"/>
                        <w:rPr>
                          <w:rFonts w:ascii="Calibri" w:hAnsi="Calibri" w:cs="Calibri"/>
                          <w:b/>
                          <w:color w:val="FFFFFF" w:themeColor="background1"/>
                        </w:rPr>
                      </w:pPr>
                      <w:r w:rsidRPr="00616069">
                        <w:rPr>
                          <w:rFonts w:ascii="Calibri" w:hAnsi="Calibri" w:cs="Calibri"/>
                          <w:b/>
                          <w:color w:val="FFFFFF" w:themeColor="background1"/>
                        </w:rPr>
                        <w:t xml:space="preserve">3. </w:t>
                      </w:r>
                      <w:r w:rsidR="0001227F" w:rsidRPr="00616069">
                        <w:rPr>
                          <w:rFonts w:ascii="Calibri" w:hAnsi="Calibri" w:cs="Calibri"/>
                          <w:b/>
                          <w:color w:val="FFFFFF" w:themeColor="background1"/>
                        </w:rPr>
                        <w:t>Navýšené anebo interně refinancované úvěry</w:t>
                      </w:r>
                    </w:p>
                    <w:p w14:paraId="711A3661" w14:textId="2A271010" w:rsidR="0001227F" w:rsidRPr="00616069" w:rsidRDefault="0001227F" w:rsidP="0001227F">
                      <w:pPr>
                        <w:spacing w:line="276" w:lineRule="auto"/>
                        <w:rPr>
                          <w:rFonts w:ascii="Calibri" w:hAnsi="Calibri" w:cs="Calibri"/>
                          <w:color w:val="FFFFFF" w:themeColor="background1"/>
                        </w:rPr>
                      </w:pPr>
                      <w:r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 xml:space="preserve">Jsou úvěry, které již byly </w:t>
                      </w:r>
                      <w:r w:rsidR="00647A7A"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 xml:space="preserve">v </w:t>
                      </w:r>
                      <w:r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>předchozí</w:t>
                      </w:r>
                      <w:r w:rsidR="0079039B"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>m</w:t>
                      </w:r>
                      <w:r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 xml:space="preserve"> vykazované</w:t>
                      </w:r>
                      <w:r w:rsidR="0079039B"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>m</w:t>
                      </w:r>
                      <w:r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 xml:space="preserve"> období součástí portfolia vykazujícího subjektu, a ve vykazovaném období u nich došlo k některé z následujících změn:</w:t>
                      </w:r>
                    </w:p>
                    <w:p w14:paraId="4A6B00C0" w14:textId="77777777" w:rsidR="00E818C3" w:rsidRPr="00616069" w:rsidRDefault="0001227F" w:rsidP="0001227F">
                      <w:pPr>
                        <w:pStyle w:val="Odstavecseseznamem"/>
                        <w:numPr>
                          <w:ilvl w:val="0"/>
                          <w:numId w:val="28"/>
                        </w:numPr>
                        <w:overflowPunct/>
                        <w:autoSpaceDE/>
                        <w:autoSpaceDN/>
                        <w:adjustRightInd/>
                        <w:spacing w:line="276" w:lineRule="auto"/>
                        <w:jc w:val="left"/>
                        <w:textAlignment w:val="auto"/>
                        <w:rPr>
                          <w:rFonts w:ascii="Calibri" w:hAnsi="Calibri" w:cs="Calibri"/>
                          <w:color w:val="FFFFFF" w:themeColor="background1"/>
                        </w:rPr>
                      </w:pPr>
                      <w:r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 xml:space="preserve">navýšení sjednané částky </w:t>
                      </w:r>
                    </w:p>
                    <w:p w14:paraId="44682079" w14:textId="72C23671" w:rsidR="0001227F" w:rsidRPr="00616069" w:rsidRDefault="0001227F" w:rsidP="0001227F">
                      <w:pPr>
                        <w:pStyle w:val="Odstavecseseznamem"/>
                        <w:numPr>
                          <w:ilvl w:val="0"/>
                          <w:numId w:val="28"/>
                        </w:numPr>
                        <w:overflowPunct/>
                        <w:autoSpaceDE/>
                        <w:autoSpaceDN/>
                        <w:adjustRightInd/>
                        <w:spacing w:line="276" w:lineRule="auto"/>
                        <w:jc w:val="left"/>
                        <w:textAlignment w:val="auto"/>
                        <w:rPr>
                          <w:rFonts w:ascii="Calibri" w:hAnsi="Calibri" w:cs="Calibri"/>
                          <w:color w:val="FFFFFF" w:themeColor="background1"/>
                        </w:rPr>
                      </w:pPr>
                      <w:r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 xml:space="preserve">došlo k takovým změnám, že původní úvěr byl v rámci vykazujícího subjektu refinancován/převeden na nový úvěr. </w:t>
                      </w:r>
                      <w:r w:rsidR="00E74228"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>J</w:t>
                      </w:r>
                      <w:r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>de</w:t>
                      </w:r>
                      <w:r w:rsidR="00CD28EC"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 xml:space="preserve"> tak o</w:t>
                      </w:r>
                      <w:r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 xml:space="preserve"> skutečně </w:t>
                      </w:r>
                      <w:r w:rsidR="00E74228"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>novou smlouvu</w:t>
                      </w:r>
                      <w:r w:rsidR="00132EE9"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 xml:space="preserve">, nikoli např. jen </w:t>
                      </w:r>
                      <w:r w:rsidR="007B79F6"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>nové ujednání v rámci refi</w:t>
                      </w:r>
                      <w:r w:rsidR="000F02C1"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 xml:space="preserve">xace </w:t>
                      </w:r>
                      <w:r w:rsidR="00132EE9"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 xml:space="preserve">stávající smlouvy. Proto je objem takových úvěru ve statistice ČBA nižší oproti „ostatním novým ujednáním“ ve statistice České </w:t>
                      </w:r>
                      <w:r w:rsidR="002D3F94"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>n</w:t>
                      </w:r>
                      <w:r w:rsidR="00132EE9"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 xml:space="preserve">árodní </w:t>
                      </w:r>
                      <w:r w:rsidR="002D3F94"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>b</w:t>
                      </w:r>
                      <w:r w:rsidR="00132EE9"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>anky.</w:t>
                      </w:r>
                    </w:p>
                    <w:p w14:paraId="1FAF8B9B" w14:textId="4C474A58" w:rsidR="006F08E1" w:rsidRPr="00616069" w:rsidRDefault="006F08E1" w:rsidP="006F08E1">
                      <w:pPr>
                        <w:overflowPunct/>
                        <w:autoSpaceDE/>
                        <w:autoSpaceDN/>
                        <w:adjustRightInd/>
                        <w:spacing w:line="276" w:lineRule="auto"/>
                        <w:jc w:val="left"/>
                        <w:textAlignment w:val="auto"/>
                        <w:rPr>
                          <w:rFonts w:ascii="Calibri" w:hAnsi="Calibri" w:cs="Calibri"/>
                          <w:color w:val="FFFFFF" w:themeColor="background1"/>
                        </w:rPr>
                      </w:pPr>
                    </w:p>
                    <w:p w14:paraId="65FC0189" w14:textId="1B58C64B" w:rsidR="006F08E1" w:rsidRPr="00616069" w:rsidRDefault="001F49EA" w:rsidP="006F08E1">
                      <w:pPr>
                        <w:overflowPunct/>
                        <w:autoSpaceDE/>
                        <w:autoSpaceDN/>
                        <w:adjustRightInd/>
                        <w:spacing w:line="276" w:lineRule="auto"/>
                        <w:jc w:val="left"/>
                        <w:textAlignment w:val="auto"/>
                        <w:rPr>
                          <w:rFonts w:ascii="Calibri" w:hAnsi="Calibri" w:cs="Calibri"/>
                          <w:color w:val="FFFFFF" w:themeColor="background1"/>
                        </w:rPr>
                      </w:pPr>
                      <w:r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 xml:space="preserve">Data pro ČBA </w:t>
                      </w:r>
                      <w:proofErr w:type="spellStart"/>
                      <w:r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>Hypomonitor</w:t>
                      </w:r>
                      <w:proofErr w:type="spellEnd"/>
                      <w:r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 xml:space="preserve"> poskytují následující banky a stavební spořitelny: Air Bank, Česká spořitelna, ČSOB, ČSOB Stavební spořitelna, Fio banka, Hypoteční banka, Komerční banka, mBank, Modrá pyramida, MONETA Money Bank, MONETA Stavební spořitelna, </w:t>
                      </w:r>
                      <w:proofErr w:type="spellStart"/>
                      <w:r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>Oberbank</w:t>
                      </w:r>
                      <w:proofErr w:type="spellEnd"/>
                      <w:r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 xml:space="preserve">, </w:t>
                      </w:r>
                      <w:proofErr w:type="spellStart"/>
                      <w:r w:rsidR="003E1AAB">
                        <w:rPr>
                          <w:rFonts w:ascii="Calibri" w:hAnsi="Calibri" w:cs="Calibri"/>
                          <w:color w:val="FFFFFF" w:themeColor="background1"/>
                        </w:rPr>
                        <w:t>Partners</w:t>
                      </w:r>
                      <w:proofErr w:type="spellEnd"/>
                      <w:r w:rsidR="003E1AAB">
                        <w:rPr>
                          <w:rFonts w:ascii="Calibri" w:hAnsi="Calibri" w:cs="Calibri"/>
                          <w:color w:val="FFFFFF" w:themeColor="background1"/>
                        </w:rPr>
                        <w:t xml:space="preserve"> Banka, </w:t>
                      </w:r>
                      <w:proofErr w:type="spellStart"/>
                      <w:r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>Raiffeisen</w:t>
                      </w:r>
                      <w:proofErr w:type="spellEnd"/>
                      <w:r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 xml:space="preserve"> stavební spořitelna, Raiffeisenbank, Stavební spořitelna České spořitelny, UniCredit Bank.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TableGrid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17"/>
        <w:gridCol w:w="3384"/>
      </w:tblGrid>
      <w:tr w:rsidR="0028530F" w:rsidRPr="00D80B55" w14:paraId="4825E599" w14:textId="77777777" w:rsidTr="001B1140">
        <w:trPr>
          <w:trHeight w:val="1364"/>
        </w:trPr>
        <w:tc>
          <w:tcPr>
            <w:tcW w:w="6817" w:type="dxa"/>
            <w:shd w:val="clear" w:color="auto" w:fill="13576B"/>
          </w:tcPr>
          <w:p w14:paraId="1EB2DC0A" w14:textId="77777777" w:rsidR="0028530F" w:rsidRPr="00D80B55" w:rsidRDefault="0028530F" w:rsidP="001B1140">
            <w:pPr>
              <w:pStyle w:val="CBANadpisvTABULCE"/>
              <w:jc w:val="both"/>
              <w:rPr>
                <w:rFonts w:cs="Arial"/>
                <w:color w:val="FFFFFF" w:themeColor="background1"/>
                <w:szCs w:val="18"/>
              </w:rPr>
            </w:pPr>
            <w:r w:rsidRPr="00D80B55">
              <w:rPr>
                <w:rFonts w:cs="Arial"/>
                <w:color w:val="FFFFFF" w:themeColor="background1"/>
                <w:szCs w:val="18"/>
              </w:rPr>
              <w:t>O České bankovní asociaci</w:t>
            </w:r>
          </w:p>
          <w:p w14:paraId="4EB0391C" w14:textId="423A1391" w:rsidR="0028530F" w:rsidRPr="00D80B55" w:rsidRDefault="0028530F" w:rsidP="001B1140">
            <w:pPr>
              <w:rPr>
                <w:rFonts w:cs="Arial"/>
                <w:color w:val="FFFFFF" w:themeColor="background1"/>
                <w:sz w:val="22"/>
              </w:rPr>
            </w:pPr>
            <w:r w:rsidRPr="00D80B55">
              <w:rPr>
                <w:rFonts w:cs="Arial"/>
                <w:color w:val="FFFFFF" w:themeColor="background1"/>
              </w:rPr>
              <w:t>Česká bankovní asociace (ČBA) je dobrovolné sdružení 3</w:t>
            </w:r>
            <w:r w:rsidR="00BA1D00">
              <w:rPr>
                <w:rFonts w:cs="Arial"/>
                <w:color w:val="FFFFFF" w:themeColor="background1"/>
              </w:rPr>
              <w:t>4</w:t>
            </w:r>
            <w:r w:rsidRPr="00D80B55">
              <w:rPr>
                <w:rFonts w:cs="Arial"/>
                <w:color w:val="FFFFFF" w:themeColor="background1"/>
              </w:rPr>
              <w:t xml:space="preserve"> bank, které v ČR působí a reprezentuje tak 99 % trhu. </w:t>
            </w:r>
            <w:r>
              <w:rPr>
                <w:rFonts w:cs="Arial"/>
                <w:color w:val="FFFFFF" w:themeColor="background1"/>
              </w:rPr>
              <w:t>Více než</w:t>
            </w:r>
            <w:r w:rsidRPr="00D80B55">
              <w:rPr>
                <w:rFonts w:cs="Arial"/>
                <w:color w:val="FFFFFF" w:themeColor="background1"/>
              </w:rPr>
              <w:t xml:space="preserve"> 30 let podporuje nejen rozvoj bankovního sektoru, ale i celé ekonomiky a všeobecné finanční gramotnosti. ČBA je členem Evropské bankovní federace (EBF).</w:t>
            </w:r>
          </w:p>
          <w:p w14:paraId="598BB9F7" w14:textId="77777777" w:rsidR="0028530F" w:rsidRPr="00D80B55" w:rsidRDefault="0028530F" w:rsidP="001B1140">
            <w:pPr>
              <w:pStyle w:val="CBAodstavecvTABULCE"/>
              <w:jc w:val="both"/>
              <w:rPr>
                <w:rFonts w:cs="Arial"/>
                <w:color w:val="FFFFFF" w:themeColor="background1"/>
                <w:szCs w:val="18"/>
              </w:rPr>
            </w:pPr>
            <w:r w:rsidRPr="00D80B55">
              <w:rPr>
                <w:rFonts w:cs="Arial"/>
                <w:color w:val="FFFFFF" w:themeColor="background1"/>
                <w:szCs w:val="18"/>
              </w:rPr>
              <w:t xml:space="preserve">Více informací na </w:t>
            </w:r>
            <w:r w:rsidRPr="00D80B55">
              <w:rPr>
                <w:rFonts w:cs="Arial"/>
                <w:color w:val="FFFFFF" w:themeColor="background1"/>
                <w:szCs w:val="18"/>
                <w:u w:val="single"/>
              </w:rPr>
              <w:t>www.cbaonline.cz.</w:t>
            </w:r>
            <w:r w:rsidRPr="00D80B55">
              <w:rPr>
                <w:rFonts w:cs="Arial"/>
                <w:color w:val="A9936D"/>
                <w:szCs w:val="18"/>
              </w:rPr>
              <w:t xml:space="preserve"> </w:t>
            </w:r>
          </w:p>
        </w:tc>
        <w:tc>
          <w:tcPr>
            <w:tcW w:w="3384" w:type="dxa"/>
            <w:shd w:val="clear" w:color="auto" w:fill="A9936D"/>
            <w:vAlign w:val="center"/>
          </w:tcPr>
          <w:p w14:paraId="606A2DEB" w14:textId="77777777" w:rsidR="0028530F" w:rsidRPr="00D80B55" w:rsidRDefault="0028530F" w:rsidP="001B1140">
            <w:pPr>
              <w:pStyle w:val="CBAodstavecvTABULCE"/>
              <w:rPr>
                <w:rFonts w:cs="Arial"/>
                <w:b/>
                <w:bCs/>
                <w:color w:val="FFFFFF" w:themeColor="background1"/>
                <w:szCs w:val="18"/>
              </w:rPr>
            </w:pPr>
            <w:r w:rsidRPr="00D80B55">
              <w:rPr>
                <w:rFonts w:cs="Arial"/>
                <w:b/>
                <w:bCs/>
                <w:color w:val="FFFFFF" w:themeColor="background1"/>
                <w:szCs w:val="18"/>
              </w:rPr>
              <w:t xml:space="preserve">                Dotazy posílejte na</w:t>
            </w:r>
          </w:p>
          <w:p w14:paraId="64706D81" w14:textId="77777777" w:rsidR="0028530F" w:rsidRPr="00D80B55" w:rsidRDefault="0028530F" w:rsidP="001B1140">
            <w:pPr>
              <w:pStyle w:val="CBAodstavecvTABULCE"/>
              <w:jc w:val="center"/>
              <w:rPr>
                <w:rFonts w:cs="Arial"/>
                <w:color w:val="FFFFFF" w:themeColor="background1"/>
                <w:szCs w:val="18"/>
              </w:rPr>
            </w:pPr>
            <w:r w:rsidRPr="00D80B55">
              <w:rPr>
                <w:rFonts w:cs="Arial"/>
                <w:b/>
                <w:bCs/>
                <w:color w:val="FFFFFF" w:themeColor="background1"/>
                <w:szCs w:val="18"/>
              </w:rPr>
              <w:t>radek.salsa@cbaonline.cz</w:t>
            </w:r>
          </w:p>
        </w:tc>
      </w:tr>
    </w:tbl>
    <w:p w14:paraId="79952D08" w14:textId="7B44AB4C" w:rsidR="00C42F00" w:rsidRPr="00B04FE2" w:rsidRDefault="00C42F00" w:rsidP="00CA3B41">
      <w:pPr>
        <w:rPr>
          <w:rFonts w:ascii="Calibri" w:hAnsi="Calibri" w:cs="Calibri"/>
          <w:sz w:val="22"/>
          <w:szCs w:val="22"/>
        </w:rPr>
      </w:pPr>
    </w:p>
    <w:sectPr w:rsidR="00C42F00" w:rsidRPr="00B04FE2" w:rsidSect="00606031">
      <w:type w:val="continuous"/>
      <w:pgSz w:w="11906" w:h="16838"/>
      <w:pgMar w:top="2552" w:right="849" w:bottom="1560" w:left="851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19E6E" w14:textId="77777777" w:rsidR="00A16CAF" w:rsidRPr="00616069" w:rsidRDefault="00A16CAF" w:rsidP="00F573F1">
      <w:r w:rsidRPr="00616069">
        <w:separator/>
      </w:r>
    </w:p>
  </w:endnote>
  <w:endnote w:type="continuationSeparator" w:id="0">
    <w:p w14:paraId="72F289C0" w14:textId="77777777" w:rsidR="00A16CAF" w:rsidRPr="00616069" w:rsidRDefault="00A16CAF" w:rsidP="00F573F1">
      <w:r w:rsidRPr="0061606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7069079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E2EB97C" w14:textId="697C5AC2" w:rsidR="001E31AB" w:rsidRPr="00616069" w:rsidRDefault="001E31AB">
            <w:pPr>
              <w:pStyle w:val="Footer"/>
              <w:jc w:val="right"/>
            </w:pPr>
            <w:r w:rsidRPr="00616069">
              <w:rPr>
                <w:rFonts w:ascii="Calibri" w:hAnsi="Calibri"/>
                <w:noProof/>
                <w:szCs w:val="18"/>
                <w:lang w:eastAsia="en-GB"/>
              </w:rPr>
              <w:drawing>
                <wp:anchor distT="0" distB="0" distL="114300" distR="114300" simplePos="0" relativeHeight="251655680" behindDoc="0" locked="0" layoutInCell="1" allowOverlap="1" wp14:anchorId="7B2A8544" wp14:editId="09B386F6">
                  <wp:simplePos x="0" y="0"/>
                  <wp:positionH relativeFrom="column">
                    <wp:posOffset>-540385</wp:posOffset>
                  </wp:positionH>
                  <wp:positionV relativeFrom="paragraph">
                    <wp:posOffset>-365760</wp:posOffset>
                  </wp:positionV>
                  <wp:extent cx="3042285" cy="701040"/>
                  <wp:effectExtent l="0" t="0" r="5715" b="0"/>
                  <wp:wrapNone/>
                  <wp:docPr id="1961764387" name="Obrázek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nnamed.jpg"/>
                          <pic:cNvPicPr/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309" t="94992" r="61095" b="-1544"/>
                          <a:stretch/>
                        </pic:blipFill>
                        <pic:spPr bwMode="auto">
                          <a:xfrm>
                            <a:off x="0" y="0"/>
                            <a:ext cx="3042285" cy="7010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16069">
              <w:rPr>
                <w:rFonts w:ascii="Calibri" w:hAnsi="Calibri"/>
                <w:szCs w:val="18"/>
              </w:rPr>
              <w:t xml:space="preserve">Stránka </w:t>
            </w:r>
            <w:r w:rsidRPr="00616069">
              <w:rPr>
                <w:rFonts w:ascii="Calibri" w:hAnsi="Calibri"/>
                <w:b/>
                <w:bCs/>
                <w:szCs w:val="18"/>
              </w:rPr>
              <w:fldChar w:fldCharType="begin"/>
            </w:r>
            <w:r w:rsidRPr="00616069">
              <w:rPr>
                <w:rFonts w:ascii="Calibri" w:hAnsi="Calibri"/>
                <w:b/>
                <w:bCs/>
                <w:szCs w:val="18"/>
              </w:rPr>
              <w:instrText>PAGE</w:instrText>
            </w:r>
            <w:r w:rsidRPr="00616069">
              <w:rPr>
                <w:rFonts w:ascii="Calibri" w:hAnsi="Calibri"/>
                <w:b/>
                <w:bCs/>
                <w:szCs w:val="18"/>
              </w:rPr>
              <w:fldChar w:fldCharType="separate"/>
            </w:r>
            <w:r w:rsidR="005F4B41" w:rsidRPr="00616069">
              <w:rPr>
                <w:rFonts w:ascii="Calibri" w:hAnsi="Calibri"/>
                <w:b/>
                <w:bCs/>
                <w:szCs w:val="18"/>
              </w:rPr>
              <w:t>1</w:t>
            </w:r>
            <w:r w:rsidRPr="00616069">
              <w:rPr>
                <w:rFonts w:ascii="Calibri" w:hAnsi="Calibri"/>
                <w:b/>
                <w:bCs/>
                <w:szCs w:val="18"/>
              </w:rPr>
              <w:fldChar w:fldCharType="end"/>
            </w:r>
            <w:r w:rsidRPr="00616069">
              <w:rPr>
                <w:rFonts w:ascii="Calibri" w:hAnsi="Calibri"/>
                <w:szCs w:val="18"/>
              </w:rPr>
              <w:t xml:space="preserve"> z </w:t>
            </w:r>
            <w:r w:rsidRPr="00616069">
              <w:rPr>
                <w:rFonts w:ascii="Calibri" w:hAnsi="Calibri"/>
                <w:b/>
                <w:bCs/>
                <w:szCs w:val="18"/>
              </w:rPr>
              <w:fldChar w:fldCharType="begin"/>
            </w:r>
            <w:r w:rsidRPr="00616069">
              <w:rPr>
                <w:rFonts w:ascii="Calibri" w:hAnsi="Calibri"/>
                <w:b/>
                <w:bCs/>
                <w:szCs w:val="18"/>
              </w:rPr>
              <w:instrText>NUMPAGES</w:instrText>
            </w:r>
            <w:r w:rsidRPr="00616069">
              <w:rPr>
                <w:rFonts w:ascii="Calibri" w:hAnsi="Calibri"/>
                <w:b/>
                <w:bCs/>
                <w:szCs w:val="18"/>
              </w:rPr>
              <w:fldChar w:fldCharType="separate"/>
            </w:r>
            <w:r w:rsidR="005F4B41" w:rsidRPr="00616069">
              <w:rPr>
                <w:rFonts w:ascii="Calibri" w:hAnsi="Calibri"/>
                <w:b/>
                <w:bCs/>
                <w:szCs w:val="18"/>
              </w:rPr>
              <w:t>2</w:t>
            </w:r>
            <w:r w:rsidRPr="00616069">
              <w:rPr>
                <w:rFonts w:ascii="Calibri" w:hAnsi="Calibri"/>
                <w:b/>
                <w:bCs/>
                <w:szCs w:val="18"/>
              </w:rPr>
              <w:fldChar w:fldCharType="end"/>
            </w:r>
          </w:p>
        </w:sdtContent>
      </w:sdt>
    </w:sdtContent>
  </w:sdt>
  <w:p w14:paraId="300EB588" w14:textId="24FF51AB" w:rsidR="0065124E" w:rsidRPr="00616069" w:rsidRDefault="0065124E" w:rsidP="00FB4A1C">
    <w:pPr>
      <w:pStyle w:val="Footer"/>
      <w:tabs>
        <w:tab w:val="clear" w:pos="4536"/>
        <w:tab w:val="clear" w:pos="9072"/>
        <w:tab w:val="left" w:pos="6080"/>
      </w:tabs>
      <w:rPr>
        <w:color w:val="A6A6A6" w:themeColor="background1" w:themeShade="A6"/>
        <w:sz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DFF67F" w14:textId="77777777" w:rsidR="00A16CAF" w:rsidRPr="00616069" w:rsidRDefault="00A16CAF" w:rsidP="00F573F1">
      <w:r w:rsidRPr="00616069">
        <w:separator/>
      </w:r>
    </w:p>
  </w:footnote>
  <w:footnote w:type="continuationSeparator" w:id="0">
    <w:p w14:paraId="5E69AE14" w14:textId="77777777" w:rsidR="00A16CAF" w:rsidRPr="00616069" w:rsidRDefault="00A16CAF" w:rsidP="00F573F1">
      <w:r w:rsidRPr="00616069">
        <w:continuationSeparator/>
      </w:r>
    </w:p>
  </w:footnote>
  <w:footnote w:id="1">
    <w:p w14:paraId="3367AD69" w14:textId="77777777" w:rsidR="00486BC4" w:rsidRPr="00616069" w:rsidRDefault="00486BC4" w:rsidP="00486BC4">
      <w:pPr>
        <w:pStyle w:val="FootnoteText"/>
        <w:rPr>
          <w:rFonts w:ascii="Calibri" w:hAnsi="Calibri" w:cs="Calibri"/>
          <w:sz w:val="17"/>
          <w:szCs w:val="17"/>
        </w:rPr>
      </w:pPr>
      <w:r w:rsidRPr="00616069">
        <w:rPr>
          <w:rStyle w:val="FootnoteReference"/>
          <w:rFonts w:ascii="Calibri" w:hAnsi="Calibri" w:cs="Calibri"/>
          <w:sz w:val="17"/>
          <w:szCs w:val="17"/>
        </w:rPr>
        <w:footnoteRef/>
      </w:r>
      <w:r w:rsidRPr="00616069">
        <w:rPr>
          <w:rFonts w:ascii="Calibri" w:hAnsi="Calibri" w:cs="Calibri"/>
          <w:sz w:val="17"/>
          <w:szCs w:val="17"/>
        </w:rPr>
        <w:t xml:space="preserve"> </w:t>
      </w:r>
      <w:r w:rsidRPr="00616069">
        <w:rPr>
          <w:rFonts w:asciiTheme="majorHAnsi" w:hAnsiTheme="majorHAnsi" w:cstheme="majorHAnsi"/>
          <w:sz w:val="17"/>
          <w:szCs w:val="17"/>
        </w:rPr>
        <w:t>Jedná se především o dlouholeté úrokové swapy (</w:t>
      </w:r>
      <w:proofErr w:type="spellStart"/>
      <w:r w:rsidRPr="00616069">
        <w:rPr>
          <w:rFonts w:asciiTheme="majorHAnsi" w:hAnsiTheme="majorHAnsi" w:cstheme="majorHAnsi"/>
          <w:sz w:val="17"/>
          <w:szCs w:val="17"/>
        </w:rPr>
        <w:t>interest</w:t>
      </w:r>
      <w:proofErr w:type="spellEnd"/>
      <w:r w:rsidRPr="00616069">
        <w:rPr>
          <w:rFonts w:asciiTheme="majorHAnsi" w:hAnsiTheme="majorHAnsi" w:cstheme="majorHAnsi"/>
          <w:sz w:val="17"/>
          <w:szCs w:val="17"/>
        </w:rPr>
        <w:t xml:space="preserve"> </w:t>
      </w:r>
      <w:proofErr w:type="spellStart"/>
      <w:r w:rsidRPr="00616069">
        <w:rPr>
          <w:rFonts w:asciiTheme="majorHAnsi" w:hAnsiTheme="majorHAnsi" w:cstheme="majorHAnsi"/>
          <w:sz w:val="17"/>
          <w:szCs w:val="17"/>
        </w:rPr>
        <w:t>rate</w:t>
      </w:r>
      <w:proofErr w:type="spellEnd"/>
      <w:r w:rsidRPr="00616069">
        <w:rPr>
          <w:rFonts w:asciiTheme="majorHAnsi" w:hAnsiTheme="majorHAnsi" w:cstheme="majorHAnsi"/>
          <w:sz w:val="17"/>
          <w:szCs w:val="17"/>
        </w:rPr>
        <w:t xml:space="preserve"> swap, IRS), které odráží cenu peněz v delších splatnostech, například </w:t>
      </w:r>
      <w:r>
        <w:rPr>
          <w:rFonts w:asciiTheme="majorHAnsi" w:hAnsiTheme="majorHAnsi" w:cstheme="majorHAnsi"/>
          <w:sz w:val="17"/>
          <w:szCs w:val="17"/>
        </w:rPr>
        <w:t>2</w:t>
      </w:r>
      <w:r w:rsidRPr="00616069">
        <w:rPr>
          <w:rFonts w:asciiTheme="majorHAnsi" w:hAnsiTheme="majorHAnsi" w:cstheme="majorHAnsi"/>
          <w:sz w:val="17"/>
          <w:szCs w:val="17"/>
        </w:rPr>
        <w:t xml:space="preserve"> až 10 let.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A4485" w14:textId="25969B31" w:rsidR="0065124E" w:rsidRPr="00616069" w:rsidRDefault="00A86552">
    <w:pPr>
      <w:pStyle w:val="Header"/>
    </w:pPr>
    <w:r w:rsidRPr="00616069">
      <w:rPr>
        <w:rFonts w:cs="Arial"/>
        <w:noProof/>
        <w:lang w:eastAsia="en-GB"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1DCC7344" wp14:editId="2F0B41DB">
              <wp:simplePos x="0" y="0"/>
              <wp:positionH relativeFrom="margin">
                <wp:posOffset>2228694</wp:posOffset>
              </wp:positionH>
              <wp:positionV relativeFrom="paragraph">
                <wp:posOffset>214019</wp:posOffset>
              </wp:positionV>
              <wp:extent cx="2941608" cy="1404620"/>
              <wp:effectExtent l="0" t="0" r="0" b="0"/>
              <wp:wrapNone/>
              <wp:docPr id="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41608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986907" w14:textId="1DE8A063" w:rsidR="00A86552" w:rsidRPr="00616069" w:rsidRDefault="00A86552" w:rsidP="00095055">
                          <w:pPr>
                            <w:spacing w:line="276" w:lineRule="auto"/>
                            <w:jc w:val="right"/>
                            <w:rPr>
                              <w:rFonts w:ascii="Calibri" w:hAnsi="Calibri" w:cs="Calibri"/>
                              <w:b/>
                              <w:color w:val="FF0000"/>
                              <w:sz w:val="40"/>
                              <w:szCs w:val="4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DCC7344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175.5pt;margin-top:16.85pt;width:231.6pt;height:110.6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" filled="f" stroked="f">
              <v:textbox style="mso-fit-shape-to-text:t">
                <w:txbxContent>
                  <w:p w14:paraId="24986907" w14:textId="1DE8A063" w:rsidR="00A86552" w:rsidRPr="00616069" w:rsidRDefault="00A86552" w:rsidP="00095055">
                    <w:pPr>
                      <w:spacing w:line="276" w:lineRule="auto"/>
                      <w:jc w:val="right"/>
                      <w:rPr>
                        <w:rFonts w:ascii="Calibri" w:hAnsi="Calibri" w:cs="Calibri"/>
                        <w:b/>
                        <w:color w:val="FF0000"/>
                        <w:sz w:val="40"/>
                        <w:szCs w:val="4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744C66" w:rsidRPr="00616069"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197D896D" wp14:editId="7A6FB449">
          <wp:simplePos x="0" y="0"/>
          <wp:positionH relativeFrom="column">
            <wp:posOffset>-52705</wp:posOffset>
          </wp:positionH>
          <wp:positionV relativeFrom="paragraph">
            <wp:posOffset>29845</wp:posOffset>
          </wp:positionV>
          <wp:extent cx="2209800" cy="778510"/>
          <wp:effectExtent l="0" t="0" r="0" b="2540"/>
          <wp:wrapNone/>
          <wp:docPr id="2109978683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0" cy="778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D4720" w:rsidRPr="00616069">
      <w:rPr>
        <w:noProof/>
        <w:lang w:eastAsia="en-GB"/>
      </w:rPr>
      <w:drawing>
        <wp:anchor distT="0" distB="0" distL="114300" distR="114300" simplePos="0" relativeHeight="251664384" behindDoc="1" locked="0" layoutInCell="1" allowOverlap="1" wp14:anchorId="2A1D7AA9" wp14:editId="7A7B0A01">
          <wp:simplePos x="0" y="0"/>
          <wp:positionH relativeFrom="column">
            <wp:posOffset>3985895</wp:posOffset>
          </wp:positionH>
          <wp:positionV relativeFrom="paragraph">
            <wp:posOffset>-8255</wp:posOffset>
          </wp:positionV>
          <wp:extent cx="2943225" cy="243840"/>
          <wp:effectExtent l="0" t="0" r="9525" b="3810"/>
          <wp:wrapNone/>
          <wp:docPr id="307141265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named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4992" r="61096" b="2729"/>
                  <a:stretch/>
                </pic:blipFill>
                <pic:spPr bwMode="auto">
                  <a:xfrm>
                    <a:off x="0" y="0"/>
                    <a:ext cx="2943225" cy="2438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D4720" w:rsidRPr="00616069">
      <w:rPr>
        <w:rFonts w:cs="Arial"/>
        <w:noProof/>
        <w:lang w:eastAsia="en-GB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126DE097" wp14:editId="755E40ED">
              <wp:simplePos x="0" y="0"/>
              <wp:positionH relativeFrom="margin">
                <wp:posOffset>5238115</wp:posOffset>
              </wp:positionH>
              <wp:positionV relativeFrom="paragraph">
                <wp:posOffset>153035</wp:posOffset>
              </wp:positionV>
              <wp:extent cx="1239520" cy="1404620"/>
              <wp:effectExtent l="0" t="0" r="0" b="0"/>
              <wp:wrapNone/>
              <wp:docPr id="6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952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5DE40D2" w14:textId="77777777" w:rsidR="002D4720" w:rsidRPr="00616069" w:rsidRDefault="002D4720" w:rsidP="002D4720">
                          <w:pPr>
                            <w:spacing w:line="276" w:lineRule="auto"/>
                            <w:jc w:val="right"/>
                            <w:rPr>
                              <w:rFonts w:ascii="Calibri" w:hAnsi="Calibri" w:cs="Calibri"/>
                              <w:b/>
                              <w:color w:val="13576B"/>
                              <w:sz w:val="20"/>
                              <w:szCs w:val="22"/>
                            </w:rPr>
                          </w:pPr>
                          <w:r w:rsidRPr="00616069">
                            <w:rPr>
                              <w:rFonts w:ascii="Calibri" w:hAnsi="Calibri" w:cs="Calibri"/>
                              <w:b/>
                              <w:color w:val="13576B"/>
                              <w:sz w:val="20"/>
                              <w:szCs w:val="22"/>
                            </w:rPr>
                            <w:t>KOMENTÁŘ</w:t>
                          </w:r>
                        </w:p>
                        <w:p w14:paraId="0A69756F" w14:textId="0138EA25" w:rsidR="002D4720" w:rsidRPr="00616069" w:rsidRDefault="007F41A0" w:rsidP="002138C0">
                          <w:pPr>
                            <w:spacing w:line="276" w:lineRule="auto"/>
                            <w:jc w:val="right"/>
                            <w:rPr>
                              <w:rFonts w:ascii="Calibri" w:hAnsi="Calibri" w:cs="Calibri"/>
                              <w:b/>
                              <w:color w:val="13576B"/>
                              <w:sz w:val="20"/>
                              <w:szCs w:val="22"/>
                            </w:rPr>
                          </w:pPr>
                          <w:r w:rsidRPr="00616069">
                            <w:rPr>
                              <w:rFonts w:ascii="Calibri" w:hAnsi="Calibri" w:cs="Calibri"/>
                              <w:color w:val="13576B"/>
                              <w:sz w:val="20"/>
                              <w:szCs w:val="22"/>
                            </w:rPr>
                            <w:t xml:space="preserve">            </w:t>
                          </w:r>
                          <w:r w:rsidR="00095055">
                            <w:rPr>
                              <w:rFonts w:ascii="Calibri" w:hAnsi="Calibri" w:cs="Calibri"/>
                              <w:color w:val="13576B"/>
                              <w:sz w:val="20"/>
                              <w:szCs w:val="22"/>
                            </w:rPr>
                            <w:t>1</w:t>
                          </w:r>
                          <w:r w:rsidR="005B3025">
                            <w:rPr>
                              <w:rFonts w:ascii="Calibri" w:hAnsi="Calibri" w:cs="Calibri"/>
                              <w:color w:val="13576B"/>
                              <w:sz w:val="20"/>
                              <w:szCs w:val="22"/>
                            </w:rPr>
                            <w:t>3</w:t>
                          </w:r>
                          <w:r w:rsidR="00105BE4">
                            <w:rPr>
                              <w:rFonts w:ascii="Calibri" w:hAnsi="Calibri" w:cs="Calibri"/>
                              <w:color w:val="13576B"/>
                              <w:sz w:val="20"/>
                              <w:szCs w:val="22"/>
                            </w:rPr>
                            <w:t>.</w:t>
                          </w:r>
                          <w:r w:rsidR="005B3025">
                            <w:rPr>
                              <w:rFonts w:ascii="Calibri" w:hAnsi="Calibri" w:cs="Calibri"/>
                              <w:color w:val="13576B"/>
                              <w:sz w:val="20"/>
                              <w:szCs w:val="22"/>
                            </w:rPr>
                            <w:t>3</w:t>
                          </w:r>
                          <w:r w:rsidR="002D4720" w:rsidRPr="00616069">
                            <w:rPr>
                              <w:rFonts w:ascii="Calibri" w:hAnsi="Calibri" w:cs="Calibri"/>
                              <w:color w:val="13576B"/>
                              <w:sz w:val="20"/>
                              <w:szCs w:val="22"/>
                            </w:rPr>
                            <w:t>.202</w:t>
                          </w:r>
                          <w:r w:rsidR="00095055">
                            <w:rPr>
                              <w:rFonts w:ascii="Calibri" w:hAnsi="Calibri" w:cs="Calibri"/>
                              <w:color w:val="13576B"/>
                              <w:sz w:val="20"/>
                              <w:szCs w:val="22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26DE097" id="_x0000_s1029" type="#_x0000_t202" style="position:absolute;left:0;text-align:left;margin-left:412.45pt;margin-top:12.05pt;width:97.6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" filled="f" stroked="f">
              <v:textbox style="mso-fit-shape-to-text:t">
                <w:txbxContent>
                  <w:p w14:paraId="15DE40D2" w14:textId="77777777" w:rsidR="002D4720" w:rsidRPr="00616069" w:rsidRDefault="002D4720" w:rsidP="002D4720">
                    <w:pPr>
                      <w:spacing w:line="276" w:lineRule="auto"/>
                      <w:jc w:val="right"/>
                      <w:rPr>
                        <w:rFonts w:ascii="Calibri" w:hAnsi="Calibri" w:cs="Calibri"/>
                        <w:b/>
                        <w:color w:val="13576B"/>
                        <w:sz w:val="20"/>
                        <w:szCs w:val="22"/>
                      </w:rPr>
                    </w:pPr>
                    <w:r w:rsidRPr="00616069">
                      <w:rPr>
                        <w:rFonts w:ascii="Calibri" w:hAnsi="Calibri" w:cs="Calibri"/>
                        <w:b/>
                        <w:color w:val="13576B"/>
                        <w:sz w:val="20"/>
                        <w:szCs w:val="22"/>
                      </w:rPr>
                      <w:t>KOMENTÁŘ</w:t>
                    </w:r>
                  </w:p>
                  <w:p w14:paraId="0A69756F" w14:textId="0138EA25" w:rsidR="002D4720" w:rsidRPr="00616069" w:rsidRDefault="007F41A0" w:rsidP="002138C0">
                    <w:pPr>
                      <w:spacing w:line="276" w:lineRule="auto"/>
                      <w:jc w:val="right"/>
                      <w:rPr>
                        <w:rFonts w:ascii="Calibri" w:hAnsi="Calibri" w:cs="Calibri"/>
                        <w:b/>
                        <w:color w:val="13576B"/>
                        <w:sz w:val="20"/>
                        <w:szCs w:val="22"/>
                      </w:rPr>
                    </w:pPr>
                    <w:r w:rsidRPr="00616069">
                      <w:rPr>
                        <w:rFonts w:ascii="Calibri" w:hAnsi="Calibri" w:cs="Calibri"/>
                        <w:color w:val="13576B"/>
                        <w:sz w:val="20"/>
                        <w:szCs w:val="22"/>
                      </w:rPr>
                      <w:t xml:space="preserve">            </w:t>
                    </w:r>
                    <w:r w:rsidR="00095055">
                      <w:rPr>
                        <w:rFonts w:ascii="Calibri" w:hAnsi="Calibri" w:cs="Calibri"/>
                        <w:color w:val="13576B"/>
                        <w:sz w:val="20"/>
                        <w:szCs w:val="22"/>
                      </w:rPr>
                      <w:t>1</w:t>
                    </w:r>
                    <w:r w:rsidR="005B3025">
                      <w:rPr>
                        <w:rFonts w:ascii="Calibri" w:hAnsi="Calibri" w:cs="Calibri"/>
                        <w:color w:val="13576B"/>
                        <w:sz w:val="20"/>
                        <w:szCs w:val="22"/>
                      </w:rPr>
                      <w:t>3</w:t>
                    </w:r>
                    <w:r w:rsidR="00105BE4">
                      <w:rPr>
                        <w:rFonts w:ascii="Calibri" w:hAnsi="Calibri" w:cs="Calibri"/>
                        <w:color w:val="13576B"/>
                        <w:sz w:val="20"/>
                        <w:szCs w:val="22"/>
                      </w:rPr>
                      <w:t>.</w:t>
                    </w:r>
                    <w:r w:rsidR="005B3025">
                      <w:rPr>
                        <w:rFonts w:ascii="Calibri" w:hAnsi="Calibri" w:cs="Calibri"/>
                        <w:color w:val="13576B"/>
                        <w:sz w:val="20"/>
                        <w:szCs w:val="22"/>
                      </w:rPr>
                      <w:t>3</w:t>
                    </w:r>
                    <w:r w:rsidR="002D4720" w:rsidRPr="00616069">
                      <w:rPr>
                        <w:rFonts w:ascii="Calibri" w:hAnsi="Calibri" w:cs="Calibri"/>
                        <w:color w:val="13576B"/>
                        <w:sz w:val="20"/>
                        <w:szCs w:val="22"/>
                      </w:rPr>
                      <w:t>.202</w:t>
                    </w:r>
                    <w:r w:rsidR="00095055">
                      <w:rPr>
                        <w:rFonts w:ascii="Calibri" w:hAnsi="Calibri" w:cs="Calibri"/>
                        <w:color w:val="13576B"/>
                        <w:sz w:val="20"/>
                        <w:szCs w:val="22"/>
                      </w:rPr>
                      <w:t>6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669A1"/>
    <w:multiLevelType w:val="hybridMultilevel"/>
    <w:tmpl w:val="28EA1BD4"/>
    <w:lvl w:ilvl="0" w:tplc="F8600A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954B5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2304C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A221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31CD5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83A2E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A1254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47E40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E09F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13A48A1"/>
    <w:multiLevelType w:val="hybridMultilevel"/>
    <w:tmpl w:val="6E121294"/>
    <w:lvl w:ilvl="0" w:tplc="BEC0709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5843AD"/>
    <w:multiLevelType w:val="hybridMultilevel"/>
    <w:tmpl w:val="EB828C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615A72"/>
    <w:multiLevelType w:val="hybridMultilevel"/>
    <w:tmpl w:val="4222A8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7B1D76"/>
    <w:multiLevelType w:val="hybridMultilevel"/>
    <w:tmpl w:val="6D5277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72C3C"/>
    <w:multiLevelType w:val="hybridMultilevel"/>
    <w:tmpl w:val="163C6E86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" w15:restartNumberingAfterBreak="0">
    <w:nsid w:val="1206309C"/>
    <w:multiLevelType w:val="hybridMultilevel"/>
    <w:tmpl w:val="855E01C6"/>
    <w:lvl w:ilvl="0" w:tplc="9F3AF1EC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B92919"/>
    <w:multiLevelType w:val="hybridMultilevel"/>
    <w:tmpl w:val="2B56FAFE"/>
    <w:lvl w:ilvl="0" w:tplc="6988173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0A4083"/>
    <w:multiLevelType w:val="hybridMultilevel"/>
    <w:tmpl w:val="3C5846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E42FC1"/>
    <w:multiLevelType w:val="hybridMultilevel"/>
    <w:tmpl w:val="C296AEE6"/>
    <w:lvl w:ilvl="0" w:tplc="B25606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0FA4577"/>
    <w:multiLevelType w:val="hybridMultilevel"/>
    <w:tmpl w:val="553EAC9E"/>
    <w:lvl w:ilvl="0" w:tplc="8B20C2B0">
      <w:start w:val="3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3343A30"/>
    <w:multiLevelType w:val="hybridMultilevel"/>
    <w:tmpl w:val="26BEA028"/>
    <w:lvl w:ilvl="0" w:tplc="886E46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24078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B82BD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94E0B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282AF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D02FB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1CE20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8245F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3A85D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2ABB14DD"/>
    <w:multiLevelType w:val="hybridMultilevel"/>
    <w:tmpl w:val="17628C18"/>
    <w:lvl w:ilvl="0" w:tplc="E50CA2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9C6437B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CCB6EF0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89EEF10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42ECDBE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3A6A64D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785E48A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15F0E15A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D38AD36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13" w15:restartNumberingAfterBreak="0">
    <w:nsid w:val="2C5A2A51"/>
    <w:multiLevelType w:val="hybridMultilevel"/>
    <w:tmpl w:val="633C88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647CE5"/>
    <w:multiLevelType w:val="hybridMultilevel"/>
    <w:tmpl w:val="F91C69CC"/>
    <w:lvl w:ilvl="0" w:tplc="AA8891D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5B2B28"/>
    <w:multiLevelType w:val="hybridMultilevel"/>
    <w:tmpl w:val="A77CBF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170A7D"/>
    <w:multiLevelType w:val="hybridMultilevel"/>
    <w:tmpl w:val="E76A65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1A024A"/>
    <w:multiLevelType w:val="hybridMultilevel"/>
    <w:tmpl w:val="123AA014"/>
    <w:lvl w:ilvl="0" w:tplc="A1E66C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D3A39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D120F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F847E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AC0A5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8F887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8863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545B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FFEB4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4D8A7633"/>
    <w:multiLevelType w:val="hybridMultilevel"/>
    <w:tmpl w:val="A68019BE"/>
    <w:lvl w:ilvl="0" w:tplc="D6BA4E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B7C91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5E82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66A9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92238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C7666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DCED4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DB482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BF0AF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509105EB"/>
    <w:multiLevelType w:val="hybridMultilevel"/>
    <w:tmpl w:val="25882682"/>
    <w:lvl w:ilvl="0" w:tplc="E586E02A">
      <w:start w:val="1"/>
      <w:numFmt w:val="decimal"/>
      <w:lvlText w:val="%1."/>
      <w:lvlJc w:val="left"/>
      <w:pPr>
        <w:ind w:left="410" w:hanging="360"/>
      </w:pPr>
    </w:lvl>
    <w:lvl w:ilvl="1" w:tplc="08090019">
      <w:start w:val="1"/>
      <w:numFmt w:val="lowerLetter"/>
      <w:lvlText w:val="%2."/>
      <w:lvlJc w:val="left"/>
      <w:pPr>
        <w:ind w:left="1130" w:hanging="360"/>
      </w:pPr>
    </w:lvl>
    <w:lvl w:ilvl="2" w:tplc="0809001B">
      <w:start w:val="1"/>
      <w:numFmt w:val="lowerRoman"/>
      <w:lvlText w:val="%3."/>
      <w:lvlJc w:val="right"/>
      <w:pPr>
        <w:ind w:left="1850" w:hanging="180"/>
      </w:pPr>
    </w:lvl>
    <w:lvl w:ilvl="3" w:tplc="0809000F">
      <w:start w:val="1"/>
      <w:numFmt w:val="decimal"/>
      <w:lvlText w:val="%4."/>
      <w:lvlJc w:val="left"/>
      <w:pPr>
        <w:ind w:left="2570" w:hanging="360"/>
      </w:pPr>
    </w:lvl>
    <w:lvl w:ilvl="4" w:tplc="08090019">
      <w:start w:val="1"/>
      <w:numFmt w:val="lowerLetter"/>
      <w:lvlText w:val="%5."/>
      <w:lvlJc w:val="left"/>
      <w:pPr>
        <w:ind w:left="3290" w:hanging="360"/>
      </w:pPr>
    </w:lvl>
    <w:lvl w:ilvl="5" w:tplc="0809001B">
      <w:start w:val="1"/>
      <w:numFmt w:val="lowerRoman"/>
      <w:lvlText w:val="%6."/>
      <w:lvlJc w:val="right"/>
      <w:pPr>
        <w:ind w:left="4010" w:hanging="180"/>
      </w:pPr>
    </w:lvl>
    <w:lvl w:ilvl="6" w:tplc="0809000F">
      <w:start w:val="1"/>
      <w:numFmt w:val="decimal"/>
      <w:lvlText w:val="%7."/>
      <w:lvlJc w:val="left"/>
      <w:pPr>
        <w:ind w:left="4730" w:hanging="360"/>
      </w:pPr>
    </w:lvl>
    <w:lvl w:ilvl="7" w:tplc="08090019">
      <w:start w:val="1"/>
      <w:numFmt w:val="lowerLetter"/>
      <w:lvlText w:val="%8."/>
      <w:lvlJc w:val="left"/>
      <w:pPr>
        <w:ind w:left="5450" w:hanging="360"/>
      </w:pPr>
    </w:lvl>
    <w:lvl w:ilvl="8" w:tplc="0809001B">
      <w:start w:val="1"/>
      <w:numFmt w:val="lowerRoman"/>
      <w:lvlText w:val="%9."/>
      <w:lvlJc w:val="right"/>
      <w:pPr>
        <w:ind w:left="6170" w:hanging="180"/>
      </w:pPr>
    </w:lvl>
  </w:abstractNum>
  <w:abstractNum w:abstractNumId="20" w15:restartNumberingAfterBreak="0">
    <w:nsid w:val="606843DC"/>
    <w:multiLevelType w:val="hybridMultilevel"/>
    <w:tmpl w:val="3E42DD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E1214D"/>
    <w:multiLevelType w:val="hybridMultilevel"/>
    <w:tmpl w:val="9F34024E"/>
    <w:lvl w:ilvl="0" w:tplc="ADB0AA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4B290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F848D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77AB6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08623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81EBA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29A9B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1AC96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88235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67613CD2"/>
    <w:multiLevelType w:val="hybridMultilevel"/>
    <w:tmpl w:val="0CF0BB3A"/>
    <w:lvl w:ilvl="0" w:tplc="150827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166CD3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590C27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AEABB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3CC31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620587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1AE11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FCFD3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21EA8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765577F"/>
    <w:multiLevelType w:val="hybridMultilevel"/>
    <w:tmpl w:val="BBB23B48"/>
    <w:lvl w:ilvl="0" w:tplc="AC68AD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5AC0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687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92084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46B4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2EA0F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D860D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A8628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674DC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68FD055A"/>
    <w:multiLevelType w:val="hybridMultilevel"/>
    <w:tmpl w:val="F490C338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5" w15:restartNumberingAfterBreak="0">
    <w:nsid w:val="6EA509EA"/>
    <w:multiLevelType w:val="hybridMultilevel"/>
    <w:tmpl w:val="14E0161E"/>
    <w:lvl w:ilvl="0" w:tplc="9F3AF1EC">
      <w:numFmt w:val="bullet"/>
      <w:lvlText w:val="-"/>
      <w:lvlJc w:val="left"/>
      <w:pPr>
        <w:ind w:left="360" w:hanging="360"/>
      </w:pPr>
      <w:rPr>
        <w:rFonts w:ascii="Calibri Light" w:eastAsia="Times New Roman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F137D7D"/>
    <w:multiLevelType w:val="hybridMultilevel"/>
    <w:tmpl w:val="F856C146"/>
    <w:lvl w:ilvl="0" w:tplc="F37A31C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0DE4F03"/>
    <w:multiLevelType w:val="hybridMultilevel"/>
    <w:tmpl w:val="D458DCC2"/>
    <w:lvl w:ilvl="0" w:tplc="ABAA372A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5767A3"/>
    <w:multiLevelType w:val="hybridMultilevel"/>
    <w:tmpl w:val="50648AEA"/>
    <w:lvl w:ilvl="0" w:tplc="A25066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35E90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14C93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BC9A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DC8C3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32496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FACD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2AE4B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FF2D8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79FB636A"/>
    <w:multiLevelType w:val="hybridMultilevel"/>
    <w:tmpl w:val="4454BAA0"/>
    <w:lvl w:ilvl="0" w:tplc="3A1A42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692F1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2446C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E4AC4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6124D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42272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5648C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126DD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C16C1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0" w15:restartNumberingAfterBreak="0">
    <w:nsid w:val="7C2B4724"/>
    <w:multiLevelType w:val="hybridMultilevel"/>
    <w:tmpl w:val="A274A7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65382314">
    <w:abstractNumId w:val="3"/>
  </w:num>
  <w:num w:numId="2" w16cid:durableId="1910113698">
    <w:abstractNumId w:val="9"/>
  </w:num>
  <w:num w:numId="3" w16cid:durableId="405613309">
    <w:abstractNumId w:val="26"/>
  </w:num>
  <w:num w:numId="4" w16cid:durableId="240213499">
    <w:abstractNumId w:val="15"/>
  </w:num>
  <w:num w:numId="5" w16cid:durableId="740492638">
    <w:abstractNumId w:val="5"/>
  </w:num>
  <w:num w:numId="6" w16cid:durableId="211576891">
    <w:abstractNumId w:val="24"/>
  </w:num>
  <w:num w:numId="7" w16cid:durableId="1918248069">
    <w:abstractNumId w:val="7"/>
  </w:num>
  <w:num w:numId="8" w16cid:durableId="1159419045">
    <w:abstractNumId w:val="29"/>
  </w:num>
  <w:num w:numId="9" w16cid:durableId="1798374138">
    <w:abstractNumId w:val="6"/>
  </w:num>
  <w:num w:numId="10" w16cid:durableId="1530677457">
    <w:abstractNumId w:val="25"/>
  </w:num>
  <w:num w:numId="11" w16cid:durableId="984315201">
    <w:abstractNumId w:val="2"/>
  </w:num>
  <w:num w:numId="12" w16cid:durableId="7762198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1551030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69389165">
    <w:abstractNumId w:val="16"/>
  </w:num>
  <w:num w:numId="15" w16cid:durableId="1323195451">
    <w:abstractNumId w:val="13"/>
  </w:num>
  <w:num w:numId="16" w16cid:durableId="467165265">
    <w:abstractNumId w:val="10"/>
  </w:num>
  <w:num w:numId="17" w16cid:durableId="676033370">
    <w:abstractNumId w:val="12"/>
  </w:num>
  <w:num w:numId="18" w16cid:durableId="1742554342">
    <w:abstractNumId w:val="18"/>
  </w:num>
  <w:num w:numId="19" w16cid:durableId="613287013">
    <w:abstractNumId w:val="21"/>
  </w:num>
  <w:num w:numId="20" w16cid:durableId="8067070">
    <w:abstractNumId w:val="11"/>
  </w:num>
  <w:num w:numId="21" w16cid:durableId="825434180">
    <w:abstractNumId w:val="0"/>
  </w:num>
  <w:num w:numId="22" w16cid:durableId="1082681076">
    <w:abstractNumId w:val="23"/>
  </w:num>
  <w:num w:numId="23" w16cid:durableId="1901165520">
    <w:abstractNumId w:val="28"/>
  </w:num>
  <w:num w:numId="24" w16cid:durableId="1991010767">
    <w:abstractNumId w:val="22"/>
  </w:num>
  <w:num w:numId="25" w16cid:durableId="1542282676">
    <w:abstractNumId w:val="17"/>
  </w:num>
  <w:num w:numId="26" w16cid:durableId="986973659">
    <w:abstractNumId w:val="14"/>
  </w:num>
  <w:num w:numId="27" w16cid:durableId="815336034">
    <w:abstractNumId w:val="27"/>
  </w:num>
  <w:num w:numId="28" w16cid:durableId="1895651473">
    <w:abstractNumId w:val="8"/>
  </w:num>
  <w:num w:numId="29" w16cid:durableId="1858687908">
    <w:abstractNumId w:val="4"/>
  </w:num>
  <w:num w:numId="30" w16cid:durableId="1758164458">
    <w:abstractNumId w:val="20"/>
  </w:num>
  <w:num w:numId="31" w16cid:durableId="14255411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943"/>
    <w:rsid w:val="00000954"/>
    <w:rsid w:val="00001C42"/>
    <w:rsid w:val="00001E72"/>
    <w:rsid w:val="0000226C"/>
    <w:rsid w:val="0000363D"/>
    <w:rsid w:val="00004596"/>
    <w:rsid w:val="00004B72"/>
    <w:rsid w:val="00005419"/>
    <w:rsid w:val="000054D2"/>
    <w:rsid w:val="00005B3F"/>
    <w:rsid w:val="00005DB1"/>
    <w:rsid w:val="00006511"/>
    <w:rsid w:val="00006C79"/>
    <w:rsid w:val="000070E2"/>
    <w:rsid w:val="00010564"/>
    <w:rsid w:val="000118C2"/>
    <w:rsid w:val="00011AF5"/>
    <w:rsid w:val="0001227F"/>
    <w:rsid w:val="00012832"/>
    <w:rsid w:val="00015933"/>
    <w:rsid w:val="000159E5"/>
    <w:rsid w:val="0001656C"/>
    <w:rsid w:val="000175B3"/>
    <w:rsid w:val="000176E6"/>
    <w:rsid w:val="000202BA"/>
    <w:rsid w:val="00020581"/>
    <w:rsid w:val="00020ED0"/>
    <w:rsid w:val="00020FE5"/>
    <w:rsid w:val="000213CC"/>
    <w:rsid w:val="000221E0"/>
    <w:rsid w:val="00023E9F"/>
    <w:rsid w:val="00024480"/>
    <w:rsid w:val="0002473E"/>
    <w:rsid w:val="00025805"/>
    <w:rsid w:val="000264B4"/>
    <w:rsid w:val="000265A3"/>
    <w:rsid w:val="00027099"/>
    <w:rsid w:val="00027B22"/>
    <w:rsid w:val="00027BAD"/>
    <w:rsid w:val="00031418"/>
    <w:rsid w:val="00031478"/>
    <w:rsid w:val="00035040"/>
    <w:rsid w:val="00036FAB"/>
    <w:rsid w:val="00037707"/>
    <w:rsid w:val="00037C17"/>
    <w:rsid w:val="00040FA4"/>
    <w:rsid w:val="00041985"/>
    <w:rsid w:val="000427B8"/>
    <w:rsid w:val="00043889"/>
    <w:rsid w:val="00043DB1"/>
    <w:rsid w:val="00044002"/>
    <w:rsid w:val="000444EA"/>
    <w:rsid w:val="000447C5"/>
    <w:rsid w:val="000458CD"/>
    <w:rsid w:val="0004612A"/>
    <w:rsid w:val="00047DF1"/>
    <w:rsid w:val="000509DD"/>
    <w:rsid w:val="00050AF7"/>
    <w:rsid w:val="00051022"/>
    <w:rsid w:val="00051A5B"/>
    <w:rsid w:val="00052C6A"/>
    <w:rsid w:val="00053780"/>
    <w:rsid w:val="00053EE4"/>
    <w:rsid w:val="00055000"/>
    <w:rsid w:val="000559DE"/>
    <w:rsid w:val="00055CBC"/>
    <w:rsid w:val="000563EB"/>
    <w:rsid w:val="00056A4F"/>
    <w:rsid w:val="00057396"/>
    <w:rsid w:val="000606C6"/>
    <w:rsid w:val="00060D7F"/>
    <w:rsid w:val="00063DEB"/>
    <w:rsid w:val="00066F52"/>
    <w:rsid w:val="0006711A"/>
    <w:rsid w:val="00072447"/>
    <w:rsid w:val="00072DB9"/>
    <w:rsid w:val="000733AD"/>
    <w:rsid w:val="0007445A"/>
    <w:rsid w:val="00074C45"/>
    <w:rsid w:val="000752D6"/>
    <w:rsid w:val="00075932"/>
    <w:rsid w:val="0007638A"/>
    <w:rsid w:val="00076C37"/>
    <w:rsid w:val="000770D8"/>
    <w:rsid w:val="00080102"/>
    <w:rsid w:val="00081E35"/>
    <w:rsid w:val="00083D1A"/>
    <w:rsid w:val="000841C2"/>
    <w:rsid w:val="000842AE"/>
    <w:rsid w:val="00084CF9"/>
    <w:rsid w:val="00086094"/>
    <w:rsid w:val="00086BE0"/>
    <w:rsid w:val="0008743D"/>
    <w:rsid w:val="000900C9"/>
    <w:rsid w:val="0009101B"/>
    <w:rsid w:val="00091B3B"/>
    <w:rsid w:val="00093324"/>
    <w:rsid w:val="0009491E"/>
    <w:rsid w:val="00095055"/>
    <w:rsid w:val="0009562F"/>
    <w:rsid w:val="00097293"/>
    <w:rsid w:val="000976B9"/>
    <w:rsid w:val="00097716"/>
    <w:rsid w:val="00097B42"/>
    <w:rsid w:val="000A019A"/>
    <w:rsid w:val="000A0285"/>
    <w:rsid w:val="000A0ECE"/>
    <w:rsid w:val="000A16EA"/>
    <w:rsid w:val="000A2779"/>
    <w:rsid w:val="000A29DE"/>
    <w:rsid w:val="000A2C3B"/>
    <w:rsid w:val="000A3ECF"/>
    <w:rsid w:val="000A4D59"/>
    <w:rsid w:val="000A5220"/>
    <w:rsid w:val="000A549A"/>
    <w:rsid w:val="000A6481"/>
    <w:rsid w:val="000A664C"/>
    <w:rsid w:val="000B064D"/>
    <w:rsid w:val="000B083D"/>
    <w:rsid w:val="000B0992"/>
    <w:rsid w:val="000B2005"/>
    <w:rsid w:val="000B32E2"/>
    <w:rsid w:val="000B3BFA"/>
    <w:rsid w:val="000B4C8F"/>
    <w:rsid w:val="000B510F"/>
    <w:rsid w:val="000B51A4"/>
    <w:rsid w:val="000B70C8"/>
    <w:rsid w:val="000B79A4"/>
    <w:rsid w:val="000C045B"/>
    <w:rsid w:val="000C11CC"/>
    <w:rsid w:val="000C12D3"/>
    <w:rsid w:val="000C12F1"/>
    <w:rsid w:val="000C1E4E"/>
    <w:rsid w:val="000C234E"/>
    <w:rsid w:val="000C3211"/>
    <w:rsid w:val="000C4910"/>
    <w:rsid w:val="000C502F"/>
    <w:rsid w:val="000C5651"/>
    <w:rsid w:val="000C6349"/>
    <w:rsid w:val="000C6834"/>
    <w:rsid w:val="000C78A3"/>
    <w:rsid w:val="000D011A"/>
    <w:rsid w:val="000D02A4"/>
    <w:rsid w:val="000D0E54"/>
    <w:rsid w:val="000D1749"/>
    <w:rsid w:val="000D1D61"/>
    <w:rsid w:val="000D2F41"/>
    <w:rsid w:val="000D32BB"/>
    <w:rsid w:val="000D49D0"/>
    <w:rsid w:val="000D4F26"/>
    <w:rsid w:val="000D56F1"/>
    <w:rsid w:val="000D5D2B"/>
    <w:rsid w:val="000D684D"/>
    <w:rsid w:val="000D6EF9"/>
    <w:rsid w:val="000E087A"/>
    <w:rsid w:val="000E0B50"/>
    <w:rsid w:val="000E0C43"/>
    <w:rsid w:val="000E1975"/>
    <w:rsid w:val="000E2B4E"/>
    <w:rsid w:val="000E2FCE"/>
    <w:rsid w:val="000E3B1C"/>
    <w:rsid w:val="000E42A4"/>
    <w:rsid w:val="000E4810"/>
    <w:rsid w:val="000E4ABC"/>
    <w:rsid w:val="000E55F2"/>
    <w:rsid w:val="000E563F"/>
    <w:rsid w:val="000E59CE"/>
    <w:rsid w:val="000E5F43"/>
    <w:rsid w:val="000E7D75"/>
    <w:rsid w:val="000F02C1"/>
    <w:rsid w:val="000F02FD"/>
    <w:rsid w:val="000F0342"/>
    <w:rsid w:val="000F0636"/>
    <w:rsid w:val="000F0A03"/>
    <w:rsid w:val="000F0B04"/>
    <w:rsid w:val="000F30E9"/>
    <w:rsid w:val="000F3195"/>
    <w:rsid w:val="000F426C"/>
    <w:rsid w:val="000F4318"/>
    <w:rsid w:val="000F617D"/>
    <w:rsid w:val="000F61F5"/>
    <w:rsid w:val="000F680C"/>
    <w:rsid w:val="000F70CA"/>
    <w:rsid w:val="00100269"/>
    <w:rsid w:val="001002CD"/>
    <w:rsid w:val="00100394"/>
    <w:rsid w:val="0010159F"/>
    <w:rsid w:val="00102262"/>
    <w:rsid w:val="0010268F"/>
    <w:rsid w:val="0010277A"/>
    <w:rsid w:val="00102D9A"/>
    <w:rsid w:val="00103662"/>
    <w:rsid w:val="0010371D"/>
    <w:rsid w:val="00105514"/>
    <w:rsid w:val="00105918"/>
    <w:rsid w:val="00105ACC"/>
    <w:rsid w:val="00105BE4"/>
    <w:rsid w:val="00105DB5"/>
    <w:rsid w:val="00106451"/>
    <w:rsid w:val="00106D78"/>
    <w:rsid w:val="00106F70"/>
    <w:rsid w:val="00107915"/>
    <w:rsid w:val="001102C6"/>
    <w:rsid w:val="001104C5"/>
    <w:rsid w:val="001106DD"/>
    <w:rsid w:val="00110C31"/>
    <w:rsid w:val="00110E3B"/>
    <w:rsid w:val="0011113B"/>
    <w:rsid w:val="001126B2"/>
    <w:rsid w:val="00112AA1"/>
    <w:rsid w:val="00112C5A"/>
    <w:rsid w:val="00112D3E"/>
    <w:rsid w:val="00112E70"/>
    <w:rsid w:val="0011443F"/>
    <w:rsid w:val="0011553C"/>
    <w:rsid w:val="00115D53"/>
    <w:rsid w:val="00115DDC"/>
    <w:rsid w:val="00116003"/>
    <w:rsid w:val="00116F4B"/>
    <w:rsid w:val="001177C9"/>
    <w:rsid w:val="00117860"/>
    <w:rsid w:val="001209DC"/>
    <w:rsid w:val="00120FB7"/>
    <w:rsid w:val="001226BC"/>
    <w:rsid w:val="00122810"/>
    <w:rsid w:val="00122CC4"/>
    <w:rsid w:val="0012351B"/>
    <w:rsid w:val="00123FF9"/>
    <w:rsid w:val="00124EF9"/>
    <w:rsid w:val="001253CC"/>
    <w:rsid w:val="001259D2"/>
    <w:rsid w:val="00126A7F"/>
    <w:rsid w:val="001271C2"/>
    <w:rsid w:val="00130063"/>
    <w:rsid w:val="00130359"/>
    <w:rsid w:val="001306A2"/>
    <w:rsid w:val="00131D36"/>
    <w:rsid w:val="00131E24"/>
    <w:rsid w:val="00131E94"/>
    <w:rsid w:val="00132159"/>
    <w:rsid w:val="00132EE9"/>
    <w:rsid w:val="0013407D"/>
    <w:rsid w:val="001348D9"/>
    <w:rsid w:val="00134A41"/>
    <w:rsid w:val="00134F6E"/>
    <w:rsid w:val="001361CA"/>
    <w:rsid w:val="00136519"/>
    <w:rsid w:val="0013679D"/>
    <w:rsid w:val="00136825"/>
    <w:rsid w:val="00136D3A"/>
    <w:rsid w:val="00136EC9"/>
    <w:rsid w:val="00136FC5"/>
    <w:rsid w:val="00136FC7"/>
    <w:rsid w:val="00137050"/>
    <w:rsid w:val="0013716D"/>
    <w:rsid w:val="00137560"/>
    <w:rsid w:val="00140854"/>
    <w:rsid w:val="00140E10"/>
    <w:rsid w:val="00142116"/>
    <w:rsid w:val="001438F4"/>
    <w:rsid w:val="00143BF5"/>
    <w:rsid w:val="00143DCC"/>
    <w:rsid w:val="00144794"/>
    <w:rsid w:val="00144D53"/>
    <w:rsid w:val="00144D9A"/>
    <w:rsid w:val="00145506"/>
    <w:rsid w:val="001457AA"/>
    <w:rsid w:val="00145E7A"/>
    <w:rsid w:val="00146F46"/>
    <w:rsid w:val="0015125A"/>
    <w:rsid w:val="00151A74"/>
    <w:rsid w:val="001526EE"/>
    <w:rsid w:val="0015278B"/>
    <w:rsid w:val="0015295E"/>
    <w:rsid w:val="00152A73"/>
    <w:rsid w:val="001534F6"/>
    <w:rsid w:val="00153692"/>
    <w:rsid w:val="00154B70"/>
    <w:rsid w:val="00154EE2"/>
    <w:rsid w:val="001553F8"/>
    <w:rsid w:val="00155A3F"/>
    <w:rsid w:val="00157080"/>
    <w:rsid w:val="001570E1"/>
    <w:rsid w:val="00157C6A"/>
    <w:rsid w:val="001605B3"/>
    <w:rsid w:val="001622C2"/>
    <w:rsid w:val="00162D23"/>
    <w:rsid w:val="001633ED"/>
    <w:rsid w:val="00163F5F"/>
    <w:rsid w:val="00165DDC"/>
    <w:rsid w:val="0016769F"/>
    <w:rsid w:val="00170298"/>
    <w:rsid w:val="00170CF6"/>
    <w:rsid w:val="001715A2"/>
    <w:rsid w:val="0017388B"/>
    <w:rsid w:val="00173D31"/>
    <w:rsid w:val="0017441E"/>
    <w:rsid w:val="0017486D"/>
    <w:rsid w:val="00175839"/>
    <w:rsid w:val="00175A85"/>
    <w:rsid w:val="00175E6C"/>
    <w:rsid w:val="00175FBC"/>
    <w:rsid w:val="00176669"/>
    <w:rsid w:val="001766FF"/>
    <w:rsid w:val="00176C20"/>
    <w:rsid w:val="00176DFC"/>
    <w:rsid w:val="00177598"/>
    <w:rsid w:val="00180856"/>
    <w:rsid w:val="001808FE"/>
    <w:rsid w:val="0018097B"/>
    <w:rsid w:val="00180A13"/>
    <w:rsid w:val="00182C97"/>
    <w:rsid w:val="00183066"/>
    <w:rsid w:val="001833C7"/>
    <w:rsid w:val="00183FB4"/>
    <w:rsid w:val="00184412"/>
    <w:rsid w:val="00186A72"/>
    <w:rsid w:val="001903B2"/>
    <w:rsid w:val="001906F3"/>
    <w:rsid w:val="00192933"/>
    <w:rsid w:val="001929FC"/>
    <w:rsid w:val="00195C6D"/>
    <w:rsid w:val="001961C5"/>
    <w:rsid w:val="00196F95"/>
    <w:rsid w:val="00197315"/>
    <w:rsid w:val="0019772B"/>
    <w:rsid w:val="001A05A9"/>
    <w:rsid w:val="001A2614"/>
    <w:rsid w:val="001A2623"/>
    <w:rsid w:val="001A463E"/>
    <w:rsid w:val="001A46CC"/>
    <w:rsid w:val="001A6304"/>
    <w:rsid w:val="001B1060"/>
    <w:rsid w:val="001B11F1"/>
    <w:rsid w:val="001B1467"/>
    <w:rsid w:val="001B1C5E"/>
    <w:rsid w:val="001B2B23"/>
    <w:rsid w:val="001B2E5E"/>
    <w:rsid w:val="001B3197"/>
    <w:rsid w:val="001B39D3"/>
    <w:rsid w:val="001B4DA8"/>
    <w:rsid w:val="001B59D5"/>
    <w:rsid w:val="001B59D9"/>
    <w:rsid w:val="001B5F14"/>
    <w:rsid w:val="001B6935"/>
    <w:rsid w:val="001B7154"/>
    <w:rsid w:val="001C091C"/>
    <w:rsid w:val="001C121C"/>
    <w:rsid w:val="001C150C"/>
    <w:rsid w:val="001C1FAA"/>
    <w:rsid w:val="001C2261"/>
    <w:rsid w:val="001C266E"/>
    <w:rsid w:val="001C280D"/>
    <w:rsid w:val="001C306A"/>
    <w:rsid w:val="001C49DC"/>
    <w:rsid w:val="001C6945"/>
    <w:rsid w:val="001C698F"/>
    <w:rsid w:val="001C7200"/>
    <w:rsid w:val="001C7CD3"/>
    <w:rsid w:val="001C7F88"/>
    <w:rsid w:val="001D12D6"/>
    <w:rsid w:val="001D169B"/>
    <w:rsid w:val="001D1B1C"/>
    <w:rsid w:val="001D2B76"/>
    <w:rsid w:val="001D2C14"/>
    <w:rsid w:val="001D2ECE"/>
    <w:rsid w:val="001D3292"/>
    <w:rsid w:val="001D39E5"/>
    <w:rsid w:val="001D3C90"/>
    <w:rsid w:val="001D43DB"/>
    <w:rsid w:val="001D474C"/>
    <w:rsid w:val="001D4A3B"/>
    <w:rsid w:val="001D5BB9"/>
    <w:rsid w:val="001D6B1A"/>
    <w:rsid w:val="001D7365"/>
    <w:rsid w:val="001D7DA5"/>
    <w:rsid w:val="001E15FD"/>
    <w:rsid w:val="001E1AED"/>
    <w:rsid w:val="001E27B8"/>
    <w:rsid w:val="001E31AB"/>
    <w:rsid w:val="001E3706"/>
    <w:rsid w:val="001E3B01"/>
    <w:rsid w:val="001E4032"/>
    <w:rsid w:val="001E432A"/>
    <w:rsid w:val="001E4370"/>
    <w:rsid w:val="001E4D27"/>
    <w:rsid w:val="001E5169"/>
    <w:rsid w:val="001E5571"/>
    <w:rsid w:val="001E60C5"/>
    <w:rsid w:val="001E6F5D"/>
    <w:rsid w:val="001E71FE"/>
    <w:rsid w:val="001F0819"/>
    <w:rsid w:val="001F1677"/>
    <w:rsid w:val="001F1C52"/>
    <w:rsid w:val="001F2A1F"/>
    <w:rsid w:val="001F3DF4"/>
    <w:rsid w:val="001F49EA"/>
    <w:rsid w:val="001F5CF7"/>
    <w:rsid w:val="001F64C3"/>
    <w:rsid w:val="001F6A78"/>
    <w:rsid w:val="001F6E8A"/>
    <w:rsid w:val="001F72D8"/>
    <w:rsid w:val="001F7B28"/>
    <w:rsid w:val="002010C8"/>
    <w:rsid w:val="0020111C"/>
    <w:rsid w:val="0020121A"/>
    <w:rsid w:val="00201DDA"/>
    <w:rsid w:val="002027D4"/>
    <w:rsid w:val="0020296D"/>
    <w:rsid w:val="00203021"/>
    <w:rsid w:val="00203302"/>
    <w:rsid w:val="00203A7B"/>
    <w:rsid w:val="00203F87"/>
    <w:rsid w:val="002045A5"/>
    <w:rsid w:val="0020488B"/>
    <w:rsid w:val="00204F09"/>
    <w:rsid w:val="0020667A"/>
    <w:rsid w:val="0020698C"/>
    <w:rsid w:val="00206F7E"/>
    <w:rsid w:val="00207AE7"/>
    <w:rsid w:val="00207BE5"/>
    <w:rsid w:val="00207CB1"/>
    <w:rsid w:val="002105A2"/>
    <w:rsid w:val="00210A9C"/>
    <w:rsid w:val="00211E6F"/>
    <w:rsid w:val="002128AF"/>
    <w:rsid w:val="002137B0"/>
    <w:rsid w:val="002138C0"/>
    <w:rsid w:val="002150BF"/>
    <w:rsid w:val="00215481"/>
    <w:rsid w:val="00216187"/>
    <w:rsid w:val="00216A54"/>
    <w:rsid w:val="00217881"/>
    <w:rsid w:val="0022075B"/>
    <w:rsid w:val="00221F77"/>
    <w:rsid w:val="00221FF5"/>
    <w:rsid w:val="002226C1"/>
    <w:rsid w:val="00222917"/>
    <w:rsid w:val="00222DB9"/>
    <w:rsid w:val="002244BA"/>
    <w:rsid w:val="00224E2B"/>
    <w:rsid w:val="0022581B"/>
    <w:rsid w:val="00225F51"/>
    <w:rsid w:val="0022648E"/>
    <w:rsid w:val="00226AB8"/>
    <w:rsid w:val="00226F32"/>
    <w:rsid w:val="00227ACD"/>
    <w:rsid w:val="00227C82"/>
    <w:rsid w:val="002307C1"/>
    <w:rsid w:val="0023165F"/>
    <w:rsid w:val="00231F3A"/>
    <w:rsid w:val="002328F4"/>
    <w:rsid w:val="0023390F"/>
    <w:rsid w:val="0023393E"/>
    <w:rsid w:val="0023493E"/>
    <w:rsid w:val="00235942"/>
    <w:rsid w:val="00236538"/>
    <w:rsid w:val="0023703D"/>
    <w:rsid w:val="002375B2"/>
    <w:rsid w:val="00237A71"/>
    <w:rsid w:val="00237E0B"/>
    <w:rsid w:val="00242D73"/>
    <w:rsid w:val="002443DF"/>
    <w:rsid w:val="002446E1"/>
    <w:rsid w:val="00244923"/>
    <w:rsid w:val="002472A6"/>
    <w:rsid w:val="00247512"/>
    <w:rsid w:val="00247A4D"/>
    <w:rsid w:val="00250212"/>
    <w:rsid w:val="002507F2"/>
    <w:rsid w:val="00250C73"/>
    <w:rsid w:val="00251163"/>
    <w:rsid w:val="00251393"/>
    <w:rsid w:val="0025241A"/>
    <w:rsid w:val="0025305E"/>
    <w:rsid w:val="00253D09"/>
    <w:rsid w:val="00254CA2"/>
    <w:rsid w:val="002556C2"/>
    <w:rsid w:val="00256268"/>
    <w:rsid w:val="002567A3"/>
    <w:rsid w:val="00260219"/>
    <w:rsid w:val="00260B2C"/>
    <w:rsid w:val="0026106F"/>
    <w:rsid w:val="0026210C"/>
    <w:rsid w:val="0026268C"/>
    <w:rsid w:val="00262B7F"/>
    <w:rsid w:val="00263207"/>
    <w:rsid w:val="00264741"/>
    <w:rsid w:val="00264C92"/>
    <w:rsid w:val="0026639E"/>
    <w:rsid w:val="00266980"/>
    <w:rsid w:val="00266ACC"/>
    <w:rsid w:val="00267ACA"/>
    <w:rsid w:val="002707C5"/>
    <w:rsid w:val="00270A4E"/>
    <w:rsid w:val="00270E60"/>
    <w:rsid w:val="00270F52"/>
    <w:rsid w:val="00271563"/>
    <w:rsid w:val="00271569"/>
    <w:rsid w:val="00272177"/>
    <w:rsid w:val="002725DA"/>
    <w:rsid w:val="00274645"/>
    <w:rsid w:val="00274844"/>
    <w:rsid w:val="002748F6"/>
    <w:rsid w:val="00274D15"/>
    <w:rsid w:val="00275209"/>
    <w:rsid w:val="00277397"/>
    <w:rsid w:val="00277D90"/>
    <w:rsid w:val="0028055F"/>
    <w:rsid w:val="002808DB"/>
    <w:rsid w:val="00280AB4"/>
    <w:rsid w:val="00280D31"/>
    <w:rsid w:val="00280F92"/>
    <w:rsid w:val="002817B5"/>
    <w:rsid w:val="00282BE6"/>
    <w:rsid w:val="00283681"/>
    <w:rsid w:val="00284721"/>
    <w:rsid w:val="0028530F"/>
    <w:rsid w:val="002853A9"/>
    <w:rsid w:val="00285A75"/>
    <w:rsid w:val="00287580"/>
    <w:rsid w:val="00290498"/>
    <w:rsid w:val="0029071C"/>
    <w:rsid w:val="00291656"/>
    <w:rsid w:val="0029179B"/>
    <w:rsid w:val="00291BE8"/>
    <w:rsid w:val="00293122"/>
    <w:rsid w:val="0029502E"/>
    <w:rsid w:val="00296021"/>
    <w:rsid w:val="0029774E"/>
    <w:rsid w:val="00297B85"/>
    <w:rsid w:val="002A0002"/>
    <w:rsid w:val="002A02A1"/>
    <w:rsid w:val="002A04EB"/>
    <w:rsid w:val="002A07F7"/>
    <w:rsid w:val="002A1748"/>
    <w:rsid w:val="002A23FA"/>
    <w:rsid w:val="002A266C"/>
    <w:rsid w:val="002A2CE3"/>
    <w:rsid w:val="002A31A1"/>
    <w:rsid w:val="002A3CF3"/>
    <w:rsid w:val="002A3F7E"/>
    <w:rsid w:val="002A4191"/>
    <w:rsid w:val="002A5D11"/>
    <w:rsid w:val="002A6290"/>
    <w:rsid w:val="002A6A60"/>
    <w:rsid w:val="002B1743"/>
    <w:rsid w:val="002B1996"/>
    <w:rsid w:val="002B35B7"/>
    <w:rsid w:val="002B3AB2"/>
    <w:rsid w:val="002B4617"/>
    <w:rsid w:val="002B4641"/>
    <w:rsid w:val="002B5069"/>
    <w:rsid w:val="002B58A5"/>
    <w:rsid w:val="002B724C"/>
    <w:rsid w:val="002C02A9"/>
    <w:rsid w:val="002C0719"/>
    <w:rsid w:val="002C179D"/>
    <w:rsid w:val="002C18CD"/>
    <w:rsid w:val="002C2C2B"/>
    <w:rsid w:val="002C30D4"/>
    <w:rsid w:val="002C47FE"/>
    <w:rsid w:val="002C513E"/>
    <w:rsid w:val="002C5B51"/>
    <w:rsid w:val="002D1376"/>
    <w:rsid w:val="002D238E"/>
    <w:rsid w:val="002D2A30"/>
    <w:rsid w:val="002D2DC7"/>
    <w:rsid w:val="002D3F94"/>
    <w:rsid w:val="002D4720"/>
    <w:rsid w:val="002D49FB"/>
    <w:rsid w:val="002D4A25"/>
    <w:rsid w:val="002D4DF8"/>
    <w:rsid w:val="002D6038"/>
    <w:rsid w:val="002D7231"/>
    <w:rsid w:val="002E0041"/>
    <w:rsid w:val="002E1390"/>
    <w:rsid w:val="002E1AEB"/>
    <w:rsid w:val="002E1DBF"/>
    <w:rsid w:val="002E2498"/>
    <w:rsid w:val="002E3105"/>
    <w:rsid w:val="002E320D"/>
    <w:rsid w:val="002E3E1D"/>
    <w:rsid w:val="002E4CA1"/>
    <w:rsid w:val="002E4EFD"/>
    <w:rsid w:val="002E5E57"/>
    <w:rsid w:val="002E6192"/>
    <w:rsid w:val="002E6312"/>
    <w:rsid w:val="002E6C7C"/>
    <w:rsid w:val="002F0118"/>
    <w:rsid w:val="002F0F08"/>
    <w:rsid w:val="002F1752"/>
    <w:rsid w:val="002F1AFD"/>
    <w:rsid w:val="002F20C7"/>
    <w:rsid w:val="002F2F90"/>
    <w:rsid w:val="002F2FAA"/>
    <w:rsid w:val="002F416F"/>
    <w:rsid w:val="002F4373"/>
    <w:rsid w:val="002F43DE"/>
    <w:rsid w:val="002F477C"/>
    <w:rsid w:val="002F4A74"/>
    <w:rsid w:val="002F4CBD"/>
    <w:rsid w:val="002F4CDA"/>
    <w:rsid w:val="002F506A"/>
    <w:rsid w:val="002F52DA"/>
    <w:rsid w:val="002F557F"/>
    <w:rsid w:val="002F58FE"/>
    <w:rsid w:val="002F6432"/>
    <w:rsid w:val="002F6A6D"/>
    <w:rsid w:val="003012B9"/>
    <w:rsid w:val="0030161E"/>
    <w:rsid w:val="00301915"/>
    <w:rsid w:val="003028DC"/>
    <w:rsid w:val="003029D1"/>
    <w:rsid w:val="0030348A"/>
    <w:rsid w:val="00303B0E"/>
    <w:rsid w:val="003045DD"/>
    <w:rsid w:val="00304727"/>
    <w:rsid w:val="0030613B"/>
    <w:rsid w:val="00306844"/>
    <w:rsid w:val="003077DD"/>
    <w:rsid w:val="003111F3"/>
    <w:rsid w:val="003131EC"/>
    <w:rsid w:val="003134AE"/>
    <w:rsid w:val="00313DD8"/>
    <w:rsid w:val="003142AD"/>
    <w:rsid w:val="003143A4"/>
    <w:rsid w:val="00314AB6"/>
    <w:rsid w:val="00314CF6"/>
    <w:rsid w:val="00315F32"/>
    <w:rsid w:val="00316BAA"/>
    <w:rsid w:val="00317242"/>
    <w:rsid w:val="00320811"/>
    <w:rsid w:val="00322BF9"/>
    <w:rsid w:val="00324743"/>
    <w:rsid w:val="00324769"/>
    <w:rsid w:val="00324B27"/>
    <w:rsid w:val="003253AF"/>
    <w:rsid w:val="003258C4"/>
    <w:rsid w:val="00327407"/>
    <w:rsid w:val="00327CB6"/>
    <w:rsid w:val="00330A92"/>
    <w:rsid w:val="003315E9"/>
    <w:rsid w:val="0033298A"/>
    <w:rsid w:val="00333B31"/>
    <w:rsid w:val="00334257"/>
    <w:rsid w:val="0033440C"/>
    <w:rsid w:val="00335341"/>
    <w:rsid w:val="00335B88"/>
    <w:rsid w:val="00336412"/>
    <w:rsid w:val="00336CA6"/>
    <w:rsid w:val="00337157"/>
    <w:rsid w:val="003373BE"/>
    <w:rsid w:val="00340F22"/>
    <w:rsid w:val="003411DB"/>
    <w:rsid w:val="003417B4"/>
    <w:rsid w:val="00341D86"/>
    <w:rsid w:val="003423A7"/>
    <w:rsid w:val="003426EE"/>
    <w:rsid w:val="0034310E"/>
    <w:rsid w:val="00344213"/>
    <w:rsid w:val="003444F4"/>
    <w:rsid w:val="00344B88"/>
    <w:rsid w:val="00344EBB"/>
    <w:rsid w:val="00345842"/>
    <w:rsid w:val="0034612F"/>
    <w:rsid w:val="00346684"/>
    <w:rsid w:val="003472AF"/>
    <w:rsid w:val="00347FD9"/>
    <w:rsid w:val="003508FE"/>
    <w:rsid w:val="00351369"/>
    <w:rsid w:val="0035167B"/>
    <w:rsid w:val="003522BD"/>
    <w:rsid w:val="00352D4E"/>
    <w:rsid w:val="003543D2"/>
    <w:rsid w:val="0035493D"/>
    <w:rsid w:val="00356528"/>
    <w:rsid w:val="00356A6D"/>
    <w:rsid w:val="00356C7A"/>
    <w:rsid w:val="00356FF7"/>
    <w:rsid w:val="0035718C"/>
    <w:rsid w:val="003600A2"/>
    <w:rsid w:val="003608A1"/>
    <w:rsid w:val="003608FD"/>
    <w:rsid w:val="0036420C"/>
    <w:rsid w:val="00364A11"/>
    <w:rsid w:val="00366057"/>
    <w:rsid w:val="00366A68"/>
    <w:rsid w:val="003677E2"/>
    <w:rsid w:val="0037051F"/>
    <w:rsid w:val="003707E0"/>
    <w:rsid w:val="00370F35"/>
    <w:rsid w:val="003725F0"/>
    <w:rsid w:val="003732C7"/>
    <w:rsid w:val="0037346E"/>
    <w:rsid w:val="003739F0"/>
    <w:rsid w:val="00373FC2"/>
    <w:rsid w:val="003742A8"/>
    <w:rsid w:val="003749A5"/>
    <w:rsid w:val="00375CF8"/>
    <w:rsid w:val="00376918"/>
    <w:rsid w:val="00376F07"/>
    <w:rsid w:val="003775A3"/>
    <w:rsid w:val="00380502"/>
    <w:rsid w:val="00380788"/>
    <w:rsid w:val="003809CD"/>
    <w:rsid w:val="00381524"/>
    <w:rsid w:val="00381FAF"/>
    <w:rsid w:val="00383D10"/>
    <w:rsid w:val="00384170"/>
    <w:rsid w:val="003847A3"/>
    <w:rsid w:val="00385683"/>
    <w:rsid w:val="00386E7F"/>
    <w:rsid w:val="00387749"/>
    <w:rsid w:val="00387CB8"/>
    <w:rsid w:val="0039010C"/>
    <w:rsid w:val="00390C7F"/>
    <w:rsid w:val="00390E5C"/>
    <w:rsid w:val="00391AED"/>
    <w:rsid w:val="00391C4B"/>
    <w:rsid w:val="00391FA6"/>
    <w:rsid w:val="00393046"/>
    <w:rsid w:val="00394F6F"/>
    <w:rsid w:val="00395026"/>
    <w:rsid w:val="003952ED"/>
    <w:rsid w:val="00395549"/>
    <w:rsid w:val="00395F29"/>
    <w:rsid w:val="00396610"/>
    <w:rsid w:val="00396DEC"/>
    <w:rsid w:val="00396F9D"/>
    <w:rsid w:val="00397430"/>
    <w:rsid w:val="003A0443"/>
    <w:rsid w:val="003A0F5E"/>
    <w:rsid w:val="003A1E08"/>
    <w:rsid w:val="003A1F79"/>
    <w:rsid w:val="003A39B8"/>
    <w:rsid w:val="003A424B"/>
    <w:rsid w:val="003A46D3"/>
    <w:rsid w:val="003A542D"/>
    <w:rsid w:val="003A5636"/>
    <w:rsid w:val="003A5765"/>
    <w:rsid w:val="003A623D"/>
    <w:rsid w:val="003A68A3"/>
    <w:rsid w:val="003A76ED"/>
    <w:rsid w:val="003B0281"/>
    <w:rsid w:val="003B0433"/>
    <w:rsid w:val="003B04C1"/>
    <w:rsid w:val="003B2C84"/>
    <w:rsid w:val="003B4E23"/>
    <w:rsid w:val="003B4F01"/>
    <w:rsid w:val="003B505C"/>
    <w:rsid w:val="003B519E"/>
    <w:rsid w:val="003B5E6F"/>
    <w:rsid w:val="003B7AE1"/>
    <w:rsid w:val="003C0B1B"/>
    <w:rsid w:val="003C1195"/>
    <w:rsid w:val="003C12B6"/>
    <w:rsid w:val="003C185F"/>
    <w:rsid w:val="003C2D27"/>
    <w:rsid w:val="003C3451"/>
    <w:rsid w:val="003C373E"/>
    <w:rsid w:val="003C392F"/>
    <w:rsid w:val="003C3D7F"/>
    <w:rsid w:val="003C41DD"/>
    <w:rsid w:val="003C4DE7"/>
    <w:rsid w:val="003C5F2E"/>
    <w:rsid w:val="003C6326"/>
    <w:rsid w:val="003C6710"/>
    <w:rsid w:val="003C6D87"/>
    <w:rsid w:val="003C7600"/>
    <w:rsid w:val="003D079C"/>
    <w:rsid w:val="003D0D7D"/>
    <w:rsid w:val="003D164F"/>
    <w:rsid w:val="003D18F0"/>
    <w:rsid w:val="003D224C"/>
    <w:rsid w:val="003D2390"/>
    <w:rsid w:val="003D2EFA"/>
    <w:rsid w:val="003D3759"/>
    <w:rsid w:val="003D45D4"/>
    <w:rsid w:val="003D57E2"/>
    <w:rsid w:val="003D613B"/>
    <w:rsid w:val="003D684B"/>
    <w:rsid w:val="003D749F"/>
    <w:rsid w:val="003D7D9E"/>
    <w:rsid w:val="003E0FC6"/>
    <w:rsid w:val="003E14DF"/>
    <w:rsid w:val="003E1AAB"/>
    <w:rsid w:val="003E1F42"/>
    <w:rsid w:val="003E3584"/>
    <w:rsid w:val="003E382B"/>
    <w:rsid w:val="003E393C"/>
    <w:rsid w:val="003E3ACA"/>
    <w:rsid w:val="003E3DCB"/>
    <w:rsid w:val="003E4312"/>
    <w:rsid w:val="003E4820"/>
    <w:rsid w:val="003E48FA"/>
    <w:rsid w:val="003E4ADE"/>
    <w:rsid w:val="003E5891"/>
    <w:rsid w:val="003E7ED0"/>
    <w:rsid w:val="003F021E"/>
    <w:rsid w:val="003F03DF"/>
    <w:rsid w:val="003F1189"/>
    <w:rsid w:val="003F12BC"/>
    <w:rsid w:val="003F12D5"/>
    <w:rsid w:val="003F159E"/>
    <w:rsid w:val="003F1CB9"/>
    <w:rsid w:val="003F2050"/>
    <w:rsid w:val="003F37CA"/>
    <w:rsid w:val="003F3922"/>
    <w:rsid w:val="003F470D"/>
    <w:rsid w:val="003F512D"/>
    <w:rsid w:val="003F56AD"/>
    <w:rsid w:val="003F6A8D"/>
    <w:rsid w:val="003F6E69"/>
    <w:rsid w:val="003F7F31"/>
    <w:rsid w:val="004009B6"/>
    <w:rsid w:val="00400E23"/>
    <w:rsid w:val="004015AF"/>
    <w:rsid w:val="00401CD3"/>
    <w:rsid w:val="00401F79"/>
    <w:rsid w:val="00402778"/>
    <w:rsid w:val="00402D75"/>
    <w:rsid w:val="00402E19"/>
    <w:rsid w:val="00402FA1"/>
    <w:rsid w:val="00403744"/>
    <w:rsid w:val="0040474A"/>
    <w:rsid w:val="00404E84"/>
    <w:rsid w:val="00405D7E"/>
    <w:rsid w:val="00406F40"/>
    <w:rsid w:val="00407FB6"/>
    <w:rsid w:val="00410561"/>
    <w:rsid w:val="004120D6"/>
    <w:rsid w:val="00412186"/>
    <w:rsid w:val="00412763"/>
    <w:rsid w:val="00412A2D"/>
    <w:rsid w:val="00413258"/>
    <w:rsid w:val="0041355F"/>
    <w:rsid w:val="00414181"/>
    <w:rsid w:val="0041427D"/>
    <w:rsid w:val="00414AD4"/>
    <w:rsid w:val="0041521E"/>
    <w:rsid w:val="004164DD"/>
    <w:rsid w:val="00416763"/>
    <w:rsid w:val="0041745A"/>
    <w:rsid w:val="004179B3"/>
    <w:rsid w:val="004207D5"/>
    <w:rsid w:val="00422B81"/>
    <w:rsid w:val="00422E44"/>
    <w:rsid w:val="004231FB"/>
    <w:rsid w:val="00423374"/>
    <w:rsid w:val="00423E0D"/>
    <w:rsid w:val="004257BB"/>
    <w:rsid w:val="00425883"/>
    <w:rsid w:val="00425A84"/>
    <w:rsid w:val="00425B3B"/>
    <w:rsid w:val="0042602B"/>
    <w:rsid w:val="004279BD"/>
    <w:rsid w:val="00430F3C"/>
    <w:rsid w:val="004325D3"/>
    <w:rsid w:val="00435176"/>
    <w:rsid w:val="00436085"/>
    <w:rsid w:val="00436F5C"/>
    <w:rsid w:val="004371EE"/>
    <w:rsid w:val="00437589"/>
    <w:rsid w:val="0043780A"/>
    <w:rsid w:val="00440A53"/>
    <w:rsid w:val="00441C0D"/>
    <w:rsid w:val="00442170"/>
    <w:rsid w:val="0044352D"/>
    <w:rsid w:val="004444EE"/>
    <w:rsid w:val="004445E7"/>
    <w:rsid w:val="0044491F"/>
    <w:rsid w:val="00444BDA"/>
    <w:rsid w:val="00445609"/>
    <w:rsid w:val="004464CF"/>
    <w:rsid w:val="00446AAD"/>
    <w:rsid w:val="004476C2"/>
    <w:rsid w:val="00451368"/>
    <w:rsid w:val="004522D4"/>
    <w:rsid w:val="00452B0E"/>
    <w:rsid w:val="00453473"/>
    <w:rsid w:val="004555E6"/>
    <w:rsid w:val="00456A9B"/>
    <w:rsid w:val="00460772"/>
    <w:rsid w:val="00461E79"/>
    <w:rsid w:val="00462717"/>
    <w:rsid w:val="004641CC"/>
    <w:rsid w:val="0046433E"/>
    <w:rsid w:val="00464E64"/>
    <w:rsid w:val="00465403"/>
    <w:rsid w:val="00465526"/>
    <w:rsid w:val="0046651A"/>
    <w:rsid w:val="004674AA"/>
    <w:rsid w:val="004714FB"/>
    <w:rsid w:val="004718BD"/>
    <w:rsid w:val="00471B86"/>
    <w:rsid w:val="00471D6F"/>
    <w:rsid w:val="00472210"/>
    <w:rsid w:val="00473C52"/>
    <w:rsid w:val="00474524"/>
    <w:rsid w:val="00475D5E"/>
    <w:rsid w:val="00475F13"/>
    <w:rsid w:val="0047661B"/>
    <w:rsid w:val="00476A2A"/>
    <w:rsid w:val="00477094"/>
    <w:rsid w:val="0047757F"/>
    <w:rsid w:val="00477AF5"/>
    <w:rsid w:val="00477CEB"/>
    <w:rsid w:val="004803D6"/>
    <w:rsid w:val="00480B75"/>
    <w:rsid w:val="00483136"/>
    <w:rsid w:val="0048354D"/>
    <w:rsid w:val="00483FA6"/>
    <w:rsid w:val="0048489E"/>
    <w:rsid w:val="004852E3"/>
    <w:rsid w:val="00485ADC"/>
    <w:rsid w:val="00486858"/>
    <w:rsid w:val="00486BC4"/>
    <w:rsid w:val="00486C1D"/>
    <w:rsid w:val="004904F6"/>
    <w:rsid w:val="00490505"/>
    <w:rsid w:val="004908DB"/>
    <w:rsid w:val="00490E04"/>
    <w:rsid w:val="00490E1A"/>
    <w:rsid w:val="00491DB6"/>
    <w:rsid w:val="00492636"/>
    <w:rsid w:val="004935C1"/>
    <w:rsid w:val="00493A20"/>
    <w:rsid w:val="00493C14"/>
    <w:rsid w:val="004951FE"/>
    <w:rsid w:val="00495C6A"/>
    <w:rsid w:val="004969D8"/>
    <w:rsid w:val="00496A0D"/>
    <w:rsid w:val="0049704E"/>
    <w:rsid w:val="004975FD"/>
    <w:rsid w:val="004979BF"/>
    <w:rsid w:val="004A1724"/>
    <w:rsid w:val="004A2349"/>
    <w:rsid w:val="004A31A7"/>
    <w:rsid w:val="004A435C"/>
    <w:rsid w:val="004A44DB"/>
    <w:rsid w:val="004A4D8B"/>
    <w:rsid w:val="004A4E6A"/>
    <w:rsid w:val="004A53BB"/>
    <w:rsid w:val="004A5428"/>
    <w:rsid w:val="004A5819"/>
    <w:rsid w:val="004A5C0E"/>
    <w:rsid w:val="004A5D84"/>
    <w:rsid w:val="004A6CE0"/>
    <w:rsid w:val="004A724B"/>
    <w:rsid w:val="004A74F4"/>
    <w:rsid w:val="004B1175"/>
    <w:rsid w:val="004B1442"/>
    <w:rsid w:val="004B1766"/>
    <w:rsid w:val="004B19DD"/>
    <w:rsid w:val="004B2E1A"/>
    <w:rsid w:val="004B3889"/>
    <w:rsid w:val="004B3E0D"/>
    <w:rsid w:val="004B3F04"/>
    <w:rsid w:val="004B441B"/>
    <w:rsid w:val="004B4571"/>
    <w:rsid w:val="004B4DE5"/>
    <w:rsid w:val="004B51F9"/>
    <w:rsid w:val="004B564F"/>
    <w:rsid w:val="004B6A7C"/>
    <w:rsid w:val="004B7ECE"/>
    <w:rsid w:val="004C04EA"/>
    <w:rsid w:val="004C0763"/>
    <w:rsid w:val="004C0A56"/>
    <w:rsid w:val="004C0AC1"/>
    <w:rsid w:val="004C10E7"/>
    <w:rsid w:val="004C23FB"/>
    <w:rsid w:val="004C3997"/>
    <w:rsid w:val="004C423D"/>
    <w:rsid w:val="004C4C1F"/>
    <w:rsid w:val="004C50BF"/>
    <w:rsid w:val="004C53CB"/>
    <w:rsid w:val="004C593C"/>
    <w:rsid w:val="004C629B"/>
    <w:rsid w:val="004C693B"/>
    <w:rsid w:val="004C751A"/>
    <w:rsid w:val="004C7E8B"/>
    <w:rsid w:val="004D0B15"/>
    <w:rsid w:val="004D0EBA"/>
    <w:rsid w:val="004D114D"/>
    <w:rsid w:val="004D14D3"/>
    <w:rsid w:val="004D18AC"/>
    <w:rsid w:val="004D23AD"/>
    <w:rsid w:val="004D3347"/>
    <w:rsid w:val="004D3E58"/>
    <w:rsid w:val="004D4156"/>
    <w:rsid w:val="004D4333"/>
    <w:rsid w:val="004D6531"/>
    <w:rsid w:val="004D6F30"/>
    <w:rsid w:val="004E011D"/>
    <w:rsid w:val="004E0D15"/>
    <w:rsid w:val="004E1AC6"/>
    <w:rsid w:val="004E2434"/>
    <w:rsid w:val="004E26E2"/>
    <w:rsid w:val="004E3070"/>
    <w:rsid w:val="004E32FB"/>
    <w:rsid w:val="004E3F0C"/>
    <w:rsid w:val="004E4B5B"/>
    <w:rsid w:val="004E5779"/>
    <w:rsid w:val="004E5E51"/>
    <w:rsid w:val="004E642B"/>
    <w:rsid w:val="004E668A"/>
    <w:rsid w:val="004E7E07"/>
    <w:rsid w:val="004F32E1"/>
    <w:rsid w:val="004F34F2"/>
    <w:rsid w:val="004F3D9B"/>
    <w:rsid w:val="004F4632"/>
    <w:rsid w:val="004F46CE"/>
    <w:rsid w:val="004F46D6"/>
    <w:rsid w:val="004F5C1C"/>
    <w:rsid w:val="004F62FF"/>
    <w:rsid w:val="004F69E2"/>
    <w:rsid w:val="004F6CFB"/>
    <w:rsid w:val="004F6EA8"/>
    <w:rsid w:val="004F70A7"/>
    <w:rsid w:val="005019FE"/>
    <w:rsid w:val="00502072"/>
    <w:rsid w:val="005027C2"/>
    <w:rsid w:val="00502C28"/>
    <w:rsid w:val="00503D06"/>
    <w:rsid w:val="00504229"/>
    <w:rsid w:val="00504370"/>
    <w:rsid w:val="00505434"/>
    <w:rsid w:val="00506126"/>
    <w:rsid w:val="005063FD"/>
    <w:rsid w:val="0050674F"/>
    <w:rsid w:val="005069C2"/>
    <w:rsid w:val="005070EC"/>
    <w:rsid w:val="00507747"/>
    <w:rsid w:val="00510452"/>
    <w:rsid w:val="00510AD7"/>
    <w:rsid w:val="00510EB1"/>
    <w:rsid w:val="0051164C"/>
    <w:rsid w:val="00512176"/>
    <w:rsid w:val="005122E9"/>
    <w:rsid w:val="005137DB"/>
    <w:rsid w:val="005142AC"/>
    <w:rsid w:val="0051437A"/>
    <w:rsid w:val="0051449F"/>
    <w:rsid w:val="00514960"/>
    <w:rsid w:val="0051508B"/>
    <w:rsid w:val="0051570C"/>
    <w:rsid w:val="00515A05"/>
    <w:rsid w:val="00515ECA"/>
    <w:rsid w:val="00516007"/>
    <w:rsid w:val="00517111"/>
    <w:rsid w:val="005203B7"/>
    <w:rsid w:val="005208BD"/>
    <w:rsid w:val="0052161C"/>
    <w:rsid w:val="00521FF6"/>
    <w:rsid w:val="0052347F"/>
    <w:rsid w:val="00527260"/>
    <w:rsid w:val="00527681"/>
    <w:rsid w:val="0052771A"/>
    <w:rsid w:val="00527FC5"/>
    <w:rsid w:val="00530245"/>
    <w:rsid w:val="00530967"/>
    <w:rsid w:val="00530DE6"/>
    <w:rsid w:val="00531FAE"/>
    <w:rsid w:val="00532041"/>
    <w:rsid w:val="005343BA"/>
    <w:rsid w:val="0053589B"/>
    <w:rsid w:val="00535CDB"/>
    <w:rsid w:val="00535E49"/>
    <w:rsid w:val="0053659F"/>
    <w:rsid w:val="00537D18"/>
    <w:rsid w:val="00537D95"/>
    <w:rsid w:val="005417AF"/>
    <w:rsid w:val="00541D7D"/>
    <w:rsid w:val="00543780"/>
    <w:rsid w:val="005442D1"/>
    <w:rsid w:val="005448A4"/>
    <w:rsid w:val="005450EB"/>
    <w:rsid w:val="0054574A"/>
    <w:rsid w:val="00545AC2"/>
    <w:rsid w:val="00546646"/>
    <w:rsid w:val="0054665C"/>
    <w:rsid w:val="00547A43"/>
    <w:rsid w:val="00550C47"/>
    <w:rsid w:val="00552694"/>
    <w:rsid w:val="00552D45"/>
    <w:rsid w:val="0055337B"/>
    <w:rsid w:val="0055377C"/>
    <w:rsid w:val="00553860"/>
    <w:rsid w:val="005541F4"/>
    <w:rsid w:val="005545FE"/>
    <w:rsid w:val="00554717"/>
    <w:rsid w:val="00554741"/>
    <w:rsid w:val="00554FF2"/>
    <w:rsid w:val="00555261"/>
    <w:rsid w:val="00555C70"/>
    <w:rsid w:val="00556DE6"/>
    <w:rsid w:val="005574AF"/>
    <w:rsid w:val="0055785D"/>
    <w:rsid w:val="005578C6"/>
    <w:rsid w:val="00557A53"/>
    <w:rsid w:val="0056090E"/>
    <w:rsid w:val="005613B3"/>
    <w:rsid w:val="00561ED7"/>
    <w:rsid w:val="00562166"/>
    <w:rsid w:val="0056253E"/>
    <w:rsid w:val="00562995"/>
    <w:rsid w:val="00563855"/>
    <w:rsid w:val="005642DD"/>
    <w:rsid w:val="00564453"/>
    <w:rsid w:val="00566025"/>
    <w:rsid w:val="0056611F"/>
    <w:rsid w:val="005666D7"/>
    <w:rsid w:val="0056769C"/>
    <w:rsid w:val="005676A0"/>
    <w:rsid w:val="00567ADA"/>
    <w:rsid w:val="005718D7"/>
    <w:rsid w:val="00571AFD"/>
    <w:rsid w:val="00571BEE"/>
    <w:rsid w:val="00571C08"/>
    <w:rsid w:val="00571C69"/>
    <w:rsid w:val="00572232"/>
    <w:rsid w:val="005722E9"/>
    <w:rsid w:val="00572D52"/>
    <w:rsid w:val="00573D34"/>
    <w:rsid w:val="00573F62"/>
    <w:rsid w:val="00574588"/>
    <w:rsid w:val="00574592"/>
    <w:rsid w:val="00574619"/>
    <w:rsid w:val="005746F6"/>
    <w:rsid w:val="00574E26"/>
    <w:rsid w:val="00575D36"/>
    <w:rsid w:val="005761EE"/>
    <w:rsid w:val="00576C13"/>
    <w:rsid w:val="00576CB6"/>
    <w:rsid w:val="00576CF4"/>
    <w:rsid w:val="00577164"/>
    <w:rsid w:val="00577D9F"/>
    <w:rsid w:val="00580391"/>
    <w:rsid w:val="0058086E"/>
    <w:rsid w:val="005818DE"/>
    <w:rsid w:val="00581AC8"/>
    <w:rsid w:val="00581CC1"/>
    <w:rsid w:val="00582221"/>
    <w:rsid w:val="00584718"/>
    <w:rsid w:val="00584D4C"/>
    <w:rsid w:val="005861DC"/>
    <w:rsid w:val="0058622F"/>
    <w:rsid w:val="00586418"/>
    <w:rsid w:val="00586686"/>
    <w:rsid w:val="00587350"/>
    <w:rsid w:val="005874B8"/>
    <w:rsid w:val="00587BA9"/>
    <w:rsid w:val="0059007C"/>
    <w:rsid w:val="00590699"/>
    <w:rsid w:val="00591A31"/>
    <w:rsid w:val="00591E29"/>
    <w:rsid w:val="00592318"/>
    <w:rsid w:val="00594C44"/>
    <w:rsid w:val="0059556C"/>
    <w:rsid w:val="00596B76"/>
    <w:rsid w:val="00597DD9"/>
    <w:rsid w:val="005A0ACF"/>
    <w:rsid w:val="005A0C34"/>
    <w:rsid w:val="005A2501"/>
    <w:rsid w:val="005A292F"/>
    <w:rsid w:val="005A2FF8"/>
    <w:rsid w:val="005A34B6"/>
    <w:rsid w:val="005A390E"/>
    <w:rsid w:val="005A3E34"/>
    <w:rsid w:val="005A44FF"/>
    <w:rsid w:val="005A4638"/>
    <w:rsid w:val="005A4BD9"/>
    <w:rsid w:val="005A4D8E"/>
    <w:rsid w:val="005A51C6"/>
    <w:rsid w:val="005A576D"/>
    <w:rsid w:val="005A5BAB"/>
    <w:rsid w:val="005A5CB3"/>
    <w:rsid w:val="005A6604"/>
    <w:rsid w:val="005A78DE"/>
    <w:rsid w:val="005A7E09"/>
    <w:rsid w:val="005B08A6"/>
    <w:rsid w:val="005B0F22"/>
    <w:rsid w:val="005B0F27"/>
    <w:rsid w:val="005B1A31"/>
    <w:rsid w:val="005B1B6C"/>
    <w:rsid w:val="005B2B4F"/>
    <w:rsid w:val="005B2CB5"/>
    <w:rsid w:val="005B2CDC"/>
    <w:rsid w:val="005B3025"/>
    <w:rsid w:val="005B3439"/>
    <w:rsid w:val="005B4653"/>
    <w:rsid w:val="005B4E45"/>
    <w:rsid w:val="005B4E85"/>
    <w:rsid w:val="005B5E17"/>
    <w:rsid w:val="005B6419"/>
    <w:rsid w:val="005B6CC1"/>
    <w:rsid w:val="005C1943"/>
    <w:rsid w:val="005C22C2"/>
    <w:rsid w:val="005C2322"/>
    <w:rsid w:val="005C501A"/>
    <w:rsid w:val="005C5673"/>
    <w:rsid w:val="005C6D52"/>
    <w:rsid w:val="005C6F67"/>
    <w:rsid w:val="005C7858"/>
    <w:rsid w:val="005C7A9A"/>
    <w:rsid w:val="005C7FCE"/>
    <w:rsid w:val="005D05FD"/>
    <w:rsid w:val="005D11A5"/>
    <w:rsid w:val="005D1A7D"/>
    <w:rsid w:val="005D3508"/>
    <w:rsid w:val="005D48E0"/>
    <w:rsid w:val="005D4BC8"/>
    <w:rsid w:val="005D55D6"/>
    <w:rsid w:val="005D593D"/>
    <w:rsid w:val="005D65FF"/>
    <w:rsid w:val="005D6E43"/>
    <w:rsid w:val="005D717B"/>
    <w:rsid w:val="005D769A"/>
    <w:rsid w:val="005D7FC2"/>
    <w:rsid w:val="005E092E"/>
    <w:rsid w:val="005E1DD8"/>
    <w:rsid w:val="005E1EA0"/>
    <w:rsid w:val="005E1F6F"/>
    <w:rsid w:val="005E4132"/>
    <w:rsid w:val="005E58E1"/>
    <w:rsid w:val="005E5F8B"/>
    <w:rsid w:val="005E7C7D"/>
    <w:rsid w:val="005F0A09"/>
    <w:rsid w:val="005F0EC7"/>
    <w:rsid w:val="005F105B"/>
    <w:rsid w:val="005F1295"/>
    <w:rsid w:val="005F2075"/>
    <w:rsid w:val="005F2341"/>
    <w:rsid w:val="005F2B48"/>
    <w:rsid w:val="005F3ADE"/>
    <w:rsid w:val="005F432C"/>
    <w:rsid w:val="005F4B41"/>
    <w:rsid w:val="005F4D52"/>
    <w:rsid w:val="005F4F2A"/>
    <w:rsid w:val="005F5099"/>
    <w:rsid w:val="005F73A6"/>
    <w:rsid w:val="006002FC"/>
    <w:rsid w:val="00600D9B"/>
    <w:rsid w:val="0060128D"/>
    <w:rsid w:val="006015EB"/>
    <w:rsid w:val="006021B4"/>
    <w:rsid w:val="00602BDA"/>
    <w:rsid w:val="0060305B"/>
    <w:rsid w:val="0060308F"/>
    <w:rsid w:val="0060552B"/>
    <w:rsid w:val="00606031"/>
    <w:rsid w:val="00606E04"/>
    <w:rsid w:val="00607B8A"/>
    <w:rsid w:val="006102C4"/>
    <w:rsid w:val="00611A97"/>
    <w:rsid w:val="00611B3C"/>
    <w:rsid w:val="00611C5C"/>
    <w:rsid w:val="00612686"/>
    <w:rsid w:val="006131E9"/>
    <w:rsid w:val="0061392C"/>
    <w:rsid w:val="00613C92"/>
    <w:rsid w:val="00615685"/>
    <w:rsid w:val="00615849"/>
    <w:rsid w:val="00616069"/>
    <w:rsid w:val="00616F34"/>
    <w:rsid w:val="00616FDD"/>
    <w:rsid w:val="00617E42"/>
    <w:rsid w:val="00617E6C"/>
    <w:rsid w:val="006203EC"/>
    <w:rsid w:val="00622015"/>
    <w:rsid w:val="00622191"/>
    <w:rsid w:val="006228C3"/>
    <w:rsid w:val="00622D62"/>
    <w:rsid w:val="00622D80"/>
    <w:rsid w:val="0062336F"/>
    <w:rsid w:val="00623D41"/>
    <w:rsid w:val="00624A28"/>
    <w:rsid w:val="00624E5B"/>
    <w:rsid w:val="006264F1"/>
    <w:rsid w:val="00626A29"/>
    <w:rsid w:val="00626AF4"/>
    <w:rsid w:val="00626CB1"/>
    <w:rsid w:val="00626CBB"/>
    <w:rsid w:val="00627894"/>
    <w:rsid w:val="00627FF6"/>
    <w:rsid w:val="00630506"/>
    <w:rsid w:val="00630BC9"/>
    <w:rsid w:val="006320CB"/>
    <w:rsid w:val="0063314F"/>
    <w:rsid w:val="006337E7"/>
    <w:rsid w:val="0063422F"/>
    <w:rsid w:val="006354FF"/>
    <w:rsid w:val="00635832"/>
    <w:rsid w:val="00635AB6"/>
    <w:rsid w:val="006361B1"/>
    <w:rsid w:val="006365E9"/>
    <w:rsid w:val="00636E18"/>
    <w:rsid w:val="0063705B"/>
    <w:rsid w:val="00637228"/>
    <w:rsid w:val="006406FA"/>
    <w:rsid w:val="00641532"/>
    <w:rsid w:val="00641E0B"/>
    <w:rsid w:val="0064225E"/>
    <w:rsid w:val="0064298D"/>
    <w:rsid w:val="0064364F"/>
    <w:rsid w:val="006445A3"/>
    <w:rsid w:val="00645115"/>
    <w:rsid w:val="006462F1"/>
    <w:rsid w:val="006464CF"/>
    <w:rsid w:val="00646CB6"/>
    <w:rsid w:val="00646DB1"/>
    <w:rsid w:val="00647A7A"/>
    <w:rsid w:val="00650088"/>
    <w:rsid w:val="00650724"/>
    <w:rsid w:val="0065124E"/>
    <w:rsid w:val="006513A0"/>
    <w:rsid w:val="00652484"/>
    <w:rsid w:val="00652C4F"/>
    <w:rsid w:val="0065308E"/>
    <w:rsid w:val="006534DC"/>
    <w:rsid w:val="006541D1"/>
    <w:rsid w:val="00654860"/>
    <w:rsid w:val="00654F37"/>
    <w:rsid w:val="00655662"/>
    <w:rsid w:val="00656ABE"/>
    <w:rsid w:val="00657521"/>
    <w:rsid w:val="0066000B"/>
    <w:rsid w:val="0066030A"/>
    <w:rsid w:val="00660931"/>
    <w:rsid w:val="00660DB9"/>
    <w:rsid w:val="00661956"/>
    <w:rsid w:val="00661C43"/>
    <w:rsid w:val="00662C23"/>
    <w:rsid w:val="00663A53"/>
    <w:rsid w:val="0066473E"/>
    <w:rsid w:val="00664F66"/>
    <w:rsid w:val="00665069"/>
    <w:rsid w:val="0066537B"/>
    <w:rsid w:val="00665718"/>
    <w:rsid w:val="00665E8C"/>
    <w:rsid w:val="00665F6E"/>
    <w:rsid w:val="0066692E"/>
    <w:rsid w:val="00666CC6"/>
    <w:rsid w:val="006677D7"/>
    <w:rsid w:val="00667828"/>
    <w:rsid w:val="00667AF6"/>
    <w:rsid w:val="00670CDD"/>
    <w:rsid w:val="00670F37"/>
    <w:rsid w:val="00672277"/>
    <w:rsid w:val="00674930"/>
    <w:rsid w:val="00676079"/>
    <w:rsid w:val="00676326"/>
    <w:rsid w:val="006777C7"/>
    <w:rsid w:val="00677FE7"/>
    <w:rsid w:val="006830CE"/>
    <w:rsid w:val="006839E8"/>
    <w:rsid w:val="00683D65"/>
    <w:rsid w:val="00684AB4"/>
    <w:rsid w:val="00684FDE"/>
    <w:rsid w:val="006851CB"/>
    <w:rsid w:val="00685F12"/>
    <w:rsid w:val="00686618"/>
    <w:rsid w:val="00687672"/>
    <w:rsid w:val="00690239"/>
    <w:rsid w:val="00690FB6"/>
    <w:rsid w:val="00691287"/>
    <w:rsid w:val="006919FC"/>
    <w:rsid w:val="00693034"/>
    <w:rsid w:val="0069373F"/>
    <w:rsid w:val="00693FDC"/>
    <w:rsid w:val="006963D2"/>
    <w:rsid w:val="00696748"/>
    <w:rsid w:val="00697FEB"/>
    <w:rsid w:val="006A02C9"/>
    <w:rsid w:val="006A0A19"/>
    <w:rsid w:val="006A0B4A"/>
    <w:rsid w:val="006A0D71"/>
    <w:rsid w:val="006A0E7E"/>
    <w:rsid w:val="006A0F4A"/>
    <w:rsid w:val="006A1D16"/>
    <w:rsid w:val="006A1EA8"/>
    <w:rsid w:val="006A4300"/>
    <w:rsid w:val="006A4428"/>
    <w:rsid w:val="006A4CF3"/>
    <w:rsid w:val="006A70CC"/>
    <w:rsid w:val="006A7BEA"/>
    <w:rsid w:val="006A7D62"/>
    <w:rsid w:val="006B120F"/>
    <w:rsid w:val="006B1FE2"/>
    <w:rsid w:val="006B2EBD"/>
    <w:rsid w:val="006B2F86"/>
    <w:rsid w:val="006B3690"/>
    <w:rsid w:val="006B37A6"/>
    <w:rsid w:val="006B3C0D"/>
    <w:rsid w:val="006B4649"/>
    <w:rsid w:val="006B4CAC"/>
    <w:rsid w:val="006C0355"/>
    <w:rsid w:val="006C090C"/>
    <w:rsid w:val="006C13D5"/>
    <w:rsid w:val="006C3A40"/>
    <w:rsid w:val="006C3F79"/>
    <w:rsid w:val="006C4E8E"/>
    <w:rsid w:val="006C53A0"/>
    <w:rsid w:val="006C5E9B"/>
    <w:rsid w:val="006C6628"/>
    <w:rsid w:val="006C6D77"/>
    <w:rsid w:val="006C7240"/>
    <w:rsid w:val="006C74D6"/>
    <w:rsid w:val="006C7663"/>
    <w:rsid w:val="006D0EE8"/>
    <w:rsid w:val="006D12C7"/>
    <w:rsid w:val="006D175B"/>
    <w:rsid w:val="006D1BF7"/>
    <w:rsid w:val="006D23EF"/>
    <w:rsid w:val="006D457D"/>
    <w:rsid w:val="006D49D0"/>
    <w:rsid w:val="006D5361"/>
    <w:rsid w:val="006D59F8"/>
    <w:rsid w:val="006D61DA"/>
    <w:rsid w:val="006D6AF7"/>
    <w:rsid w:val="006D6EBB"/>
    <w:rsid w:val="006D781E"/>
    <w:rsid w:val="006D7F80"/>
    <w:rsid w:val="006D7FC7"/>
    <w:rsid w:val="006E00DA"/>
    <w:rsid w:val="006E04F7"/>
    <w:rsid w:val="006E0941"/>
    <w:rsid w:val="006E0B68"/>
    <w:rsid w:val="006E0EAD"/>
    <w:rsid w:val="006E1DC5"/>
    <w:rsid w:val="006E2E7E"/>
    <w:rsid w:val="006E2EFD"/>
    <w:rsid w:val="006E3420"/>
    <w:rsid w:val="006E381D"/>
    <w:rsid w:val="006E39D7"/>
    <w:rsid w:val="006E3BD0"/>
    <w:rsid w:val="006E3FA9"/>
    <w:rsid w:val="006E4444"/>
    <w:rsid w:val="006E4D14"/>
    <w:rsid w:val="006E6866"/>
    <w:rsid w:val="006E6C7D"/>
    <w:rsid w:val="006E702B"/>
    <w:rsid w:val="006E7DC6"/>
    <w:rsid w:val="006F01FC"/>
    <w:rsid w:val="006F0349"/>
    <w:rsid w:val="006F08E1"/>
    <w:rsid w:val="006F0E10"/>
    <w:rsid w:val="006F13D2"/>
    <w:rsid w:val="006F1A53"/>
    <w:rsid w:val="006F2196"/>
    <w:rsid w:val="006F2B29"/>
    <w:rsid w:val="006F3240"/>
    <w:rsid w:val="006F3620"/>
    <w:rsid w:val="006F3D73"/>
    <w:rsid w:val="006F5A87"/>
    <w:rsid w:val="006F747C"/>
    <w:rsid w:val="006F74BF"/>
    <w:rsid w:val="006F7BDA"/>
    <w:rsid w:val="00700C93"/>
    <w:rsid w:val="00701FC8"/>
    <w:rsid w:val="0070288A"/>
    <w:rsid w:val="00702D07"/>
    <w:rsid w:val="00703676"/>
    <w:rsid w:val="00706655"/>
    <w:rsid w:val="007078D6"/>
    <w:rsid w:val="00707B85"/>
    <w:rsid w:val="007106DD"/>
    <w:rsid w:val="00710F87"/>
    <w:rsid w:val="00711217"/>
    <w:rsid w:val="007116F8"/>
    <w:rsid w:val="00712900"/>
    <w:rsid w:val="007133E9"/>
    <w:rsid w:val="007137B3"/>
    <w:rsid w:val="00713BD4"/>
    <w:rsid w:val="00714542"/>
    <w:rsid w:val="007146AA"/>
    <w:rsid w:val="00714837"/>
    <w:rsid w:val="007149B8"/>
    <w:rsid w:val="00714EF0"/>
    <w:rsid w:val="00714F04"/>
    <w:rsid w:val="00715087"/>
    <w:rsid w:val="00715712"/>
    <w:rsid w:val="007158C7"/>
    <w:rsid w:val="00715D0C"/>
    <w:rsid w:val="0071628B"/>
    <w:rsid w:val="00716F27"/>
    <w:rsid w:val="00717727"/>
    <w:rsid w:val="00717B00"/>
    <w:rsid w:val="007208AB"/>
    <w:rsid w:val="00720B68"/>
    <w:rsid w:val="00720DE3"/>
    <w:rsid w:val="00721C6A"/>
    <w:rsid w:val="007222B0"/>
    <w:rsid w:val="007227EC"/>
    <w:rsid w:val="00722F2C"/>
    <w:rsid w:val="00723293"/>
    <w:rsid w:val="00723439"/>
    <w:rsid w:val="00723CB3"/>
    <w:rsid w:val="00724D46"/>
    <w:rsid w:val="007252D4"/>
    <w:rsid w:val="007263EF"/>
    <w:rsid w:val="00727012"/>
    <w:rsid w:val="0072723A"/>
    <w:rsid w:val="007279EC"/>
    <w:rsid w:val="00727D29"/>
    <w:rsid w:val="00730818"/>
    <w:rsid w:val="00730E2D"/>
    <w:rsid w:val="0073142D"/>
    <w:rsid w:val="0073237F"/>
    <w:rsid w:val="007323B9"/>
    <w:rsid w:val="007330A4"/>
    <w:rsid w:val="00733C05"/>
    <w:rsid w:val="00734198"/>
    <w:rsid w:val="00734568"/>
    <w:rsid w:val="0073460E"/>
    <w:rsid w:val="007349F9"/>
    <w:rsid w:val="00734A12"/>
    <w:rsid w:val="00735CDE"/>
    <w:rsid w:val="00736EAE"/>
    <w:rsid w:val="00737F9B"/>
    <w:rsid w:val="007402C2"/>
    <w:rsid w:val="0074044C"/>
    <w:rsid w:val="007405B1"/>
    <w:rsid w:val="00740AF0"/>
    <w:rsid w:val="007419ED"/>
    <w:rsid w:val="00742174"/>
    <w:rsid w:val="00742C4C"/>
    <w:rsid w:val="007431F0"/>
    <w:rsid w:val="00743537"/>
    <w:rsid w:val="00743577"/>
    <w:rsid w:val="007435D3"/>
    <w:rsid w:val="00744220"/>
    <w:rsid w:val="00744C66"/>
    <w:rsid w:val="007464CC"/>
    <w:rsid w:val="00747238"/>
    <w:rsid w:val="00747B4B"/>
    <w:rsid w:val="00747D5E"/>
    <w:rsid w:val="00750679"/>
    <w:rsid w:val="00751D79"/>
    <w:rsid w:val="00751EDA"/>
    <w:rsid w:val="00754003"/>
    <w:rsid w:val="00754851"/>
    <w:rsid w:val="007575D0"/>
    <w:rsid w:val="00757649"/>
    <w:rsid w:val="00760944"/>
    <w:rsid w:val="007609D5"/>
    <w:rsid w:val="00760C75"/>
    <w:rsid w:val="007611AD"/>
    <w:rsid w:val="0076126B"/>
    <w:rsid w:val="007613B3"/>
    <w:rsid w:val="00762FBA"/>
    <w:rsid w:val="0076316D"/>
    <w:rsid w:val="00763FB6"/>
    <w:rsid w:val="0076410A"/>
    <w:rsid w:val="0076473F"/>
    <w:rsid w:val="00764748"/>
    <w:rsid w:val="00765515"/>
    <w:rsid w:val="00765F2A"/>
    <w:rsid w:val="00766F28"/>
    <w:rsid w:val="007713E8"/>
    <w:rsid w:val="00771967"/>
    <w:rsid w:val="00771AA1"/>
    <w:rsid w:val="00772FC8"/>
    <w:rsid w:val="0077322C"/>
    <w:rsid w:val="00774715"/>
    <w:rsid w:val="007747EE"/>
    <w:rsid w:val="00774999"/>
    <w:rsid w:val="00774F98"/>
    <w:rsid w:val="00776623"/>
    <w:rsid w:val="007768F5"/>
    <w:rsid w:val="0077735A"/>
    <w:rsid w:val="0078095B"/>
    <w:rsid w:val="00780D10"/>
    <w:rsid w:val="007813D1"/>
    <w:rsid w:val="00782158"/>
    <w:rsid w:val="007821A2"/>
    <w:rsid w:val="007821BC"/>
    <w:rsid w:val="007826E0"/>
    <w:rsid w:val="0078271A"/>
    <w:rsid w:val="00783194"/>
    <w:rsid w:val="00783455"/>
    <w:rsid w:val="007835D5"/>
    <w:rsid w:val="0078383A"/>
    <w:rsid w:val="00783BA7"/>
    <w:rsid w:val="007853F8"/>
    <w:rsid w:val="0078687A"/>
    <w:rsid w:val="00786AA2"/>
    <w:rsid w:val="00786BB9"/>
    <w:rsid w:val="00786FE5"/>
    <w:rsid w:val="007870B3"/>
    <w:rsid w:val="00787297"/>
    <w:rsid w:val="007877DC"/>
    <w:rsid w:val="0079039B"/>
    <w:rsid w:val="007908E2"/>
    <w:rsid w:val="00792C45"/>
    <w:rsid w:val="00793842"/>
    <w:rsid w:val="00794379"/>
    <w:rsid w:val="007953B5"/>
    <w:rsid w:val="00795F3C"/>
    <w:rsid w:val="00796271"/>
    <w:rsid w:val="00796431"/>
    <w:rsid w:val="007964DC"/>
    <w:rsid w:val="007967E6"/>
    <w:rsid w:val="00797D07"/>
    <w:rsid w:val="00797EC1"/>
    <w:rsid w:val="007A03B9"/>
    <w:rsid w:val="007A06C5"/>
    <w:rsid w:val="007A0B4E"/>
    <w:rsid w:val="007A117C"/>
    <w:rsid w:val="007A19E3"/>
    <w:rsid w:val="007A2635"/>
    <w:rsid w:val="007A3BFB"/>
    <w:rsid w:val="007A4230"/>
    <w:rsid w:val="007A5DE7"/>
    <w:rsid w:val="007A69A5"/>
    <w:rsid w:val="007A6B52"/>
    <w:rsid w:val="007A6C81"/>
    <w:rsid w:val="007A7B10"/>
    <w:rsid w:val="007B02A8"/>
    <w:rsid w:val="007B0B30"/>
    <w:rsid w:val="007B129D"/>
    <w:rsid w:val="007B219A"/>
    <w:rsid w:val="007B31A6"/>
    <w:rsid w:val="007B4508"/>
    <w:rsid w:val="007B5E3D"/>
    <w:rsid w:val="007B6B28"/>
    <w:rsid w:val="007B79F6"/>
    <w:rsid w:val="007B7B44"/>
    <w:rsid w:val="007C0E2D"/>
    <w:rsid w:val="007C1271"/>
    <w:rsid w:val="007C12F0"/>
    <w:rsid w:val="007C15B2"/>
    <w:rsid w:val="007C1E59"/>
    <w:rsid w:val="007C4747"/>
    <w:rsid w:val="007C4C83"/>
    <w:rsid w:val="007C525A"/>
    <w:rsid w:val="007C533A"/>
    <w:rsid w:val="007C591A"/>
    <w:rsid w:val="007C6206"/>
    <w:rsid w:val="007C6225"/>
    <w:rsid w:val="007C64E2"/>
    <w:rsid w:val="007C7C72"/>
    <w:rsid w:val="007D065D"/>
    <w:rsid w:val="007D1196"/>
    <w:rsid w:val="007D1E88"/>
    <w:rsid w:val="007D275E"/>
    <w:rsid w:val="007D2928"/>
    <w:rsid w:val="007D37BA"/>
    <w:rsid w:val="007D3850"/>
    <w:rsid w:val="007D3F75"/>
    <w:rsid w:val="007D4025"/>
    <w:rsid w:val="007D66F0"/>
    <w:rsid w:val="007D73E5"/>
    <w:rsid w:val="007D750A"/>
    <w:rsid w:val="007D7523"/>
    <w:rsid w:val="007D77FB"/>
    <w:rsid w:val="007E0084"/>
    <w:rsid w:val="007E0678"/>
    <w:rsid w:val="007E0A18"/>
    <w:rsid w:val="007E0EF4"/>
    <w:rsid w:val="007E1035"/>
    <w:rsid w:val="007E1421"/>
    <w:rsid w:val="007E18D1"/>
    <w:rsid w:val="007E199C"/>
    <w:rsid w:val="007E2A76"/>
    <w:rsid w:val="007E4D07"/>
    <w:rsid w:val="007E581F"/>
    <w:rsid w:val="007E722A"/>
    <w:rsid w:val="007E72EF"/>
    <w:rsid w:val="007E770A"/>
    <w:rsid w:val="007E7968"/>
    <w:rsid w:val="007E7C0D"/>
    <w:rsid w:val="007F0CB0"/>
    <w:rsid w:val="007F1600"/>
    <w:rsid w:val="007F166D"/>
    <w:rsid w:val="007F1EDF"/>
    <w:rsid w:val="007F2054"/>
    <w:rsid w:val="007F299B"/>
    <w:rsid w:val="007F365B"/>
    <w:rsid w:val="007F3B50"/>
    <w:rsid w:val="007F4023"/>
    <w:rsid w:val="007F40D6"/>
    <w:rsid w:val="007F41A0"/>
    <w:rsid w:val="007F5346"/>
    <w:rsid w:val="007F690B"/>
    <w:rsid w:val="007F6FBE"/>
    <w:rsid w:val="007F742B"/>
    <w:rsid w:val="007F7CBC"/>
    <w:rsid w:val="00800C45"/>
    <w:rsid w:val="0080130F"/>
    <w:rsid w:val="00801B60"/>
    <w:rsid w:val="008026FE"/>
    <w:rsid w:val="00802F9F"/>
    <w:rsid w:val="0080372E"/>
    <w:rsid w:val="00803E55"/>
    <w:rsid w:val="00804358"/>
    <w:rsid w:val="00804F92"/>
    <w:rsid w:val="00807F19"/>
    <w:rsid w:val="00807F85"/>
    <w:rsid w:val="0081060D"/>
    <w:rsid w:val="00810A52"/>
    <w:rsid w:val="00810DCF"/>
    <w:rsid w:val="008110C4"/>
    <w:rsid w:val="00811527"/>
    <w:rsid w:val="00811F2C"/>
    <w:rsid w:val="00811FE2"/>
    <w:rsid w:val="008134F5"/>
    <w:rsid w:val="00813D03"/>
    <w:rsid w:val="00814399"/>
    <w:rsid w:val="00815A51"/>
    <w:rsid w:val="00817CF6"/>
    <w:rsid w:val="008208F2"/>
    <w:rsid w:val="00820A66"/>
    <w:rsid w:val="00820F38"/>
    <w:rsid w:val="00822D27"/>
    <w:rsid w:val="008242DA"/>
    <w:rsid w:val="00824A84"/>
    <w:rsid w:val="00826371"/>
    <w:rsid w:val="0082668B"/>
    <w:rsid w:val="0082687A"/>
    <w:rsid w:val="008272AC"/>
    <w:rsid w:val="00830214"/>
    <w:rsid w:val="00830902"/>
    <w:rsid w:val="00832118"/>
    <w:rsid w:val="00832C2F"/>
    <w:rsid w:val="00833EC7"/>
    <w:rsid w:val="00834366"/>
    <w:rsid w:val="008358AE"/>
    <w:rsid w:val="008363D1"/>
    <w:rsid w:val="00836C3B"/>
    <w:rsid w:val="008404FF"/>
    <w:rsid w:val="00840749"/>
    <w:rsid w:val="00840F7C"/>
    <w:rsid w:val="008412E1"/>
    <w:rsid w:val="008413A8"/>
    <w:rsid w:val="00842443"/>
    <w:rsid w:val="00843285"/>
    <w:rsid w:val="00843286"/>
    <w:rsid w:val="00843386"/>
    <w:rsid w:val="00844479"/>
    <w:rsid w:val="00844C79"/>
    <w:rsid w:val="00846122"/>
    <w:rsid w:val="008466C4"/>
    <w:rsid w:val="00850FDB"/>
    <w:rsid w:val="008510D6"/>
    <w:rsid w:val="008522B5"/>
    <w:rsid w:val="0085346F"/>
    <w:rsid w:val="00853C4A"/>
    <w:rsid w:val="00854190"/>
    <w:rsid w:val="00854682"/>
    <w:rsid w:val="00855DA1"/>
    <w:rsid w:val="00856359"/>
    <w:rsid w:val="0085657D"/>
    <w:rsid w:val="008569DC"/>
    <w:rsid w:val="00856DA4"/>
    <w:rsid w:val="00857078"/>
    <w:rsid w:val="00857A3C"/>
    <w:rsid w:val="00860613"/>
    <w:rsid w:val="00861279"/>
    <w:rsid w:val="008612B4"/>
    <w:rsid w:val="00862A90"/>
    <w:rsid w:val="00863D31"/>
    <w:rsid w:val="00863D50"/>
    <w:rsid w:val="0086454A"/>
    <w:rsid w:val="00866E95"/>
    <w:rsid w:val="00867E88"/>
    <w:rsid w:val="00870102"/>
    <w:rsid w:val="00870456"/>
    <w:rsid w:val="008721A5"/>
    <w:rsid w:val="008723A8"/>
    <w:rsid w:val="00872847"/>
    <w:rsid w:val="00872C9B"/>
    <w:rsid w:val="00872E78"/>
    <w:rsid w:val="00872FDB"/>
    <w:rsid w:val="00873451"/>
    <w:rsid w:val="00873471"/>
    <w:rsid w:val="00873C14"/>
    <w:rsid w:val="0087619E"/>
    <w:rsid w:val="0087627E"/>
    <w:rsid w:val="00877706"/>
    <w:rsid w:val="00877F7D"/>
    <w:rsid w:val="008811FC"/>
    <w:rsid w:val="00881D54"/>
    <w:rsid w:val="008825CE"/>
    <w:rsid w:val="00882EFB"/>
    <w:rsid w:val="00882F4A"/>
    <w:rsid w:val="0088366A"/>
    <w:rsid w:val="00883A3C"/>
    <w:rsid w:val="0088460D"/>
    <w:rsid w:val="008857AA"/>
    <w:rsid w:val="00885FA2"/>
    <w:rsid w:val="0088688E"/>
    <w:rsid w:val="00887608"/>
    <w:rsid w:val="00887ABB"/>
    <w:rsid w:val="00887FD1"/>
    <w:rsid w:val="008900AF"/>
    <w:rsid w:val="008906E6"/>
    <w:rsid w:val="00890AD0"/>
    <w:rsid w:val="00890B66"/>
    <w:rsid w:val="00891109"/>
    <w:rsid w:val="00891BA0"/>
    <w:rsid w:val="00891BF0"/>
    <w:rsid w:val="00891F38"/>
    <w:rsid w:val="00893E0C"/>
    <w:rsid w:val="00893E72"/>
    <w:rsid w:val="00896BC2"/>
    <w:rsid w:val="00896C06"/>
    <w:rsid w:val="008A072D"/>
    <w:rsid w:val="008A1815"/>
    <w:rsid w:val="008A1C42"/>
    <w:rsid w:val="008A2D63"/>
    <w:rsid w:val="008A2FA0"/>
    <w:rsid w:val="008A3348"/>
    <w:rsid w:val="008A3666"/>
    <w:rsid w:val="008A3889"/>
    <w:rsid w:val="008A4BAF"/>
    <w:rsid w:val="008A56CE"/>
    <w:rsid w:val="008A5CE1"/>
    <w:rsid w:val="008A5EE6"/>
    <w:rsid w:val="008A6398"/>
    <w:rsid w:val="008B048B"/>
    <w:rsid w:val="008B08D3"/>
    <w:rsid w:val="008B19B7"/>
    <w:rsid w:val="008B19E5"/>
    <w:rsid w:val="008B1C16"/>
    <w:rsid w:val="008B2AC1"/>
    <w:rsid w:val="008B2D32"/>
    <w:rsid w:val="008B2D3F"/>
    <w:rsid w:val="008B2E9A"/>
    <w:rsid w:val="008B2EB5"/>
    <w:rsid w:val="008B3ADE"/>
    <w:rsid w:val="008B44C3"/>
    <w:rsid w:val="008B5255"/>
    <w:rsid w:val="008B5613"/>
    <w:rsid w:val="008B62E9"/>
    <w:rsid w:val="008B7050"/>
    <w:rsid w:val="008B7162"/>
    <w:rsid w:val="008C1507"/>
    <w:rsid w:val="008C19A3"/>
    <w:rsid w:val="008C2501"/>
    <w:rsid w:val="008C383B"/>
    <w:rsid w:val="008C3A5F"/>
    <w:rsid w:val="008C44A7"/>
    <w:rsid w:val="008C5671"/>
    <w:rsid w:val="008C59BA"/>
    <w:rsid w:val="008C5D4D"/>
    <w:rsid w:val="008C6671"/>
    <w:rsid w:val="008C739D"/>
    <w:rsid w:val="008C7707"/>
    <w:rsid w:val="008D1695"/>
    <w:rsid w:val="008D22DA"/>
    <w:rsid w:val="008D3273"/>
    <w:rsid w:val="008D3CA0"/>
    <w:rsid w:val="008D4696"/>
    <w:rsid w:val="008D6805"/>
    <w:rsid w:val="008D6CA8"/>
    <w:rsid w:val="008D733D"/>
    <w:rsid w:val="008E0A95"/>
    <w:rsid w:val="008E136A"/>
    <w:rsid w:val="008E14A5"/>
    <w:rsid w:val="008E2213"/>
    <w:rsid w:val="008E2336"/>
    <w:rsid w:val="008E27A7"/>
    <w:rsid w:val="008E33F9"/>
    <w:rsid w:val="008E34A2"/>
    <w:rsid w:val="008E34AE"/>
    <w:rsid w:val="008E3BA7"/>
    <w:rsid w:val="008E3D1C"/>
    <w:rsid w:val="008E4D1F"/>
    <w:rsid w:val="008E694D"/>
    <w:rsid w:val="008E78B4"/>
    <w:rsid w:val="008F047E"/>
    <w:rsid w:val="008F2841"/>
    <w:rsid w:val="008F2959"/>
    <w:rsid w:val="008F399F"/>
    <w:rsid w:val="008F39F1"/>
    <w:rsid w:val="008F432C"/>
    <w:rsid w:val="008F4916"/>
    <w:rsid w:val="008F6034"/>
    <w:rsid w:val="008F7859"/>
    <w:rsid w:val="008F7ADB"/>
    <w:rsid w:val="008F7CC9"/>
    <w:rsid w:val="009001B0"/>
    <w:rsid w:val="00900940"/>
    <w:rsid w:val="00900CC0"/>
    <w:rsid w:val="0090288E"/>
    <w:rsid w:val="009038F9"/>
    <w:rsid w:val="00905028"/>
    <w:rsid w:val="009055D6"/>
    <w:rsid w:val="00905AAB"/>
    <w:rsid w:val="009068C3"/>
    <w:rsid w:val="00906F53"/>
    <w:rsid w:val="0090775D"/>
    <w:rsid w:val="00910432"/>
    <w:rsid w:val="0091050C"/>
    <w:rsid w:val="00911865"/>
    <w:rsid w:val="00911A8D"/>
    <w:rsid w:val="00912D34"/>
    <w:rsid w:val="009139AF"/>
    <w:rsid w:val="009148EC"/>
    <w:rsid w:val="00914BFD"/>
    <w:rsid w:val="00914CD2"/>
    <w:rsid w:val="00915EF9"/>
    <w:rsid w:val="00916FF9"/>
    <w:rsid w:val="009174DB"/>
    <w:rsid w:val="009174F6"/>
    <w:rsid w:val="00917A99"/>
    <w:rsid w:val="00920831"/>
    <w:rsid w:val="00921BFB"/>
    <w:rsid w:val="00921EF9"/>
    <w:rsid w:val="00922AFA"/>
    <w:rsid w:val="00922BF2"/>
    <w:rsid w:val="009234FD"/>
    <w:rsid w:val="00923665"/>
    <w:rsid w:val="00924258"/>
    <w:rsid w:val="00924973"/>
    <w:rsid w:val="00924ED5"/>
    <w:rsid w:val="0092631A"/>
    <w:rsid w:val="009272E3"/>
    <w:rsid w:val="009311DF"/>
    <w:rsid w:val="009314B6"/>
    <w:rsid w:val="0093152E"/>
    <w:rsid w:val="009315A3"/>
    <w:rsid w:val="00931779"/>
    <w:rsid w:val="00931E42"/>
    <w:rsid w:val="0093252C"/>
    <w:rsid w:val="0093283A"/>
    <w:rsid w:val="0093430F"/>
    <w:rsid w:val="009356B3"/>
    <w:rsid w:val="00935AC3"/>
    <w:rsid w:val="00935EAC"/>
    <w:rsid w:val="00937529"/>
    <w:rsid w:val="00940DF7"/>
    <w:rsid w:val="00940F2E"/>
    <w:rsid w:val="00942405"/>
    <w:rsid w:val="00942818"/>
    <w:rsid w:val="00942AD5"/>
    <w:rsid w:val="00942F66"/>
    <w:rsid w:val="00943510"/>
    <w:rsid w:val="00943A66"/>
    <w:rsid w:val="00944371"/>
    <w:rsid w:val="00944529"/>
    <w:rsid w:val="00944CB3"/>
    <w:rsid w:val="00944D10"/>
    <w:rsid w:val="009450BA"/>
    <w:rsid w:val="009454B6"/>
    <w:rsid w:val="009460DF"/>
    <w:rsid w:val="00946929"/>
    <w:rsid w:val="00946D29"/>
    <w:rsid w:val="009474F2"/>
    <w:rsid w:val="00950E7E"/>
    <w:rsid w:val="00952AEF"/>
    <w:rsid w:val="00955C33"/>
    <w:rsid w:val="0095625A"/>
    <w:rsid w:val="00956446"/>
    <w:rsid w:val="00957B4C"/>
    <w:rsid w:val="009603BF"/>
    <w:rsid w:val="00960B5B"/>
    <w:rsid w:val="00960F24"/>
    <w:rsid w:val="00960FAF"/>
    <w:rsid w:val="00960FBE"/>
    <w:rsid w:val="0096172B"/>
    <w:rsid w:val="00961C91"/>
    <w:rsid w:val="009628F6"/>
    <w:rsid w:val="00962AB8"/>
    <w:rsid w:val="00962CB7"/>
    <w:rsid w:val="00962E64"/>
    <w:rsid w:val="00963AA3"/>
    <w:rsid w:val="00963B80"/>
    <w:rsid w:val="00964478"/>
    <w:rsid w:val="009651FA"/>
    <w:rsid w:val="00966080"/>
    <w:rsid w:val="0096628F"/>
    <w:rsid w:val="009664DD"/>
    <w:rsid w:val="00966F48"/>
    <w:rsid w:val="0096744E"/>
    <w:rsid w:val="009704A0"/>
    <w:rsid w:val="00970792"/>
    <w:rsid w:val="00970EB5"/>
    <w:rsid w:val="00971E1A"/>
    <w:rsid w:val="00971EE1"/>
    <w:rsid w:val="00973197"/>
    <w:rsid w:val="00973E14"/>
    <w:rsid w:val="009753FB"/>
    <w:rsid w:val="00975439"/>
    <w:rsid w:val="009756E8"/>
    <w:rsid w:val="00976F97"/>
    <w:rsid w:val="00977317"/>
    <w:rsid w:val="009802E6"/>
    <w:rsid w:val="009804C2"/>
    <w:rsid w:val="00980AFA"/>
    <w:rsid w:val="00980C11"/>
    <w:rsid w:val="00981086"/>
    <w:rsid w:val="0098257D"/>
    <w:rsid w:val="0098302F"/>
    <w:rsid w:val="009831C8"/>
    <w:rsid w:val="00983D28"/>
    <w:rsid w:val="0098474E"/>
    <w:rsid w:val="009857EB"/>
    <w:rsid w:val="00986110"/>
    <w:rsid w:val="009869D5"/>
    <w:rsid w:val="00987232"/>
    <w:rsid w:val="009877E3"/>
    <w:rsid w:val="00990104"/>
    <w:rsid w:val="0099047A"/>
    <w:rsid w:val="009905A0"/>
    <w:rsid w:val="00990EC7"/>
    <w:rsid w:val="00991B95"/>
    <w:rsid w:val="00991D3E"/>
    <w:rsid w:val="00992630"/>
    <w:rsid w:val="00992840"/>
    <w:rsid w:val="00993064"/>
    <w:rsid w:val="00994C6F"/>
    <w:rsid w:val="00994CC4"/>
    <w:rsid w:val="00995379"/>
    <w:rsid w:val="009968AC"/>
    <w:rsid w:val="00996911"/>
    <w:rsid w:val="00996DB9"/>
    <w:rsid w:val="009976E7"/>
    <w:rsid w:val="009A044E"/>
    <w:rsid w:val="009A10AD"/>
    <w:rsid w:val="009A10DD"/>
    <w:rsid w:val="009A11ED"/>
    <w:rsid w:val="009A1795"/>
    <w:rsid w:val="009A1CB0"/>
    <w:rsid w:val="009A2547"/>
    <w:rsid w:val="009A4D66"/>
    <w:rsid w:val="009A5821"/>
    <w:rsid w:val="009A63A6"/>
    <w:rsid w:val="009A65F0"/>
    <w:rsid w:val="009A67A1"/>
    <w:rsid w:val="009A7026"/>
    <w:rsid w:val="009A702B"/>
    <w:rsid w:val="009A7D0C"/>
    <w:rsid w:val="009A7F30"/>
    <w:rsid w:val="009B069B"/>
    <w:rsid w:val="009B097A"/>
    <w:rsid w:val="009B10E0"/>
    <w:rsid w:val="009B18EB"/>
    <w:rsid w:val="009B27DF"/>
    <w:rsid w:val="009B36AF"/>
    <w:rsid w:val="009B393A"/>
    <w:rsid w:val="009B5A7A"/>
    <w:rsid w:val="009B7972"/>
    <w:rsid w:val="009B7A5A"/>
    <w:rsid w:val="009C040E"/>
    <w:rsid w:val="009C0544"/>
    <w:rsid w:val="009C0DD6"/>
    <w:rsid w:val="009C1B29"/>
    <w:rsid w:val="009C1C07"/>
    <w:rsid w:val="009C1F84"/>
    <w:rsid w:val="009C38A8"/>
    <w:rsid w:val="009C38DF"/>
    <w:rsid w:val="009C40F8"/>
    <w:rsid w:val="009C5A3E"/>
    <w:rsid w:val="009C5D66"/>
    <w:rsid w:val="009C6CC1"/>
    <w:rsid w:val="009D05F1"/>
    <w:rsid w:val="009D089E"/>
    <w:rsid w:val="009D094F"/>
    <w:rsid w:val="009D0BF3"/>
    <w:rsid w:val="009D0E88"/>
    <w:rsid w:val="009D0EB6"/>
    <w:rsid w:val="009D1003"/>
    <w:rsid w:val="009D24D7"/>
    <w:rsid w:val="009D256E"/>
    <w:rsid w:val="009D2DB6"/>
    <w:rsid w:val="009D2EAF"/>
    <w:rsid w:val="009D2F47"/>
    <w:rsid w:val="009D2FB9"/>
    <w:rsid w:val="009D3067"/>
    <w:rsid w:val="009D39EE"/>
    <w:rsid w:val="009D3B45"/>
    <w:rsid w:val="009D4E78"/>
    <w:rsid w:val="009D5487"/>
    <w:rsid w:val="009D55B8"/>
    <w:rsid w:val="009D5F35"/>
    <w:rsid w:val="009D674E"/>
    <w:rsid w:val="009D6791"/>
    <w:rsid w:val="009D7835"/>
    <w:rsid w:val="009D7CDF"/>
    <w:rsid w:val="009D7EFC"/>
    <w:rsid w:val="009E05AC"/>
    <w:rsid w:val="009E1548"/>
    <w:rsid w:val="009E1649"/>
    <w:rsid w:val="009E172B"/>
    <w:rsid w:val="009E1B55"/>
    <w:rsid w:val="009E204D"/>
    <w:rsid w:val="009E253A"/>
    <w:rsid w:val="009E25F5"/>
    <w:rsid w:val="009E39C0"/>
    <w:rsid w:val="009E4CE0"/>
    <w:rsid w:val="009E523E"/>
    <w:rsid w:val="009E5367"/>
    <w:rsid w:val="009E7B93"/>
    <w:rsid w:val="009F0062"/>
    <w:rsid w:val="009F0349"/>
    <w:rsid w:val="009F1CE1"/>
    <w:rsid w:val="009F1E76"/>
    <w:rsid w:val="009F2D48"/>
    <w:rsid w:val="009F2FEB"/>
    <w:rsid w:val="009F3268"/>
    <w:rsid w:val="009F4230"/>
    <w:rsid w:val="009F4860"/>
    <w:rsid w:val="009F58F4"/>
    <w:rsid w:val="009F5F2C"/>
    <w:rsid w:val="009F6749"/>
    <w:rsid w:val="009F6A7F"/>
    <w:rsid w:val="009F6C56"/>
    <w:rsid w:val="00A0021A"/>
    <w:rsid w:val="00A0178C"/>
    <w:rsid w:val="00A01D67"/>
    <w:rsid w:val="00A01EAA"/>
    <w:rsid w:val="00A0206E"/>
    <w:rsid w:val="00A02A33"/>
    <w:rsid w:val="00A02F5D"/>
    <w:rsid w:val="00A031CC"/>
    <w:rsid w:val="00A0323B"/>
    <w:rsid w:val="00A04192"/>
    <w:rsid w:val="00A04474"/>
    <w:rsid w:val="00A0482C"/>
    <w:rsid w:val="00A06A94"/>
    <w:rsid w:val="00A0762A"/>
    <w:rsid w:val="00A0776D"/>
    <w:rsid w:val="00A0778F"/>
    <w:rsid w:val="00A1004D"/>
    <w:rsid w:val="00A1182A"/>
    <w:rsid w:val="00A13922"/>
    <w:rsid w:val="00A13DB8"/>
    <w:rsid w:val="00A13F1D"/>
    <w:rsid w:val="00A1482D"/>
    <w:rsid w:val="00A14AA1"/>
    <w:rsid w:val="00A155ED"/>
    <w:rsid w:val="00A15F37"/>
    <w:rsid w:val="00A16191"/>
    <w:rsid w:val="00A163E3"/>
    <w:rsid w:val="00A16B96"/>
    <w:rsid w:val="00A16CAF"/>
    <w:rsid w:val="00A220C0"/>
    <w:rsid w:val="00A22229"/>
    <w:rsid w:val="00A2239A"/>
    <w:rsid w:val="00A2295F"/>
    <w:rsid w:val="00A22A52"/>
    <w:rsid w:val="00A23246"/>
    <w:rsid w:val="00A24A2E"/>
    <w:rsid w:val="00A25215"/>
    <w:rsid w:val="00A25889"/>
    <w:rsid w:val="00A2710F"/>
    <w:rsid w:val="00A3034C"/>
    <w:rsid w:val="00A30764"/>
    <w:rsid w:val="00A325EE"/>
    <w:rsid w:val="00A338A1"/>
    <w:rsid w:val="00A349CB"/>
    <w:rsid w:val="00A34E5A"/>
    <w:rsid w:val="00A3508F"/>
    <w:rsid w:val="00A35D8A"/>
    <w:rsid w:val="00A364F7"/>
    <w:rsid w:val="00A36CE8"/>
    <w:rsid w:val="00A36DDD"/>
    <w:rsid w:val="00A378ED"/>
    <w:rsid w:val="00A37C13"/>
    <w:rsid w:val="00A425BA"/>
    <w:rsid w:val="00A42D6B"/>
    <w:rsid w:val="00A42EEB"/>
    <w:rsid w:val="00A430E2"/>
    <w:rsid w:val="00A4316F"/>
    <w:rsid w:val="00A447E7"/>
    <w:rsid w:val="00A44A0C"/>
    <w:rsid w:val="00A454B6"/>
    <w:rsid w:val="00A4559F"/>
    <w:rsid w:val="00A45FC0"/>
    <w:rsid w:val="00A46558"/>
    <w:rsid w:val="00A472F8"/>
    <w:rsid w:val="00A50571"/>
    <w:rsid w:val="00A50AEA"/>
    <w:rsid w:val="00A5314F"/>
    <w:rsid w:val="00A53F81"/>
    <w:rsid w:val="00A54055"/>
    <w:rsid w:val="00A54B25"/>
    <w:rsid w:val="00A54D53"/>
    <w:rsid w:val="00A55882"/>
    <w:rsid w:val="00A5590F"/>
    <w:rsid w:val="00A569E0"/>
    <w:rsid w:val="00A56B6B"/>
    <w:rsid w:val="00A60311"/>
    <w:rsid w:val="00A60546"/>
    <w:rsid w:val="00A61107"/>
    <w:rsid w:val="00A63272"/>
    <w:rsid w:val="00A63EEE"/>
    <w:rsid w:val="00A6445C"/>
    <w:rsid w:val="00A66054"/>
    <w:rsid w:val="00A66F1E"/>
    <w:rsid w:val="00A6760A"/>
    <w:rsid w:val="00A676D3"/>
    <w:rsid w:val="00A679AD"/>
    <w:rsid w:val="00A71142"/>
    <w:rsid w:val="00A711B7"/>
    <w:rsid w:val="00A7149F"/>
    <w:rsid w:val="00A72C93"/>
    <w:rsid w:val="00A72DB7"/>
    <w:rsid w:val="00A72FF3"/>
    <w:rsid w:val="00A7410C"/>
    <w:rsid w:val="00A754A0"/>
    <w:rsid w:val="00A76082"/>
    <w:rsid w:val="00A7784F"/>
    <w:rsid w:val="00A77DE1"/>
    <w:rsid w:val="00A80A07"/>
    <w:rsid w:val="00A811D6"/>
    <w:rsid w:val="00A81F02"/>
    <w:rsid w:val="00A82860"/>
    <w:rsid w:val="00A82B36"/>
    <w:rsid w:val="00A82F07"/>
    <w:rsid w:val="00A832BA"/>
    <w:rsid w:val="00A8331B"/>
    <w:rsid w:val="00A83BF6"/>
    <w:rsid w:val="00A84963"/>
    <w:rsid w:val="00A84D9C"/>
    <w:rsid w:val="00A85048"/>
    <w:rsid w:val="00A86552"/>
    <w:rsid w:val="00A86CD7"/>
    <w:rsid w:val="00A86D7C"/>
    <w:rsid w:val="00A8750A"/>
    <w:rsid w:val="00A9017B"/>
    <w:rsid w:val="00A90878"/>
    <w:rsid w:val="00A91266"/>
    <w:rsid w:val="00A9266A"/>
    <w:rsid w:val="00A9310D"/>
    <w:rsid w:val="00A9367D"/>
    <w:rsid w:val="00A950F4"/>
    <w:rsid w:val="00A9567A"/>
    <w:rsid w:val="00A96783"/>
    <w:rsid w:val="00A97098"/>
    <w:rsid w:val="00A97337"/>
    <w:rsid w:val="00A97B08"/>
    <w:rsid w:val="00A97D41"/>
    <w:rsid w:val="00A97F5A"/>
    <w:rsid w:val="00A97F92"/>
    <w:rsid w:val="00AA0D5A"/>
    <w:rsid w:val="00AA17F7"/>
    <w:rsid w:val="00AA253F"/>
    <w:rsid w:val="00AA25AC"/>
    <w:rsid w:val="00AA28D2"/>
    <w:rsid w:val="00AA2D58"/>
    <w:rsid w:val="00AA4A27"/>
    <w:rsid w:val="00AA4C06"/>
    <w:rsid w:val="00AA5C1F"/>
    <w:rsid w:val="00AA62A7"/>
    <w:rsid w:val="00AA7E5F"/>
    <w:rsid w:val="00AB0ED1"/>
    <w:rsid w:val="00AB16F3"/>
    <w:rsid w:val="00AB1ED1"/>
    <w:rsid w:val="00AB23B0"/>
    <w:rsid w:val="00AB2567"/>
    <w:rsid w:val="00AB3273"/>
    <w:rsid w:val="00AB3537"/>
    <w:rsid w:val="00AB365A"/>
    <w:rsid w:val="00AB3A63"/>
    <w:rsid w:val="00AB4201"/>
    <w:rsid w:val="00AB453D"/>
    <w:rsid w:val="00AB48D1"/>
    <w:rsid w:val="00AB4CFC"/>
    <w:rsid w:val="00AB5363"/>
    <w:rsid w:val="00AB58F2"/>
    <w:rsid w:val="00AB5E9F"/>
    <w:rsid w:val="00AB61EF"/>
    <w:rsid w:val="00AB689B"/>
    <w:rsid w:val="00AB747A"/>
    <w:rsid w:val="00AB7541"/>
    <w:rsid w:val="00AB7CDE"/>
    <w:rsid w:val="00AC0AAA"/>
    <w:rsid w:val="00AC0D62"/>
    <w:rsid w:val="00AC1771"/>
    <w:rsid w:val="00AC1934"/>
    <w:rsid w:val="00AC277A"/>
    <w:rsid w:val="00AC41F9"/>
    <w:rsid w:val="00AC4EEC"/>
    <w:rsid w:val="00AC5B51"/>
    <w:rsid w:val="00AC6C46"/>
    <w:rsid w:val="00AC6D5D"/>
    <w:rsid w:val="00AC6F64"/>
    <w:rsid w:val="00AC706B"/>
    <w:rsid w:val="00AC7487"/>
    <w:rsid w:val="00AC7B00"/>
    <w:rsid w:val="00AD03D9"/>
    <w:rsid w:val="00AD20AF"/>
    <w:rsid w:val="00AD25AD"/>
    <w:rsid w:val="00AD3A59"/>
    <w:rsid w:val="00AD3BBF"/>
    <w:rsid w:val="00AD4353"/>
    <w:rsid w:val="00AD485D"/>
    <w:rsid w:val="00AD613B"/>
    <w:rsid w:val="00AE079E"/>
    <w:rsid w:val="00AE0D0C"/>
    <w:rsid w:val="00AE1BA9"/>
    <w:rsid w:val="00AE2387"/>
    <w:rsid w:val="00AE4002"/>
    <w:rsid w:val="00AE6E19"/>
    <w:rsid w:val="00AE724E"/>
    <w:rsid w:val="00AE76A8"/>
    <w:rsid w:val="00AF09A0"/>
    <w:rsid w:val="00AF1091"/>
    <w:rsid w:val="00AF153A"/>
    <w:rsid w:val="00AF18A6"/>
    <w:rsid w:val="00AF18CA"/>
    <w:rsid w:val="00AF1CFD"/>
    <w:rsid w:val="00AF2306"/>
    <w:rsid w:val="00AF2617"/>
    <w:rsid w:val="00AF2AE5"/>
    <w:rsid w:val="00AF2B00"/>
    <w:rsid w:val="00AF3AD9"/>
    <w:rsid w:val="00AF4640"/>
    <w:rsid w:val="00AF5145"/>
    <w:rsid w:val="00AF52CD"/>
    <w:rsid w:val="00AF58F3"/>
    <w:rsid w:val="00AF5ABA"/>
    <w:rsid w:val="00AF6D5C"/>
    <w:rsid w:val="00AF6D94"/>
    <w:rsid w:val="00B00317"/>
    <w:rsid w:val="00B0149D"/>
    <w:rsid w:val="00B014EC"/>
    <w:rsid w:val="00B04FE2"/>
    <w:rsid w:val="00B05126"/>
    <w:rsid w:val="00B05277"/>
    <w:rsid w:val="00B05777"/>
    <w:rsid w:val="00B05B5E"/>
    <w:rsid w:val="00B06527"/>
    <w:rsid w:val="00B07EE5"/>
    <w:rsid w:val="00B10C3C"/>
    <w:rsid w:val="00B11271"/>
    <w:rsid w:val="00B112A5"/>
    <w:rsid w:val="00B116FF"/>
    <w:rsid w:val="00B118CF"/>
    <w:rsid w:val="00B12833"/>
    <w:rsid w:val="00B12AAF"/>
    <w:rsid w:val="00B12D4B"/>
    <w:rsid w:val="00B140E9"/>
    <w:rsid w:val="00B14557"/>
    <w:rsid w:val="00B1471D"/>
    <w:rsid w:val="00B15438"/>
    <w:rsid w:val="00B17281"/>
    <w:rsid w:val="00B2131B"/>
    <w:rsid w:val="00B21BF3"/>
    <w:rsid w:val="00B222E2"/>
    <w:rsid w:val="00B230A8"/>
    <w:rsid w:val="00B2310C"/>
    <w:rsid w:val="00B23328"/>
    <w:rsid w:val="00B233EC"/>
    <w:rsid w:val="00B23B81"/>
    <w:rsid w:val="00B242B1"/>
    <w:rsid w:val="00B24E54"/>
    <w:rsid w:val="00B25994"/>
    <w:rsid w:val="00B27646"/>
    <w:rsid w:val="00B30A4E"/>
    <w:rsid w:val="00B31A01"/>
    <w:rsid w:val="00B31E3C"/>
    <w:rsid w:val="00B32C18"/>
    <w:rsid w:val="00B33037"/>
    <w:rsid w:val="00B33732"/>
    <w:rsid w:val="00B3483B"/>
    <w:rsid w:val="00B35C7E"/>
    <w:rsid w:val="00B35D32"/>
    <w:rsid w:val="00B36448"/>
    <w:rsid w:val="00B377F6"/>
    <w:rsid w:val="00B40FEB"/>
    <w:rsid w:val="00B416B1"/>
    <w:rsid w:val="00B418F4"/>
    <w:rsid w:val="00B426A2"/>
    <w:rsid w:val="00B42D4E"/>
    <w:rsid w:val="00B43376"/>
    <w:rsid w:val="00B43E68"/>
    <w:rsid w:val="00B44209"/>
    <w:rsid w:val="00B44CCC"/>
    <w:rsid w:val="00B44EAC"/>
    <w:rsid w:val="00B465C8"/>
    <w:rsid w:val="00B472C9"/>
    <w:rsid w:val="00B47636"/>
    <w:rsid w:val="00B47C1C"/>
    <w:rsid w:val="00B47F43"/>
    <w:rsid w:val="00B506AC"/>
    <w:rsid w:val="00B50773"/>
    <w:rsid w:val="00B50D1B"/>
    <w:rsid w:val="00B50E2C"/>
    <w:rsid w:val="00B51364"/>
    <w:rsid w:val="00B517ED"/>
    <w:rsid w:val="00B52041"/>
    <w:rsid w:val="00B52A2C"/>
    <w:rsid w:val="00B52F1D"/>
    <w:rsid w:val="00B53170"/>
    <w:rsid w:val="00B536A8"/>
    <w:rsid w:val="00B53B00"/>
    <w:rsid w:val="00B54AE6"/>
    <w:rsid w:val="00B54F8C"/>
    <w:rsid w:val="00B551CF"/>
    <w:rsid w:val="00B56D06"/>
    <w:rsid w:val="00B5765A"/>
    <w:rsid w:val="00B60C22"/>
    <w:rsid w:val="00B616A0"/>
    <w:rsid w:val="00B620CA"/>
    <w:rsid w:val="00B6232A"/>
    <w:rsid w:val="00B62B8F"/>
    <w:rsid w:val="00B62D75"/>
    <w:rsid w:val="00B63850"/>
    <w:rsid w:val="00B6475C"/>
    <w:rsid w:val="00B649F7"/>
    <w:rsid w:val="00B667C6"/>
    <w:rsid w:val="00B66DB7"/>
    <w:rsid w:val="00B67ADB"/>
    <w:rsid w:val="00B70A7F"/>
    <w:rsid w:val="00B716B3"/>
    <w:rsid w:val="00B719C9"/>
    <w:rsid w:val="00B71C25"/>
    <w:rsid w:val="00B71D4B"/>
    <w:rsid w:val="00B7214B"/>
    <w:rsid w:val="00B72A9B"/>
    <w:rsid w:val="00B73636"/>
    <w:rsid w:val="00B7370E"/>
    <w:rsid w:val="00B7381A"/>
    <w:rsid w:val="00B73C08"/>
    <w:rsid w:val="00B7439C"/>
    <w:rsid w:val="00B743D7"/>
    <w:rsid w:val="00B7534C"/>
    <w:rsid w:val="00B7657E"/>
    <w:rsid w:val="00B76793"/>
    <w:rsid w:val="00B76C42"/>
    <w:rsid w:val="00B76CBC"/>
    <w:rsid w:val="00B770C9"/>
    <w:rsid w:val="00B80C63"/>
    <w:rsid w:val="00B819ED"/>
    <w:rsid w:val="00B8390E"/>
    <w:rsid w:val="00B83CA3"/>
    <w:rsid w:val="00B84219"/>
    <w:rsid w:val="00B84275"/>
    <w:rsid w:val="00B84382"/>
    <w:rsid w:val="00B85068"/>
    <w:rsid w:val="00B85154"/>
    <w:rsid w:val="00B85546"/>
    <w:rsid w:val="00B85D8E"/>
    <w:rsid w:val="00B87377"/>
    <w:rsid w:val="00B87EA2"/>
    <w:rsid w:val="00B90139"/>
    <w:rsid w:val="00B913AA"/>
    <w:rsid w:val="00B91481"/>
    <w:rsid w:val="00B91B01"/>
    <w:rsid w:val="00B9205C"/>
    <w:rsid w:val="00B925BA"/>
    <w:rsid w:val="00B93031"/>
    <w:rsid w:val="00B9335D"/>
    <w:rsid w:val="00B94400"/>
    <w:rsid w:val="00B95673"/>
    <w:rsid w:val="00B961C8"/>
    <w:rsid w:val="00B96C2A"/>
    <w:rsid w:val="00B96FD4"/>
    <w:rsid w:val="00B97971"/>
    <w:rsid w:val="00B97D8D"/>
    <w:rsid w:val="00BA04E1"/>
    <w:rsid w:val="00BA18D1"/>
    <w:rsid w:val="00BA19E0"/>
    <w:rsid w:val="00BA1D00"/>
    <w:rsid w:val="00BA1F8A"/>
    <w:rsid w:val="00BA258C"/>
    <w:rsid w:val="00BA280D"/>
    <w:rsid w:val="00BA3140"/>
    <w:rsid w:val="00BA321E"/>
    <w:rsid w:val="00BA3EDB"/>
    <w:rsid w:val="00BA4441"/>
    <w:rsid w:val="00BA46B0"/>
    <w:rsid w:val="00BA47DA"/>
    <w:rsid w:val="00BA4E91"/>
    <w:rsid w:val="00BA5E59"/>
    <w:rsid w:val="00BA62A1"/>
    <w:rsid w:val="00BA6D0B"/>
    <w:rsid w:val="00BA75F2"/>
    <w:rsid w:val="00BB0F17"/>
    <w:rsid w:val="00BB1A4D"/>
    <w:rsid w:val="00BB1A9F"/>
    <w:rsid w:val="00BB228F"/>
    <w:rsid w:val="00BB304B"/>
    <w:rsid w:val="00BB347F"/>
    <w:rsid w:val="00BB36ED"/>
    <w:rsid w:val="00BB50DE"/>
    <w:rsid w:val="00BB641A"/>
    <w:rsid w:val="00BB6DED"/>
    <w:rsid w:val="00BB79A4"/>
    <w:rsid w:val="00BB7A89"/>
    <w:rsid w:val="00BB7CBB"/>
    <w:rsid w:val="00BC08D4"/>
    <w:rsid w:val="00BC0CB8"/>
    <w:rsid w:val="00BC0EE4"/>
    <w:rsid w:val="00BC1B82"/>
    <w:rsid w:val="00BC1D46"/>
    <w:rsid w:val="00BC21D7"/>
    <w:rsid w:val="00BC4A61"/>
    <w:rsid w:val="00BC52EB"/>
    <w:rsid w:val="00BC5978"/>
    <w:rsid w:val="00BC5A14"/>
    <w:rsid w:val="00BC63D5"/>
    <w:rsid w:val="00BC6876"/>
    <w:rsid w:val="00BD0100"/>
    <w:rsid w:val="00BD297C"/>
    <w:rsid w:val="00BD2BB6"/>
    <w:rsid w:val="00BD4509"/>
    <w:rsid w:val="00BD483C"/>
    <w:rsid w:val="00BD4931"/>
    <w:rsid w:val="00BD499A"/>
    <w:rsid w:val="00BD532D"/>
    <w:rsid w:val="00BD6018"/>
    <w:rsid w:val="00BD6F03"/>
    <w:rsid w:val="00BD6FDA"/>
    <w:rsid w:val="00BD77B5"/>
    <w:rsid w:val="00BD7A55"/>
    <w:rsid w:val="00BE00E4"/>
    <w:rsid w:val="00BE0270"/>
    <w:rsid w:val="00BE0809"/>
    <w:rsid w:val="00BE0965"/>
    <w:rsid w:val="00BE0D73"/>
    <w:rsid w:val="00BE0DD9"/>
    <w:rsid w:val="00BE180E"/>
    <w:rsid w:val="00BE19CD"/>
    <w:rsid w:val="00BE21A8"/>
    <w:rsid w:val="00BE2827"/>
    <w:rsid w:val="00BE2CB6"/>
    <w:rsid w:val="00BE331A"/>
    <w:rsid w:val="00BE391E"/>
    <w:rsid w:val="00BE4444"/>
    <w:rsid w:val="00BE48B7"/>
    <w:rsid w:val="00BE4C20"/>
    <w:rsid w:val="00BE53BC"/>
    <w:rsid w:val="00BE5574"/>
    <w:rsid w:val="00BE5CDB"/>
    <w:rsid w:val="00BE5DF3"/>
    <w:rsid w:val="00BE61B0"/>
    <w:rsid w:val="00BE6BFF"/>
    <w:rsid w:val="00BE74B4"/>
    <w:rsid w:val="00BE74D9"/>
    <w:rsid w:val="00BF01E3"/>
    <w:rsid w:val="00BF0B84"/>
    <w:rsid w:val="00BF19A0"/>
    <w:rsid w:val="00BF2280"/>
    <w:rsid w:val="00BF4843"/>
    <w:rsid w:val="00BF4B69"/>
    <w:rsid w:val="00BF5F81"/>
    <w:rsid w:val="00BF6456"/>
    <w:rsid w:val="00BF6462"/>
    <w:rsid w:val="00BF6F8D"/>
    <w:rsid w:val="00BF7738"/>
    <w:rsid w:val="00BF77A4"/>
    <w:rsid w:val="00C00471"/>
    <w:rsid w:val="00C011B3"/>
    <w:rsid w:val="00C014C6"/>
    <w:rsid w:val="00C01839"/>
    <w:rsid w:val="00C01BF8"/>
    <w:rsid w:val="00C02043"/>
    <w:rsid w:val="00C048AE"/>
    <w:rsid w:val="00C04A40"/>
    <w:rsid w:val="00C04F50"/>
    <w:rsid w:val="00C05E06"/>
    <w:rsid w:val="00C06FED"/>
    <w:rsid w:val="00C0702F"/>
    <w:rsid w:val="00C076D3"/>
    <w:rsid w:val="00C1041E"/>
    <w:rsid w:val="00C1044E"/>
    <w:rsid w:val="00C10EB9"/>
    <w:rsid w:val="00C11E3B"/>
    <w:rsid w:val="00C1233D"/>
    <w:rsid w:val="00C12AFA"/>
    <w:rsid w:val="00C12E9A"/>
    <w:rsid w:val="00C1412B"/>
    <w:rsid w:val="00C15578"/>
    <w:rsid w:val="00C15648"/>
    <w:rsid w:val="00C16E21"/>
    <w:rsid w:val="00C17244"/>
    <w:rsid w:val="00C2000C"/>
    <w:rsid w:val="00C2020E"/>
    <w:rsid w:val="00C20265"/>
    <w:rsid w:val="00C2049A"/>
    <w:rsid w:val="00C20ECB"/>
    <w:rsid w:val="00C2112F"/>
    <w:rsid w:val="00C21CA1"/>
    <w:rsid w:val="00C21D7D"/>
    <w:rsid w:val="00C21FB0"/>
    <w:rsid w:val="00C24142"/>
    <w:rsid w:val="00C257EC"/>
    <w:rsid w:val="00C25B6F"/>
    <w:rsid w:val="00C25CA5"/>
    <w:rsid w:val="00C2605E"/>
    <w:rsid w:val="00C2648E"/>
    <w:rsid w:val="00C26B97"/>
    <w:rsid w:val="00C27BE2"/>
    <w:rsid w:val="00C30194"/>
    <w:rsid w:val="00C30973"/>
    <w:rsid w:val="00C30F85"/>
    <w:rsid w:val="00C31129"/>
    <w:rsid w:val="00C313E7"/>
    <w:rsid w:val="00C3210B"/>
    <w:rsid w:val="00C326A9"/>
    <w:rsid w:val="00C34EEE"/>
    <w:rsid w:val="00C3561D"/>
    <w:rsid w:val="00C3654D"/>
    <w:rsid w:val="00C369FE"/>
    <w:rsid w:val="00C410EB"/>
    <w:rsid w:val="00C4196A"/>
    <w:rsid w:val="00C41CF2"/>
    <w:rsid w:val="00C41E47"/>
    <w:rsid w:val="00C42E87"/>
    <w:rsid w:val="00C42F00"/>
    <w:rsid w:val="00C43453"/>
    <w:rsid w:val="00C44924"/>
    <w:rsid w:val="00C45097"/>
    <w:rsid w:val="00C45C93"/>
    <w:rsid w:val="00C461EB"/>
    <w:rsid w:val="00C50077"/>
    <w:rsid w:val="00C51720"/>
    <w:rsid w:val="00C51E03"/>
    <w:rsid w:val="00C520D7"/>
    <w:rsid w:val="00C52B35"/>
    <w:rsid w:val="00C5372C"/>
    <w:rsid w:val="00C53769"/>
    <w:rsid w:val="00C53EEF"/>
    <w:rsid w:val="00C55CD2"/>
    <w:rsid w:val="00C55E91"/>
    <w:rsid w:val="00C562B4"/>
    <w:rsid w:val="00C56832"/>
    <w:rsid w:val="00C56C08"/>
    <w:rsid w:val="00C57869"/>
    <w:rsid w:val="00C60DF5"/>
    <w:rsid w:val="00C60FED"/>
    <w:rsid w:val="00C627A3"/>
    <w:rsid w:val="00C64C2F"/>
    <w:rsid w:val="00C6528A"/>
    <w:rsid w:val="00C6546A"/>
    <w:rsid w:val="00C66586"/>
    <w:rsid w:val="00C665F2"/>
    <w:rsid w:val="00C672BF"/>
    <w:rsid w:val="00C6749F"/>
    <w:rsid w:val="00C676D3"/>
    <w:rsid w:val="00C7054B"/>
    <w:rsid w:val="00C70598"/>
    <w:rsid w:val="00C71439"/>
    <w:rsid w:val="00C72AE9"/>
    <w:rsid w:val="00C7375A"/>
    <w:rsid w:val="00C74048"/>
    <w:rsid w:val="00C74654"/>
    <w:rsid w:val="00C74775"/>
    <w:rsid w:val="00C74F0F"/>
    <w:rsid w:val="00C754A8"/>
    <w:rsid w:val="00C7556D"/>
    <w:rsid w:val="00C75F55"/>
    <w:rsid w:val="00C76725"/>
    <w:rsid w:val="00C77FDD"/>
    <w:rsid w:val="00C802D7"/>
    <w:rsid w:val="00C81867"/>
    <w:rsid w:val="00C81AAE"/>
    <w:rsid w:val="00C81EBC"/>
    <w:rsid w:val="00C82FE1"/>
    <w:rsid w:val="00C847AA"/>
    <w:rsid w:val="00C84C3A"/>
    <w:rsid w:val="00C86300"/>
    <w:rsid w:val="00C8679C"/>
    <w:rsid w:val="00C8685C"/>
    <w:rsid w:val="00C873BE"/>
    <w:rsid w:val="00C87645"/>
    <w:rsid w:val="00C87795"/>
    <w:rsid w:val="00C8788F"/>
    <w:rsid w:val="00C878A2"/>
    <w:rsid w:val="00C93936"/>
    <w:rsid w:val="00C948E7"/>
    <w:rsid w:val="00C963E5"/>
    <w:rsid w:val="00C967BE"/>
    <w:rsid w:val="00C96E4A"/>
    <w:rsid w:val="00C97546"/>
    <w:rsid w:val="00C975A8"/>
    <w:rsid w:val="00C97688"/>
    <w:rsid w:val="00C97773"/>
    <w:rsid w:val="00C9786B"/>
    <w:rsid w:val="00C97D39"/>
    <w:rsid w:val="00CA1482"/>
    <w:rsid w:val="00CA1957"/>
    <w:rsid w:val="00CA2159"/>
    <w:rsid w:val="00CA21E3"/>
    <w:rsid w:val="00CA2ACE"/>
    <w:rsid w:val="00CA3B1F"/>
    <w:rsid w:val="00CA3B41"/>
    <w:rsid w:val="00CA3BA7"/>
    <w:rsid w:val="00CA3D0C"/>
    <w:rsid w:val="00CA7866"/>
    <w:rsid w:val="00CA7F24"/>
    <w:rsid w:val="00CB0C31"/>
    <w:rsid w:val="00CB0D84"/>
    <w:rsid w:val="00CB1580"/>
    <w:rsid w:val="00CB1A38"/>
    <w:rsid w:val="00CB21B3"/>
    <w:rsid w:val="00CB2E9C"/>
    <w:rsid w:val="00CB3460"/>
    <w:rsid w:val="00CB4072"/>
    <w:rsid w:val="00CB484D"/>
    <w:rsid w:val="00CB517A"/>
    <w:rsid w:val="00CB5E18"/>
    <w:rsid w:val="00CB61C9"/>
    <w:rsid w:val="00CB62EE"/>
    <w:rsid w:val="00CB7176"/>
    <w:rsid w:val="00CB730C"/>
    <w:rsid w:val="00CC0F4A"/>
    <w:rsid w:val="00CC0F68"/>
    <w:rsid w:val="00CC22B1"/>
    <w:rsid w:val="00CC2A03"/>
    <w:rsid w:val="00CC2C93"/>
    <w:rsid w:val="00CC2DC4"/>
    <w:rsid w:val="00CC384C"/>
    <w:rsid w:val="00CC38CF"/>
    <w:rsid w:val="00CC3988"/>
    <w:rsid w:val="00CC5202"/>
    <w:rsid w:val="00CC52C9"/>
    <w:rsid w:val="00CC53F4"/>
    <w:rsid w:val="00CC5AF3"/>
    <w:rsid w:val="00CC68BF"/>
    <w:rsid w:val="00CC6958"/>
    <w:rsid w:val="00CC7C45"/>
    <w:rsid w:val="00CD13B1"/>
    <w:rsid w:val="00CD2107"/>
    <w:rsid w:val="00CD28EC"/>
    <w:rsid w:val="00CD2DC8"/>
    <w:rsid w:val="00CD3D23"/>
    <w:rsid w:val="00CD3FDF"/>
    <w:rsid w:val="00CD561D"/>
    <w:rsid w:val="00CD6EF5"/>
    <w:rsid w:val="00CD755A"/>
    <w:rsid w:val="00CE052C"/>
    <w:rsid w:val="00CE0CE1"/>
    <w:rsid w:val="00CE20E9"/>
    <w:rsid w:val="00CE3DD3"/>
    <w:rsid w:val="00CE4053"/>
    <w:rsid w:val="00CE4954"/>
    <w:rsid w:val="00CE5016"/>
    <w:rsid w:val="00CE596E"/>
    <w:rsid w:val="00CE5FEF"/>
    <w:rsid w:val="00CF1160"/>
    <w:rsid w:val="00CF3482"/>
    <w:rsid w:val="00CF4940"/>
    <w:rsid w:val="00CF4CD4"/>
    <w:rsid w:val="00CF507C"/>
    <w:rsid w:val="00CF5293"/>
    <w:rsid w:val="00CF72AC"/>
    <w:rsid w:val="00D0011E"/>
    <w:rsid w:val="00D004E5"/>
    <w:rsid w:val="00D0136A"/>
    <w:rsid w:val="00D0142A"/>
    <w:rsid w:val="00D0150B"/>
    <w:rsid w:val="00D02111"/>
    <w:rsid w:val="00D0280B"/>
    <w:rsid w:val="00D038D7"/>
    <w:rsid w:val="00D03B38"/>
    <w:rsid w:val="00D052E6"/>
    <w:rsid w:val="00D05DDB"/>
    <w:rsid w:val="00D073F9"/>
    <w:rsid w:val="00D07DD7"/>
    <w:rsid w:val="00D10717"/>
    <w:rsid w:val="00D1147F"/>
    <w:rsid w:val="00D13DF1"/>
    <w:rsid w:val="00D13EDA"/>
    <w:rsid w:val="00D15061"/>
    <w:rsid w:val="00D1522E"/>
    <w:rsid w:val="00D15D74"/>
    <w:rsid w:val="00D16D8E"/>
    <w:rsid w:val="00D16FB5"/>
    <w:rsid w:val="00D1722E"/>
    <w:rsid w:val="00D176B7"/>
    <w:rsid w:val="00D17F2A"/>
    <w:rsid w:val="00D20B08"/>
    <w:rsid w:val="00D211A5"/>
    <w:rsid w:val="00D21C7E"/>
    <w:rsid w:val="00D2261D"/>
    <w:rsid w:val="00D228B8"/>
    <w:rsid w:val="00D2301A"/>
    <w:rsid w:val="00D24515"/>
    <w:rsid w:val="00D24B00"/>
    <w:rsid w:val="00D24E61"/>
    <w:rsid w:val="00D2526B"/>
    <w:rsid w:val="00D266A9"/>
    <w:rsid w:val="00D27660"/>
    <w:rsid w:val="00D30E94"/>
    <w:rsid w:val="00D31401"/>
    <w:rsid w:val="00D324DA"/>
    <w:rsid w:val="00D3266B"/>
    <w:rsid w:val="00D32A14"/>
    <w:rsid w:val="00D32B43"/>
    <w:rsid w:val="00D33571"/>
    <w:rsid w:val="00D339A1"/>
    <w:rsid w:val="00D33CFC"/>
    <w:rsid w:val="00D344F3"/>
    <w:rsid w:val="00D3524B"/>
    <w:rsid w:val="00D357A4"/>
    <w:rsid w:val="00D36238"/>
    <w:rsid w:val="00D36EB1"/>
    <w:rsid w:val="00D375AE"/>
    <w:rsid w:val="00D4029D"/>
    <w:rsid w:val="00D43642"/>
    <w:rsid w:val="00D44DF2"/>
    <w:rsid w:val="00D44EDE"/>
    <w:rsid w:val="00D451A5"/>
    <w:rsid w:val="00D451C1"/>
    <w:rsid w:val="00D45283"/>
    <w:rsid w:val="00D4541B"/>
    <w:rsid w:val="00D477C3"/>
    <w:rsid w:val="00D47CB0"/>
    <w:rsid w:val="00D47DE7"/>
    <w:rsid w:val="00D51271"/>
    <w:rsid w:val="00D51828"/>
    <w:rsid w:val="00D53179"/>
    <w:rsid w:val="00D53DC5"/>
    <w:rsid w:val="00D5465D"/>
    <w:rsid w:val="00D5517C"/>
    <w:rsid w:val="00D55406"/>
    <w:rsid w:val="00D55E9A"/>
    <w:rsid w:val="00D5615B"/>
    <w:rsid w:val="00D5638E"/>
    <w:rsid w:val="00D56E84"/>
    <w:rsid w:val="00D60759"/>
    <w:rsid w:val="00D6293F"/>
    <w:rsid w:val="00D662E4"/>
    <w:rsid w:val="00D670D3"/>
    <w:rsid w:val="00D67470"/>
    <w:rsid w:val="00D6792F"/>
    <w:rsid w:val="00D67B99"/>
    <w:rsid w:val="00D67FC9"/>
    <w:rsid w:val="00D709B5"/>
    <w:rsid w:val="00D729D1"/>
    <w:rsid w:val="00D72B2A"/>
    <w:rsid w:val="00D736FB"/>
    <w:rsid w:val="00D73AAF"/>
    <w:rsid w:val="00D73B35"/>
    <w:rsid w:val="00D74B08"/>
    <w:rsid w:val="00D75461"/>
    <w:rsid w:val="00D75B0B"/>
    <w:rsid w:val="00D76233"/>
    <w:rsid w:val="00D77388"/>
    <w:rsid w:val="00D775D2"/>
    <w:rsid w:val="00D77855"/>
    <w:rsid w:val="00D8078E"/>
    <w:rsid w:val="00D80D94"/>
    <w:rsid w:val="00D8118D"/>
    <w:rsid w:val="00D82637"/>
    <w:rsid w:val="00D83283"/>
    <w:rsid w:val="00D83860"/>
    <w:rsid w:val="00D83B8A"/>
    <w:rsid w:val="00D83D34"/>
    <w:rsid w:val="00D85155"/>
    <w:rsid w:val="00D85F3F"/>
    <w:rsid w:val="00D86169"/>
    <w:rsid w:val="00D8652F"/>
    <w:rsid w:val="00D86BF7"/>
    <w:rsid w:val="00D86C18"/>
    <w:rsid w:val="00D8747A"/>
    <w:rsid w:val="00D875E3"/>
    <w:rsid w:val="00D91421"/>
    <w:rsid w:val="00D91CBD"/>
    <w:rsid w:val="00D926E9"/>
    <w:rsid w:val="00D92B66"/>
    <w:rsid w:val="00D9348C"/>
    <w:rsid w:val="00D93CC1"/>
    <w:rsid w:val="00D93EB9"/>
    <w:rsid w:val="00D942A3"/>
    <w:rsid w:val="00D95384"/>
    <w:rsid w:val="00D9583F"/>
    <w:rsid w:val="00D96C34"/>
    <w:rsid w:val="00D970E9"/>
    <w:rsid w:val="00D97E49"/>
    <w:rsid w:val="00DA073F"/>
    <w:rsid w:val="00DA08BF"/>
    <w:rsid w:val="00DA12F6"/>
    <w:rsid w:val="00DA1419"/>
    <w:rsid w:val="00DA2603"/>
    <w:rsid w:val="00DA2818"/>
    <w:rsid w:val="00DA2876"/>
    <w:rsid w:val="00DA40F8"/>
    <w:rsid w:val="00DA47F0"/>
    <w:rsid w:val="00DA4875"/>
    <w:rsid w:val="00DA4917"/>
    <w:rsid w:val="00DA4E73"/>
    <w:rsid w:val="00DA5117"/>
    <w:rsid w:val="00DA61B6"/>
    <w:rsid w:val="00DA68C1"/>
    <w:rsid w:val="00DA71E0"/>
    <w:rsid w:val="00DA7808"/>
    <w:rsid w:val="00DB2CB5"/>
    <w:rsid w:val="00DB2F25"/>
    <w:rsid w:val="00DB35F8"/>
    <w:rsid w:val="00DB57B7"/>
    <w:rsid w:val="00DB67E5"/>
    <w:rsid w:val="00DB68CD"/>
    <w:rsid w:val="00DB73AB"/>
    <w:rsid w:val="00DB746B"/>
    <w:rsid w:val="00DB761D"/>
    <w:rsid w:val="00DB7C28"/>
    <w:rsid w:val="00DC13F9"/>
    <w:rsid w:val="00DC1D72"/>
    <w:rsid w:val="00DC2A04"/>
    <w:rsid w:val="00DC2E2C"/>
    <w:rsid w:val="00DC46D1"/>
    <w:rsid w:val="00DC4E8F"/>
    <w:rsid w:val="00DC545A"/>
    <w:rsid w:val="00DC585F"/>
    <w:rsid w:val="00DC77F2"/>
    <w:rsid w:val="00DC78DB"/>
    <w:rsid w:val="00DC7F7D"/>
    <w:rsid w:val="00DD028A"/>
    <w:rsid w:val="00DD08C1"/>
    <w:rsid w:val="00DD19C8"/>
    <w:rsid w:val="00DD1BFF"/>
    <w:rsid w:val="00DD2278"/>
    <w:rsid w:val="00DD2ADC"/>
    <w:rsid w:val="00DD4F3E"/>
    <w:rsid w:val="00DD5FFB"/>
    <w:rsid w:val="00DD67A9"/>
    <w:rsid w:val="00DD6EA5"/>
    <w:rsid w:val="00DD75C0"/>
    <w:rsid w:val="00DD7C85"/>
    <w:rsid w:val="00DE2574"/>
    <w:rsid w:val="00DE2C5D"/>
    <w:rsid w:val="00DE36B6"/>
    <w:rsid w:val="00DE43B5"/>
    <w:rsid w:val="00DE4BD0"/>
    <w:rsid w:val="00DE58C9"/>
    <w:rsid w:val="00DE58D7"/>
    <w:rsid w:val="00DE5D98"/>
    <w:rsid w:val="00DE62BC"/>
    <w:rsid w:val="00DE7572"/>
    <w:rsid w:val="00DE7BEA"/>
    <w:rsid w:val="00DE7DAF"/>
    <w:rsid w:val="00DF154D"/>
    <w:rsid w:val="00DF16FC"/>
    <w:rsid w:val="00DF19F6"/>
    <w:rsid w:val="00DF376E"/>
    <w:rsid w:val="00DF431A"/>
    <w:rsid w:val="00DF5CAF"/>
    <w:rsid w:val="00DF62C6"/>
    <w:rsid w:val="00DF6D21"/>
    <w:rsid w:val="00DF75FB"/>
    <w:rsid w:val="00DF7C00"/>
    <w:rsid w:val="00E00BBD"/>
    <w:rsid w:val="00E00C89"/>
    <w:rsid w:val="00E013E3"/>
    <w:rsid w:val="00E01F2F"/>
    <w:rsid w:val="00E02136"/>
    <w:rsid w:val="00E02157"/>
    <w:rsid w:val="00E0219A"/>
    <w:rsid w:val="00E02370"/>
    <w:rsid w:val="00E02392"/>
    <w:rsid w:val="00E02F84"/>
    <w:rsid w:val="00E03E17"/>
    <w:rsid w:val="00E042FF"/>
    <w:rsid w:val="00E04850"/>
    <w:rsid w:val="00E04A38"/>
    <w:rsid w:val="00E05C13"/>
    <w:rsid w:val="00E05C1A"/>
    <w:rsid w:val="00E064CA"/>
    <w:rsid w:val="00E065B2"/>
    <w:rsid w:val="00E06813"/>
    <w:rsid w:val="00E10053"/>
    <w:rsid w:val="00E111E4"/>
    <w:rsid w:val="00E11521"/>
    <w:rsid w:val="00E127AF"/>
    <w:rsid w:val="00E13B47"/>
    <w:rsid w:val="00E15933"/>
    <w:rsid w:val="00E15B99"/>
    <w:rsid w:val="00E1657C"/>
    <w:rsid w:val="00E16BD3"/>
    <w:rsid w:val="00E16FAA"/>
    <w:rsid w:val="00E171C2"/>
    <w:rsid w:val="00E20598"/>
    <w:rsid w:val="00E20664"/>
    <w:rsid w:val="00E2148E"/>
    <w:rsid w:val="00E21C56"/>
    <w:rsid w:val="00E22425"/>
    <w:rsid w:val="00E22996"/>
    <w:rsid w:val="00E23F67"/>
    <w:rsid w:val="00E24926"/>
    <w:rsid w:val="00E24E04"/>
    <w:rsid w:val="00E2580D"/>
    <w:rsid w:val="00E2583C"/>
    <w:rsid w:val="00E2789E"/>
    <w:rsid w:val="00E27948"/>
    <w:rsid w:val="00E27F2F"/>
    <w:rsid w:val="00E30294"/>
    <w:rsid w:val="00E315D6"/>
    <w:rsid w:val="00E3258F"/>
    <w:rsid w:val="00E330AB"/>
    <w:rsid w:val="00E3317B"/>
    <w:rsid w:val="00E3386F"/>
    <w:rsid w:val="00E341F0"/>
    <w:rsid w:val="00E350BD"/>
    <w:rsid w:val="00E3540A"/>
    <w:rsid w:val="00E35AE0"/>
    <w:rsid w:val="00E36335"/>
    <w:rsid w:val="00E373B4"/>
    <w:rsid w:val="00E37B5C"/>
    <w:rsid w:val="00E37CF8"/>
    <w:rsid w:val="00E40350"/>
    <w:rsid w:val="00E407AC"/>
    <w:rsid w:val="00E413A5"/>
    <w:rsid w:val="00E41AF8"/>
    <w:rsid w:val="00E422BE"/>
    <w:rsid w:val="00E4296A"/>
    <w:rsid w:val="00E43380"/>
    <w:rsid w:val="00E44274"/>
    <w:rsid w:val="00E44603"/>
    <w:rsid w:val="00E44F24"/>
    <w:rsid w:val="00E455B4"/>
    <w:rsid w:val="00E46FA7"/>
    <w:rsid w:val="00E46FBA"/>
    <w:rsid w:val="00E47328"/>
    <w:rsid w:val="00E476DD"/>
    <w:rsid w:val="00E479DF"/>
    <w:rsid w:val="00E505D8"/>
    <w:rsid w:val="00E50B83"/>
    <w:rsid w:val="00E51530"/>
    <w:rsid w:val="00E5252F"/>
    <w:rsid w:val="00E528C6"/>
    <w:rsid w:val="00E52B26"/>
    <w:rsid w:val="00E535BD"/>
    <w:rsid w:val="00E54596"/>
    <w:rsid w:val="00E55578"/>
    <w:rsid w:val="00E56000"/>
    <w:rsid w:val="00E56378"/>
    <w:rsid w:val="00E57208"/>
    <w:rsid w:val="00E57457"/>
    <w:rsid w:val="00E60175"/>
    <w:rsid w:val="00E6160E"/>
    <w:rsid w:val="00E63B64"/>
    <w:rsid w:val="00E63F00"/>
    <w:rsid w:val="00E642DC"/>
    <w:rsid w:val="00E64ABC"/>
    <w:rsid w:val="00E64E57"/>
    <w:rsid w:val="00E64F71"/>
    <w:rsid w:val="00E64FC2"/>
    <w:rsid w:val="00E65240"/>
    <w:rsid w:val="00E66FD1"/>
    <w:rsid w:val="00E67590"/>
    <w:rsid w:val="00E67A1A"/>
    <w:rsid w:val="00E703B1"/>
    <w:rsid w:val="00E7045C"/>
    <w:rsid w:val="00E718EA"/>
    <w:rsid w:val="00E71A6E"/>
    <w:rsid w:val="00E72E55"/>
    <w:rsid w:val="00E733D4"/>
    <w:rsid w:val="00E74228"/>
    <w:rsid w:val="00E74759"/>
    <w:rsid w:val="00E74A24"/>
    <w:rsid w:val="00E74E48"/>
    <w:rsid w:val="00E76B64"/>
    <w:rsid w:val="00E76BBE"/>
    <w:rsid w:val="00E77101"/>
    <w:rsid w:val="00E77326"/>
    <w:rsid w:val="00E808C9"/>
    <w:rsid w:val="00E80943"/>
    <w:rsid w:val="00E8112D"/>
    <w:rsid w:val="00E81135"/>
    <w:rsid w:val="00E8148D"/>
    <w:rsid w:val="00E818C3"/>
    <w:rsid w:val="00E82DCF"/>
    <w:rsid w:val="00E84DC4"/>
    <w:rsid w:val="00E84E21"/>
    <w:rsid w:val="00E8561A"/>
    <w:rsid w:val="00E8589E"/>
    <w:rsid w:val="00E85DE8"/>
    <w:rsid w:val="00E86672"/>
    <w:rsid w:val="00E86705"/>
    <w:rsid w:val="00E86E0C"/>
    <w:rsid w:val="00E87FB1"/>
    <w:rsid w:val="00E900CF"/>
    <w:rsid w:val="00E908C6"/>
    <w:rsid w:val="00E924A8"/>
    <w:rsid w:val="00E93450"/>
    <w:rsid w:val="00E9372A"/>
    <w:rsid w:val="00E93AFD"/>
    <w:rsid w:val="00E95441"/>
    <w:rsid w:val="00E96618"/>
    <w:rsid w:val="00E97970"/>
    <w:rsid w:val="00E979A5"/>
    <w:rsid w:val="00E97C50"/>
    <w:rsid w:val="00EA03D8"/>
    <w:rsid w:val="00EA0DB1"/>
    <w:rsid w:val="00EA507E"/>
    <w:rsid w:val="00EA5747"/>
    <w:rsid w:val="00EA6103"/>
    <w:rsid w:val="00EA73BA"/>
    <w:rsid w:val="00EA7745"/>
    <w:rsid w:val="00EB0F28"/>
    <w:rsid w:val="00EB1892"/>
    <w:rsid w:val="00EB2336"/>
    <w:rsid w:val="00EB3B2C"/>
    <w:rsid w:val="00EB3F96"/>
    <w:rsid w:val="00EB3FA2"/>
    <w:rsid w:val="00EB4281"/>
    <w:rsid w:val="00EB4A81"/>
    <w:rsid w:val="00EB5264"/>
    <w:rsid w:val="00EB52AE"/>
    <w:rsid w:val="00EB60D0"/>
    <w:rsid w:val="00EC03D2"/>
    <w:rsid w:val="00EC0719"/>
    <w:rsid w:val="00EC09D5"/>
    <w:rsid w:val="00EC1FA6"/>
    <w:rsid w:val="00EC202F"/>
    <w:rsid w:val="00EC25AB"/>
    <w:rsid w:val="00EC3DF9"/>
    <w:rsid w:val="00EC4F93"/>
    <w:rsid w:val="00EC515F"/>
    <w:rsid w:val="00EC5679"/>
    <w:rsid w:val="00EC5764"/>
    <w:rsid w:val="00EC5DBE"/>
    <w:rsid w:val="00EC5DE6"/>
    <w:rsid w:val="00EC6263"/>
    <w:rsid w:val="00EC6C65"/>
    <w:rsid w:val="00ED0FC6"/>
    <w:rsid w:val="00ED1C3D"/>
    <w:rsid w:val="00ED2264"/>
    <w:rsid w:val="00ED23A2"/>
    <w:rsid w:val="00ED2B1D"/>
    <w:rsid w:val="00ED412E"/>
    <w:rsid w:val="00ED41A8"/>
    <w:rsid w:val="00ED44D2"/>
    <w:rsid w:val="00ED452D"/>
    <w:rsid w:val="00ED5035"/>
    <w:rsid w:val="00ED5703"/>
    <w:rsid w:val="00ED5DD6"/>
    <w:rsid w:val="00ED65DB"/>
    <w:rsid w:val="00ED6AF2"/>
    <w:rsid w:val="00ED7BC1"/>
    <w:rsid w:val="00EE04D4"/>
    <w:rsid w:val="00EE0C34"/>
    <w:rsid w:val="00EE0C71"/>
    <w:rsid w:val="00EE29BE"/>
    <w:rsid w:val="00EE3C34"/>
    <w:rsid w:val="00EE3CDA"/>
    <w:rsid w:val="00EE4C9E"/>
    <w:rsid w:val="00EE5884"/>
    <w:rsid w:val="00EE64D0"/>
    <w:rsid w:val="00EE7261"/>
    <w:rsid w:val="00EF038F"/>
    <w:rsid w:val="00EF07C3"/>
    <w:rsid w:val="00EF1944"/>
    <w:rsid w:val="00EF26AE"/>
    <w:rsid w:val="00EF27B5"/>
    <w:rsid w:val="00EF43EA"/>
    <w:rsid w:val="00EF46B1"/>
    <w:rsid w:val="00EF493E"/>
    <w:rsid w:val="00EF5D73"/>
    <w:rsid w:val="00EF607A"/>
    <w:rsid w:val="00EF6331"/>
    <w:rsid w:val="00EF6482"/>
    <w:rsid w:val="00EF71FF"/>
    <w:rsid w:val="00EF7662"/>
    <w:rsid w:val="00EF773B"/>
    <w:rsid w:val="00F00241"/>
    <w:rsid w:val="00F00777"/>
    <w:rsid w:val="00F00887"/>
    <w:rsid w:val="00F0147C"/>
    <w:rsid w:val="00F01AED"/>
    <w:rsid w:val="00F02876"/>
    <w:rsid w:val="00F03CD8"/>
    <w:rsid w:val="00F06185"/>
    <w:rsid w:val="00F064C3"/>
    <w:rsid w:val="00F06A82"/>
    <w:rsid w:val="00F109A7"/>
    <w:rsid w:val="00F10BFD"/>
    <w:rsid w:val="00F10D7E"/>
    <w:rsid w:val="00F11D60"/>
    <w:rsid w:val="00F12451"/>
    <w:rsid w:val="00F12C44"/>
    <w:rsid w:val="00F12F74"/>
    <w:rsid w:val="00F1303C"/>
    <w:rsid w:val="00F132E8"/>
    <w:rsid w:val="00F14FD4"/>
    <w:rsid w:val="00F15550"/>
    <w:rsid w:val="00F15E8D"/>
    <w:rsid w:val="00F175AF"/>
    <w:rsid w:val="00F205FB"/>
    <w:rsid w:val="00F20967"/>
    <w:rsid w:val="00F20DD7"/>
    <w:rsid w:val="00F20F27"/>
    <w:rsid w:val="00F21CF8"/>
    <w:rsid w:val="00F22A61"/>
    <w:rsid w:val="00F2357B"/>
    <w:rsid w:val="00F23602"/>
    <w:rsid w:val="00F236DC"/>
    <w:rsid w:val="00F2464A"/>
    <w:rsid w:val="00F247BC"/>
    <w:rsid w:val="00F2482C"/>
    <w:rsid w:val="00F24A8F"/>
    <w:rsid w:val="00F25233"/>
    <w:rsid w:val="00F25CBC"/>
    <w:rsid w:val="00F25EAF"/>
    <w:rsid w:val="00F26AC0"/>
    <w:rsid w:val="00F2719D"/>
    <w:rsid w:val="00F27940"/>
    <w:rsid w:val="00F27A13"/>
    <w:rsid w:val="00F27FA1"/>
    <w:rsid w:val="00F3032E"/>
    <w:rsid w:val="00F3124A"/>
    <w:rsid w:val="00F313E8"/>
    <w:rsid w:val="00F31596"/>
    <w:rsid w:val="00F31EFE"/>
    <w:rsid w:val="00F3277D"/>
    <w:rsid w:val="00F32822"/>
    <w:rsid w:val="00F32EC1"/>
    <w:rsid w:val="00F3329B"/>
    <w:rsid w:val="00F33D35"/>
    <w:rsid w:val="00F340F0"/>
    <w:rsid w:val="00F343CC"/>
    <w:rsid w:val="00F34F38"/>
    <w:rsid w:val="00F350F7"/>
    <w:rsid w:val="00F35253"/>
    <w:rsid w:val="00F36405"/>
    <w:rsid w:val="00F36809"/>
    <w:rsid w:val="00F36950"/>
    <w:rsid w:val="00F371E7"/>
    <w:rsid w:val="00F3733F"/>
    <w:rsid w:val="00F3738F"/>
    <w:rsid w:val="00F37625"/>
    <w:rsid w:val="00F40055"/>
    <w:rsid w:val="00F41E87"/>
    <w:rsid w:val="00F42120"/>
    <w:rsid w:val="00F428F8"/>
    <w:rsid w:val="00F43B83"/>
    <w:rsid w:val="00F44EBF"/>
    <w:rsid w:val="00F45EB3"/>
    <w:rsid w:val="00F463BF"/>
    <w:rsid w:val="00F47502"/>
    <w:rsid w:val="00F47697"/>
    <w:rsid w:val="00F50DD0"/>
    <w:rsid w:val="00F517F3"/>
    <w:rsid w:val="00F520B3"/>
    <w:rsid w:val="00F53132"/>
    <w:rsid w:val="00F531DC"/>
    <w:rsid w:val="00F538EF"/>
    <w:rsid w:val="00F53F88"/>
    <w:rsid w:val="00F54274"/>
    <w:rsid w:val="00F5456A"/>
    <w:rsid w:val="00F545FC"/>
    <w:rsid w:val="00F547FE"/>
    <w:rsid w:val="00F54E12"/>
    <w:rsid w:val="00F56446"/>
    <w:rsid w:val="00F573F1"/>
    <w:rsid w:val="00F57AF7"/>
    <w:rsid w:val="00F57CAC"/>
    <w:rsid w:val="00F61B21"/>
    <w:rsid w:val="00F61FFC"/>
    <w:rsid w:val="00F625CA"/>
    <w:rsid w:val="00F62A93"/>
    <w:rsid w:val="00F62AF9"/>
    <w:rsid w:val="00F62C6B"/>
    <w:rsid w:val="00F62CDB"/>
    <w:rsid w:val="00F62F06"/>
    <w:rsid w:val="00F644AD"/>
    <w:rsid w:val="00F646BE"/>
    <w:rsid w:val="00F64FF5"/>
    <w:rsid w:val="00F66320"/>
    <w:rsid w:val="00F663A8"/>
    <w:rsid w:val="00F66A76"/>
    <w:rsid w:val="00F674BA"/>
    <w:rsid w:val="00F6767A"/>
    <w:rsid w:val="00F67E6A"/>
    <w:rsid w:val="00F70A48"/>
    <w:rsid w:val="00F70BAD"/>
    <w:rsid w:val="00F713ED"/>
    <w:rsid w:val="00F71668"/>
    <w:rsid w:val="00F73140"/>
    <w:rsid w:val="00F74364"/>
    <w:rsid w:val="00F74666"/>
    <w:rsid w:val="00F7492D"/>
    <w:rsid w:val="00F751A4"/>
    <w:rsid w:val="00F7568A"/>
    <w:rsid w:val="00F77C1A"/>
    <w:rsid w:val="00F77E91"/>
    <w:rsid w:val="00F81073"/>
    <w:rsid w:val="00F812E4"/>
    <w:rsid w:val="00F815BB"/>
    <w:rsid w:val="00F825C9"/>
    <w:rsid w:val="00F8344B"/>
    <w:rsid w:val="00F83C40"/>
    <w:rsid w:val="00F83EEA"/>
    <w:rsid w:val="00F844DC"/>
    <w:rsid w:val="00F8461A"/>
    <w:rsid w:val="00F84BEC"/>
    <w:rsid w:val="00F852BE"/>
    <w:rsid w:val="00F8731D"/>
    <w:rsid w:val="00F879C5"/>
    <w:rsid w:val="00F87CAF"/>
    <w:rsid w:val="00F87FA4"/>
    <w:rsid w:val="00F90063"/>
    <w:rsid w:val="00F90A3D"/>
    <w:rsid w:val="00F90EC0"/>
    <w:rsid w:val="00F91222"/>
    <w:rsid w:val="00F92352"/>
    <w:rsid w:val="00F9267B"/>
    <w:rsid w:val="00F93469"/>
    <w:rsid w:val="00F93B7A"/>
    <w:rsid w:val="00F94ACE"/>
    <w:rsid w:val="00F94AE5"/>
    <w:rsid w:val="00F94C20"/>
    <w:rsid w:val="00F94EAF"/>
    <w:rsid w:val="00F96581"/>
    <w:rsid w:val="00F96AF2"/>
    <w:rsid w:val="00F96D11"/>
    <w:rsid w:val="00F96F50"/>
    <w:rsid w:val="00F970A7"/>
    <w:rsid w:val="00F9731E"/>
    <w:rsid w:val="00F9738D"/>
    <w:rsid w:val="00FA1622"/>
    <w:rsid w:val="00FA1A3F"/>
    <w:rsid w:val="00FA2228"/>
    <w:rsid w:val="00FA2A03"/>
    <w:rsid w:val="00FA57BD"/>
    <w:rsid w:val="00FA59C4"/>
    <w:rsid w:val="00FA59C6"/>
    <w:rsid w:val="00FA5A3F"/>
    <w:rsid w:val="00FA5B04"/>
    <w:rsid w:val="00FA5F7E"/>
    <w:rsid w:val="00FA6140"/>
    <w:rsid w:val="00FA6AEF"/>
    <w:rsid w:val="00FB0167"/>
    <w:rsid w:val="00FB0EBB"/>
    <w:rsid w:val="00FB10F6"/>
    <w:rsid w:val="00FB13A2"/>
    <w:rsid w:val="00FB1402"/>
    <w:rsid w:val="00FB15EB"/>
    <w:rsid w:val="00FB19EB"/>
    <w:rsid w:val="00FB3A29"/>
    <w:rsid w:val="00FB41AF"/>
    <w:rsid w:val="00FB47DE"/>
    <w:rsid w:val="00FB492C"/>
    <w:rsid w:val="00FB4A1C"/>
    <w:rsid w:val="00FB60CC"/>
    <w:rsid w:val="00FB60FB"/>
    <w:rsid w:val="00FB612E"/>
    <w:rsid w:val="00FB6635"/>
    <w:rsid w:val="00FB6B37"/>
    <w:rsid w:val="00FB7510"/>
    <w:rsid w:val="00FC08D8"/>
    <w:rsid w:val="00FC111B"/>
    <w:rsid w:val="00FC1DE5"/>
    <w:rsid w:val="00FC206B"/>
    <w:rsid w:val="00FC23C7"/>
    <w:rsid w:val="00FC2710"/>
    <w:rsid w:val="00FC3E40"/>
    <w:rsid w:val="00FC3FB7"/>
    <w:rsid w:val="00FC4378"/>
    <w:rsid w:val="00FC52C1"/>
    <w:rsid w:val="00FC5A6D"/>
    <w:rsid w:val="00FC5B2A"/>
    <w:rsid w:val="00FC623B"/>
    <w:rsid w:val="00FC6281"/>
    <w:rsid w:val="00FC65D0"/>
    <w:rsid w:val="00FC772C"/>
    <w:rsid w:val="00FC7DB1"/>
    <w:rsid w:val="00FD0284"/>
    <w:rsid w:val="00FD0BC0"/>
    <w:rsid w:val="00FD1078"/>
    <w:rsid w:val="00FD12DB"/>
    <w:rsid w:val="00FD1306"/>
    <w:rsid w:val="00FD3713"/>
    <w:rsid w:val="00FD434E"/>
    <w:rsid w:val="00FD4587"/>
    <w:rsid w:val="00FD47F8"/>
    <w:rsid w:val="00FD57E2"/>
    <w:rsid w:val="00FD5B9B"/>
    <w:rsid w:val="00FD66DD"/>
    <w:rsid w:val="00FD6921"/>
    <w:rsid w:val="00FD77C2"/>
    <w:rsid w:val="00FE175F"/>
    <w:rsid w:val="00FE1F8E"/>
    <w:rsid w:val="00FE26DD"/>
    <w:rsid w:val="00FE2ED7"/>
    <w:rsid w:val="00FE329D"/>
    <w:rsid w:val="00FE34B0"/>
    <w:rsid w:val="00FE379B"/>
    <w:rsid w:val="00FE3AFB"/>
    <w:rsid w:val="00FE3E6F"/>
    <w:rsid w:val="00FE400F"/>
    <w:rsid w:val="00FE4187"/>
    <w:rsid w:val="00FE4697"/>
    <w:rsid w:val="00FE58C5"/>
    <w:rsid w:val="00FE5ADE"/>
    <w:rsid w:val="00FE5C0B"/>
    <w:rsid w:val="00FE5E79"/>
    <w:rsid w:val="00FE788D"/>
    <w:rsid w:val="00FE797F"/>
    <w:rsid w:val="00FF052C"/>
    <w:rsid w:val="00FF05CB"/>
    <w:rsid w:val="00FF1B26"/>
    <w:rsid w:val="00FF211E"/>
    <w:rsid w:val="00FF27FB"/>
    <w:rsid w:val="00FF31B0"/>
    <w:rsid w:val="00FF3215"/>
    <w:rsid w:val="00FF3E5C"/>
    <w:rsid w:val="00FF4658"/>
    <w:rsid w:val="00FF473D"/>
    <w:rsid w:val="00FF4E8A"/>
    <w:rsid w:val="00FF556A"/>
    <w:rsid w:val="00FF5D50"/>
    <w:rsid w:val="00FF5E33"/>
    <w:rsid w:val="00FF609F"/>
    <w:rsid w:val="00FF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A08FD0"/>
  <w15:docId w15:val="{A3C56C42-C2BB-4C69-A941-45FEB8511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7CC9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sz w:val="18"/>
      <w:szCs w:val="20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73F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73F1"/>
  </w:style>
  <w:style w:type="paragraph" w:styleId="Footer">
    <w:name w:val="footer"/>
    <w:basedOn w:val="Normal"/>
    <w:link w:val="FooterChar"/>
    <w:uiPriority w:val="99"/>
    <w:unhideWhenUsed/>
    <w:rsid w:val="00F573F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73F1"/>
  </w:style>
  <w:style w:type="paragraph" w:customStyle="1" w:styleId="Standard">
    <w:name w:val="Standard"/>
    <w:rsid w:val="00F573F1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Arial Unicode MS"/>
      <w:kern w:val="3"/>
      <w:sz w:val="18"/>
      <w:szCs w:val="20"/>
      <w:lang w:eastAsia="zh-CN" w:bidi="hi-IN"/>
    </w:rPr>
  </w:style>
  <w:style w:type="character" w:styleId="Hyperlink">
    <w:name w:val="Hyperlink"/>
    <w:basedOn w:val="DefaultParagraphFont"/>
    <w:uiPriority w:val="99"/>
    <w:rsid w:val="005A2501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5A2501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eastAsia="Calibri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1711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39AF"/>
    <w:rPr>
      <w:rFonts w:cs="Arial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39AF"/>
    <w:rPr>
      <w:rFonts w:ascii="Arial" w:eastAsia="Times New Roman" w:hAnsi="Arial" w:cs="Arial"/>
      <w:sz w:val="18"/>
      <w:szCs w:val="18"/>
      <w:lang w:eastAsia="cs-CZ"/>
    </w:rPr>
  </w:style>
  <w:style w:type="character" w:styleId="CommentReference">
    <w:name w:val="annotation reference"/>
    <w:basedOn w:val="DefaultParagraphFont"/>
    <w:uiPriority w:val="99"/>
    <w:semiHidden/>
    <w:unhideWhenUsed/>
    <w:rsid w:val="00EA57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A574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5747"/>
    <w:rPr>
      <w:rFonts w:ascii="Arial" w:eastAsia="Times New Roman" w:hAnsi="Arial" w:cs="Times New Roman"/>
      <w:sz w:val="20"/>
      <w:szCs w:val="20"/>
      <w:lang w:eastAsia="cs-CZ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57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5747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Revision">
    <w:name w:val="Revision"/>
    <w:hidden/>
    <w:uiPriority w:val="99"/>
    <w:semiHidden/>
    <w:rsid w:val="0046651A"/>
    <w:pPr>
      <w:spacing w:after="0" w:line="240" w:lineRule="auto"/>
    </w:pPr>
    <w:rPr>
      <w:rFonts w:ascii="Arial" w:eastAsia="Times New Roman" w:hAnsi="Arial" w:cs="Times New Roman"/>
      <w:sz w:val="18"/>
      <w:szCs w:val="20"/>
      <w:lang w:eastAsia="cs-CZ"/>
    </w:rPr>
  </w:style>
  <w:style w:type="character" w:styleId="Strong">
    <w:name w:val="Strong"/>
    <w:basedOn w:val="DefaultParagraphFont"/>
    <w:uiPriority w:val="22"/>
    <w:qFormat/>
    <w:rsid w:val="00C12AFA"/>
    <w:rPr>
      <w:b/>
      <w:bCs/>
    </w:rPr>
  </w:style>
  <w:style w:type="paragraph" w:customStyle="1" w:styleId="THnorm">
    <w:name w:val="TH norm"/>
    <w:basedOn w:val="Normal"/>
    <w:rsid w:val="006A7BEA"/>
    <w:pPr>
      <w:tabs>
        <w:tab w:val="left" w:pos="0"/>
      </w:tabs>
      <w:overflowPunct/>
      <w:autoSpaceDE/>
      <w:autoSpaceDN/>
      <w:adjustRightInd/>
      <w:spacing w:after="120"/>
      <w:ind w:firstLine="709"/>
      <w:textAlignment w:val="auto"/>
    </w:pPr>
    <w:rPr>
      <w:rFonts w:ascii="Times New Roman" w:hAnsi="Times New Roman"/>
      <w:sz w:val="24"/>
      <w:szCs w:val="24"/>
    </w:rPr>
  </w:style>
  <w:style w:type="character" w:customStyle="1" w:styleId="Nevyeenzmnka1">
    <w:name w:val="Nevyřešená zmínka1"/>
    <w:basedOn w:val="DefaultParagraphFont"/>
    <w:uiPriority w:val="99"/>
    <w:semiHidden/>
    <w:unhideWhenUsed/>
    <w:rsid w:val="009968A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444EA"/>
    <w:rPr>
      <w:color w:val="954F72" w:themeColor="followedHyperlink"/>
      <w:u w:val="single"/>
    </w:rPr>
  </w:style>
  <w:style w:type="character" w:customStyle="1" w:styleId="Nevyeenzmnka2">
    <w:name w:val="Nevyřešená zmínka2"/>
    <w:basedOn w:val="DefaultParagraphFont"/>
    <w:uiPriority w:val="99"/>
    <w:semiHidden/>
    <w:unhideWhenUsed/>
    <w:rsid w:val="005A0ACF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BA19E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122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6F7BDA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F7BDA"/>
    <w:rPr>
      <w:rFonts w:ascii="Arial" w:eastAsia="Times New Roman" w:hAnsi="Arial" w:cs="Times New Roman"/>
      <w:sz w:val="20"/>
      <w:szCs w:val="20"/>
      <w:lang w:eastAsia="cs-CZ"/>
    </w:rPr>
  </w:style>
  <w:style w:type="character" w:styleId="FootnoteReference">
    <w:name w:val="footnote reference"/>
    <w:basedOn w:val="DefaultParagraphFont"/>
    <w:uiPriority w:val="99"/>
    <w:semiHidden/>
    <w:unhideWhenUsed/>
    <w:rsid w:val="006F7BDA"/>
    <w:rPr>
      <w:vertAlign w:val="superscript"/>
    </w:rPr>
  </w:style>
  <w:style w:type="paragraph" w:customStyle="1" w:styleId="xmsonormal">
    <w:name w:val="xmsonormal"/>
    <w:basedOn w:val="Normal"/>
    <w:rsid w:val="00051022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Calibri" w:eastAsia="Calibri" w:hAnsi="Calibri" w:cs="Calibri"/>
      <w:sz w:val="22"/>
      <w:szCs w:val="22"/>
    </w:rPr>
  </w:style>
  <w:style w:type="character" w:customStyle="1" w:styleId="xpk-token">
    <w:name w:val="xpk-token"/>
    <w:basedOn w:val="DefaultParagraphFont"/>
    <w:rsid w:val="00051022"/>
  </w:style>
  <w:style w:type="paragraph" w:customStyle="1" w:styleId="xmsonormal0">
    <w:name w:val="x_msonormal"/>
    <w:basedOn w:val="Normal"/>
    <w:rsid w:val="00162D23"/>
    <w:pPr>
      <w:overflowPunct/>
      <w:autoSpaceDE/>
      <w:autoSpaceDN/>
      <w:adjustRightInd/>
      <w:jc w:val="left"/>
      <w:textAlignment w:val="auto"/>
    </w:pPr>
    <w:rPr>
      <w:rFonts w:ascii="Calibri" w:eastAsiaTheme="minorHAnsi" w:hAnsi="Calibri" w:cs="Calibri"/>
      <w:sz w:val="22"/>
      <w:szCs w:val="22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A4A27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A4A27"/>
    <w:rPr>
      <w:rFonts w:ascii="Arial" w:eastAsia="Times New Roman" w:hAnsi="Arial" w:cs="Times New Roman"/>
      <w:sz w:val="20"/>
      <w:szCs w:val="20"/>
      <w:lang w:eastAsia="cs-CZ"/>
    </w:rPr>
  </w:style>
  <w:style w:type="character" w:styleId="EndnoteReference">
    <w:name w:val="endnote reference"/>
    <w:basedOn w:val="DefaultParagraphFont"/>
    <w:uiPriority w:val="99"/>
    <w:semiHidden/>
    <w:unhideWhenUsed/>
    <w:rsid w:val="00AA4A27"/>
    <w:rPr>
      <w:vertAlign w:val="superscript"/>
    </w:rPr>
  </w:style>
  <w:style w:type="paragraph" w:customStyle="1" w:styleId="CBANadpisvTABULCE">
    <w:name w:val="CBA Nadpis v TABULCE"/>
    <w:basedOn w:val="Normal"/>
    <w:qFormat/>
    <w:rsid w:val="0028530F"/>
    <w:pPr>
      <w:spacing w:before="120" w:after="120"/>
      <w:jc w:val="left"/>
    </w:pPr>
    <w:rPr>
      <w:b/>
      <w:bCs/>
      <w:color w:val="13576B"/>
    </w:rPr>
  </w:style>
  <w:style w:type="paragraph" w:customStyle="1" w:styleId="CBAodstavecvTABULCE">
    <w:name w:val="CBA odstavec v TABULCE"/>
    <w:basedOn w:val="Normal"/>
    <w:qFormat/>
    <w:rsid w:val="0028530F"/>
    <w:pPr>
      <w:spacing w:before="120" w:after="120"/>
      <w:jc w:val="left"/>
    </w:pPr>
    <w:rPr>
      <w:color w:val="13576B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177C9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177C9"/>
    <w:rPr>
      <w:rFonts w:ascii="Consolas" w:eastAsia="Times New Roman" w:hAnsi="Consolas" w:cs="Times New Roman"/>
      <w:sz w:val="21"/>
      <w:szCs w:val="21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063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033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66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1144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2664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39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135723">
          <w:marLeft w:val="288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947238">
          <w:marLeft w:val="288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7784">
          <w:marLeft w:val="1080"/>
          <w:marRight w:val="0"/>
          <w:marTop w:val="36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5497">
          <w:marLeft w:val="1080"/>
          <w:marRight w:val="0"/>
          <w:marTop w:val="36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468414">
          <w:marLeft w:val="288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51847">
          <w:marLeft w:val="288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9034">
          <w:marLeft w:val="288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8889">
          <w:marLeft w:val="288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9719">
          <w:marLeft w:val="288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8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9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4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8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1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0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4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1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4201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5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6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6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69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4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522814">
          <w:marLeft w:val="0"/>
          <w:marRight w:val="15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41918499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983074791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91423993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929580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498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8825838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8" w:color="000000"/>
            <w:right w:val="single" w:sz="2" w:space="0" w:color="000000"/>
          </w:divBdr>
          <w:divsChild>
            <w:div w:id="207539540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201989819">
                  <w:marLeft w:val="0"/>
                  <w:marRight w:val="0"/>
                  <w:marTop w:val="0"/>
                  <w:marBottom w:val="3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177983474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70584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1392079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1962956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1719091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0000"/>
                                        <w:left w:val="single" w:sz="2" w:space="0" w:color="000000"/>
                                        <w:bottom w:val="single" w:sz="2" w:space="0" w:color="000000"/>
                                        <w:right w:val="single" w:sz="2" w:space="0" w:color="000000"/>
                                      </w:divBdr>
                                      <w:divsChild>
                                        <w:div w:id="2044553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</w:div>
                                      </w:divsChild>
                                    </w:div>
                                    <w:div w:id="1449860268">
                                      <w:marLeft w:val="7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0000"/>
                                        <w:left w:val="single" w:sz="2" w:space="0" w:color="000000"/>
                                        <w:bottom w:val="single" w:sz="2" w:space="0" w:color="000000"/>
                                        <w:right w:val="single" w:sz="2" w:space="0" w:color="000000"/>
                                      </w:divBdr>
                                      <w:divsChild>
                                        <w:div w:id="854464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22902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4" w:color="000000"/>
                                <w:bottom w:val="single" w:sz="2" w:space="0" w:color="000000"/>
                                <w:right w:val="single" w:sz="2" w:space="4" w:color="00000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9621024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702171599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55555612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</w:div>
                  </w:divsChild>
                </w:div>
                <w:div w:id="1982033238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114327882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18942714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1464040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1662074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1497575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0000"/>
                                        <w:left w:val="single" w:sz="2" w:space="0" w:color="000000"/>
                                        <w:bottom w:val="single" w:sz="2" w:space="0" w:color="000000"/>
                                        <w:right w:val="single" w:sz="2" w:space="0" w:color="000000"/>
                                      </w:divBdr>
                                      <w:divsChild>
                                        <w:div w:id="172844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  <w:divsChild>
                                            <w:div w:id="145826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  <w:divsChild>
                                                <w:div w:id="1208638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000000"/>
                                                    <w:left w:val="single" w:sz="2" w:space="8" w:color="000000"/>
                                                    <w:bottom w:val="single" w:sz="2" w:space="0" w:color="000000"/>
                                                    <w:right w:val="single" w:sz="2" w:space="8" w:color="000000"/>
                                                  </w:divBdr>
                                                  <w:divsChild>
                                                    <w:div w:id="19284640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000000"/>
                                                        <w:left w:val="single" w:sz="2" w:space="0" w:color="000000"/>
                                                        <w:bottom w:val="single" w:sz="2" w:space="0" w:color="000000"/>
                                                        <w:right w:val="single" w:sz="2" w:space="0" w:color="000000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04856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000000"/>
                                                    <w:left w:val="single" w:sz="2" w:space="8" w:color="000000"/>
                                                    <w:bottom w:val="single" w:sz="2" w:space="0" w:color="000000"/>
                                                    <w:right w:val="single" w:sz="2" w:space="0" w:color="000000"/>
                                                  </w:divBdr>
                                                  <w:divsChild>
                                                    <w:div w:id="19040207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000000"/>
                                                        <w:left w:val="single" w:sz="2" w:space="0" w:color="000000"/>
                                                        <w:bottom w:val="single" w:sz="2" w:space="0" w:color="000000"/>
                                                        <w:right w:val="single" w:sz="2" w:space="0" w:color="000000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02988206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  <w:divsChild>
                                            <w:div w:id="1491291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  <w:divsChild>
                                                <w:div w:id="354237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000000"/>
                                                    <w:left w:val="single" w:sz="2" w:space="8" w:color="000000"/>
                                                    <w:bottom w:val="single" w:sz="2" w:space="0" w:color="000000"/>
                                                    <w:right w:val="single" w:sz="2" w:space="8" w:color="000000"/>
                                                  </w:divBdr>
                                                  <w:divsChild>
                                                    <w:div w:id="1014647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000000"/>
                                                        <w:left w:val="single" w:sz="2" w:space="0" w:color="000000"/>
                                                        <w:bottom w:val="single" w:sz="2" w:space="0" w:color="000000"/>
                                                        <w:right w:val="single" w:sz="2" w:space="0" w:color="000000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42356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000000"/>
                                                    <w:left w:val="single" w:sz="2" w:space="8" w:color="000000"/>
                                                    <w:bottom w:val="single" w:sz="2" w:space="0" w:color="000000"/>
                                                    <w:right w:val="single" w:sz="2" w:space="0" w:color="000000"/>
                                                  </w:divBdr>
                                                  <w:divsChild>
                                                    <w:div w:id="11109319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000000"/>
                                                        <w:left w:val="single" w:sz="2" w:space="0" w:color="000000"/>
                                                        <w:bottom w:val="single" w:sz="2" w:space="0" w:color="000000"/>
                                                        <w:right w:val="single" w:sz="2" w:space="0" w:color="000000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64566048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  <w:divsChild>
                                            <w:div w:id="1746099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  <w:divsChild>
                                                <w:div w:id="21340109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000000"/>
                                                    <w:left w:val="single" w:sz="2" w:space="8" w:color="000000"/>
                                                    <w:bottom w:val="single" w:sz="2" w:space="0" w:color="000000"/>
                                                    <w:right w:val="single" w:sz="2" w:space="8" w:color="000000"/>
                                                  </w:divBdr>
                                                  <w:divsChild>
                                                    <w:div w:id="1329213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000000"/>
                                                        <w:left w:val="single" w:sz="2" w:space="0" w:color="000000"/>
                                                        <w:bottom w:val="single" w:sz="2" w:space="0" w:color="000000"/>
                                                        <w:right w:val="single" w:sz="2" w:space="0" w:color="000000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947775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000000"/>
                                                    <w:left w:val="single" w:sz="2" w:space="8" w:color="000000"/>
                                                    <w:bottom w:val="single" w:sz="2" w:space="0" w:color="000000"/>
                                                    <w:right w:val="single" w:sz="2" w:space="0" w:color="000000"/>
                                                  </w:divBdr>
                                                  <w:divsChild>
                                                    <w:div w:id="4796164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000000"/>
                                                        <w:left w:val="single" w:sz="2" w:space="0" w:color="000000"/>
                                                        <w:bottom w:val="single" w:sz="2" w:space="0" w:color="000000"/>
                                                        <w:right w:val="single" w:sz="2" w:space="0" w:color="000000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0083597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  <w:divsChild>
                                            <w:div w:id="427583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9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6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634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617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030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545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805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8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8420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8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4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7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8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49827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7062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0773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0288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050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2508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130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5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5432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4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2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6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0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.png"/><Relationship Id="rId18" Type="http://schemas.openxmlformats.org/officeDocument/2006/relationships/image" Target="media/image5.png"/><Relationship Id="rId26" Type="http://schemas.openxmlformats.org/officeDocument/2006/relationships/image" Target="media/image9.emf"/><Relationship Id="rId39" Type="http://schemas.openxmlformats.org/officeDocument/2006/relationships/fontTable" Target="fontTable.xml"/><Relationship Id="rId21" Type="http://schemas.openxmlformats.org/officeDocument/2006/relationships/hyperlink" Target="https://www.cbamonitor.cz/aktuality/breznovou-inflaci-brzdily-potraviny-jadrove-ceny-ale-dal-tlaci-maloobchod" TargetMode="External"/><Relationship Id="rId34" Type="http://schemas.openxmlformats.org/officeDocument/2006/relationships/image" Target="media/image12.png"/><Relationship Id="rId7" Type="http://schemas.openxmlformats.org/officeDocument/2006/relationships/settings" Target="settings.xml"/><Relationship Id="rId12" Type="http://schemas.openxmlformats.org/officeDocument/2006/relationships/hyperlink" Target="https://www.cbamonitor.cz/aktuality/trzni-sily-v-hypotecnich-sazbach-rust-trznich-uroku-se-do-hypotek-promitl-jen-castecne-pomaha-silna-konkurence-na-trhu" TargetMode="External"/><Relationship Id="rId17" Type="http://schemas.openxmlformats.org/officeDocument/2006/relationships/footer" Target="footer1.xml"/><Relationship Id="rId25" Type="http://schemas.openxmlformats.org/officeDocument/2006/relationships/image" Target="media/image8.png"/><Relationship Id="rId33" Type="http://schemas.openxmlformats.org/officeDocument/2006/relationships/image" Target="media/image11.png"/><Relationship Id="rId38" Type="http://schemas.openxmlformats.org/officeDocument/2006/relationships/hyperlink" Target="https://www.cbamonitor.cz/kategorie/cba-hypomonitor" TargetMode="Externa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yperlink" Target="https://www.cbamonitor.cz/aktuality/breznova-jadrova-inflace-ukazala-cnb-neprijemnou-zpravu" TargetMode="External"/><Relationship Id="rId29" Type="http://schemas.openxmlformats.org/officeDocument/2006/relationships/hyperlink" Target="https://www.cbamonitor.cz/aktuality/mirnejsi-ale-silny-rust-cen-realit-v-zaveru-roku-doprovazely-silnejsi-prijmy-a-uspory-domacnosti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bamonitor.cz/aktuality/cnb-zprisnuje-podminky-pro-investicni-hypoteky-9-dopad-nebo-potrebna-redistribuce-poptavky" TargetMode="External"/><Relationship Id="rId24" Type="http://schemas.openxmlformats.org/officeDocument/2006/relationships/image" Target="media/image7.png"/><Relationship Id="rId32" Type="http://schemas.openxmlformats.org/officeDocument/2006/relationships/image" Target="media/image10.png"/><Relationship Id="rId37" Type="http://schemas.openxmlformats.org/officeDocument/2006/relationships/hyperlink" Target="http://www.cbaonline.cz" TargetMode="External"/><Relationship Id="rId40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cbamonitor.cz/aktuality/cnb-zprisnuje-podminky-pro-investicni-hypoteky-9-dopad-nebo-potrebna-redistribuce-poptavky" TargetMode="External"/><Relationship Id="rId23" Type="http://schemas.openxmlformats.org/officeDocument/2006/relationships/hyperlink" Target="https://www.cbamonitor.cz/aktuality/spotreba-mzdy-a-prumysl-tahly-rust-hdp-ale-nepreji-poklesu-urokovych-sazeb" TargetMode="External"/><Relationship Id="rId28" Type="http://schemas.openxmlformats.org/officeDocument/2006/relationships/hyperlink" Target="https://www.cbamonitor.cz/statistika/dynamika-mezd" TargetMode="External"/><Relationship Id="rId36" Type="http://schemas.openxmlformats.org/officeDocument/2006/relationships/image" Target="media/image13.emf"/><Relationship Id="rId10" Type="http://schemas.openxmlformats.org/officeDocument/2006/relationships/endnotes" Target="endnotes.xml"/><Relationship Id="rId19" Type="http://schemas.openxmlformats.org/officeDocument/2006/relationships/image" Target="media/image6.png"/><Relationship Id="rId31" Type="http://schemas.openxmlformats.org/officeDocument/2006/relationships/hyperlink" Target="https://www.cbamonitor.cz/kategorie/ceny-nemovitosti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emf"/><Relationship Id="rId22" Type="http://schemas.openxmlformats.org/officeDocument/2006/relationships/hyperlink" Target="https://www.cbamonitor.cz/aktuality/mzdy-uzavrely-lonske-rok-silneji-a-letos-by-mohly-realne-pridat-dalsi-4" TargetMode="External"/><Relationship Id="rId27" Type="http://schemas.openxmlformats.org/officeDocument/2006/relationships/hyperlink" Target="https://www.cbamonitor.cz/aktuality/mzdy-uzavrely-lonske-rok-silneji-a-letos-by-mohly-realne-pridat-dalsi-4" TargetMode="External"/><Relationship Id="rId30" Type="http://schemas.openxmlformats.org/officeDocument/2006/relationships/hyperlink" Target="https://www.cbamonitor.cz/aktuality/silne-tempo-rustu-nabidkovych-cen-bytu-i-na-zacatku-roku-2026" TargetMode="External"/><Relationship Id="rId35" Type="http://schemas.openxmlformats.org/officeDocument/2006/relationships/hyperlink" Target="https://www.cbamonitor.cz/statistika/prognoza-prumerna-mzda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Vlastní 1">
      <a:majorFont>
        <a:latin typeface="Calibri Light"/>
        <a:ea typeface=""/>
        <a:cs typeface=""/>
      </a:majorFont>
      <a:minorFont>
        <a:latin typeface="Calibri Light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C0CBE5B95D55468F8CF7D6D1C8CB6B" ma:contentTypeVersion="10" ma:contentTypeDescription="Create a new document." ma:contentTypeScope="" ma:versionID="03de8c559e19055c2732f6aae148e160">
  <xsd:schema xmlns:xsd="http://www.w3.org/2001/XMLSchema" xmlns:xs="http://www.w3.org/2001/XMLSchema" xmlns:p="http://schemas.microsoft.com/office/2006/metadata/properties" xmlns:ns3="b09ec118-0c61-46db-bb00-952e09940a1f" targetNamespace="http://schemas.microsoft.com/office/2006/metadata/properties" ma:root="true" ma:fieldsID="a58f24d30c88e6ff28d70a1926b856b7" ns3:_="">
    <xsd:import namespace="b09ec118-0c61-46db-bb00-952e09940a1f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9ec118-0c61-46db-bb00-952e09940a1f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09ec118-0c61-46db-bb00-952e09940a1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464796-18D1-44D3-AEB3-40E112819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9ec118-0c61-46db-bb00-952e09940a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F695EA-D77D-4F66-A87E-5245D7A921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B935B7-8C88-4CAE-A0AA-13A352B0843E}">
  <ds:schemaRefs>
    <ds:schemaRef ds:uri="http://schemas.microsoft.com/office/2006/metadata/properties"/>
    <ds:schemaRef ds:uri="http://schemas.microsoft.com/office/infopath/2007/PartnerControls"/>
    <ds:schemaRef ds:uri="b09ec118-0c61-46db-bb00-952e09940a1f"/>
  </ds:schemaRefs>
</ds:datastoreItem>
</file>

<file path=customXml/itemProps4.xml><?xml version="1.0" encoding="utf-8"?>
<ds:datastoreItem xmlns:ds="http://schemas.openxmlformats.org/officeDocument/2006/customXml" ds:itemID="{B2A9F6F5-D843-4129-900A-FD170C2AB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9</Pages>
  <Words>2539</Words>
  <Characters>14985</Characters>
  <Application>Microsoft Office Word</Application>
  <DocSecurity>0</DocSecurity>
  <Lines>124</Lines>
  <Paragraphs>34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martina vlachova</dc:creator>
  <cp:lastModifiedBy>Jaromír Šindel</cp:lastModifiedBy>
  <cp:revision>4</cp:revision>
  <cp:lastPrinted>2025-08-14T09:13:00Z</cp:lastPrinted>
  <dcterms:created xsi:type="dcterms:W3CDTF">2026-04-16T12:30:00Z</dcterms:created>
  <dcterms:modified xsi:type="dcterms:W3CDTF">2026-04-16T13:09:00Z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0x0101004DC0CBE5B95D55468F8CF7D6D1C8CB6B</vt:lpwstr>
  </property>
</Properties>
</file>