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D51CC" w14:textId="65479ED6" w:rsidR="006A0A19" w:rsidRPr="002F43DE" w:rsidRDefault="003D3759" w:rsidP="00F20F27">
      <w:pPr>
        <w:rPr>
          <w:rFonts w:ascii="Calibri" w:hAnsi="Calibri" w:cs="Calibri"/>
          <w:b/>
          <w:color w:val="EE0000"/>
          <w:sz w:val="32"/>
          <w:szCs w:val="32"/>
        </w:rPr>
      </w:pPr>
      <w:bookmarkStart w:id="0" w:name="_Hlk221885432"/>
      <w:bookmarkStart w:id="1" w:name="_Hlk111121205"/>
      <w:bookmarkStart w:id="2" w:name="_Hlk116472656"/>
      <w:bookmarkEnd w:id="0"/>
      <w:r w:rsidRPr="00616069">
        <w:rPr>
          <w:rFonts w:ascii="Calibri" w:hAnsi="Calibri" w:cs="Calibri"/>
          <w:b/>
          <w:color w:val="13576B"/>
          <w:sz w:val="32"/>
          <w:szCs w:val="32"/>
        </w:rPr>
        <w:t xml:space="preserve">ČBA </w:t>
      </w:r>
      <w:proofErr w:type="spellStart"/>
      <w:r w:rsidRPr="00616069">
        <w:rPr>
          <w:rFonts w:ascii="Calibri" w:hAnsi="Calibri" w:cs="Calibri"/>
          <w:b/>
          <w:color w:val="13576B"/>
          <w:sz w:val="32"/>
          <w:szCs w:val="32"/>
        </w:rPr>
        <w:t>Hypomonito</w:t>
      </w:r>
      <w:r w:rsidR="007C0E2D">
        <w:rPr>
          <w:rFonts w:ascii="Calibri" w:hAnsi="Calibri" w:cs="Calibri"/>
          <w:b/>
          <w:color w:val="13576B"/>
          <w:sz w:val="32"/>
          <w:szCs w:val="32"/>
        </w:rPr>
        <w:t>r</w:t>
      </w:r>
      <w:proofErr w:type="spellEnd"/>
      <w:r w:rsidRPr="00616069">
        <w:rPr>
          <w:rFonts w:ascii="Calibri" w:hAnsi="Calibri" w:cs="Calibri"/>
          <w:b/>
          <w:color w:val="13576B"/>
          <w:sz w:val="32"/>
          <w:szCs w:val="32"/>
        </w:rPr>
        <w:t>:</w:t>
      </w:r>
      <w:r w:rsidR="00025805">
        <w:rPr>
          <w:rFonts w:ascii="Calibri" w:hAnsi="Calibri" w:cs="Calibri"/>
          <w:b/>
          <w:color w:val="13576B"/>
          <w:sz w:val="32"/>
          <w:szCs w:val="32"/>
        </w:rPr>
        <w:t xml:space="preserve"> </w:t>
      </w:r>
      <w:r w:rsidR="006B4CAC">
        <w:rPr>
          <w:rFonts w:ascii="Calibri" w:hAnsi="Calibri" w:cs="Calibri"/>
          <w:b/>
          <w:color w:val="13576B"/>
          <w:sz w:val="32"/>
          <w:szCs w:val="32"/>
        </w:rPr>
        <w:t>Únor pokračoval s dočasným boomem hypoték, při sazbě 4,46 %.</w:t>
      </w:r>
    </w:p>
    <w:bookmarkEnd w:id="1"/>
    <w:p w14:paraId="6D908347" w14:textId="77777777" w:rsidR="006B4CAC" w:rsidRPr="006B4CAC" w:rsidRDefault="007967E6" w:rsidP="00A16B96">
      <w:pPr>
        <w:overflowPunct/>
        <w:autoSpaceDE/>
        <w:autoSpaceDN/>
        <w:adjustRightInd/>
        <w:spacing w:before="120" w:after="120"/>
        <w:textAlignment w:val="auto"/>
        <w:rPr>
          <w:rFonts w:ascii="Calibri" w:hAnsi="Calibri" w:cs="Calibri"/>
          <w:b/>
          <w:bCs/>
          <w:color w:val="13576B"/>
          <w:sz w:val="22"/>
          <w:szCs w:val="22"/>
        </w:rPr>
      </w:pPr>
      <w:r w:rsidRPr="006B4CAC">
        <w:rPr>
          <w:rFonts w:ascii="Calibri" w:hAnsi="Calibri" w:cs="Calibri"/>
          <w:b/>
          <w:bCs/>
          <w:color w:val="13576B"/>
          <w:sz w:val="22"/>
          <w:szCs w:val="22"/>
        </w:rPr>
        <w:t>Praha, 1</w:t>
      </w:r>
      <w:r w:rsidR="005B3025" w:rsidRPr="006B4CAC">
        <w:rPr>
          <w:rFonts w:ascii="Calibri" w:hAnsi="Calibri" w:cs="Calibri"/>
          <w:b/>
          <w:bCs/>
          <w:color w:val="13576B"/>
          <w:sz w:val="22"/>
          <w:szCs w:val="22"/>
        </w:rPr>
        <w:t>3</w:t>
      </w:r>
      <w:r w:rsidRPr="006B4CAC">
        <w:rPr>
          <w:rFonts w:ascii="Calibri" w:hAnsi="Calibri" w:cs="Calibri"/>
          <w:b/>
          <w:bCs/>
          <w:color w:val="13576B"/>
          <w:sz w:val="22"/>
          <w:szCs w:val="22"/>
        </w:rPr>
        <w:t>.</w:t>
      </w:r>
      <w:r w:rsidR="00D17F2A" w:rsidRPr="006B4CAC">
        <w:rPr>
          <w:rFonts w:ascii="Calibri" w:hAnsi="Calibri" w:cs="Calibri"/>
          <w:b/>
          <w:bCs/>
          <w:color w:val="13576B"/>
          <w:sz w:val="22"/>
          <w:szCs w:val="22"/>
        </w:rPr>
        <w:t xml:space="preserve"> </w:t>
      </w:r>
      <w:r w:rsidR="005B3025" w:rsidRPr="006B4CAC">
        <w:rPr>
          <w:rFonts w:ascii="Calibri" w:hAnsi="Calibri" w:cs="Calibri"/>
          <w:b/>
          <w:bCs/>
          <w:color w:val="13576B"/>
          <w:sz w:val="22"/>
          <w:szCs w:val="22"/>
        </w:rPr>
        <w:t>březen</w:t>
      </w:r>
      <w:r w:rsidRPr="006B4CAC">
        <w:rPr>
          <w:rFonts w:ascii="Calibri" w:hAnsi="Calibri" w:cs="Calibri"/>
          <w:b/>
          <w:bCs/>
          <w:color w:val="13576B"/>
          <w:sz w:val="22"/>
          <w:szCs w:val="22"/>
        </w:rPr>
        <w:t xml:space="preserve"> </w:t>
      </w:r>
      <w:r w:rsidR="003C392F" w:rsidRPr="006B4CAC">
        <w:rPr>
          <w:rFonts w:ascii="Calibri" w:hAnsi="Calibri" w:cs="Calibri"/>
          <w:b/>
          <w:bCs/>
          <w:color w:val="13576B"/>
          <w:sz w:val="22"/>
          <w:szCs w:val="22"/>
        </w:rPr>
        <w:t xml:space="preserve">2025 – </w:t>
      </w:r>
      <w:r w:rsidR="00BA62A1" w:rsidRPr="006B4CAC">
        <w:rPr>
          <w:rFonts w:ascii="Calibri" w:hAnsi="Calibri" w:cs="Calibri"/>
          <w:b/>
          <w:bCs/>
          <w:color w:val="13576B"/>
          <w:sz w:val="22"/>
          <w:szCs w:val="22"/>
        </w:rPr>
        <w:t xml:space="preserve">Únor </w:t>
      </w:r>
      <w:r w:rsidR="00555C70" w:rsidRPr="006B4CAC">
        <w:rPr>
          <w:rFonts w:ascii="Calibri" w:hAnsi="Calibri" w:cs="Calibri"/>
          <w:b/>
          <w:bCs/>
          <w:color w:val="13576B"/>
          <w:sz w:val="22"/>
          <w:szCs w:val="22"/>
        </w:rPr>
        <w:t xml:space="preserve">se zařadil mezi pět </w:t>
      </w:r>
      <w:r w:rsidR="00BA62A1" w:rsidRPr="006B4CAC">
        <w:rPr>
          <w:rFonts w:ascii="Calibri" w:hAnsi="Calibri" w:cs="Calibri"/>
          <w:b/>
          <w:bCs/>
          <w:color w:val="13576B"/>
          <w:sz w:val="22"/>
          <w:szCs w:val="22"/>
        </w:rPr>
        <w:t>historicky nejsilnější hypoteční</w:t>
      </w:r>
      <w:r w:rsidR="00555C70" w:rsidRPr="006B4CAC">
        <w:rPr>
          <w:rFonts w:ascii="Calibri" w:hAnsi="Calibri" w:cs="Calibri"/>
          <w:b/>
          <w:bCs/>
          <w:color w:val="13576B"/>
          <w:sz w:val="22"/>
          <w:szCs w:val="22"/>
        </w:rPr>
        <w:t xml:space="preserve">ch </w:t>
      </w:r>
      <w:r w:rsidR="00BA62A1" w:rsidRPr="006B4CAC">
        <w:rPr>
          <w:rFonts w:ascii="Calibri" w:hAnsi="Calibri" w:cs="Calibri"/>
          <w:b/>
          <w:bCs/>
          <w:color w:val="13576B"/>
          <w:sz w:val="22"/>
          <w:szCs w:val="22"/>
        </w:rPr>
        <w:t>měsíc</w:t>
      </w:r>
      <w:r w:rsidR="00555C70" w:rsidRPr="006B4CAC">
        <w:rPr>
          <w:rFonts w:ascii="Calibri" w:hAnsi="Calibri" w:cs="Calibri"/>
          <w:b/>
          <w:bCs/>
          <w:color w:val="13576B"/>
          <w:sz w:val="22"/>
          <w:szCs w:val="22"/>
        </w:rPr>
        <w:t>ů</w:t>
      </w:r>
      <w:r w:rsidR="00BA62A1" w:rsidRPr="006B4CAC">
        <w:rPr>
          <w:rFonts w:ascii="Calibri" w:hAnsi="Calibri" w:cs="Calibri"/>
          <w:b/>
          <w:bCs/>
          <w:color w:val="13576B"/>
          <w:sz w:val="22"/>
          <w:szCs w:val="22"/>
        </w:rPr>
        <w:t xml:space="preserve">, co se objemu v miliardách korun týče, ale </w:t>
      </w:r>
      <w:r w:rsidR="00AB747A" w:rsidRPr="006B4CAC">
        <w:rPr>
          <w:rFonts w:ascii="Calibri" w:hAnsi="Calibri" w:cs="Calibri"/>
          <w:b/>
          <w:bCs/>
          <w:color w:val="13576B"/>
          <w:sz w:val="22"/>
          <w:szCs w:val="22"/>
        </w:rPr>
        <w:t xml:space="preserve">i </w:t>
      </w:r>
      <w:r w:rsidR="00555C70" w:rsidRPr="006B4CAC">
        <w:rPr>
          <w:rFonts w:ascii="Calibri" w:hAnsi="Calibri" w:cs="Calibri"/>
          <w:b/>
          <w:bCs/>
          <w:color w:val="13576B"/>
          <w:sz w:val="22"/>
          <w:szCs w:val="22"/>
        </w:rPr>
        <w:t xml:space="preserve">s </w:t>
      </w:r>
      <w:r w:rsidR="00BA62A1" w:rsidRPr="006B4CAC">
        <w:rPr>
          <w:rFonts w:ascii="Calibri" w:hAnsi="Calibri" w:cs="Calibri"/>
          <w:b/>
          <w:bCs/>
          <w:color w:val="13576B"/>
          <w:sz w:val="22"/>
          <w:szCs w:val="22"/>
        </w:rPr>
        <w:t>pokračující silný</w:t>
      </w:r>
      <w:r w:rsidR="00555C70" w:rsidRPr="006B4CAC">
        <w:rPr>
          <w:rFonts w:ascii="Calibri" w:hAnsi="Calibri" w:cs="Calibri"/>
          <w:b/>
          <w:bCs/>
          <w:color w:val="13576B"/>
          <w:sz w:val="22"/>
          <w:szCs w:val="22"/>
        </w:rPr>
        <w:t>m</w:t>
      </w:r>
      <w:r w:rsidR="00BA62A1" w:rsidRPr="006B4CAC">
        <w:rPr>
          <w:rFonts w:ascii="Calibri" w:hAnsi="Calibri" w:cs="Calibri"/>
          <w:b/>
          <w:bCs/>
          <w:color w:val="13576B"/>
          <w:sz w:val="22"/>
          <w:szCs w:val="22"/>
        </w:rPr>
        <w:t xml:space="preserve"> počt</w:t>
      </w:r>
      <w:r w:rsidR="00555C70" w:rsidRPr="006B4CAC">
        <w:rPr>
          <w:rFonts w:ascii="Calibri" w:hAnsi="Calibri" w:cs="Calibri"/>
          <w:b/>
          <w:bCs/>
          <w:color w:val="13576B"/>
          <w:sz w:val="22"/>
          <w:szCs w:val="22"/>
        </w:rPr>
        <w:t>em</w:t>
      </w:r>
      <w:r w:rsidR="00BA62A1" w:rsidRPr="006B4CAC">
        <w:rPr>
          <w:rFonts w:ascii="Calibri" w:hAnsi="Calibri" w:cs="Calibri"/>
          <w:b/>
          <w:bCs/>
          <w:color w:val="13576B"/>
          <w:sz w:val="22"/>
          <w:szCs w:val="22"/>
        </w:rPr>
        <w:t xml:space="preserve"> nově poskytnutých hypoték. </w:t>
      </w:r>
      <w:r w:rsidR="00AB747A" w:rsidRPr="006B4CAC">
        <w:rPr>
          <w:rFonts w:ascii="Calibri" w:hAnsi="Calibri" w:cs="Calibri"/>
          <w:b/>
          <w:bCs/>
          <w:color w:val="13576B"/>
          <w:sz w:val="22"/>
          <w:szCs w:val="22"/>
        </w:rPr>
        <w:t xml:space="preserve">V únoru 2026 poskytly banky a stavební spořitelny skutečně nové hypotéky bez refinancování za 29,7 miliardy Kč. Oproti lednu </w:t>
      </w:r>
      <w:r w:rsidR="00555C70" w:rsidRPr="006B4CAC">
        <w:rPr>
          <w:rFonts w:ascii="Calibri" w:hAnsi="Calibri" w:cs="Calibri"/>
          <w:b/>
          <w:bCs/>
          <w:color w:val="13576B"/>
          <w:sz w:val="22"/>
          <w:szCs w:val="22"/>
        </w:rPr>
        <w:t xml:space="preserve">sice aktivita </w:t>
      </w:r>
      <w:r w:rsidR="00AB747A" w:rsidRPr="006B4CAC">
        <w:rPr>
          <w:rFonts w:ascii="Calibri" w:hAnsi="Calibri" w:cs="Calibri"/>
          <w:b/>
          <w:bCs/>
          <w:color w:val="13576B"/>
          <w:sz w:val="22"/>
          <w:szCs w:val="22"/>
        </w:rPr>
        <w:t xml:space="preserve">objemově zesílila o 10 %, což </w:t>
      </w:r>
      <w:r w:rsidR="00555C70" w:rsidRPr="006B4CAC">
        <w:rPr>
          <w:rFonts w:ascii="Calibri" w:hAnsi="Calibri" w:cs="Calibri"/>
          <w:b/>
          <w:bCs/>
          <w:color w:val="13576B"/>
          <w:sz w:val="22"/>
          <w:szCs w:val="22"/>
        </w:rPr>
        <w:t xml:space="preserve">ale odpovídá </w:t>
      </w:r>
      <w:r w:rsidR="00AB747A" w:rsidRPr="006B4CAC">
        <w:rPr>
          <w:rFonts w:ascii="Calibri" w:hAnsi="Calibri" w:cs="Calibri"/>
          <w:b/>
          <w:bCs/>
          <w:color w:val="13576B"/>
          <w:sz w:val="22"/>
          <w:szCs w:val="22"/>
        </w:rPr>
        <w:t xml:space="preserve">sezónnímu vlivu. Od začátku roku tak jejich objem nově poskytnutých hypoték dosáhl 57 miliard korun, což o 17 miliard převyšuje loňský začátek. </w:t>
      </w:r>
      <w:r w:rsidR="00555C70" w:rsidRPr="006B4CAC">
        <w:rPr>
          <w:rFonts w:ascii="Calibri" w:hAnsi="Calibri" w:cs="Calibri"/>
          <w:b/>
          <w:bCs/>
          <w:color w:val="13576B"/>
          <w:sz w:val="22"/>
          <w:szCs w:val="22"/>
        </w:rPr>
        <w:t xml:space="preserve">K tomu se přidává silný objem refinancovaných hypoték, jejichž podíl na celkovém </w:t>
      </w:r>
      <w:r w:rsidR="006B4CAC" w:rsidRPr="006B4CAC">
        <w:rPr>
          <w:rFonts w:ascii="Calibri" w:hAnsi="Calibri" w:cs="Calibri"/>
          <w:b/>
          <w:bCs/>
          <w:color w:val="13576B"/>
          <w:sz w:val="22"/>
          <w:szCs w:val="22"/>
        </w:rPr>
        <w:t xml:space="preserve">více než 40milardovém objemu nových hypotečních obchodů v únoru překonal 25 %. </w:t>
      </w:r>
    </w:p>
    <w:p w14:paraId="38ED1B08" w14:textId="16DD170D" w:rsidR="005F4D52" w:rsidRPr="006B4CAC" w:rsidRDefault="00555C70" w:rsidP="005F4D52">
      <w:pPr>
        <w:overflowPunct/>
        <w:autoSpaceDE/>
        <w:autoSpaceDN/>
        <w:adjustRightInd/>
        <w:spacing w:before="120" w:after="120"/>
        <w:textAlignment w:val="auto"/>
        <w:rPr>
          <w:rFonts w:ascii="Calibri" w:hAnsi="Calibri" w:cs="Calibri"/>
          <w:b/>
          <w:bCs/>
          <w:color w:val="13576B"/>
          <w:sz w:val="22"/>
          <w:szCs w:val="22"/>
        </w:rPr>
      </w:pPr>
      <w:r w:rsidRPr="006B4CAC">
        <w:rPr>
          <w:rFonts w:ascii="Calibri" w:hAnsi="Calibri" w:cs="Calibri"/>
          <w:b/>
          <w:bCs/>
          <w:color w:val="13576B"/>
          <w:sz w:val="22"/>
          <w:szCs w:val="22"/>
        </w:rPr>
        <w:t xml:space="preserve">K silnějšímu </w:t>
      </w:r>
      <w:r w:rsidR="006B4CAC" w:rsidRPr="006B4CAC">
        <w:rPr>
          <w:rFonts w:ascii="Calibri" w:hAnsi="Calibri" w:cs="Calibri"/>
          <w:b/>
          <w:bCs/>
          <w:color w:val="13576B"/>
          <w:sz w:val="22"/>
          <w:szCs w:val="22"/>
        </w:rPr>
        <w:t xml:space="preserve">objemu nově poskytnutých hypoték přispěl, </w:t>
      </w:r>
      <w:r w:rsidRPr="006B4CAC">
        <w:rPr>
          <w:rFonts w:ascii="Calibri" w:hAnsi="Calibri" w:cs="Calibri"/>
          <w:b/>
          <w:bCs/>
          <w:color w:val="13576B"/>
          <w:sz w:val="22"/>
          <w:szCs w:val="22"/>
        </w:rPr>
        <w:t xml:space="preserve">krom blížících se </w:t>
      </w:r>
      <w:hyperlink r:id="rId11" w:history="1">
        <w:r w:rsidRPr="003C3451">
          <w:rPr>
            <w:rStyle w:val="Hyperlink"/>
            <w:rFonts w:ascii="Calibri" w:hAnsi="Calibri" w:cs="Calibri"/>
            <w:b/>
            <w:bCs/>
            <w:sz w:val="22"/>
            <w:szCs w:val="22"/>
          </w:rPr>
          <w:t>přísnějších podmínek</w:t>
        </w:r>
      </w:hyperlink>
      <w:r w:rsidRPr="006B4CAC">
        <w:rPr>
          <w:rFonts w:ascii="Calibri" w:hAnsi="Calibri" w:cs="Calibri"/>
          <w:b/>
          <w:bCs/>
          <w:color w:val="13576B"/>
          <w:sz w:val="22"/>
          <w:szCs w:val="22"/>
        </w:rPr>
        <w:t xml:space="preserve"> ČNB </w:t>
      </w:r>
      <w:r w:rsidR="003C3451">
        <w:rPr>
          <w:rFonts w:ascii="Calibri" w:hAnsi="Calibri" w:cs="Calibri"/>
          <w:b/>
          <w:bCs/>
          <w:color w:val="13576B"/>
          <w:sz w:val="22"/>
          <w:szCs w:val="22"/>
        </w:rPr>
        <w:t>ohledně</w:t>
      </w:r>
      <w:r w:rsidRPr="006B4CAC">
        <w:rPr>
          <w:rFonts w:ascii="Calibri" w:hAnsi="Calibri" w:cs="Calibri"/>
          <w:b/>
          <w:bCs/>
          <w:color w:val="13576B"/>
          <w:sz w:val="22"/>
          <w:szCs w:val="22"/>
        </w:rPr>
        <w:t xml:space="preserve"> tzv. investiční</w:t>
      </w:r>
      <w:r w:rsidR="003C3451">
        <w:rPr>
          <w:rFonts w:ascii="Calibri" w:hAnsi="Calibri" w:cs="Calibri"/>
          <w:b/>
          <w:bCs/>
          <w:color w:val="13576B"/>
          <w:sz w:val="22"/>
          <w:szCs w:val="22"/>
        </w:rPr>
        <w:t>ch</w:t>
      </w:r>
      <w:r w:rsidRPr="006B4CAC">
        <w:rPr>
          <w:rFonts w:ascii="Calibri" w:hAnsi="Calibri" w:cs="Calibri"/>
          <w:b/>
          <w:bCs/>
          <w:color w:val="13576B"/>
          <w:sz w:val="22"/>
          <w:szCs w:val="22"/>
        </w:rPr>
        <w:t xml:space="preserve"> hypoték</w:t>
      </w:r>
      <w:r w:rsidR="006B4CAC" w:rsidRPr="006B4CAC">
        <w:rPr>
          <w:rFonts w:ascii="Calibri" w:hAnsi="Calibri" w:cs="Calibri"/>
          <w:b/>
          <w:bCs/>
          <w:color w:val="13576B"/>
          <w:sz w:val="22"/>
          <w:szCs w:val="22"/>
        </w:rPr>
        <w:t>,</w:t>
      </w:r>
      <w:r w:rsidRPr="006B4CAC">
        <w:rPr>
          <w:rFonts w:ascii="Calibri" w:hAnsi="Calibri" w:cs="Calibri"/>
          <w:b/>
          <w:bCs/>
          <w:color w:val="13576B"/>
          <w:sz w:val="22"/>
          <w:szCs w:val="22"/>
        </w:rPr>
        <w:t xml:space="preserve"> i další mírný pokles p</w:t>
      </w:r>
      <w:r w:rsidR="00AB747A" w:rsidRPr="006B4CAC">
        <w:rPr>
          <w:rFonts w:ascii="Calibri" w:hAnsi="Calibri" w:cs="Calibri"/>
          <w:b/>
          <w:bCs/>
          <w:color w:val="13576B"/>
          <w:sz w:val="22"/>
          <w:szCs w:val="22"/>
        </w:rPr>
        <w:t>růměrná realizova</w:t>
      </w:r>
      <w:r w:rsidRPr="006B4CAC">
        <w:rPr>
          <w:rFonts w:ascii="Calibri" w:hAnsi="Calibri" w:cs="Calibri"/>
          <w:b/>
          <w:bCs/>
          <w:color w:val="13576B"/>
          <w:sz w:val="22"/>
          <w:szCs w:val="22"/>
        </w:rPr>
        <w:t xml:space="preserve">né </w:t>
      </w:r>
      <w:r w:rsidR="00AB747A" w:rsidRPr="006B4CAC">
        <w:rPr>
          <w:rFonts w:ascii="Calibri" w:hAnsi="Calibri" w:cs="Calibri"/>
          <w:b/>
          <w:bCs/>
          <w:color w:val="13576B"/>
          <w:sz w:val="22"/>
          <w:szCs w:val="22"/>
        </w:rPr>
        <w:t>úrokov</w:t>
      </w:r>
      <w:r w:rsidRPr="006B4CAC">
        <w:rPr>
          <w:rFonts w:ascii="Calibri" w:hAnsi="Calibri" w:cs="Calibri"/>
          <w:b/>
          <w:bCs/>
          <w:color w:val="13576B"/>
          <w:sz w:val="22"/>
          <w:szCs w:val="22"/>
        </w:rPr>
        <w:t>é</w:t>
      </w:r>
      <w:r w:rsidR="00AB747A" w:rsidRPr="006B4CAC">
        <w:rPr>
          <w:rFonts w:ascii="Calibri" w:hAnsi="Calibri" w:cs="Calibri"/>
          <w:b/>
          <w:bCs/>
          <w:color w:val="13576B"/>
          <w:sz w:val="22"/>
          <w:szCs w:val="22"/>
        </w:rPr>
        <w:t xml:space="preserve"> sazb</w:t>
      </w:r>
      <w:r w:rsidRPr="006B4CAC">
        <w:rPr>
          <w:rFonts w:ascii="Calibri" w:hAnsi="Calibri" w:cs="Calibri"/>
          <w:b/>
          <w:bCs/>
          <w:color w:val="13576B"/>
          <w:sz w:val="22"/>
          <w:szCs w:val="22"/>
        </w:rPr>
        <w:t>y</w:t>
      </w:r>
      <w:r w:rsidR="00AB747A" w:rsidRPr="006B4CAC">
        <w:rPr>
          <w:rFonts w:ascii="Calibri" w:hAnsi="Calibri" w:cs="Calibri"/>
          <w:b/>
          <w:bCs/>
          <w:color w:val="13576B"/>
          <w:sz w:val="22"/>
          <w:szCs w:val="22"/>
        </w:rPr>
        <w:t xml:space="preserve"> u nových hypoték na 4,46 % z lednových 4,48 %. Meziroční pokles hypoteční sazby o </w:t>
      </w:r>
      <w:r w:rsidRPr="006B4CAC">
        <w:rPr>
          <w:rFonts w:ascii="Calibri" w:hAnsi="Calibri" w:cs="Calibri"/>
          <w:b/>
          <w:bCs/>
          <w:color w:val="13576B"/>
          <w:sz w:val="22"/>
          <w:szCs w:val="22"/>
        </w:rPr>
        <w:t xml:space="preserve">necelých </w:t>
      </w:r>
      <w:r w:rsidR="00AB747A" w:rsidRPr="006B4CAC">
        <w:rPr>
          <w:rFonts w:ascii="Calibri" w:hAnsi="Calibri" w:cs="Calibri"/>
          <w:b/>
          <w:bCs/>
          <w:color w:val="13576B"/>
          <w:sz w:val="22"/>
          <w:szCs w:val="22"/>
        </w:rPr>
        <w:t>0,</w:t>
      </w:r>
      <w:r w:rsidRPr="006B4CAC">
        <w:rPr>
          <w:rFonts w:ascii="Calibri" w:hAnsi="Calibri" w:cs="Calibri"/>
          <w:b/>
          <w:bCs/>
          <w:color w:val="13576B"/>
          <w:sz w:val="22"/>
          <w:szCs w:val="22"/>
        </w:rPr>
        <w:t>3</w:t>
      </w:r>
      <w:r w:rsidR="00AB747A" w:rsidRPr="006B4CAC">
        <w:rPr>
          <w:rFonts w:ascii="Calibri" w:hAnsi="Calibri" w:cs="Calibri"/>
          <w:b/>
          <w:bCs/>
          <w:color w:val="13576B"/>
          <w:sz w:val="22"/>
          <w:szCs w:val="22"/>
        </w:rPr>
        <w:t xml:space="preserve"> procentního bodu snižuje průměrnou výši měsíční splátky přibližně o téměř </w:t>
      </w:r>
      <w:proofErr w:type="spellStart"/>
      <w:r w:rsidRPr="006B4CAC">
        <w:rPr>
          <w:rFonts w:ascii="Calibri" w:hAnsi="Calibri" w:cs="Calibri"/>
          <w:b/>
          <w:bCs/>
          <w:color w:val="13576B"/>
          <w:sz w:val="22"/>
          <w:szCs w:val="22"/>
        </w:rPr>
        <w:t>sedmset</w:t>
      </w:r>
      <w:proofErr w:type="spellEnd"/>
      <w:r w:rsidRPr="006B4CAC">
        <w:rPr>
          <w:rFonts w:ascii="Calibri" w:hAnsi="Calibri" w:cs="Calibri"/>
          <w:b/>
          <w:bCs/>
          <w:color w:val="13576B"/>
          <w:sz w:val="22"/>
          <w:szCs w:val="22"/>
        </w:rPr>
        <w:t xml:space="preserve"> korun</w:t>
      </w:r>
      <w:r w:rsidR="00AB747A" w:rsidRPr="006B4CAC">
        <w:rPr>
          <w:rFonts w:ascii="Calibri" w:hAnsi="Calibri" w:cs="Calibri"/>
          <w:b/>
          <w:bCs/>
          <w:color w:val="13576B"/>
          <w:sz w:val="22"/>
          <w:szCs w:val="22"/>
        </w:rPr>
        <w:t>, tedy o 0,7 % čistého příjmu žadatele o hypotéku.</w:t>
      </w:r>
      <w:r w:rsidR="006B4CAC" w:rsidRPr="006B4CAC">
        <w:rPr>
          <w:rFonts w:ascii="Calibri" w:hAnsi="Calibri" w:cs="Calibri"/>
          <w:b/>
          <w:bCs/>
          <w:color w:val="13576B"/>
          <w:sz w:val="22"/>
          <w:szCs w:val="22"/>
        </w:rPr>
        <w:t xml:space="preserve"> Silné objemy nových hypoték také odráží další nárůst jejich průměrné velikosti. Ta </w:t>
      </w:r>
      <w:r w:rsidR="00AB747A" w:rsidRPr="006B4CAC">
        <w:rPr>
          <w:rFonts w:ascii="Calibri" w:hAnsi="Calibri" w:cs="Calibri"/>
          <w:b/>
          <w:bCs/>
          <w:color w:val="13576B"/>
          <w:sz w:val="22"/>
          <w:szCs w:val="22"/>
        </w:rPr>
        <w:t xml:space="preserve">únoru stoupla na 4,63 milionu korun. Její </w:t>
      </w:r>
      <w:r w:rsidRPr="006B4CAC">
        <w:rPr>
          <w:rFonts w:ascii="Calibri" w:hAnsi="Calibri" w:cs="Calibri"/>
          <w:b/>
          <w:bCs/>
          <w:color w:val="13576B"/>
          <w:sz w:val="22"/>
          <w:szCs w:val="22"/>
        </w:rPr>
        <w:t xml:space="preserve">16% </w:t>
      </w:r>
      <w:r w:rsidR="00AB747A" w:rsidRPr="006B4CAC">
        <w:rPr>
          <w:rFonts w:ascii="Calibri" w:hAnsi="Calibri" w:cs="Calibri"/>
          <w:b/>
          <w:bCs/>
          <w:color w:val="13576B"/>
          <w:sz w:val="22"/>
          <w:szCs w:val="22"/>
        </w:rPr>
        <w:t>meziroční nárůst</w:t>
      </w:r>
      <w:r w:rsidRPr="006B4CAC">
        <w:rPr>
          <w:rFonts w:ascii="Calibri" w:hAnsi="Calibri" w:cs="Calibri"/>
          <w:b/>
          <w:bCs/>
          <w:color w:val="13576B"/>
          <w:sz w:val="22"/>
          <w:szCs w:val="22"/>
        </w:rPr>
        <w:t xml:space="preserve">, respektive </w:t>
      </w:r>
      <w:r w:rsidR="00AB747A" w:rsidRPr="006B4CAC">
        <w:rPr>
          <w:rFonts w:ascii="Calibri" w:hAnsi="Calibri" w:cs="Calibri"/>
          <w:b/>
          <w:bCs/>
          <w:color w:val="13576B"/>
          <w:sz w:val="22"/>
          <w:szCs w:val="22"/>
        </w:rPr>
        <w:t xml:space="preserve">o 630 tisíc korun zvedl průměrnou splátku téměř o 3,4 tis. Kč, tedy přibližně o 3,5 % příjmu. </w:t>
      </w:r>
      <w:r w:rsidR="005F4D52" w:rsidRPr="006B4CAC">
        <w:rPr>
          <w:rFonts w:ascii="Calibri" w:hAnsi="Calibri" w:cs="Calibri"/>
          <w:b/>
          <w:bCs/>
          <w:color w:val="13576B"/>
          <w:sz w:val="22"/>
          <w:szCs w:val="22"/>
        </w:rPr>
        <w:t>Průměrná výše hypoteční splátky v</w:t>
      </w:r>
      <w:r w:rsidR="006B4CAC" w:rsidRPr="006B4CAC">
        <w:rPr>
          <w:rFonts w:ascii="Calibri" w:hAnsi="Calibri" w:cs="Calibri"/>
          <w:b/>
          <w:bCs/>
          <w:color w:val="13576B"/>
          <w:sz w:val="22"/>
          <w:szCs w:val="22"/>
        </w:rPr>
        <w:t xml:space="preserve"> únoru dosáhla </w:t>
      </w:r>
      <w:r w:rsidR="005F4D52" w:rsidRPr="006B4CAC">
        <w:rPr>
          <w:rFonts w:ascii="Calibri" w:hAnsi="Calibri" w:cs="Calibri"/>
          <w:b/>
          <w:bCs/>
          <w:color w:val="13576B"/>
          <w:sz w:val="22"/>
          <w:szCs w:val="22"/>
        </w:rPr>
        <w:t>24</w:t>
      </w:r>
      <w:r w:rsidR="006B4CAC" w:rsidRPr="006B4CAC">
        <w:rPr>
          <w:rFonts w:ascii="Calibri" w:hAnsi="Calibri" w:cs="Calibri"/>
          <w:b/>
          <w:bCs/>
          <w:color w:val="13576B"/>
          <w:sz w:val="22"/>
          <w:szCs w:val="22"/>
        </w:rPr>
        <w:t>,7</w:t>
      </w:r>
      <w:r w:rsidR="005F4D52" w:rsidRPr="006B4CAC">
        <w:rPr>
          <w:rFonts w:ascii="Calibri" w:hAnsi="Calibri" w:cs="Calibri"/>
          <w:b/>
          <w:bCs/>
          <w:color w:val="13576B"/>
          <w:sz w:val="22"/>
          <w:szCs w:val="22"/>
        </w:rPr>
        <w:t xml:space="preserve"> tisíc korun, ovšem její mediánovou výši </w:t>
      </w:r>
      <w:r w:rsidR="006B4CAC" w:rsidRPr="006B4CAC">
        <w:rPr>
          <w:rFonts w:ascii="Calibri" w:hAnsi="Calibri" w:cs="Calibri"/>
          <w:b/>
          <w:bCs/>
          <w:color w:val="13576B"/>
          <w:sz w:val="22"/>
          <w:szCs w:val="22"/>
        </w:rPr>
        <w:t xml:space="preserve">odhadujeme </w:t>
      </w:r>
      <w:r w:rsidR="006B4CAC" w:rsidRPr="006B4CAC">
        <w:rPr>
          <w:rFonts w:ascii="Calibri" w:hAnsi="Calibri" w:cs="Calibri"/>
          <w:b/>
          <w:bCs/>
          <w:color w:val="13576B"/>
          <w:sz w:val="22"/>
          <w:szCs w:val="22"/>
        </w:rPr>
        <w:t>okolo</w:t>
      </w:r>
      <w:r w:rsidR="005F4D52" w:rsidRPr="006B4CAC">
        <w:rPr>
          <w:rFonts w:ascii="Calibri" w:hAnsi="Calibri" w:cs="Calibri"/>
          <w:b/>
          <w:bCs/>
          <w:color w:val="13576B"/>
          <w:sz w:val="22"/>
          <w:szCs w:val="22"/>
        </w:rPr>
        <w:t xml:space="preserve"> 19</w:t>
      </w:r>
      <w:r w:rsidR="006B4CAC" w:rsidRPr="006B4CAC">
        <w:rPr>
          <w:rFonts w:ascii="Calibri" w:hAnsi="Calibri" w:cs="Calibri"/>
          <w:b/>
          <w:bCs/>
          <w:color w:val="13576B"/>
          <w:sz w:val="22"/>
          <w:szCs w:val="22"/>
        </w:rPr>
        <w:t>,6</w:t>
      </w:r>
      <w:r w:rsidR="005F4D52" w:rsidRPr="006B4CAC">
        <w:rPr>
          <w:rFonts w:ascii="Calibri" w:hAnsi="Calibri" w:cs="Calibri"/>
          <w:b/>
          <w:bCs/>
          <w:color w:val="13576B"/>
          <w:sz w:val="22"/>
          <w:szCs w:val="22"/>
        </w:rPr>
        <w:t xml:space="preserve"> tisíc korun</w:t>
      </w:r>
      <w:r w:rsidR="00DC46D1" w:rsidRPr="006B4CAC">
        <w:rPr>
          <w:rFonts w:ascii="Calibri" w:hAnsi="Calibri" w:cs="Calibri"/>
          <w:b/>
          <w:bCs/>
          <w:color w:val="13576B"/>
          <w:sz w:val="22"/>
          <w:szCs w:val="22"/>
        </w:rPr>
        <w:t>.</w:t>
      </w:r>
    </w:p>
    <w:p w14:paraId="49FA0DA4" w14:textId="77777777" w:rsidR="006B4CAC" w:rsidRPr="006B4CAC" w:rsidRDefault="001B59D5" w:rsidP="006B4CAC">
      <w:pPr>
        <w:overflowPunct/>
        <w:autoSpaceDE/>
        <w:autoSpaceDN/>
        <w:adjustRightInd/>
        <w:spacing w:before="120" w:after="120"/>
        <w:textAlignment w:val="auto"/>
        <w:rPr>
          <w:rFonts w:ascii="Calibri" w:hAnsi="Calibri" w:cs="Calibri"/>
          <w:b/>
          <w:bCs/>
          <w:color w:val="13576B"/>
          <w:sz w:val="22"/>
          <w:szCs w:val="22"/>
        </w:rPr>
      </w:pPr>
      <w:r w:rsidRPr="001B59D5">
        <w:rPr>
          <w:rFonts w:ascii="Calibri" w:hAnsi="Calibri" w:cs="Calibri"/>
          <w:b/>
          <w:bCs/>
          <w:color w:val="13576B"/>
          <w:sz w:val="22"/>
          <w:szCs w:val="22"/>
        </w:rPr>
        <w:t xml:space="preserve">Uvedené informace plynou z údajů ČBA Hypomonitoru, který zachycuje data všech tuzemských bank a stavebních spořitelen poskytujících hypoteční úvěry. </w:t>
      </w:r>
      <w:r w:rsidR="006B4CAC" w:rsidRPr="006B4CAC">
        <w:rPr>
          <w:rFonts w:ascii="Calibri" w:hAnsi="Calibri" w:cs="Calibri"/>
          <w:b/>
          <w:bCs/>
          <w:color w:val="13576B"/>
          <w:sz w:val="22"/>
          <w:szCs w:val="22"/>
        </w:rPr>
        <w:t xml:space="preserve">Další zasedání ČNB spojené s nastavením </w:t>
      </w:r>
      <w:proofErr w:type="spellStart"/>
      <w:r w:rsidR="006B4CAC" w:rsidRPr="006B4CAC">
        <w:rPr>
          <w:rFonts w:ascii="Calibri" w:hAnsi="Calibri" w:cs="Calibri"/>
          <w:b/>
          <w:bCs/>
          <w:color w:val="13576B"/>
          <w:sz w:val="22"/>
          <w:szCs w:val="22"/>
        </w:rPr>
        <w:t>makroobezřetnostní</w:t>
      </w:r>
      <w:proofErr w:type="spellEnd"/>
      <w:r w:rsidR="006B4CAC" w:rsidRPr="006B4CAC">
        <w:rPr>
          <w:rFonts w:ascii="Calibri" w:hAnsi="Calibri" w:cs="Calibri"/>
          <w:b/>
          <w:bCs/>
          <w:color w:val="13576B"/>
          <w:sz w:val="22"/>
          <w:szCs w:val="22"/>
        </w:rPr>
        <w:t xml:space="preserve"> politiky hypoték proběhne 4. června po březnovém relativně jestřábím komentáři k nastavení současné 1,25%proticyklické kapitálové rezervy (následná jednání budou 10. září a 26. listopadu).</w:t>
      </w:r>
    </w:p>
    <w:p w14:paraId="7603FD54" w14:textId="1F58D183" w:rsidR="005B3025" w:rsidRPr="005B3025" w:rsidRDefault="005B3025" w:rsidP="005B302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i/>
          <w:iCs/>
          <w:color w:val="13576B"/>
          <w:sz w:val="22"/>
          <w:szCs w:val="22"/>
        </w:rPr>
      </w:pPr>
      <w:r w:rsidRPr="005B3025">
        <w:rPr>
          <w:rFonts w:ascii="Calibri" w:hAnsi="Calibri" w:cs="Calibri"/>
          <w:i/>
          <w:iCs/>
          <w:color w:val="13576B"/>
          <w:sz w:val="22"/>
          <w:szCs w:val="22"/>
        </w:rPr>
        <w:t xml:space="preserve">V únoru 2026 jsme upravili strukturu publikovaných </w:t>
      </w:r>
      <w:r>
        <w:rPr>
          <w:rFonts w:ascii="Calibri" w:hAnsi="Calibri" w:cs="Calibri"/>
          <w:i/>
          <w:iCs/>
          <w:color w:val="13576B"/>
          <w:sz w:val="22"/>
          <w:szCs w:val="22"/>
        </w:rPr>
        <w:t xml:space="preserve">podkladových </w:t>
      </w:r>
      <w:r w:rsidRPr="005B3025">
        <w:rPr>
          <w:rFonts w:ascii="Calibri" w:hAnsi="Calibri" w:cs="Calibri"/>
          <w:i/>
          <w:iCs/>
          <w:color w:val="13576B"/>
          <w:sz w:val="22"/>
          <w:szCs w:val="22"/>
        </w:rPr>
        <w:t>dat o nově poskytnutých a refinancovaných hypotékách. Důvodem je oznámené ukončení poskytování zajištěných úvěrů dvěma stavebními spořitelnami, které by</w:t>
      </w:r>
      <w:r>
        <w:rPr>
          <w:rFonts w:ascii="Calibri" w:hAnsi="Calibri" w:cs="Calibri"/>
          <w:i/>
          <w:iCs/>
          <w:color w:val="13576B"/>
          <w:sz w:val="22"/>
          <w:szCs w:val="22"/>
        </w:rPr>
        <w:t xml:space="preserve"> vedlo </w:t>
      </w:r>
      <w:r w:rsidRPr="005B3025">
        <w:rPr>
          <w:rFonts w:ascii="Calibri" w:hAnsi="Calibri" w:cs="Calibri"/>
          <w:i/>
          <w:iCs/>
          <w:color w:val="13576B"/>
          <w:sz w:val="22"/>
          <w:szCs w:val="22"/>
        </w:rPr>
        <w:t xml:space="preserve">k </w:t>
      </w:r>
      <w:proofErr w:type="spellStart"/>
      <w:r w:rsidRPr="005B3025">
        <w:rPr>
          <w:rFonts w:ascii="Calibri" w:hAnsi="Calibri" w:cs="Calibri"/>
          <w:i/>
          <w:iCs/>
          <w:color w:val="13576B"/>
          <w:sz w:val="22"/>
          <w:szCs w:val="22"/>
        </w:rPr>
        <w:t>deanonymizaci</w:t>
      </w:r>
      <w:proofErr w:type="spellEnd"/>
      <w:r w:rsidRPr="005B3025">
        <w:rPr>
          <w:rFonts w:ascii="Calibri" w:hAnsi="Calibri" w:cs="Calibri"/>
          <w:i/>
          <w:iCs/>
          <w:color w:val="13576B"/>
          <w:sz w:val="22"/>
          <w:szCs w:val="22"/>
        </w:rPr>
        <w:t xml:space="preserve"> údajů v segmentu stavebních spořitelen. Z tohoto důvodu již od února 2026</w:t>
      </w:r>
      <w:r>
        <w:rPr>
          <w:rFonts w:ascii="Calibri" w:hAnsi="Calibri" w:cs="Calibri"/>
          <w:i/>
          <w:iCs/>
          <w:color w:val="13576B"/>
          <w:sz w:val="22"/>
          <w:szCs w:val="22"/>
        </w:rPr>
        <w:t xml:space="preserve"> jsou podkladová data uváděna </w:t>
      </w:r>
      <w:r w:rsidRPr="005B3025">
        <w:rPr>
          <w:rFonts w:ascii="Calibri" w:hAnsi="Calibri" w:cs="Calibri"/>
          <w:i/>
          <w:iCs/>
          <w:color w:val="13576B"/>
          <w:sz w:val="22"/>
          <w:szCs w:val="22"/>
        </w:rPr>
        <w:t xml:space="preserve">pouze souhrnně za celý bankovní sektor, tedy za banky včetně stavebních spořitelen. </w:t>
      </w:r>
      <w:r w:rsidR="00E22996">
        <w:rPr>
          <w:rFonts w:ascii="Calibri" w:hAnsi="Calibri" w:cs="Calibri"/>
          <w:i/>
          <w:iCs/>
          <w:color w:val="13576B"/>
          <w:sz w:val="22"/>
          <w:szCs w:val="22"/>
        </w:rPr>
        <w:t xml:space="preserve">Zároveň došlo k nepatrné historické metodické revizi údajů v sektoru stavebních spořitelen. </w:t>
      </w:r>
    </w:p>
    <w:p w14:paraId="4A7C2A28" w14:textId="3A98B135" w:rsidR="00425883" w:rsidRDefault="00425883" w:rsidP="0009562F">
      <w:pPr>
        <w:overflowPunct/>
        <w:autoSpaceDE/>
        <w:autoSpaceDN/>
        <w:adjustRightInd/>
        <w:spacing w:before="120" w:after="120"/>
        <w:textAlignment w:val="auto"/>
        <w:rPr>
          <w:rFonts w:ascii="Calibri" w:hAnsi="Calibri" w:cs="Calibri"/>
          <w:b/>
          <w:color w:val="13576B"/>
          <w:sz w:val="23"/>
          <w:szCs w:val="23"/>
        </w:rPr>
      </w:pPr>
      <w:r w:rsidRPr="003F159E">
        <w:rPr>
          <w:rFonts w:ascii="Calibri" w:hAnsi="Calibri" w:cs="Calibri"/>
          <w:b/>
          <w:color w:val="13576B"/>
          <w:sz w:val="23"/>
          <w:szCs w:val="23"/>
        </w:rPr>
        <w:t xml:space="preserve">Tabulka č. 1: Shrnutí objemu poskytnutých hypoték a průměrných úrokových sazeb za </w:t>
      </w:r>
      <w:r w:rsidR="006B4CAC">
        <w:rPr>
          <w:rFonts w:ascii="Calibri" w:hAnsi="Calibri" w:cs="Calibri"/>
          <w:b/>
          <w:color w:val="13576B"/>
          <w:sz w:val="23"/>
          <w:szCs w:val="23"/>
        </w:rPr>
        <w:t>únor</w:t>
      </w:r>
      <w:r>
        <w:rPr>
          <w:rFonts w:ascii="Calibri" w:hAnsi="Calibri" w:cs="Calibri"/>
          <w:b/>
          <w:color w:val="13576B"/>
          <w:sz w:val="23"/>
          <w:szCs w:val="23"/>
        </w:rPr>
        <w:t xml:space="preserve"> 202</w:t>
      </w:r>
      <w:r w:rsidR="00BA3140">
        <w:rPr>
          <w:rFonts w:ascii="Calibri" w:hAnsi="Calibri" w:cs="Calibri"/>
          <w:b/>
          <w:color w:val="13576B"/>
          <w:sz w:val="23"/>
          <w:szCs w:val="23"/>
        </w:rPr>
        <w:t>6</w:t>
      </w:r>
    </w:p>
    <w:tbl>
      <w:tblPr>
        <w:tblW w:w="9563" w:type="dxa"/>
        <w:tblCellMar>
          <w:left w:w="70" w:type="dxa"/>
          <w:right w:w="70" w:type="dxa"/>
        </w:tblCellMar>
        <w:tblLook w:val="04A0" w:firstRow="1" w:lastRow="0" w:firstColumn="1" w:lastColumn="0" w:noHBand="0" w:noVBand="1"/>
      </w:tblPr>
      <w:tblGrid>
        <w:gridCol w:w="3540"/>
        <w:gridCol w:w="1102"/>
        <w:gridCol w:w="960"/>
        <w:gridCol w:w="960"/>
        <w:gridCol w:w="242"/>
        <w:gridCol w:w="993"/>
        <w:gridCol w:w="992"/>
        <w:gridCol w:w="774"/>
      </w:tblGrid>
      <w:tr w:rsidR="003C3451" w:rsidRPr="00A06A94" w14:paraId="23438AFD" w14:textId="77777777" w:rsidTr="006E30DB">
        <w:trPr>
          <w:trHeight w:val="300"/>
        </w:trPr>
        <w:tc>
          <w:tcPr>
            <w:tcW w:w="3540" w:type="dxa"/>
            <w:tcBorders>
              <w:top w:val="nil"/>
              <w:left w:val="nil"/>
              <w:bottom w:val="nil"/>
              <w:right w:val="nil"/>
            </w:tcBorders>
            <w:shd w:val="clear" w:color="000000" w:fill="FFFFFF"/>
            <w:noWrap/>
            <w:vAlign w:val="bottom"/>
          </w:tcPr>
          <w:p w14:paraId="543B7281" w14:textId="77777777" w:rsidR="003C3451" w:rsidRPr="00072DB9" w:rsidRDefault="003C3451" w:rsidP="006E30DB">
            <w:pPr>
              <w:overflowPunct/>
              <w:autoSpaceDE/>
              <w:autoSpaceDN/>
              <w:adjustRightInd/>
              <w:jc w:val="left"/>
              <w:textAlignment w:val="auto"/>
              <w:rPr>
                <w:rFonts w:ascii="Calibri" w:hAnsi="Calibri" w:cs="Calibri"/>
                <w:color w:val="000000"/>
                <w:sz w:val="22"/>
                <w:szCs w:val="22"/>
              </w:rPr>
            </w:pPr>
          </w:p>
        </w:tc>
        <w:tc>
          <w:tcPr>
            <w:tcW w:w="3022" w:type="dxa"/>
            <w:gridSpan w:val="3"/>
            <w:tcBorders>
              <w:top w:val="nil"/>
              <w:left w:val="nil"/>
            </w:tcBorders>
            <w:shd w:val="clear" w:color="000000" w:fill="FFFFFF"/>
            <w:vAlign w:val="bottom"/>
          </w:tcPr>
          <w:p w14:paraId="07A4A00D"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Pr>
                <w:rFonts w:ascii="Calibri Light" w:hAnsi="Calibri Light" w:cs="Calibri Light"/>
                <w:b/>
                <w:bCs/>
                <w:color w:val="13576B"/>
                <w:sz w:val="22"/>
                <w:szCs w:val="22"/>
              </w:rPr>
              <w:t>měsíční hodnoty</w:t>
            </w:r>
          </w:p>
        </w:tc>
        <w:tc>
          <w:tcPr>
            <w:tcW w:w="242" w:type="dxa"/>
            <w:tcBorders>
              <w:top w:val="nil"/>
              <w:right w:val="nil"/>
            </w:tcBorders>
            <w:vAlign w:val="bottom"/>
          </w:tcPr>
          <w:p w14:paraId="519CB663"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p>
        </w:tc>
        <w:tc>
          <w:tcPr>
            <w:tcW w:w="2759" w:type="dxa"/>
            <w:gridSpan w:val="3"/>
            <w:tcBorders>
              <w:top w:val="nil"/>
              <w:left w:val="nil"/>
              <w:right w:val="nil"/>
            </w:tcBorders>
            <w:shd w:val="clear" w:color="000000" w:fill="FFFFFF"/>
            <w:vAlign w:val="bottom"/>
          </w:tcPr>
          <w:p w14:paraId="040DDF7E" w14:textId="77777777" w:rsidR="003C3451" w:rsidRPr="00A06A94" w:rsidRDefault="003C3451" w:rsidP="006E30DB">
            <w:pPr>
              <w:overflowPunct/>
              <w:autoSpaceDE/>
              <w:autoSpaceDN/>
              <w:adjustRightInd/>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hodnoty od začátku roku</w:t>
            </w:r>
          </w:p>
        </w:tc>
      </w:tr>
      <w:tr w:rsidR="003C3451" w:rsidRPr="00A06A94" w14:paraId="384D4BC7" w14:textId="77777777" w:rsidTr="006E30DB">
        <w:trPr>
          <w:trHeight w:val="300"/>
        </w:trPr>
        <w:tc>
          <w:tcPr>
            <w:tcW w:w="3540" w:type="dxa"/>
            <w:tcBorders>
              <w:top w:val="nil"/>
              <w:left w:val="nil"/>
              <w:bottom w:val="nil"/>
              <w:right w:val="nil"/>
            </w:tcBorders>
            <w:shd w:val="clear" w:color="000000" w:fill="FFFFFF"/>
            <w:noWrap/>
            <w:vAlign w:val="bottom"/>
            <w:hideMark/>
          </w:tcPr>
          <w:p w14:paraId="7137D7CF" w14:textId="77777777" w:rsidR="003C3451" w:rsidRPr="00072DB9" w:rsidRDefault="003C3451" w:rsidP="006E30DB">
            <w:pPr>
              <w:overflowPunct/>
              <w:autoSpaceDE/>
              <w:autoSpaceDN/>
              <w:adjustRightInd/>
              <w:jc w:val="left"/>
              <w:textAlignment w:val="auto"/>
              <w:rPr>
                <w:rFonts w:ascii="Calibri" w:hAnsi="Calibri" w:cs="Calibri"/>
                <w:color w:val="000000"/>
                <w:sz w:val="22"/>
                <w:szCs w:val="22"/>
              </w:rPr>
            </w:pPr>
            <w:r w:rsidRPr="00072DB9">
              <w:rPr>
                <w:rFonts w:ascii="Calibri" w:hAnsi="Calibri" w:cs="Calibri"/>
                <w:color w:val="000000"/>
                <w:sz w:val="22"/>
                <w:szCs w:val="22"/>
              </w:rPr>
              <w:t> </w:t>
            </w:r>
          </w:p>
        </w:tc>
        <w:tc>
          <w:tcPr>
            <w:tcW w:w="1102" w:type="dxa"/>
            <w:vMerge w:val="restart"/>
            <w:tcBorders>
              <w:left w:val="nil"/>
              <w:bottom w:val="single" w:sz="4" w:space="0" w:color="000000"/>
              <w:right w:val="single" w:sz="4" w:space="0" w:color="auto"/>
            </w:tcBorders>
            <w:shd w:val="clear" w:color="000000" w:fill="FFFFFF"/>
            <w:vAlign w:val="bottom"/>
            <w:hideMark/>
          </w:tcPr>
          <w:p w14:paraId="065F207B"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Objem</w:t>
            </w:r>
            <w:r w:rsidRPr="00072DB9">
              <w:rPr>
                <w:rFonts w:ascii="Calibri Light" w:hAnsi="Calibri Light" w:cs="Calibri Light"/>
                <w:b/>
                <w:bCs/>
                <w:color w:val="13576B"/>
                <w:sz w:val="22"/>
                <w:szCs w:val="22"/>
              </w:rPr>
              <w:br/>
              <w:t>(mld. Kč)</w:t>
            </w:r>
          </w:p>
        </w:tc>
        <w:tc>
          <w:tcPr>
            <w:tcW w:w="960" w:type="dxa"/>
            <w:vMerge w:val="restart"/>
            <w:tcBorders>
              <w:left w:val="single" w:sz="4" w:space="0" w:color="auto"/>
              <w:bottom w:val="single" w:sz="4" w:space="0" w:color="000000"/>
              <w:right w:val="single" w:sz="4" w:space="0" w:color="auto"/>
            </w:tcBorders>
            <w:shd w:val="clear" w:color="000000" w:fill="FFFFFF"/>
            <w:noWrap/>
            <w:vAlign w:val="center"/>
            <w:hideMark/>
          </w:tcPr>
          <w:p w14:paraId="0A6DC0F7"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Počet</w:t>
            </w:r>
          </w:p>
        </w:tc>
        <w:tc>
          <w:tcPr>
            <w:tcW w:w="960" w:type="dxa"/>
            <w:vMerge w:val="restart"/>
            <w:tcBorders>
              <w:left w:val="nil"/>
              <w:bottom w:val="single" w:sz="4" w:space="0" w:color="000000"/>
              <w:right w:val="nil"/>
            </w:tcBorders>
            <w:shd w:val="clear" w:color="000000" w:fill="FFFFFF"/>
            <w:vAlign w:val="bottom"/>
            <w:hideMark/>
          </w:tcPr>
          <w:p w14:paraId="2F9072A3"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Sazba</w:t>
            </w:r>
            <w:r w:rsidRPr="00072DB9">
              <w:rPr>
                <w:rFonts w:ascii="Calibri Light" w:hAnsi="Calibri Light" w:cs="Calibri Light"/>
                <w:b/>
                <w:bCs/>
                <w:color w:val="13576B"/>
                <w:sz w:val="22"/>
                <w:szCs w:val="22"/>
              </w:rPr>
              <w:br/>
              <w:t xml:space="preserve"> (%)</w:t>
            </w:r>
          </w:p>
        </w:tc>
        <w:tc>
          <w:tcPr>
            <w:tcW w:w="242" w:type="dxa"/>
            <w:tcBorders>
              <w:left w:val="nil"/>
              <w:right w:val="nil"/>
            </w:tcBorders>
            <w:vAlign w:val="bottom"/>
          </w:tcPr>
          <w:p w14:paraId="538AA5D0"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p>
        </w:tc>
        <w:tc>
          <w:tcPr>
            <w:tcW w:w="993" w:type="dxa"/>
            <w:vMerge w:val="restart"/>
            <w:tcBorders>
              <w:top w:val="nil"/>
              <w:left w:val="nil"/>
              <w:right w:val="single" w:sz="4" w:space="0" w:color="auto"/>
            </w:tcBorders>
            <w:shd w:val="clear" w:color="000000" w:fill="FFFFFF"/>
            <w:vAlign w:val="bottom"/>
          </w:tcPr>
          <w:p w14:paraId="09080B29" w14:textId="77777777" w:rsidR="003C3451" w:rsidRPr="00A06A94" w:rsidRDefault="003C3451" w:rsidP="006E30DB">
            <w:pPr>
              <w:overflowPunct/>
              <w:autoSpaceDE/>
              <w:autoSpaceDN/>
              <w:adjustRightInd/>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Objem</w:t>
            </w:r>
            <w:r w:rsidRPr="00A06A94">
              <w:rPr>
                <w:rFonts w:ascii="Calibri Light" w:hAnsi="Calibri Light" w:cs="Calibri Light"/>
                <w:i/>
                <w:iCs/>
                <w:color w:val="13576B"/>
                <w:sz w:val="22"/>
                <w:szCs w:val="22"/>
              </w:rPr>
              <w:br/>
              <w:t>(mld. Kč)</w:t>
            </w:r>
          </w:p>
        </w:tc>
        <w:tc>
          <w:tcPr>
            <w:tcW w:w="992" w:type="dxa"/>
            <w:vMerge w:val="restart"/>
            <w:tcBorders>
              <w:top w:val="nil"/>
              <w:left w:val="single" w:sz="4" w:space="0" w:color="auto"/>
              <w:right w:val="single" w:sz="4" w:space="0" w:color="auto"/>
            </w:tcBorders>
            <w:shd w:val="clear" w:color="000000" w:fill="FFFFFF"/>
            <w:vAlign w:val="center"/>
          </w:tcPr>
          <w:p w14:paraId="14A0DB45" w14:textId="77777777" w:rsidR="003C3451" w:rsidRPr="00A06A94" w:rsidRDefault="003C3451" w:rsidP="006E30DB">
            <w:pPr>
              <w:overflowPunct/>
              <w:autoSpaceDE/>
              <w:autoSpaceDN/>
              <w:adjustRightInd/>
              <w:ind w:left="-73" w:firstLine="73"/>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Počet</w:t>
            </w:r>
          </w:p>
        </w:tc>
        <w:tc>
          <w:tcPr>
            <w:tcW w:w="774" w:type="dxa"/>
            <w:vMerge w:val="restart"/>
            <w:tcBorders>
              <w:top w:val="nil"/>
              <w:left w:val="single" w:sz="4" w:space="0" w:color="auto"/>
              <w:right w:val="nil"/>
            </w:tcBorders>
            <w:shd w:val="clear" w:color="000000" w:fill="FFFFFF"/>
            <w:vAlign w:val="bottom"/>
          </w:tcPr>
          <w:p w14:paraId="7A08A275" w14:textId="77777777" w:rsidR="003C3451" w:rsidRPr="00A06A94" w:rsidRDefault="003C3451" w:rsidP="006E30DB">
            <w:pPr>
              <w:overflowPunct/>
              <w:autoSpaceDE/>
              <w:autoSpaceDN/>
              <w:adjustRightInd/>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Sazba</w:t>
            </w:r>
            <w:r w:rsidRPr="00A06A94">
              <w:rPr>
                <w:rFonts w:ascii="Calibri Light" w:hAnsi="Calibri Light" w:cs="Calibri Light"/>
                <w:i/>
                <w:iCs/>
                <w:color w:val="13576B"/>
                <w:sz w:val="22"/>
                <w:szCs w:val="22"/>
              </w:rPr>
              <w:br/>
              <w:t xml:space="preserve"> (%)</w:t>
            </w:r>
          </w:p>
        </w:tc>
      </w:tr>
      <w:tr w:rsidR="003C3451" w:rsidRPr="00A06A94" w14:paraId="6FF8CBA7"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0860F314" w14:textId="77777777" w:rsidR="003C3451" w:rsidRPr="00072DB9" w:rsidRDefault="003C3451" w:rsidP="006E30DB">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1102" w:type="dxa"/>
            <w:vMerge/>
            <w:tcBorders>
              <w:top w:val="nil"/>
              <w:left w:val="nil"/>
              <w:bottom w:val="single" w:sz="4" w:space="0" w:color="000000"/>
              <w:right w:val="single" w:sz="4" w:space="0" w:color="auto"/>
            </w:tcBorders>
            <w:vAlign w:val="center"/>
            <w:hideMark/>
          </w:tcPr>
          <w:p w14:paraId="0A59FB52"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single" w:sz="4" w:space="0" w:color="auto"/>
              <w:bottom w:val="single" w:sz="4" w:space="0" w:color="000000"/>
              <w:right w:val="single" w:sz="4" w:space="0" w:color="auto"/>
            </w:tcBorders>
            <w:vAlign w:val="center"/>
            <w:hideMark/>
          </w:tcPr>
          <w:p w14:paraId="390B1CFB"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nil"/>
              <w:bottom w:val="single" w:sz="4" w:space="0" w:color="000000"/>
              <w:right w:val="nil"/>
            </w:tcBorders>
            <w:vAlign w:val="center"/>
            <w:hideMark/>
          </w:tcPr>
          <w:p w14:paraId="7A6398C1"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242" w:type="dxa"/>
            <w:tcBorders>
              <w:top w:val="nil"/>
              <w:left w:val="nil"/>
              <w:right w:val="nil"/>
            </w:tcBorders>
            <w:vAlign w:val="center"/>
          </w:tcPr>
          <w:p w14:paraId="59E82091"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993" w:type="dxa"/>
            <w:vMerge/>
            <w:tcBorders>
              <w:left w:val="nil"/>
              <w:bottom w:val="single" w:sz="4" w:space="0" w:color="000000"/>
              <w:right w:val="single" w:sz="4" w:space="0" w:color="auto"/>
            </w:tcBorders>
            <w:vAlign w:val="center"/>
          </w:tcPr>
          <w:p w14:paraId="39364FA4" w14:textId="77777777" w:rsidR="003C3451" w:rsidRPr="00A06A94" w:rsidRDefault="003C3451" w:rsidP="006E30DB">
            <w:pPr>
              <w:overflowPunct/>
              <w:autoSpaceDE/>
              <w:autoSpaceDN/>
              <w:adjustRightInd/>
              <w:jc w:val="left"/>
              <w:textAlignment w:val="auto"/>
              <w:rPr>
                <w:rFonts w:ascii="Calibri Light" w:hAnsi="Calibri Light" w:cs="Calibri Light"/>
                <w:i/>
                <w:iCs/>
                <w:color w:val="13576B"/>
                <w:sz w:val="22"/>
                <w:szCs w:val="22"/>
              </w:rPr>
            </w:pPr>
          </w:p>
        </w:tc>
        <w:tc>
          <w:tcPr>
            <w:tcW w:w="992" w:type="dxa"/>
            <w:vMerge/>
            <w:tcBorders>
              <w:left w:val="single" w:sz="4" w:space="0" w:color="auto"/>
              <w:bottom w:val="single" w:sz="4" w:space="0" w:color="000000"/>
              <w:right w:val="single" w:sz="4" w:space="0" w:color="auto"/>
            </w:tcBorders>
            <w:vAlign w:val="center"/>
          </w:tcPr>
          <w:p w14:paraId="739A0ECE" w14:textId="77777777" w:rsidR="003C3451" w:rsidRPr="00A06A94" w:rsidRDefault="003C3451" w:rsidP="006E30DB">
            <w:pPr>
              <w:overflowPunct/>
              <w:autoSpaceDE/>
              <w:autoSpaceDN/>
              <w:adjustRightInd/>
              <w:jc w:val="left"/>
              <w:textAlignment w:val="auto"/>
              <w:rPr>
                <w:rFonts w:ascii="Calibri Light" w:hAnsi="Calibri Light" w:cs="Calibri Light"/>
                <w:i/>
                <w:iCs/>
                <w:color w:val="13576B"/>
                <w:sz w:val="22"/>
                <w:szCs w:val="22"/>
              </w:rPr>
            </w:pPr>
          </w:p>
        </w:tc>
        <w:tc>
          <w:tcPr>
            <w:tcW w:w="774" w:type="dxa"/>
            <w:vMerge/>
            <w:tcBorders>
              <w:left w:val="single" w:sz="4" w:space="0" w:color="auto"/>
              <w:bottom w:val="single" w:sz="4" w:space="0" w:color="000000"/>
              <w:right w:val="nil"/>
            </w:tcBorders>
            <w:vAlign w:val="center"/>
          </w:tcPr>
          <w:p w14:paraId="7836F8EE" w14:textId="77777777" w:rsidR="003C3451" w:rsidRPr="00A06A94" w:rsidRDefault="003C3451" w:rsidP="006E30DB">
            <w:pPr>
              <w:overflowPunct/>
              <w:autoSpaceDE/>
              <w:autoSpaceDN/>
              <w:adjustRightInd/>
              <w:jc w:val="left"/>
              <w:textAlignment w:val="auto"/>
              <w:rPr>
                <w:rFonts w:ascii="Calibri Light" w:hAnsi="Calibri Light" w:cs="Calibri Light"/>
                <w:i/>
                <w:iCs/>
                <w:color w:val="13576B"/>
                <w:sz w:val="22"/>
                <w:szCs w:val="22"/>
              </w:rPr>
            </w:pPr>
          </w:p>
        </w:tc>
      </w:tr>
      <w:tr w:rsidR="003C3451" w:rsidRPr="00A06A94" w14:paraId="776CBD73"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36A9B5FD" w14:textId="77777777" w:rsidR="003C3451" w:rsidRPr="00072DB9" w:rsidRDefault="003C3451" w:rsidP="003C3451">
            <w:pPr>
              <w:overflowPunct/>
              <w:autoSpaceDE/>
              <w:autoSpaceDN/>
              <w:adjustRightInd/>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Celkem</w:t>
            </w:r>
          </w:p>
        </w:tc>
        <w:tc>
          <w:tcPr>
            <w:tcW w:w="1102" w:type="dxa"/>
            <w:tcBorders>
              <w:top w:val="nil"/>
              <w:left w:val="nil"/>
              <w:bottom w:val="single" w:sz="4" w:space="0" w:color="auto"/>
              <w:right w:val="single" w:sz="4" w:space="0" w:color="auto"/>
            </w:tcBorders>
            <w:shd w:val="clear" w:color="000000" w:fill="FFFFFF"/>
            <w:noWrap/>
            <w:vAlign w:val="center"/>
            <w:hideMark/>
          </w:tcPr>
          <w:p w14:paraId="27B7692D" w14:textId="0DE44294" w:rsidR="003C3451" w:rsidRPr="00072DB9" w:rsidRDefault="003C3451" w:rsidP="003C3451">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40,5</w:t>
            </w:r>
          </w:p>
        </w:tc>
        <w:tc>
          <w:tcPr>
            <w:tcW w:w="960" w:type="dxa"/>
            <w:tcBorders>
              <w:top w:val="nil"/>
              <w:left w:val="nil"/>
              <w:bottom w:val="single" w:sz="4" w:space="0" w:color="auto"/>
              <w:right w:val="single" w:sz="4" w:space="0" w:color="auto"/>
            </w:tcBorders>
            <w:shd w:val="clear" w:color="000000" w:fill="FFFFFF"/>
            <w:noWrap/>
            <w:vAlign w:val="center"/>
            <w:hideMark/>
          </w:tcPr>
          <w:p w14:paraId="424ABB04" w14:textId="4F6187F6"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9 241</w:t>
            </w:r>
          </w:p>
        </w:tc>
        <w:tc>
          <w:tcPr>
            <w:tcW w:w="960" w:type="dxa"/>
            <w:tcBorders>
              <w:top w:val="nil"/>
              <w:left w:val="nil"/>
              <w:bottom w:val="single" w:sz="4" w:space="0" w:color="auto"/>
              <w:right w:val="nil"/>
            </w:tcBorders>
            <w:shd w:val="clear" w:color="000000" w:fill="FFFFFF"/>
            <w:noWrap/>
            <w:vAlign w:val="center"/>
            <w:hideMark/>
          </w:tcPr>
          <w:p w14:paraId="47F54FDC" w14:textId="6C49C8E1"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4,45</w:t>
            </w:r>
          </w:p>
        </w:tc>
        <w:tc>
          <w:tcPr>
            <w:tcW w:w="242" w:type="dxa"/>
            <w:tcBorders>
              <w:top w:val="nil"/>
              <w:left w:val="nil"/>
              <w:right w:val="nil"/>
            </w:tcBorders>
            <w:vAlign w:val="bottom"/>
          </w:tcPr>
          <w:p w14:paraId="290588BC" w14:textId="1D1DDE03" w:rsidR="003C3451" w:rsidRDefault="003C3451" w:rsidP="003C3451">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545B57A8" w14:textId="70A6E8A9"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75,8</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F3EAD2F" w14:textId="6AD04442"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17 392</w:t>
            </w:r>
          </w:p>
        </w:tc>
        <w:tc>
          <w:tcPr>
            <w:tcW w:w="774" w:type="dxa"/>
            <w:tcBorders>
              <w:top w:val="nil"/>
              <w:left w:val="single" w:sz="4" w:space="0" w:color="auto"/>
              <w:bottom w:val="single" w:sz="4" w:space="0" w:color="auto"/>
              <w:right w:val="nil"/>
            </w:tcBorders>
            <w:shd w:val="clear" w:color="000000" w:fill="FFFFFF"/>
            <w:vAlign w:val="center"/>
          </w:tcPr>
          <w:p w14:paraId="3286C628" w14:textId="311EAF41"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4,46</w:t>
            </w:r>
          </w:p>
        </w:tc>
      </w:tr>
      <w:tr w:rsidR="003C3451" w:rsidRPr="00A06A94" w14:paraId="1B1E7FB2" w14:textId="77777777" w:rsidTr="006E30DB">
        <w:trPr>
          <w:trHeight w:val="300"/>
        </w:trPr>
        <w:tc>
          <w:tcPr>
            <w:tcW w:w="3540" w:type="dxa"/>
            <w:tcBorders>
              <w:top w:val="single" w:sz="4" w:space="0" w:color="auto"/>
              <w:left w:val="nil"/>
              <w:bottom w:val="nil"/>
              <w:right w:val="nil"/>
            </w:tcBorders>
            <w:shd w:val="solid" w:color="DAF3EA" w:fill="C1F7E9"/>
            <w:noWrap/>
            <w:vAlign w:val="bottom"/>
            <w:hideMark/>
          </w:tcPr>
          <w:p w14:paraId="21ACEB93" w14:textId="77777777" w:rsidR="003C3451" w:rsidRPr="00072DB9" w:rsidRDefault="003C3451" w:rsidP="003C3451">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 xml:space="preserve">Nové úvěry </w:t>
            </w:r>
          </w:p>
        </w:tc>
        <w:tc>
          <w:tcPr>
            <w:tcW w:w="1102" w:type="dxa"/>
            <w:tcBorders>
              <w:top w:val="single" w:sz="4" w:space="0" w:color="auto"/>
              <w:left w:val="nil"/>
              <w:bottom w:val="nil"/>
              <w:right w:val="single" w:sz="4" w:space="0" w:color="auto"/>
            </w:tcBorders>
            <w:shd w:val="solid" w:color="DAF3EA" w:fill="C1F7E9"/>
            <w:noWrap/>
            <w:vAlign w:val="center"/>
            <w:hideMark/>
          </w:tcPr>
          <w:p w14:paraId="01D6378E" w14:textId="1352B4FC" w:rsidR="003C3451" w:rsidRPr="00072DB9" w:rsidRDefault="003C3451" w:rsidP="003C3451">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29,7</w:t>
            </w:r>
          </w:p>
        </w:tc>
        <w:tc>
          <w:tcPr>
            <w:tcW w:w="960" w:type="dxa"/>
            <w:tcBorders>
              <w:top w:val="single" w:sz="4" w:space="0" w:color="auto"/>
              <w:left w:val="nil"/>
              <w:bottom w:val="nil"/>
              <w:right w:val="single" w:sz="4" w:space="0" w:color="auto"/>
            </w:tcBorders>
            <w:shd w:val="solid" w:color="DAF3EA" w:fill="C1F7E9"/>
            <w:noWrap/>
            <w:vAlign w:val="center"/>
            <w:hideMark/>
          </w:tcPr>
          <w:p w14:paraId="121DEB33" w14:textId="002B3A81" w:rsidR="003C3451" w:rsidRPr="00072DB9" w:rsidRDefault="003C3451" w:rsidP="003C3451">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6 414</w:t>
            </w:r>
          </w:p>
        </w:tc>
        <w:tc>
          <w:tcPr>
            <w:tcW w:w="960" w:type="dxa"/>
            <w:tcBorders>
              <w:top w:val="single" w:sz="4" w:space="0" w:color="auto"/>
              <w:left w:val="nil"/>
              <w:bottom w:val="nil"/>
              <w:right w:val="nil"/>
            </w:tcBorders>
            <w:shd w:val="solid" w:color="DAF3EA" w:fill="C1F7E9"/>
            <w:noWrap/>
            <w:vAlign w:val="center"/>
            <w:hideMark/>
          </w:tcPr>
          <w:p w14:paraId="20D4C83E" w14:textId="097B641A" w:rsidR="003C3451" w:rsidRPr="00072DB9" w:rsidRDefault="003C3451" w:rsidP="003C3451">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4,46</w:t>
            </w:r>
          </w:p>
        </w:tc>
        <w:tc>
          <w:tcPr>
            <w:tcW w:w="242" w:type="dxa"/>
            <w:tcBorders>
              <w:left w:val="nil"/>
              <w:bottom w:val="nil"/>
              <w:right w:val="nil"/>
            </w:tcBorders>
            <w:vAlign w:val="bottom"/>
          </w:tcPr>
          <w:p w14:paraId="1E12AC4C" w14:textId="0BF824E7" w:rsidR="003C3451" w:rsidRDefault="003C3451" w:rsidP="003C3451">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color w:val="000000"/>
                <w:sz w:val="22"/>
                <w:szCs w:val="22"/>
              </w:rPr>
              <w:t> </w:t>
            </w:r>
          </w:p>
        </w:tc>
        <w:tc>
          <w:tcPr>
            <w:tcW w:w="993" w:type="dxa"/>
            <w:tcBorders>
              <w:top w:val="single" w:sz="4" w:space="0" w:color="auto"/>
              <w:left w:val="nil"/>
              <w:bottom w:val="nil"/>
              <w:right w:val="single" w:sz="4" w:space="0" w:color="auto"/>
            </w:tcBorders>
            <w:shd w:val="solid" w:color="DAF3EA" w:fill="C1F7E9"/>
            <w:vAlign w:val="center"/>
          </w:tcPr>
          <w:p w14:paraId="4D6894CF" w14:textId="746494C0"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b/>
                <w:bCs/>
                <w:i/>
                <w:iCs/>
                <w:color w:val="808080"/>
                <w:sz w:val="22"/>
                <w:szCs w:val="22"/>
              </w:rPr>
              <w:t>56,7</w:t>
            </w:r>
          </w:p>
        </w:tc>
        <w:tc>
          <w:tcPr>
            <w:tcW w:w="992" w:type="dxa"/>
            <w:tcBorders>
              <w:top w:val="single" w:sz="4" w:space="0" w:color="auto"/>
              <w:left w:val="single" w:sz="4" w:space="0" w:color="auto"/>
              <w:bottom w:val="nil"/>
              <w:right w:val="single" w:sz="4" w:space="0" w:color="auto"/>
            </w:tcBorders>
            <w:shd w:val="solid" w:color="DAF3EA" w:fill="C1F7E9"/>
            <w:vAlign w:val="center"/>
          </w:tcPr>
          <w:p w14:paraId="4021A1B1" w14:textId="3B87D698"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b/>
                <w:bCs/>
                <w:i/>
                <w:iCs/>
                <w:color w:val="808080"/>
                <w:sz w:val="22"/>
                <w:szCs w:val="22"/>
              </w:rPr>
              <w:t>12 426</w:t>
            </w:r>
          </w:p>
        </w:tc>
        <w:tc>
          <w:tcPr>
            <w:tcW w:w="774" w:type="dxa"/>
            <w:tcBorders>
              <w:top w:val="single" w:sz="4" w:space="0" w:color="auto"/>
              <w:left w:val="single" w:sz="4" w:space="0" w:color="auto"/>
              <w:bottom w:val="nil"/>
              <w:right w:val="nil"/>
            </w:tcBorders>
            <w:shd w:val="solid" w:color="DAF3EA" w:fill="C1F7E9"/>
            <w:vAlign w:val="center"/>
          </w:tcPr>
          <w:p w14:paraId="6544CAA1" w14:textId="7115B96C"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b/>
                <w:bCs/>
                <w:i/>
                <w:iCs/>
                <w:color w:val="808080"/>
                <w:sz w:val="22"/>
                <w:szCs w:val="22"/>
              </w:rPr>
              <w:t>4,47</w:t>
            </w:r>
          </w:p>
        </w:tc>
      </w:tr>
      <w:tr w:rsidR="003C3451" w:rsidRPr="00A06A94" w14:paraId="75B50A3D" w14:textId="77777777" w:rsidTr="006E30DB">
        <w:trPr>
          <w:trHeight w:val="300"/>
        </w:trPr>
        <w:tc>
          <w:tcPr>
            <w:tcW w:w="3540" w:type="dxa"/>
            <w:tcBorders>
              <w:top w:val="nil"/>
              <w:left w:val="nil"/>
              <w:bottom w:val="nil"/>
              <w:right w:val="nil"/>
            </w:tcBorders>
            <w:shd w:val="clear" w:color="000000" w:fill="FFFFFF"/>
            <w:noWrap/>
            <w:vAlign w:val="bottom"/>
            <w:hideMark/>
          </w:tcPr>
          <w:p w14:paraId="7C159724" w14:textId="77777777" w:rsidR="003C3451" w:rsidRPr="00072DB9" w:rsidRDefault="003C3451" w:rsidP="003C3451">
            <w:pPr>
              <w:overflowPunct/>
              <w:autoSpaceDE/>
              <w:autoSpaceDN/>
              <w:adjustRightInd/>
              <w:ind w:firstLineChars="200" w:firstLine="44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xml:space="preserve">z toho: </w:t>
            </w:r>
          </w:p>
        </w:tc>
        <w:tc>
          <w:tcPr>
            <w:tcW w:w="1102" w:type="dxa"/>
            <w:tcBorders>
              <w:top w:val="nil"/>
              <w:left w:val="nil"/>
              <w:bottom w:val="nil"/>
              <w:right w:val="single" w:sz="4" w:space="0" w:color="auto"/>
            </w:tcBorders>
            <w:shd w:val="clear" w:color="000000" w:fill="FFFFFF"/>
            <w:noWrap/>
            <w:vAlign w:val="center"/>
            <w:hideMark/>
          </w:tcPr>
          <w:p w14:paraId="63544B38" w14:textId="20D6F695"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14:paraId="33D68906" w14:textId="329442BA"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center"/>
            <w:hideMark/>
          </w:tcPr>
          <w:p w14:paraId="48537150" w14:textId="6E8DC8A8"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242" w:type="dxa"/>
            <w:tcBorders>
              <w:top w:val="nil"/>
              <w:left w:val="nil"/>
              <w:bottom w:val="nil"/>
              <w:right w:val="nil"/>
            </w:tcBorders>
            <w:vAlign w:val="bottom"/>
          </w:tcPr>
          <w:p w14:paraId="442EE480" w14:textId="53FB37C9" w:rsidR="003C3451" w:rsidRDefault="003C3451" w:rsidP="003C3451">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nil"/>
              <w:right w:val="single" w:sz="4" w:space="0" w:color="auto"/>
            </w:tcBorders>
            <w:shd w:val="clear" w:color="000000" w:fill="FFFFFF"/>
            <w:vAlign w:val="center"/>
          </w:tcPr>
          <w:p w14:paraId="5600E58E" w14:textId="4C84244F"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 </w:t>
            </w:r>
          </w:p>
        </w:tc>
        <w:tc>
          <w:tcPr>
            <w:tcW w:w="992" w:type="dxa"/>
            <w:tcBorders>
              <w:top w:val="nil"/>
              <w:left w:val="single" w:sz="4" w:space="0" w:color="auto"/>
              <w:bottom w:val="nil"/>
              <w:right w:val="single" w:sz="4" w:space="0" w:color="auto"/>
            </w:tcBorders>
            <w:shd w:val="clear" w:color="000000" w:fill="FFFFFF"/>
            <w:vAlign w:val="center"/>
          </w:tcPr>
          <w:p w14:paraId="7B73575E" w14:textId="1A4EA22A"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 </w:t>
            </w:r>
          </w:p>
        </w:tc>
        <w:tc>
          <w:tcPr>
            <w:tcW w:w="774" w:type="dxa"/>
            <w:tcBorders>
              <w:top w:val="nil"/>
              <w:left w:val="single" w:sz="4" w:space="0" w:color="auto"/>
              <w:bottom w:val="nil"/>
              <w:right w:val="nil"/>
            </w:tcBorders>
            <w:shd w:val="clear" w:color="000000" w:fill="FFFFFF"/>
            <w:vAlign w:val="center"/>
          </w:tcPr>
          <w:p w14:paraId="12EBA8BD" w14:textId="55991BCA"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 </w:t>
            </w:r>
          </w:p>
        </w:tc>
      </w:tr>
      <w:tr w:rsidR="003C3451" w:rsidRPr="00A06A94" w14:paraId="7625D4E3" w14:textId="77777777" w:rsidTr="006E30DB">
        <w:trPr>
          <w:trHeight w:val="300"/>
        </w:trPr>
        <w:tc>
          <w:tcPr>
            <w:tcW w:w="3540" w:type="dxa"/>
            <w:tcBorders>
              <w:top w:val="nil"/>
              <w:left w:val="nil"/>
              <w:bottom w:val="nil"/>
              <w:right w:val="nil"/>
            </w:tcBorders>
            <w:shd w:val="clear" w:color="000000" w:fill="FFFFFF"/>
            <w:noWrap/>
            <w:vAlign w:val="bottom"/>
            <w:hideMark/>
          </w:tcPr>
          <w:p w14:paraId="3D56AD1D" w14:textId="77777777" w:rsidR="003C3451" w:rsidRPr="00072DB9" w:rsidRDefault="003C3451" w:rsidP="003C3451">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koupi</w:t>
            </w:r>
          </w:p>
        </w:tc>
        <w:tc>
          <w:tcPr>
            <w:tcW w:w="1102" w:type="dxa"/>
            <w:tcBorders>
              <w:top w:val="nil"/>
              <w:left w:val="nil"/>
              <w:bottom w:val="nil"/>
              <w:right w:val="single" w:sz="4" w:space="0" w:color="auto"/>
            </w:tcBorders>
            <w:shd w:val="clear" w:color="000000" w:fill="FFFFFF"/>
            <w:noWrap/>
            <w:vAlign w:val="center"/>
            <w:hideMark/>
          </w:tcPr>
          <w:p w14:paraId="413BFB31" w14:textId="42793E26"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22,5</w:t>
            </w:r>
          </w:p>
        </w:tc>
        <w:tc>
          <w:tcPr>
            <w:tcW w:w="960" w:type="dxa"/>
            <w:tcBorders>
              <w:top w:val="nil"/>
              <w:left w:val="nil"/>
              <w:bottom w:val="nil"/>
              <w:right w:val="single" w:sz="4" w:space="0" w:color="auto"/>
            </w:tcBorders>
            <w:shd w:val="clear" w:color="000000" w:fill="FFFFFF"/>
            <w:noWrap/>
            <w:vAlign w:val="center"/>
            <w:hideMark/>
          </w:tcPr>
          <w:p w14:paraId="35204F7B" w14:textId="2622C822"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4 848</w:t>
            </w:r>
          </w:p>
        </w:tc>
        <w:tc>
          <w:tcPr>
            <w:tcW w:w="960" w:type="dxa"/>
            <w:tcBorders>
              <w:top w:val="nil"/>
              <w:left w:val="nil"/>
              <w:bottom w:val="nil"/>
              <w:right w:val="nil"/>
            </w:tcBorders>
            <w:shd w:val="clear" w:color="000000" w:fill="FFFFFF"/>
            <w:noWrap/>
            <w:vAlign w:val="center"/>
            <w:hideMark/>
          </w:tcPr>
          <w:p w14:paraId="339602DE" w14:textId="70C9E37D"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4,47</w:t>
            </w:r>
          </w:p>
        </w:tc>
        <w:tc>
          <w:tcPr>
            <w:tcW w:w="242" w:type="dxa"/>
            <w:tcBorders>
              <w:top w:val="nil"/>
              <w:left w:val="nil"/>
              <w:bottom w:val="nil"/>
              <w:right w:val="nil"/>
            </w:tcBorders>
            <w:vAlign w:val="bottom"/>
          </w:tcPr>
          <w:p w14:paraId="1CF8C8AE" w14:textId="21821A10" w:rsidR="003C3451" w:rsidRDefault="003C3451" w:rsidP="003C3451">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nil"/>
              <w:right w:val="single" w:sz="4" w:space="0" w:color="auto"/>
            </w:tcBorders>
            <w:shd w:val="clear" w:color="000000" w:fill="FFFFFF"/>
            <w:vAlign w:val="center"/>
          </w:tcPr>
          <w:p w14:paraId="0F378060" w14:textId="728AE60E"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43,8</w:t>
            </w:r>
          </w:p>
        </w:tc>
        <w:tc>
          <w:tcPr>
            <w:tcW w:w="992" w:type="dxa"/>
            <w:tcBorders>
              <w:top w:val="nil"/>
              <w:left w:val="single" w:sz="4" w:space="0" w:color="auto"/>
              <w:bottom w:val="nil"/>
              <w:right w:val="single" w:sz="4" w:space="0" w:color="auto"/>
            </w:tcBorders>
            <w:shd w:val="clear" w:color="000000" w:fill="FFFFFF"/>
            <w:vAlign w:val="center"/>
          </w:tcPr>
          <w:p w14:paraId="5F448916" w14:textId="431AE890"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9 563</w:t>
            </w:r>
          </w:p>
        </w:tc>
        <w:tc>
          <w:tcPr>
            <w:tcW w:w="774" w:type="dxa"/>
            <w:tcBorders>
              <w:top w:val="nil"/>
              <w:left w:val="single" w:sz="4" w:space="0" w:color="auto"/>
              <w:bottom w:val="nil"/>
              <w:right w:val="nil"/>
            </w:tcBorders>
            <w:shd w:val="clear" w:color="000000" w:fill="FFFFFF"/>
            <w:vAlign w:val="center"/>
          </w:tcPr>
          <w:p w14:paraId="634C0342" w14:textId="377EF148"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4,47</w:t>
            </w:r>
          </w:p>
        </w:tc>
      </w:tr>
      <w:tr w:rsidR="003C3451" w:rsidRPr="00A06A94" w14:paraId="0E99D021" w14:textId="77777777" w:rsidTr="006E30DB">
        <w:trPr>
          <w:trHeight w:val="300"/>
        </w:trPr>
        <w:tc>
          <w:tcPr>
            <w:tcW w:w="3540" w:type="dxa"/>
            <w:tcBorders>
              <w:top w:val="nil"/>
              <w:left w:val="nil"/>
              <w:bottom w:val="nil"/>
              <w:right w:val="nil"/>
            </w:tcBorders>
            <w:shd w:val="clear" w:color="000000" w:fill="FFFFFF"/>
            <w:noWrap/>
            <w:vAlign w:val="bottom"/>
            <w:hideMark/>
          </w:tcPr>
          <w:p w14:paraId="24650778" w14:textId="77777777" w:rsidR="003C3451" w:rsidRPr="00072DB9" w:rsidRDefault="003C3451" w:rsidP="003C3451">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výstavbu</w:t>
            </w:r>
          </w:p>
        </w:tc>
        <w:tc>
          <w:tcPr>
            <w:tcW w:w="1102" w:type="dxa"/>
            <w:tcBorders>
              <w:top w:val="nil"/>
              <w:left w:val="nil"/>
              <w:bottom w:val="nil"/>
              <w:right w:val="single" w:sz="4" w:space="0" w:color="auto"/>
            </w:tcBorders>
            <w:shd w:val="clear" w:color="000000" w:fill="FFFFFF"/>
            <w:noWrap/>
            <w:vAlign w:val="center"/>
            <w:hideMark/>
          </w:tcPr>
          <w:p w14:paraId="52DC5BF0" w14:textId="0D9C436F"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4,3</w:t>
            </w:r>
          </w:p>
        </w:tc>
        <w:tc>
          <w:tcPr>
            <w:tcW w:w="960" w:type="dxa"/>
            <w:tcBorders>
              <w:top w:val="nil"/>
              <w:left w:val="nil"/>
              <w:bottom w:val="nil"/>
              <w:right w:val="single" w:sz="4" w:space="0" w:color="auto"/>
            </w:tcBorders>
            <w:shd w:val="clear" w:color="000000" w:fill="FFFFFF"/>
            <w:noWrap/>
            <w:vAlign w:val="center"/>
            <w:hideMark/>
          </w:tcPr>
          <w:p w14:paraId="6ABFDBC1" w14:textId="5AE67724"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934</w:t>
            </w:r>
          </w:p>
        </w:tc>
        <w:tc>
          <w:tcPr>
            <w:tcW w:w="960" w:type="dxa"/>
            <w:tcBorders>
              <w:top w:val="nil"/>
              <w:left w:val="nil"/>
              <w:bottom w:val="nil"/>
              <w:right w:val="nil"/>
            </w:tcBorders>
            <w:shd w:val="clear" w:color="000000" w:fill="FFFFFF"/>
            <w:noWrap/>
            <w:vAlign w:val="center"/>
            <w:hideMark/>
          </w:tcPr>
          <w:p w14:paraId="5D5E6596" w14:textId="76DB1B1F"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4,41</w:t>
            </w:r>
          </w:p>
        </w:tc>
        <w:tc>
          <w:tcPr>
            <w:tcW w:w="242" w:type="dxa"/>
            <w:tcBorders>
              <w:top w:val="nil"/>
              <w:left w:val="nil"/>
              <w:bottom w:val="nil"/>
              <w:right w:val="nil"/>
            </w:tcBorders>
            <w:vAlign w:val="center"/>
          </w:tcPr>
          <w:p w14:paraId="096C099B" w14:textId="48E5CC03" w:rsidR="003C3451" w:rsidRDefault="003C3451" w:rsidP="003C3451">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nil"/>
              <w:right w:val="single" w:sz="4" w:space="0" w:color="auto"/>
            </w:tcBorders>
            <w:shd w:val="clear" w:color="000000" w:fill="FFFFFF"/>
            <w:vAlign w:val="center"/>
          </w:tcPr>
          <w:p w14:paraId="10B9382F" w14:textId="00816232"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8,1</w:t>
            </w:r>
          </w:p>
        </w:tc>
        <w:tc>
          <w:tcPr>
            <w:tcW w:w="992" w:type="dxa"/>
            <w:tcBorders>
              <w:top w:val="nil"/>
              <w:left w:val="single" w:sz="4" w:space="0" w:color="auto"/>
              <w:bottom w:val="nil"/>
              <w:right w:val="single" w:sz="4" w:space="0" w:color="auto"/>
            </w:tcBorders>
            <w:shd w:val="clear" w:color="000000" w:fill="FFFFFF"/>
            <w:vAlign w:val="center"/>
          </w:tcPr>
          <w:p w14:paraId="2CAD1162" w14:textId="7BDBEB4A"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1 764</w:t>
            </w:r>
          </w:p>
        </w:tc>
        <w:tc>
          <w:tcPr>
            <w:tcW w:w="774" w:type="dxa"/>
            <w:tcBorders>
              <w:top w:val="nil"/>
              <w:left w:val="single" w:sz="4" w:space="0" w:color="auto"/>
              <w:bottom w:val="nil"/>
              <w:right w:val="nil"/>
            </w:tcBorders>
            <w:shd w:val="clear" w:color="000000" w:fill="FFFFFF"/>
            <w:vAlign w:val="center"/>
          </w:tcPr>
          <w:p w14:paraId="068099D2" w14:textId="74DB58F7"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4,42</w:t>
            </w:r>
          </w:p>
        </w:tc>
      </w:tr>
      <w:tr w:rsidR="003C3451" w:rsidRPr="00A06A94" w14:paraId="501771B5"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3DD2365D" w14:textId="77777777" w:rsidR="003C3451" w:rsidRPr="00072DB9" w:rsidRDefault="003C3451" w:rsidP="003C3451">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ostatní</w:t>
            </w:r>
          </w:p>
        </w:tc>
        <w:tc>
          <w:tcPr>
            <w:tcW w:w="1102" w:type="dxa"/>
            <w:tcBorders>
              <w:top w:val="nil"/>
              <w:left w:val="nil"/>
              <w:bottom w:val="single" w:sz="4" w:space="0" w:color="auto"/>
              <w:right w:val="single" w:sz="4" w:space="0" w:color="auto"/>
            </w:tcBorders>
            <w:shd w:val="clear" w:color="000000" w:fill="FFFFFF"/>
            <w:noWrap/>
            <w:vAlign w:val="center"/>
            <w:hideMark/>
          </w:tcPr>
          <w:p w14:paraId="447C665A" w14:textId="3DD05619"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2,9</w:t>
            </w:r>
          </w:p>
        </w:tc>
        <w:tc>
          <w:tcPr>
            <w:tcW w:w="960" w:type="dxa"/>
            <w:tcBorders>
              <w:top w:val="nil"/>
              <w:left w:val="nil"/>
              <w:bottom w:val="single" w:sz="4" w:space="0" w:color="auto"/>
              <w:right w:val="single" w:sz="4" w:space="0" w:color="auto"/>
            </w:tcBorders>
            <w:shd w:val="clear" w:color="000000" w:fill="FFFFFF"/>
            <w:noWrap/>
            <w:vAlign w:val="center"/>
            <w:hideMark/>
          </w:tcPr>
          <w:p w14:paraId="736F58FE" w14:textId="655535E2"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632</w:t>
            </w:r>
          </w:p>
        </w:tc>
        <w:tc>
          <w:tcPr>
            <w:tcW w:w="960" w:type="dxa"/>
            <w:tcBorders>
              <w:top w:val="nil"/>
              <w:left w:val="nil"/>
              <w:bottom w:val="single" w:sz="4" w:space="0" w:color="auto"/>
              <w:right w:val="nil"/>
            </w:tcBorders>
            <w:shd w:val="clear" w:color="000000" w:fill="FFFFFF"/>
            <w:noWrap/>
            <w:vAlign w:val="center"/>
            <w:hideMark/>
          </w:tcPr>
          <w:p w14:paraId="11B6015C" w14:textId="70E19E9D"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4,53</w:t>
            </w:r>
          </w:p>
        </w:tc>
        <w:tc>
          <w:tcPr>
            <w:tcW w:w="242" w:type="dxa"/>
            <w:tcBorders>
              <w:top w:val="nil"/>
              <w:left w:val="nil"/>
              <w:right w:val="nil"/>
            </w:tcBorders>
            <w:vAlign w:val="bottom"/>
          </w:tcPr>
          <w:p w14:paraId="0E5EEE48" w14:textId="73EBC00C" w:rsidR="003C3451" w:rsidRDefault="003C3451" w:rsidP="003C3451">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6AE7FB0C" w14:textId="7295E2C7"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4,8</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6096F2B8" w14:textId="11BEBD55"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1 099</w:t>
            </w:r>
          </w:p>
        </w:tc>
        <w:tc>
          <w:tcPr>
            <w:tcW w:w="774" w:type="dxa"/>
            <w:tcBorders>
              <w:top w:val="nil"/>
              <w:left w:val="single" w:sz="4" w:space="0" w:color="auto"/>
              <w:bottom w:val="single" w:sz="4" w:space="0" w:color="auto"/>
              <w:right w:val="nil"/>
            </w:tcBorders>
            <w:shd w:val="clear" w:color="000000" w:fill="FFFFFF"/>
            <w:vAlign w:val="center"/>
          </w:tcPr>
          <w:p w14:paraId="19EA6453" w14:textId="0000EA2E"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4,55</w:t>
            </w:r>
          </w:p>
        </w:tc>
      </w:tr>
      <w:tr w:rsidR="003C3451" w:rsidRPr="00A06A94" w14:paraId="5D723CBB"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2E721761" w14:textId="77777777" w:rsidR="003C3451" w:rsidRPr="00072DB9" w:rsidRDefault="003C3451" w:rsidP="003C3451">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z jiné instituce</w:t>
            </w:r>
          </w:p>
        </w:tc>
        <w:tc>
          <w:tcPr>
            <w:tcW w:w="1102" w:type="dxa"/>
            <w:tcBorders>
              <w:top w:val="nil"/>
              <w:left w:val="nil"/>
              <w:bottom w:val="single" w:sz="4" w:space="0" w:color="auto"/>
              <w:right w:val="single" w:sz="4" w:space="0" w:color="auto"/>
            </w:tcBorders>
            <w:shd w:val="clear" w:color="000000" w:fill="FFFFFF"/>
            <w:noWrap/>
            <w:vAlign w:val="center"/>
            <w:hideMark/>
          </w:tcPr>
          <w:p w14:paraId="69F7A9EB" w14:textId="1BF443DB" w:rsidR="003C3451" w:rsidRPr="00072DB9" w:rsidRDefault="003C3451" w:rsidP="003C3451">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9,1</w:t>
            </w:r>
          </w:p>
        </w:tc>
        <w:tc>
          <w:tcPr>
            <w:tcW w:w="960" w:type="dxa"/>
            <w:tcBorders>
              <w:top w:val="nil"/>
              <w:left w:val="nil"/>
              <w:bottom w:val="single" w:sz="4" w:space="0" w:color="auto"/>
              <w:right w:val="single" w:sz="4" w:space="0" w:color="auto"/>
            </w:tcBorders>
            <w:shd w:val="clear" w:color="000000" w:fill="FFFFFF"/>
            <w:noWrap/>
            <w:vAlign w:val="center"/>
            <w:hideMark/>
          </w:tcPr>
          <w:p w14:paraId="5D3E99BA" w14:textId="04FEEFA1"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2 381</w:t>
            </w:r>
          </w:p>
        </w:tc>
        <w:tc>
          <w:tcPr>
            <w:tcW w:w="960" w:type="dxa"/>
            <w:tcBorders>
              <w:top w:val="nil"/>
              <w:left w:val="nil"/>
              <w:bottom w:val="single" w:sz="4" w:space="0" w:color="auto"/>
              <w:right w:val="nil"/>
            </w:tcBorders>
            <w:shd w:val="clear" w:color="000000" w:fill="FFFFFF"/>
            <w:noWrap/>
            <w:vAlign w:val="center"/>
            <w:hideMark/>
          </w:tcPr>
          <w:p w14:paraId="459C49FD" w14:textId="6469CD6A" w:rsidR="003C3451" w:rsidRPr="00072DB9" w:rsidRDefault="003C3451" w:rsidP="003C3451">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4,43</w:t>
            </w:r>
          </w:p>
        </w:tc>
        <w:tc>
          <w:tcPr>
            <w:tcW w:w="242" w:type="dxa"/>
            <w:tcBorders>
              <w:top w:val="nil"/>
              <w:left w:val="nil"/>
              <w:right w:val="nil"/>
            </w:tcBorders>
            <w:vAlign w:val="bottom"/>
          </w:tcPr>
          <w:p w14:paraId="17CF4B73" w14:textId="230AB8E6" w:rsidR="003C3451" w:rsidRDefault="003C3451" w:rsidP="003C3451">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068E3AC5" w14:textId="30FD59C5"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16,0</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19714FB1" w14:textId="2943ED99"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4 173</w:t>
            </w:r>
          </w:p>
        </w:tc>
        <w:tc>
          <w:tcPr>
            <w:tcW w:w="774" w:type="dxa"/>
            <w:tcBorders>
              <w:top w:val="nil"/>
              <w:left w:val="single" w:sz="4" w:space="0" w:color="auto"/>
              <w:bottom w:val="single" w:sz="4" w:space="0" w:color="auto"/>
              <w:right w:val="nil"/>
            </w:tcBorders>
            <w:shd w:val="clear" w:color="000000" w:fill="FFFFFF"/>
            <w:vAlign w:val="center"/>
          </w:tcPr>
          <w:p w14:paraId="2B0AEEA7" w14:textId="2234631B"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4,44</w:t>
            </w:r>
          </w:p>
        </w:tc>
      </w:tr>
      <w:tr w:rsidR="003C3451" w:rsidRPr="00A06A94" w14:paraId="2265D080"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0290B764" w14:textId="77777777" w:rsidR="003C3451" w:rsidRPr="00072DB9" w:rsidRDefault="003C3451" w:rsidP="003C3451">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interně</w:t>
            </w:r>
            <w:r>
              <w:rPr>
                <w:rFonts w:ascii="Calibri Light" w:hAnsi="Calibri Light" w:cs="Calibri Light"/>
                <w:b/>
                <w:bCs/>
                <w:color w:val="000000"/>
                <w:sz w:val="22"/>
                <w:szCs w:val="22"/>
              </w:rPr>
              <w:t>, navýšené</w:t>
            </w:r>
          </w:p>
        </w:tc>
        <w:tc>
          <w:tcPr>
            <w:tcW w:w="1102" w:type="dxa"/>
            <w:tcBorders>
              <w:top w:val="nil"/>
              <w:left w:val="nil"/>
              <w:bottom w:val="single" w:sz="4" w:space="0" w:color="auto"/>
              <w:right w:val="single" w:sz="4" w:space="0" w:color="auto"/>
            </w:tcBorders>
            <w:shd w:val="clear" w:color="000000" w:fill="FFFFFF"/>
            <w:noWrap/>
            <w:vAlign w:val="center"/>
            <w:hideMark/>
          </w:tcPr>
          <w:p w14:paraId="04D8288F" w14:textId="5560566B" w:rsidR="003C3451" w:rsidRPr="00072DB9" w:rsidRDefault="003C3451" w:rsidP="003C3451">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1,7</w:t>
            </w:r>
          </w:p>
        </w:tc>
        <w:tc>
          <w:tcPr>
            <w:tcW w:w="960" w:type="dxa"/>
            <w:tcBorders>
              <w:top w:val="nil"/>
              <w:left w:val="nil"/>
              <w:bottom w:val="single" w:sz="4" w:space="0" w:color="auto"/>
              <w:right w:val="single" w:sz="4" w:space="0" w:color="auto"/>
            </w:tcBorders>
            <w:shd w:val="clear" w:color="000000" w:fill="FFFFFF"/>
            <w:noWrap/>
            <w:vAlign w:val="center"/>
            <w:hideMark/>
          </w:tcPr>
          <w:p w14:paraId="7398B663" w14:textId="12000486" w:rsidR="003C3451" w:rsidRPr="00072DB9" w:rsidRDefault="003C3451" w:rsidP="003C3451">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446</w:t>
            </w:r>
          </w:p>
        </w:tc>
        <w:tc>
          <w:tcPr>
            <w:tcW w:w="960" w:type="dxa"/>
            <w:tcBorders>
              <w:top w:val="nil"/>
              <w:left w:val="nil"/>
              <w:bottom w:val="single" w:sz="4" w:space="0" w:color="auto"/>
              <w:right w:val="nil"/>
            </w:tcBorders>
            <w:shd w:val="clear" w:color="000000" w:fill="FFFFFF"/>
            <w:noWrap/>
            <w:vAlign w:val="center"/>
            <w:hideMark/>
          </w:tcPr>
          <w:p w14:paraId="4499ECE4" w14:textId="748B9D3C" w:rsidR="003C3451" w:rsidRPr="00072DB9" w:rsidRDefault="003C3451" w:rsidP="003C3451">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4,41</w:t>
            </w:r>
          </w:p>
        </w:tc>
        <w:tc>
          <w:tcPr>
            <w:tcW w:w="242" w:type="dxa"/>
            <w:tcBorders>
              <w:top w:val="nil"/>
              <w:left w:val="nil"/>
              <w:right w:val="nil"/>
            </w:tcBorders>
            <w:vAlign w:val="bottom"/>
          </w:tcPr>
          <w:p w14:paraId="6021B7F9" w14:textId="6C6526D5" w:rsidR="003C3451" w:rsidRDefault="003C3451" w:rsidP="003C3451">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089BC0CC" w14:textId="453758AD"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3,1</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5A4016D1" w14:textId="14EDC48B"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793</w:t>
            </w:r>
          </w:p>
        </w:tc>
        <w:tc>
          <w:tcPr>
            <w:tcW w:w="774" w:type="dxa"/>
            <w:tcBorders>
              <w:top w:val="nil"/>
              <w:left w:val="single" w:sz="4" w:space="0" w:color="auto"/>
              <w:bottom w:val="single" w:sz="4" w:space="0" w:color="auto"/>
              <w:right w:val="nil"/>
            </w:tcBorders>
            <w:shd w:val="clear" w:color="000000" w:fill="FFFFFF"/>
            <w:vAlign w:val="center"/>
          </w:tcPr>
          <w:p w14:paraId="67B83F6B" w14:textId="2905E081" w:rsidR="003C3451" w:rsidRPr="00A06A94" w:rsidRDefault="003C3451" w:rsidP="003C3451">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4,42</w:t>
            </w:r>
          </w:p>
        </w:tc>
      </w:tr>
      <w:tr w:rsidR="003C3451" w:rsidRPr="00072DB9" w14:paraId="792A66B9" w14:textId="77777777" w:rsidTr="006E30DB">
        <w:trPr>
          <w:trHeight w:val="300"/>
        </w:trPr>
        <w:tc>
          <w:tcPr>
            <w:tcW w:w="3540" w:type="dxa"/>
            <w:tcBorders>
              <w:top w:val="nil"/>
              <w:left w:val="nil"/>
              <w:bottom w:val="nil"/>
              <w:right w:val="nil"/>
            </w:tcBorders>
            <w:shd w:val="clear" w:color="000000" w:fill="FFFFFF"/>
            <w:noWrap/>
            <w:vAlign w:val="bottom"/>
            <w:hideMark/>
          </w:tcPr>
          <w:p w14:paraId="36FC962B" w14:textId="77777777" w:rsidR="003C3451" w:rsidRDefault="003C3451" w:rsidP="006E30DB">
            <w:pPr>
              <w:overflowPunct/>
              <w:autoSpaceDE/>
              <w:autoSpaceDN/>
              <w:adjustRightInd/>
              <w:jc w:val="left"/>
              <w:textAlignment w:val="auto"/>
              <w:rPr>
                <w:rFonts w:ascii="Calibri Light" w:hAnsi="Calibri Light" w:cs="Calibri Light"/>
                <w:color w:val="13576B"/>
                <w:sz w:val="20"/>
              </w:rPr>
            </w:pPr>
            <w:r w:rsidRPr="00072DB9">
              <w:rPr>
                <w:rFonts w:ascii="Calibri Light" w:hAnsi="Calibri Light" w:cs="Calibri Light"/>
                <w:color w:val="13576B"/>
                <w:sz w:val="20"/>
              </w:rPr>
              <w:t xml:space="preserve">Pramen: ČBA </w:t>
            </w:r>
            <w:proofErr w:type="spellStart"/>
            <w:r w:rsidRPr="00072DB9">
              <w:rPr>
                <w:rFonts w:ascii="Calibri Light" w:hAnsi="Calibri Light" w:cs="Calibri Light"/>
                <w:color w:val="13576B"/>
                <w:sz w:val="20"/>
              </w:rPr>
              <w:t>Hypomonitor</w:t>
            </w:r>
            <w:proofErr w:type="spellEnd"/>
          </w:p>
          <w:p w14:paraId="1319B708" w14:textId="77777777" w:rsidR="003C3451" w:rsidRDefault="003C3451" w:rsidP="006E30DB">
            <w:pPr>
              <w:overflowPunct/>
              <w:autoSpaceDE/>
              <w:autoSpaceDN/>
              <w:adjustRightInd/>
              <w:jc w:val="left"/>
              <w:textAlignment w:val="auto"/>
              <w:rPr>
                <w:rFonts w:ascii="Calibri Light" w:hAnsi="Calibri Light" w:cs="Calibri Light"/>
                <w:color w:val="13576B"/>
                <w:sz w:val="20"/>
              </w:rPr>
            </w:pPr>
          </w:p>
          <w:p w14:paraId="0430176C" w14:textId="77777777" w:rsidR="003C3451" w:rsidRPr="00072DB9" w:rsidRDefault="003C3451" w:rsidP="006E30DB">
            <w:pPr>
              <w:overflowPunct/>
              <w:autoSpaceDE/>
              <w:autoSpaceDN/>
              <w:adjustRightInd/>
              <w:jc w:val="left"/>
              <w:textAlignment w:val="auto"/>
              <w:rPr>
                <w:rFonts w:ascii="Calibri Light" w:hAnsi="Calibri Light" w:cs="Calibri Light"/>
                <w:color w:val="13576B"/>
                <w:sz w:val="20"/>
              </w:rPr>
            </w:pPr>
          </w:p>
        </w:tc>
        <w:tc>
          <w:tcPr>
            <w:tcW w:w="1102" w:type="dxa"/>
            <w:tcBorders>
              <w:top w:val="nil"/>
              <w:left w:val="nil"/>
              <w:bottom w:val="nil"/>
              <w:right w:val="nil"/>
            </w:tcBorders>
            <w:shd w:val="clear" w:color="000000" w:fill="FFFFFF"/>
            <w:noWrap/>
            <w:vAlign w:val="bottom"/>
            <w:hideMark/>
          </w:tcPr>
          <w:p w14:paraId="43FF4906" w14:textId="77777777" w:rsidR="003C3451" w:rsidRPr="00072DB9" w:rsidRDefault="003C3451" w:rsidP="006E30DB">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33A14D43" w14:textId="77777777" w:rsidR="003C3451" w:rsidRPr="00072DB9" w:rsidRDefault="003C3451" w:rsidP="006E30DB">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4E1DD443" w14:textId="77777777" w:rsidR="003C3451" w:rsidRPr="00072DB9" w:rsidRDefault="003C3451" w:rsidP="006E30DB">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242" w:type="dxa"/>
            <w:tcBorders>
              <w:left w:val="nil"/>
              <w:bottom w:val="nil"/>
              <w:right w:val="nil"/>
            </w:tcBorders>
            <w:shd w:val="clear" w:color="000000" w:fill="FFFFFF"/>
          </w:tcPr>
          <w:p w14:paraId="6964EEC5" w14:textId="77777777" w:rsidR="003C3451" w:rsidRPr="00072DB9" w:rsidRDefault="003C3451" w:rsidP="006E30DB">
            <w:pPr>
              <w:overflowPunct/>
              <w:autoSpaceDE/>
              <w:autoSpaceDN/>
              <w:adjustRightInd/>
              <w:jc w:val="left"/>
              <w:textAlignment w:val="auto"/>
              <w:rPr>
                <w:rFonts w:ascii="Calibri Light" w:hAnsi="Calibri Light" w:cs="Calibri Light"/>
                <w:color w:val="000000"/>
                <w:sz w:val="22"/>
                <w:szCs w:val="22"/>
              </w:rPr>
            </w:pPr>
          </w:p>
        </w:tc>
        <w:tc>
          <w:tcPr>
            <w:tcW w:w="993" w:type="dxa"/>
            <w:tcBorders>
              <w:top w:val="nil"/>
              <w:left w:val="nil"/>
              <w:bottom w:val="nil"/>
              <w:right w:val="nil"/>
            </w:tcBorders>
            <w:shd w:val="clear" w:color="000000" w:fill="FFFFFF"/>
          </w:tcPr>
          <w:p w14:paraId="6028F300" w14:textId="77777777" w:rsidR="003C3451" w:rsidRPr="00072DB9" w:rsidRDefault="003C3451" w:rsidP="006E30DB">
            <w:pPr>
              <w:overflowPunct/>
              <w:autoSpaceDE/>
              <w:autoSpaceDN/>
              <w:adjustRightInd/>
              <w:jc w:val="left"/>
              <w:textAlignment w:val="auto"/>
              <w:rPr>
                <w:rFonts w:ascii="Calibri Light" w:hAnsi="Calibri Light" w:cs="Calibri Light"/>
                <w:color w:val="000000"/>
                <w:sz w:val="22"/>
                <w:szCs w:val="22"/>
              </w:rPr>
            </w:pPr>
          </w:p>
        </w:tc>
        <w:tc>
          <w:tcPr>
            <w:tcW w:w="992" w:type="dxa"/>
            <w:tcBorders>
              <w:top w:val="nil"/>
              <w:left w:val="nil"/>
              <w:bottom w:val="nil"/>
              <w:right w:val="nil"/>
            </w:tcBorders>
            <w:shd w:val="clear" w:color="000000" w:fill="FFFFFF"/>
          </w:tcPr>
          <w:p w14:paraId="1DFF355F" w14:textId="77777777" w:rsidR="003C3451" w:rsidRPr="00072DB9" w:rsidRDefault="003C3451" w:rsidP="006E30DB">
            <w:pPr>
              <w:overflowPunct/>
              <w:autoSpaceDE/>
              <w:autoSpaceDN/>
              <w:adjustRightInd/>
              <w:jc w:val="left"/>
              <w:textAlignment w:val="auto"/>
              <w:rPr>
                <w:rFonts w:ascii="Calibri Light" w:hAnsi="Calibri Light" w:cs="Calibri Light"/>
                <w:color w:val="000000"/>
                <w:sz w:val="22"/>
                <w:szCs w:val="22"/>
              </w:rPr>
            </w:pPr>
          </w:p>
        </w:tc>
        <w:tc>
          <w:tcPr>
            <w:tcW w:w="774" w:type="dxa"/>
            <w:tcBorders>
              <w:top w:val="nil"/>
              <w:left w:val="nil"/>
              <w:bottom w:val="nil"/>
              <w:right w:val="nil"/>
            </w:tcBorders>
            <w:shd w:val="clear" w:color="000000" w:fill="FFFFFF"/>
          </w:tcPr>
          <w:p w14:paraId="62AF4657" w14:textId="77777777" w:rsidR="003C3451" w:rsidRPr="00072DB9" w:rsidRDefault="003C3451" w:rsidP="006E30DB">
            <w:pPr>
              <w:overflowPunct/>
              <w:autoSpaceDE/>
              <w:autoSpaceDN/>
              <w:adjustRightInd/>
              <w:jc w:val="left"/>
              <w:textAlignment w:val="auto"/>
              <w:rPr>
                <w:rFonts w:ascii="Calibri Light" w:hAnsi="Calibri Light" w:cs="Calibri Light"/>
                <w:color w:val="000000"/>
                <w:sz w:val="22"/>
                <w:szCs w:val="22"/>
              </w:rPr>
            </w:pPr>
          </w:p>
        </w:tc>
      </w:tr>
    </w:tbl>
    <w:p w14:paraId="7749A713" w14:textId="77777777" w:rsidR="003C3451" w:rsidRDefault="003C3451" w:rsidP="0009562F">
      <w:pPr>
        <w:overflowPunct/>
        <w:autoSpaceDE/>
        <w:autoSpaceDN/>
        <w:adjustRightInd/>
        <w:spacing w:before="120" w:after="120"/>
        <w:textAlignment w:val="auto"/>
        <w:rPr>
          <w:rFonts w:ascii="Calibri" w:hAnsi="Calibri" w:cs="Calibri"/>
          <w:b/>
          <w:color w:val="13576B"/>
          <w:sz w:val="23"/>
          <w:szCs w:val="23"/>
        </w:rPr>
      </w:pPr>
    </w:p>
    <w:p w14:paraId="0890E395" w14:textId="77777777" w:rsidR="003C3451" w:rsidRPr="002B35B7" w:rsidRDefault="003C3451" w:rsidP="0009562F">
      <w:pPr>
        <w:overflowPunct/>
        <w:autoSpaceDE/>
        <w:autoSpaceDN/>
        <w:adjustRightInd/>
        <w:spacing w:before="120" w:after="120"/>
        <w:textAlignment w:val="auto"/>
        <w:rPr>
          <w:rFonts w:ascii="Calibri" w:hAnsi="Calibri" w:cs="Calibri"/>
          <w:b/>
          <w:color w:val="13576B"/>
          <w:sz w:val="23"/>
          <w:szCs w:val="23"/>
        </w:rPr>
      </w:pPr>
    </w:p>
    <w:p w14:paraId="0A5C07AA" w14:textId="2964EE01" w:rsidR="006A4CF3" w:rsidRPr="003C3451" w:rsidRDefault="00D16FB5" w:rsidP="006A4CF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i/>
          <w:iCs/>
          <w:color w:val="000000" w:themeColor="text1"/>
          <w:sz w:val="22"/>
          <w:szCs w:val="22"/>
        </w:rPr>
      </w:pPr>
      <w:bookmarkStart w:id="3" w:name="_Hlk111121228"/>
      <w:bookmarkStart w:id="4" w:name="_Hlk119308742"/>
      <w:r w:rsidRPr="0026268C">
        <w:rPr>
          <w:rFonts w:ascii="Calibri" w:hAnsi="Calibri" w:cs="Calibri"/>
          <w:i/>
          <w:iCs/>
          <w:color w:val="000000" w:themeColor="text1"/>
          <w:sz w:val="22"/>
          <w:szCs w:val="22"/>
        </w:rPr>
        <w:t>„</w:t>
      </w:r>
      <w:r w:rsidR="003C3451">
        <w:rPr>
          <w:rFonts w:ascii="Calibri" w:hAnsi="Calibri" w:cs="Calibri"/>
          <w:i/>
          <w:iCs/>
          <w:color w:val="000000" w:themeColor="text1"/>
          <w:sz w:val="22"/>
          <w:szCs w:val="22"/>
        </w:rPr>
        <w:t xml:space="preserve">Únor se s téměř 34 miliardovým sezónně očištěným objemem </w:t>
      </w:r>
      <w:r w:rsidR="005F4D52" w:rsidRPr="0026268C">
        <w:rPr>
          <w:rFonts w:ascii="Calibri" w:hAnsi="Calibri" w:cs="Calibri"/>
          <w:i/>
          <w:iCs/>
          <w:color w:val="000000" w:themeColor="text1"/>
          <w:sz w:val="22"/>
          <w:szCs w:val="22"/>
        </w:rPr>
        <w:t>nov</w:t>
      </w:r>
      <w:r w:rsidR="003C3451">
        <w:rPr>
          <w:rFonts w:ascii="Calibri" w:hAnsi="Calibri" w:cs="Calibri"/>
          <w:i/>
          <w:iCs/>
          <w:color w:val="000000" w:themeColor="text1"/>
          <w:sz w:val="22"/>
          <w:szCs w:val="22"/>
        </w:rPr>
        <w:t xml:space="preserve">ě poskytnutých zařadil mezi pět nejsilnějších měsíců, a to i kvůli dalšímu navýšení její průměrné výše na více než 4,6 miliónu, ale i díky </w:t>
      </w:r>
      <w:r w:rsidR="008E2213">
        <w:rPr>
          <w:rFonts w:ascii="Calibri" w:hAnsi="Calibri" w:cs="Calibri"/>
          <w:i/>
          <w:iCs/>
          <w:color w:val="000000" w:themeColor="text1"/>
          <w:sz w:val="22"/>
          <w:szCs w:val="22"/>
        </w:rPr>
        <w:t>silnému</w:t>
      </w:r>
      <w:r w:rsidR="003C3451">
        <w:rPr>
          <w:rFonts w:ascii="Calibri" w:hAnsi="Calibri" w:cs="Calibri"/>
          <w:i/>
          <w:iCs/>
          <w:color w:val="000000" w:themeColor="text1"/>
          <w:sz w:val="22"/>
          <w:szCs w:val="22"/>
        </w:rPr>
        <w:t xml:space="preserve"> počtu nových hypoték, které se ovšem </w:t>
      </w:r>
      <w:r w:rsidR="008E2213">
        <w:rPr>
          <w:rFonts w:ascii="Calibri" w:hAnsi="Calibri" w:cs="Calibri"/>
          <w:i/>
          <w:iCs/>
          <w:color w:val="000000" w:themeColor="text1"/>
          <w:sz w:val="22"/>
          <w:szCs w:val="22"/>
        </w:rPr>
        <w:t>drží spíše okolo minim z roku 2018</w:t>
      </w:r>
      <w:r w:rsidR="007C1E59" w:rsidRPr="0026268C">
        <w:rPr>
          <w:rFonts w:ascii="Calibri" w:hAnsi="Calibri" w:cs="Calibri"/>
          <w:i/>
          <w:iCs/>
          <w:color w:val="000000" w:themeColor="text1"/>
          <w:sz w:val="22"/>
          <w:szCs w:val="22"/>
        </w:rPr>
        <w:t>,</w:t>
      </w:r>
      <w:r w:rsidRPr="0026268C">
        <w:rPr>
          <w:rFonts w:ascii="Calibri" w:hAnsi="Calibri" w:cs="Calibri"/>
          <w:i/>
          <w:iCs/>
          <w:color w:val="000000" w:themeColor="text1"/>
          <w:sz w:val="22"/>
          <w:szCs w:val="22"/>
        </w:rPr>
        <w:t>“</w:t>
      </w:r>
      <w:r w:rsidR="006A4CF3" w:rsidRPr="0026268C">
        <w:rPr>
          <w:rFonts w:ascii="Calibri" w:hAnsi="Calibri" w:cs="Calibri"/>
          <w:i/>
          <w:iCs/>
          <w:color w:val="000000" w:themeColor="text1"/>
          <w:sz w:val="22"/>
          <w:szCs w:val="22"/>
        </w:rPr>
        <w:t xml:space="preserve"> </w:t>
      </w:r>
      <w:r w:rsidR="008E2213">
        <w:rPr>
          <w:rFonts w:ascii="Calibri" w:hAnsi="Calibri" w:cs="Calibri"/>
          <w:sz w:val="22"/>
          <w:szCs w:val="22"/>
        </w:rPr>
        <w:t>poodkrývá</w:t>
      </w:r>
      <w:r w:rsidR="006A4CF3" w:rsidRPr="00882EFB">
        <w:rPr>
          <w:rFonts w:ascii="Calibri" w:hAnsi="Calibri" w:cs="Calibri"/>
          <w:sz w:val="22"/>
          <w:szCs w:val="22"/>
        </w:rPr>
        <w:t xml:space="preserve"> </w:t>
      </w:r>
      <w:r w:rsidR="006A4CF3">
        <w:rPr>
          <w:rFonts w:ascii="Calibri" w:hAnsi="Calibri" w:cs="Calibri"/>
          <w:b/>
          <w:bCs/>
          <w:sz w:val="22"/>
          <w:szCs w:val="22"/>
        </w:rPr>
        <w:t xml:space="preserve">Jaromír Šindel, hlavní ekonom České bankovní asociace. </w:t>
      </w:r>
    </w:p>
    <w:p w14:paraId="5C0445D2" w14:textId="77777777" w:rsidR="00D17F2A" w:rsidRDefault="00D17F2A" w:rsidP="007E1421">
      <w:pPr>
        <w:rPr>
          <w:rFonts w:ascii="Calibri" w:hAnsi="Calibri" w:cs="Calibri"/>
          <w:b/>
          <w:color w:val="13576B"/>
          <w:sz w:val="23"/>
          <w:szCs w:val="23"/>
        </w:rPr>
      </w:pPr>
    </w:p>
    <w:p w14:paraId="6FE7B78E" w14:textId="77777777" w:rsidR="00D17F2A" w:rsidRDefault="00D17F2A" w:rsidP="007E1421">
      <w:pPr>
        <w:rPr>
          <w:rFonts w:ascii="Calibri" w:hAnsi="Calibri" w:cs="Calibri"/>
          <w:b/>
          <w:color w:val="13576B"/>
          <w:sz w:val="23"/>
          <w:szCs w:val="23"/>
        </w:rPr>
      </w:pPr>
    </w:p>
    <w:p w14:paraId="01CE7831" w14:textId="77777777" w:rsidR="00D17F2A" w:rsidRDefault="00D17F2A" w:rsidP="007E1421">
      <w:pPr>
        <w:rPr>
          <w:rFonts w:ascii="Calibri" w:hAnsi="Calibri" w:cs="Calibri"/>
          <w:b/>
          <w:color w:val="13576B"/>
          <w:sz w:val="23"/>
          <w:szCs w:val="23"/>
        </w:rPr>
      </w:pPr>
    </w:p>
    <w:p w14:paraId="6B7D1662" w14:textId="769BA1A1" w:rsidR="00677FE7" w:rsidRDefault="00990104" w:rsidP="007E1421">
      <w:pPr>
        <w:rPr>
          <w:rFonts w:ascii="Calibri" w:hAnsi="Calibri" w:cs="Calibri"/>
          <w:b/>
          <w:color w:val="13576B"/>
          <w:sz w:val="23"/>
          <w:szCs w:val="23"/>
        </w:rPr>
      </w:pPr>
      <w:r>
        <w:rPr>
          <w:rFonts w:ascii="Calibri" w:hAnsi="Calibri" w:cs="Calibri"/>
          <w:b/>
          <w:noProof/>
          <w:color w:val="13576B"/>
          <w:sz w:val="23"/>
          <w:szCs w:val="23"/>
        </w:rPr>
        <w:drawing>
          <wp:inline distT="0" distB="0" distL="0" distR="0" wp14:anchorId="1746CA4F" wp14:editId="2854AAA2">
            <wp:extent cx="6375566" cy="5202803"/>
            <wp:effectExtent l="0" t="0" r="6350" b="0"/>
            <wp:docPr id="11070264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4619" cy="5234673"/>
                    </a:xfrm>
                    <a:prstGeom prst="rect">
                      <a:avLst/>
                    </a:prstGeom>
                    <a:noFill/>
                  </pic:spPr>
                </pic:pic>
              </a:graphicData>
            </a:graphic>
          </wp:inline>
        </w:drawing>
      </w:r>
    </w:p>
    <w:p w14:paraId="38EAB26B" w14:textId="005DBD00" w:rsidR="0026268C" w:rsidRDefault="0026268C" w:rsidP="007E1421">
      <w:pPr>
        <w:rPr>
          <w:rFonts w:ascii="Calibri" w:hAnsi="Calibri" w:cs="Calibri"/>
          <w:b/>
          <w:color w:val="13576B"/>
          <w:sz w:val="23"/>
          <w:szCs w:val="23"/>
        </w:rPr>
      </w:pPr>
    </w:p>
    <w:p w14:paraId="6C652A9F" w14:textId="77777777" w:rsidR="007E1421" w:rsidRDefault="00E16BD3" w:rsidP="007E1421">
      <w:pPr>
        <w:overflowPunct/>
        <w:autoSpaceDE/>
        <w:autoSpaceDN/>
        <w:adjustRightInd/>
        <w:spacing w:after="120"/>
        <w:jc w:val="left"/>
        <w:textAlignment w:val="auto"/>
        <w:rPr>
          <w:rFonts w:ascii="Calibri Light" w:hAnsi="Calibri Light" w:cs="Calibri Light"/>
          <w:color w:val="13576B"/>
          <w:sz w:val="20"/>
        </w:rPr>
      </w:pPr>
      <w:r w:rsidRPr="00E16BD3">
        <w:rPr>
          <w:rFonts w:ascii="Calibri Light" w:hAnsi="Calibri Light" w:cs="Calibri Light"/>
          <w:color w:val="13576B"/>
          <w:sz w:val="20"/>
        </w:rPr>
        <w:t>Poznámka: výhled do konce roku je momentový – vychází z aktuálního trendu, nikoli z modelové predikce.</w:t>
      </w:r>
    </w:p>
    <w:p w14:paraId="268C0530" w14:textId="5F5F969F" w:rsidR="00105BE4" w:rsidRDefault="00990104" w:rsidP="00E16BD3">
      <w:pPr>
        <w:overflowPunct/>
        <w:autoSpaceDE/>
        <w:autoSpaceDN/>
        <w:adjustRightInd/>
        <w:jc w:val="left"/>
        <w:textAlignment w:val="auto"/>
        <w:rPr>
          <w:rFonts w:ascii="Calibri Light" w:hAnsi="Calibri Light" w:cs="Calibri Light"/>
          <w:color w:val="13576B"/>
          <w:sz w:val="20"/>
        </w:rPr>
      </w:pPr>
      <w:r>
        <w:rPr>
          <w:rFonts w:ascii="Calibri Light" w:hAnsi="Calibri Light" w:cs="Calibri Light"/>
          <w:noProof/>
          <w:color w:val="13576B"/>
          <w:sz w:val="20"/>
        </w:rPr>
        <w:lastRenderedPageBreak/>
        <w:drawing>
          <wp:inline distT="0" distB="0" distL="0" distR="0" wp14:anchorId="794615AA" wp14:editId="6644D180">
            <wp:extent cx="6303974" cy="5018598"/>
            <wp:effectExtent l="0" t="0" r="1905" b="0"/>
            <wp:docPr id="12046286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14993" cy="5027370"/>
                    </a:xfrm>
                    <a:prstGeom prst="rect">
                      <a:avLst/>
                    </a:prstGeom>
                    <a:noFill/>
                  </pic:spPr>
                </pic:pic>
              </a:graphicData>
            </a:graphic>
          </wp:inline>
        </w:drawing>
      </w:r>
    </w:p>
    <w:p w14:paraId="41A1A67D" w14:textId="77777777" w:rsidR="00990104" w:rsidRPr="00990104" w:rsidRDefault="00990104" w:rsidP="00990104">
      <w:pPr>
        <w:overflowPunct/>
        <w:autoSpaceDE/>
        <w:autoSpaceDN/>
        <w:adjustRightInd/>
        <w:spacing w:after="120"/>
        <w:jc w:val="left"/>
        <w:textAlignment w:val="auto"/>
        <w:rPr>
          <w:rFonts w:ascii="Calibri Light" w:hAnsi="Calibri Light" w:cs="Calibri Light"/>
          <w:color w:val="13576B"/>
          <w:sz w:val="20"/>
        </w:rPr>
      </w:pPr>
      <w:proofErr w:type="spellStart"/>
      <w:r w:rsidRPr="00990104">
        <w:rPr>
          <w:rFonts w:ascii="Calibri Light" w:hAnsi="Calibri Light" w:cs="Calibri Light"/>
          <w:color w:val="13576B"/>
          <w:sz w:val="20"/>
        </w:rPr>
        <w:t>Note</w:t>
      </w:r>
      <w:proofErr w:type="spellEnd"/>
      <w:r w:rsidRPr="00990104">
        <w:rPr>
          <w:rFonts w:ascii="Calibri Light" w:hAnsi="Calibri Light" w:cs="Calibri Light"/>
          <w:color w:val="13576B"/>
          <w:sz w:val="20"/>
        </w:rPr>
        <w:t xml:space="preserve">: </w:t>
      </w:r>
      <w:proofErr w:type="spellStart"/>
      <w:r w:rsidRPr="00990104">
        <w:rPr>
          <w:rFonts w:ascii="Calibri Light" w:hAnsi="Calibri Light" w:cs="Calibri Light"/>
          <w:color w:val="13576B"/>
          <w:sz w:val="20"/>
        </w:rPr>
        <w:t>the</w:t>
      </w:r>
      <w:proofErr w:type="spellEnd"/>
      <w:r w:rsidRPr="00990104">
        <w:rPr>
          <w:rFonts w:ascii="Calibri Light" w:hAnsi="Calibri Light" w:cs="Calibri Light"/>
          <w:color w:val="13576B"/>
          <w:sz w:val="20"/>
        </w:rPr>
        <w:t xml:space="preserve"> </w:t>
      </w:r>
      <w:proofErr w:type="spellStart"/>
      <w:r w:rsidRPr="00990104">
        <w:rPr>
          <w:rFonts w:ascii="Calibri Light" w:hAnsi="Calibri Light" w:cs="Calibri Light"/>
          <w:color w:val="13576B"/>
          <w:sz w:val="20"/>
        </w:rPr>
        <w:t>year</w:t>
      </w:r>
      <w:proofErr w:type="spellEnd"/>
      <w:r w:rsidRPr="00990104">
        <w:rPr>
          <w:rFonts w:ascii="Calibri Light" w:hAnsi="Calibri Light" w:cs="Calibri Light"/>
          <w:color w:val="13576B"/>
          <w:sz w:val="20"/>
        </w:rPr>
        <w:t xml:space="preserve">-end </w:t>
      </w:r>
      <w:proofErr w:type="spellStart"/>
      <w:r w:rsidRPr="00990104">
        <w:rPr>
          <w:rFonts w:ascii="Calibri Light" w:hAnsi="Calibri Light" w:cs="Calibri Light"/>
          <w:color w:val="13576B"/>
          <w:sz w:val="20"/>
        </w:rPr>
        <w:t>outlook</w:t>
      </w:r>
      <w:proofErr w:type="spellEnd"/>
      <w:r w:rsidRPr="00990104">
        <w:rPr>
          <w:rFonts w:ascii="Calibri Light" w:hAnsi="Calibri Light" w:cs="Calibri Light"/>
          <w:color w:val="13576B"/>
          <w:sz w:val="20"/>
        </w:rPr>
        <w:t xml:space="preserve"> </w:t>
      </w:r>
      <w:proofErr w:type="spellStart"/>
      <w:r w:rsidRPr="00990104">
        <w:rPr>
          <w:rFonts w:ascii="Calibri Light" w:hAnsi="Calibri Light" w:cs="Calibri Light"/>
          <w:color w:val="13576B"/>
          <w:sz w:val="20"/>
        </w:rPr>
        <w:t>is</w:t>
      </w:r>
      <w:proofErr w:type="spellEnd"/>
      <w:r w:rsidRPr="00990104">
        <w:rPr>
          <w:rFonts w:ascii="Calibri Light" w:hAnsi="Calibri Light" w:cs="Calibri Light"/>
          <w:color w:val="13576B"/>
          <w:sz w:val="20"/>
        </w:rPr>
        <w:t xml:space="preserve"> </w:t>
      </w:r>
      <w:proofErr w:type="spellStart"/>
      <w:r w:rsidRPr="00990104">
        <w:rPr>
          <w:rFonts w:ascii="Calibri Light" w:hAnsi="Calibri Light" w:cs="Calibri Light"/>
          <w:color w:val="13576B"/>
          <w:sz w:val="20"/>
        </w:rPr>
        <w:t>momentum-based</w:t>
      </w:r>
      <w:proofErr w:type="spellEnd"/>
      <w:r w:rsidRPr="00990104">
        <w:rPr>
          <w:rFonts w:ascii="Calibri Light" w:hAnsi="Calibri Light" w:cs="Calibri Light"/>
          <w:color w:val="13576B"/>
          <w:sz w:val="20"/>
        </w:rPr>
        <w:t xml:space="preserve"> – </w:t>
      </w:r>
      <w:proofErr w:type="spellStart"/>
      <w:r w:rsidRPr="00990104">
        <w:rPr>
          <w:rFonts w:ascii="Calibri Light" w:hAnsi="Calibri Light" w:cs="Calibri Light"/>
          <w:color w:val="13576B"/>
          <w:sz w:val="20"/>
        </w:rPr>
        <w:t>it</w:t>
      </w:r>
      <w:proofErr w:type="spellEnd"/>
      <w:r w:rsidRPr="00990104">
        <w:rPr>
          <w:rFonts w:ascii="Calibri Light" w:hAnsi="Calibri Light" w:cs="Calibri Light"/>
          <w:color w:val="13576B"/>
          <w:sz w:val="20"/>
        </w:rPr>
        <w:t xml:space="preserve"> </w:t>
      </w:r>
      <w:proofErr w:type="spellStart"/>
      <w:r w:rsidRPr="00990104">
        <w:rPr>
          <w:rFonts w:ascii="Calibri Light" w:hAnsi="Calibri Light" w:cs="Calibri Light"/>
          <w:color w:val="13576B"/>
          <w:sz w:val="20"/>
        </w:rPr>
        <w:t>reflects</w:t>
      </w:r>
      <w:proofErr w:type="spellEnd"/>
      <w:r w:rsidRPr="00990104">
        <w:rPr>
          <w:rFonts w:ascii="Calibri Light" w:hAnsi="Calibri Light" w:cs="Calibri Light"/>
          <w:color w:val="13576B"/>
          <w:sz w:val="20"/>
        </w:rPr>
        <w:t xml:space="preserve"> </w:t>
      </w:r>
      <w:proofErr w:type="spellStart"/>
      <w:r w:rsidRPr="00990104">
        <w:rPr>
          <w:rFonts w:ascii="Calibri Light" w:hAnsi="Calibri Light" w:cs="Calibri Light"/>
          <w:color w:val="13576B"/>
          <w:sz w:val="20"/>
        </w:rPr>
        <w:t>the</w:t>
      </w:r>
      <w:proofErr w:type="spellEnd"/>
      <w:r w:rsidRPr="00990104">
        <w:rPr>
          <w:rFonts w:ascii="Calibri Light" w:hAnsi="Calibri Light" w:cs="Calibri Light"/>
          <w:color w:val="13576B"/>
          <w:sz w:val="20"/>
        </w:rPr>
        <w:t xml:space="preserve"> </w:t>
      </w:r>
      <w:proofErr w:type="spellStart"/>
      <w:r w:rsidRPr="00990104">
        <w:rPr>
          <w:rFonts w:ascii="Calibri Light" w:hAnsi="Calibri Light" w:cs="Calibri Light"/>
          <w:color w:val="13576B"/>
          <w:sz w:val="20"/>
        </w:rPr>
        <w:t>current</w:t>
      </w:r>
      <w:proofErr w:type="spellEnd"/>
      <w:r w:rsidRPr="00990104">
        <w:rPr>
          <w:rFonts w:ascii="Calibri Light" w:hAnsi="Calibri Light" w:cs="Calibri Light"/>
          <w:color w:val="13576B"/>
          <w:sz w:val="20"/>
        </w:rPr>
        <w:t xml:space="preserve"> trend, not a model </w:t>
      </w:r>
      <w:proofErr w:type="spellStart"/>
      <w:r w:rsidRPr="00990104">
        <w:rPr>
          <w:rFonts w:ascii="Calibri Light" w:hAnsi="Calibri Light" w:cs="Calibri Light"/>
          <w:color w:val="13576B"/>
          <w:sz w:val="20"/>
        </w:rPr>
        <w:t>forecast</w:t>
      </w:r>
      <w:proofErr w:type="spellEnd"/>
      <w:r w:rsidRPr="00990104">
        <w:rPr>
          <w:rFonts w:ascii="Calibri Light" w:hAnsi="Calibri Light" w:cs="Calibri Light"/>
          <w:color w:val="13576B"/>
          <w:sz w:val="20"/>
        </w:rPr>
        <w:t>.</w:t>
      </w:r>
    </w:p>
    <w:p w14:paraId="42166733" w14:textId="77777777" w:rsidR="00990104" w:rsidRDefault="00990104" w:rsidP="00E16BD3">
      <w:pPr>
        <w:overflowPunct/>
        <w:autoSpaceDE/>
        <w:autoSpaceDN/>
        <w:adjustRightInd/>
        <w:jc w:val="left"/>
        <w:textAlignment w:val="auto"/>
        <w:rPr>
          <w:rFonts w:ascii="Calibri Light" w:hAnsi="Calibri Light" w:cs="Calibri Light"/>
          <w:color w:val="13576B"/>
          <w:sz w:val="20"/>
        </w:rPr>
      </w:pPr>
    </w:p>
    <w:p w14:paraId="21CC1CDE" w14:textId="725F1F41" w:rsidR="0026268C" w:rsidRDefault="008E2213" w:rsidP="00E16BD3">
      <w:pPr>
        <w:overflowPunct/>
        <w:autoSpaceDE/>
        <w:autoSpaceDN/>
        <w:adjustRightInd/>
        <w:jc w:val="left"/>
        <w:textAlignment w:val="auto"/>
        <w:rPr>
          <w:rFonts w:ascii="Calibri Light" w:hAnsi="Calibri Light" w:cs="Calibri Light"/>
          <w:color w:val="13576B"/>
          <w:sz w:val="20"/>
        </w:rPr>
      </w:pPr>
      <w:r w:rsidRPr="008E2213">
        <w:lastRenderedPageBreak/>
        <w:drawing>
          <wp:inline distT="0" distB="0" distL="0" distR="0" wp14:anchorId="0F7C74CD" wp14:editId="178C09C2">
            <wp:extent cx="5732780" cy="3601720"/>
            <wp:effectExtent l="0" t="0" r="1270" b="0"/>
            <wp:docPr id="1683909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780" cy="3601720"/>
                    </a:xfrm>
                    <a:prstGeom prst="rect">
                      <a:avLst/>
                    </a:prstGeom>
                    <a:noFill/>
                    <a:ln>
                      <a:noFill/>
                    </a:ln>
                  </pic:spPr>
                </pic:pic>
              </a:graphicData>
            </a:graphic>
          </wp:inline>
        </w:drawing>
      </w:r>
    </w:p>
    <w:p w14:paraId="7A2062E5" w14:textId="77777777" w:rsidR="008E2213" w:rsidRDefault="008E2213" w:rsidP="00E16BD3">
      <w:pPr>
        <w:overflowPunct/>
        <w:autoSpaceDE/>
        <w:autoSpaceDN/>
        <w:adjustRightInd/>
        <w:jc w:val="left"/>
        <w:textAlignment w:val="auto"/>
        <w:rPr>
          <w:rFonts w:ascii="Calibri Light" w:hAnsi="Calibri Light" w:cs="Calibri Light"/>
          <w:color w:val="13576B"/>
          <w:sz w:val="20"/>
        </w:rPr>
      </w:pPr>
    </w:p>
    <w:p w14:paraId="050EFBAE" w14:textId="163611D7" w:rsidR="008E2213" w:rsidRDefault="008E2213" w:rsidP="00E16BD3">
      <w:pPr>
        <w:overflowPunct/>
        <w:autoSpaceDE/>
        <w:autoSpaceDN/>
        <w:adjustRightInd/>
        <w:jc w:val="left"/>
        <w:textAlignment w:val="auto"/>
        <w:rPr>
          <w:rFonts w:ascii="Calibri Light" w:hAnsi="Calibri Light" w:cs="Calibri Light"/>
          <w:color w:val="13576B"/>
          <w:sz w:val="20"/>
        </w:rPr>
      </w:pPr>
      <w:r w:rsidRPr="008E2213">
        <w:drawing>
          <wp:inline distT="0" distB="0" distL="0" distR="0" wp14:anchorId="0DD7F620" wp14:editId="22363FB0">
            <wp:extent cx="5732780" cy="3601720"/>
            <wp:effectExtent l="0" t="0" r="1270" b="0"/>
            <wp:docPr id="14539195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2780" cy="3601720"/>
                    </a:xfrm>
                    <a:prstGeom prst="rect">
                      <a:avLst/>
                    </a:prstGeom>
                    <a:noFill/>
                    <a:ln>
                      <a:noFill/>
                    </a:ln>
                  </pic:spPr>
                </pic:pic>
              </a:graphicData>
            </a:graphic>
          </wp:inline>
        </w:drawing>
      </w:r>
    </w:p>
    <w:p w14:paraId="03D353B9" w14:textId="77777777" w:rsidR="008E2213" w:rsidRPr="00E16BD3" w:rsidRDefault="008E2213" w:rsidP="00E16BD3">
      <w:pPr>
        <w:overflowPunct/>
        <w:autoSpaceDE/>
        <w:autoSpaceDN/>
        <w:adjustRightInd/>
        <w:jc w:val="left"/>
        <w:textAlignment w:val="auto"/>
        <w:rPr>
          <w:rFonts w:ascii="Calibri Light" w:hAnsi="Calibri Light" w:cs="Calibri Light"/>
          <w:color w:val="13576B"/>
          <w:sz w:val="20"/>
        </w:rPr>
      </w:pPr>
    </w:p>
    <w:p w14:paraId="7F5074D4" w14:textId="77777777" w:rsidR="003C392F" w:rsidRDefault="003C392F" w:rsidP="0009562F">
      <w:pPr>
        <w:overflowPunct/>
        <w:autoSpaceDE/>
        <w:autoSpaceDN/>
        <w:adjustRightInd/>
        <w:textAlignment w:val="auto"/>
        <w:rPr>
          <w:rFonts w:ascii="Calibri" w:hAnsi="Calibri" w:cs="Calibri"/>
          <w:b/>
          <w:color w:val="13576B"/>
          <w:sz w:val="23"/>
          <w:szCs w:val="23"/>
        </w:rPr>
      </w:pPr>
    </w:p>
    <w:p w14:paraId="12923750" w14:textId="77777777" w:rsidR="00990104" w:rsidRDefault="00990104" w:rsidP="0009562F">
      <w:pPr>
        <w:overflowPunct/>
        <w:autoSpaceDE/>
        <w:autoSpaceDN/>
        <w:adjustRightInd/>
        <w:textAlignment w:val="auto"/>
        <w:rPr>
          <w:rFonts w:ascii="Calibri" w:hAnsi="Calibri" w:cs="Calibri"/>
          <w:b/>
          <w:color w:val="13576B"/>
          <w:sz w:val="23"/>
          <w:szCs w:val="23"/>
        </w:rPr>
      </w:pPr>
    </w:p>
    <w:p w14:paraId="2EC9B17C" w14:textId="77777777" w:rsidR="00990104" w:rsidRDefault="00990104" w:rsidP="0009562F">
      <w:pPr>
        <w:overflowPunct/>
        <w:autoSpaceDE/>
        <w:autoSpaceDN/>
        <w:adjustRightInd/>
        <w:textAlignment w:val="auto"/>
        <w:rPr>
          <w:rFonts w:ascii="Calibri" w:hAnsi="Calibri" w:cs="Calibri"/>
          <w:b/>
          <w:color w:val="13576B"/>
          <w:sz w:val="23"/>
          <w:szCs w:val="23"/>
        </w:rPr>
      </w:pPr>
    </w:p>
    <w:p w14:paraId="656E850E" w14:textId="0E60B342" w:rsidR="0009562F" w:rsidRDefault="00990104" w:rsidP="0009562F">
      <w:pPr>
        <w:overflowPunct/>
        <w:autoSpaceDE/>
        <w:autoSpaceDN/>
        <w:adjustRightInd/>
        <w:textAlignment w:val="auto"/>
        <w:rPr>
          <w:rFonts w:ascii="Calibri" w:hAnsi="Calibri" w:cs="Calibri"/>
          <w:b/>
          <w:color w:val="13576B"/>
          <w:sz w:val="23"/>
          <w:szCs w:val="23"/>
        </w:rPr>
      </w:pPr>
      <w:r>
        <w:rPr>
          <w:rFonts w:ascii="Calibri" w:hAnsi="Calibri" w:cs="Calibri"/>
          <w:b/>
          <w:color w:val="13576B"/>
          <w:sz w:val="23"/>
          <w:szCs w:val="23"/>
        </w:rPr>
        <w:lastRenderedPageBreak/>
        <w:t xml:space="preserve">Únor zůstal na pravděpodobně dočasně silných </w:t>
      </w:r>
      <w:r w:rsidR="00D1522E">
        <w:rPr>
          <w:rFonts w:ascii="Calibri" w:hAnsi="Calibri" w:cs="Calibri"/>
          <w:b/>
          <w:color w:val="13576B"/>
          <w:sz w:val="23"/>
          <w:szCs w:val="23"/>
        </w:rPr>
        <w:t>sezónn</w:t>
      </w:r>
      <w:r>
        <w:rPr>
          <w:rFonts w:ascii="Calibri" w:hAnsi="Calibri" w:cs="Calibri"/>
          <w:b/>
          <w:color w:val="13576B"/>
          <w:sz w:val="23"/>
          <w:szCs w:val="23"/>
        </w:rPr>
        <w:t>ě</w:t>
      </w:r>
      <w:r w:rsidR="00D1522E">
        <w:rPr>
          <w:rFonts w:ascii="Calibri" w:hAnsi="Calibri" w:cs="Calibri"/>
          <w:b/>
          <w:color w:val="13576B"/>
          <w:sz w:val="23"/>
          <w:szCs w:val="23"/>
        </w:rPr>
        <w:t xml:space="preserve"> očištěn</w:t>
      </w:r>
      <w:r>
        <w:rPr>
          <w:rFonts w:ascii="Calibri" w:hAnsi="Calibri" w:cs="Calibri"/>
          <w:b/>
          <w:color w:val="13576B"/>
          <w:sz w:val="23"/>
          <w:szCs w:val="23"/>
        </w:rPr>
        <w:t>ých úrovních</w:t>
      </w:r>
    </w:p>
    <w:p w14:paraId="0EEDAD3F" w14:textId="77777777" w:rsidR="00D1522E" w:rsidRPr="00FC623B" w:rsidRDefault="00D1522E" w:rsidP="00D1522E">
      <w:pPr>
        <w:overflowPunct/>
        <w:autoSpaceDE/>
        <w:autoSpaceDN/>
        <w:adjustRightInd/>
        <w:textAlignment w:val="auto"/>
        <w:rPr>
          <w:rFonts w:ascii="Calibri" w:hAnsi="Calibri" w:cs="Calibri"/>
          <w:color w:val="000000"/>
          <w:sz w:val="22"/>
          <w:szCs w:val="22"/>
        </w:rPr>
      </w:pPr>
    </w:p>
    <w:p w14:paraId="4F1C05D4" w14:textId="0746D3BA" w:rsidR="00D1522E" w:rsidRPr="004E3F0C" w:rsidRDefault="00D1522E" w:rsidP="00D1522E">
      <w:pPr>
        <w:pBdr>
          <w:top w:val="single" w:sz="4" w:space="1" w:color="auto"/>
          <w:left w:val="single" w:sz="4" w:space="4" w:color="auto"/>
          <w:bottom w:val="single" w:sz="4" w:space="1" w:color="auto"/>
          <w:right w:val="single" w:sz="4" w:space="4" w:color="auto"/>
          <w:between w:val="single" w:sz="4" w:space="1" w:color="auto"/>
          <w:bar w:val="single" w:sz="4" w:color="auto"/>
        </w:pBdr>
        <w:rPr>
          <w:b/>
          <w:bCs/>
          <w:color w:val="000000" w:themeColor="text1"/>
        </w:rPr>
      </w:pPr>
      <w:r w:rsidRPr="006337E7">
        <w:rPr>
          <w:rFonts w:ascii="Calibri" w:hAnsi="Calibri" w:cs="Calibri"/>
          <w:i/>
          <w:iCs/>
          <w:color w:val="000000" w:themeColor="text1"/>
          <w:sz w:val="22"/>
          <w:szCs w:val="22"/>
        </w:rPr>
        <w:t>„</w:t>
      </w:r>
      <w:r w:rsidR="005B3025" w:rsidRPr="005B3025">
        <w:rPr>
          <w:rFonts w:ascii="Calibri" w:hAnsi="Calibri" w:cs="Calibri"/>
          <w:i/>
          <w:iCs/>
          <w:color w:val="000000" w:themeColor="text1"/>
          <w:sz w:val="22"/>
          <w:szCs w:val="22"/>
        </w:rPr>
        <w:t>Poptávka po hypotékách je nadále extrémně vysoká, měsíční objem přes 40 mld. Kč jsme naposledy zaznamenali na konci roku 2021. Není to překvapením, od 1.4.2026 začíná platit nová regulace „investičních hypoték“, chystané zpřísnění podmínek vždy vyvolá menší či větší vlnu předzásobení. Poptávku přiživuje i vyšší zájem o refinancování, které tvoří už více než 25% podíl, což také delší dobu nepamatujeme</w:t>
      </w:r>
      <w:r w:rsidRPr="006337E7">
        <w:rPr>
          <w:rFonts w:ascii="Calibri" w:hAnsi="Calibri" w:cs="Calibri"/>
          <w:i/>
          <w:iCs/>
          <w:color w:val="000000" w:themeColor="text1"/>
          <w:sz w:val="22"/>
          <w:szCs w:val="22"/>
        </w:rPr>
        <w:t xml:space="preserve">,“ </w:t>
      </w:r>
      <w:r>
        <w:rPr>
          <w:rFonts w:ascii="Calibri" w:hAnsi="Calibri" w:cs="Calibri"/>
          <w:color w:val="000000" w:themeColor="text1"/>
          <w:sz w:val="22"/>
          <w:szCs w:val="22"/>
        </w:rPr>
        <w:t>říká</w:t>
      </w:r>
      <w:r w:rsidRPr="006337E7">
        <w:rPr>
          <w:rFonts w:ascii="Calibri" w:hAnsi="Calibri" w:cs="Calibri"/>
          <w:color w:val="000000" w:themeColor="text1"/>
          <w:sz w:val="22"/>
          <w:szCs w:val="22"/>
        </w:rPr>
        <w:t xml:space="preserve"> </w:t>
      </w:r>
      <w:r w:rsidR="005B3025">
        <w:rPr>
          <w:rFonts w:ascii="Calibri" w:hAnsi="Calibri" w:cs="Calibri"/>
          <w:b/>
          <w:bCs/>
          <w:color w:val="000000" w:themeColor="text1"/>
          <w:sz w:val="22"/>
          <w:szCs w:val="22"/>
        </w:rPr>
        <w:t>Milan Voldřich</w:t>
      </w:r>
      <w:r w:rsidRPr="007D77FB">
        <w:rPr>
          <w:rFonts w:ascii="Calibri" w:hAnsi="Calibri" w:cs="Calibri"/>
          <w:b/>
          <w:bCs/>
          <w:color w:val="000000" w:themeColor="text1"/>
          <w:sz w:val="22"/>
          <w:szCs w:val="22"/>
        </w:rPr>
        <w:t xml:space="preserve">, </w:t>
      </w:r>
      <w:r>
        <w:rPr>
          <w:rFonts w:ascii="Calibri" w:hAnsi="Calibri" w:cs="Calibri"/>
          <w:b/>
          <w:bCs/>
          <w:color w:val="000000" w:themeColor="text1"/>
          <w:sz w:val="22"/>
          <w:szCs w:val="22"/>
        </w:rPr>
        <w:t xml:space="preserve">produktový manažer </w:t>
      </w:r>
      <w:r w:rsidR="005B3025">
        <w:rPr>
          <w:rFonts w:ascii="Calibri" w:hAnsi="Calibri" w:cs="Calibri"/>
          <w:b/>
          <w:bCs/>
          <w:color w:val="000000" w:themeColor="text1"/>
          <w:sz w:val="22"/>
          <w:szCs w:val="22"/>
        </w:rPr>
        <w:t xml:space="preserve">půjček na bydlení </w:t>
      </w:r>
      <w:proofErr w:type="spellStart"/>
      <w:r w:rsidR="005B3025">
        <w:rPr>
          <w:rFonts w:ascii="Calibri" w:hAnsi="Calibri" w:cs="Calibri"/>
          <w:b/>
          <w:bCs/>
          <w:color w:val="000000" w:themeColor="text1"/>
          <w:sz w:val="22"/>
          <w:szCs w:val="22"/>
        </w:rPr>
        <w:t>Raiffeisen</w:t>
      </w:r>
      <w:proofErr w:type="spellEnd"/>
      <w:r w:rsidR="00AB747A">
        <w:rPr>
          <w:rFonts w:ascii="Calibri" w:hAnsi="Calibri" w:cs="Calibri"/>
          <w:b/>
          <w:bCs/>
          <w:color w:val="000000" w:themeColor="text1"/>
          <w:sz w:val="22"/>
          <w:szCs w:val="22"/>
        </w:rPr>
        <w:t xml:space="preserve"> </w:t>
      </w:r>
      <w:r w:rsidR="005B3025">
        <w:rPr>
          <w:rFonts w:ascii="Calibri" w:hAnsi="Calibri" w:cs="Calibri"/>
          <w:b/>
          <w:bCs/>
          <w:color w:val="000000" w:themeColor="text1"/>
          <w:sz w:val="22"/>
          <w:szCs w:val="22"/>
        </w:rPr>
        <w:t>Bank</w:t>
      </w:r>
      <w:r w:rsidR="00AB747A">
        <w:rPr>
          <w:rFonts w:ascii="Calibri" w:hAnsi="Calibri" w:cs="Calibri"/>
          <w:b/>
          <w:bCs/>
          <w:color w:val="000000" w:themeColor="text1"/>
          <w:sz w:val="22"/>
          <w:szCs w:val="22"/>
        </w:rPr>
        <w:t>.</w:t>
      </w:r>
    </w:p>
    <w:p w14:paraId="01187BD9" w14:textId="77777777" w:rsidR="00D1522E" w:rsidRDefault="00D1522E" w:rsidP="00D1522E">
      <w:pPr>
        <w:overflowPunct/>
        <w:autoSpaceDE/>
        <w:autoSpaceDN/>
        <w:adjustRightInd/>
        <w:textAlignment w:val="auto"/>
        <w:rPr>
          <w:rFonts w:ascii="Calibri" w:hAnsi="Calibri" w:cs="Calibri"/>
          <w:i/>
          <w:iCs/>
          <w:sz w:val="22"/>
          <w:szCs w:val="22"/>
        </w:rPr>
      </w:pPr>
    </w:p>
    <w:p w14:paraId="78CA0409" w14:textId="2DC5464C" w:rsidR="00990104" w:rsidRDefault="00990104" w:rsidP="00990104">
      <w:pPr>
        <w:overflowPunct/>
        <w:autoSpaceDE/>
        <w:autoSpaceDN/>
        <w:adjustRightInd/>
        <w:textAlignment w:val="auto"/>
        <w:rPr>
          <w:rFonts w:ascii="Calibri" w:hAnsi="Calibri" w:cs="Calibri"/>
          <w:color w:val="000000"/>
          <w:sz w:val="22"/>
          <w:szCs w:val="22"/>
        </w:rPr>
      </w:pPr>
      <w:r w:rsidRPr="00990104">
        <w:rPr>
          <w:rFonts w:ascii="Calibri" w:hAnsi="Calibri" w:cs="Calibri"/>
          <w:b/>
          <w:bCs/>
          <w:color w:val="000000"/>
          <w:sz w:val="22"/>
          <w:szCs w:val="22"/>
        </w:rPr>
        <w:t>V únoru poskytly banky a stavební spořitelny skutečně nové hypoteční úvěry bez refinancování za 29,7 mld. Kč</w:t>
      </w:r>
      <w:r w:rsidRPr="00990104">
        <w:rPr>
          <w:rFonts w:ascii="Calibri" w:hAnsi="Calibri" w:cs="Calibri"/>
          <w:color w:val="000000"/>
          <w:sz w:val="22"/>
          <w:szCs w:val="22"/>
        </w:rPr>
        <w:t>. Oproti lednu tak nová hypoteční aktivita objemově stoupla přibližně o 10 %, což odpovídá sezónnímu vlivu</w:t>
      </w:r>
      <w:r>
        <w:rPr>
          <w:rFonts w:ascii="Calibri" w:hAnsi="Calibri" w:cs="Calibri"/>
          <w:color w:val="000000"/>
          <w:sz w:val="22"/>
          <w:szCs w:val="22"/>
        </w:rPr>
        <w:t xml:space="preserve">. </w:t>
      </w:r>
      <w:r w:rsidRPr="00990104">
        <w:rPr>
          <w:rFonts w:ascii="Calibri" w:hAnsi="Calibri" w:cs="Calibri"/>
          <w:color w:val="000000"/>
          <w:sz w:val="22"/>
          <w:szCs w:val="22"/>
        </w:rPr>
        <w:t xml:space="preserve">Po sezónní úpravě přinesla únorová čísla nových hypoték 4,7% </w:t>
      </w:r>
      <w:r>
        <w:rPr>
          <w:rFonts w:ascii="Calibri" w:hAnsi="Calibri" w:cs="Calibri"/>
          <w:color w:val="000000"/>
          <w:sz w:val="22"/>
          <w:szCs w:val="22"/>
        </w:rPr>
        <w:t xml:space="preserve">mírné </w:t>
      </w:r>
      <w:r w:rsidRPr="00990104">
        <w:rPr>
          <w:rFonts w:ascii="Calibri" w:hAnsi="Calibri" w:cs="Calibri"/>
          <w:color w:val="000000"/>
          <w:sz w:val="22"/>
          <w:szCs w:val="22"/>
        </w:rPr>
        <w:t xml:space="preserve">zhoršení na 33,8 mld. Kč ve srovnání s lednovými 35,5 </w:t>
      </w:r>
      <w:r>
        <w:rPr>
          <w:rFonts w:ascii="Calibri" w:hAnsi="Calibri" w:cs="Calibri"/>
          <w:color w:val="000000"/>
          <w:sz w:val="22"/>
          <w:szCs w:val="22"/>
        </w:rPr>
        <w:t xml:space="preserve">miliardami. Ovšem tento objem se </w:t>
      </w:r>
      <w:r w:rsidRPr="00990104">
        <w:rPr>
          <w:rFonts w:ascii="Calibri" w:hAnsi="Calibri" w:cs="Calibri"/>
          <w:color w:val="000000"/>
          <w:sz w:val="22"/>
          <w:szCs w:val="22"/>
        </w:rPr>
        <w:t>nachází nad průměrným objemem z předchozích tří měsíců (31,9 mld. Kč)</w:t>
      </w:r>
      <w:r>
        <w:rPr>
          <w:rFonts w:ascii="Calibri" w:hAnsi="Calibri" w:cs="Calibri"/>
          <w:color w:val="000000"/>
          <w:sz w:val="22"/>
          <w:szCs w:val="22"/>
        </w:rPr>
        <w:t xml:space="preserve"> a řadí se mezi pět nejsilnějších měsíců. </w:t>
      </w:r>
      <w:r w:rsidRPr="00990104">
        <w:rPr>
          <w:rFonts w:ascii="Calibri" w:hAnsi="Calibri" w:cs="Calibri"/>
          <w:color w:val="000000"/>
          <w:sz w:val="22"/>
          <w:szCs w:val="22"/>
        </w:rPr>
        <w:t xml:space="preserve">Objem nově poskytnutých hypoték </w:t>
      </w:r>
      <w:r>
        <w:rPr>
          <w:rFonts w:ascii="Calibri" w:hAnsi="Calibri" w:cs="Calibri"/>
          <w:color w:val="000000"/>
          <w:sz w:val="22"/>
          <w:szCs w:val="22"/>
        </w:rPr>
        <w:t>je</w:t>
      </w:r>
      <w:r w:rsidRPr="00990104">
        <w:rPr>
          <w:rFonts w:ascii="Calibri" w:hAnsi="Calibri" w:cs="Calibri"/>
          <w:color w:val="000000"/>
          <w:sz w:val="22"/>
          <w:szCs w:val="22"/>
        </w:rPr>
        <w:t xml:space="preserve"> v únoru o 39 % vyšší ve srovnání s první polovinou loňského roku. V meziročním vyjádření růst objemu poskytnutých hypoték v únoru zvolnil na 41 % z lednových 45 % po průměrném 41% meziročním nárůstu v minulém roce. V letošním roce bylo</w:t>
      </w:r>
      <w:r>
        <w:rPr>
          <w:rFonts w:ascii="Calibri" w:hAnsi="Calibri" w:cs="Calibri"/>
          <w:color w:val="000000"/>
          <w:sz w:val="22"/>
          <w:szCs w:val="22"/>
        </w:rPr>
        <w:t xml:space="preserve"> zatím</w:t>
      </w:r>
      <w:r w:rsidRPr="00990104">
        <w:rPr>
          <w:rFonts w:ascii="Calibri" w:hAnsi="Calibri" w:cs="Calibri"/>
          <w:color w:val="000000"/>
          <w:sz w:val="22"/>
          <w:szCs w:val="22"/>
        </w:rPr>
        <w:t xml:space="preserve"> okolo 77 % objemu nových úvěrů určeno ke koupi a 14 % na výstavbu, zatímco v předchozích šesti letech dosahovaly tyto podíly 75 % a 19 %. </w:t>
      </w:r>
    </w:p>
    <w:p w14:paraId="5661BC6E" w14:textId="77777777" w:rsidR="00990104" w:rsidRPr="00990104" w:rsidRDefault="00990104" w:rsidP="00990104">
      <w:pPr>
        <w:overflowPunct/>
        <w:autoSpaceDE/>
        <w:autoSpaceDN/>
        <w:adjustRightInd/>
        <w:textAlignment w:val="auto"/>
        <w:rPr>
          <w:rFonts w:ascii="Calibri" w:hAnsi="Calibri" w:cs="Calibri"/>
          <w:color w:val="000000"/>
          <w:sz w:val="22"/>
          <w:szCs w:val="22"/>
        </w:rPr>
      </w:pPr>
    </w:p>
    <w:p w14:paraId="7909D1E4" w14:textId="62238FA1" w:rsidR="00990104" w:rsidRPr="00990104" w:rsidRDefault="00990104" w:rsidP="00990104">
      <w:pPr>
        <w:overflowPunct/>
        <w:autoSpaceDE/>
        <w:autoSpaceDN/>
        <w:adjustRightInd/>
        <w:textAlignment w:val="auto"/>
        <w:rPr>
          <w:rFonts w:ascii="Calibri" w:hAnsi="Calibri" w:cs="Calibri"/>
          <w:color w:val="000000"/>
          <w:sz w:val="22"/>
          <w:szCs w:val="22"/>
        </w:rPr>
      </w:pPr>
      <w:r w:rsidRPr="00990104">
        <w:rPr>
          <w:rFonts w:ascii="Calibri" w:hAnsi="Calibri" w:cs="Calibri"/>
          <w:b/>
          <w:bCs/>
          <w:color w:val="000000"/>
          <w:sz w:val="22"/>
          <w:szCs w:val="22"/>
        </w:rPr>
        <w:t xml:space="preserve">Počet nových hypoték v únoru narostl o 6,7 % meziměsíčně na 6 414 kusů, což je o </w:t>
      </w:r>
      <w:r>
        <w:rPr>
          <w:rFonts w:ascii="Calibri" w:hAnsi="Calibri" w:cs="Calibri"/>
          <w:b/>
          <w:bCs/>
          <w:color w:val="000000"/>
          <w:sz w:val="22"/>
          <w:szCs w:val="22"/>
        </w:rPr>
        <w:t>pětinu</w:t>
      </w:r>
      <w:r w:rsidRPr="00990104">
        <w:rPr>
          <w:rFonts w:ascii="Calibri" w:hAnsi="Calibri" w:cs="Calibri"/>
          <w:b/>
          <w:bCs/>
          <w:color w:val="000000"/>
          <w:sz w:val="22"/>
          <w:szCs w:val="22"/>
        </w:rPr>
        <w:t xml:space="preserve"> více než před rokem. </w:t>
      </w:r>
      <w:r w:rsidRPr="00990104">
        <w:rPr>
          <w:rFonts w:ascii="Calibri" w:hAnsi="Calibri" w:cs="Calibri"/>
          <w:color w:val="000000"/>
          <w:sz w:val="22"/>
          <w:szCs w:val="22"/>
        </w:rPr>
        <w:t>Odhadujeme, že po sezónním očištění se jejich počet pohybuje okolo 7 175, přibližně 3 % nad průměrným počtem (6 950) v předchozích třech měsících. Od počátku roku dosáhl počet nových hypoték 12,4 tisíc kusů (+25 % meziročně). Dynamika počtu nových hypoték z posledních tří měsíců, tedy za prosinec až únor</w:t>
      </w:r>
      <w:r>
        <w:rPr>
          <w:rFonts w:ascii="Calibri" w:hAnsi="Calibri" w:cs="Calibri"/>
          <w:color w:val="000000"/>
          <w:sz w:val="22"/>
          <w:szCs w:val="22"/>
        </w:rPr>
        <w:t xml:space="preserve">, sice </w:t>
      </w:r>
      <w:r w:rsidRPr="00990104">
        <w:rPr>
          <w:rFonts w:ascii="Calibri" w:hAnsi="Calibri" w:cs="Calibri"/>
          <w:color w:val="000000"/>
          <w:sz w:val="22"/>
          <w:szCs w:val="22"/>
        </w:rPr>
        <w:t xml:space="preserve">implikuje jejich letošní nárůst na celkový počet okolo 85,9 tisíc, </w:t>
      </w:r>
      <w:r>
        <w:rPr>
          <w:rFonts w:ascii="Calibri" w:hAnsi="Calibri" w:cs="Calibri"/>
          <w:color w:val="000000"/>
          <w:sz w:val="22"/>
          <w:szCs w:val="22"/>
        </w:rPr>
        <w:t xml:space="preserve">ale po </w:t>
      </w:r>
      <w:hyperlink r:id="rId16" w:history="1">
        <w:r w:rsidRPr="00990104">
          <w:rPr>
            <w:rStyle w:val="Hyperlink"/>
            <w:rFonts w:ascii="Calibri" w:hAnsi="Calibri" w:cs="Calibri"/>
            <w:sz w:val="22"/>
            <w:szCs w:val="22"/>
          </w:rPr>
          <w:t>dubnovém zpřísnění podmínek ČNB</w:t>
        </w:r>
      </w:hyperlink>
      <w:r>
        <w:rPr>
          <w:rFonts w:ascii="Calibri" w:hAnsi="Calibri" w:cs="Calibri"/>
          <w:color w:val="000000"/>
          <w:sz w:val="22"/>
          <w:szCs w:val="22"/>
        </w:rPr>
        <w:t xml:space="preserve"> lze očekávat menší počty nových hypoték, který by při negativním 7% šoku letošní rok uzavřely okolo 81 tisíc, c</w:t>
      </w:r>
      <w:r w:rsidRPr="00990104">
        <w:rPr>
          <w:rFonts w:ascii="Calibri" w:hAnsi="Calibri" w:cs="Calibri"/>
          <w:color w:val="000000"/>
          <w:sz w:val="22"/>
          <w:szCs w:val="22"/>
        </w:rPr>
        <w:t xml:space="preserve">ož by bylo </w:t>
      </w:r>
      <w:r>
        <w:rPr>
          <w:rFonts w:ascii="Calibri" w:hAnsi="Calibri" w:cs="Calibri"/>
          <w:color w:val="000000"/>
          <w:sz w:val="22"/>
          <w:szCs w:val="22"/>
        </w:rPr>
        <w:t>o 6</w:t>
      </w:r>
      <w:r w:rsidRPr="00990104">
        <w:rPr>
          <w:rFonts w:ascii="Calibri" w:hAnsi="Calibri" w:cs="Calibri"/>
          <w:color w:val="000000"/>
          <w:sz w:val="22"/>
          <w:szCs w:val="22"/>
        </w:rPr>
        <w:t xml:space="preserve"> % více než v loňském roce</w:t>
      </w:r>
      <w:r>
        <w:rPr>
          <w:rFonts w:ascii="Calibri" w:hAnsi="Calibri" w:cs="Calibri"/>
          <w:color w:val="000000"/>
          <w:sz w:val="22"/>
          <w:szCs w:val="22"/>
        </w:rPr>
        <w:t xml:space="preserve">. Ovšem tyto počty by zůstaly </w:t>
      </w:r>
      <w:r w:rsidRPr="00990104">
        <w:rPr>
          <w:rFonts w:ascii="Calibri" w:hAnsi="Calibri" w:cs="Calibri"/>
          <w:color w:val="000000"/>
          <w:sz w:val="22"/>
          <w:szCs w:val="22"/>
        </w:rPr>
        <w:t>pod průměrnými 95 tisíc</w:t>
      </w:r>
      <w:r>
        <w:rPr>
          <w:rFonts w:ascii="Calibri" w:hAnsi="Calibri" w:cs="Calibri"/>
          <w:color w:val="000000"/>
          <w:sz w:val="22"/>
          <w:szCs w:val="22"/>
        </w:rPr>
        <w:t>i</w:t>
      </w:r>
      <w:r w:rsidRPr="00990104">
        <w:rPr>
          <w:rFonts w:ascii="Calibri" w:hAnsi="Calibri" w:cs="Calibri"/>
          <w:color w:val="000000"/>
          <w:sz w:val="22"/>
          <w:szCs w:val="22"/>
        </w:rPr>
        <w:t xml:space="preserve"> z let 2016 až 2018 či</w:t>
      </w:r>
      <w:r>
        <w:rPr>
          <w:rFonts w:ascii="Calibri" w:hAnsi="Calibri" w:cs="Calibri"/>
          <w:color w:val="000000"/>
          <w:sz w:val="22"/>
          <w:szCs w:val="22"/>
        </w:rPr>
        <w:t xml:space="preserve"> výrazněji</w:t>
      </w:r>
      <w:r w:rsidRPr="00990104">
        <w:rPr>
          <w:rFonts w:ascii="Calibri" w:hAnsi="Calibri" w:cs="Calibri"/>
          <w:color w:val="000000"/>
          <w:sz w:val="22"/>
          <w:szCs w:val="22"/>
        </w:rPr>
        <w:t xml:space="preserve"> pod 114 tisíci z roku 2021. </w:t>
      </w:r>
    </w:p>
    <w:p w14:paraId="08C60527" w14:textId="77777777" w:rsidR="00990104" w:rsidRPr="00990104" w:rsidRDefault="00990104" w:rsidP="00990104">
      <w:pPr>
        <w:overflowPunct/>
        <w:autoSpaceDE/>
        <w:autoSpaceDN/>
        <w:adjustRightInd/>
        <w:textAlignment w:val="auto"/>
        <w:rPr>
          <w:rFonts w:ascii="Calibri" w:hAnsi="Calibri" w:cs="Calibri"/>
          <w:color w:val="000000"/>
          <w:sz w:val="22"/>
          <w:szCs w:val="22"/>
        </w:rPr>
      </w:pPr>
    </w:p>
    <w:p w14:paraId="2FC05D3F" w14:textId="4EAD11A6" w:rsidR="00990104" w:rsidRPr="00990104" w:rsidRDefault="00990104" w:rsidP="00990104">
      <w:pPr>
        <w:overflowPunct/>
        <w:autoSpaceDE/>
        <w:autoSpaceDN/>
        <w:adjustRightInd/>
        <w:textAlignment w:val="auto"/>
        <w:rPr>
          <w:rFonts w:ascii="Calibri" w:hAnsi="Calibri" w:cs="Calibri"/>
          <w:color w:val="000000"/>
          <w:sz w:val="22"/>
          <w:szCs w:val="22"/>
        </w:rPr>
      </w:pPr>
      <w:r>
        <w:rPr>
          <w:rFonts w:ascii="Calibri" w:hAnsi="Calibri" w:cs="Calibri"/>
          <w:b/>
          <w:bCs/>
          <w:color w:val="000000"/>
          <w:sz w:val="22"/>
          <w:szCs w:val="22"/>
        </w:rPr>
        <w:t xml:space="preserve">Podíl refinancovaných a navýšených úvěrů roste. </w:t>
      </w:r>
      <w:r w:rsidRPr="00990104">
        <w:rPr>
          <w:rFonts w:ascii="Calibri" w:hAnsi="Calibri" w:cs="Calibri"/>
          <w:color w:val="000000"/>
          <w:sz w:val="22"/>
          <w:szCs w:val="22"/>
        </w:rPr>
        <w:t xml:space="preserve">Objem refinancovaných a navýšených úvěrů (interně či z jiné instituce) v únoru stoupl na 10,8 mld. Kč. To je o 53 % více než průměrných 7,1 miliardy refinancovaných v loňském roce a o 176 % nad 3,9 miliardami refinancovanými v roce 2024. Podíl refinancovaných úvěrů na celkovém objemu poskytnutých hypoték pak vzrostl na 26,7 %, což je nad loňským průměrem 20,7 %. Nachází se tak nad 17,2% podílem z let 2022-2023, ovšem stále pod téměř 29% podílem z let 2020-2021, kdy domácnosti refinancovaly za hypoteční sazbu 2,14 %. V únoru 2026 se domácnosti refinancovaly za úrokovou sazbu 4,43 %, což je o </w:t>
      </w:r>
      <w:r>
        <w:rPr>
          <w:rFonts w:ascii="Calibri" w:hAnsi="Calibri" w:cs="Calibri"/>
          <w:color w:val="000000"/>
          <w:sz w:val="22"/>
          <w:szCs w:val="22"/>
        </w:rPr>
        <w:t xml:space="preserve">necelé tři desetinky procenta </w:t>
      </w:r>
      <w:r w:rsidRPr="00990104">
        <w:rPr>
          <w:rFonts w:ascii="Calibri" w:hAnsi="Calibri" w:cs="Calibri"/>
          <w:color w:val="000000"/>
          <w:sz w:val="22"/>
          <w:szCs w:val="22"/>
        </w:rPr>
        <w:t xml:space="preserve">než 4,69 % před rokem. Vyšší objemy refinancování odrážejí souběh končících delších fixací z období nízkých úrokových sazeb a kratších fixací z nedávného období vyšších úrokových sazeb. </w:t>
      </w:r>
    </w:p>
    <w:p w14:paraId="01C5F695" w14:textId="77777777" w:rsidR="00990104" w:rsidRPr="00990104" w:rsidRDefault="00990104" w:rsidP="00990104">
      <w:pPr>
        <w:overflowPunct/>
        <w:autoSpaceDE/>
        <w:autoSpaceDN/>
        <w:adjustRightInd/>
        <w:textAlignment w:val="auto"/>
        <w:rPr>
          <w:rFonts w:ascii="Calibri" w:hAnsi="Calibri" w:cs="Calibri"/>
          <w:color w:val="000000"/>
          <w:sz w:val="22"/>
          <w:szCs w:val="22"/>
        </w:rPr>
      </w:pPr>
    </w:p>
    <w:p w14:paraId="5286AA2E" w14:textId="22916A8D" w:rsidR="00990104" w:rsidRPr="00990104" w:rsidRDefault="00990104" w:rsidP="00990104">
      <w:pPr>
        <w:overflowPunct/>
        <w:autoSpaceDE/>
        <w:autoSpaceDN/>
        <w:adjustRightInd/>
        <w:textAlignment w:val="auto"/>
        <w:rPr>
          <w:rFonts w:ascii="Calibri" w:hAnsi="Calibri" w:cs="Calibri"/>
          <w:color w:val="000000"/>
          <w:sz w:val="22"/>
          <w:szCs w:val="22"/>
        </w:rPr>
      </w:pPr>
      <w:r w:rsidRPr="00990104">
        <w:rPr>
          <w:rFonts w:ascii="Calibri" w:hAnsi="Calibri" w:cs="Calibri"/>
          <w:b/>
          <w:bCs/>
          <w:color w:val="000000"/>
          <w:sz w:val="22"/>
          <w:szCs w:val="22"/>
        </w:rPr>
        <w:t>Celkově tak banky a stavební spořitelny v únoru poskytly nové a refinancované hypotéky v objemu 40,5 mld. Kč, což je o 14,5 % více než před měsícem.</w:t>
      </w:r>
      <w:r w:rsidRPr="00990104">
        <w:rPr>
          <w:rFonts w:ascii="Calibri" w:hAnsi="Calibri" w:cs="Calibri"/>
          <w:color w:val="000000"/>
          <w:sz w:val="22"/>
          <w:szCs w:val="22"/>
        </w:rPr>
        <w:t xml:space="preserve"> Jejich celkový objem tak v letošním roce prozatím dosáhl 76 mld. Kč, což představuje 58% nárůst ve srovnání s lednem až únorem předcházejícího roku.</w:t>
      </w:r>
    </w:p>
    <w:p w14:paraId="4913EB61" w14:textId="77777777" w:rsidR="00DA47F0" w:rsidRPr="00FF3215" w:rsidRDefault="00DA47F0" w:rsidP="00FF3215">
      <w:pPr>
        <w:overflowPunct/>
        <w:autoSpaceDE/>
        <w:autoSpaceDN/>
        <w:adjustRightInd/>
        <w:textAlignment w:val="auto"/>
        <w:rPr>
          <w:rFonts w:ascii="Calibri" w:hAnsi="Calibri" w:cs="Calibri"/>
          <w:b/>
          <w:bCs/>
          <w:color w:val="000000"/>
          <w:sz w:val="22"/>
          <w:szCs w:val="22"/>
        </w:rPr>
      </w:pPr>
    </w:p>
    <w:p w14:paraId="58DA8898" w14:textId="7CDCDE07" w:rsidR="00D43642" w:rsidRPr="00CC5202" w:rsidRDefault="00AB747A" w:rsidP="00990104">
      <w:pPr>
        <w:pBdr>
          <w:top w:val="single" w:sz="4" w:space="4" w:color="auto"/>
          <w:left w:val="single" w:sz="4" w:space="4" w:color="auto"/>
          <w:bottom w:val="single" w:sz="4" w:space="1" w:color="auto"/>
          <w:right w:val="single" w:sz="4" w:space="4" w:color="auto"/>
          <w:between w:val="single" w:sz="4" w:space="1" w:color="auto"/>
          <w:bar w:val="single" w:sz="4" w:color="auto"/>
        </w:pBdr>
        <w:rPr>
          <w:rFonts w:ascii="Calibri" w:eastAsia="Calibri" w:hAnsi="Calibri" w:cs="Calibri"/>
          <w:i/>
          <w:iCs/>
          <w:sz w:val="22"/>
          <w:szCs w:val="22"/>
        </w:rPr>
      </w:pPr>
      <w:r w:rsidRPr="00AB747A">
        <w:rPr>
          <w:rFonts w:ascii="Calibri" w:hAnsi="Calibri" w:cs="Calibri"/>
          <w:i/>
          <w:iCs/>
          <w:color w:val="000000" w:themeColor="text1"/>
          <w:sz w:val="22"/>
          <w:szCs w:val="22"/>
        </w:rPr>
        <w:t xml:space="preserve">„V březnu očekáváme, že </w:t>
      </w:r>
      <w:r>
        <w:rPr>
          <w:rFonts w:ascii="Calibri" w:hAnsi="Calibri" w:cs="Calibri"/>
          <w:i/>
          <w:iCs/>
          <w:color w:val="000000" w:themeColor="text1"/>
          <w:sz w:val="22"/>
          <w:szCs w:val="22"/>
        </w:rPr>
        <w:t>současný silný</w:t>
      </w:r>
      <w:r w:rsidRPr="00AB747A">
        <w:rPr>
          <w:rFonts w:ascii="Calibri" w:hAnsi="Calibri" w:cs="Calibri"/>
          <w:i/>
          <w:iCs/>
          <w:color w:val="000000" w:themeColor="text1"/>
          <w:sz w:val="22"/>
          <w:szCs w:val="22"/>
        </w:rPr>
        <w:t xml:space="preserve"> trend bude pokračovat, neboť se budou ještě zpracovávat žádosti podané v únoru, nicméně do dalších měsíců by se již mohla negativně promítnout aktuální geopolitická situace, která jen za poslední 2 týdny poslala například 3leté úrokové swapy o cca 60 bazických bodů výše</w:t>
      </w:r>
      <w:r w:rsidR="00D43642">
        <w:rPr>
          <w:rFonts w:ascii="Calibri" w:hAnsi="Calibri" w:cs="Calibri"/>
          <w:i/>
          <w:iCs/>
          <w:color w:val="000000" w:themeColor="text1"/>
          <w:sz w:val="22"/>
          <w:szCs w:val="22"/>
        </w:rPr>
        <w:t>“</w:t>
      </w:r>
      <w:r>
        <w:rPr>
          <w:rFonts w:ascii="Calibri" w:hAnsi="Calibri" w:cs="Calibri"/>
          <w:i/>
          <w:iCs/>
          <w:color w:val="000000" w:themeColor="text1"/>
          <w:sz w:val="22"/>
          <w:szCs w:val="22"/>
        </w:rPr>
        <w:t xml:space="preserve">, </w:t>
      </w:r>
      <w:r w:rsidR="00D43642" w:rsidRPr="008B2D3F">
        <w:rPr>
          <w:rFonts w:ascii="Calibri" w:hAnsi="Calibri" w:cs="Calibri"/>
          <w:i/>
          <w:iCs/>
          <w:color w:val="000000" w:themeColor="text1"/>
          <w:sz w:val="22"/>
          <w:szCs w:val="22"/>
        </w:rPr>
        <w:t xml:space="preserve"> </w:t>
      </w:r>
      <w:r>
        <w:rPr>
          <w:rFonts w:ascii="Calibri" w:hAnsi="Calibri" w:cs="Calibri"/>
          <w:color w:val="000000" w:themeColor="text1"/>
          <w:sz w:val="22"/>
          <w:szCs w:val="22"/>
        </w:rPr>
        <w:t xml:space="preserve">podotýká </w:t>
      </w:r>
      <w:r w:rsidR="00D43642" w:rsidRPr="002F6A6D">
        <w:rPr>
          <w:rFonts w:ascii="Calibri" w:hAnsi="Calibri" w:cs="Calibri"/>
          <w:color w:val="000000" w:themeColor="text1"/>
          <w:sz w:val="22"/>
          <w:szCs w:val="22"/>
        </w:rPr>
        <w:t xml:space="preserve"> </w:t>
      </w:r>
      <w:r>
        <w:rPr>
          <w:rFonts w:ascii="Calibri" w:hAnsi="Calibri" w:cs="Calibri"/>
          <w:b/>
          <w:bCs/>
          <w:color w:val="000000" w:themeColor="text1"/>
          <w:sz w:val="22"/>
          <w:szCs w:val="22"/>
        </w:rPr>
        <w:t>Ondřej Šuchman</w:t>
      </w:r>
      <w:r w:rsidR="00D43642" w:rsidRPr="001E3B01">
        <w:rPr>
          <w:rFonts w:ascii="Calibri" w:hAnsi="Calibri" w:cs="Calibri"/>
          <w:b/>
          <w:bCs/>
          <w:color w:val="000000" w:themeColor="text1"/>
          <w:sz w:val="22"/>
          <w:szCs w:val="22"/>
        </w:rPr>
        <w:t xml:space="preserve">, </w:t>
      </w:r>
      <w:r>
        <w:rPr>
          <w:rFonts w:ascii="Calibri" w:hAnsi="Calibri" w:cs="Calibri"/>
          <w:b/>
          <w:bCs/>
          <w:color w:val="000000" w:themeColor="text1"/>
          <w:sz w:val="22"/>
          <w:szCs w:val="22"/>
        </w:rPr>
        <w:t xml:space="preserve">produktový manažer půjček na bydlení Komerční banky. </w:t>
      </w:r>
    </w:p>
    <w:p w14:paraId="772649ED" w14:textId="77777777" w:rsidR="00D43642" w:rsidRDefault="00D43642" w:rsidP="00F0147C">
      <w:pPr>
        <w:overflowPunct/>
        <w:autoSpaceDE/>
        <w:autoSpaceDN/>
        <w:adjustRightInd/>
        <w:textAlignment w:val="auto"/>
        <w:rPr>
          <w:rFonts w:ascii="Calibri" w:hAnsi="Calibri" w:cs="Calibri"/>
          <w:b/>
          <w:bCs/>
          <w:color w:val="000000"/>
          <w:sz w:val="22"/>
          <w:szCs w:val="22"/>
        </w:rPr>
      </w:pPr>
    </w:p>
    <w:p w14:paraId="4BA2AD77" w14:textId="77777777" w:rsidR="00D1522E" w:rsidRPr="00D1522E" w:rsidRDefault="00D1522E" w:rsidP="00D1522E">
      <w:pPr>
        <w:overflowPunct/>
        <w:autoSpaceDE/>
        <w:autoSpaceDN/>
        <w:adjustRightInd/>
        <w:textAlignment w:val="auto"/>
        <w:rPr>
          <w:rFonts w:ascii="Calibri" w:hAnsi="Calibri" w:cs="Calibri"/>
          <w:color w:val="000000"/>
          <w:sz w:val="22"/>
          <w:szCs w:val="22"/>
        </w:rPr>
      </w:pPr>
    </w:p>
    <w:p w14:paraId="4296189D" w14:textId="77777777" w:rsidR="00F0147C" w:rsidRDefault="00F0147C" w:rsidP="001B2E5E">
      <w:pPr>
        <w:rPr>
          <w:rFonts w:ascii="Calibri" w:hAnsi="Calibri" w:cs="Calibri"/>
          <w:b/>
          <w:color w:val="13576B"/>
          <w:sz w:val="23"/>
          <w:szCs w:val="23"/>
        </w:rPr>
        <w:sectPr w:rsidR="00F0147C" w:rsidSect="00A06A94">
          <w:headerReference w:type="default" r:id="rId17"/>
          <w:footerReference w:type="default" r:id="rId18"/>
          <w:pgSz w:w="11906" w:h="16838"/>
          <w:pgMar w:top="2552" w:right="849" w:bottom="1560" w:left="851" w:header="709" w:footer="283" w:gutter="0"/>
          <w:cols w:space="708"/>
          <w:docGrid w:linePitch="360"/>
        </w:sectPr>
      </w:pPr>
    </w:p>
    <w:p w14:paraId="0F8D55F3" w14:textId="1981F701" w:rsidR="00BA3140" w:rsidRDefault="00616F34" w:rsidP="00F0147C">
      <w:pPr>
        <w:rPr>
          <w:rFonts w:ascii="Calibri" w:hAnsi="Calibri" w:cs="Calibri"/>
          <w:bCs/>
          <w:i/>
          <w:iCs/>
          <w:color w:val="13576B"/>
          <w:sz w:val="23"/>
          <w:szCs w:val="23"/>
        </w:rPr>
      </w:pPr>
      <w:r w:rsidRPr="00F463BF">
        <w:rPr>
          <w:rFonts w:ascii="Calibri" w:hAnsi="Calibri" w:cs="Calibri"/>
          <w:b/>
          <w:color w:val="13576B"/>
          <w:sz w:val="23"/>
          <w:szCs w:val="23"/>
        </w:rPr>
        <w:lastRenderedPageBreak/>
        <w:t xml:space="preserve">Graf </w:t>
      </w:r>
      <w:r w:rsidR="001B2E5E" w:rsidRPr="00F463BF">
        <w:rPr>
          <w:rFonts w:ascii="Calibri" w:hAnsi="Calibri" w:cs="Calibri"/>
          <w:b/>
          <w:color w:val="13576B"/>
          <w:sz w:val="23"/>
          <w:szCs w:val="23"/>
        </w:rPr>
        <w:t xml:space="preserve">č. </w:t>
      </w:r>
      <w:r w:rsidR="00E27948" w:rsidRPr="00F463BF">
        <w:rPr>
          <w:rFonts w:ascii="Calibri" w:hAnsi="Calibri" w:cs="Calibri"/>
          <w:b/>
          <w:color w:val="13576B"/>
          <w:sz w:val="23"/>
          <w:szCs w:val="23"/>
        </w:rPr>
        <w:t>2</w:t>
      </w:r>
      <w:r w:rsidR="001B2E5E" w:rsidRPr="00F463BF">
        <w:rPr>
          <w:rFonts w:ascii="Calibri" w:hAnsi="Calibri" w:cs="Calibri"/>
          <w:b/>
          <w:color w:val="13576B"/>
          <w:sz w:val="23"/>
          <w:szCs w:val="23"/>
        </w:rPr>
        <w:t>: Nově poskytnuté hypotéky bez refinancování</w:t>
      </w:r>
      <w:r w:rsidR="00BC63D5" w:rsidRPr="00F463BF">
        <w:rPr>
          <w:rFonts w:ascii="Calibri" w:hAnsi="Calibri" w:cs="Calibri"/>
          <w:b/>
          <w:color w:val="13576B"/>
          <w:sz w:val="23"/>
          <w:szCs w:val="23"/>
        </w:rPr>
        <w:br/>
      </w:r>
      <w:r w:rsidR="00F0147C" w:rsidRPr="00F463BF">
        <w:rPr>
          <w:rFonts w:ascii="Calibri" w:hAnsi="Calibri" w:cs="Calibri"/>
          <w:bCs/>
          <w:i/>
          <w:iCs/>
          <w:color w:val="13576B"/>
          <w:sz w:val="23"/>
          <w:szCs w:val="23"/>
        </w:rPr>
        <w:t xml:space="preserve">V </w:t>
      </w:r>
      <w:r w:rsidR="00686618">
        <w:rPr>
          <w:rFonts w:ascii="Calibri" w:hAnsi="Calibri" w:cs="Calibri"/>
          <w:bCs/>
          <w:i/>
          <w:iCs/>
          <w:color w:val="13576B"/>
          <w:sz w:val="23"/>
          <w:szCs w:val="23"/>
        </w:rPr>
        <w:t>únoru hypotéky držely silné nadprůměrné objemy, ale stéle podprůměrné v relaci k cenám nemovitostí či počtu nových hypoték</w:t>
      </w:r>
      <w:r w:rsidR="00F0147C" w:rsidRPr="00F463BF">
        <w:rPr>
          <w:rFonts w:ascii="Calibri" w:hAnsi="Calibri" w:cs="Calibri"/>
          <w:bCs/>
          <w:i/>
          <w:iCs/>
          <w:color w:val="13576B"/>
          <w:sz w:val="23"/>
          <w:szCs w:val="23"/>
        </w:rPr>
        <w:t xml:space="preserve"> </w:t>
      </w:r>
    </w:p>
    <w:p w14:paraId="593F8D50" w14:textId="5C04C420" w:rsidR="001B2E5E" w:rsidRDefault="001B2E5E" w:rsidP="00F0147C">
      <w:pPr>
        <w:rPr>
          <w:rFonts w:ascii="Calibri" w:hAnsi="Calibri" w:cs="Calibri"/>
          <w:b/>
          <w:color w:val="13576B"/>
          <w:sz w:val="23"/>
          <w:szCs w:val="23"/>
        </w:rPr>
      </w:pPr>
      <w:r w:rsidRPr="00C42E87">
        <w:rPr>
          <w:rFonts w:ascii="Calibri" w:hAnsi="Calibri" w:cs="Calibri"/>
          <w:b/>
          <w:color w:val="13576B"/>
          <w:sz w:val="23"/>
          <w:szCs w:val="23"/>
        </w:rPr>
        <w:t xml:space="preserve">Graf č. </w:t>
      </w:r>
      <w:r w:rsidR="00E27948">
        <w:rPr>
          <w:rFonts w:ascii="Calibri" w:hAnsi="Calibri" w:cs="Calibri"/>
          <w:b/>
          <w:color w:val="13576B"/>
          <w:sz w:val="23"/>
          <w:szCs w:val="23"/>
        </w:rPr>
        <w:t>3:</w:t>
      </w:r>
      <w:r w:rsidRPr="00C42E87">
        <w:rPr>
          <w:rFonts w:ascii="Calibri" w:hAnsi="Calibri" w:cs="Calibri"/>
          <w:b/>
          <w:color w:val="13576B"/>
          <w:sz w:val="23"/>
          <w:szCs w:val="23"/>
        </w:rPr>
        <w:t xml:space="preserve"> Průměrná výše hypotéky podle účelu</w:t>
      </w:r>
      <w:r>
        <w:rPr>
          <w:rFonts w:ascii="Calibri" w:hAnsi="Calibri" w:cs="Calibri"/>
          <w:b/>
          <w:color w:val="13576B"/>
          <w:sz w:val="23"/>
          <w:szCs w:val="23"/>
        </w:rPr>
        <w:t xml:space="preserve"> </w:t>
      </w:r>
    </w:p>
    <w:p w14:paraId="169F70AA" w14:textId="4BAC54E6" w:rsidR="001B2E5E" w:rsidRPr="00CB3460" w:rsidRDefault="00BA3140" w:rsidP="00BA3140">
      <w:pPr>
        <w:spacing w:after="120"/>
        <w:rPr>
          <w:rFonts w:ascii="Calibri" w:hAnsi="Calibri" w:cs="Calibri"/>
          <w:bCs/>
          <w:i/>
          <w:iCs/>
          <w:color w:val="13576B"/>
          <w:sz w:val="23"/>
          <w:szCs w:val="23"/>
        </w:rPr>
      </w:pPr>
      <w:r w:rsidRPr="00BA3140">
        <w:rPr>
          <w:rFonts w:ascii="Calibri" w:hAnsi="Calibri" w:cs="Calibri"/>
          <w:bCs/>
          <w:i/>
          <w:iCs/>
          <w:color w:val="13576B"/>
          <w:sz w:val="23"/>
          <w:szCs w:val="23"/>
        </w:rPr>
        <w:t>Průměrná velikost nově poskytnuté hypotéky v</w:t>
      </w:r>
      <w:r w:rsidR="00686618">
        <w:rPr>
          <w:rFonts w:ascii="Calibri" w:hAnsi="Calibri" w:cs="Calibri"/>
          <w:bCs/>
          <w:i/>
          <w:iCs/>
          <w:color w:val="13576B"/>
          <w:sz w:val="23"/>
          <w:szCs w:val="23"/>
        </w:rPr>
        <w:t> únoru přesáhla 4,6 miliónu korun</w:t>
      </w:r>
      <w:r w:rsidRPr="00BA3140">
        <w:rPr>
          <w:rFonts w:ascii="Calibri" w:hAnsi="Calibri" w:cs="Calibri"/>
          <w:bCs/>
          <w:i/>
          <w:iCs/>
          <w:color w:val="13576B"/>
          <w:sz w:val="23"/>
          <w:szCs w:val="23"/>
        </w:rPr>
        <w:tab/>
      </w:r>
      <w:r w:rsidRPr="00BA3140">
        <w:rPr>
          <w:rFonts w:ascii="Calibri" w:hAnsi="Calibri" w:cs="Calibri"/>
          <w:bCs/>
          <w:i/>
          <w:iCs/>
          <w:color w:val="13576B"/>
          <w:sz w:val="23"/>
          <w:szCs w:val="23"/>
        </w:rPr>
        <w:tab/>
      </w:r>
    </w:p>
    <w:p w14:paraId="133B2338" w14:textId="77777777" w:rsidR="001B2E5E" w:rsidRDefault="001B2E5E" w:rsidP="00B40FEB">
      <w:pPr>
        <w:overflowPunct/>
        <w:autoSpaceDE/>
        <w:autoSpaceDN/>
        <w:adjustRightInd/>
        <w:textAlignment w:val="auto"/>
        <w:rPr>
          <w:rFonts w:ascii="Calibri" w:hAnsi="Calibri" w:cs="Calibri"/>
          <w:color w:val="000000"/>
          <w:sz w:val="22"/>
          <w:szCs w:val="22"/>
        </w:rPr>
        <w:sectPr w:rsidR="001B2E5E" w:rsidSect="001B2E5E">
          <w:type w:val="continuous"/>
          <w:pgSz w:w="11906" w:h="16838"/>
          <w:pgMar w:top="2552" w:right="849" w:bottom="1560" w:left="851" w:header="709" w:footer="283" w:gutter="0"/>
          <w:cols w:num="2" w:space="708"/>
          <w:docGrid w:linePitch="360"/>
        </w:sectPr>
      </w:pPr>
    </w:p>
    <w:p w14:paraId="64EBBCB8" w14:textId="092CB153" w:rsidR="00686618" w:rsidRDefault="00686618" w:rsidP="00606031">
      <w:pPr>
        <w:rPr>
          <w:rFonts w:ascii="Calibri Light" w:hAnsi="Calibri Light" w:cs="Calibri Light"/>
          <w:noProof/>
          <w:color w:val="13576B"/>
          <w:sz w:val="20"/>
        </w:rPr>
      </w:pPr>
      <w:r>
        <w:rPr>
          <w:rFonts w:ascii="Calibri Light" w:hAnsi="Calibri Light" w:cs="Calibri Light"/>
          <w:noProof/>
          <w:color w:val="13576B"/>
          <w:sz w:val="20"/>
        </w:rPr>
        <w:drawing>
          <wp:inline distT="0" distB="0" distL="0" distR="0" wp14:anchorId="386889FD" wp14:editId="25F640D6">
            <wp:extent cx="3132814" cy="2226406"/>
            <wp:effectExtent l="0" t="0" r="0" b="2540"/>
            <wp:docPr id="18923351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68766" cy="2251956"/>
                    </a:xfrm>
                    <a:prstGeom prst="rect">
                      <a:avLst/>
                    </a:prstGeom>
                    <a:noFill/>
                  </pic:spPr>
                </pic:pic>
              </a:graphicData>
            </a:graphic>
          </wp:inline>
        </w:drawing>
      </w:r>
    </w:p>
    <w:p w14:paraId="0CBECE11" w14:textId="77777777" w:rsidR="00686618" w:rsidRDefault="00686618" w:rsidP="00606031">
      <w:pPr>
        <w:rPr>
          <w:rFonts w:ascii="Calibri Light" w:hAnsi="Calibri Light" w:cs="Calibri Light"/>
          <w:noProof/>
          <w:color w:val="13576B"/>
          <w:sz w:val="20"/>
        </w:rPr>
      </w:pPr>
    </w:p>
    <w:p w14:paraId="52456E65" w14:textId="125DAFD2" w:rsidR="00893E0C" w:rsidRPr="00606031" w:rsidRDefault="00277397" w:rsidP="00606031">
      <w:pPr>
        <w:rPr>
          <w:rFonts w:ascii="Calibri" w:hAnsi="Calibri" w:cs="Calibri"/>
          <w:bCs/>
          <w:i/>
          <w:iCs/>
          <w:color w:val="EE0000"/>
          <w:sz w:val="23"/>
          <w:szCs w:val="23"/>
        </w:rPr>
      </w:pPr>
      <w:r w:rsidRPr="00277397">
        <w:rPr>
          <w:rFonts w:ascii="Calibri Light" w:hAnsi="Calibri Light" w:cs="Calibri Light"/>
          <w:color w:val="13576B"/>
          <w:sz w:val="20"/>
        </w:rPr>
        <w:t>Pramen:</w:t>
      </w:r>
      <w:r w:rsidR="00686618" w:rsidRPr="00686618">
        <w:rPr>
          <w:rFonts w:ascii="Calibri Light" w:hAnsi="Calibri Light" w:cs="Calibri Light"/>
          <w:color w:val="13576B"/>
          <w:sz w:val="20"/>
        </w:rPr>
        <w:t xml:space="preserve"> Česká bankovní asociace, ČNB, ČSÚ, </w:t>
      </w:r>
      <w:proofErr w:type="spellStart"/>
      <w:r w:rsidR="00686618" w:rsidRPr="00686618">
        <w:rPr>
          <w:rFonts w:ascii="Calibri Light" w:hAnsi="Calibri Light" w:cs="Calibri Light"/>
          <w:color w:val="13576B"/>
          <w:sz w:val="20"/>
        </w:rPr>
        <w:t>Flat</w:t>
      </w:r>
      <w:proofErr w:type="spellEnd"/>
      <w:r w:rsidR="00686618" w:rsidRPr="00686618">
        <w:rPr>
          <w:rFonts w:ascii="Calibri Light" w:hAnsi="Calibri Light" w:cs="Calibri Light"/>
          <w:color w:val="13576B"/>
          <w:sz w:val="20"/>
        </w:rPr>
        <w:t xml:space="preserve"> </w:t>
      </w:r>
      <w:proofErr w:type="spellStart"/>
      <w:r w:rsidR="00686618" w:rsidRPr="00686618">
        <w:rPr>
          <w:rFonts w:ascii="Calibri Light" w:hAnsi="Calibri Light" w:cs="Calibri Light"/>
          <w:color w:val="13576B"/>
          <w:sz w:val="20"/>
        </w:rPr>
        <w:t>Zone</w:t>
      </w:r>
      <w:proofErr w:type="spellEnd"/>
      <w:r w:rsidRPr="00277397">
        <w:rPr>
          <w:rFonts w:ascii="Calibri Light" w:hAnsi="Calibri Light" w:cs="Calibri Light"/>
          <w:color w:val="13576B"/>
          <w:sz w:val="20"/>
        </w:rPr>
        <w:t>.</w:t>
      </w:r>
    </w:p>
    <w:p w14:paraId="4DD0766A" w14:textId="6213F626" w:rsidR="00D2301A" w:rsidRPr="00D24B00" w:rsidRDefault="00686618" w:rsidP="004A5428">
      <w:pPr>
        <w:rPr>
          <w:rFonts w:ascii="Calibri" w:hAnsi="Calibri" w:cs="Calibri"/>
          <w:b/>
          <w:bCs/>
          <w:sz w:val="22"/>
          <w:szCs w:val="22"/>
          <w:highlight w:val="yellow"/>
        </w:rPr>
      </w:pPr>
      <w:r>
        <w:rPr>
          <w:rFonts w:ascii="Calibri" w:hAnsi="Calibri" w:cs="Calibri"/>
          <w:b/>
          <w:bCs/>
          <w:noProof/>
          <w:sz w:val="22"/>
          <w:szCs w:val="22"/>
          <w:highlight w:val="yellow"/>
        </w:rPr>
        <w:drawing>
          <wp:inline distT="0" distB="0" distL="0" distR="0" wp14:anchorId="542D1AAC" wp14:editId="6257773C">
            <wp:extent cx="3212327" cy="2214880"/>
            <wp:effectExtent l="0" t="0" r="7620" b="0"/>
            <wp:docPr id="2991718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8967" cy="2233248"/>
                    </a:xfrm>
                    <a:prstGeom prst="rect">
                      <a:avLst/>
                    </a:prstGeom>
                    <a:noFill/>
                  </pic:spPr>
                </pic:pic>
              </a:graphicData>
            </a:graphic>
          </wp:inline>
        </w:drawing>
      </w:r>
    </w:p>
    <w:p w14:paraId="432F9ABC" w14:textId="77777777" w:rsidR="00606031" w:rsidRDefault="004A5428" w:rsidP="004A5428">
      <w:pPr>
        <w:overflowPunct/>
        <w:autoSpaceDE/>
        <w:adjustRightInd/>
        <w:rPr>
          <w:rFonts w:ascii="Calibri Light" w:hAnsi="Calibri Light" w:cs="Calibri Light"/>
          <w:color w:val="13576B"/>
          <w:sz w:val="20"/>
        </w:rPr>
        <w:sectPr w:rsidR="00606031" w:rsidSect="00606031">
          <w:type w:val="continuous"/>
          <w:pgSz w:w="11906" w:h="16838"/>
          <w:pgMar w:top="2552" w:right="849" w:bottom="1560" w:left="851" w:header="709" w:footer="283" w:gutter="0"/>
          <w:cols w:num="2" w:space="708"/>
          <w:docGrid w:linePitch="360"/>
        </w:sectPr>
      </w:pPr>
      <w:r w:rsidRPr="002F4CBD">
        <w:rPr>
          <w:rFonts w:ascii="Calibri Light" w:hAnsi="Calibri Light" w:cs="Calibri Light"/>
          <w:color w:val="13576B"/>
          <w:sz w:val="20"/>
        </w:rPr>
        <w:t xml:space="preserve">Pramen: </w:t>
      </w:r>
      <w:r>
        <w:rPr>
          <w:rFonts w:ascii="Calibri Light" w:hAnsi="Calibri Light" w:cs="Calibri Light"/>
          <w:color w:val="13576B"/>
          <w:sz w:val="20"/>
        </w:rPr>
        <w:t xml:space="preserve">ČNB, </w:t>
      </w:r>
      <w:r w:rsidRPr="002F4CBD">
        <w:rPr>
          <w:rFonts w:ascii="Calibri Light" w:hAnsi="Calibri Light" w:cs="Calibri Light"/>
          <w:color w:val="13576B"/>
          <w:sz w:val="20"/>
        </w:rPr>
        <w:t xml:space="preserve">ČBA </w:t>
      </w:r>
      <w:proofErr w:type="spellStart"/>
      <w:r w:rsidRPr="002F4CBD">
        <w:rPr>
          <w:rFonts w:ascii="Calibri Light" w:hAnsi="Calibri Light" w:cs="Calibri Light"/>
          <w:color w:val="13576B"/>
          <w:sz w:val="20"/>
        </w:rPr>
        <w:t>Hypomonitor</w:t>
      </w:r>
      <w:proofErr w:type="spellEnd"/>
    </w:p>
    <w:bookmarkEnd w:id="2"/>
    <w:bookmarkEnd w:id="3"/>
    <w:bookmarkEnd w:id="4"/>
    <w:p w14:paraId="38EB67FA" w14:textId="77777777" w:rsidR="00CB3460" w:rsidRDefault="00CB3460" w:rsidP="0020488B">
      <w:pPr>
        <w:rPr>
          <w:rFonts w:ascii="Calibri" w:hAnsi="Calibri" w:cs="Calibri"/>
          <w:b/>
          <w:bCs/>
          <w:color w:val="000000"/>
          <w:sz w:val="22"/>
          <w:szCs w:val="22"/>
        </w:rPr>
      </w:pPr>
    </w:p>
    <w:p w14:paraId="5A1704D2" w14:textId="4AFE59BD" w:rsidR="009A044E" w:rsidRDefault="008E3BA7" w:rsidP="009A044E">
      <w:pPr>
        <w:rPr>
          <w:rFonts w:ascii="Calibri" w:hAnsi="Calibri" w:cs="Calibri"/>
          <w:b/>
          <w:color w:val="13576B"/>
          <w:sz w:val="23"/>
          <w:szCs w:val="23"/>
        </w:rPr>
      </w:pPr>
      <w:r>
        <w:rPr>
          <w:rFonts w:ascii="Calibri" w:hAnsi="Calibri" w:cs="Calibri"/>
          <w:b/>
          <w:color w:val="13576B"/>
          <w:sz w:val="23"/>
          <w:szCs w:val="23"/>
        </w:rPr>
        <w:t>P</w:t>
      </w:r>
      <w:r w:rsidR="009A044E" w:rsidRPr="008B048B">
        <w:rPr>
          <w:rFonts w:ascii="Calibri" w:hAnsi="Calibri" w:cs="Calibri"/>
          <w:b/>
          <w:color w:val="13576B"/>
          <w:sz w:val="23"/>
          <w:szCs w:val="23"/>
        </w:rPr>
        <w:t xml:space="preserve">růměrná hypoteční sazba </w:t>
      </w:r>
      <w:r w:rsidR="0009562F">
        <w:rPr>
          <w:rFonts w:ascii="Calibri" w:hAnsi="Calibri" w:cs="Calibri"/>
          <w:b/>
          <w:color w:val="13576B"/>
          <w:sz w:val="23"/>
          <w:szCs w:val="23"/>
        </w:rPr>
        <w:t>v</w:t>
      </w:r>
      <w:r w:rsidR="00686618">
        <w:rPr>
          <w:rFonts w:ascii="Calibri" w:hAnsi="Calibri" w:cs="Calibri"/>
          <w:b/>
          <w:color w:val="13576B"/>
          <w:sz w:val="23"/>
          <w:szCs w:val="23"/>
        </w:rPr>
        <w:t xml:space="preserve"> únoru</w:t>
      </w:r>
      <w:r w:rsidR="00356A6D">
        <w:rPr>
          <w:rFonts w:ascii="Calibri" w:hAnsi="Calibri" w:cs="Calibri"/>
          <w:b/>
          <w:color w:val="13576B"/>
          <w:sz w:val="23"/>
          <w:szCs w:val="23"/>
        </w:rPr>
        <w:t xml:space="preserve"> mírně klesla </w:t>
      </w:r>
      <w:r w:rsidR="00BC63D5">
        <w:rPr>
          <w:rFonts w:ascii="Calibri" w:hAnsi="Calibri" w:cs="Calibri"/>
          <w:b/>
          <w:color w:val="13576B"/>
          <w:sz w:val="23"/>
          <w:szCs w:val="23"/>
        </w:rPr>
        <w:t>na</w:t>
      </w:r>
      <w:r>
        <w:rPr>
          <w:rFonts w:ascii="Calibri" w:hAnsi="Calibri" w:cs="Calibri"/>
          <w:b/>
          <w:color w:val="13576B"/>
          <w:sz w:val="23"/>
          <w:szCs w:val="23"/>
        </w:rPr>
        <w:t xml:space="preserve"> </w:t>
      </w:r>
      <w:r w:rsidR="004803D6">
        <w:rPr>
          <w:rFonts w:ascii="Calibri" w:hAnsi="Calibri" w:cs="Calibri"/>
          <w:b/>
          <w:color w:val="13576B"/>
          <w:sz w:val="23"/>
          <w:szCs w:val="23"/>
        </w:rPr>
        <w:t>4,4</w:t>
      </w:r>
      <w:r w:rsidR="00686618">
        <w:rPr>
          <w:rFonts w:ascii="Calibri" w:hAnsi="Calibri" w:cs="Calibri"/>
          <w:b/>
          <w:color w:val="13576B"/>
          <w:sz w:val="23"/>
          <w:szCs w:val="23"/>
        </w:rPr>
        <w:t>6</w:t>
      </w:r>
      <w:r w:rsidR="004803D6">
        <w:rPr>
          <w:rFonts w:ascii="Calibri" w:hAnsi="Calibri" w:cs="Calibri"/>
          <w:b/>
          <w:color w:val="13576B"/>
          <w:sz w:val="23"/>
          <w:szCs w:val="23"/>
        </w:rPr>
        <w:t xml:space="preserve"> </w:t>
      </w:r>
      <w:r w:rsidR="00686618">
        <w:rPr>
          <w:rFonts w:ascii="Calibri" w:hAnsi="Calibri" w:cs="Calibri"/>
          <w:b/>
          <w:color w:val="13576B"/>
          <w:sz w:val="23"/>
          <w:szCs w:val="23"/>
        </w:rPr>
        <w:t>%, ale skok v tržních sazbách nepřeje tomuto trendu</w:t>
      </w:r>
      <w:r w:rsidR="00E84E21">
        <w:rPr>
          <w:rFonts w:ascii="Calibri" w:hAnsi="Calibri" w:cs="Calibri"/>
          <w:b/>
          <w:color w:val="13576B"/>
          <w:sz w:val="23"/>
          <w:szCs w:val="23"/>
        </w:rPr>
        <w:t xml:space="preserve"> </w:t>
      </w:r>
      <w:r w:rsidR="00356A6D">
        <w:rPr>
          <w:rFonts w:ascii="Calibri" w:hAnsi="Calibri" w:cs="Calibri"/>
          <w:b/>
          <w:color w:val="13576B"/>
          <w:sz w:val="23"/>
          <w:szCs w:val="23"/>
        </w:rPr>
        <w:t xml:space="preserve"> </w:t>
      </w:r>
    </w:p>
    <w:p w14:paraId="565B8E29" w14:textId="77777777" w:rsidR="00D43642" w:rsidRDefault="00D43642" w:rsidP="009A044E">
      <w:pPr>
        <w:rPr>
          <w:rFonts w:ascii="Calibri" w:hAnsi="Calibri" w:cs="Calibri"/>
          <w:b/>
          <w:color w:val="13576B"/>
          <w:sz w:val="23"/>
          <w:szCs w:val="23"/>
        </w:rPr>
      </w:pPr>
    </w:p>
    <w:p w14:paraId="333BCA21" w14:textId="614DD947" w:rsidR="00686618" w:rsidRDefault="00686618" w:rsidP="00686618">
      <w:pPr>
        <w:rPr>
          <w:rFonts w:ascii="Calibri" w:hAnsi="Calibri" w:cs="Calibri"/>
          <w:bCs/>
          <w:color w:val="000000" w:themeColor="text1"/>
          <w:sz w:val="23"/>
          <w:szCs w:val="23"/>
        </w:rPr>
      </w:pPr>
      <w:r w:rsidRPr="00686618">
        <w:rPr>
          <w:rFonts w:ascii="Calibri" w:hAnsi="Calibri" w:cs="Calibri"/>
          <w:b/>
          <w:color w:val="000000" w:themeColor="text1"/>
          <w:sz w:val="23"/>
          <w:szCs w:val="23"/>
        </w:rPr>
        <w:t xml:space="preserve">Průměrná realizovaná úroková sazba u nových hypoték v únoru nepatrně dále klesla na 4,46 % z lednových 4,48 %. </w:t>
      </w:r>
      <w:r w:rsidRPr="00686618">
        <w:rPr>
          <w:rFonts w:ascii="Calibri" w:hAnsi="Calibri" w:cs="Calibri"/>
          <w:bCs/>
          <w:color w:val="000000" w:themeColor="text1"/>
          <w:sz w:val="23"/>
          <w:szCs w:val="23"/>
        </w:rPr>
        <w:t>Její únorová úroveň je tak o 0,26 procentního bodu níže než 4,72% sazba před rokem, což snižuje měsíční splátky hypotéky přibližně o 0,7 % čistého příjmu žadatele, tedy o 0,7 tis. Kč. Pro srovnání průměrná hodnota hypoteční sazby v roce 2025 dosáhla 4,</w:t>
      </w:r>
      <w:r w:rsidRPr="006D49D0">
        <w:rPr>
          <w:rFonts w:ascii="Calibri" w:hAnsi="Calibri" w:cs="Calibri"/>
          <w:bCs/>
          <w:color w:val="000000" w:themeColor="text1"/>
          <w:sz w:val="23"/>
          <w:szCs w:val="23"/>
        </w:rPr>
        <w:t xml:space="preserve">58 % v porovnání se sazbou 5,07 % v roce 2024. Její snížení </w:t>
      </w:r>
      <w:r w:rsidRPr="006D49D0">
        <w:rPr>
          <w:rFonts w:ascii="Calibri" w:hAnsi="Calibri" w:cs="Calibri"/>
          <w:bCs/>
          <w:color w:val="000000" w:themeColor="text1"/>
          <w:sz w:val="23"/>
          <w:szCs w:val="23"/>
        </w:rPr>
        <w:t>odráží korekci českých delších tržních sazeb</w:t>
      </w:r>
      <w:r w:rsidRPr="006D49D0">
        <w:rPr>
          <w:rFonts w:ascii="Calibri" w:hAnsi="Calibri" w:cs="Calibri"/>
          <w:bCs/>
          <w:color w:val="000000" w:themeColor="text1"/>
          <w:sz w:val="22"/>
          <w:szCs w:val="22"/>
        </w:rPr>
        <w:t>,</w:t>
      </w:r>
      <w:r w:rsidRPr="006D49D0">
        <w:rPr>
          <w:rStyle w:val="FootnoteReference"/>
          <w:rFonts w:ascii="Calibri" w:hAnsi="Calibri" w:cs="Calibri"/>
          <w:bCs/>
          <w:i/>
          <w:iCs/>
          <w:color w:val="000000" w:themeColor="text1"/>
          <w:sz w:val="22"/>
          <w:szCs w:val="22"/>
        </w:rPr>
        <w:footnoteReference w:id="1"/>
      </w:r>
      <w:r w:rsidRPr="006D49D0">
        <w:rPr>
          <w:rFonts w:ascii="Calibri" w:hAnsi="Calibri" w:cs="Calibri"/>
          <w:bCs/>
          <w:color w:val="000000" w:themeColor="text1"/>
          <w:sz w:val="22"/>
          <w:szCs w:val="22"/>
        </w:rPr>
        <w:t xml:space="preserve"> </w:t>
      </w:r>
      <w:r w:rsidRPr="006D49D0">
        <w:rPr>
          <w:rFonts w:ascii="Calibri" w:hAnsi="Calibri" w:cs="Calibri"/>
          <w:bCs/>
          <w:color w:val="000000" w:themeColor="text1"/>
          <w:sz w:val="23"/>
          <w:szCs w:val="23"/>
        </w:rPr>
        <w:t>které mají klíčový vliv na hypoteční sazby</w:t>
      </w:r>
      <w:r w:rsidRPr="006D49D0">
        <w:rPr>
          <w:rFonts w:ascii="Calibri" w:hAnsi="Calibri" w:cs="Calibri"/>
          <w:bCs/>
          <w:color w:val="000000" w:themeColor="text1"/>
          <w:sz w:val="23"/>
          <w:szCs w:val="23"/>
        </w:rPr>
        <w:t xml:space="preserve">. Jejich pokles na počátku roku odráží kombinaci více holubičích komentářů z ČNB, jakož i nižší růst spotřebitelských cen. </w:t>
      </w:r>
      <w:r w:rsidRPr="006D49D0">
        <w:rPr>
          <w:rFonts w:ascii="Calibri" w:hAnsi="Calibri" w:cs="Calibri"/>
          <w:bCs/>
          <w:color w:val="000000" w:themeColor="text1"/>
          <w:sz w:val="23"/>
          <w:szCs w:val="23"/>
        </w:rPr>
        <w:t>Únorová úroková hypoteční sazba se se 4,46 % nacházela</w:t>
      </w:r>
      <w:r w:rsidRPr="00686618">
        <w:rPr>
          <w:rFonts w:ascii="Calibri" w:hAnsi="Calibri" w:cs="Calibri"/>
          <w:bCs/>
          <w:color w:val="000000" w:themeColor="text1"/>
          <w:sz w:val="23"/>
          <w:szCs w:val="23"/>
        </w:rPr>
        <w:t xml:space="preserve"> 1,09 procentního bodu nad průměrnými tržními swapovými sazbami. To je přibližně 0,03 p. b. nad dlouhodobým průměrem od roku 2014 (1,06 p. b.), zatímco v předešlých třech měsících tento spread vůči dlouhodobému průměru činil -0,2 p. b..</w:t>
      </w:r>
      <w:r>
        <w:rPr>
          <w:rFonts w:ascii="Calibri" w:hAnsi="Calibri" w:cs="Calibri"/>
          <w:bCs/>
          <w:color w:val="000000" w:themeColor="text1"/>
          <w:sz w:val="23"/>
          <w:szCs w:val="23"/>
        </w:rPr>
        <w:t xml:space="preserve"> Ovšem nejistota dodávek ropy a zemního plynu v důsledku americko-íránské války </w:t>
      </w:r>
      <w:r w:rsidR="006D49D0">
        <w:rPr>
          <w:rFonts w:ascii="Calibri" w:hAnsi="Calibri" w:cs="Calibri"/>
          <w:bCs/>
          <w:color w:val="000000" w:themeColor="text1"/>
          <w:sz w:val="23"/>
          <w:szCs w:val="23"/>
        </w:rPr>
        <w:t xml:space="preserve">více než zvrátila lednový a únorový vývoj na tržních sazbách. </w:t>
      </w:r>
    </w:p>
    <w:p w14:paraId="4924551B" w14:textId="77777777" w:rsidR="00616F34" w:rsidRDefault="00616F34" w:rsidP="00616F34">
      <w:pPr>
        <w:rPr>
          <w:rFonts w:ascii="Calibri" w:hAnsi="Calibri" w:cs="Calibri"/>
          <w:color w:val="000000" w:themeColor="text1"/>
          <w:sz w:val="22"/>
          <w:szCs w:val="22"/>
        </w:rPr>
      </w:pPr>
    </w:p>
    <w:p w14:paraId="479EF412" w14:textId="4D40C121" w:rsidR="00616F34" w:rsidRPr="00616F34" w:rsidRDefault="00616F34" w:rsidP="00616F34">
      <w:pPr>
        <w:rPr>
          <w:rFonts w:ascii="Calibri" w:hAnsi="Calibri" w:cs="Calibri"/>
          <w:color w:val="000000" w:themeColor="text1"/>
          <w:sz w:val="22"/>
          <w:szCs w:val="22"/>
        </w:rPr>
        <w:sectPr w:rsidR="00616F34" w:rsidRPr="00616F34" w:rsidSect="00606031">
          <w:type w:val="continuous"/>
          <w:pgSz w:w="11906" w:h="16838"/>
          <w:pgMar w:top="2552" w:right="849" w:bottom="1560" w:left="851" w:header="709" w:footer="283" w:gutter="0"/>
          <w:cols w:space="708"/>
          <w:docGrid w:linePitch="360"/>
        </w:sectPr>
      </w:pPr>
    </w:p>
    <w:p w14:paraId="636F55D4" w14:textId="535B8789" w:rsidR="001B2E5E" w:rsidRDefault="001B2E5E" w:rsidP="001B2E5E">
      <w:pPr>
        <w:spacing w:after="120"/>
        <w:rPr>
          <w:rFonts w:ascii="Calibri" w:hAnsi="Calibri" w:cs="Calibri"/>
          <w:b/>
          <w:color w:val="13576B"/>
          <w:sz w:val="23"/>
          <w:szCs w:val="23"/>
        </w:rPr>
      </w:pPr>
      <w:r>
        <w:rPr>
          <w:rFonts w:ascii="Calibri" w:hAnsi="Calibri" w:cs="Calibri"/>
          <w:b/>
          <w:color w:val="13576B"/>
          <w:sz w:val="23"/>
          <w:szCs w:val="23"/>
        </w:rPr>
        <w:t xml:space="preserve">Graf </w:t>
      </w:r>
      <w:r w:rsidRPr="005B4653">
        <w:rPr>
          <w:rFonts w:ascii="Calibri" w:hAnsi="Calibri" w:cs="Calibri"/>
          <w:b/>
          <w:color w:val="13576B"/>
          <w:sz w:val="23"/>
          <w:szCs w:val="23"/>
        </w:rPr>
        <w:t xml:space="preserve">č. </w:t>
      </w:r>
      <w:r w:rsidR="00E27948">
        <w:rPr>
          <w:rFonts w:ascii="Calibri" w:hAnsi="Calibri" w:cs="Calibri"/>
          <w:b/>
          <w:color w:val="13576B"/>
          <w:sz w:val="23"/>
          <w:szCs w:val="23"/>
        </w:rPr>
        <w:t>4</w:t>
      </w:r>
      <w:r>
        <w:rPr>
          <w:rFonts w:ascii="Calibri" w:hAnsi="Calibri" w:cs="Calibri"/>
          <w:b/>
          <w:color w:val="13576B"/>
          <w:sz w:val="23"/>
          <w:szCs w:val="23"/>
        </w:rPr>
        <w:t>:</w:t>
      </w:r>
      <w:r w:rsidRPr="005B4653">
        <w:rPr>
          <w:rFonts w:ascii="Calibri" w:hAnsi="Calibri" w:cs="Calibri"/>
          <w:b/>
          <w:color w:val="13576B"/>
          <w:sz w:val="23"/>
          <w:szCs w:val="23"/>
        </w:rPr>
        <w:t xml:space="preserve"> Průměrná hypoteční </w:t>
      </w:r>
      <w:r>
        <w:rPr>
          <w:rFonts w:ascii="Calibri" w:hAnsi="Calibri" w:cs="Calibri"/>
          <w:b/>
          <w:color w:val="13576B"/>
          <w:sz w:val="23"/>
          <w:szCs w:val="23"/>
        </w:rPr>
        <w:t xml:space="preserve">úroková </w:t>
      </w:r>
      <w:r w:rsidRPr="005B4653">
        <w:rPr>
          <w:rFonts w:ascii="Calibri" w:hAnsi="Calibri" w:cs="Calibri"/>
          <w:b/>
          <w:color w:val="13576B"/>
          <w:sz w:val="23"/>
          <w:szCs w:val="23"/>
        </w:rPr>
        <w:t>sazba – nové obchody</w:t>
      </w:r>
    </w:p>
    <w:p w14:paraId="1AAB3FAB" w14:textId="2646CA34" w:rsidR="008E3BA7" w:rsidRPr="008E3BA7" w:rsidRDefault="00AD4353" w:rsidP="008E3BA7">
      <w:pPr>
        <w:rPr>
          <w:rFonts w:ascii="Calibri" w:hAnsi="Calibri" w:cs="Calibri"/>
          <w:bCs/>
          <w:i/>
          <w:iCs/>
          <w:color w:val="13576B"/>
          <w:sz w:val="23"/>
          <w:szCs w:val="23"/>
        </w:rPr>
      </w:pPr>
      <w:r>
        <w:rPr>
          <w:rFonts w:ascii="Calibri" w:hAnsi="Calibri" w:cs="Calibri"/>
          <w:bCs/>
          <w:i/>
          <w:iCs/>
          <w:color w:val="13576B"/>
          <w:sz w:val="23"/>
          <w:szCs w:val="23"/>
        </w:rPr>
        <w:t>Únorové</w:t>
      </w:r>
      <w:r w:rsidR="00F463BF">
        <w:rPr>
          <w:rFonts w:ascii="Calibri" w:hAnsi="Calibri" w:cs="Calibri"/>
          <w:bCs/>
          <w:i/>
          <w:iCs/>
          <w:color w:val="13576B"/>
          <w:sz w:val="23"/>
          <w:szCs w:val="23"/>
        </w:rPr>
        <w:t xml:space="preserve"> hypoteční sazby nepatrně </w:t>
      </w:r>
      <w:r>
        <w:rPr>
          <w:rFonts w:ascii="Calibri" w:hAnsi="Calibri" w:cs="Calibri"/>
          <w:bCs/>
          <w:i/>
          <w:iCs/>
          <w:color w:val="13576B"/>
          <w:sz w:val="23"/>
          <w:szCs w:val="23"/>
        </w:rPr>
        <w:t xml:space="preserve">dále </w:t>
      </w:r>
      <w:r w:rsidR="00F463BF">
        <w:rPr>
          <w:rFonts w:ascii="Calibri" w:hAnsi="Calibri" w:cs="Calibri"/>
          <w:bCs/>
          <w:i/>
          <w:iCs/>
          <w:color w:val="13576B"/>
          <w:sz w:val="23"/>
          <w:szCs w:val="23"/>
        </w:rPr>
        <w:t>poklesl</w:t>
      </w:r>
      <w:r>
        <w:rPr>
          <w:rFonts w:ascii="Calibri" w:hAnsi="Calibri" w:cs="Calibri"/>
          <w:bCs/>
          <w:i/>
          <w:iCs/>
          <w:color w:val="13576B"/>
          <w:sz w:val="23"/>
          <w:szCs w:val="23"/>
        </w:rPr>
        <w:t xml:space="preserve">y </w:t>
      </w:r>
      <w:r w:rsidR="008E3BA7" w:rsidRPr="008E3BA7">
        <w:rPr>
          <w:rFonts w:ascii="Calibri" w:hAnsi="Calibri" w:cs="Calibri"/>
          <w:bCs/>
          <w:i/>
          <w:iCs/>
          <w:color w:val="13576B"/>
          <w:sz w:val="23"/>
          <w:szCs w:val="23"/>
        </w:rPr>
        <w:tab/>
      </w:r>
    </w:p>
    <w:p w14:paraId="380635EC" w14:textId="012C7250" w:rsidR="001B2E5E" w:rsidRPr="006D5361" w:rsidRDefault="001B2E5E" w:rsidP="006D5361">
      <w:pPr>
        <w:overflowPunct/>
        <w:autoSpaceDE/>
        <w:adjustRightInd/>
        <w:rPr>
          <w:rFonts w:ascii="Calibri" w:hAnsi="Calibri" w:cs="Calibri"/>
          <w:b/>
          <w:color w:val="13576B"/>
          <w:sz w:val="23"/>
          <w:szCs w:val="23"/>
        </w:rPr>
        <w:sectPr w:rsidR="001B2E5E" w:rsidRPr="006D5361" w:rsidSect="001B2E5E">
          <w:type w:val="continuous"/>
          <w:pgSz w:w="11906" w:h="16838"/>
          <w:pgMar w:top="2552" w:right="849" w:bottom="1560" w:left="851" w:header="709" w:footer="283" w:gutter="0"/>
          <w:cols w:num="2" w:space="708"/>
          <w:docGrid w:linePitch="360"/>
        </w:sectPr>
      </w:pPr>
      <w:r w:rsidRPr="005B4653">
        <w:rPr>
          <w:rFonts w:ascii="Calibri" w:hAnsi="Calibri" w:cs="Calibri"/>
          <w:b/>
          <w:color w:val="13576B"/>
          <w:sz w:val="23"/>
          <w:szCs w:val="23"/>
        </w:rPr>
        <w:t xml:space="preserve">Graf č. </w:t>
      </w:r>
      <w:r w:rsidR="00E27948">
        <w:rPr>
          <w:rFonts w:ascii="Calibri" w:hAnsi="Calibri" w:cs="Calibri"/>
          <w:b/>
          <w:color w:val="13576B"/>
          <w:sz w:val="23"/>
          <w:szCs w:val="23"/>
        </w:rPr>
        <w:t>5</w:t>
      </w:r>
      <w:r>
        <w:rPr>
          <w:rFonts w:ascii="Calibri" w:hAnsi="Calibri" w:cs="Calibri"/>
          <w:b/>
          <w:color w:val="13576B"/>
          <w:sz w:val="23"/>
          <w:szCs w:val="23"/>
        </w:rPr>
        <w:t>:</w:t>
      </w:r>
      <w:r w:rsidRPr="005B4653">
        <w:rPr>
          <w:rFonts w:ascii="Calibri" w:hAnsi="Calibri" w:cs="Calibri"/>
          <w:b/>
          <w:color w:val="13576B"/>
          <w:sz w:val="23"/>
          <w:szCs w:val="23"/>
        </w:rPr>
        <w:t xml:space="preserve"> </w:t>
      </w:r>
      <w:r w:rsidR="00AD4353">
        <w:rPr>
          <w:rFonts w:ascii="Calibri" w:hAnsi="Calibri" w:cs="Calibri"/>
          <w:b/>
          <w:color w:val="13576B"/>
          <w:sz w:val="23"/>
          <w:szCs w:val="23"/>
        </w:rPr>
        <w:t xml:space="preserve">Americký útok na Írán a s ním spojená nejistota ohledně dodávek ropy a zemního plynu zvýšila úrokové swapy okolo 50-60 bazických bodů </w:t>
      </w:r>
      <w:r w:rsidR="008E3BA7">
        <w:rPr>
          <w:rFonts w:ascii="Calibri" w:hAnsi="Calibri" w:cs="Calibri"/>
          <w:b/>
          <w:color w:val="13576B"/>
          <w:sz w:val="23"/>
          <w:szCs w:val="23"/>
        </w:rPr>
        <w:t xml:space="preserve"> </w:t>
      </w:r>
    </w:p>
    <w:p w14:paraId="7CBC6B5A" w14:textId="77777777" w:rsidR="001B2E5E" w:rsidRPr="004803D6" w:rsidRDefault="001B2E5E" w:rsidP="00F625CA">
      <w:pPr>
        <w:rPr>
          <w:rFonts w:ascii="Calibri" w:hAnsi="Calibri" w:cs="Calibri"/>
          <w:color w:val="000000"/>
          <w:sz w:val="22"/>
          <w:szCs w:val="22"/>
        </w:rPr>
      </w:pPr>
    </w:p>
    <w:p w14:paraId="0230887A" w14:textId="77777777" w:rsidR="00606031" w:rsidRDefault="00606031" w:rsidP="005874B8">
      <w:pPr>
        <w:spacing w:after="120"/>
        <w:rPr>
          <w:rFonts w:ascii="Calibri" w:hAnsi="Calibri" w:cs="Calibri"/>
          <w:b/>
          <w:color w:val="13576B"/>
          <w:sz w:val="23"/>
          <w:szCs w:val="23"/>
        </w:rPr>
        <w:sectPr w:rsidR="00606031" w:rsidSect="00606031">
          <w:type w:val="continuous"/>
          <w:pgSz w:w="11906" w:h="16838"/>
          <w:pgMar w:top="2552" w:right="849" w:bottom="1560" w:left="851" w:header="709" w:footer="283" w:gutter="0"/>
          <w:cols w:space="708"/>
          <w:docGrid w:linePitch="360"/>
        </w:sectPr>
      </w:pPr>
    </w:p>
    <w:p w14:paraId="5C054A6D" w14:textId="5EE74699" w:rsidR="00D2301A" w:rsidRPr="002138C0" w:rsidRDefault="00AD4353" w:rsidP="005874B8">
      <w:pPr>
        <w:rPr>
          <w:rFonts w:ascii="Calibri" w:hAnsi="Calibri" w:cs="Calibri"/>
          <w:sz w:val="22"/>
          <w:szCs w:val="22"/>
          <w:highlight w:val="yellow"/>
        </w:rPr>
      </w:pPr>
      <w:r>
        <w:rPr>
          <w:rFonts w:ascii="Calibri" w:hAnsi="Calibri" w:cs="Calibri"/>
          <w:noProof/>
          <w:sz w:val="22"/>
          <w:szCs w:val="22"/>
          <w:highlight w:val="yellow"/>
        </w:rPr>
        <w:lastRenderedPageBreak/>
        <w:drawing>
          <wp:inline distT="0" distB="0" distL="0" distR="0" wp14:anchorId="522CCCFF" wp14:editId="2E94FCB6">
            <wp:extent cx="3393522" cy="2127968"/>
            <wp:effectExtent l="0" t="0" r="0" b="5715"/>
            <wp:docPr id="7944857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03252" cy="2134069"/>
                    </a:xfrm>
                    <a:prstGeom prst="rect">
                      <a:avLst/>
                    </a:prstGeom>
                    <a:noFill/>
                  </pic:spPr>
                </pic:pic>
              </a:graphicData>
            </a:graphic>
          </wp:inline>
        </w:drawing>
      </w:r>
    </w:p>
    <w:p w14:paraId="59B88724" w14:textId="17255E86" w:rsidR="001B2E5E" w:rsidRDefault="00691287" w:rsidP="001B2E5E">
      <w:pPr>
        <w:overflowPunct/>
        <w:autoSpaceDE/>
        <w:adjustRightInd/>
        <w:rPr>
          <w:rFonts w:ascii="Calibri" w:hAnsi="Calibri" w:cs="Calibri"/>
          <w:b/>
          <w:color w:val="13576B"/>
          <w:sz w:val="23"/>
          <w:szCs w:val="23"/>
        </w:rPr>
      </w:pPr>
      <w:r w:rsidRPr="002F4CBD">
        <w:rPr>
          <w:rFonts w:ascii="Calibri Light" w:hAnsi="Calibri Light" w:cs="Calibri Light"/>
          <w:color w:val="13576B"/>
          <w:sz w:val="20"/>
        </w:rPr>
        <w:t xml:space="preserve">Pramen: </w:t>
      </w:r>
      <w:r w:rsidR="006F74BF">
        <w:rPr>
          <w:rFonts w:ascii="Calibri Light" w:hAnsi="Calibri Light" w:cs="Calibri Light"/>
          <w:color w:val="13576B"/>
          <w:sz w:val="20"/>
        </w:rPr>
        <w:t xml:space="preserve">ČNB, </w:t>
      </w:r>
      <w:r w:rsidRPr="002F4CBD">
        <w:rPr>
          <w:rFonts w:ascii="Calibri Light" w:hAnsi="Calibri Light" w:cs="Calibri Light"/>
          <w:color w:val="13576B"/>
          <w:sz w:val="20"/>
        </w:rPr>
        <w:t xml:space="preserve">ČBA </w:t>
      </w:r>
      <w:proofErr w:type="spellStart"/>
      <w:r w:rsidRPr="002F4CBD">
        <w:rPr>
          <w:rFonts w:ascii="Calibri Light" w:hAnsi="Calibri Light" w:cs="Calibri Light"/>
          <w:color w:val="13576B"/>
          <w:sz w:val="20"/>
        </w:rPr>
        <w:t>Hypomonitor</w:t>
      </w:r>
      <w:bookmarkStart w:id="5" w:name="_Hlk137652102"/>
      <w:proofErr w:type="spellEnd"/>
    </w:p>
    <w:p w14:paraId="53F00851" w14:textId="606895AF" w:rsidR="006337E7" w:rsidRDefault="00AD4353" w:rsidP="006337E7">
      <w:pPr>
        <w:rPr>
          <w:rFonts w:ascii="Calibri" w:hAnsi="Calibri" w:cs="Calibri"/>
          <w:color w:val="000000" w:themeColor="text1"/>
          <w:sz w:val="22"/>
          <w:szCs w:val="22"/>
        </w:rPr>
      </w:pPr>
      <w:r>
        <w:rPr>
          <w:rFonts w:ascii="Calibri" w:hAnsi="Calibri" w:cs="Calibri"/>
          <w:noProof/>
          <w:color w:val="000000" w:themeColor="text1"/>
          <w:sz w:val="22"/>
          <w:szCs w:val="22"/>
        </w:rPr>
        <w:drawing>
          <wp:inline distT="0" distB="0" distL="0" distR="0" wp14:anchorId="74214455" wp14:editId="7A7C94CC">
            <wp:extent cx="3233398" cy="2024270"/>
            <wp:effectExtent l="0" t="0" r="5715" b="0"/>
            <wp:docPr id="17995284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8236" cy="2033559"/>
                    </a:xfrm>
                    <a:prstGeom prst="rect">
                      <a:avLst/>
                    </a:prstGeom>
                    <a:noFill/>
                  </pic:spPr>
                </pic:pic>
              </a:graphicData>
            </a:graphic>
          </wp:inline>
        </w:drawing>
      </w:r>
    </w:p>
    <w:p w14:paraId="46B50194" w14:textId="042B5FFD" w:rsidR="00F20967" w:rsidRDefault="006337E7" w:rsidP="00DD1BFF">
      <w:pPr>
        <w:rPr>
          <w:rFonts w:asciiTheme="minorHAnsi" w:hAnsiTheme="minorHAnsi" w:cstheme="minorHAnsi"/>
          <w:color w:val="13576B"/>
          <w:sz w:val="20"/>
        </w:rPr>
      </w:pPr>
      <w:r w:rsidRPr="00AA62A7">
        <w:rPr>
          <w:rFonts w:asciiTheme="minorHAnsi" w:hAnsiTheme="minorHAnsi" w:cstheme="minorHAnsi"/>
          <w:color w:val="2F5496" w:themeColor="accent5" w:themeShade="BF"/>
          <w:sz w:val="20"/>
        </w:rPr>
        <w:t>Pramen</w:t>
      </w:r>
      <w:r w:rsidRPr="00AA62A7">
        <w:rPr>
          <w:rFonts w:asciiTheme="minorHAnsi" w:hAnsiTheme="minorHAnsi" w:cstheme="minorHAnsi"/>
          <w:color w:val="13576B"/>
          <w:sz w:val="20"/>
        </w:rPr>
        <w:t xml:space="preserve">: </w:t>
      </w:r>
      <w:r>
        <w:rPr>
          <w:rFonts w:asciiTheme="minorHAnsi" w:hAnsiTheme="minorHAnsi" w:cstheme="minorHAnsi"/>
          <w:color w:val="13576B"/>
          <w:sz w:val="20"/>
        </w:rPr>
        <w:t xml:space="preserve">LSEG, </w:t>
      </w:r>
      <w:proofErr w:type="spellStart"/>
      <w:r>
        <w:rPr>
          <w:rFonts w:asciiTheme="minorHAnsi" w:hAnsiTheme="minorHAnsi" w:cstheme="minorHAnsi"/>
          <w:color w:val="13576B"/>
          <w:sz w:val="20"/>
        </w:rPr>
        <w:t>Macrobond</w:t>
      </w:r>
      <w:proofErr w:type="spellEnd"/>
      <w:r>
        <w:rPr>
          <w:rFonts w:asciiTheme="minorHAnsi" w:hAnsiTheme="minorHAnsi" w:cstheme="minorHAnsi"/>
          <w:color w:val="13576B"/>
          <w:sz w:val="20"/>
        </w:rPr>
        <w:t xml:space="preserve"> (</w:t>
      </w:r>
      <w:r w:rsidR="00BA3140">
        <w:rPr>
          <w:rFonts w:asciiTheme="minorHAnsi" w:hAnsiTheme="minorHAnsi" w:cstheme="minorHAnsi"/>
          <w:color w:val="13576B"/>
          <w:sz w:val="20"/>
        </w:rPr>
        <w:t>1</w:t>
      </w:r>
      <w:r w:rsidR="00AD4353">
        <w:rPr>
          <w:rFonts w:asciiTheme="minorHAnsi" w:hAnsiTheme="minorHAnsi" w:cstheme="minorHAnsi"/>
          <w:color w:val="13576B"/>
          <w:sz w:val="20"/>
        </w:rPr>
        <w:t>0</w:t>
      </w:r>
      <w:r>
        <w:rPr>
          <w:rFonts w:asciiTheme="minorHAnsi" w:hAnsiTheme="minorHAnsi" w:cstheme="minorHAnsi"/>
          <w:color w:val="13576B"/>
          <w:sz w:val="20"/>
        </w:rPr>
        <w:t xml:space="preserve">. </w:t>
      </w:r>
      <w:r w:rsidR="00AD4353">
        <w:rPr>
          <w:rFonts w:asciiTheme="minorHAnsi" w:hAnsiTheme="minorHAnsi" w:cstheme="minorHAnsi"/>
          <w:color w:val="13576B"/>
          <w:sz w:val="20"/>
        </w:rPr>
        <w:t>března</w:t>
      </w:r>
      <w:r w:rsidR="00055000">
        <w:rPr>
          <w:rFonts w:asciiTheme="minorHAnsi" w:hAnsiTheme="minorHAnsi" w:cstheme="minorHAnsi"/>
          <w:color w:val="13576B"/>
          <w:sz w:val="20"/>
        </w:rPr>
        <w:t xml:space="preserve"> </w:t>
      </w:r>
      <w:r>
        <w:rPr>
          <w:rFonts w:asciiTheme="minorHAnsi" w:hAnsiTheme="minorHAnsi" w:cstheme="minorHAnsi"/>
          <w:color w:val="13576B"/>
          <w:sz w:val="20"/>
        </w:rPr>
        <w:t>202</w:t>
      </w:r>
      <w:r w:rsidR="00BA3140">
        <w:rPr>
          <w:rFonts w:asciiTheme="minorHAnsi" w:hAnsiTheme="minorHAnsi" w:cstheme="minorHAnsi"/>
          <w:color w:val="13576B"/>
          <w:sz w:val="20"/>
        </w:rPr>
        <w:t>6</w:t>
      </w:r>
      <w:r>
        <w:rPr>
          <w:rFonts w:asciiTheme="minorHAnsi" w:hAnsiTheme="minorHAnsi" w:cstheme="minorHAnsi"/>
          <w:color w:val="13576B"/>
          <w:sz w:val="20"/>
        </w:rPr>
        <w:t xml:space="preserve">), </w:t>
      </w:r>
      <w:r w:rsidRPr="00AA62A7">
        <w:rPr>
          <w:rFonts w:asciiTheme="minorHAnsi" w:hAnsiTheme="minorHAnsi" w:cstheme="minorHAnsi"/>
          <w:color w:val="13576B"/>
          <w:sz w:val="20"/>
        </w:rPr>
        <w:t>ČB</w:t>
      </w:r>
      <w:r w:rsidR="00F20967">
        <w:rPr>
          <w:rFonts w:asciiTheme="minorHAnsi" w:hAnsiTheme="minorHAnsi" w:cstheme="minorHAnsi"/>
          <w:color w:val="13576B"/>
          <w:sz w:val="20"/>
        </w:rPr>
        <w:t>A</w:t>
      </w:r>
    </w:p>
    <w:p w14:paraId="1AF065D2" w14:textId="464EA7CD" w:rsidR="00F20967" w:rsidRPr="00606031" w:rsidRDefault="00F20967" w:rsidP="00DD1BFF">
      <w:pPr>
        <w:rPr>
          <w:rFonts w:ascii="Calibri" w:hAnsi="Calibri" w:cs="Calibri"/>
          <w:color w:val="000000" w:themeColor="text1"/>
          <w:sz w:val="22"/>
          <w:szCs w:val="22"/>
        </w:rPr>
        <w:sectPr w:rsidR="00F20967" w:rsidRPr="00606031" w:rsidSect="00606031">
          <w:type w:val="continuous"/>
          <w:pgSz w:w="11906" w:h="16838"/>
          <w:pgMar w:top="2552" w:right="849" w:bottom="1560" w:left="851" w:header="709" w:footer="283" w:gutter="0"/>
          <w:cols w:num="2" w:space="708"/>
          <w:docGrid w:linePitch="360"/>
        </w:sectPr>
      </w:pPr>
    </w:p>
    <w:p w14:paraId="602A8F07" w14:textId="77777777" w:rsidR="001B2E5E" w:rsidRDefault="001B2E5E" w:rsidP="00055000">
      <w:pPr>
        <w:overflowPunct/>
        <w:autoSpaceDE/>
        <w:autoSpaceDN/>
        <w:adjustRightInd/>
        <w:textAlignment w:val="auto"/>
        <w:rPr>
          <w:rFonts w:ascii="Calibri" w:hAnsi="Calibri" w:cs="Calibri"/>
          <w:b/>
          <w:bCs/>
          <w:color w:val="000000" w:themeColor="text1"/>
          <w:sz w:val="22"/>
          <w:szCs w:val="22"/>
        </w:rPr>
      </w:pPr>
    </w:p>
    <w:p w14:paraId="077932C6" w14:textId="60C9707D" w:rsidR="00D1522E" w:rsidRPr="00D1522E" w:rsidRDefault="006D49D0" w:rsidP="009C5D66">
      <w:pPr>
        <w:rPr>
          <w:rFonts w:ascii="Calibri" w:hAnsi="Calibri" w:cs="Calibri"/>
          <w:b/>
          <w:color w:val="13576B"/>
          <w:sz w:val="24"/>
          <w:szCs w:val="24"/>
        </w:rPr>
      </w:pPr>
      <w:bookmarkStart w:id="6" w:name="_Hlk100672905"/>
      <w:bookmarkEnd w:id="5"/>
      <w:r w:rsidRPr="006D49D0">
        <w:rPr>
          <w:rFonts w:ascii="Calibri" w:hAnsi="Calibri" w:cs="Calibri"/>
          <w:b/>
          <w:color w:val="13576B"/>
          <w:sz w:val="24"/>
          <w:szCs w:val="24"/>
        </w:rPr>
        <w:t>Dopady na průměrnou měsíční hypoteční splátku okolo 24,7 tisíc Kč</w:t>
      </w:r>
      <w:r w:rsidR="00D1522E" w:rsidRPr="00D1522E">
        <w:rPr>
          <w:rFonts w:ascii="Calibri" w:hAnsi="Calibri" w:cs="Calibri"/>
          <w:b/>
          <w:color w:val="13576B"/>
          <w:sz w:val="24"/>
          <w:szCs w:val="24"/>
        </w:rPr>
        <w:t xml:space="preserve">, ovšem s mediánem </w:t>
      </w:r>
      <w:r>
        <w:rPr>
          <w:rFonts w:ascii="Calibri" w:hAnsi="Calibri" w:cs="Calibri"/>
          <w:b/>
          <w:color w:val="13576B"/>
          <w:sz w:val="24"/>
          <w:szCs w:val="24"/>
        </w:rPr>
        <w:t xml:space="preserve">na </w:t>
      </w:r>
      <w:r w:rsidR="00D1522E" w:rsidRPr="00D1522E">
        <w:rPr>
          <w:rFonts w:ascii="Calibri" w:hAnsi="Calibri" w:cs="Calibri"/>
          <w:b/>
          <w:color w:val="13576B"/>
          <w:sz w:val="24"/>
          <w:szCs w:val="24"/>
        </w:rPr>
        <w:t>19</w:t>
      </w:r>
      <w:r>
        <w:rPr>
          <w:rFonts w:ascii="Calibri" w:hAnsi="Calibri" w:cs="Calibri"/>
          <w:b/>
          <w:color w:val="13576B"/>
          <w:sz w:val="24"/>
          <w:szCs w:val="24"/>
        </w:rPr>
        <w:t>,</w:t>
      </w:r>
      <w:r w:rsidR="00D1522E" w:rsidRPr="00D1522E">
        <w:rPr>
          <w:rFonts w:ascii="Calibri" w:hAnsi="Calibri" w:cs="Calibri"/>
          <w:b/>
          <w:color w:val="13576B"/>
          <w:sz w:val="24"/>
          <w:szCs w:val="24"/>
        </w:rPr>
        <w:t xml:space="preserve"> tisíc</w:t>
      </w:r>
    </w:p>
    <w:p w14:paraId="21211815" w14:textId="77777777" w:rsidR="00D1522E" w:rsidRDefault="00D1522E" w:rsidP="009C5D66">
      <w:pPr>
        <w:rPr>
          <w:rFonts w:ascii="Calibri" w:hAnsi="Calibri" w:cs="Calibri"/>
          <w:color w:val="000000" w:themeColor="text1"/>
          <w:sz w:val="22"/>
          <w:szCs w:val="22"/>
        </w:rPr>
      </w:pPr>
    </w:p>
    <w:p w14:paraId="5C0E7768" w14:textId="0E7C0FE2" w:rsidR="006D49D0" w:rsidRDefault="006D49D0" w:rsidP="006D49D0">
      <w:pPr>
        <w:rPr>
          <w:rFonts w:ascii="Calibri" w:hAnsi="Calibri" w:cs="Calibri"/>
          <w:color w:val="000000" w:themeColor="text1"/>
          <w:sz w:val="22"/>
          <w:szCs w:val="22"/>
        </w:rPr>
      </w:pPr>
      <w:r w:rsidRPr="006D49D0">
        <w:rPr>
          <w:rFonts w:ascii="Calibri" w:hAnsi="Calibri" w:cs="Calibri"/>
          <w:b/>
          <w:bCs/>
          <w:color w:val="000000" w:themeColor="text1"/>
          <w:sz w:val="22"/>
          <w:szCs w:val="22"/>
        </w:rPr>
        <w:t>Kombinace poklesu úrokové sazby a vyšší průměrné výše hypotéky v únoru 2026 ve srovnání s průměrnými hodnotami z roku 2025 zvýšily průměrnou měsíční splátku hypotéky o 2 tis. Kč.</w:t>
      </w:r>
      <w:r w:rsidRPr="006D49D0">
        <w:rPr>
          <w:rFonts w:ascii="Calibri" w:hAnsi="Calibri" w:cs="Calibri"/>
          <w:color w:val="000000" w:themeColor="text1"/>
          <w:sz w:val="22"/>
          <w:szCs w:val="22"/>
        </w:rPr>
        <w:t xml:space="preserve"> Scénáře vývoje měsíční splátky pro různé délky splatnosti hypotéky znázorňuje tabulka č. 2. Ta napovídá, že pokles hypotečních sazeb přes 0,1 procentního bodu vůči jejich průměrné výši 4,58 % v roce 2025 přinesl, pro průměrnou velikost hypotéky při jejím obvyklém přibližně 26,8letém splácení, snížení měsíční splátky o necelých 300 Kč na přibližně 24,7 tis. Kč, tedy o 0,3 % čistého příjmu žadatele v porovnání s průměrnou splátkou v minulém roce. Ve srovnání s průměrnou hypoteční sazbou 5,07 % v roce 2024 dosáhla úspora kvůli úrokové sazbě necelých 1 600 Kč pro hypotéku v její aktuální průměrné hodnotě. Ovšem současná průměrná výše hypotéky je o 10 % vyšší než její průměrná výše v roce 2024, což přispívá k navýšení měsíční splátky o 2,2 tis. Kč ve srovnání s průměrnou měsíční splátkou v minulém roce navázanou na loňskou průměrnou výši hypotéky ovšem při současné úrokové sazbě. </w:t>
      </w:r>
    </w:p>
    <w:p w14:paraId="7A8B4285" w14:textId="77777777" w:rsidR="006D49D0" w:rsidRPr="006D49D0" w:rsidRDefault="006D49D0" w:rsidP="006D49D0">
      <w:pPr>
        <w:rPr>
          <w:rFonts w:ascii="Calibri" w:hAnsi="Calibri" w:cs="Calibri"/>
          <w:color w:val="000000" w:themeColor="text1"/>
          <w:sz w:val="22"/>
          <w:szCs w:val="22"/>
        </w:rPr>
      </w:pPr>
    </w:p>
    <w:p w14:paraId="5D6AA88E" w14:textId="3207A8D3" w:rsidR="006D49D0" w:rsidRDefault="006D49D0" w:rsidP="006D49D0">
      <w:pPr>
        <w:rPr>
          <w:rFonts w:ascii="Calibri" w:hAnsi="Calibri" w:cs="Calibri"/>
          <w:color w:val="000000" w:themeColor="text1"/>
          <w:sz w:val="22"/>
          <w:szCs w:val="22"/>
        </w:rPr>
      </w:pPr>
      <w:r w:rsidRPr="006D49D0">
        <w:rPr>
          <w:rFonts w:ascii="Calibri" w:hAnsi="Calibri" w:cs="Calibri"/>
          <w:b/>
          <w:bCs/>
          <w:color w:val="000000" w:themeColor="text1"/>
          <w:sz w:val="22"/>
          <w:szCs w:val="22"/>
        </w:rPr>
        <w:t>Naopak, ve srovnání s průměrnou 2,8% úrokovou hypoteční sazbou pro nové hypotéky v roce 2019</w:t>
      </w:r>
      <w:r w:rsidRPr="006D49D0">
        <w:rPr>
          <w:rFonts w:ascii="Calibri" w:hAnsi="Calibri" w:cs="Calibri"/>
          <w:color w:val="000000" w:themeColor="text1"/>
          <w:sz w:val="22"/>
          <w:szCs w:val="22"/>
        </w:rPr>
        <w:t>, tak současná hypoteční sazba pro refinancování ve výši 4,43 % při zkrácení splatnosti úvěru zvedá měsíční splátky u průměrné hypotéky více než 1600 Kč, tedy asi o 3,2 % současné hrubé průměrné mzdy.</w:t>
      </w:r>
    </w:p>
    <w:p w14:paraId="127D4536" w14:textId="77777777" w:rsidR="00D1522E" w:rsidRDefault="00D1522E" w:rsidP="009C5D66">
      <w:pPr>
        <w:rPr>
          <w:rFonts w:ascii="Calibri" w:hAnsi="Calibri" w:cs="Calibri"/>
          <w:b/>
          <w:bCs/>
          <w:color w:val="000000" w:themeColor="text1"/>
          <w:sz w:val="22"/>
          <w:szCs w:val="22"/>
        </w:rPr>
      </w:pPr>
    </w:p>
    <w:p w14:paraId="1A267256" w14:textId="4D53EFB8" w:rsidR="009D3067" w:rsidRPr="00515ECA" w:rsidRDefault="009D3067" w:rsidP="008569DC">
      <w:pPr>
        <w:overflowPunct/>
        <w:autoSpaceDE/>
        <w:autoSpaceDN/>
        <w:adjustRightInd/>
        <w:spacing w:line="259" w:lineRule="auto"/>
        <w:textAlignment w:val="auto"/>
        <w:rPr>
          <w:rFonts w:ascii="Calibri" w:hAnsi="Calibri" w:cs="Calibri"/>
          <w:b/>
          <w:color w:val="13576B"/>
          <w:sz w:val="23"/>
          <w:szCs w:val="23"/>
        </w:rPr>
      </w:pPr>
      <w:bookmarkStart w:id="7" w:name="_Hlk190458144"/>
      <w:bookmarkEnd w:id="6"/>
      <w:r w:rsidRPr="00515ECA">
        <w:rPr>
          <w:rFonts w:ascii="Calibri" w:hAnsi="Calibri" w:cs="Calibri"/>
          <w:b/>
          <w:color w:val="13576B"/>
          <w:sz w:val="23"/>
          <w:szCs w:val="23"/>
        </w:rPr>
        <w:t xml:space="preserve">Tabulka č. 2: </w:t>
      </w:r>
      <w:r w:rsidR="004B441B">
        <w:rPr>
          <w:rFonts w:ascii="Calibri" w:hAnsi="Calibri" w:cs="Calibri"/>
          <w:b/>
          <w:color w:val="13576B"/>
          <w:sz w:val="23"/>
          <w:szCs w:val="23"/>
        </w:rPr>
        <w:t>Ilustrace</w:t>
      </w:r>
      <w:r w:rsidR="00EB1892">
        <w:rPr>
          <w:rFonts w:ascii="Calibri" w:hAnsi="Calibri" w:cs="Calibri"/>
          <w:b/>
          <w:color w:val="13576B"/>
          <w:sz w:val="23"/>
          <w:szCs w:val="23"/>
        </w:rPr>
        <w:t xml:space="preserve"> m</w:t>
      </w:r>
      <w:r w:rsidRPr="00515ECA">
        <w:rPr>
          <w:rFonts w:ascii="Calibri" w:hAnsi="Calibri" w:cs="Calibri"/>
          <w:b/>
          <w:color w:val="13576B"/>
          <w:sz w:val="23"/>
          <w:szCs w:val="23"/>
        </w:rPr>
        <w:t>ěsíční splátk</w:t>
      </w:r>
      <w:r w:rsidR="004B441B">
        <w:rPr>
          <w:rFonts w:ascii="Calibri" w:hAnsi="Calibri" w:cs="Calibri"/>
          <w:b/>
          <w:color w:val="13576B"/>
          <w:sz w:val="23"/>
          <w:szCs w:val="23"/>
        </w:rPr>
        <w:t>y</w:t>
      </w:r>
      <w:r w:rsidRPr="00515ECA">
        <w:rPr>
          <w:rFonts w:ascii="Calibri" w:hAnsi="Calibri" w:cs="Calibri"/>
          <w:b/>
          <w:color w:val="13576B"/>
          <w:sz w:val="23"/>
          <w:szCs w:val="23"/>
        </w:rPr>
        <w:t xml:space="preserve"> průměrné</w:t>
      </w:r>
      <w:r w:rsidR="00D1522E">
        <w:rPr>
          <w:rFonts w:ascii="Calibri" w:hAnsi="Calibri" w:cs="Calibri"/>
          <w:b/>
          <w:color w:val="13576B"/>
          <w:sz w:val="23"/>
          <w:szCs w:val="23"/>
        </w:rPr>
        <w:t xml:space="preserve"> a mediánové</w:t>
      </w:r>
      <w:r w:rsidRPr="00515ECA">
        <w:rPr>
          <w:rFonts w:ascii="Calibri" w:hAnsi="Calibri" w:cs="Calibri"/>
          <w:b/>
          <w:color w:val="13576B"/>
          <w:sz w:val="23"/>
          <w:szCs w:val="23"/>
        </w:rPr>
        <w:t xml:space="preserve"> hypotéky v závislosti na délce splatnosti a úrokové sazbě</w:t>
      </w:r>
    </w:p>
    <w:tbl>
      <w:tblPr>
        <w:tblW w:w="10419" w:type="dxa"/>
        <w:tblCellMar>
          <w:left w:w="70" w:type="dxa"/>
          <w:right w:w="70" w:type="dxa"/>
        </w:tblCellMar>
        <w:tblLook w:val="04A0" w:firstRow="1" w:lastRow="0" w:firstColumn="1" w:lastColumn="0" w:noHBand="0" w:noVBand="1"/>
      </w:tblPr>
      <w:tblGrid>
        <w:gridCol w:w="993"/>
        <w:gridCol w:w="821"/>
        <w:gridCol w:w="880"/>
        <w:gridCol w:w="850"/>
        <w:gridCol w:w="284"/>
        <w:gridCol w:w="567"/>
        <w:gridCol w:w="81"/>
        <w:gridCol w:w="770"/>
        <w:gridCol w:w="75"/>
        <w:gridCol w:w="776"/>
        <w:gridCol w:w="65"/>
        <w:gridCol w:w="95"/>
        <w:gridCol w:w="785"/>
        <w:gridCol w:w="737"/>
        <w:gridCol w:w="84"/>
        <w:gridCol w:w="694"/>
        <w:gridCol w:w="157"/>
        <w:gridCol w:w="647"/>
        <w:gridCol w:w="203"/>
        <w:gridCol w:w="784"/>
        <w:gridCol w:w="71"/>
      </w:tblGrid>
      <w:tr w:rsidR="004D6F30" w:rsidRPr="004D6F30" w14:paraId="21173EF6" w14:textId="77777777" w:rsidTr="00923A02">
        <w:trPr>
          <w:trHeight w:val="555"/>
        </w:trPr>
        <w:tc>
          <w:tcPr>
            <w:tcW w:w="4395" w:type="dxa"/>
            <w:gridSpan w:val="6"/>
            <w:tcBorders>
              <w:top w:val="nil"/>
              <w:left w:val="nil"/>
              <w:bottom w:val="single" w:sz="4" w:space="0" w:color="auto"/>
              <w:right w:val="nil"/>
            </w:tcBorders>
            <w:noWrap/>
            <w:vAlign w:val="center"/>
            <w:hideMark/>
          </w:tcPr>
          <w:p w14:paraId="58CFC4DD" w14:textId="724EBC0F" w:rsidR="004D6F30" w:rsidRPr="004D6F30" w:rsidRDefault="004D6F30" w:rsidP="004D6F30">
            <w:pPr>
              <w:overflowPunct/>
              <w:autoSpaceDE/>
              <w:autoSpaceDN/>
              <w:adjustRightInd/>
              <w:jc w:val="left"/>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 xml:space="preserve">Průměrná </w:t>
            </w:r>
            <w:r>
              <w:rPr>
                <w:rFonts w:ascii="Calibri Light" w:hAnsi="Calibri Light" w:cs="Calibri Light"/>
                <w:b/>
                <w:bCs/>
                <w:color w:val="000000"/>
                <w:sz w:val="22"/>
                <w:szCs w:val="22"/>
              </w:rPr>
              <w:t>výše</w:t>
            </w:r>
            <w:r w:rsidRPr="004D6F30">
              <w:rPr>
                <w:rFonts w:ascii="Calibri Light" w:hAnsi="Calibri Light" w:cs="Calibri Light"/>
                <w:b/>
                <w:bCs/>
                <w:color w:val="000000"/>
                <w:sz w:val="22"/>
                <w:szCs w:val="22"/>
              </w:rPr>
              <w:t xml:space="preserve"> nové hypotéky v Kč:</w:t>
            </w:r>
          </w:p>
        </w:tc>
        <w:tc>
          <w:tcPr>
            <w:tcW w:w="1702" w:type="dxa"/>
            <w:gridSpan w:val="4"/>
            <w:tcBorders>
              <w:top w:val="nil"/>
              <w:left w:val="nil"/>
              <w:bottom w:val="single" w:sz="4" w:space="0" w:color="auto"/>
              <w:right w:val="nil"/>
            </w:tcBorders>
            <w:vAlign w:val="center"/>
          </w:tcPr>
          <w:p w14:paraId="37211628" w14:textId="16DF7721" w:rsidR="004D6F30" w:rsidRPr="004D6F30" w:rsidRDefault="006D49D0" w:rsidP="006D49D0">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4 627</w:t>
            </w:r>
            <w:r>
              <w:rPr>
                <w:rFonts w:ascii="Calibri Light" w:hAnsi="Calibri Light" w:cs="Calibri Light"/>
                <w:b/>
                <w:bCs/>
                <w:color w:val="000000"/>
                <w:sz w:val="22"/>
                <w:szCs w:val="22"/>
              </w:rPr>
              <w:t> </w:t>
            </w:r>
            <w:r>
              <w:rPr>
                <w:rFonts w:ascii="Calibri Light" w:hAnsi="Calibri Light" w:cs="Calibri Light"/>
                <w:b/>
                <w:bCs/>
                <w:color w:val="000000"/>
                <w:sz w:val="22"/>
                <w:szCs w:val="22"/>
              </w:rPr>
              <w:t>910</w:t>
            </w:r>
          </w:p>
        </w:tc>
        <w:tc>
          <w:tcPr>
            <w:tcW w:w="160" w:type="dxa"/>
            <w:gridSpan w:val="2"/>
            <w:tcBorders>
              <w:top w:val="nil"/>
              <w:left w:val="nil"/>
              <w:bottom w:val="nil"/>
              <w:right w:val="nil"/>
            </w:tcBorders>
            <w:noWrap/>
            <w:vAlign w:val="center"/>
            <w:hideMark/>
          </w:tcPr>
          <w:p w14:paraId="0B5BC8E3"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p>
        </w:tc>
        <w:tc>
          <w:tcPr>
            <w:tcW w:w="2457" w:type="dxa"/>
            <w:gridSpan w:val="5"/>
            <w:tcBorders>
              <w:top w:val="nil"/>
              <w:left w:val="nil"/>
              <w:bottom w:val="single" w:sz="4" w:space="0" w:color="auto"/>
              <w:right w:val="nil"/>
            </w:tcBorders>
            <w:noWrap/>
            <w:vAlign w:val="center"/>
            <w:hideMark/>
          </w:tcPr>
          <w:p w14:paraId="5B366376" w14:textId="4967C257" w:rsidR="004D6F30" w:rsidRPr="004D6F30" w:rsidRDefault="004D6F30" w:rsidP="004D6F30">
            <w:pPr>
              <w:overflowPunct/>
              <w:autoSpaceDE/>
              <w:autoSpaceDN/>
              <w:adjustRightInd/>
              <w:jc w:val="left"/>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 xml:space="preserve">Mediánová </w:t>
            </w:r>
            <w:r>
              <w:rPr>
                <w:rFonts w:ascii="Calibri Light" w:hAnsi="Calibri Light" w:cs="Calibri Light"/>
                <w:b/>
                <w:bCs/>
                <w:color w:val="000000"/>
                <w:sz w:val="22"/>
                <w:szCs w:val="22"/>
              </w:rPr>
              <w:t>výše</w:t>
            </w:r>
            <w:r w:rsidRPr="004D6F30">
              <w:rPr>
                <w:rFonts w:ascii="Calibri Light" w:hAnsi="Calibri Light" w:cs="Calibri Light"/>
                <w:b/>
                <w:bCs/>
                <w:color w:val="000000"/>
                <w:sz w:val="22"/>
                <w:szCs w:val="22"/>
              </w:rPr>
              <w:t xml:space="preserve"> v Kč:</w:t>
            </w:r>
          </w:p>
        </w:tc>
        <w:tc>
          <w:tcPr>
            <w:tcW w:w="1705" w:type="dxa"/>
            <w:gridSpan w:val="4"/>
            <w:tcBorders>
              <w:top w:val="nil"/>
              <w:left w:val="nil"/>
              <w:bottom w:val="single" w:sz="4" w:space="0" w:color="auto"/>
              <w:right w:val="nil"/>
            </w:tcBorders>
            <w:noWrap/>
            <w:vAlign w:val="center"/>
            <w:hideMark/>
          </w:tcPr>
          <w:p w14:paraId="50928C25" w14:textId="53A143EB" w:rsidR="004D6F30" w:rsidRPr="004D6F30" w:rsidRDefault="006D49D0" w:rsidP="004D6F30">
            <w:pPr>
              <w:overflowPunct/>
              <w:autoSpaceDE/>
              <w:autoSpaceDN/>
              <w:adjustRightInd/>
              <w:jc w:val="center"/>
              <w:textAlignment w:val="auto"/>
              <w:rPr>
                <w:rFonts w:ascii="Calibri Light" w:hAnsi="Calibri Light" w:cs="Calibri Light"/>
                <w:b/>
                <w:bCs/>
                <w:color w:val="000000"/>
                <w:sz w:val="22"/>
                <w:szCs w:val="22"/>
              </w:rPr>
            </w:pPr>
            <w:r w:rsidRPr="006D49D0">
              <w:rPr>
                <w:rFonts w:ascii="Calibri Light" w:hAnsi="Calibri Light" w:cs="Calibri Light"/>
                <w:b/>
                <w:bCs/>
                <w:color w:val="000000"/>
                <w:sz w:val="22"/>
                <w:szCs w:val="22"/>
              </w:rPr>
              <w:t>3 877 66</w:t>
            </w:r>
            <w:r>
              <w:rPr>
                <w:rFonts w:ascii="Calibri Light" w:hAnsi="Calibri Light" w:cs="Calibri Light"/>
                <w:b/>
                <w:bCs/>
                <w:color w:val="000000"/>
                <w:sz w:val="22"/>
                <w:szCs w:val="22"/>
              </w:rPr>
              <w:t>0</w:t>
            </w:r>
          </w:p>
        </w:tc>
      </w:tr>
      <w:tr w:rsidR="004D6F30" w:rsidRPr="004D6F30" w14:paraId="503E020F" w14:textId="77777777" w:rsidTr="004D6F30">
        <w:trPr>
          <w:trHeight w:val="300"/>
        </w:trPr>
        <w:tc>
          <w:tcPr>
            <w:tcW w:w="1814" w:type="dxa"/>
            <w:gridSpan w:val="2"/>
            <w:tcBorders>
              <w:top w:val="nil"/>
              <w:left w:val="nil"/>
              <w:bottom w:val="single" w:sz="4" w:space="0" w:color="auto"/>
              <w:right w:val="nil"/>
            </w:tcBorders>
            <w:noWrap/>
            <w:vAlign w:val="bottom"/>
            <w:hideMark/>
          </w:tcPr>
          <w:p w14:paraId="13D71CD7" w14:textId="77777777" w:rsidR="004D6F30" w:rsidRPr="004D6F30" w:rsidRDefault="004D6F30" w:rsidP="004D6F30">
            <w:pPr>
              <w:overflowPunct/>
              <w:autoSpaceDE/>
              <w:autoSpaceDN/>
              <w:adjustRightInd/>
              <w:jc w:val="left"/>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Průměrná úroková sazba v %:</w:t>
            </w:r>
          </w:p>
        </w:tc>
        <w:tc>
          <w:tcPr>
            <w:tcW w:w="880" w:type="dxa"/>
            <w:tcBorders>
              <w:top w:val="nil"/>
              <w:left w:val="nil"/>
              <w:bottom w:val="single" w:sz="4" w:space="0" w:color="auto"/>
              <w:right w:val="nil"/>
            </w:tcBorders>
            <w:noWrap/>
            <w:vAlign w:val="center"/>
            <w:hideMark/>
          </w:tcPr>
          <w:p w14:paraId="3E7A23CC"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2,0</w:t>
            </w:r>
          </w:p>
        </w:tc>
        <w:tc>
          <w:tcPr>
            <w:tcW w:w="850" w:type="dxa"/>
            <w:tcBorders>
              <w:top w:val="nil"/>
              <w:left w:val="nil"/>
              <w:bottom w:val="single" w:sz="4" w:space="0" w:color="auto"/>
              <w:right w:val="nil"/>
            </w:tcBorders>
            <w:noWrap/>
            <w:vAlign w:val="center"/>
            <w:hideMark/>
          </w:tcPr>
          <w:p w14:paraId="6EBC0BB8"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4,0</w:t>
            </w:r>
          </w:p>
        </w:tc>
        <w:tc>
          <w:tcPr>
            <w:tcW w:w="851" w:type="dxa"/>
            <w:gridSpan w:val="2"/>
            <w:tcBorders>
              <w:top w:val="nil"/>
              <w:left w:val="nil"/>
              <w:bottom w:val="single" w:sz="4" w:space="0" w:color="auto"/>
              <w:right w:val="nil"/>
            </w:tcBorders>
            <w:shd w:val="clear" w:color="000000" w:fill="DAF3EA"/>
            <w:noWrap/>
            <w:vAlign w:val="center"/>
            <w:hideMark/>
          </w:tcPr>
          <w:p w14:paraId="3F1A7E0A"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4,48</w:t>
            </w:r>
          </w:p>
        </w:tc>
        <w:tc>
          <w:tcPr>
            <w:tcW w:w="851" w:type="dxa"/>
            <w:gridSpan w:val="2"/>
            <w:tcBorders>
              <w:top w:val="nil"/>
              <w:left w:val="nil"/>
              <w:bottom w:val="single" w:sz="4" w:space="0" w:color="auto"/>
              <w:right w:val="nil"/>
            </w:tcBorders>
            <w:noWrap/>
            <w:vAlign w:val="center"/>
            <w:hideMark/>
          </w:tcPr>
          <w:p w14:paraId="76622A8F"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5,0</w:t>
            </w:r>
          </w:p>
        </w:tc>
        <w:tc>
          <w:tcPr>
            <w:tcW w:w="851" w:type="dxa"/>
            <w:gridSpan w:val="2"/>
            <w:tcBorders>
              <w:top w:val="nil"/>
              <w:left w:val="nil"/>
              <w:bottom w:val="single" w:sz="4" w:space="0" w:color="auto"/>
              <w:right w:val="nil"/>
            </w:tcBorders>
            <w:noWrap/>
            <w:vAlign w:val="center"/>
            <w:hideMark/>
          </w:tcPr>
          <w:p w14:paraId="2F07A37D"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6,0</w:t>
            </w:r>
          </w:p>
        </w:tc>
        <w:tc>
          <w:tcPr>
            <w:tcW w:w="160" w:type="dxa"/>
            <w:gridSpan w:val="2"/>
            <w:tcBorders>
              <w:top w:val="nil"/>
              <w:left w:val="nil"/>
              <w:bottom w:val="nil"/>
              <w:right w:val="nil"/>
            </w:tcBorders>
            <w:noWrap/>
            <w:vAlign w:val="bottom"/>
            <w:hideMark/>
          </w:tcPr>
          <w:p w14:paraId="5317CFD8"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p>
        </w:tc>
        <w:tc>
          <w:tcPr>
            <w:tcW w:w="785" w:type="dxa"/>
            <w:tcBorders>
              <w:top w:val="nil"/>
              <w:left w:val="nil"/>
              <w:bottom w:val="single" w:sz="4" w:space="0" w:color="auto"/>
              <w:right w:val="nil"/>
            </w:tcBorders>
            <w:noWrap/>
            <w:vAlign w:val="center"/>
            <w:hideMark/>
          </w:tcPr>
          <w:p w14:paraId="538D7EB7"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2,0</w:t>
            </w:r>
          </w:p>
        </w:tc>
        <w:tc>
          <w:tcPr>
            <w:tcW w:w="821" w:type="dxa"/>
            <w:gridSpan w:val="2"/>
            <w:tcBorders>
              <w:top w:val="nil"/>
              <w:left w:val="nil"/>
              <w:bottom w:val="single" w:sz="4" w:space="0" w:color="auto"/>
              <w:right w:val="nil"/>
            </w:tcBorders>
            <w:noWrap/>
            <w:vAlign w:val="center"/>
            <w:hideMark/>
          </w:tcPr>
          <w:p w14:paraId="764305DF"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4,0</w:t>
            </w:r>
          </w:p>
        </w:tc>
        <w:tc>
          <w:tcPr>
            <w:tcW w:w="851" w:type="dxa"/>
            <w:gridSpan w:val="2"/>
            <w:tcBorders>
              <w:top w:val="nil"/>
              <w:left w:val="nil"/>
              <w:bottom w:val="single" w:sz="4" w:space="0" w:color="auto"/>
              <w:right w:val="nil"/>
            </w:tcBorders>
            <w:shd w:val="clear" w:color="000000" w:fill="DAF3EA"/>
            <w:noWrap/>
            <w:vAlign w:val="center"/>
            <w:hideMark/>
          </w:tcPr>
          <w:p w14:paraId="04454296"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4,48</w:t>
            </w:r>
          </w:p>
        </w:tc>
        <w:tc>
          <w:tcPr>
            <w:tcW w:w="850" w:type="dxa"/>
            <w:gridSpan w:val="2"/>
            <w:tcBorders>
              <w:top w:val="nil"/>
              <w:left w:val="nil"/>
              <w:bottom w:val="single" w:sz="4" w:space="0" w:color="auto"/>
              <w:right w:val="nil"/>
            </w:tcBorders>
            <w:noWrap/>
            <w:vAlign w:val="center"/>
            <w:hideMark/>
          </w:tcPr>
          <w:p w14:paraId="701830A8"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5,0</w:t>
            </w:r>
          </w:p>
        </w:tc>
        <w:tc>
          <w:tcPr>
            <w:tcW w:w="855" w:type="dxa"/>
            <w:gridSpan w:val="2"/>
            <w:tcBorders>
              <w:top w:val="nil"/>
              <w:left w:val="nil"/>
              <w:bottom w:val="single" w:sz="4" w:space="0" w:color="auto"/>
              <w:right w:val="nil"/>
            </w:tcBorders>
            <w:noWrap/>
            <w:vAlign w:val="center"/>
            <w:hideMark/>
          </w:tcPr>
          <w:p w14:paraId="6B0F97C3"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6,0</w:t>
            </w:r>
          </w:p>
        </w:tc>
      </w:tr>
      <w:tr w:rsidR="004D6F30" w:rsidRPr="004D6F30" w14:paraId="79B41599" w14:textId="77777777" w:rsidTr="004D6F30">
        <w:trPr>
          <w:trHeight w:val="300"/>
        </w:trPr>
        <w:tc>
          <w:tcPr>
            <w:tcW w:w="993" w:type="dxa"/>
            <w:tcBorders>
              <w:top w:val="nil"/>
              <w:left w:val="nil"/>
              <w:bottom w:val="nil"/>
              <w:right w:val="nil"/>
            </w:tcBorders>
            <w:noWrap/>
            <w:vAlign w:val="bottom"/>
            <w:hideMark/>
          </w:tcPr>
          <w:p w14:paraId="75E1DAC7" w14:textId="77777777" w:rsidR="004D6F30" w:rsidRPr="004D6F30" w:rsidRDefault="004D6F30" w:rsidP="004D6F30">
            <w:pPr>
              <w:overflowPunct/>
              <w:autoSpaceDE/>
              <w:autoSpaceDN/>
              <w:adjustRightInd/>
              <w:jc w:val="left"/>
              <w:textAlignment w:val="auto"/>
              <w:rPr>
                <w:rFonts w:ascii="Calibri" w:hAnsi="Calibri" w:cs="Calibri"/>
                <w:color w:val="000000"/>
                <w:sz w:val="22"/>
                <w:szCs w:val="22"/>
              </w:rPr>
            </w:pPr>
            <w:r w:rsidRPr="004D6F30">
              <w:rPr>
                <w:rFonts w:ascii="Calibri" w:hAnsi="Calibri" w:cs="Calibri"/>
                <w:color w:val="000000"/>
                <w:sz w:val="22"/>
                <w:szCs w:val="22"/>
              </w:rPr>
              <w:t> </w:t>
            </w:r>
          </w:p>
        </w:tc>
        <w:tc>
          <w:tcPr>
            <w:tcW w:w="821" w:type="dxa"/>
            <w:tcBorders>
              <w:top w:val="nil"/>
              <w:left w:val="nil"/>
              <w:bottom w:val="nil"/>
              <w:right w:val="nil"/>
            </w:tcBorders>
            <w:noWrap/>
            <w:vAlign w:val="bottom"/>
            <w:hideMark/>
          </w:tcPr>
          <w:p w14:paraId="7493029F" w14:textId="77777777" w:rsidR="004D6F30" w:rsidRPr="004D6F30" w:rsidRDefault="004D6F30" w:rsidP="004D6F30">
            <w:pPr>
              <w:overflowPunct/>
              <w:autoSpaceDE/>
              <w:autoSpaceDN/>
              <w:adjustRightInd/>
              <w:jc w:val="left"/>
              <w:textAlignment w:val="auto"/>
              <w:rPr>
                <w:rFonts w:ascii="Calibri" w:hAnsi="Calibri" w:cs="Calibri"/>
                <w:color w:val="000000"/>
                <w:sz w:val="22"/>
                <w:szCs w:val="22"/>
              </w:rPr>
            </w:pPr>
            <w:r w:rsidRPr="004D6F30">
              <w:rPr>
                <w:rFonts w:ascii="Calibri" w:hAnsi="Calibri" w:cs="Calibri"/>
                <w:color w:val="000000"/>
                <w:sz w:val="22"/>
                <w:szCs w:val="22"/>
              </w:rPr>
              <w:t> </w:t>
            </w:r>
          </w:p>
        </w:tc>
        <w:tc>
          <w:tcPr>
            <w:tcW w:w="4283" w:type="dxa"/>
            <w:gridSpan w:val="8"/>
            <w:tcBorders>
              <w:top w:val="single" w:sz="4" w:space="0" w:color="auto"/>
              <w:left w:val="nil"/>
              <w:bottom w:val="single" w:sz="4" w:space="0" w:color="auto"/>
              <w:right w:val="nil"/>
            </w:tcBorders>
            <w:noWrap/>
            <w:vAlign w:val="bottom"/>
            <w:hideMark/>
          </w:tcPr>
          <w:p w14:paraId="46D87131"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Průměrná měsíční splátka:</w:t>
            </w:r>
          </w:p>
        </w:tc>
        <w:tc>
          <w:tcPr>
            <w:tcW w:w="160" w:type="dxa"/>
            <w:gridSpan w:val="2"/>
            <w:tcBorders>
              <w:top w:val="nil"/>
              <w:left w:val="nil"/>
              <w:bottom w:val="nil"/>
              <w:right w:val="nil"/>
            </w:tcBorders>
            <w:noWrap/>
            <w:vAlign w:val="bottom"/>
            <w:hideMark/>
          </w:tcPr>
          <w:p w14:paraId="787B4023"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p>
        </w:tc>
        <w:tc>
          <w:tcPr>
            <w:tcW w:w="4162" w:type="dxa"/>
            <w:gridSpan w:val="9"/>
            <w:tcBorders>
              <w:top w:val="single" w:sz="4" w:space="0" w:color="auto"/>
              <w:left w:val="nil"/>
              <w:bottom w:val="single" w:sz="4" w:space="0" w:color="auto"/>
              <w:right w:val="nil"/>
            </w:tcBorders>
            <w:noWrap/>
            <w:vAlign w:val="bottom"/>
            <w:hideMark/>
          </w:tcPr>
          <w:p w14:paraId="2B5868AA" w14:textId="77777777" w:rsidR="004D6F30" w:rsidRPr="004D6F30" w:rsidRDefault="004D6F30" w:rsidP="004D6F3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Mediánová měsíční splátka:</w:t>
            </w:r>
          </w:p>
        </w:tc>
      </w:tr>
      <w:tr w:rsidR="006D49D0" w:rsidRPr="004D6F30" w14:paraId="200FE846" w14:textId="77777777" w:rsidTr="004D6F30">
        <w:trPr>
          <w:trHeight w:val="300"/>
        </w:trPr>
        <w:tc>
          <w:tcPr>
            <w:tcW w:w="993" w:type="dxa"/>
            <w:vMerge w:val="restart"/>
            <w:tcBorders>
              <w:top w:val="nil"/>
              <w:left w:val="nil"/>
              <w:bottom w:val="single" w:sz="4" w:space="0" w:color="000000"/>
              <w:right w:val="nil"/>
            </w:tcBorders>
            <w:vAlign w:val="center"/>
            <w:hideMark/>
          </w:tcPr>
          <w:p w14:paraId="0CAD989A" w14:textId="77777777"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sidRPr="004D6F30">
              <w:rPr>
                <w:rFonts w:ascii="Calibri Light" w:hAnsi="Calibri Light" w:cs="Calibri Light"/>
                <w:color w:val="000000"/>
                <w:sz w:val="22"/>
                <w:szCs w:val="22"/>
              </w:rPr>
              <w:t>Splatnost hypotéky v letech:</w:t>
            </w:r>
          </w:p>
        </w:tc>
        <w:tc>
          <w:tcPr>
            <w:tcW w:w="821" w:type="dxa"/>
            <w:tcBorders>
              <w:top w:val="nil"/>
              <w:left w:val="nil"/>
              <w:bottom w:val="nil"/>
              <w:right w:val="nil"/>
            </w:tcBorders>
            <w:noWrap/>
            <w:vAlign w:val="bottom"/>
            <w:hideMark/>
          </w:tcPr>
          <w:p w14:paraId="7AC415E5" w14:textId="77777777"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sidRPr="004D6F30">
              <w:rPr>
                <w:rFonts w:ascii="Calibri Light" w:hAnsi="Calibri Light" w:cs="Calibri Light"/>
                <w:color w:val="000000"/>
                <w:sz w:val="22"/>
                <w:szCs w:val="22"/>
              </w:rPr>
              <w:t>15</w:t>
            </w:r>
          </w:p>
        </w:tc>
        <w:tc>
          <w:tcPr>
            <w:tcW w:w="880" w:type="dxa"/>
            <w:tcBorders>
              <w:top w:val="nil"/>
              <w:left w:val="nil"/>
              <w:bottom w:val="nil"/>
              <w:right w:val="nil"/>
            </w:tcBorders>
            <w:noWrap/>
            <w:vAlign w:val="center"/>
            <w:hideMark/>
          </w:tcPr>
          <w:p w14:paraId="4F88FD1C" w14:textId="25290CE8"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29 780</w:t>
            </w:r>
          </w:p>
        </w:tc>
        <w:tc>
          <w:tcPr>
            <w:tcW w:w="850" w:type="dxa"/>
            <w:tcBorders>
              <w:top w:val="nil"/>
              <w:left w:val="nil"/>
              <w:bottom w:val="nil"/>
              <w:right w:val="nil"/>
            </w:tcBorders>
            <w:noWrap/>
            <w:vAlign w:val="center"/>
            <w:hideMark/>
          </w:tcPr>
          <w:p w14:paraId="5562EC05" w14:textId="766AA82C"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34 230</w:t>
            </w:r>
          </w:p>
        </w:tc>
        <w:tc>
          <w:tcPr>
            <w:tcW w:w="851" w:type="dxa"/>
            <w:gridSpan w:val="2"/>
            <w:tcBorders>
              <w:top w:val="nil"/>
              <w:left w:val="nil"/>
              <w:bottom w:val="nil"/>
              <w:right w:val="nil"/>
            </w:tcBorders>
            <w:shd w:val="clear" w:color="000000" w:fill="DAF3EA"/>
            <w:noWrap/>
            <w:vAlign w:val="center"/>
            <w:hideMark/>
          </w:tcPr>
          <w:p w14:paraId="4F055548" w14:textId="66C2230D"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35 360</w:t>
            </w:r>
          </w:p>
        </w:tc>
        <w:tc>
          <w:tcPr>
            <w:tcW w:w="851" w:type="dxa"/>
            <w:gridSpan w:val="2"/>
            <w:tcBorders>
              <w:top w:val="nil"/>
              <w:left w:val="nil"/>
              <w:bottom w:val="nil"/>
              <w:right w:val="nil"/>
            </w:tcBorders>
            <w:noWrap/>
            <w:vAlign w:val="center"/>
            <w:hideMark/>
          </w:tcPr>
          <w:p w14:paraId="1AA5805A" w14:textId="44115A53"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36 600</w:t>
            </w:r>
          </w:p>
        </w:tc>
        <w:tc>
          <w:tcPr>
            <w:tcW w:w="851" w:type="dxa"/>
            <w:gridSpan w:val="2"/>
            <w:tcBorders>
              <w:top w:val="nil"/>
              <w:left w:val="nil"/>
              <w:bottom w:val="nil"/>
              <w:right w:val="nil"/>
            </w:tcBorders>
            <w:noWrap/>
            <w:vAlign w:val="center"/>
            <w:hideMark/>
          </w:tcPr>
          <w:p w14:paraId="5A39C453" w14:textId="1C6F43C2"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39 050</w:t>
            </w:r>
          </w:p>
        </w:tc>
        <w:tc>
          <w:tcPr>
            <w:tcW w:w="160" w:type="dxa"/>
            <w:gridSpan w:val="2"/>
            <w:tcBorders>
              <w:top w:val="nil"/>
              <w:left w:val="nil"/>
              <w:bottom w:val="nil"/>
              <w:right w:val="nil"/>
            </w:tcBorders>
            <w:noWrap/>
            <w:vAlign w:val="bottom"/>
            <w:hideMark/>
          </w:tcPr>
          <w:p w14:paraId="752D96DD" w14:textId="77777777"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p>
        </w:tc>
        <w:tc>
          <w:tcPr>
            <w:tcW w:w="785" w:type="dxa"/>
            <w:tcBorders>
              <w:top w:val="nil"/>
              <w:left w:val="nil"/>
              <w:bottom w:val="nil"/>
              <w:right w:val="nil"/>
            </w:tcBorders>
            <w:noWrap/>
            <w:vAlign w:val="center"/>
            <w:hideMark/>
          </w:tcPr>
          <w:p w14:paraId="7101A002" w14:textId="16878EC1"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24 950</w:t>
            </w:r>
          </w:p>
        </w:tc>
        <w:tc>
          <w:tcPr>
            <w:tcW w:w="821" w:type="dxa"/>
            <w:gridSpan w:val="2"/>
            <w:tcBorders>
              <w:top w:val="nil"/>
              <w:left w:val="nil"/>
              <w:bottom w:val="nil"/>
              <w:right w:val="nil"/>
            </w:tcBorders>
            <w:noWrap/>
            <w:vAlign w:val="center"/>
            <w:hideMark/>
          </w:tcPr>
          <w:p w14:paraId="66645327" w14:textId="5DD2EB82"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28 680</w:t>
            </w:r>
          </w:p>
        </w:tc>
        <w:tc>
          <w:tcPr>
            <w:tcW w:w="851" w:type="dxa"/>
            <w:gridSpan w:val="2"/>
            <w:tcBorders>
              <w:top w:val="nil"/>
              <w:left w:val="nil"/>
              <w:bottom w:val="nil"/>
              <w:right w:val="nil"/>
            </w:tcBorders>
            <w:shd w:val="clear" w:color="000000" w:fill="DAF3EA"/>
            <w:noWrap/>
            <w:vAlign w:val="center"/>
            <w:hideMark/>
          </w:tcPr>
          <w:p w14:paraId="31D6E4B2" w14:textId="7B68AC1E"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29 630</w:t>
            </w:r>
          </w:p>
        </w:tc>
        <w:tc>
          <w:tcPr>
            <w:tcW w:w="850" w:type="dxa"/>
            <w:gridSpan w:val="2"/>
            <w:tcBorders>
              <w:top w:val="nil"/>
              <w:left w:val="nil"/>
              <w:bottom w:val="nil"/>
              <w:right w:val="nil"/>
            </w:tcBorders>
            <w:noWrap/>
            <w:vAlign w:val="center"/>
            <w:hideMark/>
          </w:tcPr>
          <w:p w14:paraId="1C105F3A" w14:textId="092069D1"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30 660</w:t>
            </w:r>
          </w:p>
        </w:tc>
        <w:tc>
          <w:tcPr>
            <w:tcW w:w="855" w:type="dxa"/>
            <w:gridSpan w:val="2"/>
            <w:tcBorders>
              <w:top w:val="nil"/>
              <w:left w:val="nil"/>
              <w:bottom w:val="nil"/>
              <w:right w:val="nil"/>
            </w:tcBorders>
            <w:noWrap/>
            <w:vAlign w:val="center"/>
            <w:hideMark/>
          </w:tcPr>
          <w:p w14:paraId="3B21F063" w14:textId="72D7F730"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32 720</w:t>
            </w:r>
          </w:p>
        </w:tc>
      </w:tr>
      <w:tr w:rsidR="006D49D0" w:rsidRPr="004D6F30" w14:paraId="3CABF4E3" w14:textId="77777777" w:rsidTr="004D6F30">
        <w:trPr>
          <w:trHeight w:val="300"/>
        </w:trPr>
        <w:tc>
          <w:tcPr>
            <w:tcW w:w="993" w:type="dxa"/>
            <w:vMerge/>
            <w:tcBorders>
              <w:top w:val="nil"/>
              <w:left w:val="nil"/>
              <w:bottom w:val="single" w:sz="4" w:space="0" w:color="000000"/>
              <w:right w:val="nil"/>
            </w:tcBorders>
            <w:vAlign w:val="center"/>
            <w:hideMark/>
          </w:tcPr>
          <w:p w14:paraId="1D4E84E5" w14:textId="77777777" w:rsidR="006D49D0" w:rsidRPr="004D6F30" w:rsidRDefault="006D49D0" w:rsidP="006D49D0">
            <w:pPr>
              <w:overflowPunct/>
              <w:autoSpaceDE/>
              <w:autoSpaceDN/>
              <w:adjustRightInd/>
              <w:jc w:val="left"/>
              <w:textAlignment w:val="auto"/>
              <w:rPr>
                <w:rFonts w:ascii="Calibri Light" w:hAnsi="Calibri Light" w:cs="Calibri Light"/>
                <w:color w:val="000000"/>
                <w:sz w:val="22"/>
                <w:szCs w:val="22"/>
              </w:rPr>
            </w:pPr>
          </w:p>
        </w:tc>
        <w:tc>
          <w:tcPr>
            <w:tcW w:w="821" w:type="dxa"/>
            <w:tcBorders>
              <w:top w:val="nil"/>
              <w:left w:val="nil"/>
              <w:bottom w:val="nil"/>
              <w:right w:val="nil"/>
            </w:tcBorders>
            <w:noWrap/>
            <w:vAlign w:val="bottom"/>
            <w:hideMark/>
          </w:tcPr>
          <w:p w14:paraId="684D1942" w14:textId="77777777"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sidRPr="004D6F30">
              <w:rPr>
                <w:rFonts w:ascii="Calibri Light" w:hAnsi="Calibri Light" w:cs="Calibri Light"/>
                <w:color w:val="000000"/>
                <w:sz w:val="22"/>
                <w:szCs w:val="22"/>
              </w:rPr>
              <w:t>20</w:t>
            </w:r>
          </w:p>
        </w:tc>
        <w:tc>
          <w:tcPr>
            <w:tcW w:w="880" w:type="dxa"/>
            <w:tcBorders>
              <w:top w:val="nil"/>
              <w:left w:val="nil"/>
              <w:bottom w:val="nil"/>
              <w:right w:val="nil"/>
            </w:tcBorders>
            <w:noWrap/>
            <w:vAlign w:val="center"/>
            <w:hideMark/>
          </w:tcPr>
          <w:p w14:paraId="70CEF189" w14:textId="219C8C3F"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23 410</w:t>
            </w:r>
          </w:p>
        </w:tc>
        <w:tc>
          <w:tcPr>
            <w:tcW w:w="850" w:type="dxa"/>
            <w:tcBorders>
              <w:top w:val="nil"/>
              <w:left w:val="nil"/>
              <w:bottom w:val="nil"/>
              <w:right w:val="nil"/>
            </w:tcBorders>
            <w:noWrap/>
            <w:vAlign w:val="center"/>
            <w:hideMark/>
          </w:tcPr>
          <w:p w14:paraId="4E14F893" w14:textId="28562F5A"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28 040</w:t>
            </w:r>
          </w:p>
        </w:tc>
        <w:tc>
          <w:tcPr>
            <w:tcW w:w="851" w:type="dxa"/>
            <w:gridSpan w:val="2"/>
            <w:tcBorders>
              <w:top w:val="nil"/>
              <w:left w:val="nil"/>
              <w:bottom w:val="nil"/>
              <w:right w:val="nil"/>
            </w:tcBorders>
            <w:shd w:val="clear" w:color="000000" w:fill="DAF3EA"/>
            <w:noWrap/>
            <w:vAlign w:val="center"/>
            <w:hideMark/>
          </w:tcPr>
          <w:p w14:paraId="1590F725" w14:textId="3989C1CE"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29 240</w:t>
            </w:r>
          </w:p>
        </w:tc>
        <w:tc>
          <w:tcPr>
            <w:tcW w:w="851" w:type="dxa"/>
            <w:gridSpan w:val="2"/>
            <w:tcBorders>
              <w:top w:val="nil"/>
              <w:left w:val="nil"/>
              <w:bottom w:val="nil"/>
              <w:right w:val="nil"/>
            </w:tcBorders>
            <w:noWrap/>
            <w:vAlign w:val="center"/>
            <w:hideMark/>
          </w:tcPr>
          <w:p w14:paraId="756614D0" w14:textId="55BC2E01"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30 540</w:t>
            </w:r>
          </w:p>
        </w:tc>
        <w:tc>
          <w:tcPr>
            <w:tcW w:w="851" w:type="dxa"/>
            <w:gridSpan w:val="2"/>
            <w:tcBorders>
              <w:top w:val="nil"/>
              <w:left w:val="nil"/>
              <w:bottom w:val="nil"/>
              <w:right w:val="nil"/>
            </w:tcBorders>
            <w:noWrap/>
            <w:vAlign w:val="center"/>
            <w:hideMark/>
          </w:tcPr>
          <w:p w14:paraId="68396F9D" w14:textId="6DA63902"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33 160</w:t>
            </w:r>
          </w:p>
        </w:tc>
        <w:tc>
          <w:tcPr>
            <w:tcW w:w="160" w:type="dxa"/>
            <w:gridSpan w:val="2"/>
            <w:tcBorders>
              <w:top w:val="nil"/>
              <w:left w:val="nil"/>
              <w:bottom w:val="nil"/>
              <w:right w:val="nil"/>
            </w:tcBorders>
            <w:noWrap/>
            <w:vAlign w:val="bottom"/>
            <w:hideMark/>
          </w:tcPr>
          <w:p w14:paraId="7E7BC434" w14:textId="77777777"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p>
        </w:tc>
        <w:tc>
          <w:tcPr>
            <w:tcW w:w="785" w:type="dxa"/>
            <w:tcBorders>
              <w:top w:val="nil"/>
              <w:left w:val="nil"/>
              <w:bottom w:val="nil"/>
              <w:right w:val="nil"/>
            </w:tcBorders>
            <w:noWrap/>
            <w:vAlign w:val="center"/>
            <w:hideMark/>
          </w:tcPr>
          <w:p w14:paraId="6D230DDA" w14:textId="57485A57"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19 620</w:t>
            </w:r>
          </w:p>
        </w:tc>
        <w:tc>
          <w:tcPr>
            <w:tcW w:w="821" w:type="dxa"/>
            <w:gridSpan w:val="2"/>
            <w:tcBorders>
              <w:top w:val="nil"/>
              <w:left w:val="nil"/>
              <w:bottom w:val="nil"/>
              <w:right w:val="nil"/>
            </w:tcBorders>
            <w:noWrap/>
            <w:vAlign w:val="center"/>
            <w:hideMark/>
          </w:tcPr>
          <w:p w14:paraId="74D753E9" w14:textId="65974FA4"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23 500</w:t>
            </w:r>
          </w:p>
        </w:tc>
        <w:tc>
          <w:tcPr>
            <w:tcW w:w="851" w:type="dxa"/>
            <w:gridSpan w:val="2"/>
            <w:tcBorders>
              <w:top w:val="nil"/>
              <w:left w:val="nil"/>
              <w:bottom w:val="nil"/>
              <w:right w:val="nil"/>
            </w:tcBorders>
            <w:shd w:val="clear" w:color="000000" w:fill="DAF3EA"/>
            <w:noWrap/>
            <w:vAlign w:val="center"/>
            <w:hideMark/>
          </w:tcPr>
          <w:p w14:paraId="03BB0B42" w14:textId="73F46D26"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24 500</w:t>
            </w:r>
          </w:p>
        </w:tc>
        <w:tc>
          <w:tcPr>
            <w:tcW w:w="850" w:type="dxa"/>
            <w:gridSpan w:val="2"/>
            <w:tcBorders>
              <w:top w:val="nil"/>
              <w:left w:val="nil"/>
              <w:bottom w:val="nil"/>
              <w:right w:val="nil"/>
            </w:tcBorders>
            <w:noWrap/>
            <w:vAlign w:val="center"/>
            <w:hideMark/>
          </w:tcPr>
          <w:p w14:paraId="39AB8EF6" w14:textId="058A4CCF"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25 590</w:t>
            </w:r>
          </w:p>
        </w:tc>
        <w:tc>
          <w:tcPr>
            <w:tcW w:w="855" w:type="dxa"/>
            <w:gridSpan w:val="2"/>
            <w:tcBorders>
              <w:top w:val="nil"/>
              <w:left w:val="nil"/>
              <w:bottom w:val="nil"/>
              <w:right w:val="nil"/>
            </w:tcBorders>
            <w:noWrap/>
            <w:vAlign w:val="center"/>
            <w:hideMark/>
          </w:tcPr>
          <w:p w14:paraId="05983EC0" w14:textId="21D61950"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27 780</w:t>
            </w:r>
          </w:p>
        </w:tc>
      </w:tr>
      <w:tr w:rsidR="006D49D0" w:rsidRPr="004D6F30" w14:paraId="0CC676B8" w14:textId="77777777" w:rsidTr="004D6F30">
        <w:trPr>
          <w:trHeight w:val="300"/>
        </w:trPr>
        <w:tc>
          <w:tcPr>
            <w:tcW w:w="993" w:type="dxa"/>
            <w:vMerge/>
            <w:tcBorders>
              <w:top w:val="nil"/>
              <w:left w:val="nil"/>
              <w:bottom w:val="single" w:sz="4" w:space="0" w:color="000000"/>
              <w:right w:val="nil"/>
            </w:tcBorders>
            <w:vAlign w:val="center"/>
            <w:hideMark/>
          </w:tcPr>
          <w:p w14:paraId="2BDE7797" w14:textId="77777777" w:rsidR="006D49D0" w:rsidRPr="004D6F30" w:rsidRDefault="006D49D0" w:rsidP="006D49D0">
            <w:pPr>
              <w:overflowPunct/>
              <w:autoSpaceDE/>
              <w:autoSpaceDN/>
              <w:adjustRightInd/>
              <w:jc w:val="left"/>
              <w:textAlignment w:val="auto"/>
              <w:rPr>
                <w:rFonts w:ascii="Calibri Light" w:hAnsi="Calibri Light" w:cs="Calibri Light"/>
                <w:color w:val="000000"/>
                <w:sz w:val="22"/>
                <w:szCs w:val="22"/>
              </w:rPr>
            </w:pPr>
          </w:p>
        </w:tc>
        <w:tc>
          <w:tcPr>
            <w:tcW w:w="821" w:type="dxa"/>
            <w:tcBorders>
              <w:top w:val="nil"/>
              <w:left w:val="nil"/>
              <w:bottom w:val="nil"/>
              <w:right w:val="nil"/>
            </w:tcBorders>
            <w:noWrap/>
            <w:vAlign w:val="bottom"/>
            <w:hideMark/>
          </w:tcPr>
          <w:p w14:paraId="109EAE81" w14:textId="77777777"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sidRPr="004D6F30">
              <w:rPr>
                <w:rFonts w:ascii="Calibri Light" w:hAnsi="Calibri Light" w:cs="Calibri Light"/>
                <w:color w:val="000000"/>
                <w:sz w:val="22"/>
                <w:szCs w:val="22"/>
              </w:rPr>
              <w:t>25</w:t>
            </w:r>
          </w:p>
        </w:tc>
        <w:tc>
          <w:tcPr>
            <w:tcW w:w="880" w:type="dxa"/>
            <w:tcBorders>
              <w:top w:val="nil"/>
              <w:left w:val="nil"/>
              <w:bottom w:val="nil"/>
              <w:right w:val="nil"/>
            </w:tcBorders>
            <w:noWrap/>
            <w:vAlign w:val="center"/>
            <w:hideMark/>
          </w:tcPr>
          <w:p w14:paraId="32994BC1" w14:textId="3D2A2D20"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19 620</w:t>
            </w:r>
          </w:p>
        </w:tc>
        <w:tc>
          <w:tcPr>
            <w:tcW w:w="850" w:type="dxa"/>
            <w:tcBorders>
              <w:top w:val="nil"/>
              <w:left w:val="nil"/>
              <w:bottom w:val="nil"/>
              <w:right w:val="nil"/>
            </w:tcBorders>
            <w:noWrap/>
            <w:vAlign w:val="center"/>
            <w:hideMark/>
          </w:tcPr>
          <w:p w14:paraId="3DFBEA21" w14:textId="49B55FEA"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24 430</w:t>
            </w:r>
          </w:p>
        </w:tc>
        <w:tc>
          <w:tcPr>
            <w:tcW w:w="851" w:type="dxa"/>
            <w:gridSpan w:val="2"/>
            <w:tcBorders>
              <w:top w:val="nil"/>
              <w:left w:val="nil"/>
              <w:bottom w:val="nil"/>
              <w:right w:val="nil"/>
            </w:tcBorders>
            <w:shd w:val="clear" w:color="000000" w:fill="DAF3EA"/>
            <w:noWrap/>
            <w:vAlign w:val="center"/>
            <w:hideMark/>
          </w:tcPr>
          <w:p w14:paraId="0451C49D" w14:textId="3E971E1E"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25 680</w:t>
            </w:r>
          </w:p>
        </w:tc>
        <w:tc>
          <w:tcPr>
            <w:tcW w:w="851" w:type="dxa"/>
            <w:gridSpan w:val="2"/>
            <w:tcBorders>
              <w:top w:val="nil"/>
              <w:left w:val="nil"/>
              <w:bottom w:val="nil"/>
              <w:right w:val="nil"/>
            </w:tcBorders>
            <w:noWrap/>
            <w:vAlign w:val="center"/>
            <w:hideMark/>
          </w:tcPr>
          <w:p w14:paraId="4FF07F98" w14:textId="1C0D81EE"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27 050</w:t>
            </w:r>
          </w:p>
        </w:tc>
        <w:tc>
          <w:tcPr>
            <w:tcW w:w="851" w:type="dxa"/>
            <w:gridSpan w:val="2"/>
            <w:tcBorders>
              <w:top w:val="nil"/>
              <w:left w:val="nil"/>
              <w:bottom w:val="nil"/>
              <w:right w:val="nil"/>
            </w:tcBorders>
            <w:noWrap/>
            <w:vAlign w:val="center"/>
            <w:hideMark/>
          </w:tcPr>
          <w:p w14:paraId="585BCBC6" w14:textId="67707A78"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29 820</w:t>
            </w:r>
          </w:p>
        </w:tc>
        <w:tc>
          <w:tcPr>
            <w:tcW w:w="160" w:type="dxa"/>
            <w:gridSpan w:val="2"/>
            <w:tcBorders>
              <w:top w:val="nil"/>
              <w:left w:val="nil"/>
              <w:bottom w:val="nil"/>
              <w:right w:val="nil"/>
            </w:tcBorders>
            <w:noWrap/>
            <w:vAlign w:val="bottom"/>
            <w:hideMark/>
          </w:tcPr>
          <w:p w14:paraId="54A557CD" w14:textId="77777777"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p>
        </w:tc>
        <w:tc>
          <w:tcPr>
            <w:tcW w:w="785" w:type="dxa"/>
            <w:tcBorders>
              <w:top w:val="nil"/>
              <w:left w:val="nil"/>
              <w:bottom w:val="nil"/>
              <w:right w:val="nil"/>
            </w:tcBorders>
            <w:noWrap/>
            <w:vAlign w:val="center"/>
            <w:hideMark/>
          </w:tcPr>
          <w:p w14:paraId="66262A63" w14:textId="694498A6"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16 440</w:t>
            </w:r>
          </w:p>
        </w:tc>
        <w:tc>
          <w:tcPr>
            <w:tcW w:w="821" w:type="dxa"/>
            <w:gridSpan w:val="2"/>
            <w:tcBorders>
              <w:top w:val="nil"/>
              <w:left w:val="nil"/>
              <w:bottom w:val="nil"/>
              <w:right w:val="nil"/>
            </w:tcBorders>
            <w:noWrap/>
            <w:vAlign w:val="center"/>
            <w:hideMark/>
          </w:tcPr>
          <w:p w14:paraId="61350CC7" w14:textId="453B2E38"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20 470</w:t>
            </w:r>
          </w:p>
        </w:tc>
        <w:tc>
          <w:tcPr>
            <w:tcW w:w="851" w:type="dxa"/>
            <w:gridSpan w:val="2"/>
            <w:tcBorders>
              <w:top w:val="nil"/>
              <w:left w:val="nil"/>
              <w:bottom w:val="nil"/>
              <w:right w:val="nil"/>
            </w:tcBorders>
            <w:shd w:val="clear" w:color="000000" w:fill="DAF3EA"/>
            <w:noWrap/>
            <w:vAlign w:val="center"/>
            <w:hideMark/>
          </w:tcPr>
          <w:p w14:paraId="4B380EF3" w14:textId="74C61F44"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21 520</w:t>
            </w:r>
          </w:p>
        </w:tc>
        <w:tc>
          <w:tcPr>
            <w:tcW w:w="850" w:type="dxa"/>
            <w:gridSpan w:val="2"/>
            <w:tcBorders>
              <w:top w:val="nil"/>
              <w:left w:val="nil"/>
              <w:bottom w:val="nil"/>
              <w:right w:val="nil"/>
            </w:tcBorders>
            <w:noWrap/>
            <w:vAlign w:val="center"/>
            <w:hideMark/>
          </w:tcPr>
          <w:p w14:paraId="40A26641" w14:textId="7561C8BD"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22 670</w:t>
            </w:r>
          </w:p>
        </w:tc>
        <w:tc>
          <w:tcPr>
            <w:tcW w:w="855" w:type="dxa"/>
            <w:gridSpan w:val="2"/>
            <w:tcBorders>
              <w:top w:val="nil"/>
              <w:left w:val="nil"/>
              <w:bottom w:val="nil"/>
              <w:right w:val="nil"/>
            </w:tcBorders>
            <w:noWrap/>
            <w:vAlign w:val="center"/>
            <w:hideMark/>
          </w:tcPr>
          <w:p w14:paraId="3139AD9F" w14:textId="2ACE246F"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24 980</w:t>
            </w:r>
          </w:p>
        </w:tc>
      </w:tr>
      <w:tr w:rsidR="006D49D0" w:rsidRPr="004D6F30" w14:paraId="509314FA" w14:textId="77777777" w:rsidTr="004D6F30">
        <w:trPr>
          <w:trHeight w:val="300"/>
        </w:trPr>
        <w:tc>
          <w:tcPr>
            <w:tcW w:w="993" w:type="dxa"/>
            <w:vMerge/>
            <w:tcBorders>
              <w:top w:val="nil"/>
              <w:left w:val="nil"/>
              <w:bottom w:val="single" w:sz="4" w:space="0" w:color="000000"/>
              <w:right w:val="nil"/>
            </w:tcBorders>
            <w:vAlign w:val="center"/>
            <w:hideMark/>
          </w:tcPr>
          <w:p w14:paraId="34C52F09" w14:textId="77777777" w:rsidR="006D49D0" w:rsidRPr="004D6F30" w:rsidRDefault="006D49D0" w:rsidP="006D49D0">
            <w:pPr>
              <w:overflowPunct/>
              <w:autoSpaceDE/>
              <w:autoSpaceDN/>
              <w:adjustRightInd/>
              <w:jc w:val="left"/>
              <w:textAlignment w:val="auto"/>
              <w:rPr>
                <w:rFonts w:ascii="Calibri Light" w:hAnsi="Calibri Light" w:cs="Calibri Light"/>
                <w:color w:val="000000"/>
                <w:sz w:val="22"/>
                <w:szCs w:val="22"/>
              </w:rPr>
            </w:pPr>
          </w:p>
        </w:tc>
        <w:tc>
          <w:tcPr>
            <w:tcW w:w="821" w:type="dxa"/>
            <w:tcBorders>
              <w:top w:val="nil"/>
              <w:left w:val="nil"/>
              <w:bottom w:val="nil"/>
              <w:right w:val="nil"/>
            </w:tcBorders>
            <w:noWrap/>
            <w:vAlign w:val="bottom"/>
            <w:hideMark/>
          </w:tcPr>
          <w:p w14:paraId="0BAA3CF9" w14:textId="77777777" w:rsidR="006D49D0" w:rsidRPr="004D6F30" w:rsidRDefault="006D49D0" w:rsidP="006D49D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26,75</w:t>
            </w:r>
          </w:p>
        </w:tc>
        <w:tc>
          <w:tcPr>
            <w:tcW w:w="880" w:type="dxa"/>
            <w:tcBorders>
              <w:top w:val="nil"/>
              <w:left w:val="nil"/>
              <w:bottom w:val="nil"/>
              <w:right w:val="nil"/>
            </w:tcBorders>
            <w:shd w:val="clear" w:color="000000" w:fill="DAF3EA"/>
            <w:noWrap/>
            <w:vAlign w:val="center"/>
            <w:hideMark/>
          </w:tcPr>
          <w:p w14:paraId="1CF1C1A0" w14:textId="5424D2E5"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18 630</w:t>
            </w:r>
          </w:p>
        </w:tc>
        <w:tc>
          <w:tcPr>
            <w:tcW w:w="850" w:type="dxa"/>
            <w:tcBorders>
              <w:top w:val="nil"/>
              <w:left w:val="nil"/>
              <w:bottom w:val="nil"/>
              <w:right w:val="nil"/>
            </w:tcBorders>
            <w:shd w:val="clear" w:color="000000" w:fill="DAF3EA"/>
            <w:noWrap/>
            <w:vAlign w:val="center"/>
            <w:hideMark/>
          </w:tcPr>
          <w:p w14:paraId="019DCE34" w14:textId="6B938DE9"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23 500</w:t>
            </w:r>
          </w:p>
        </w:tc>
        <w:tc>
          <w:tcPr>
            <w:tcW w:w="851" w:type="dxa"/>
            <w:gridSpan w:val="2"/>
            <w:tcBorders>
              <w:top w:val="nil"/>
              <w:left w:val="nil"/>
              <w:bottom w:val="nil"/>
              <w:right w:val="nil"/>
            </w:tcBorders>
            <w:shd w:val="clear" w:color="000000" w:fill="DAF3EA"/>
            <w:noWrap/>
            <w:vAlign w:val="center"/>
            <w:hideMark/>
          </w:tcPr>
          <w:p w14:paraId="1DFC4169" w14:textId="2D6A19DD" w:rsidR="006D49D0" w:rsidRPr="004D6F30" w:rsidRDefault="006D49D0" w:rsidP="006D49D0">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24 770</w:t>
            </w:r>
          </w:p>
        </w:tc>
        <w:tc>
          <w:tcPr>
            <w:tcW w:w="851" w:type="dxa"/>
            <w:gridSpan w:val="2"/>
            <w:tcBorders>
              <w:top w:val="nil"/>
              <w:left w:val="nil"/>
              <w:bottom w:val="nil"/>
              <w:right w:val="nil"/>
            </w:tcBorders>
            <w:shd w:val="clear" w:color="000000" w:fill="DAF3EA"/>
            <w:noWrap/>
            <w:vAlign w:val="center"/>
            <w:hideMark/>
          </w:tcPr>
          <w:p w14:paraId="71662C8A" w14:textId="70630149"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26 170</w:t>
            </w:r>
          </w:p>
        </w:tc>
        <w:tc>
          <w:tcPr>
            <w:tcW w:w="851" w:type="dxa"/>
            <w:gridSpan w:val="2"/>
            <w:tcBorders>
              <w:top w:val="nil"/>
              <w:left w:val="nil"/>
              <w:bottom w:val="nil"/>
              <w:right w:val="nil"/>
            </w:tcBorders>
            <w:shd w:val="clear" w:color="000000" w:fill="DAF3EA"/>
            <w:noWrap/>
            <w:vAlign w:val="center"/>
            <w:hideMark/>
          </w:tcPr>
          <w:p w14:paraId="77C795D7" w14:textId="15A2DBFE"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28 990</w:t>
            </w:r>
          </w:p>
        </w:tc>
        <w:tc>
          <w:tcPr>
            <w:tcW w:w="160" w:type="dxa"/>
            <w:gridSpan w:val="2"/>
            <w:tcBorders>
              <w:top w:val="nil"/>
              <w:left w:val="nil"/>
              <w:bottom w:val="nil"/>
              <w:right w:val="nil"/>
            </w:tcBorders>
            <w:noWrap/>
            <w:vAlign w:val="bottom"/>
            <w:hideMark/>
          </w:tcPr>
          <w:p w14:paraId="3ECC4A53" w14:textId="77777777"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p>
        </w:tc>
        <w:tc>
          <w:tcPr>
            <w:tcW w:w="785" w:type="dxa"/>
            <w:tcBorders>
              <w:top w:val="nil"/>
              <w:left w:val="nil"/>
              <w:bottom w:val="nil"/>
              <w:right w:val="nil"/>
            </w:tcBorders>
            <w:noWrap/>
            <w:vAlign w:val="center"/>
            <w:hideMark/>
          </w:tcPr>
          <w:p w14:paraId="3E4C1750" w14:textId="7C26DDDE"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15 610</w:t>
            </w:r>
          </w:p>
        </w:tc>
        <w:tc>
          <w:tcPr>
            <w:tcW w:w="821" w:type="dxa"/>
            <w:gridSpan w:val="2"/>
            <w:tcBorders>
              <w:top w:val="nil"/>
              <w:left w:val="nil"/>
              <w:bottom w:val="nil"/>
              <w:right w:val="nil"/>
            </w:tcBorders>
            <w:noWrap/>
            <w:vAlign w:val="center"/>
            <w:hideMark/>
          </w:tcPr>
          <w:p w14:paraId="082724A5" w14:textId="6819D201"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19 690</w:t>
            </w:r>
          </w:p>
        </w:tc>
        <w:tc>
          <w:tcPr>
            <w:tcW w:w="851" w:type="dxa"/>
            <w:gridSpan w:val="2"/>
            <w:tcBorders>
              <w:top w:val="nil"/>
              <w:left w:val="nil"/>
              <w:bottom w:val="nil"/>
              <w:right w:val="nil"/>
            </w:tcBorders>
            <w:shd w:val="clear" w:color="000000" w:fill="DAF3EA"/>
            <w:noWrap/>
            <w:vAlign w:val="center"/>
            <w:hideMark/>
          </w:tcPr>
          <w:p w14:paraId="60B5737B" w14:textId="5CFFBACB"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20 760</w:t>
            </w:r>
          </w:p>
        </w:tc>
        <w:tc>
          <w:tcPr>
            <w:tcW w:w="850" w:type="dxa"/>
            <w:gridSpan w:val="2"/>
            <w:tcBorders>
              <w:top w:val="nil"/>
              <w:left w:val="nil"/>
              <w:bottom w:val="nil"/>
              <w:right w:val="nil"/>
            </w:tcBorders>
            <w:noWrap/>
            <w:vAlign w:val="center"/>
            <w:hideMark/>
          </w:tcPr>
          <w:p w14:paraId="2C1C0F99" w14:textId="013978DF"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21 930</w:t>
            </w:r>
          </w:p>
        </w:tc>
        <w:tc>
          <w:tcPr>
            <w:tcW w:w="855" w:type="dxa"/>
            <w:gridSpan w:val="2"/>
            <w:tcBorders>
              <w:top w:val="nil"/>
              <w:left w:val="nil"/>
              <w:bottom w:val="nil"/>
              <w:right w:val="nil"/>
            </w:tcBorders>
            <w:noWrap/>
            <w:vAlign w:val="center"/>
            <w:hideMark/>
          </w:tcPr>
          <w:p w14:paraId="4B8F3939" w14:textId="3C59CA1F"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24 290</w:t>
            </w:r>
          </w:p>
        </w:tc>
      </w:tr>
      <w:tr w:rsidR="006D49D0" w:rsidRPr="004D6F30" w14:paraId="482A4157" w14:textId="77777777" w:rsidTr="004D6F30">
        <w:trPr>
          <w:trHeight w:val="300"/>
        </w:trPr>
        <w:tc>
          <w:tcPr>
            <w:tcW w:w="993" w:type="dxa"/>
            <w:vMerge/>
            <w:tcBorders>
              <w:top w:val="nil"/>
              <w:left w:val="nil"/>
              <w:bottom w:val="single" w:sz="4" w:space="0" w:color="000000"/>
              <w:right w:val="nil"/>
            </w:tcBorders>
            <w:vAlign w:val="center"/>
            <w:hideMark/>
          </w:tcPr>
          <w:p w14:paraId="3598896C" w14:textId="77777777" w:rsidR="006D49D0" w:rsidRPr="004D6F30" w:rsidRDefault="006D49D0" w:rsidP="006D49D0">
            <w:pPr>
              <w:overflowPunct/>
              <w:autoSpaceDE/>
              <w:autoSpaceDN/>
              <w:adjustRightInd/>
              <w:jc w:val="left"/>
              <w:textAlignment w:val="auto"/>
              <w:rPr>
                <w:rFonts w:ascii="Calibri Light" w:hAnsi="Calibri Light" w:cs="Calibri Light"/>
                <w:color w:val="000000"/>
                <w:sz w:val="22"/>
                <w:szCs w:val="22"/>
              </w:rPr>
            </w:pPr>
          </w:p>
        </w:tc>
        <w:tc>
          <w:tcPr>
            <w:tcW w:w="821" w:type="dxa"/>
            <w:tcBorders>
              <w:top w:val="nil"/>
              <w:left w:val="nil"/>
              <w:bottom w:val="single" w:sz="4" w:space="0" w:color="auto"/>
              <w:right w:val="nil"/>
            </w:tcBorders>
            <w:noWrap/>
            <w:vAlign w:val="bottom"/>
            <w:hideMark/>
          </w:tcPr>
          <w:p w14:paraId="37DCBC77" w14:textId="77777777" w:rsidR="006D49D0" w:rsidRPr="004D6F30" w:rsidRDefault="006D49D0" w:rsidP="006D49D0">
            <w:pPr>
              <w:overflowPunct/>
              <w:autoSpaceDE/>
              <w:autoSpaceDN/>
              <w:adjustRightInd/>
              <w:jc w:val="center"/>
              <w:textAlignment w:val="auto"/>
              <w:rPr>
                <w:rFonts w:ascii="Calibri Light" w:hAnsi="Calibri Light" w:cs="Calibri Light"/>
                <w:b/>
                <w:bCs/>
                <w:color w:val="000000"/>
                <w:sz w:val="22"/>
                <w:szCs w:val="22"/>
              </w:rPr>
            </w:pPr>
            <w:r w:rsidRPr="004D6F30">
              <w:rPr>
                <w:rFonts w:ascii="Calibri Light" w:hAnsi="Calibri Light" w:cs="Calibri Light"/>
                <w:b/>
                <w:bCs/>
                <w:color w:val="000000"/>
                <w:sz w:val="22"/>
                <w:szCs w:val="22"/>
              </w:rPr>
              <w:t>30</w:t>
            </w:r>
          </w:p>
        </w:tc>
        <w:tc>
          <w:tcPr>
            <w:tcW w:w="880" w:type="dxa"/>
            <w:tcBorders>
              <w:top w:val="nil"/>
              <w:left w:val="nil"/>
              <w:bottom w:val="single" w:sz="4" w:space="0" w:color="auto"/>
              <w:right w:val="nil"/>
            </w:tcBorders>
            <w:noWrap/>
            <w:vAlign w:val="center"/>
            <w:hideMark/>
          </w:tcPr>
          <w:p w14:paraId="2A36FEF8" w14:textId="259A6496"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17 110</w:t>
            </w:r>
          </w:p>
        </w:tc>
        <w:tc>
          <w:tcPr>
            <w:tcW w:w="850" w:type="dxa"/>
            <w:tcBorders>
              <w:top w:val="nil"/>
              <w:left w:val="nil"/>
              <w:bottom w:val="single" w:sz="4" w:space="0" w:color="auto"/>
              <w:right w:val="nil"/>
            </w:tcBorders>
            <w:noWrap/>
            <w:vAlign w:val="center"/>
            <w:hideMark/>
          </w:tcPr>
          <w:p w14:paraId="1AE02C7D" w14:textId="4DE4B691"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22 090</w:t>
            </w:r>
          </w:p>
        </w:tc>
        <w:tc>
          <w:tcPr>
            <w:tcW w:w="851" w:type="dxa"/>
            <w:gridSpan w:val="2"/>
            <w:tcBorders>
              <w:top w:val="nil"/>
              <w:left w:val="nil"/>
              <w:bottom w:val="single" w:sz="4" w:space="0" w:color="auto"/>
              <w:right w:val="nil"/>
            </w:tcBorders>
            <w:shd w:val="clear" w:color="000000" w:fill="DAF3EA"/>
            <w:noWrap/>
            <w:vAlign w:val="center"/>
            <w:hideMark/>
          </w:tcPr>
          <w:p w14:paraId="25177A53" w14:textId="6687D8E4"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23 400</w:t>
            </w:r>
          </w:p>
        </w:tc>
        <w:tc>
          <w:tcPr>
            <w:tcW w:w="851" w:type="dxa"/>
            <w:gridSpan w:val="2"/>
            <w:tcBorders>
              <w:top w:val="nil"/>
              <w:left w:val="nil"/>
              <w:bottom w:val="single" w:sz="4" w:space="0" w:color="auto"/>
              <w:right w:val="nil"/>
            </w:tcBorders>
            <w:noWrap/>
            <w:vAlign w:val="center"/>
            <w:hideMark/>
          </w:tcPr>
          <w:p w14:paraId="10BC7D80" w14:textId="695DD901"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24 840</w:t>
            </w:r>
          </w:p>
        </w:tc>
        <w:tc>
          <w:tcPr>
            <w:tcW w:w="851" w:type="dxa"/>
            <w:gridSpan w:val="2"/>
            <w:tcBorders>
              <w:top w:val="nil"/>
              <w:left w:val="nil"/>
              <w:bottom w:val="single" w:sz="4" w:space="0" w:color="auto"/>
              <w:right w:val="nil"/>
            </w:tcBorders>
            <w:noWrap/>
            <w:vAlign w:val="center"/>
            <w:hideMark/>
          </w:tcPr>
          <w:p w14:paraId="2A274595" w14:textId="4D85DA71"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27 750</w:t>
            </w:r>
          </w:p>
        </w:tc>
        <w:tc>
          <w:tcPr>
            <w:tcW w:w="160" w:type="dxa"/>
            <w:gridSpan w:val="2"/>
            <w:tcBorders>
              <w:top w:val="nil"/>
              <w:left w:val="nil"/>
              <w:bottom w:val="nil"/>
              <w:right w:val="nil"/>
            </w:tcBorders>
            <w:noWrap/>
            <w:vAlign w:val="bottom"/>
            <w:hideMark/>
          </w:tcPr>
          <w:p w14:paraId="3FA533CE" w14:textId="77777777"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p>
        </w:tc>
        <w:tc>
          <w:tcPr>
            <w:tcW w:w="785" w:type="dxa"/>
            <w:tcBorders>
              <w:top w:val="nil"/>
              <w:left w:val="nil"/>
              <w:bottom w:val="single" w:sz="4" w:space="0" w:color="auto"/>
              <w:right w:val="nil"/>
            </w:tcBorders>
            <w:shd w:val="clear" w:color="000000" w:fill="DAF3EA"/>
            <w:noWrap/>
            <w:vAlign w:val="center"/>
            <w:hideMark/>
          </w:tcPr>
          <w:p w14:paraId="3FC13509" w14:textId="6C4D7F90"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14 330</w:t>
            </w:r>
          </w:p>
        </w:tc>
        <w:tc>
          <w:tcPr>
            <w:tcW w:w="821" w:type="dxa"/>
            <w:gridSpan w:val="2"/>
            <w:tcBorders>
              <w:top w:val="nil"/>
              <w:left w:val="nil"/>
              <w:bottom w:val="single" w:sz="4" w:space="0" w:color="auto"/>
              <w:right w:val="nil"/>
            </w:tcBorders>
            <w:shd w:val="clear" w:color="000000" w:fill="DAF3EA"/>
            <w:noWrap/>
            <w:vAlign w:val="center"/>
            <w:hideMark/>
          </w:tcPr>
          <w:p w14:paraId="721C73E2" w14:textId="150B4554"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18 510</w:t>
            </w:r>
          </w:p>
        </w:tc>
        <w:tc>
          <w:tcPr>
            <w:tcW w:w="851" w:type="dxa"/>
            <w:gridSpan w:val="2"/>
            <w:tcBorders>
              <w:top w:val="nil"/>
              <w:left w:val="nil"/>
              <w:bottom w:val="single" w:sz="4" w:space="0" w:color="auto"/>
              <w:right w:val="nil"/>
            </w:tcBorders>
            <w:shd w:val="clear" w:color="000000" w:fill="DAF3EA"/>
            <w:noWrap/>
            <w:vAlign w:val="center"/>
            <w:hideMark/>
          </w:tcPr>
          <w:p w14:paraId="4896883B" w14:textId="0A3E6EB4" w:rsidR="006D49D0" w:rsidRPr="004D6F30" w:rsidRDefault="006D49D0" w:rsidP="006D49D0">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19 610</w:t>
            </w:r>
          </w:p>
        </w:tc>
        <w:tc>
          <w:tcPr>
            <w:tcW w:w="850" w:type="dxa"/>
            <w:gridSpan w:val="2"/>
            <w:tcBorders>
              <w:top w:val="nil"/>
              <w:left w:val="nil"/>
              <w:bottom w:val="single" w:sz="4" w:space="0" w:color="auto"/>
              <w:right w:val="nil"/>
            </w:tcBorders>
            <w:shd w:val="clear" w:color="000000" w:fill="DAF3EA"/>
            <w:noWrap/>
            <w:vAlign w:val="center"/>
            <w:hideMark/>
          </w:tcPr>
          <w:p w14:paraId="51F52543" w14:textId="10AA6CB4"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20 820</w:t>
            </w:r>
          </w:p>
        </w:tc>
        <w:tc>
          <w:tcPr>
            <w:tcW w:w="855" w:type="dxa"/>
            <w:gridSpan w:val="2"/>
            <w:tcBorders>
              <w:top w:val="nil"/>
              <w:left w:val="nil"/>
              <w:bottom w:val="single" w:sz="4" w:space="0" w:color="auto"/>
              <w:right w:val="nil"/>
            </w:tcBorders>
            <w:shd w:val="clear" w:color="000000" w:fill="DAF3EA"/>
            <w:noWrap/>
            <w:vAlign w:val="center"/>
            <w:hideMark/>
          </w:tcPr>
          <w:p w14:paraId="44A34F69" w14:textId="578D9F9D" w:rsidR="006D49D0" w:rsidRPr="004D6F30" w:rsidRDefault="006D49D0" w:rsidP="006D49D0">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23 250</w:t>
            </w:r>
          </w:p>
        </w:tc>
      </w:tr>
      <w:tr w:rsidR="004D6F30" w:rsidRPr="00AA62A7" w14:paraId="70AEADF6" w14:textId="77777777" w:rsidTr="004D6F30">
        <w:trPr>
          <w:gridAfter w:val="3"/>
          <w:wAfter w:w="1058" w:type="dxa"/>
          <w:trHeight w:val="300"/>
        </w:trPr>
        <w:tc>
          <w:tcPr>
            <w:tcW w:w="3828" w:type="dxa"/>
            <w:gridSpan w:val="5"/>
            <w:tcBorders>
              <w:top w:val="nil"/>
              <w:left w:val="nil"/>
              <w:bottom w:val="nil"/>
              <w:right w:val="nil"/>
            </w:tcBorders>
            <w:noWrap/>
            <w:vAlign w:val="bottom"/>
            <w:hideMark/>
          </w:tcPr>
          <w:p w14:paraId="3665F759" w14:textId="77777777" w:rsidR="004D6F30" w:rsidRPr="00AA62A7" w:rsidRDefault="004D6F30" w:rsidP="004D6F30">
            <w:pPr>
              <w:overflowPunct/>
              <w:autoSpaceDE/>
              <w:autoSpaceDN/>
              <w:adjustRightInd/>
              <w:jc w:val="left"/>
              <w:textAlignment w:val="auto"/>
              <w:rPr>
                <w:rFonts w:asciiTheme="minorHAnsi" w:hAnsiTheme="minorHAnsi" w:cstheme="minorHAnsi"/>
                <w:color w:val="13576B"/>
                <w:sz w:val="20"/>
              </w:rPr>
            </w:pPr>
            <w:r w:rsidRPr="00AA62A7">
              <w:rPr>
                <w:rFonts w:asciiTheme="minorHAnsi" w:hAnsiTheme="minorHAnsi" w:cstheme="minorHAnsi"/>
                <w:color w:val="2F5496" w:themeColor="accent5" w:themeShade="BF"/>
                <w:sz w:val="20"/>
              </w:rPr>
              <w:lastRenderedPageBreak/>
              <w:t>Pramen</w:t>
            </w:r>
            <w:r w:rsidRPr="00AA62A7">
              <w:rPr>
                <w:rFonts w:asciiTheme="minorHAnsi" w:hAnsiTheme="minorHAnsi" w:cstheme="minorHAnsi"/>
                <w:color w:val="13576B"/>
                <w:sz w:val="20"/>
              </w:rPr>
              <w:t xml:space="preserve">: ČBA </w:t>
            </w:r>
            <w:r w:rsidRPr="00AA62A7">
              <w:rPr>
                <w:rStyle w:val="FootnoteReference"/>
                <w:rFonts w:asciiTheme="minorHAnsi" w:hAnsiTheme="minorHAnsi" w:cstheme="minorHAnsi"/>
                <w:color w:val="2F5496" w:themeColor="accent5" w:themeShade="BF"/>
                <w:sz w:val="20"/>
              </w:rPr>
              <w:footnoteReference w:id="2"/>
            </w:r>
          </w:p>
        </w:tc>
        <w:tc>
          <w:tcPr>
            <w:tcW w:w="648" w:type="dxa"/>
            <w:gridSpan w:val="2"/>
            <w:tcBorders>
              <w:top w:val="nil"/>
              <w:left w:val="nil"/>
              <w:bottom w:val="nil"/>
              <w:right w:val="nil"/>
            </w:tcBorders>
            <w:noWrap/>
            <w:vAlign w:val="bottom"/>
            <w:hideMark/>
          </w:tcPr>
          <w:p w14:paraId="00CEF238" w14:textId="77777777" w:rsidR="004D6F30" w:rsidRPr="00AA62A7" w:rsidRDefault="004D6F30" w:rsidP="004D6F30">
            <w:pPr>
              <w:overflowPunct/>
              <w:autoSpaceDE/>
              <w:autoSpaceDN/>
              <w:adjustRightInd/>
              <w:jc w:val="left"/>
              <w:textAlignment w:val="auto"/>
              <w:rPr>
                <w:rFonts w:asciiTheme="minorHAnsi" w:hAnsiTheme="minorHAnsi" w:cstheme="minorHAnsi"/>
                <w:color w:val="13576B"/>
                <w:sz w:val="22"/>
                <w:szCs w:val="22"/>
              </w:rPr>
            </w:pPr>
          </w:p>
        </w:tc>
        <w:tc>
          <w:tcPr>
            <w:tcW w:w="845" w:type="dxa"/>
            <w:gridSpan w:val="2"/>
            <w:tcBorders>
              <w:top w:val="nil"/>
              <w:left w:val="nil"/>
              <w:bottom w:val="nil"/>
              <w:right w:val="nil"/>
            </w:tcBorders>
            <w:noWrap/>
            <w:vAlign w:val="bottom"/>
            <w:hideMark/>
          </w:tcPr>
          <w:p w14:paraId="1E2EFC81" w14:textId="77777777" w:rsidR="004D6F30" w:rsidRPr="00AA62A7" w:rsidRDefault="004D6F30" w:rsidP="004D6F30">
            <w:pPr>
              <w:overflowPunct/>
              <w:autoSpaceDE/>
              <w:autoSpaceDN/>
              <w:adjustRightInd/>
              <w:jc w:val="left"/>
              <w:textAlignment w:val="auto"/>
              <w:rPr>
                <w:rFonts w:asciiTheme="minorHAnsi" w:hAnsiTheme="minorHAnsi" w:cstheme="minorHAnsi"/>
                <w:sz w:val="20"/>
              </w:rPr>
            </w:pPr>
          </w:p>
        </w:tc>
        <w:tc>
          <w:tcPr>
            <w:tcW w:w="841" w:type="dxa"/>
            <w:gridSpan w:val="2"/>
            <w:tcBorders>
              <w:top w:val="nil"/>
              <w:left w:val="nil"/>
              <w:bottom w:val="nil"/>
              <w:right w:val="nil"/>
            </w:tcBorders>
            <w:noWrap/>
            <w:vAlign w:val="bottom"/>
            <w:hideMark/>
          </w:tcPr>
          <w:p w14:paraId="0B999026" w14:textId="77777777" w:rsidR="004D6F30" w:rsidRPr="00AA62A7" w:rsidRDefault="004D6F30" w:rsidP="004D6F30">
            <w:pPr>
              <w:overflowPunct/>
              <w:autoSpaceDE/>
              <w:autoSpaceDN/>
              <w:adjustRightInd/>
              <w:jc w:val="left"/>
              <w:textAlignment w:val="auto"/>
              <w:rPr>
                <w:rFonts w:asciiTheme="minorHAnsi" w:hAnsiTheme="minorHAnsi" w:cstheme="minorHAnsi"/>
                <w:sz w:val="20"/>
              </w:rPr>
            </w:pPr>
          </w:p>
        </w:tc>
        <w:tc>
          <w:tcPr>
            <w:tcW w:w="880" w:type="dxa"/>
            <w:gridSpan w:val="2"/>
            <w:tcBorders>
              <w:top w:val="nil"/>
              <w:left w:val="nil"/>
              <w:bottom w:val="nil"/>
              <w:right w:val="nil"/>
            </w:tcBorders>
            <w:noWrap/>
            <w:vAlign w:val="bottom"/>
            <w:hideMark/>
          </w:tcPr>
          <w:p w14:paraId="1D3BB206" w14:textId="77777777" w:rsidR="004D6F30" w:rsidRPr="00AA62A7" w:rsidRDefault="004D6F30" w:rsidP="004D6F30">
            <w:pPr>
              <w:overflowPunct/>
              <w:autoSpaceDE/>
              <w:autoSpaceDN/>
              <w:adjustRightInd/>
              <w:jc w:val="left"/>
              <w:textAlignment w:val="auto"/>
              <w:rPr>
                <w:rFonts w:asciiTheme="minorHAnsi" w:hAnsiTheme="minorHAnsi" w:cstheme="minorHAnsi"/>
                <w:sz w:val="20"/>
              </w:rPr>
            </w:pPr>
          </w:p>
        </w:tc>
        <w:tc>
          <w:tcPr>
            <w:tcW w:w="737" w:type="dxa"/>
            <w:tcBorders>
              <w:top w:val="nil"/>
              <w:left w:val="nil"/>
              <w:bottom w:val="nil"/>
              <w:right w:val="nil"/>
            </w:tcBorders>
            <w:noWrap/>
            <w:vAlign w:val="bottom"/>
            <w:hideMark/>
          </w:tcPr>
          <w:p w14:paraId="16295275" w14:textId="77777777" w:rsidR="004D6F30" w:rsidRPr="00AA62A7" w:rsidRDefault="004D6F30" w:rsidP="004D6F30">
            <w:pPr>
              <w:overflowPunct/>
              <w:autoSpaceDE/>
              <w:autoSpaceDN/>
              <w:adjustRightInd/>
              <w:jc w:val="center"/>
              <w:textAlignment w:val="auto"/>
              <w:rPr>
                <w:rFonts w:asciiTheme="minorHAnsi" w:hAnsiTheme="minorHAnsi" w:cstheme="minorHAnsi"/>
                <w:color w:val="000000"/>
                <w:sz w:val="22"/>
                <w:szCs w:val="22"/>
                <w:highlight w:val="yellow"/>
              </w:rPr>
            </w:pPr>
          </w:p>
        </w:tc>
        <w:tc>
          <w:tcPr>
            <w:tcW w:w="778" w:type="dxa"/>
            <w:gridSpan w:val="2"/>
            <w:tcBorders>
              <w:top w:val="nil"/>
              <w:left w:val="nil"/>
              <w:bottom w:val="nil"/>
              <w:right w:val="nil"/>
            </w:tcBorders>
            <w:noWrap/>
            <w:vAlign w:val="bottom"/>
            <w:hideMark/>
          </w:tcPr>
          <w:p w14:paraId="4A4D0C29" w14:textId="77777777" w:rsidR="004D6F30" w:rsidRPr="00AA62A7" w:rsidRDefault="004D6F30" w:rsidP="004D6F30">
            <w:pPr>
              <w:overflowPunct/>
              <w:autoSpaceDE/>
              <w:autoSpaceDN/>
              <w:adjustRightInd/>
              <w:jc w:val="left"/>
              <w:textAlignment w:val="auto"/>
              <w:rPr>
                <w:rFonts w:asciiTheme="minorHAnsi" w:hAnsiTheme="minorHAnsi" w:cstheme="minorHAnsi"/>
                <w:sz w:val="20"/>
                <w:highlight w:val="yellow"/>
              </w:rPr>
            </w:pPr>
          </w:p>
        </w:tc>
        <w:tc>
          <w:tcPr>
            <w:tcW w:w="804" w:type="dxa"/>
            <w:gridSpan w:val="2"/>
            <w:tcBorders>
              <w:top w:val="nil"/>
              <w:left w:val="nil"/>
              <w:bottom w:val="nil"/>
              <w:right w:val="nil"/>
            </w:tcBorders>
            <w:noWrap/>
            <w:vAlign w:val="bottom"/>
            <w:hideMark/>
          </w:tcPr>
          <w:p w14:paraId="08D86531" w14:textId="77777777" w:rsidR="004D6F30" w:rsidRPr="00AA62A7" w:rsidRDefault="004D6F30" w:rsidP="004D6F30">
            <w:pPr>
              <w:overflowPunct/>
              <w:autoSpaceDE/>
              <w:autoSpaceDN/>
              <w:adjustRightInd/>
              <w:jc w:val="left"/>
              <w:textAlignment w:val="auto"/>
              <w:rPr>
                <w:rFonts w:asciiTheme="minorHAnsi" w:hAnsiTheme="minorHAnsi" w:cstheme="minorHAnsi"/>
                <w:sz w:val="20"/>
                <w:highlight w:val="yellow"/>
              </w:rPr>
            </w:pPr>
          </w:p>
        </w:tc>
      </w:tr>
      <w:tr w:rsidR="004D6F30" w:rsidRPr="00AA62A7" w14:paraId="6576CA94" w14:textId="77777777" w:rsidTr="004D6F30">
        <w:trPr>
          <w:gridAfter w:val="1"/>
          <w:wAfter w:w="71" w:type="dxa"/>
          <w:trHeight w:val="300"/>
        </w:trPr>
        <w:tc>
          <w:tcPr>
            <w:tcW w:w="10348" w:type="dxa"/>
            <w:gridSpan w:val="20"/>
            <w:tcBorders>
              <w:top w:val="nil"/>
              <w:left w:val="nil"/>
              <w:bottom w:val="nil"/>
              <w:right w:val="nil"/>
            </w:tcBorders>
            <w:noWrap/>
            <w:vAlign w:val="bottom"/>
            <w:hideMark/>
          </w:tcPr>
          <w:p w14:paraId="7854BA2A" w14:textId="1C9730B4" w:rsidR="004D6F30" w:rsidRPr="00AA62A7" w:rsidRDefault="004D6F30" w:rsidP="004D6F30">
            <w:pPr>
              <w:overflowPunct/>
              <w:autoSpaceDE/>
              <w:autoSpaceDN/>
              <w:adjustRightInd/>
              <w:jc w:val="left"/>
              <w:textAlignment w:val="auto"/>
              <w:rPr>
                <w:rFonts w:asciiTheme="minorHAnsi" w:hAnsiTheme="minorHAnsi" w:cstheme="minorHAnsi"/>
                <w:color w:val="13576B"/>
                <w:sz w:val="20"/>
              </w:rPr>
            </w:pPr>
            <w:r w:rsidRPr="004D6F30">
              <w:rPr>
                <w:rFonts w:asciiTheme="minorHAnsi" w:hAnsiTheme="minorHAnsi" w:cstheme="minorHAnsi"/>
                <w:color w:val="13576B"/>
                <w:sz w:val="20"/>
              </w:rPr>
              <w:t>Pozn.: Barevný sloupec odpovídá úrokové sazbě posledního ČBA Hypomonitoru v kombinaci s obvyklou splatností, ostatní sazby jsou ilustrační. Barevný řádek odpovídá průměrné a mediánové splatnosti nových hypoték podle dat ČNB; částky jsou zaokrouhleny na desítky korun. Mediánová výše splátky vychází z mediánové velikosti hypotéky. Ta je dopočtena na základě poměru průměrné a mediánové výše nových hypotečních úvěrů za poslední tři čtvrtletí podle statistik ČNB. Výpočet zároveň předpokládá průměrnou splatnost 30 let (odpovídající mediánu) a průměrnou úrokovou sazbu, protože rozdíl mezi průměrnou a mediánovou sazbou je dlouhodobě zanedbatelný (přibližně 0,045 procentního bodu). Medián na rozdíl od průměru představuje „typickou“ hodnotu – polovina úvěrů je nižší a polovina vyšší – a není ovlivněn extrémními hodnotami.</w:t>
            </w:r>
          </w:p>
        </w:tc>
      </w:tr>
    </w:tbl>
    <w:p w14:paraId="20FEA2C8" w14:textId="77777777" w:rsidR="00DB746B" w:rsidRDefault="00DB746B" w:rsidP="00573D34">
      <w:pPr>
        <w:spacing w:after="120"/>
        <w:rPr>
          <w:rFonts w:ascii="Calibri" w:hAnsi="Calibri" w:cs="Calibri"/>
          <w:b/>
          <w:color w:val="13576B"/>
          <w:sz w:val="23"/>
          <w:szCs w:val="23"/>
        </w:rPr>
      </w:pPr>
    </w:p>
    <w:p w14:paraId="3F1ACB94" w14:textId="4D7B7DEA" w:rsidR="00D1522E" w:rsidRDefault="00D1522E" w:rsidP="00D1522E">
      <w:pPr>
        <w:rPr>
          <w:rFonts w:ascii="Calibri" w:hAnsi="Calibri" w:cs="Calibri"/>
          <w:b/>
          <w:color w:val="13576B"/>
          <w:sz w:val="24"/>
          <w:szCs w:val="24"/>
        </w:rPr>
      </w:pPr>
      <w:r w:rsidRPr="00D03B38">
        <w:rPr>
          <w:rFonts w:ascii="Calibri" w:hAnsi="Calibri" w:cs="Calibri"/>
          <w:b/>
          <w:color w:val="13576B"/>
          <w:sz w:val="24"/>
          <w:szCs w:val="24"/>
        </w:rPr>
        <w:t xml:space="preserve">Průměrná velikost nově poskytnuté hypotéky </w:t>
      </w:r>
      <w:r>
        <w:rPr>
          <w:rFonts w:ascii="Calibri" w:hAnsi="Calibri" w:cs="Calibri"/>
          <w:b/>
          <w:color w:val="13576B"/>
          <w:sz w:val="24"/>
          <w:szCs w:val="24"/>
        </w:rPr>
        <w:t>se s </w:t>
      </w:r>
      <w:r w:rsidR="00356A6D">
        <w:rPr>
          <w:rFonts w:ascii="Calibri" w:hAnsi="Calibri" w:cs="Calibri"/>
          <w:b/>
          <w:color w:val="13576B"/>
          <w:sz w:val="24"/>
          <w:szCs w:val="24"/>
        </w:rPr>
        <w:t>lednovými</w:t>
      </w:r>
      <w:r>
        <w:rPr>
          <w:rFonts w:ascii="Calibri" w:hAnsi="Calibri" w:cs="Calibri"/>
          <w:b/>
          <w:color w:val="13576B"/>
          <w:sz w:val="24"/>
          <w:szCs w:val="24"/>
        </w:rPr>
        <w:t xml:space="preserve"> </w:t>
      </w:r>
      <w:r w:rsidRPr="00D03B38">
        <w:rPr>
          <w:rFonts w:ascii="Calibri" w:hAnsi="Calibri" w:cs="Calibri"/>
          <w:b/>
          <w:color w:val="13576B"/>
          <w:sz w:val="24"/>
          <w:szCs w:val="24"/>
        </w:rPr>
        <w:t>4,</w:t>
      </w:r>
      <w:r w:rsidR="00356A6D">
        <w:rPr>
          <w:rFonts w:ascii="Calibri" w:hAnsi="Calibri" w:cs="Calibri"/>
          <w:b/>
          <w:color w:val="13576B"/>
          <w:sz w:val="24"/>
          <w:szCs w:val="24"/>
        </w:rPr>
        <w:t>51</w:t>
      </w:r>
      <w:r w:rsidRPr="00D03B38">
        <w:rPr>
          <w:rFonts w:ascii="Calibri" w:hAnsi="Calibri" w:cs="Calibri"/>
          <w:b/>
          <w:color w:val="13576B"/>
          <w:sz w:val="24"/>
          <w:szCs w:val="24"/>
        </w:rPr>
        <w:t xml:space="preserve"> mil. Kč</w:t>
      </w:r>
      <w:r>
        <w:rPr>
          <w:rFonts w:ascii="Calibri" w:hAnsi="Calibri" w:cs="Calibri"/>
          <w:b/>
          <w:color w:val="13576B"/>
          <w:sz w:val="24"/>
          <w:szCs w:val="24"/>
        </w:rPr>
        <w:t xml:space="preserve"> udržuje na růstové trajektorii </w:t>
      </w:r>
    </w:p>
    <w:p w14:paraId="0200B3F4" w14:textId="77777777" w:rsidR="00D1522E" w:rsidRDefault="00D1522E" w:rsidP="00D1522E">
      <w:pPr>
        <w:overflowPunct/>
        <w:autoSpaceDE/>
        <w:autoSpaceDN/>
        <w:adjustRightInd/>
        <w:textAlignment w:val="auto"/>
        <w:rPr>
          <w:rFonts w:ascii="Calibri" w:hAnsi="Calibri" w:cs="Calibri"/>
          <w:color w:val="000000"/>
          <w:sz w:val="22"/>
          <w:szCs w:val="22"/>
        </w:rPr>
      </w:pPr>
    </w:p>
    <w:p w14:paraId="3FFEA0E1" w14:textId="52A2F872" w:rsidR="006D49D0" w:rsidRDefault="006D49D0" w:rsidP="006D49D0">
      <w:pPr>
        <w:overflowPunct/>
        <w:autoSpaceDE/>
        <w:autoSpaceDN/>
        <w:adjustRightInd/>
        <w:textAlignment w:val="auto"/>
        <w:rPr>
          <w:rFonts w:ascii="Calibri" w:hAnsi="Calibri" w:cs="Calibri"/>
          <w:color w:val="000000"/>
          <w:sz w:val="22"/>
          <w:szCs w:val="22"/>
        </w:rPr>
      </w:pPr>
      <w:r w:rsidRPr="006D49D0">
        <w:rPr>
          <w:rFonts w:ascii="Calibri" w:hAnsi="Calibri" w:cs="Calibri"/>
          <w:color w:val="000000"/>
          <w:sz w:val="22"/>
          <w:szCs w:val="22"/>
        </w:rPr>
        <w:t xml:space="preserve">Průměrná velikost skutečně nově poskytnuté hypotéky v únoru stoupla na 4,63 mil. Kč, tedy téměř o 3 % meziměsíčně. Její velikost je tak o 16 % vyšší než 4 mil. Kč před rokem. </w:t>
      </w:r>
      <w:r w:rsidRPr="00650088">
        <w:rPr>
          <w:rFonts w:ascii="Calibri" w:hAnsi="Calibri" w:cs="Calibri"/>
          <w:color w:val="000000"/>
          <w:sz w:val="22"/>
          <w:szCs w:val="22"/>
        </w:rPr>
        <w:t xml:space="preserve">Dosáhnout na vyšší hypotéku umožňuje postupný pokles hypotečních sazeb, či postupný růst reálných </w:t>
      </w:r>
      <w:r>
        <w:rPr>
          <w:rFonts w:ascii="Calibri" w:hAnsi="Calibri" w:cs="Calibri"/>
          <w:color w:val="000000"/>
          <w:sz w:val="22"/>
          <w:szCs w:val="22"/>
        </w:rPr>
        <w:t>mezd</w:t>
      </w:r>
      <w:r w:rsidRPr="00650088">
        <w:rPr>
          <w:rFonts w:ascii="Calibri" w:hAnsi="Calibri" w:cs="Calibri"/>
          <w:color w:val="000000"/>
          <w:sz w:val="22"/>
          <w:szCs w:val="22"/>
        </w:rPr>
        <w:t xml:space="preserve"> domácností (</w:t>
      </w:r>
      <w:r>
        <w:rPr>
          <w:rFonts w:ascii="Calibri" w:hAnsi="Calibri" w:cs="Calibri"/>
          <w:color w:val="000000"/>
          <w:sz w:val="22"/>
          <w:szCs w:val="22"/>
        </w:rPr>
        <w:t>5,1</w:t>
      </w:r>
      <w:r w:rsidRPr="00055000">
        <w:rPr>
          <w:rFonts w:ascii="Calibri" w:hAnsi="Calibri" w:cs="Calibri"/>
          <w:color w:val="000000" w:themeColor="text1"/>
          <w:sz w:val="22"/>
          <w:szCs w:val="22"/>
        </w:rPr>
        <w:t xml:space="preserve"> % meziročně </w:t>
      </w:r>
      <w:r>
        <w:rPr>
          <w:rFonts w:ascii="Calibri" w:hAnsi="Calibri" w:cs="Calibri"/>
          <w:color w:val="000000"/>
          <w:sz w:val="22"/>
          <w:szCs w:val="22"/>
        </w:rPr>
        <w:t>v</w:t>
      </w:r>
      <w:r>
        <w:rPr>
          <w:rFonts w:ascii="Calibri" w:hAnsi="Calibri" w:cs="Calibri"/>
          <w:color w:val="000000"/>
          <w:sz w:val="22"/>
          <w:szCs w:val="22"/>
        </w:rPr>
        <w:t> </w:t>
      </w:r>
      <w:hyperlink r:id="rId23" w:history="1">
        <w:r w:rsidRPr="00E96618">
          <w:rPr>
            <w:rStyle w:val="Hyperlink"/>
            <w:rFonts w:ascii="Calibri" w:hAnsi="Calibri" w:cs="Calibri"/>
            <w:sz w:val="22"/>
            <w:szCs w:val="22"/>
          </w:rPr>
          <w:t>Q</w:t>
        </w:r>
        <w:r>
          <w:rPr>
            <w:rStyle w:val="Hyperlink"/>
            <w:rFonts w:ascii="Calibri" w:hAnsi="Calibri" w:cs="Calibri"/>
            <w:sz w:val="22"/>
            <w:szCs w:val="22"/>
          </w:rPr>
          <w:t>4</w:t>
        </w:r>
        <w:r w:rsidRPr="00E96618">
          <w:rPr>
            <w:rStyle w:val="Hyperlink"/>
            <w:rFonts w:ascii="Calibri" w:hAnsi="Calibri" w:cs="Calibri"/>
            <w:sz w:val="22"/>
            <w:szCs w:val="22"/>
          </w:rPr>
          <w:t>-2025</w:t>
        </w:r>
      </w:hyperlink>
      <w:r>
        <w:t xml:space="preserve"> </w:t>
      </w:r>
      <w:r w:rsidRPr="009C040E">
        <w:rPr>
          <w:rFonts w:ascii="Calibri" w:hAnsi="Calibri" w:cs="Calibri"/>
          <w:sz w:val="22"/>
          <w:szCs w:val="22"/>
        </w:rPr>
        <w:t xml:space="preserve">či graficky </w:t>
      </w:r>
      <w:hyperlink r:id="rId24" w:history="1">
        <w:r w:rsidRPr="009C040E">
          <w:rPr>
            <w:rStyle w:val="Hyperlink"/>
            <w:rFonts w:ascii="Calibri" w:hAnsi="Calibri" w:cs="Calibri"/>
            <w:sz w:val="22"/>
            <w:szCs w:val="22"/>
          </w:rPr>
          <w:t>zde</w:t>
        </w:r>
      </w:hyperlink>
      <w:r w:rsidRPr="00650088">
        <w:rPr>
          <w:rFonts w:ascii="Calibri" w:hAnsi="Calibri" w:cs="Calibri"/>
          <w:color w:val="000000"/>
          <w:sz w:val="22"/>
          <w:szCs w:val="22"/>
        </w:rPr>
        <w:t>)</w:t>
      </w:r>
      <w:r>
        <w:rPr>
          <w:rFonts w:ascii="Calibri" w:hAnsi="Calibri" w:cs="Calibri"/>
          <w:color w:val="000000"/>
          <w:sz w:val="22"/>
          <w:szCs w:val="22"/>
        </w:rPr>
        <w:t xml:space="preserve"> ovšem při pomalejším růstu disponibilního důchodu. Rovněž se zde promítají doposud </w:t>
      </w:r>
      <w:r w:rsidRPr="00650088">
        <w:rPr>
          <w:rFonts w:ascii="Calibri" w:hAnsi="Calibri" w:cs="Calibri"/>
          <w:color w:val="000000"/>
          <w:sz w:val="22"/>
          <w:szCs w:val="22"/>
        </w:rPr>
        <w:t>pokračující uvolněn</w:t>
      </w:r>
      <w:r>
        <w:rPr>
          <w:rFonts w:ascii="Calibri" w:hAnsi="Calibri" w:cs="Calibri"/>
          <w:color w:val="000000"/>
          <w:sz w:val="22"/>
          <w:szCs w:val="22"/>
        </w:rPr>
        <w:t xml:space="preserve">é </w:t>
      </w:r>
      <w:proofErr w:type="spellStart"/>
      <w:r w:rsidRPr="00650088">
        <w:rPr>
          <w:rFonts w:ascii="Calibri" w:hAnsi="Calibri" w:cs="Calibri"/>
          <w:color w:val="000000"/>
          <w:sz w:val="22"/>
          <w:szCs w:val="22"/>
        </w:rPr>
        <w:t>makroobezřetnostními</w:t>
      </w:r>
      <w:proofErr w:type="spellEnd"/>
      <w:r w:rsidRPr="00650088">
        <w:rPr>
          <w:rFonts w:ascii="Calibri" w:hAnsi="Calibri" w:cs="Calibri"/>
          <w:color w:val="000000"/>
          <w:sz w:val="22"/>
          <w:szCs w:val="22"/>
        </w:rPr>
        <w:t xml:space="preserve"> limity ohledně příjmů</w:t>
      </w:r>
      <w:r>
        <w:rPr>
          <w:rFonts w:ascii="Calibri" w:hAnsi="Calibri" w:cs="Calibri"/>
          <w:color w:val="000000"/>
          <w:sz w:val="22"/>
          <w:szCs w:val="22"/>
        </w:rPr>
        <w:t xml:space="preserve"> </w:t>
      </w:r>
      <w:r w:rsidRPr="00650088">
        <w:rPr>
          <w:rFonts w:ascii="Calibri" w:hAnsi="Calibri" w:cs="Calibri"/>
          <w:color w:val="000000"/>
          <w:sz w:val="22"/>
          <w:szCs w:val="22"/>
        </w:rPr>
        <w:t>ze strany ČNB (</w:t>
      </w:r>
      <w:r>
        <w:rPr>
          <w:rFonts w:ascii="Calibri" w:hAnsi="Calibri" w:cs="Calibri"/>
          <w:color w:val="000000"/>
          <w:sz w:val="22"/>
          <w:szCs w:val="22"/>
        </w:rPr>
        <w:t xml:space="preserve">platí </w:t>
      </w:r>
      <w:r w:rsidRPr="00650088">
        <w:rPr>
          <w:rFonts w:ascii="Calibri" w:hAnsi="Calibri" w:cs="Calibri"/>
          <w:color w:val="000000"/>
          <w:sz w:val="22"/>
          <w:szCs w:val="22"/>
        </w:rPr>
        <w:t>pouze 80% limit LTV či 90% v případě žadatelů mladších 36 let).</w:t>
      </w:r>
      <w:r>
        <w:rPr>
          <w:rFonts w:ascii="Calibri" w:hAnsi="Calibri" w:cs="Calibri"/>
          <w:color w:val="000000"/>
          <w:sz w:val="22"/>
          <w:szCs w:val="22"/>
        </w:rPr>
        <w:t xml:space="preserve"> Ty budou od dubna 2026 zpřísněny v případě </w:t>
      </w:r>
      <w:hyperlink r:id="rId25" w:history="1">
        <w:r w:rsidRPr="00616F34">
          <w:rPr>
            <w:rStyle w:val="Hyperlink"/>
            <w:rFonts w:ascii="Calibri" w:hAnsi="Calibri" w:cs="Calibri"/>
            <w:sz w:val="22"/>
            <w:szCs w:val="22"/>
          </w:rPr>
          <w:t>tzv. investičních hypoték</w:t>
        </w:r>
      </w:hyperlink>
      <w:r>
        <w:t xml:space="preserve"> na 70 % LTV a 7x DTI</w:t>
      </w:r>
      <w:r>
        <w:rPr>
          <w:rFonts w:ascii="Calibri" w:hAnsi="Calibri" w:cs="Calibri"/>
          <w:color w:val="000000"/>
          <w:sz w:val="22"/>
          <w:szCs w:val="22"/>
        </w:rPr>
        <w:t>.</w:t>
      </w:r>
    </w:p>
    <w:p w14:paraId="78499C78" w14:textId="266EBBB2" w:rsidR="006D49D0" w:rsidRPr="006D49D0" w:rsidRDefault="006D49D0" w:rsidP="006D49D0">
      <w:pPr>
        <w:overflowPunct/>
        <w:autoSpaceDE/>
        <w:autoSpaceDN/>
        <w:adjustRightInd/>
        <w:textAlignment w:val="auto"/>
        <w:rPr>
          <w:rFonts w:ascii="Calibri" w:hAnsi="Calibri" w:cs="Calibri"/>
          <w:color w:val="000000"/>
          <w:sz w:val="22"/>
          <w:szCs w:val="22"/>
        </w:rPr>
      </w:pPr>
    </w:p>
    <w:p w14:paraId="638AD8FD" w14:textId="1AE33B18" w:rsidR="00D1522E" w:rsidRDefault="00D1522E" w:rsidP="00D1522E">
      <w:pPr>
        <w:overflowPunct/>
        <w:autoSpaceDE/>
        <w:autoSpaceDN/>
        <w:adjustRightInd/>
        <w:textAlignment w:val="auto"/>
        <w:rPr>
          <w:rFonts w:ascii="Calibri" w:hAnsi="Calibri" w:cs="Calibri"/>
          <w:color w:val="000000"/>
          <w:sz w:val="22"/>
          <w:szCs w:val="22"/>
        </w:rPr>
      </w:pPr>
      <w:r w:rsidRPr="00616F34">
        <w:rPr>
          <w:rFonts w:ascii="Calibri" w:hAnsi="Calibri" w:cs="Calibri"/>
          <w:b/>
          <w:bCs/>
          <w:color w:val="000000"/>
          <w:sz w:val="22"/>
          <w:szCs w:val="22"/>
        </w:rPr>
        <w:t>Výše hypotéky pak souvisí také s vývojem cen nemovitostí,</w:t>
      </w:r>
      <w:r w:rsidRPr="004803D6">
        <w:rPr>
          <w:rFonts w:ascii="Calibri" w:hAnsi="Calibri" w:cs="Calibri"/>
          <w:color w:val="000000"/>
          <w:sz w:val="22"/>
          <w:szCs w:val="22"/>
        </w:rPr>
        <w:t xml:space="preserve"> které </w:t>
      </w:r>
      <w:r>
        <w:rPr>
          <w:rFonts w:ascii="Calibri" w:hAnsi="Calibri" w:cs="Calibri"/>
          <w:color w:val="000000"/>
          <w:sz w:val="22"/>
          <w:szCs w:val="22"/>
        </w:rPr>
        <w:t xml:space="preserve">se ve třetím čtvrtletí roku 2025 pokračovaly silným téměř </w:t>
      </w:r>
      <w:hyperlink r:id="rId26" w:history="1">
        <w:r w:rsidRPr="00356A6D">
          <w:rPr>
            <w:rStyle w:val="Hyperlink"/>
            <w:rFonts w:ascii="Calibri" w:hAnsi="Calibri" w:cs="Calibri"/>
            <w:sz w:val="22"/>
            <w:szCs w:val="22"/>
          </w:rPr>
          <w:t>11% meziročním růstem</w:t>
        </w:r>
      </w:hyperlink>
      <w:r>
        <w:rPr>
          <w:rFonts w:ascii="Calibri" w:hAnsi="Calibri" w:cs="Calibri"/>
          <w:color w:val="000000"/>
          <w:sz w:val="22"/>
          <w:szCs w:val="22"/>
        </w:rPr>
        <w:t xml:space="preserve"> či </w:t>
      </w:r>
      <w:hyperlink r:id="rId27" w:history="1">
        <w:r w:rsidRPr="00356A6D">
          <w:rPr>
            <w:rStyle w:val="Hyperlink"/>
            <w:rFonts w:ascii="Calibri" w:hAnsi="Calibri" w:cs="Calibri"/>
            <w:sz w:val="22"/>
            <w:szCs w:val="22"/>
          </w:rPr>
          <w:t>16% v případě cen bytů</w:t>
        </w:r>
      </w:hyperlink>
      <w:r>
        <w:rPr>
          <w:rFonts w:ascii="Calibri" w:hAnsi="Calibri" w:cs="Calibri"/>
          <w:color w:val="000000"/>
          <w:sz w:val="22"/>
          <w:szCs w:val="22"/>
        </w:rPr>
        <w:t xml:space="preserve">. </w:t>
      </w:r>
      <w:r w:rsidRPr="00D43642">
        <w:rPr>
          <w:rFonts w:ascii="Calibri" w:hAnsi="Calibri" w:cs="Calibri"/>
          <w:color w:val="000000"/>
          <w:sz w:val="22"/>
          <w:szCs w:val="22"/>
        </w:rPr>
        <w:t>Nabídkové ceny v poslední</w:t>
      </w:r>
      <w:r>
        <w:rPr>
          <w:rFonts w:ascii="Calibri" w:hAnsi="Calibri" w:cs="Calibri"/>
          <w:color w:val="000000"/>
          <w:sz w:val="22"/>
          <w:szCs w:val="22"/>
        </w:rPr>
        <w:t>m</w:t>
      </w:r>
      <w:r w:rsidRPr="00D43642">
        <w:rPr>
          <w:rFonts w:ascii="Calibri" w:hAnsi="Calibri" w:cs="Calibri"/>
          <w:color w:val="000000"/>
          <w:sz w:val="22"/>
          <w:szCs w:val="22"/>
        </w:rPr>
        <w:t xml:space="preserve"> čtvrtletí 2025 zpomalily mezičtvrtletní růst na 2,4 %, což je nejnižší nárůst od poloviny roku 2024. Ovšem tempo zůstává nad dlouhodobým průměrem 1,8 %. </w:t>
      </w:r>
      <w:r w:rsidR="00BA1D00" w:rsidRPr="00BA1D00">
        <w:rPr>
          <w:rFonts w:ascii="Calibri" w:hAnsi="Calibri" w:cs="Calibri"/>
          <w:color w:val="000000"/>
          <w:sz w:val="22"/>
          <w:szCs w:val="22"/>
        </w:rPr>
        <w:t xml:space="preserve">Podle dat od společnosti </w:t>
      </w:r>
      <w:proofErr w:type="spellStart"/>
      <w:r w:rsidR="00BA1D00" w:rsidRPr="00BA1D00">
        <w:rPr>
          <w:rFonts w:ascii="Calibri" w:hAnsi="Calibri" w:cs="Calibri"/>
          <w:color w:val="000000"/>
          <w:sz w:val="22"/>
          <w:szCs w:val="22"/>
        </w:rPr>
        <w:t>Flat</w:t>
      </w:r>
      <w:proofErr w:type="spellEnd"/>
      <w:r w:rsidR="00BA1D00" w:rsidRPr="00BA1D00">
        <w:rPr>
          <w:rFonts w:ascii="Calibri" w:hAnsi="Calibri" w:cs="Calibri"/>
          <w:color w:val="000000"/>
          <w:sz w:val="22"/>
          <w:szCs w:val="22"/>
        </w:rPr>
        <w:t xml:space="preserve"> </w:t>
      </w:r>
      <w:proofErr w:type="spellStart"/>
      <w:r w:rsidR="00BA1D00" w:rsidRPr="00BA1D00">
        <w:rPr>
          <w:rFonts w:ascii="Calibri" w:hAnsi="Calibri" w:cs="Calibri"/>
          <w:color w:val="000000"/>
          <w:sz w:val="22"/>
          <w:szCs w:val="22"/>
        </w:rPr>
        <w:t>Zone</w:t>
      </w:r>
      <w:proofErr w:type="spellEnd"/>
      <w:r w:rsidR="00BA1D00" w:rsidRPr="00BA1D00">
        <w:rPr>
          <w:rFonts w:ascii="Calibri" w:hAnsi="Calibri" w:cs="Calibri"/>
          <w:color w:val="000000"/>
          <w:sz w:val="22"/>
          <w:szCs w:val="22"/>
        </w:rPr>
        <w:t xml:space="preserve"> se průměrná transakční cena bytů, jak nových, tak starších v ČR ve čtvrtém čtvrtletí dostala na 97,5 tis. Kč/m2 (viz grafy na </w:t>
      </w:r>
      <w:hyperlink r:id="rId28" w:history="1">
        <w:r w:rsidR="00BA1D00" w:rsidRPr="00BA1D00">
          <w:rPr>
            <w:rStyle w:val="Hyperlink"/>
            <w:rFonts w:ascii="Calibri" w:hAnsi="Calibri" w:cs="Calibri"/>
            <w:sz w:val="22"/>
            <w:szCs w:val="22"/>
          </w:rPr>
          <w:t>ČBA Monitor</w:t>
        </w:r>
      </w:hyperlink>
      <w:r w:rsidR="00BA1D00" w:rsidRPr="00BA1D00">
        <w:rPr>
          <w:rFonts w:ascii="Calibri" w:hAnsi="Calibri" w:cs="Calibri"/>
          <w:color w:val="000000"/>
          <w:sz w:val="22"/>
          <w:szCs w:val="22"/>
        </w:rPr>
        <w:t>), což odráží 2% mezikvartální a 11,3% meziroční nárůst.</w:t>
      </w:r>
    </w:p>
    <w:p w14:paraId="1725240A" w14:textId="77777777" w:rsidR="00DB746B" w:rsidRDefault="00DB746B" w:rsidP="00573D34">
      <w:pPr>
        <w:spacing w:after="120"/>
        <w:rPr>
          <w:rFonts w:ascii="Calibri" w:hAnsi="Calibri" w:cs="Calibri"/>
          <w:b/>
          <w:color w:val="13576B"/>
          <w:sz w:val="23"/>
          <w:szCs w:val="23"/>
        </w:rPr>
      </w:pPr>
    </w:p>
    <w:p w14:paraId="37433820" w14:textId="16955C1F" w:rsidR="00573D34" w:rsidRDefault="00EB1892" w:rsidP="00573D34">
      <w:pPr>
        <w:spacing w:after="120"/>
        <w:rPr>
          <w:rFonts w:ascii="Calibri" w:hAnsi="Calibri" w:cs="Calibri"/>
          <w:b/>
          <w:color w:val="13576B"/>
          <w:sz w:val="23"/>
          <w:szCs w:val="23"/>
        </w:rPr>
      </w:pPr>
      <w:r w:rsidRPr="005B4653">
        <w:rPr>
          <w:rFonts w:ascii="Calibri" w:hAnsi="Calibri" w:cs="Calibri"/>
          <w:b/>
          <w:color w:val="13576B"/>
          <w:sz w:val="23"/>
          <w:szCs w:val="23"/>
        </w:rPr>
        <w:t xml:space="preserve">Graf č. </w:t>
      </w:r>
      <w:r w:rsidR="00506126">
        <w:rPr>
          <w:rFonts w:ascii="Calibri" w:hAnsi="Calibri" w:cs="Calibri"/>
          <w:b/>
          <w:color w:val="13576B"/>
          <w:sz w:val="23"/>
          <w:szCs w:val="23"/>
        </w:rPr>
        <w:t>5</w:t>
      </w:r>
      <w:r w:rsidRPr="005B4653">
        <w:rPr>
          <w:rFonts w:ascii="Calibri" w:hAnsi="Calibri" w:cs="Calibri"/>
          <w:b/>
          <w:color w:val="13576B"/>
          <w:sz w:val="23"/>
          <w:szCs w:val="23"/>
        </w:rPr>
        <w:t xml:space="preserve">: </w:t>
      </w:r>
      <w:r w:rsidR="009D5F35">
        <w:rPr>
          <w:rFonts w:ascii="Calibri" w:hAnsi="Calibri" w:cs="Calibri"/>
          <w:b/>
          <w:color w:val="13576B"/>
          <w:sz w:val="23"/>
          <w:szCs w:val="23"/>
        </w:rPr>
        <w:t>Ilustrativní srovnání výše měsíční splátky průměrné hypotéky s obdobím před rokem v závislosti na výši úroku, velikosti hypotéky a její splatnosti v</w:t>
      </w:r>
      <w:r w:rsidR="00573D34">
        <w:rPr>
          <w:rFonts w:ascii="Calibri" w:hAnsi="Calibri" w:cs="Calibri"/>
          <w:b/>
          <w:color w:val="13576B"/>
          <w:sz w:val="23"/>
          <w:szCs w:val="23"/>
        </w:rPr>
        <w:t> </w:t>
      </w:r>
      <w:r w:rsidR="009D5F35">
        <w:rPr>
          <w:rFonts w:ascii="Calibri" w:hAnsi="Calibri" w:cs="Calibri"/>
          <w:b/>
          <w:color w:val="13576B"/>
          <w:sz w:val="23"/>
          <w:szCs w:val="23"/>
        </w:rPr>
        <w:t>letech</w:t>
      </w:r>
    </w:p>
    <w:p w14:paraId="53476FC3" w14:textId="1B6E37D5" w:rsidR="00BA3140" w:rsidRDefault="006D49D0" w:rsidP="00AA62A7">
      <w:pPr>
        <w:overflowPunct/>
        <w:autoSpaceDE/>
        <w:autoSpaceDN/>
        <w:adjustRightInd/>
        <w:spacing w:line="259" w:lineRule="auto"/>
        <w:jc w:val="left"/>
        <w:textAlignment w:val="auto"/>
        <w:rPr>
          <w:rFonts w:ascii="Calibri" w:hAnsi="Calibri" w:cs="Calibri"/>
          <w:bCs/>
          <w:i/>
          <w:iCs/>
          <w:noProof/>
          <w:color w:val="13576B"/>
          <w:sz w:val="23"/>
          <w:szCs w:val="23"/>
        </w:rPr>
      </w:pPr>
      <w:r w:rsidRPr="006D49D0">
        <w:rPr>
          <w:rFonts w:ascii="Calibri" w:hAnsi="Calibri" w:cs="Calibri"/>
          <w:bCs/>
          <w:i/>
          <w:iCs/>
          <w:color w:val="13576B"/>
          <w:sz w:val="23"/>
          <w:szCs w:val="23"/>
        </w:rPr>
        <w:lastRenderedPageBreak/>
        <w:t xml:space="preserve">V meziročním srovnání přinesl pokles hypoteční sazby úsporu průměrné měsíční splátky o 700 Kč, ovšem růst průměrné výše hypotéky způsobil její navýšení o 3 370 Kč. </w:t>
      </w:r>
      <w:r>
        <w:rPr>
          <w:rFonts w:ascii="Calibri" w:hAnsi="Calibri" w:cs="Calibri"/>
          <w:bCs/>
          <w:i/>
          <w:iCs/>
          <w:noProof/>
          <w:color w:val="13576B"/>
          <w:sz w:val="23"/>
          <w:szCs w:val="23"/>
        </w:rPr>
        <w:drawing>
          <wp:inline distT="0" distB="0" distL="0" distR="0" wp14:anchorId="3CC6A0ED" wp14:editId="5FBDC307">
            <wp:extent cx="5406887" cy="3587947"/>
            <wp:effectExtent l="0" t="0" r="3810" b="0"/>
            <wp:docPr id="123132656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11828" cy="3591226"/>
                    </a:xfrm>
                    <a:prstGeom prst="rect">
                      <a:avLst/>
                    </a:prstGeom>
                    <a:noFill/>
                  </pic:spPr>
                </pic:pic>
              </a:graphicData>
            </a:graphic>
          </wp:inline>
        </w:drawing>
      </w:r>
    </w:p>
    <w:p w14:paraId="2DADE1A7" w14:textId="4B9EF024" w:rsidR="009D5F35" w:rsidRDefault="009D5F35" w:rsidP="009D5F35">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sidR="00AA62A7">
        <w:rPr>
          <w:rFonts w:ascii="Calibri Light" w:hAnsi="Calibri Light" w:cs="Calibri Light"/>
          <w:color w:val="13576B"/>
          <w:sz w:val="20"/>
        </w:rPr>
        <w:t xml:space="preserve">. Pozn.: </w:t>
      </w:r>
      <w:r w:rsidR="00AA62A7" w:rsidRPr="00AA62A7">
        <w:rPr>
          <w:rFonts w:ascii="Calibri Light" w:hAnsi="Calibri Light" w:cs="Calibri Light"/>
          <w:color w:val="13576B"/>
          <w:sz w:val="20"/>
        </w:rPr>
        <w:t>částky jsou zaokrouhleny na desítky korun.</w:t>
      </w:r>
    </w:p>
    <w:p w14:paraId="7ECA69B5" w14:textId="77777777" w:rsidR="00173D31" w:rsidRDefault="00173D31" w:rsidP="009D5F35">
      <w:pPr>
        <w:overflowPunct/>
        <w:autoSpaceDE/>
        <w:adjustRightInd/>
        <w:rPr>
          <w:rFonts w:ascii="Calibri Light" w:hAnsi="Calibri Light" w:cs="Calibri Light"/>
          <w:color w:val="13576B"/>
          <w:sz w:val="20"/>
        </w:rPr>
      </w:pPr>
    </w:p>
    <w:p w14:paraId="620D9ACD" w14:textId="77777777" w:rsidR="00BA3140" w:rsidRDefault="00BA3140" w:rsidP="002E4EFD">
      <w:pPr>
        <w:rPr>
          <w:rFonts w:ascii="Calibri" w:hAnsi="Calibri" w:cs="Calibri"/>
          <w:b/>
          <w:color w:val="13576B"/>
          <w:sz w:val="24"/>
          <w:szCs w:val="24"/>
        </w:rPr>
      </w:pPr>
    </w:p>
    <w:p w14:paraId="5A72B105" w14:textId="31FA153D" w:rsidR="002E4EFD" w:rsidRDefault="008723A8" w:rsidP="002E4EFD">
      <w:pPr>
        <w:rPr>
          <w:rFonts w:ascii="Calibri" w:hAnsi="Calibri" w:cs="Calibri"/>
          <w:b/>
          <w:color w:val="13576B"/>
          <w:sz w:val="24"/>
          <w:szCs w:val="24"/>
        </w:rPr>
      </w:pPr>
      <w:r>
        <w:rPr>
          <w:rFonts w:ascii="Calibri" w:hAnsi="Calibri" w:cs="Calibri"/>
          <w:b/>
          <w:color w:val="13576B"/>
          <w:sz w:val="24"/>
          <w:szCs w:val="24"/>
        </w:rPr>
        <w:t>Statistická příloha</w:t>
      </w:r>
    </w:p>
    <w:p w14:paraId="7D8CD8E4" w14:textId="77777777" w:rsidR="00582221" w:rsidRDefault="00582221" w:rsidP="002E4EFD">
      <w:pPr>
        <w:rPr>
          <w:rFonts w:ascii="Calibri" w:hAnsi="Calibri" w:cs="Calibri"/>
          <w:b/>
          <w:color w:val="13576B"/>
          <w:sz w:val="24"/>
          <w:szCs w:val="24"/>
        </w:rPr>
      </w:pPr>
    </w:p>
    <w:p w14:paraId="2FA0BE1C" w14:textId="24706C40" w:rsidR="00582221" w:rsidRPr="00D24B00" w:rsidRDefault="00582221" w:rsidP="002E4EFD">
      <w:pPr>
        <w:rPr>
          <w:rFonts w:ascii="Calibri" w:hAnsi="Calibri" w:cs="Calibri"/>
          <w:b/>
          <w:color w:val="EE0000"/>
          <w:sz w:val="24"/>
          <w:szCs w:val="24"/>
        </w:rPr>
      </w:pPr>
      <w:r w:rsidRPr="005B4653">
        <w:rPr>
          <w:rFonts w:ascii="Calibri" w:hAnsi="Calibri" w:cs="Calibri"/>
          <w:b/>
          <w:color w:val="13576B"/>
          <w:sz w:val="23"/>
          <w:szCs w:val="23"/>
        </w:rPr>
        <w:t xml:space="preserve">Graf č. </w:t>
      </w:r>
      <w:r w:rsidR="00506126">
        <w:rPr>
          <w:rFonts w:ascii="Calibri" w:hAnsi="Calibri" w:cs="Calibri"/>
          <w:b/>
          <w:color w:val="13576B"/>
          <w:sz w:val="23"/>
          <w:szCs w:val="23"/>
        </w:rPr>
        <w:t>6</w:t>
      </w:r>
      <w:r w:rsidRPr="005B4653">
        <w:rPr>
          <w:rFonts w:ascii="Calibri" w:hAnsi="Calibri" w:cs="Calibri"/>
          <w:b/>
          <w:color w:val="13576B"/>
          <w:sz w:val="23"/>
          <w:szCs w:val="23"/>
        </w:rPr>
        <w:t xml:space="preserve">: </w:t>
      </w:r>
      <w:r>
        <w:rPr>
          <w:rFonts w:ascii="Calibri" w:hAnsi="Calibri" w:cs="Calibri"/>
          <w:b/>
          <w:color w:val="13576B"/>
          <w:sz w:val="23"/>
          <w:szCs w:val="23"/>
        </w:rPr>
        <w:t>Sezónnost nových hypotečních úvěrů</w:t>
      </w:r>
    </w:p>
    <w:p w14:paraId="384BA2E5" w14:textId="084B070E" w:rsidR="0033440C" w:rsidRDefault="006D49D0" w:rsidP="009D5F35">
      <w:pPr>
        <w:overflowPunct/>
        <w:autoSpaceDE/>
        <w:adjustRightInd/>
        <w:rPr>
          <w:rFonts w:ascii="Calibri Light" w:hAnsi="Calibri Light" w:cs="Calibri Light"/>
          <w:color w:val="13576B"/>
          <w:sz w:val="20"/>
        </w:rPr>
      </w:pPr>
      <w:r>
        <w:rPr>
          <w:rFonts w:ascii="Calibri Light" w:hAnsi="Calibri Light" w:cs="Calibri Light"/>
          <w:noProof/>
          <w:color w:val="13576B"/>
          <w:sz w:val="20"/>
        </w:rPr>
        <w:lastRenderedPageBreak/>
        <w:drawing>
          <wp:inline distT="0" distB="0" distL="0" distR="0" wp14:anchorId="2E002949" wp14:editId="487A16DC">
            <wp:extent cx="5979381" cy="3878813"/>
            <wp:effectExtent l="0" t="0" r="2540" b="7620"/>
            <wp:docPr id="26742136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92439" cy="3887284"/>
                    </a:xfrm>
                    <a:prstGeom prst="rect">
                      <a:avLst/>
                    </a:prstGeom>
                    <a:noFill/>
                  </pic:spPr>
                </pic:pic>
              </a:graphicData>
            </a:graphic>
          </wp:inline>
        </w:drawing>
      </w:r>
    </w:p>
    <w:p w14:paraId="2543E5F5" w14:textId="68A6E96C" w:rsidR="0033440C" w:rsidRDefault="008723A8" w:rsidP="009D5F35">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Pr>
          <w:rFonts w:ascii="Calibri Light" w:hAnsi="Calibri Light" w:cs="Calibri Light"/>
          <w:color w:val="13576B"/>
          <w:sz w:val="20"/>
        </w:rPr>
        <w:t xml:space="preserve"> </w:t>
      </w:r>
      <w:proofErr w:type="spellStart"/>
      <w:r>
        <w:rPr>
          <w:rFonts w:ascii="Calibri Light" w:hAnsi="Calibri Light" w:cs="Calibri Light"/>
          <w:color w:val="13576B"/>
          <w:sz w:val="20"/>
        </w:rPr>
        <w:t>Hypomonitor</w:t>
      </w:r>
      <w:proofErr w:type="spellEnd"/>
    </w:p>
    <w:p w14:paraId="03530238" w14:textId="378A1F3A" w:rsidR="008723A8" w:rsidRDefault="008723A8" w:rsidP="009D5F35">
      <w:pPr>
        <w:overflowPunct/>
        <w:autoSpaceDE/>
        <w:adjustRightInd/>
        <w:rPr>
          <w:rFonts w:ascii="Calibri Light" w:hAnsi="Calibri Light" w:cs="Calibri Light"/>
          <w:color w:val="13576B"/>
          <w:sz w:val="20"/>
        </w:rPr>
      </w:pPr>
      <w:r>
        <w:rPr>
          <w:rFonts w:ascii="Calibri Light" w:hAnsi="Calibri Light" w:cs="Calibri Light"/>
          <w:color w:val="13576B"/>
          <w:sz w:val="20"/>
        </w:rPr>
        <w:t xml:space="preserve">Poznámka: </w:t>
      </w:r>
      <w:r w:rsidR="006E2E7E">
        <w:rPr>
          <w:rFonts w:ascii="Calibri Light" w:hAnsi="Calibri Light" w:cs="Calibri Light"/>
          <w:color w:val="13576B"/>
          <w:sz w:val="20"/>
        </w:rPr>
        <w:t xml:space="preserve">Jedná se o skutečně nové hypotéky (tedy </w:t>
      </w:r>
      <w:r w:rsidR="00F50DD0">
        <w:rPr>
          <w:rFonts w:ascii="Calibri Light" w:hAnsi="Calibri Light" w:cs="Calibri Light"/>
          <w:color w:val="13576B"/>
          <w:sz w:val="20"/>
        </w:rPr>
        <w:t xml:space="preserve">bez </w:t>
      </w:r>
      <w:r w:rsidR="006E2E7E">
        <w:rPr>
          <w:rFonts w:ascii="Calibri Light" w:hAnsi="Calibri Light" w:cs="Calibri Light"/>
          <w:color w:val="13576B"/>
          <w:sz w:val="20"/>
        </w:rPr>
        <w:t xml:space="preserve">refinancování a navýšeni). </w:t>
      </w:r>
      <w:r>
        <w:rPr>
          <w:rFonts w:ascii="Calibri Light" w:hAnsi="Calibri Light" w:cs="Calibri Light"/>
          <w:color w:val="13576B"/>
          <w:sz w:val="20"/>
        </w:rPr>
        <w:t xml:space="preserve">Podkladová data jsou </w:t>
      </w:r>
      <w:r w:rsidRPr="008723A8">
        <w:rPr>
          <w:rFonts w:ascii="Calibri Light" w:hAnsi="Calibri Light" w:cs="Calibri Light"/>
          <w:color w:val="13576B"/>
          <w:sz w:val="20"/>
        </w:rPr>
        <w:t xml:space="preserve">k dispozici v souboru </w:t>
      </w:r>
      <w:proofErr w:type="spellStart"/>
      <w:r w:rsidRPr="008723A8">
        <w:rPr>
          <w:rFonts w:ascii="Calibri Light" w:hAnsi="Calibri Light" w:cs="Calibri Light"/>
          <w:color w:val="13576B"/>
          <w:sz w:val="20"/>
        </w:rPr>
        <w:t>xls</w:t>
      </w:r>
      <w:proofErr w:type="spellEnd"/>
      <w:r w:rsidRPr="008723A8">
        <w:rPr>
          <w:rFonts w:ascii="Calibri Light" w:hAnsi="Calibri Light" w:cs="Calibri Light"/>
          <w:color w:val="13576B"/>
          <w:sz w:val="20"/>
        </w:rPr>
        <w:t xml:space="preserve"> přiloženém na webových stránkách ČBA Hypomonitoru</w:t>
      </w:r>
      <w:r w:rsidR="00E16BD3">
        <w:rPr>
          <w:rFonts w:ascii="Calibri Light" w:hAnsi="Calibri Light" w:cs="Calibri Light"/>
          <w:color w:val="13576B"/>
          <w:sz w:val="20"/>
        </w:rPr>
        <w:t>. V</w:t>
      </w:r>
      <w:r w:rsidR="00E16BD3" w:rsidRPr="00E16BD3">
        <w:rPr>
          <w:rFonts w:ascii="Calibri Light" w:hAnsi="Calibri Light" w:cs="Calibri Light"/>
          <w:color w:val="13576B"/>
          <w:sz w:val="20"/>
        </w:rPr>
        <w:t>ýhled do konce roku</w:t>
      </w:r>
      <w:r w:rsidR="00E16BD3">
        <w:rPr>
          <w:rFonts w:ascii="Calibri Light" w:hAnsi="Calibri Light" w:cs="Calibri Light"/>
          <w:color w:val="13576B"/>
          <w:sz w:val="20"/>
        </w:rPr>
        <w:t xml:space="preserve"> (</w:t>
      </w:r>
      <w:proofErr w:type="spellStart"/>
      <w:r w:rsidR="00E16BD3">
        <w:rPr>
          <w:rFonts w:ascii="Calibri Light" w:hAnsi="Calibri Light" w:cs="Calibri Light"/>
          <w:color w:val="13576B"/>
          <w:sz w:val="20"/>
        </w:rPr>
        <w:t>fcst</w:t>
      </w:r>
      <w:proofErr w:type="spellEnd"/>
      <w:r w:rsidR="00E16BD3">
        <w:rPr>
          <w:rFonts w:ascii="Calibri Light" w:hAnsi="Calibri Light" w:cs="Calibri Light"/>
          <w:color w:val="13576B"/>
          <w:sz w:val="20"/>
        </w:rPr>
        <w:t>)</w:t>
      </w:r>
      <w:r w:rsidR="00E16BD3" w:rsidRPr="00E16BD3">
        <w:rPr>
          <w:rFonts w:ascii="Calibri Light" w:hAnsi="Calibri Light" w:cs="Calibri Light"/>
          <w:color w:val="13576B"/>
          <w:sz w:val="20"/>
        </w:rPr>
        <w:t xml:space="preserve"> je momentový – vychází z aktuálního trendu, nikoli z modelové predikce.</w:t>
      </w:r>
    </w:p>
    <w:p w14:paraId="50F3BD64" w14:textId="77777777" w:rsidR="0033440C" w:rsidRDefault="0033440C" w:rsidP="009D5F35">
      <w:pPr>
        <w:overflowPunct/>
        <w:autoSpaceDE/>
        <w:adjustRightInd/>
        <w:rPr>
          <w:rFonts w:ascii="Calibri Light" w:hAnsi="Calibri Light" w:cs="Calibri Light"/>
          <w:color w:val="13576B"/>
          <w:sz w:val="20"/>
        </w:rPr>
      </w:pPr>
    </w:p>
    <w:p w14:paraId="67028DE4" w14:textId="753DB133" w:rsidR="00582221" w:rsidRDefault="00582221" w:rsidP="009D5F35">
      <w:pPr>
        <w:overflowPunct/>
        <w:autoSpaceDE/>
        <w:adjustRightInd/>
        <w:rPr>
          <w:rFonts w:ascii="Calibri Light" w:hAnsi="Calibri Light" w:cs="Calibri Light"/>
          <w:color w:val="13576B"/>
          <w:sz w:val="20"/>
        </w:rPr>
      </w:pPr>
      <w:r w:rsidRPr="005B4653">
        <w:rPr>
          <w:rFonts w:ascii="Calibri" w:hAnsi="Calibri" w:cs="Calibri"/>
          <w:b/>
          <w:color w:val="13576B"/>
          <w:sz w:val="23"/>
          <w:szCs w:val="23"/>
        </w:rPr>
        <w:t xml:space="preserve">Graf č. </w:t>
      </w:r>
      <w:r w:rsidR="00506126">
        <w:rPr>
          <w:rFonts w:ascii="Calibri" w:hAnsi="Calibri" w:cs="Calibri"/>
          <w:b/>
          <w:color w:val="13576B"/>
          <w:sz w:val="23"/>
          <w:szCs w:val="23"/>
        </w:rPr>
        <w:t>7</w:t>
      </w:r>
      <w:r w:rsidRPr="005B4653">
        <w:rPr>
          <w:rFonts w:ascii="Calibri" w:hAnsi="Calibri" w:cs="Calibri"/>
          <w:b/>
          <w:color w:val="13576B"/>
          <w:sz w:val="23"/>
          <w:szCs w:val="23"/>
        </w:rPr>
        <w:t xml:space="preserve">: </w:t>
      </w:r>
      <w:r>
        <w:rPr>
          <w:rFonts w:ascii="Calibri" w:hAnsi="Calibri" w:cs="Calibri"/>
          <w:b/>
          <w:color w:val="13576B"/>
          <w:sz w:val="23"/>
          <w:szCs w:val="23"/>
        </w:rPr>
        <w:t>Rozložení nových hypotečních úvěrů podle účelu</w:t>
      </w:r>
    </w:p>
    <w:p w14:paraId="6D87A84C" w14:textId="57FAB425" w:rsidR="00582221" w:rsidRDefault="00AD4353" w:rsidP="009D5F35">
      <w:pPr>
        <w:overflowPunct/>
        <w:autoSpaceDE/>
        <w:adjustRightInd/>
        <w:rPr>
          <w:rFonts w:ascii="Calibri Light" w:hAnsi="Calibri Light" w:cs="Calibri Light"/>
          <w:color w:val="13576B"/>
          <w:sz w:val="20"/>
        </w:rPr>
      </w:pPr>
      <w:r>
        <w:rPr>
          <w:rFonts w:ascii="Calibri Light" w:hAnsi="Calibri Light" w:cs="Calibri Light"/>
          <w:noProof/>
          <w:color w:val="13576B"/>
          <w:sz w:val="20"/>
        </w:rPr>
        <w:drawing>
          <wp:inline distT="0" distB="0" distL="0" distR="0" wp14:anchorId="54D83F45" wp14:editId="04C7FF64">
            <wp:extent cx="6603559" cy="2080683"/>
            <wp:effectExtent l="0" t="0" r="6985" b="0"/>
            <wp:docPr id="926312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50108" cy="2095350"/>
                    </a:xfrm>
                    <a:prstGeom prst="rect">
                      <a:avLst/>
                    </a:prstGeom>
                    <a:noFill/>
                  </pic:spPr>
                </pic:pic>
              </a:graphicData>
            </a:graphic>
          </wp:inline>
        </w:drawing>
      </w:r>
    </w:p>
    <w:p w14:paraId="56D7AF75" w14:textId="77777777" w:rsidR="00582221" w:rsidRDefault="00582221" w:rsidP="00582221">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Pr>
          <w:rFonts w:ascii="Calibri Light" w:hAnsi="Calibri Light" w:cs="Calibri Light"/>
          <w:color w:val="13576B"/>
          <w:sz w:val="20"/>
        </w:rPr>
        <w:t xml:space="preserve"> </w:t>
      </w:r>
      <w:proofErr w:type="spellStart"/>
      <w:r>
        <w:rPr>
          <w:rFonts w:ascii="Calibri Light" w:hAnsi="Calibri Light" w:cs="Calibri Light"/>
          <w:color w:val="13576B"/>
          <w:sz w:val="20"/>
        </w:rPr>
        <w:t>Hypomonitor</w:t>
      </w:r>
      <w:proofErr w:type="spellEnd"/>
    </w:p>
    <w:p w14:paraId="5303965F" w14:textId="4D0A9CAE" w:rsidR="0033440C" w:rsidRPr="00616069" w:rsidRDefault="00582221" w:rsidP="00582221">
      <w:pPr>
        <w:overflowPunct/>
        <w:autoSpaceDE/>
        <w:adjustRightInd/>
        <w:rPr>
          <w:rFonts w:ascii="Calibri Light" w:hAnsi="Calibri Light" w:cs="Calibri Light"/>
          <w:color w:val="13576B"/>
          <w:sz w:val="20"/>
        </w:rPr>
      </w:pPr>
      <w:r>
        <w:rPr>
          <w:rFonts w:ascii="Calibri Light" w:hAnsi="Calibri Light" w:cs="Calibri Light"/>
          <w:color w:val="13576B"/>
          <w:sz w:val="20"/>
        </w:rPr>
        <w:t xml:space="preserve">Poznámka: Poslední údaj představuje průměr za posledních 12 měsíců. </w:t>
      </w:r>
    </w:p>
    <w:bookmarkEnd w:id="7"/>
    <w:p w14:paraId="045825E8" w14:textId="77777777" w:rsidR="00801B60" w:rsidRDefault="00801B60" w:rsidP="002A5D11">
      <w:pPr>
        <w:rPr>
          <w:rFonts w:ascii="Calibri" w:hAnsi="Calibri" w:cs="Calibri"/>
          <w:b/>
          <w:color w:val="13576B"/>
          <w:sz w:val="24"/>
          <w:szCs w:val="24"/>
        </w:rPr>
      </w:pPr>
    </w:p>
    <w:p w14:paraId="38F7CB3F" w14:textId="2FEEAD4C" w:rsidR="00BA3140" w:rsidRPr="002A5D11" w:rsidRDefault="00BA3140" w:rsidP="00BA3140">
      <w:pPr>
        <w:rPr>
          <w:rFonts w:ascii="Calibri" w:hAnsi="Calibri" w:cs="Calibri"/>
          <w:b/>
          <w:color w:val="13576B"/>
          <w:sz w:val="24"/>
          <w:szCs w:val="24"/>
        </w:rPr>
      </w:pPr>
      <w:r w:rsidRPr="002A5D11">
        <w:rPr>
          <w:rFonts w:ascii="Calibri" w:hAnsi="Calibri" w:cs="Calibri"/>
          <w:b/>
          <w:color w:val="13576B"/>
          <w:sz w:val="24"/>
          <w:szCs w:val="24"/>
        </w:rPr>
        <w:t>Hypoteční trh v roce 202</w:t>
      </w:r>
      <w:r>
        <w:rPr>
          <w:rFonts w:ascii="Calibri" w:hAnsi="Calibri" w:cs="Calibri"/>
          <w:b/>
          <w:color w:val="13576B"/>
          <w:sz w:val="24"/>
          <w:szCs w:val="24"/>
        </w:rPr>
        <w:t>5</w:t>
      </w:r>
      <w:r w:rsidR="00356A6D">
        <w:rPr>
          <w:rFonts w:ascii="Calibri" w:hAnsi="Calibri" w:cs="Calibri"/>
          <w:b/>
          <w:color w:val="13576B"/>
          <w:sz w:val="24"/>
          <w:szCs w:val="24"/>
        </w:rPr>
        <w:t xml:space="preserve"> přinesl </w:t>
      </w:r>
      <w:r>
        <w:rPr>
          <w:rFonts w:ascii="Calibri" w:hAnsi="Calibri" w:cs="Calibri"/>
          <w:b/>
          <w:color w:val="13576B"/>
          <w:sz w:val="24"/>
          <w:szCs w:val="24"/>
        </w:rPr>
        <w:t>silný</w:t>
      </w:r>
      <w:r w:rsidRPr="002A5D11">
        <w:rPr>
          <w:rFonts w:ascii="Calibri" w:hAnsi="Calibri" w:cs="Calibri"/>
          <w:b/>
          <w:color w:val="13576B"/>
          <w:sz w:val="24"/>
          <w:szCs w:val="24"/>
        </w:rPr>
        <w:t xml:space="preserve"> </w:t>
      </w:r>
      <w:r>
        <w:rPr>
          <w:rFonts w:ascii="Calibri" w:hAnsi="Calibri" w:cs="Calibri"/>
          <w:b/>
          <w:color w:val="13576B"/>
          <w:sz w:val="24"/>
          <w:szCs w:val="24"/>
        </w:rPr>
        <w:t xml:space="preserve">objemový </w:t>
      </w:r>
      <w:r w:rsidRPr="002A5D11">
        <w:rPr>
          <w:rFonts w:ascii="Calibri" w:hAnsi="Calibri" w:cs="Calibri"/>
          <w:b/>
          <w:color w:val="13576B"/>
          <w:sz w:val="24"/>
          <w:szCs w:val="24"/>
        </w:rPr>
        <w:t xml:space="preserve">růst o </w:t>
      </w:r>
      <w:r>
        <w:rPr>
          <w:rFonts w:ascii="Calibri" w:hAnsi="Calibri" w:cs="Calibri"/>
          <w:b/>
          <w:color w:val="13576B"/>
          <w:sz w:val="24"/>
          <w:szCs w:val="24"/>
        </w:rPr>
        <w:t>41</w:t>
      </w:r>
      <w:r w:rsidRPr="002A5D11">
        <w:rPr>
          <w:rFonts w:ascii="Calibri" w:hAnsi="Calibri" w:cs="Calibri"/>
          <w:b/>
          <w:color w:val="13576B"/>
          <w:sz w:val="24"/>
          <w:szCs w:val="24"/>
        </w:rPr>
        <w:t xml:space="preserve"> %</w:t>
      </w:r>
      <w:r>
        <w:rPr>
          <w:rFonts w:ascii="Calibri" w:hAnsi="Calibri" w:cs="Calibri"/>
          <w:b/>
          <w:color w:val="13576B"/>
          <w:sz w:val="24"/>
          <w:szCs w:val="24"/>
        </w:rPr>
        <w:t xml:space="preserve"> a o téměř čtvrtinu v počtech</w:t>
      </w:r>
    </w:p>
    <w:p w14:paraId="153D0109" w14:textId="77777777" w:rsidR="00BA3140" w:rsidRPr="00840F7C" w:rsidRDefault="00BA3140" w:rsidP="00BA3140">
      <w:pPr>
        <w:rPr>
          <w:rFonts w:ascii="Calibri" w:hAnsi="Calibri" w:cs="Calibri"/>
          <w:b/>
          <w:bCs/>
          <w:sz w:val="22"/>
          <w:szCs w:val="22"/>
        </w:rPr>
      </w:pPr>
    </w:p>
    <w:p w14:paraId="605D853E" w14:textId="77777777" w:rsidR="00BA3140" w:rsidRDefault="00BA3140" w:rsidP="00BA3140">
      <w:pPr>
        <w:rPr>
          <w:rFonts w:ascii="Calibri" w:hAnsi="Calibri" w:cs="Calibri"/>
          <w:color w:val="000000" w:themeColor="text1"/>
          <w:sz w:val="22"/>
          <w:szCs w:val="22"/>
        </w:rPr>
      </w:pPr>
      <w:r w:rsidRPr="00840F7C">
        <w:rPr>
          <w:rFonts w:ascii="Calibri" w:hAnsi="Calibri" w:cs="Calibri"/>
          <w:b/>
          <w:bCs/>
          <w:color w:val="000000" w:themeColor="text1"/>
          <w:sz w:val="22"/>
          <w:szCs w:val="22"/>
        </w:rPr>
        <w:lastRenderedPageBreak/>
        <w:t>Za celý rok 202</w:t>
      </w:r>
      <w:r>
        <w:rPr>
          <w:rFonts w:ascii="Calibri" w:hAnsi="Calibri" w:cs="Calibri"/>
          <w:b/>
          <w:bCs/>
          <w:color w:val="000000" w:themeColor="text1"/>
          <w:sz w:val="22"/>
          <w:szCs w:val="22"/>
        </w:rPr>
        <w:t>5</w:t>
      </w:r>
      <w:r w:rsidRPr="00840F7C">
        <w:rPr>
          <w:rFonts w:ascii="Calibri" w:hAnsi="Calibri" w:cs="Calibri"/>
          <w:b/>
          <w:bCs/>
          <w:color w:val="000000" w:themeColor="text1"/>
          <w:sz w:val="22"/>
          <w:szCs w:val="22"/>
        </w:rPr>
        <w:t xml:space="preserve"> poskytly banky a stavební spořitelny nové hypoteční úvěry v objemu </w:t>
      </w:r>
      <w:r>
        <w:rPr>
          <w:rFonts w:ascii="Calibri" w:hAnsi="Calibri" w:cs="Calibri"/>
          <w:b/>
          <w:bCs/>
          <w:color w:val="000000" w:themeColor="text1"/>
          <w:sz w:val="22"/>
          <w:szCs w:val="22"/>
        </w:rPr>
        <w:t>321</w:t>
      </w:r>
      <w:r w:rsidRPr="00840F7C">
        <w:rPr>
          <w:rFonts w:ascii="Calibri" w:hAnsi="Calibri" w:cs="Calibri"/>
          <w:b/>
          <w:bCs/>
          <w:color w:val="000000" w:themeColor="text1"/>
          <w:sz w:val="22"/>
          <w:szCs w:val="22"/>
        </w:rPr>
        <w:t xml:space="preserve"> miliard Kč.</w:t>
      </w:r>
      <w:r>
        <w:rPr>
          <w:rFonts w:ascii="Calibri" w:hAnsi="Calibri" w:cs="Calibri"/>
          <w:b/>
          <w:bCs/>
          <w:color w:val="000000" w:themeColor="text1"/>
          <w:sz w:val="22"/>
          <w:szCs w:val="22"/>
        </w:rPr>
        <w:t xml:space="preserve"> </w:t>
      </w:r>
      <w:r w:rsidRPr="00840F7C">
        <w:rPr>
          <w:rFonts w:ascii="Calibri" w:hAnsi="Calibri" w:cs="Calibri"/>
          <w:color w:val="000000" w:themeColor="text1"/>
          <w:sz w:val="22"/>
          <w:szCs w:val="22"/>
        </w:rPr>
        <w:t>To je</w:t>
      </w:r>
      <w:r>
        <w:rPr>
          <w:rFonts w:ascii="Calibri" w:hAnsi="Calibri" w:cs="Calibri"/>
          <w:color w:val="000000" w:themeColor="text1"/>
          <w:sz w:val="22"/>
          <w:szCs w:val="22"/>
        </w:rPr>
        <w:t xml:space="preserve"> o</w:t>
      </w:r>
      <w:r w:rsidRPr="00840F7C">
        <w:rPr>
          <w:rFonts w:ascii="Calibri" w:hAnsi="Calibri" w:cs="Calibri"/>
          <w:color w:val="000000" w:themeColor="text1"/>
          <w:sz w:val="22"/>
          <w:szCs w:val="22"/>
        </w:rPr>
        <w:t xml:space="preserve"> </w:t>
      </w:r>
      <w:r>
        <w:rPr>
          <w:rFonts w:ascii="Calibri" w:hAnsi="Calibri" w:cs="Calibri"/>
          <w:color w:val="000000" w:themeColor="text1"/>
          <w:sz w:val="22"/>
          <w:szCs w:val="22"/>
        </w:rPr>
        <w:t>93 miliard korun</w:t>
      </w:r>
      <w:r w:rsidRPr="00840F7C">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více než 228 miliard vytvořených v roce 2024. Tento meziroční skok odpovídá 41% nárůstu. </w:t>
      </w:r>
      <w:r w:rsidRPr="00840F7C">
        <w:rPr>
          <w:rFonts w:ascii="Calibri" w:hAnsi="Calibri" w:cs="Calibri"/>
          <w:color w:val="000000" w:themeColor="text1"/>
          <w:sz w:val="22"/>
          <w:szCs w:val="22"/>
        </w:rPr>
        <w:t xml:space="preserve">K tomu se navíc refinancovaly hypotéky v rozsahu </w:t>
      </w:r>
      <w:r>
        <w:rPr>
          <w:rFonts w:ascii="Calibri" w:hAnsi="Calibri" w:cs="Calibri"/>
          <w:color w:val="000000" w:themeColor="text1"/>
          <w:sz w:val="22"/>
          <w:szCs w:val="22"/>
        </w:rPr>
        <w:t xml:space="preserve">85 </w:t>
      </w:r>
      <w:r w:rsidRPr="00840F7C">
        <w:rPr>
          <w:rFonts w:ascii="Calibri" w:hAnsi="Calibri" w:cs="Calibri"/>
          <w:color w:val="000000" w:themeColor="text1"/>
          <w:sz w:val="22"/>
          <w:szCs w:val="22"/>
        </w:rPr>
        <w:t>miliard Kč a celý hypoteční trh tak v roce 202</w:t>
      </w:r>
      <w:r>
        <w:rPr>
          <w:rFonts w:ascii="Calibri" w:hAnsi="Calibri" w:cs="Calibri"/>
          <w:color w:val="000000" w:themeColor="text1"/>
          <w:sz w:val="22"/>
          <w:szCs w:val="22"/>
        </w:rPr>
        <w:t>5</w:t>
      </w:r>
      <w:r w:rsidRPr="00840F7C">
        <w:rPr>
          <w:rFonts w:ascii="Calibri" w:hAnsi="Calibri" w:cs="Calibri"/>
          <w:color w:val="000000" w:themeColor="text1"/>
          <w:sz w:val="22"/>
          <w:szCs w:val="22"/>
        </w:rPr>
        <w:t xml:space="preserve"> narostl na </w:t>
      </w:r>
      <w:r>
        <w:rPr>
          <w:rFonts w:ascii="Calibri" w:hAnsi="Calibri" w:cs="Calibri"/>
          <w:color w:val="000000" w:themeColor="text1"/>
          <w:sz w:val="22"/>
          <w:szCs w:val="22"/>
        </w:rPr>
        <w:t>406</w:t>
      </w:r>
      <w:r w:rsidRPr="00840F7C">
        <w:rPr>
          <w:rFonts w:ascii="Calibri" w:hAnsi="Calibri" w:cs="Calibri"/>
          <w:color w:val="000000" w:themeColor="text1"/>
          <w:sz w:val="22"/>
          <w:szCs w:val="22"/>
        </w:rPr>
        <w:t xml:space="preserve"> miliard Kč z</w:t>
      </w:r>
      <w:r>
        <w:rPr>
          <w:rFonts w:ascii="Calibri" w:hAnsi="Calibri" w:cs="Calibri"/>
          <w:color w:val="000000" w:themeColor="text1"/>
          <w:sz w:val="22"/>
          <w:szCs w:val="22"/>
        </w:rPr>
        <w:t xml:space="preserve"> 275 </w:t>
      </w:r>
      <w:r w:rsidRPr="00840F7C">
        <w:rPr>
          <w:rFonts w:ascii="Calibri" w:hAnsi="Calibri" w:cs="Calibri"/>
          <w:color w:val="000000" w:themeColor="text1"/>
          <w:sz w:val="22"/>
          <w:szCs w:val="22"/>
        </w:rPr>
        <w:t>miliard v roce 202</w:t>
      </w:r>
      <w:r>
        <w:rPr>
          <w:rFonts w:ascii="Calibri" w:hAnsi="Calibri" w:cs="Calibri"/>
          <w:color w:val="000000" w:themeColor="text1"/>
          <w:sz w:val="22"/>
          <w:szCs w:val="22"/>
        </w:rPr>
        <w:t>4</w:t>
      </w:r>
      <w:r w:rsidRPr="00840F7C">
        <w:rPr>
          <w:rFonts w:ascii="Calibri" w:hAnsi="Calibri" w:cs="Calibri"/>
          <w:color w:val="000000" w:themeColor="text1"/>
          <w:sz w:val="22"/>
          <w:szCs w:val="22"/>
        </w:rPr>
        <w:t xml:space="preserve">. Pokud upravíme objemy o nárůst cen </w:t>
      </w:r>
      <w:r>
        <w:rPr>
          <w:rFonts w:ascii="Calibri" w:hAnsi="Calibri" w:cs="Calibri"/>
          <w:color w:val="000000" w:themeColor="text1"/>
          <w:sz w:val="22"/>
          <w:szCs w:val="22"/>
        </w:rPr>
        <w:t>bytů okolo 15-16</w:t>
      </w:r>
      <w:r w:rsidRPr="00840F7C">
        <w:rPr>
          <w:rFonts w:ascii="Calibri" w:hAnsi="Calibri" w:cs="Calibri"/>
          <w:color w:val="000000" w:themeColor="text1"/>
          <w:sz w:val="22"/>
          <w:szCs w:val="22"/>
        </w:rPr>
        <w:t xml:space="preserve"> % (dle různých statistik), objem nových hypoték vzrostl reálně o něco méně. To odpovídá i mírnějšímu nárůstu počtu nových hypoték v roce 202</w:t>
      </w:r>
      <w:r>
        <w:rPr>
          <w:rFonts w:ascii="Calibri" w:hAnsi="Calibri" w:cs="Calibri"/>
          <w:color w:val="000000" w:themeColor="text1"/>
          <w:sz w:val="22"/>
          <w:szCs w:val="22"/>
        </w:rPr>
        <w:t>5, o necelou čtvrtinu na více než 76,11</w:t>
      </w:r>
      <w:r w:rsidRPr="00872E78">
        <w:rPr>
          <w:rFonts w:ascii="Calibri" w:hAnsi="Calibri" w:cs="Calibri"/>
          <w:color w:val="000000" w:themeColor="text1"/>
          <w:sz w:val="22"/>
          <w:szCs w:val="22"/>
        </w:rPr>
        <w:t xml:space="preserve"> tisíc</w:t>
      </w:r>
      <w:r>
        <w:rPr>
          <w:rFonts w:ascii="Calibri" w:hAnsi="Calibri" w:cs="Calibri"/>
          <w:color w:val="000000" w:themeColor="text1"/>
          <w:sz w:val="22"/>
          <w:szCs w:val="22"/>
        </w:rPr>
        <w:t>,</w:t>
      </w:r>
      <w:r w:rsidRPr="00872E78">
        <w:rPr>
          <w:rFonts w:ascii="Calibri" w:hAnsi="Calibri" w:cs="Calibri"/>
          <w:color w:val="000000" w:themeColor="text1"/>
          <w:sz w:val="22"/>
          <w:szCs w:val="22"/>
        </w:rPr>
        <w:t xml:space="preserve"> a téměř </w:t>
      </w:r>
      <w:r>
        <w:rPr>
          <w:rFonts w:ascii="Calibri" w:hAnsi="Calibri" w:cs="Calibri"/>
          <w:color w:val="000000" w:themeColor="text1"/>
          <w:sz w:val="22"/>
          <w:szCs w:val="22"/>
        </w:rPr>
        <w:t>15</w:t>
      </w:r>
      <w:r w:rsidRPr="00872E78">
        <w:rPr>
          <w:rFonts w:ascii="Calibri" w:hAnsi="Calibri" w:cs="Calibri"/>
          <w:color w:val="000000" w:themeColor="text1"/>
          <w:sz w:val="22"/>
          <w:szCs w:val="22"/>
        </w:rPr>
        <w:t>% nárůstu průměrné výše poskytnuté nové hypotéky na</w:t>
      </w:r>
      <w:r>
        <w:rPr>
          <w:rFonts w:ascii="Calibri" w:hAnsi="Calibri" w:cs="Calibri"/>
          <w:color w:val="000000" w:themeColor="text1"/>
          <w:sz w:val="22"/>
          <w:szCs w:val="22"/>
        </w:rPr>
        <w:t xml:space="preserve"> 4,21</w:t>
      </w:r>
      <w:r w:rsidRPr="00872E78">
        <w:rPr>
          <w:rFonts w:ascii="Calibri" w:hAnsi="Calibri" w:cs="Calibri"/>
          <w:color w:val="000000" w:themeColor="text1"/>
          <w:sz w:val="22"/>
          <w:szCs w:val="22"/>
        </w:rPr>
        <w:t xml:space="preserve"> milion</w:t>
      </w:r>
      <w:r>
        <w:rPr>
          <w:rFonts w:ascii="Calibri" w:hAnsi="Calibri" w:cs="Calibri"/>
          <w:color w:val="000000" w:themeColor="text1"/>
          <w:sz w:val="22"/>
          <w:szCs w:val="22"/>
        </w:rPr>
        <w:t>u</w:t>
      </w:r>
      <w:r w:rsidRPr="00872E78">
        <w:rPr>
          <w:rFonts w:ascii="Calibri" w:hAnsi="Calibri" w:cs="Calibri"/>
          <w:color w:val="000000" w:themeColor="text1"/>
          <w:sz w:val="22"/>
          <w:szCs w:val="22"/>
        </w:rPr>
        <w:t xml:space="preserve"> Kč. </w:t>
      </w:r>
    </w:p>
    <w:p w14:paraId="7ECD8698" w14:textId="77777777" w:rsidR="00BA3140" w:rsidRDefault="00BA3140" w:rsidP="00BA3140">
      <w:pPr>
        <w:rPr>
          <w:rFonts w:ascii="Calibri" w:hAnsi="Calibri" w:cs="Calibri"/>
          <w:color w:val="000000" w:themeColor="text1"/>
          <w:sz w:val="22"/>
          <w:szCs w:val="22"/>
        </w:rPr>
      </w:pPr>
    </w:p>
    <w:p w14:paraId="2DB164B7" w14:textId="77777777" w:rsidR="00BA3140" w:rsidRPr="009C5D66" w:rsidRDefault="00BA3140" w:rsidP="00BA3140">
      <w:pPr>
        <w:rPr>
          <w:rFonts w:ascii="Calibri" w:hAnsi="Calibri" w:cs="Calibri"/>
          <w:color w:val="000000" w:themeColor="text1"/>
          <w:sz w:val="22"/>
          <w:szCs w:val="22"/>
        </w:rPr>
      </w:pPr>
      <w:r w:rsidRPr="009C5D66">
        <w:rPr>
          <w:rFonts w:ascii="Calibri" w:hAnsi="Calibri" w:cs="Calibri"/>
          <w:color w:val="000000" w:themeColor="text1"/>
          <w:sz w:val="22"/>
          <w:szCs w:val="22"/>
        </w:rPr>
        <w:t xml:space="preserve">Nové hypotéky se v roce 2025 financovaly průměrnou úrokovou sazbu 4,58 %, což bylo o půl procentního bodu méně než v roce 2024, přičemž spread vůči tržní swapové </w:t>
      </w:r>
      <w:r>
        <w:rPr>
          <w:rFonts w:ascii="Calibri" w:hAnsi="Calibri" w:cs="Calibri"/>
          <w:color w:val="000000" w:themeColor="text1"/>
          <w:sz w:val="22"/>
          <w:szCs w:val="22"/>
        </w:rPr>
        <w:t xml:space="preserve">úrokové </w:t>
      </w:r>
      <w:r w:rsidRPr="009C5D66">
        <w:rPr>
          <w:rFonts w:ascii="Calibri" w:hAnsi="Calibri" w:cs="Calibri"/>
          <w:color w:val="000000" w:themeColor="text1"/>
          <w:sz w:val="22"/>
          <w:szCs w:val="22"/>
        </w:rPr>
        <w:t>křivce dosáhl necelého jednoho procentního bodu, což je mírně pod dlouhodobým průměrem. Průměrná měsíční výše hypoteční splátky v roce 2025 dosáhla necelých 22,8 tisíc</w:t>
      </w:r>
      <w:r>
        <w:rPr>
          <w:rFonts w:ascii="Calibri" w:hAnsi="Calibri" w:cs="Calibri"/>
          <w:color w:val="000000" w:themeColor="text1"/>
          <w:sz w:val="22"/>
          <w:szCs w:val="22"/>
        </w:rPr>
        <w:t>e</w:t>
      </w:r>
      <w:r w:rsidRPr="009C5D66">
        <w:rPr>
          <w:rFonts w:ascii="Calibri" w:hAnsi="Calibri" w:cs="Calibri"/>
          <w:color w:val="000000" w:themeColor="text1"/>
          <w:sz w:val="22"/>
          <w:szCs w:val="22"/>
        </w:rPr>
        <w:t xml:space="preserve"> Kč, což je o 8,6</w:t>
      </w:r>
      <w:r>
        <w:rPr>
          <w:rFonts w:ascii="Calibri" w:hAnsi="Calibri" w:cs="Calibri"/>
          <w:color w:val="000000" w:themeColor="text1"/>
          <w:sz w:val="22"/>
          <w:szCs w:val="22"/>
        </w:rPr>
        <w:t xml:space="preserve"> %</w:t>
      </w:r>
      <w:r w:rsidRPr="009C5D66">
        <w:rPr>
          <w:rFonts w:ascii="Calibri" w:hAnsi="Calibri" w:cs="Calibri"/>
          <w:color w:val="000000" w:themeColor="text1"/>
          <w:sz w:val="22"/>
          <w:szCs w:val="22"/>
        </w:rPr>
        <w:t xml:space="preserve"> více než v roce 2024, </w:t>
      </w:r>
      <w:r>
        <w:rPr>
          <w:rFonts w:ascii="Calibri" w:hAnsi="Calibri" w:cs="Calibri"/>
          <w:color w:val="000000" w:themeColor="text1"/>
          <w:sz w:val="22"/>
          <w:szCs w:val="22"/>
        </w:rPr>
        <w:t>a mírně překonalo pravděpodobně více než 7% loňský nárůst</w:t>
      </w:r>
      <w:r w:rsidRPr="009C5D66">
        <w:rPr>
          <w:rFonts w:ascii="Calibri" w:hAnsi="Calibri" w:cs="Calibri"/>
          <w:color w:val="000000" w:themeColor="text1"/>
          <w:sz w:val="22"/>
          <w:szCs w:val="22"/>
        </w:rPr>
        <w:t xml:space="preserve"> </w:t>
      </w:r>
      <w:hyperlink r:id="rId32" w:history="1">
        <w:r w:rsidRPr="009C5D66">
          <w:rPr>
            <w:rStyle w:val="Hyperlink"/>
            <w:rFonts w:ascii="Calibri" w:hAnsi="Calibri" w:cs="Calibri"/>
            <w:sz w:val="22"/>
            <w:szCs w:val="22"/>
          </w:rPr>
          <w:t>průměrn</w:t>
        </w:r>
        <w:r>
          <w:rPr>
            <w:rStyle w:val="Hyperlink"/>
            <w:rFonts w:ascii="Calibri" w:hAnsi="Calibri" w:cs="Calibri"/>
            <w:sz w:val="22"/>
            <w:szCs w:val="22"/>
          </w:rPr>
          <w:t>é</w:t>
        </w:r>
        <w:r w:rsidRPr="009C5D66">
          <w:rPr>
            <w:rStyle w:val="Hyperlink"/>
            <w:rFonts w:ascii="Calibri" w:hAnsi="Calibri" w:cs="Calibri"/>
            <w:sz w:val="22"/>
            <w:szCs w:val="22"/>
          </w:rPr>
          <w:t xml:space="preserve"> nominální mzdy</w:t>
        </w:r>
      </w:hyperlink>
      <w:r w:rsidRPr="009C5D66">
        <w:rPr>
          <w:rFonts w:ascii="Calibri" w:hAnsi="Calibri" w:cs="Calibri"/>
          <w:color w:val="000000" w:themeColor="text1"/>
          <w:sz w:val="22"/>
          <w:szCs w:val="22"/>
        </w:rPr>
        <w:t xml:space="preserve">. </w:t>
      </w:r>
      <w:r>
        <w:rPr>
          <w:rFonts w:ascii="Calibri" w:hAnsi="Calibri" w:cs="Calibri"/>
          <w:color w:val="000000" w:themeColor="text1"/>
          <w:sz w:val="22"/>
          <w:szCs w:val="22"/>
        </w:rPr>
        <w:t>P</w:t>
      </w:r>
      <w:r w:rsidRPr="009C5D66">
        <w:rPr>
          <w:rFonts w:ascii="Calibri" w:hAnsi="Calibri" w:cs="Calibri"/>
          <w:color w:val="000000" w:themeColor="text1"/>
          <w:sz w:val="22"/>
          <w:szCs w:val="22"/>
        </w:rPr>
        <w:t xml:space="preserve">růměrný meziroční nárůst měsíční </w:t>
      </w:r>
      <w:r>
        <w:rPr>
          <w:rFonts w:ascii="Calibri" w:hAnsi="Calibri" w:cs="Calibri"/>
          <w:color w:val="000000" w:themeColor="text1"/>
          <w:sz w:val="22"/>
          <w:szCs w:val="22"/>
        </w:rPr>
        <w:t xml:space="preserve">hypoteční </w:t>
      </w:r>
      <w:r w:rsidRPr="009C5D66">
        <w:rPr>
          <w:rFonts w:ascii="Calibri" w:hAnsi="Calibri" w:cs="Calibri"/>
          <w:color w:val="000000" w:themeColor="text1"/>
          <w:sz w:val="22"/>
          <w:szCs w:val="22"/>
        </w:rPr>
        <w:t>splátky přibližně o 1 800 korun</w:t>
      </w:r>
      <w:r>
        <w:rPr>
          <w:rFonts w:ascii="Calibri" w:hAnsi="Calibri" w:cs="Calibri"/>
          <w:color w:val="000000" w:themeColor="text1"/>
          <w:sz w:val="22"/>
          <w:szCs w:val="22"/>
        </w:rPr>
        <w:t xml:space="preserve"> v roce 2025</w:t>
      </w:r>
      <w:r w:rsidRPr="009C5D66">
        <w:rPr>
          <w:rFonts w:ascii="Calibri" w:hAnsi="Calibri" w:cs="Calibri"/>
          <w:color w:val="000000" w:themeColor="text1"/>
          <w:sz w:val="22"/>
          <w:szCs w:val="22"/>
        </w:rPr>
        <w:t xml:space="preserve"> především odrážel vyšší průměrnou </w:t>
      </w:r>
      <w:r>
        <w:rPr>
          <w:rFonts w:ascii="Calibri" w:hAnsi="Calibri" w:cs="Calibri"/>
          <w:color w:val="000000" w:themeColor="text1"/>
          <w:sz w:val="22"/>
          <w:szCs w:val="22"/>
        </w:rPr>
        <w:t>úroveň</w:t>
      </w:r>
      <w:r w:rsidRPr="009C5D66">
        <w:rPr>
          <w:rFonts w:ascii="Calibri" w:hAnsi="Calibri" w:cs="Calibri"/>
          <w:color w:val="000000" w:themeColor="text1"/>
          <w:sz w:val="22"/>
          <w:szCs w:val="22"/>
        </w:rPr>
        <w:t xml:space="preserve"> hypotéky s navýšením splátky téměř o 2,9 tis. Kč, zatímco nižší hypoteční úroková sazba snížila průměrnou měsíční splátku o více než 1,2 tis. Kč. </w:t>
      </w:r>
    </w:p>
    <w:p w14:paraId="09717EC0" w14:textId="77777777" w:rsidR="00BA3140" w:rsidRDefault="00BA3140" w:rsidP="00BA3140">
      <w:pPr>
        <w:rPr>
          <w:rFonts w:ascii="Calibri" w:hAnsi="Calibri" w:cs="Calibri"/>
          <w:b/>
          <w:color w:val="13576B"/>
          <w:sz w:val="23"/>
          <w:szCs w:val="23"/>
          <w:highlight w:val="yellow"/>
        </w:rPr>
      </w:pPr>
    </w:p>
    <w:p w14:paraId="62183D0D" w14:textId="77777777" w:rsidR="00BA3140" w:rsidRPr="002F4CBD" w:rsidRDefault="00BA3140" w:rsidP="00BA3140">
      <w:pPr>
        <w:rPr>
          <w:rFonts w:ascii="Calibri" w:hAnsi="Calibri" w:cs="Calibri"/>
          <w:sz w:val="22"/>
          <w:szCs w:val="22"/>
        </w:rPr>
      </w:pPr>
      <w:r w:rsidRPr="002F4CBD">
        <w:rPr>
          <w:rFonts w:ascii="Calibri" w:hAnsi="Calibri" w:cs="Calibri"/>
          <w:b/>
          <w:color w:val="13576B"/>
          <w:sz w:val="23"/>
          <w:szCs w:val="23"/>
        </w:rPr>
        <w:t xml:space="preserve">Graf č. </w:t>
      </w:r>
      <w:r>
        <w:rPr>
          <w:rFonts w:ascii="Calibri" w:hAnsi="Calibri" w:cs="Calibri"/>
          <w:b/>
          <w:color w:val="13576B"/>
          <w:sz w:val="23"/>
          <w:szCs w:val="23"/>
        </w:rPr>
        <w:t>1</w:t>
      </w:r>
      <w:r w:rsidRPr="002F4CBD">
        <w:rPr>
          <w:rFonts w:ascii="Calibri" w:hAnsi="Calibri" w:cs="Calibri"/>
          <w:b/>
          <w:color w:val="13576B"/>
          <w:sz w:val="23"/>
          <w:szCs w:val="23"/>
        </w:rPr>
        <w:t>: Celoroční objem</w:t>
      </w:r>
      <w:r>
        <w:rPr>
          <w:rFonts w:ascii="Calibri" w:hAnsi="Calibri" w:cs="Calibri"/>
          <w:b/>
          <w:color w:val="13576B"/>
          <w:sz w:val="23"/>
          <w:szCs w:val="23"/>
        </w:rPr>
        <w:t xml:space="preserve">, </w:t>
      </w:r>
      <w:r w:rsidRPr="002F4CBD">
        <w:rPr>
          <w:rFonts w:ascii="Calibri" w:hAnsi="Calibri" w:cs="Calibri"/>
          <w:b/>
          <w:color w:val="13576B"/>
          <w:sz w:val="23"/>
          <w:szCs w:val="23"/>
        </w:rPr>
        <w:t xml:space="preserve">počet </w:t>
      </w:r>
      <w:r>
        <w:rPr>
          <w:rFonts w:ascii="Calibri" w:hAnsi="Calibri" w:cs="Calibri"/>
          <w:b/>
          <w:color w:val="13576B"/>
          <w:sz w:val="23"/>
          <w:szCs w:val="23"/>
        </w:rPr>
        <w:t xml:space="preserve">a průměrná výše </w:t>
      </w:r>
      <w:r w:rsidRPr="002F4CBD">
        <w:rPr>
          <w:rFonts w:ascii="Calibri" w:hAnsi="Calibri" w:cs="Calibri"/>
          <w:b/>
          <w:color w:val="13576B"/>
          <w:sz w:val="23"/>
          <w:szCs w:val="23"/>
        </w:rPr>
        <w:t>poskytnutých hypoték v letech 202</w:t>
      </w:r>
      <w:r>
        <w:rPr>
          <w:rFonts w:ascii="Calibri" w:hAnsi="Calibri" w:cs="Calibri"/>
          <w:b/>
          <w:color w:val="13576B"/>
          <w:sz w:val="23"/>
          <w:szCs w:val="23"/>
        </w:rPr>
        <w:t>0</w:t>
      </w:r>
      <w:r w:rsidRPr="002F4CBD">
        <w:rPr>
          <w:rFonts w:ascii="Calibri" w:hAnsi="Calibri" w:cs="Calibri"/>
          <w:b/>
          <w:color w:val="13576B"/>
          <w:sz w:val="23"/>
          <w:szCs w:val="23"/>
        </w:rPr>
        <w:t xml:space="preserve"> až 202</w:t>
      </w:r>
      <w:r>
        <w:rPr>
          <w:rFonts w:ascii="Calibri" w:hAnsi="Calibri" w:cs="Calibri"/>
          <w:b/>
          <w:color w:val="13576B"/>
          <w:sz w:val="23"/>
          <w:szCs w:val="23"/>
        </w:rPr>
        <w:t>5</w:t>
      </w:r>
    </w:p>
    <w:p w14:paraId="56EB097E" w14:textId="77777777" w:rsidR="00BA3140" w:rsidRPr="002F4CBD" w:rsidRDefault="00BA3140" w:rsidP="00BA3140">
      <w:pPr>
        <w:rPr>
          <w:rFonts w:ascii="Calibri" w:hAnsi="Calibri" w:cs="Calibri"/>
          <w:sz w:val="22"/>
          <w:szCs w:val="22"/>
        </w:rPr>
      </w:pPr>
    </w:p>
    <w:p w14:paraId="11D80496" w14:textId="77777777" w:rsidR="00BA3140" w:rsidRPr="002F4CBD" w:rsidRDefault="00BA3140" w:rsidP="00BA3140">
      <w:pPr>
        <w:rPr>
          <w:rFonts w:ascii="Calibri" w:hAnsi="Calibri" w:cs="Calibri"/>
          <w:sz w:val="22"/>
          <w:szCs w:val="22"/>
        </w:rPr>
      </w:pPr>
      <w:r w:rsidRPr="00E77326">
        <w:rPr>
          <w:noProof/>
        </w:rPr>
        <w:drawing>
          <wp:inline distT="0" distB="0" distL="0" distR="0" wp14:anchorId="2B97DD5A" wp14:editId="7C138169">
            <wp:extent cx="6480810" cy="2125345"/>
            <wp:effectExtent l="0" t="0" r="0" b="8255"/>
            <wp:docPr id="3917590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80810" cy="2125345"/>
                    </a:xfrm>
                    <a:prstGeom prst="rect">
                      <a:avLst/>
                    </a:prstGeom>
                    <a:noFill/>
                    <a:ln>
                      <a:noFill/>
                    </a:ln>
                  </pic:spPr>
                </pic:pic>
              </a:graphicData>
            </a:graphic>
          </wp:inline>
        </w:drawing>
      </w:r>
    </w:p>
    <w:p w14:paraId="2734B1DB" w14:textId="77777777" w:rsidR="00BA3140" w:rsidRPr="00616069" w:rsidRDefault="00BA3140" w:rsidP="00BA3140">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 xml:space="preserve">Pramen: ČBA </w:t>
      </w:r>
      <w:proofErr w:type="spellStart"/>
      <w:r w:rsidRPr="002F4CBD">
        <w:rPr>
          <w:rFonts w:ascii="Calibri Light" w:hAnsi="Calibri Light" w:cs="Calibri Light"/>
          <w:color w:val="13576B"/>
          <w:sz w:val="20"/>
        </w:rPr>
        <w:t>Hypomonitor</w:t>
      </w:r>
      <w:proofErr w:type="spellEnd"/>
    </w:p>
    <w:p w14:paraId="22ED378A" w14:textId="017879D6" w:rsidR="006C53A0" w:rsidRDefault="006C53A0" w:rsidP="007F41A0">
      <w:pPr>
        <w:rPr>
          <w:rFonts w:ascii="Calibri" w:hAnsi="Calibri" w:cs="Calibri"/>
          <w:b/>
          <w:color w:val="13576B"/>
          <w:sz w:val="23"/>
          <w:szCs w:val="23"/>
        </w:rPr>
      </w:pPr>
    </w:p>
    <w:p w14:paraId="628239FF" w14:textId="77777777" w:rsidR="00BA3140" w:rsidRPr="00616069" w:rsidRDefault="00BA3140" w:rsidP="007F41A0">
      <w:pPr>
        <w:rPr>
          <w:rFonts w:ascii="Calibri" w:hAnsi="Calibri" w:cs="Calibri"/>
          <w:b/>
          <w:color w:val="13576B"/>
          <w:sz w:val="23"/>
          <w:szCs w:val="23"/>
        </w:rPr>
      </w:pPr>
    </w:p>
    <w:p w14:paraId="1117B780" w14:textId="3B9498AC" w:rsidR="007F41A0" w:rsidRPr="00616069" w:rsidRDefault="007F41A0" w:rsidP="007F41A0">
      <w:pPr>
        <w:rPr>
          <w:rFonts w:ascii="Calibri" w:hAnsi="Calibri" w:cs="Calibri"/>
          <w:b/>
          <w:color w:val="13576B"/>
          <w:sz w:val="23"/>
          <w:szCs w:val="23"/>
        </w:rPr>
      </w:pPr>
      <w:r w:rsidRPr="00616069">
        <w:rPr>
          <w:rFonts w:ascii="Calibri" w:hAnsi="Calibri" w:cs="Calibri"/>
          <w:b/>
          <w:color w:val="13576B"/>
          <w:sz w:val="23"/>
          <w:szCs w:val="23"/>
        </w:rPr>
        <w:t>ČBA zveřejňuje souhrnné statistiky za celý bankovní trh</w:t>
      </w:r>
    </w:p>
    <w:p w14:paraId="55E76E82" w14:textId="019F3D7D" w:rsidR="007F41A0" w:rsidRPr="00616069" w:rsidRDefault="007F41A0" w:rsidP="007F41A0">
      <w:pPr>
        <w:rPr>
          <w:rFonts w:ascii="Calibri" w:hAnsi="Calibri" w:cs="Calibri"/>
          <w:b/>
          <w:bCs/>
          <w:sz w:val="22"/>
          <w:szCs w:val="22"/>
        </w:rPr>
      </w:pPr>
      <w:r w:rsidRPr="00616069">
        <w:rPr>
          <w:rFonts w:ascii="Calibri" w:hAnsi="Calibri" w:cs="Calibri"/>
          <w:sz w:val="22"/>
          <w:szCs w:val="22"/>
        </w:rPr>
        <w:t xml:space="preserve">Česká bankovní asociace zveřejňuje ve spolupráci s členskými bankami nové souhrnné statistiky z trhu bydlení. Jde především o objemy a počty nově poskytnutých a refinancovaných hypoték a příslušnou úrokovou sazbu. Tyto statistiky publikuje ČBA v agregované podobě za celý bankovní sektor na pravidelné bázi vždy zhruba v polovině měsíce. Šetření se účastní všechny tuzemské banky a stavební spořitelny poskytující v ČR hypotéky. Data jsou dostupná od ledna roku 2020 v přiloženém souboru na stránkách </w:t>
      </w:r>
      <w:hyperlink r:id="rId34" w:history="1">
        <w:r w:rsidR="004674AA" w:rsidRPr="00616069">
          <w:rPr>
            <w:rStyle w:val="Hyperlink"/>
            <w:rFonts w:ascii="Calibri" w:hAnsi="Calibri" w:cs="Calibri"/>
            <w:b/>
            <w:bCs/>
            <w:sz w:val="22"/>
            <w:szCs w:val="22"/>
          </w:rPr>
          <w:t>www.cbaonline.cz</w:t>
        </w:r>
      </w:hyperlink>
      <w:r w:rsidR="004674AA" w:rsidRPr="00616069">
        <w:rPr>
          <w:rFonts w:ascii="Calibri" w:hAnsi="Calibri" w:cs="Calibri"/>
          <w:b/>
          <w:bCs/>
          <w:sz w:val="22"/>
          <w:szCs w:val="22"/>
        </w:rPr>
        <w:t xml:space="preserve">, </w:t>
      </w:r>
      <w:r w:rsidRPr="00616069">
        <w:rPr>
          <w:rFonts w:ascii="Calibri" w:hAnsi="Calibri" w:cs="Calibri"/>
          <w:sz w:val="22"/>
          <w:szCs w:val="22"/>
        </w:rPr>
        <w:t>kde lze také příslušné statistiky najít zvlášť pro banky a stavební spořitelny. Výše uvedené hodnoty jsou pro sektor jako celek</w:t>
      </w:r>
      <w:r w:rsidR="004674AA" w:rsidRPr="00616069">
        <w:rPr>
          <w:rFonts w:ascii="Calibri" w:hAnsi="Calibri" w:cs="Calibri"/>
          <w:sz w:val="22"/>
          <w:szCs w:val="22"/>
        </w:rPr>
        <w:t>, které lze v jednoduch</w:t>
      </w:r>
      <w:r w:rsidR="004C593C">
        <w:rPr>
          <w:rFonts w:ascii="Calibri" w:hAnsi="Calibri" w:cs="Calibri"/>
          <w:sz w:val="22"/>
          <w:szCs w:val="22"/>
        </w:rPr>
        <w:t>é</w:t>
      </w:r>
      <w:r w:rsidR="004674AA" w:rsidRPr="00616069">
        <w:rPr>
          <w:rFonts w:ascii="Calibri" w:hAnsi="Calibri" w:cs="Calibri"/>
          <w:sz w:val="22"/>
          <w:szCs w:val="22"/>
        </w:rPr>
        <w:t xml:space="preserve"> grafické podobě sledovat také na stránkách </w:t>
      </w:r>
      <w:hyperlink r:id="rId35" w:history="1">
        <w:r w:rsidR="004674AA" w:rsidRPr="00616069">
          <w:rPr>
            <w:rStyle w:val="Hyperlink"/>
            <w:rFonts w:ascii="Calibri" w:hAnsi="Calibri" w:cs="Calibri"/>
            <w:b/>
            <w:bCs/>
            <w:sz w:val="22"/>
            <w:szCs w:val="22"/>
          </w:rPr>
          <w:t>cbamonitor.cz</w:t>
        </w:r>
      </w:hyperlink>
      <w:r w:rsidRPr="00616069">
        <w:rPr>
          <w:rFonts w:ascii="Calibri" w:hAnsi="Calibri" w:cs="Calibri"/>
          <w:sz w:val="22"/>
          <w:szCs w:val="22"/>
        </w:rPr>
        <w:t>.</w:t>
      </w:r>
      <w:r w:rsidRPr="00616069">
        <w:rPr>
          <w:rFonts w:ascii="Calibri" w:hAnsi="Calibri" w:cs="Calibri"/>
          <w:i/>
          <w:iCs/>
          <w:sz w:val="20"/>
        </w:rPr>
        <w:t xml:space="preserve"> </w:t>
      </w:r>
    </w:p>
    <w:p w14:paraId="3F99F9FA" w14:textId="6DA0884C" w:rsidR="007F41A0" w:rsidRPr="00616069" w:rsidRDefault="007F41A0" w:rsidP="003417B4">
      <w:pPr>
        <w:rPr>
          <w:rFonts w:ascii="Calibri" w:hAnsi="Calibri" w:cs="Calibri"/>
          <w:sz w:val="22"/>
          <w:szCs w:val="22"/>
        </w:rPr>
      </w:pPr>
    </w:p>
    <w:p w14:paraId="4AE26056" w14:textId="77777777" w:rsidR="00137560" w:rsidRPr="00616069" w:rsidRDefault="00137560" w:rsidP="00CA3B41">
      <w:pPr>
        <w:rPr>
          <w:rFonts w:ascii="Calibri" w:hAnsi="Calibri" w:cs="Calibri"/>
          <w:sz w:val="22"/>
          <w:szCs w:val="22"/>
        </w:rPr>
      </w:pPr>
    </w:p>
    <w:p w14:paraId="146C6D89" w14:textId="77777777" w:rsidR="0028530F" w:rsidRPr="00B04FE2" w:rsidRDefault="004975FD" w:rsidP="00CA3B41">
      <w:pPr>
        <w:rPr>
          <w:rFonts w:ascii="Calibri" w:hAnsi="Calibri" w:cs="Calibri"/>
          <w:sz w:val="22"/>
          <w:szCs w:val="22"/>
        </w:rPr>
      </w:pPr>
      <w:r w:rsidRPr="00616069">
        <w:rPr>
          <w:rFonts w:ascii="Calibri" w:hAnsi="Calibri" w:cs="Calibri"/>
          <w:i/>
          <w:iCs/>
          <w:noProof/>
          <w:sz w:val="20"/>
        </w:rPr>
        <w:lastRenderedPageBreak/>
        <mc:AlternateContent>
          <mc:Choice Requires="wps">
            <w:drawing>
              <wp:anchor distT="45720" distB="45720" distL="114300" distR="114300" simplePos="0" relativeHeight="251668480" behindDoc="0" locked="0" layoutInCell="1" allowOverlap="1" wp14:anchorId="025DA650" wp14:editId="15515F89">
                <wp:simplePos x="0" y="0"/>
                <wp:positionH relativeFrom="margin">
                  <wp:align>center</wp:align>
                </wp:positionH>
                <wp:positionV relativeFrom="paragraph">
                  <wp:posOffset>282527</wp:posOffset>
                </wp:positionV>
                <wp:extent cx="6574790" cy="467550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4675505"/>
                        </a:xfrm>
                        <a:prstGeom prst="rect">
                          <a:avLst/>
                        </a:prstGeom>
                        <a:solidFill>
                          <a:srgbClr val="13576B">
                            <a:alpha val="83922"/>
                          </a:srgbClr>
                        </a:solidFill>
                        <a:ln w="9525">
                          <a:noFill/>
                          <a:miter lim="800000"/>
                          <a:headEnd/>
                          <a:tailEnd/>
                        </a:ln>
                      </wps:spPr>
                      <wps:txb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ListParagraph"/>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ListParagraph"/>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ListParagraph"/>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podílu,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ListParagraph"/>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ListParagraph"/>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1B58C64B"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Data pro ČBA Hypomonitor poskytují následující banky a stavební spořitelny: Air Bank, Česká spořitelna, ČSOB, ČSOB Stavební spořitelna, Fio banka, Hypoteční banka, Komerční banka, mBank, Modrá pyramida, MONETA Money Bank, MONETA Stavební spořitelna, Oberbank, </w:t>
                            </w:r>
                            <w:r w:rsidR="003E1AAB">
                              <w:rPr>
                                <w:rFonts w:ascii="Calibri" w:hAnsi="Calibri" w:cs="Calibri"/>
                                <w:color w:val="FFFFFF" w:themeColor="background1"/>
                              </w:rPr>
                              <w:t xml:space="preserve">Partners Banka, </w:t>
                            </w:r>
                            <w:r w:rsidRPr="00616069">
                              <w:rPr>
                                <w:rFonts w:ascii="Calibri" w:hAnsi="Calibri" w:cs="Calibri"/>
                                <w:color w:val="FFFFFF" w:themeColor="background1"/>
                              </w:rPr>
                              <w:t>Raiffeisen stavební spořitelna, Raiffeisenbank, Stavební spořitelna České spořitelny, UniCredit Bank.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DA650" id="_x0000_t202" coordsize="21600,21600" o:spt="202" path="m,l,21600r21600,l21600,xe">
                <v:stroke joinstyle="miter"/>
                <v:path gradientshapeok="t" o:connecttype="rect"/>
              </v:shapetype>
              <v:shape id="Textové pole 2" o:spid="_x0000_s1026" type="#_x0000_t202" style="position:absolute;left:0;text-align:left;margin-left:0;margin-top:22.25pt;width:517.7pt;height:368.1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" fillcolor="#13576b" stroked="f">
                <v:fill opacity="54998f"/>
                <v:textbo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 xml:space="preserve">Metodika ČBA </w:t>
                      </w:r>
                      <w:proofErr w:type="spellStart"/>
                      <w:r w:rsidRPr="00616069">
                        <w:rPr>
                          <w:rFonts w:ascii="Calibri" w:hAnsi="Calibri" w:cs="Calibri"/>
                          <w:b/>
                          <w:bCs/>
                          <w:color w:val="FFFFFF" w:themeColor="background1"/>
                          <w:sz w:val="22"/>
                          <w:szCs w:val="22"/>
                        </w:rPr>
                        <w:t>Hypomonitoru</w:t>
                      </w:r>
                      <w:proofErr w:type="spellEnd"/>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w:t>
                      </w:r>
                      <w:proofErr w:type="spellStart"/>
                      <w:r w:rsidRPr="00616069">
                        <w:rPr>
                          <w:rFonts w:ascii="Calibri" w:hAnsi="Calibri" w:cs="Calibri"/>
                          <w:color w:val="FFFFFF" w:themeColor="background1"/>
                          <w:szCs w:val="18"/>
                        </w:rPr>
                        <w:t>Hypomonitor</w:t>
                      </w:r>
                      <w:proofErr w:type="spellEnd"/>
                      <w:r w:rsidRPr="00616069">
                        <w:rPr>
                          <w:rFonts w:ascii="Calibri" w:hAnsi="Calibri" w:cs="Calibri"/>
                          <w:color w:val="FFFFFF" w:themeColor="background1"/>
                          <w:szCs w:val="18"/>
                        </w:rPr>
                        <w:t xml:space="preserve">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w:t>
                      </w:r>
                      <w:proofErr w:type="gramStart"/>
                      <w:r w:rsidRPr="00616069">
                        <w:rPr>
                          <w:rFonts w:ascii="Calibri" w:hAnsi="Calibri" w:cs="Calibri"/>
                          <w:color w:val="FFFFFF" w:themeColor="background1"/>
                        </w:rPr>
                        <w:t>podílu,</w:t>
                      </w:r>
                      <w:proofErr w:type="gramEnd"/>
                      <w:r w:rsidRPr="00616069">
                        <w:rPr>
                          <w:rFonts w:ascii="Calibri" w:hAnsi="Calibri" w:cs="Calibri"/>
                          <w:color w:val="FFFFFF" w:themeColor="background1"/>
                        </w:rPr>
                        <w:t xml:space="preserve">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1B58C64B"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Data pro ČBA </w:t>
                      </w:r>
                      <w:proofErr w:type="spellStart"/>
                      <w:r w:rsidRPr="00616069">
                        <w:rPr>
                          <w:rFonts w:ascii="Calibri" w:hAnsi="Calibri" w:cs="Calibri"/>
                          <w:color w:val="FFFFFF" w:themeColor="background1"/>
                        </w:rPr>
                        <w:t>Hypomonitor</w:t>
                      </w:r>
                      <w:proofErr w:type="spellEnd"/>
                      <w:r w:rsidRPr="00616069">
                        <w:rPr>
                          <w:rFonts w:ascii="Calibri" w:hAnsi="Calibri" w:cs="Calibri"/>
                          <w:color w:val="FFFFFF" w:themeColor="background1"/>
                        </w:rPr>
                        <w:t xml:space="preserve"> poskytují následující banky a stavební spořitelny: Air Bank, Česká spořitelna, ČSOB, ČSOB Stavební spořitelna, Fio banka, Hypoteční banka, Komerční banka, mBank, Modrá pyramida, MONETA Money Bank, MONETA Stavební spořitelna, </w:t>
                      </w:r>
                      <w:proofErr w:type="spellStart"/>
                      <w:r w:rsidRPr="00616069">
                        <w:rPr>
                          <w:rFonts w:ascii="Calibri" w:hAnsi="Calibri" w:cs="Calibri"/>
                          <w:color w:val="FFFFFF" w:themeColor="background1"/>
                        </w:rPr>
                        <w:t>Oberbank</w:t>
                      </w:r>
                      <w:proofErr w:type="spellEnd"/>
                      <w:r w:rsidRPr="00616069">
                        <w:rPr>
                          <w:rFonts w:ascii="Calibri" w:hAnsi="Calibri" w:cs="Calibri"/>
                          <w:color w:val="FFFFFF" w:themeColor="background1"/>
                        </w:rPr>
                        <w:t xml:space="preserve">, </w:t>
                      </w:r>
                      <w:proofErr w:type="spellStart"/>
                      <w:r w:rsidR="003E1AAB">
                        <w:rPr>
                          <w:rFonts w:ascii="Calibri" w:hAnsi="Calibri" w:cs="Calibri"/>
                          <w:color w:val="FFFFFF" w:themeColor="background1"/>
                        </w:rPr>
                        <w:t>Partners</w:t>
                      </w:r>
                      <w:proofErr w:type="spellEnd"/>
                      <w:r w:rsidR="003E1AAB">
                        <w:rPr>
                          <w:rFonts w:ascii="Calibri" w:hAnsi="Calibri" w:cs="Calibri"/>
                          <w:color w:val="FFFFFF" w:themeColor="background1"/>
                        </w:rPr>
                        <w:t xml:space="preserve"> Banka, </w:t>
                      </w:r>
                      <w:proofErr w:type="spellStart"/>
                      <w:r w:rsidRPr="00616069">
                        <w:rPr>
                          <w:rFonts w:ascii="Calibri" w:hAnsi="Calibri" w:cs="Calibri"/>
                          <w:color w:val="FFFFFF" w:themeColor="background1"/>
                        </w:rPr>
                        <w:t>Raiffeisen</w:t>
                      </w:r>
                      <w:proofErr w:type="spellEnd"/>
                      <w:r w:rsidRPr="00616069">
                        <w:rPr>
                          <w:rFonts w:ascii="Calibri" w:hAnsi="Calibri" w:cs="Calibri"/>
                          <w:color w:val="FFFFFF" w:themeColor="background1"/>
                        </w:rPr>
                        <w:t xml:space="preserve"> stavební spořitelna, Raiffeisenbank, Stavební spořitelna České spořitelny, UniCredit Bank.</w:t>
                      </w:r>
                    </w:p>
                  </w:txbxContent>
                </v:textbox>
                <w10:wrap type="square" anchorx="margin"/>
              </v:shape>
            </w:pict>
          </mc:Fallback>
        </mc:AlternateConten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7"/>
        <w:gridCol w:w="3384"/>
      </w:tblGrid>
      <w:tr w:rsidR="0028530F" w:rsidRPr="00D80B55" w14:paraId="4825E599" w14:textId="77777777" w:rsidTr="001B1140">
        <w:trPr>
          <w:trHeight w:val="1364"/>
        </w:trPr>
        <w:tc>
          <w:tcPr>
            <w:tcW w:w="6817" w:type="dxa"/>
            <w:shd w:val="clear" w:color="auto" w:fill="13576B"/>
          </w:tcPr>
          <w:p w14:paraId="1EB2DC0A" w14:textId="77777777" w:rsidR="0028530F" w:rsidRPr="00D80B55" w:rsidRDefault="0028530F" w:rsidP="001B1140">
            <w:pPr>
              <w:pStyle w:val="CBANadpisvTABULCE"/>
              <w:jc w:val="both"/>
              <w:rPr>
                <w:rFonts w:cs="Arial"/>
                <w:color w:val="FFFFFF" w:themeColor="background1"/>
                <w:szCs w:val="18"/>
              </w:rPr>
            </w:pPr>
            <w:r w:rsidRPr="00D80B55">
              <w:rPr>
                <w:rFonts w:cs="Arial"/>
                <w:color w:val="FFFFFF" w:themeColor="background1"/>
                <w:szCs w:val="18"/>
              </w:rPr>
              <w:t>O České bankovní asociaci</w:t>
            </w:r>
          </w:p>
          <w:p w14:paraId="4EB0391C" w14:textId="423A1391" w:rsidR="0028530F" w:rsidRPr="00D80B55" w:rsidRDefault="0028530F" w:rsidP="001B1140">
            <w:pPr>
              <w:rPr>
                <w:rFonts w:cs="Arial"/>
                <w:color w:val="FFFFFF" w:themeColor="background1"/>
                <w:sz w:val="22"/>
              </w:rPr>
            </w:pPr>
            <w:r w:rsidRPr="00D80B55">
              <w:rPr>
                <w:rFonts w:cs="Arial"/>
                <w:color w:val="FFFFFF" w:themeColor="background1"/>
              </w:rPr>
              <w:t>Česká bankovní asociace (ČBA) je dobrovolné sdružení 3</w:t>
            </w:r>
            <w:r w:rsidR="00BA1D00">
              <w:rPr>
                <w:rFonts w:cs="Arial"/>
                <w:color w:val="FFFFFF" w:themeColor="background1"/>
              </w:rPr>
              <w:t>4</w:t>
            </w:r>
            <w:r w:rsidRPr="00D80B55">
              <w:rPr>
                <w:rFonts w:cs="Arial"/>
                <w:color w:val="FFFFFF" w:themeColor="background1"/>
              </w:rPr>
              <w:t xml:space="preserve"> bank, které v ČR působí a reprezentuje tak 99 % trhu. </w:t>
            </w:r>
            <w:r>
              <w:rPr>
                <w:rFonts w:cs="Arial"/>
                <w:color w:val="FFFFFF" w:themeColor="background1"/>
              </w:rPr>
              <w:t>Více než</w:t>
            </w:r>
            <w:r w:rsidRPr="00D80B55">
              <w:rPr>
                <w:rFonts w:cs="Arial"/>
                <w:color w:val="FFFFFF" w:themeColor="background1"/>
              </w:rPr>
              <w:t xml:space="preserve"> 30 let podporuje nejen rozvoj bankovního sektoru, ale i celé ekonomiky a všeobecné finanční gramotnosti. ČBA je členem Evropské bankovní federace (EBF).</w:t>
            </w:r>
          </w:p>
          <w:p w14:paraId="598BB9F7" w14:textId="77777777" w:rsidR="0028530F" w:rsidRPr="00D80B55" w:rsidRDefault="0028530F" w:rsidP="001B1140">
            <w:pPr>
              <w:pStyle w:val="CBAodstavecvTABULCE"/>
              <w:jc w:val="both"/>
              <w:rPr>
                <w:rFonts w:cs="Arial"/>
                <w:color w:val="FFFFFF" w:themeColor="background1"/>
                <w:szCs w:val="18"/>
              </w:rPr>
            </w:pPr>
            <w:r w:rsidRPr="00D80B55">
              <w:rPr>
                <w:rFonts w:cs="Arial"/>
                <w:color w:val="FFFFFF" w:themeColor="background1"/>
                <w:szCs w:val="18"/>
              </w:rPr>
              <w:t xml:space="preserve">Více informací na </w:t>
            </w:r>
            <w:r w:rsidRPr="00D80B55">
              <w:rPr>
                <w:rFonts w:cs="Arial"/>
                <w:color w:val="FFFFFF" w:themeColor="background1"/>
                <w:szCs w:val="18"/>
                <w:u w:val="single"/>
              </w:rPr>
              <w:t>www.cbaonline.cz.</w:t>
            </w:r>
            <w:r w:rsidRPr="00D80B55">
              <w:rPr>
                <w:rFonts w:cs="Arial"/>
                <w:color w:val="A9936D"/>
                <w:szCs w:val="18"/>
              </w:rPr>
              <w:t xml:space="preserve"> </w:t>
            </w:r>
          </w:p>
        </w:tc>
        <w:tc>
          <w:tcPr>
            <w:tcW w:w="3384" w:type="dxa"/>
            <w:shd w:val="clear" w:color="auto" w:fill="A9936D"/>
            <w:vAlign w:val="center"/>
          </w:tcPr>
          <w:p w14:paraId="606A2DEB" w14:textId="77777777" w:rsidR="0028530F" w:rsidRPr="00D80B55" w:rsidRDefault="0028530F" w:rsidP="001B1140">
            <w:pPr>
              <w:pStyle w:val="CBAodstavecvTABULCE"/>
              <w:rPr>
                <w:rFonts w:cs="Arial"/>
                <w:b/>
                <w:bCs/>
                <w:color w:val="FFFFFF" w:themeColor="background1"/>
                <w:szCs w:val="18"/>
              </w:rPr>
            </w:pPr>
            <w:r w:rsidRPr="00D80B55">
              <w:rPr>
                <w:rFonts w:cs="Arial"/>
                <w:b/>
                <w:bCs/>
                <w:color w:val="FFFFFF" w:themeColor="background1"/>
                <w:szCs w:val="18"/>
              </w:rPr>
              <w:t xml:space="preserve">                Dotazy posílejte na</w:t>
            </w:r>
          </w:p>
          <w:p w14:paraId="64706D81" w14:textId="77777777" w:rsidR="0028530F" w:rsidRPr="00D80B55" w:rsidRDefault="0028530F" w:rsidP="001B1140">
            <w:pPr>
              <w:pStyle w:val="CBAodstavecvTABULCE"/>
              <w:jc w:val="center"/>
              <w:rPr>
                <w:rFonts w:cs="Arial"/>
                <w:color w:val="FFFFFF" w:themeColor="background1"/>
                <w:szCs w:val="18"/>
              </w:rPr>
            </w:pPr>
            <w:r w:rsidRPr="00D80B55">
              <w:rPr>
                <w:rFonts w:cs="Arial"/>
                <w:b/>
                <w:bCs/>
                <w:color w:val="FFFFFF" w:themeColor="background1"/>
                <w:szCs w:val="18"/>
              </w:rPr>
              <w:t>radek.salsa@cbaonline.cz</w:t>
            </w:r>
          </w:p>
        </w:tc>
      </w:tr>
    </w:tbl>
    <w:p w14:paraId="79952D08" w14:textId="7B44AB4C" w:rsidR="00C42F00" w:rsidRPr="00B04FE2" w:rsidRDefault="00C42F00" w:rsidP="00CA3B41">
      <w:pPr>
        <w:rPr>
          <w:rFonts w:ascii="Calibri" w:hAnsi="Calibri" w:cs="Calibri"/>
          <w:sz w:val="22"/>
          <w:szCs w:val="22"/>
        </w:rPr>
      </w:pPr>
    </w:p>
    <w:sectPr w:rsidR="00C42F00" w:rsidRPr="00B04FE2" w:rsidSect="00606031">
      <w:type w:val="continuous"/>
      <w:pgSz w:w="11906" w:h="16838"/>
      <w:pgMar w:top="2552" w:right="849" w:bottom="1560"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888DE" w14:textId="77777777" w:rsidR="00F03CD8" w:rsidRPr="00616069" w:rsidRDefault="00F03CD8" w:rsidP="00F573F1">
      <w:r w:rsidRPr="00616069">
        <w:separator/>
      </w:r>
    </w:p>
  </w:endnote>
  <w:endnote w:type="continuationSeparator" w:id="0">
    <w:p w14:paraId="6D72FAA7" w14:textId="77777777" w:rsidR="00F03CD8" w:rsidRPr="00616069" w:rsidRDefault="00F03CD8" w:rsidP="00F573F1">
      <w:r w:rsidRPr="00616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690799"/>
      <w:docPartObj>
        <w:docPartGallery w:val="Page Numbers (Bottom of Page)"/>
        <w:docPartUnique/>
      </w:docPartObj>
    </w:sdtPr>
    <w:sdtEndPr/>
    <w:sdtContent>
      <w:sdt>
        <w:sdtPr>
          <w:id w:val="-1769616900"/>
          <w:docPartObj>
            <w:docPartGallery w:val="Page Numbers (Top of Page)"/>
            <w:docPartUnique/>
          </w:docPartObj>
        </w:sdtPr>
        <w:sdtEndPr/>
        <w:sdtContent>
          <w:p w14:paraId="5E2EB97C" w14:textId="697C5AC2" w:rsidR="001E31AB" w:rsidRPr="00616069" w:rsidRDefault="001E31AB">
            <w:pPr>
              <w:pStyle w:val="Footer"/>
              <w:jc w:val="right"/>
            </w:pPr>
            <w:r w:rsidRPr="00616069">
              <w:rPr>
                <w:rFonts w:ascii="Calibri" w:hAnsi="Calibri"/>
                <w:noProof/>
                <w:szCs w:val="18"/>
                <w:lang w:eastAsia="en-GB"/>
              </w:rPr>
              <w:drawing>
                <wp:anchor distT="0" distB="0" distL="114300" distR="114300" simplePos="0" relativeHeight="251655680" behindDoc="0" locked="0" layoutInCell="1" allowOverlap="1" wp14:anchorId="7B2A8544" wp14:editId="09B386F6">
                  <wp:simplePos x="0" y="0"/>
                  <wp:positionH relativeFrom="column">
                    <wp:posOffset>-540385</wp:posOffset>
                  </wp:positionH>
                  <wp:positionV relativeFrom="paragraph">
                    <wp:posOffset>-365760</wp:posOffset>
                  </wp:positionV>
                  <wp:extent cx="3042285" cy="701040"/>
                  <wp:effectExtent l="0" t="0" r="5715" b="0"/>
                  <wp:wrapNone/>
                  <wp:docPr id="908130639"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6069">
              <w:rPr>
                <w:rFonts w:ascii="Calibri" w:hAnsi="Calibri"/>
                <w:szCs w:val="18"/>
              </w:rPr>
              <w:t xml:space="preserve">Stránka </w:t>
            </w:r>
            <w:r w:rsidRPr="00616069">
              <w:rPr>
                <w:rFonts w:ascii="Calibri" w:hAnsi="Calibri"/>
                <w:b/>
                <w:bCs/>
                <w:szCs w:val="18"/>
              </w:rPr>
              <w:fldChar w:fldCharType="begin"/>
            </w:r>
            <w:r w:rsidRPr="00616069">
              <w:rPr>
                <w:rFonts w:ascii="Calibri" w:hAnsi="Calibri"/>
                <w:b/>
                <w:bCs/>
                <w:szCs w:val="18"/>
              </w:rPr>
              <w:instrText>PAGE</w:instrText>
            </w:r>
            <w:r w:rsidRPr="00616069">
              <w:rPr>
                <w:rFonts w:ascii="Calibri" w:hAnsi="Calibri"/>
                <w:b/>
                <w:bCs/>
                <w:szCs w:val="18"/>
              </w:rPr>
              <w:fldChar w:fldCharType="separate"/>
            </w:r>
            <w:r w:rsidR="005F4B41" w:rsidRPr="00616069">
              <w:rPr>
                <w:rFonts w:ascii="Calibri" w:hAnsi="Calibri"/>
                <w:b/>
                <w:bCs/>
                <w:szCs w:val="18"/>
              </w:rPr>
              <w:t>1</w:t>
            </w:r>
            <w:r w:rsidRPr="00616069">
              <w:rPr>
                <w:rFonts w:ascii="Calibri" w:hAnsi="Calibri"/>
                <w:b/>
                <w:bCs/>
                <w:szCs w:val="18"/>
              </w:rPr>
              <w:fldChar w:fldCharType="end"/>
            </w:r>
            <w:r w:rsidRPr="00616069">
              <w:rPr>
                <w:rFonts w:ascii="Calibri" w:hAnsi="Calibri"/>
                <w:szCs w:val="18"/>
              </w:rPr>
              <w:t xml:space="preserve"> z </w:t>
            </w:r>
            <w:r w:rsidRPr="00616069">
              <w:rPr>
                <w:rFonts w:ascii="Calibri" w:hAnsi="Calibri"/>
                <w:b/>
                <w:bCs/>
                <w:szCs w:val="18"/>
              </w:rPr>
              <w:fldChar w:fldCharType="begin"/>
            </w:r>
            <w:r w:rsidRPr="00616069">
              <w:rPr>
                <w:rFonts w:ascii="Calibri" w:hAnsi="Calibri"/>
                <w:b/>
                <w:bCs/>
                <w:szCs w:val="18"/>
              </w:rPr>
              <w:instrText>NUMPAGES</w:instrText>
            </w:r>
            <w:r w:rsidRPr="00616069">
              <w:rPr>
                <w:rFonts w:ascii="Calibri" w:hAnsi="Calibri"/>
                <w:b/>
                <w:bCs/>
                <w:szCs w:val="18"/>
              </w:rPr>
              <w:fldChar w:fldCharType="separate"/>
            </w:r>
            <w:r w:rsidR="005F4B41" w:rsidRPr="00616069">
              <w:rPr>
                <w:rFonts w:ascii="Calibri" w:hAnsi="Calibri"/>
                <w:b/>
                <w:bCs/>
                <w:szCs w:val="18"/>
              </w:rPr>
              <w:t>2</w:t>
            </w:r>
            <w:r w:rsidRPr="00616069">
              <w:rPr>
                <w:rFonts w:ascii="Calibri" w:hAnsi="Calibri"/>
                <w:b/>
                <w:bCs/>
                <w:szCs w:val="18"/>
              </w:rPr>
              <w:fldChar w:fldCharType="end"/>
            </w:r>
          </w:p>
        </w:sdtContent>
      </w:sdt>
    </w:sdtContent>
  </w:sdt>
  <w:p w14:paraId="300EB588" w14:textId="24FF51AB" w:rsidR="0065124E" w:rsidRPr="00616069" w:rsidRDefault="0065124E" w:rsidP="00FB4A1C">
    <w:pPr>
      <w:pStyle w:val="Footer"/>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53571" w14:textId="77777777" w:rsidR="00F03CD8" w:rsidRPr="00616069" w:rsidRDefault="00F03CD8" w:rsidP="00F573F1">
      <w:r w:rsidRPr="00616069">
        <w:separator/>
      </w:r>
    </w:p>
  </w:footnote>
  <w:footnote w:type="continuationSeparator" w:id="0">
    <w:p w14:paraId="4BE18D54" w14:textId="77777777" w:rsidR="00F03CD8" w:rsidRPr="00616069" w:rsidRDefault="00F03CD8" w:rsidP="00F573F1">
      <w:r w:rsidRPr="00616069">
        <w:continuationSeparator/>
      </w:r>
    </w:p>
  </w:footnote>
  <w:footnote w:id="1">
    <w:p w14:paraId="5D677439" w14:textId="77777777" w:rsidR="00686618" w:rsidRPr="00616069" w:rsidRDefault="00686618" w:rsidP="00686618">
      <w:pPr>
        <w:pStyle w:val="FootnoteText"/>
        <w:rPr>
          <w:rFonts w:ascii="Calibri" w:hAnsi="Calibri" w:cs="Calibri"/>
          <w:sz w:val="17"/>
          <w:szCs w:val="17"/>
        </w:rPr>
      </w:pPr>
      <w:r w:rsidRPr="00616069">
        <w:rPr>
          <w:rStyle w:val="FootnoteReference"/>
          <w:rFonts w:ascii="Calibri" w:hAnsi="Calibri" w:cs="Calibri"/>
          <w:sz w:val="17"/>
          <w:szCs w:val="17"/>
        </w:rPr>
        <w:footnoteRef/>
      </w:r>
      <w:r w:rsidRPr="00616069">
        <w:rPr>
          <w:rFonts w:ascii="Calibri" w:hAnsi="Calibri" w:cs="Calibri"/>
          <w:sz w:val="17"/>
          <w:szCs w:val="17"/>
        </w:rPr>
        <w:t xml:space="preserve"> </w:t>
      </w:r>
      <w:r w:rsidRPr="00616069">
        <w:rPr>
          <w:rFonts w:asciiTheme="majorHAnsi" w:hAnsiTheme="majorHAnsi" w:cstheme="majorHAnsi"/>
          <w:sz w:val="17"/>
          <w:szCs w:val="17"/>
        </w:rPr>
        <w:t>Jedná se především o dlouholeté úrokové swapy (</w:t>
      </w:r>
      <w:proofErr w:type="spellStart"/>
      <w:r w:rsidRPr="00616069">
        <w:rPr>
          <w:rFonts w:asciiTheme="majorHAnsi" w:hAnsiTheme="majorHAnsi" w:cstheme="majorHAnsi"/>
          <w:sz w:val="17"/>
          <w:szCs w:val="17"/>
        </w:rPr>
        <w:t>interest</w:t>
      </w:r>
      <w:proofErr w:type="spellEnd"/>
      <w:r w:rsidRPr="00616069">
        <w:rPr>
          <w:rFonts w:asciiTheme="majorHAnsi" w:hAnsiTheme="majorHAnsi" w:cstheme="majorHAnsi"/>
          <w:sz w:val="17"/>
          <w:szCs w:val="17"/>
        </w:rPr>
        <w:t xml:space="preserve"> </w:t>
      </w:r>
      <w:proofErr w:type="spellStart"/>
      <w:r w:rsidRPr="00616069">
        <w:rPr>
          <w:rFonts w:asciiTheme="majorHAnsi" w:hAnsiTheme="majorHAnsi" w:cstheme="majorHAnsi"/>
          <w:sz w:val="17"/>
          <w:szCs w:val="17"/>
        </w:rPr>
        <w:t>rate</w:t>
      </w:r>
      <w:proofErr w:type="spellEnd"/>
      <w:r w:rsidRPr="00616069">
        <w:rPr>
          <w:rFonts w:asciiTheme="majorHAnsi" w:hAnsiTheme="majorHAnsi" w:cstheme="majorHAnsi"/>
          <w:sz w:val="17"/>
          <w:szCs w:val="17"/>
        </w:rPr>
        <w:t xml:space="preserve"> swap, IRS), které odráží cenu peněz v delších splatnostech, například </w:t>
      </w:r>
      <w:r>
        <w:rPr>
          <w:rFonts w:asciiTheme="majorHAnsi" w:hAnsiTheme="majorHAnsi" w:cstheme="majorHAnsi"/>
          <w:sz w:val="17"/>
          <w:szCs w:val="17"/>
        </w:rPr>
        <w:t>2</w:t>
      </w:r>
      <w:r w:rsidRPr="00616069">
        <w:rPr>
          <w:rFonts w:asciiTheme="majorHAnsi" w:hAnsiTheme="majorHAnsi" w:cstheme="majorHAnsi"/>
          <w:sz w:val="17"/>
          <w:szCs w:val="17"/>
        </w:rPr>
        <w:t xml:space="preserve"> až 10 let.</w:t>
      </w:r>
    </w:p>
  </w:footnote>
  <w:footnote w:id="2">
    <w:p w14:paraId="19466A35" w14:textId="77777777" w:rsidR="004D6F30" w:rsidRPr="00952AEF" w:rsidRDefault="004D6F30" w:rsidP="004D6F30">
      <w:pPr>
        <w:pStyle w:val="FootnoteText"/>
        <w:rPr>
          <w:rFonts w:asciiTheme="majorHAnsi" w:hAnsiTheme="majorHAnsi" w:cstheme="majorHAnsi"/>
          <w:sz w:val="17"/>
          <w:szCs w:val="17"/>
        </w:rPr>
      </w:pPr>
      <w:r w:rsidRPr="00616069">
        <w:rPr>
          <w:rStyle w:val="FootnoteReference"/>
        </w:rPr>
        <w:footnoteRef/>
      </w:r>
      <w:r w:rsidRPr="00616069">
        <w:t xml:space="preserve"> </w:t>
      </w:r>
      <w:r w:rsidRPr="00616069">
        <w:rPr>
          <w:rFonts w:asciiTheme="majorHAnsi" w:hAnsiTheme="majorHAnsi" w:cstheme="majorHAnsi"/>
          <w:sz w:val="17"/>
          <w:szCs w:val="17"/>
        </w:rPr>
        <w:t xml:space="preserve">Tabulka je k dispozici v souboru </w:t>
      </w:r>
      <w:proofErr w:type="spellStart"/>
      <w:r w:rsidRPr="00616069">
        <w:rPr>
          <w:rFonts w:asciiTheme="majorHAnsi" w:hAnsiTheme="majorHAnsi" w:cstheme="majorHAnsi"/>
          <w:sz w:val="17"/>
          <w:szCs w:val="17"/>
        </w:rPr>
        <w:t>xls</w:t>
      </w:r>
      <w:proofErr w:type="spellEnd"/>
      <w:r w:rsidRPr="00616069">
        <w:rPr>
          <w:rFonts w:asciiTheme="majorHAnsi" w:hAnsiTheme="majorHAnsi" w:cstheme="majorHAnsi"/>
          <w:sz w:val="17"/>
          <w:szCs w:val="17"/>
        </w:rPr>
        <w:t xml:space="preserve"> přiloženém na webových stránkách ČBA Hypomonitoru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4485" w14:textId="25969B31" w:rsidR="0065124E" w:rsidRPr="00616069" w:rsidRDefault="00A86552">
    <w:pPr>
      <w:pStyle w:val="Header"/>
    </w:pPr>
    <w:r w:rsidRPr="00616069">
      <w:rPr>
        <w:rFonts w:cs="Arial"/>
        <w:noProof/>
        <w:lang w:eastAsia="en-GB"/>
      </w:rPr>
      <mc:AlternateContent>
        <mc:Choice Requires="wps">
          <w:drawing>
            <wp:anchor distT="45720" distB="45720" distL="114300" distR="114300" simplePos="0" relativeHeight="251668480" behindDoc="0" locked="0" layoutInCell="1" allowOverlap="1" wp14:anchorId="1DCC7344" wp14:editId="2F0B41DB">
              <wp:simplePos x="0" y="0"/>
              <wp:positionH relativeFrom="margin">
                <wp:posOffset>2228694</wp:posOffset>
              </wp:positionH>
              <wp:positionV relativeFrom="paragraph">
                <wp:posOffset>214019</wp:posOffset>
              </wp:positionV>
              <wp:extent cx="2941608" cy="140462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24986907" w14:textId="1DE8A063" w:rsidR="00A86552" w:rsidRPr="00616069" w:rsidRDefault="00A86552" w:rsidP="00095055">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C7344" id="_x0000_t202" coordsize="21600,21600" o:spt="202" path="m,l,21600r21600,l21600,xe">
              <v:stroke joinstyle="miter"/>
              <v:path gradientshapeok="t" o:connecttype="rect"/>
            </v:shapetype>
            <v:shape id="_x0000_s1027" type="#_x0000_t202" style="position:absolute;left:0;text-align:left;margin-left:175.5pt;margin-top:16.85pt;width:231.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" filled="f" stroked="f">
              <v:textbox style="mso-fit-shape-to-text:t">
                <w:txbxContent>
                  <w:p w14:paraId="24986907" w14:textId="1DE8A063" w:rsidR="00A86552" w:rsidRPr="00616069" w:rsidRDefault="00A86552" w:rsidP="00095055">
                    <w:pPr>
                      <w:spacing w:line="276" w:lineRule="auto"/>
                      <w:jc w:val="right"/>
                      <w:rPr>
                        <w:rFonts w:ascii="Calibri" w:hAnsi="Calibri" w:cs="Calibri"/>
                        <w:b/>
                        <w:color w:val="FF0000"/>
                        <w:sz w:val="40"/>
                        <w:szCs w:val="40"/>
                      </w:rPr>
                    </w:pPr>
                  </w:p>
                </w:txbxContent>
              </v:textbox>
              <w10:wrap anchorx="margin"/>
            </v:shape>
          </w:pict>
        </mc:Fallback>
      </mc:AlternateContent>
    </w:r>
    <w:r w:rsidR="00744C66" w:rsidRPr="00616069">
      <w:rPr>
        <w:noProof/>
        <w:lang w:eastAsia="en-GB"/>
      </w:rPr>
      <w:drawing>
        <wp:anchor distT="0" distB="0" distL="114300" distR="114300" simplePos="0" relativeHeight="251660288" behindDoc="0" locked="0" layoutInCell="1" allowOverlap="1" wp14:anchorId="197D896D" wp14:editId="7A6FB449">
          <wp:simplePos x="0" y="0"/>
          <wp:positionH relativeFrom="column">
            <wp:posOffset>-52705</wp:posOffset>
          </wp:positionH>
          <wp:positionV relativeFrom="paragraph">
            <wp:posOffset>29845</wp:posOffset>
          </wp:positionV>
          <wp:extent cx="2209800" cy="778510"/>
          <wp:effectExtent l="0" t="0" r="0" b="2540"/>
          <wp:wrapNone/>
          <wp:docPr id="105548328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sidR="002D4720" w:rsidRPr="00616069">
      <w:rPr>
        <w:noProof/>
        <w:lang w:eastAsia="en-GB"/>
      </w:rPr>
      <w:drawing>
        <wp:anchor distT="0" distB="0" distL="114300" distR="114300" simplePos="0" relativeHeight="251664384" behindDoc="1" locked="0" layoutInCell="1" allowOverlap="1" wp14:anchorId="2A1D7AA9" wp14:editId="7A7B0A01">
          <wp:simplePos x="0" y="0"/>
          <wp:positionH relativeFrom="column">
            <wp:posOffset>3985895</wp:posOffset>
          </wp:positionH>
          <wp:positionV relativeFrom="paragraph">
            <wp:posOffset>-8255</wp:posOffset>
          </wp:positionV>
          <wp:extent cx="2943225" cy="243840"/>
          <wp:effectExtent l="0" t="0" r="9525" b="3810"/>
          <wp:wrapNone/>
          <wp:docPr id="15570644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720" w:rsidRPr="00616069">
      <w:rPr>
        <w:rFonts w:cs="Arial"/>
        <w:noProof/>
        <w:lang w:eastAsia="en-GB"/>
      </w:rPr>
      <mc:AlternateContent>
        <mc:Choice Requires="wps">
          <w:drawing>
            <wp:anchor distT="45720" distB="45720" distL="114300" distR="114300" simplePos="0" relativeHeight="251662336" behindDoc="0" locked="0" layoutInCell="1" allowOverlap="1" wp14:anchorId="126DE097" wp14:editId="755E40ED">
              <wp:simplePos x="0" y="0"/>
              <wp:positionH relativeFrom="margin">
                <wp:posOffset>5238115</wp:posOffset>
              </wp:positionH>
              <wp:positionV relativeFrom="paragraph">
                <wp:posOffset>153035</wp:posOffset>
              </wp:positionV>
              <wp:extent cx="1239520" cy="1404620"/>
              <wp:effectExtent l="0" t="0" r="0" b="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0138EA25"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r w:rsidR="00095055">
                            <w:rPr>
                              <w:rFonts w:ascii="Calibri" w:hAnsi="Calibri" w:cs="Calibri"/>
                              <w:color w:val="13576B"/>
                              <w:sz w:val="20"/>
                              <w:szCs w:val="22"/>
                            </w:rPr>
                            <w:t>1</w:t>
                          </w:r>
                          <w:r w:rsidR="005B3025">
                            <w:rPr>
                              <w:rFonts w:ascii="Calibri" w:hAnsi="Calibri" w:cs="Calibri"/>
                              <w:color w:val="13576B"/>
                              <w:sz w:val="20"/>
                              <w:szCs w:val="22"/>
                            </w:rPr>
                            <w:t>3</w:t>
                          </w:r>
                          <w:r w:rsidR="00105BE4">
                            <w:rPr>
                              <w:rFonts w:ascii="Calibri" w:hAnsi="Calibri" w:cs="Calibri"/>
                              <w:color w:val="13576B"/>
                              <w:sz w:val="20"/>
                              <w:szCs w:val="22"/>
                            </w:rPr>
                            <w:t>.</w:t>
                          </w:r>
                          <w:r w:rsidR="005B3025">
                            <w:rPr>
                              <w:rFonts w:ascii="Calibri" w:hAnsi="Calibri" w:cs="Calibri"/>
                              <w:color w:val="13576B"/>
                              <w:sz w:val="20"/>
                              <w:szCs w:val="22"/>
                            </w:rPr>
                            <w:t>3</w:t>
                          </w:r>
                          <w:r w:rsidR="002D4720" w:rsidRPr="00616069">
                            <w:rPr>
                              <w:rFonts w:ascii="Calibri" w:hAnsi="Calibri" w:cs="Calibri"/>
                              <w:color w:val="13576B"/>
                              <w:sz w:val="20"/>
                              <w:szCs w:val="22"/>
                            </w:rPr>
                            <w:t>.202</w:t>
                          </w:r>
                          <w:r w:rsidR="00095055">
                            <w:rPr>
                              <w:rFonts w:ascii="Calibri" w:hAnsi="Calibri" w:cs="Calibri"/>
                              <w:color w:val="13576B"/>
                              <w:sz w:val="20"/>
                              <w:szCs w:val="22"/>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6DE097" id="_x0000_t202" coordsize="21600,21600" o:spt="202" path="m,l,21600r21600,l21600,xe">
              <v:stroke joinstyle="miter"/>
              <v:path gradientshapeok="t" o:connecttype="rect"/>
            </v:shapetype>
            <v:shape id="_x0000_s1028" type="#_x0000_t202" style="position:absolute;left:0;text-align:left;margin-left:412.45pt;margin-top:12.05pt;width:97.6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" filled="f" stroked="f">
              <v:textbox style="mso-fit-shape-to-text:t">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0138EA25"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r w:rsidR="00095055">
                      <w:rPr>
                        <w:rFonts w:ascii="Calibri" w:hAnsi="Calibri" w:cs="Calibri"/>
                        <w:color w:val="13576B"/>
                        <w:sz w:val="20"/>
                        <w:szCs w:val="22"/>
                      </w:rPr>
                      <w:t>1</w:t>
                    </w:r>
                    <w:r w:rsidR="005B3025">
                      <w:rPr>
                        <w:rFonts w:ascii="Calibri" w:hAnsi="Calibri" w:cs="Calibri"/>
                        <w:color w:val="13576B"/>
                        <w:sz w:val="20"/>
                        <w:szCs w:val="22"/>
                      </w:rPr>
                      <w:t>3</w:t>
                    </w:r>
                    <w:r w:rsidR="00105BE4">
                      <w:rPr>
                        <w:rFonts w:ascii="Calibri" w:hAnsi="Calibri" w:cs="Calibri"/>
                        <w:color w:val="13576B"/>
                        <w:sz w:val="20"/>
                        <w:szCs w:val="22"/>
                      </w:rPr>
                      <w:t>.</w:t>
                    </w:r>
                    <w:r w:rsidR="005B3025">
                      <w:rPr>
                        <w:rFonts w:ascii="Calibri" w:hAnsi="Calibri" w:cs="Calibri"/>
                        <w:color w:val="13576B"/>
                        <w:sz w:val="20"/>
                        <w:szCs w:val="22"/>
                      </w:rPr>
                      <w:t>3</w:t>
                    </w:r>
                    <w:r w:rsidR="002D4720" w:rsidRPr="00616069">
                      <w:rPr>
                        <w:rFonts w:ascii="Calibri" w:hAnsi="Calibri" w:cs="Calibri"/>
                        <w:color w:val="13576B"/>
                        <w:sz w:val="20"/>
                        <w:szCs w:val="22"/>
                      </w:rPr>
                      <w:t>.202</w:t>
                    </w:r>
                    <w:r w:rsidR="00095055">
                      <w:rPr>
                        <w:rFonts w:ascii="Calibri" w:hAnsi="Calibri" w:cs="Calibri"/>
                        <w:color w:val="13576B"/>
                        <w:sz w:val="20"/>
                        <w:szCs w:val="22"/>
                      </w:rPr>
                      <w:t>6</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9A1"/>
    <w:multiLevelType w:val="hybridMultilevel"/>
    <w:tmpl w:val="28EA1BD4"/>
    <w:lvl w:ilvl="0" w:tplc="F8600AFA">
      <w:start w:val="1"/>
      <w:numFmt w:val="bullet"/>
      <w:lvlText w:val="•"/>
      <w:lvlJc w:val="left"/>
      <w:pPr>
        <w:tabs>
          <w:tab w:val="num" w:pos="720"/>
        </w:tabs>
        <w:ind w:left="720" w:hanging="360"/>
      </w:pPr>
      <w:rPr>
        <w:rFonts w:ascii="Arial" w:hAnsi="Arial" w:hint="default"/>
      </w:rPr>
    </w:lvl>
    <w:lvl w:ilvl="1" w:tplc="9954B5E4" w:tentative="1">
      <w:start w:val="1"/>
      <w:numFmt w:val="bullet"/>
      <w:lvlText w:val="•"/>
      <w:lvlJc w:val="left"/>
      <w:pPr>
        <w:tabs>
          <w:tab w:val="num" w:pos="1440"/>
        </w:tabs>
        <w:ind w:left="1440" w:hanging="360"/>
      </w:pPr>
      <w:rPr>
        <w:rFonts w:ascii="Arial" w:hAnsi="Arial" w:hint="default"/>
      </w:rPr>
    </w:lvl>
    <w:lvl w:ilvl="2" w:tplc="62304CC8" w:tentative="1">
      <w:start w:val="1"/>
      <w:numFmt w:val="bullet"/>
      <w:lvlText w:val="•"/>
      <w:lvlJc w:val="left"/>
      <w:pPr>
        <w:tabs>
          <w:tab w:val="num" w:pos="2160"/>
        </w:tabs>
        <w:ind w:left="2160" w:hanging="360"/>
      </w:pPr>
      <w:rPr>
        <w:rFonts w:ascii="Arial" w:hAnsi="Arial" w:hint="default"/>
      </w:rPr>
    </w:lvl>
    <w:lvl w:ilvl="3" w:tplc="0CA22174" w:tentative="1">
      <w:start w:val="1"/>
      <w:numFmt w:val="bullet"/>
      <w:lvlText w:val="•"/>
      <w:lvlJc w:val="left"/>
      <w:pPr>
        <w:tabs>
          <w:tab w:val="num" w:pos="2880"/>
        </w:tabs>
        <w:ind w:left="2880" w:hanging="360"/>
      </w:pPr>
      <w:rPr>
        <w:rFonts w:ascii="Arial" w:hAnsi="Arial" w:hint="default"/>
      </w:rPr>
    </w:lvl>
    <w:lvl w:ilvl="4" w:tplc="B31CD540" w:tentative="1">
      <w:start w:val="1"/>
      <w:numFmt w:val="bullet"/>
      <w:lvlText w:val="•"/>
      <w:lvlJc w:val="left"/>
      <w:pPr>
        <w:tabs>
          <w:tab w:val="num" w:pos="3600"/>
        </w:tabs>
        <w:ind w:left="3600" w:hanging="360"/>
      </w:pPr>
      <w:rPr>
        <w:rFonts w:ascii="Arial" w:hAnsi="Arial" w:hint="default"/>
      </w:rPr>
    </w:lvl>
    <w:lvl w:ilvl="5" w:tplc="A83A2ECA" w:tentative="1">
      <w:start w:val="1"/>
      <w:numFmt w:val="bullet"/>
      <w:lvlText w:val="•"/>
      <w:lvlJc w:val="left"/>
      <w:pPr>
        <w:tabs>
          <w:tab w:val="num" w:pos="4320"/>
        </w:tabs>
        <w:ind w:left="4320" w:hanging="360"/>
      </w:pPr>
      <w:rPr>
        <w:rFonts w:ascii="Arial" w:hAnsi="Arial" w:hint="default"/>
      </w:rPr>
    </w:lvl>
    <w:lvl w:ilvl="6" w:tplc="8A1254AE" w:tentative="1">
      <w:start w:val="1"/>
      <w:numFmt w:val="bullet"/>
      <w:lvlText w:val="•"/>
      <w:lvlJc w:val="left"/>
      <w:pPr>
        <w:tabs>
          <w:tab w:val="num" w:pos="5040"/>
        </w:tabs>
        <w:ind w:left="5040" w:hanging="360"/>
      </w:pPr>
      <w:rPr>
        <w:rFonts w:ascii="Arial" w:hAnsi="Arial" w:hint="default"/>
      </w:rPr>
    </w:lvl>
    <w:lvl w:ilvl="7" w:tplc="247E4084" w:tentative="1">
      <w:start w:val="1"/>
      <w:numFmt w:val="bullet"/>
      <w:lvlText w:val="•"/>
      <w:lvlJc w:val="left"/>
      <w:pPr>
        <w:tabs>
          <w:tab w:val="num" w:pos="5760"/>
        </w:tabs>
        <w:ind w:left="5760" w:hanging="360"/>
      </w:pPr>
      <w:rPr>
        <w:rFonts w:ascii="Arial" w:hAnsi="Arial" w:hint="default"/>
      </w:rPr>
    </w:lvl>
    <w:lvl w:ilvl="8" w:tplc="78E09F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3A48A1"/>
    <w:multiLevelType w:val="hybridMultilevel"/>
    <w:tmpl w:val="6E121294"/>
    <w:lvl w:ilvl="0" w:tplc="BEC0709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843AD"/>
    <w:multiLevelType w:val="hybridMultilevel"/>
    <w:tmpl w:val="EB828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615A72"/>
    <w:multiLevelType w:val="hybridMultilevel"/>
    <w:tmpl w:val="4222A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7B1D76"/>
    <w:multiLevelType w:val="hybridMultilevel"/>
    <w:tmpl w:val="6D527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72C3C"/>
    <w:multiLevelType w:val="hybridMultilevel"/>
    <w:tmpl w:val="163C6E86"/>
    <w:lvl w:ilvl="0" w:tplc="0405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1206309C"/>
    <w:multiLevelType w:val="hybridMultilevel"/>
    <w:tmpl w:val="855E01C6"/>
    <w:lvl w:ilvl="0" w:tplc="9F3AF1EC">
      <w:numFmt w:val="bullet"/>
      <w:lvlText w:val="-"/>
      <w:lvlJc w:val="left"/>
      <w:pPr>
        <w:ind w:left="720" w:hanging="360"/>
      </w:pPr>
      <w:rPr>
        <w:rFonts w:ascii="Calibri Light" w:eastAsia="Times New Roman"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B92919"/>
    <w:multiLevelType w:val="hybridMultilevel"/>
    <w:tmpl w:val="2B56FAFE"/>
    <w:lvl w:ilvl="0" w:tplc="69881738">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90A4083"/>
    <w:multiLevelType w:val="hybridMultilevel"/>
    <w:tmpl w:val="3C584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0FA4577"/>
    <w:multiLevelType w:val="hybridMultilevel"/>
    <w:tmpl w:val="553EAC9E"/>
    <w:lvl w:ilvl="0" w:tplc="8B20C2B0">
      <w:start w:val="3"/>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3343A30"/>
    <w:multiLevelType w:val="hybridMultilevel"/>
    <w:tmpl w:val="26BEA028"/>
    <w:lvl w:ilvl="0" w:tplc="886E46EA">
      <w:start w:val="1"/>
      <w:numFmt w:val="bullet"/>
      <w:lvlText w:val="•"/>
      <w:lvlJc w:val="left"/>
      <w:pPr>
        <w:tabs>
          <w:tab w:val="num" w:pos="720"/>
        </w:tabs>
        <w:ind w:left="720" w:hanging="360"/>
      </w:pPr>
      <w:rPr>
        <w:rFonts w:ascii="Arial" w:hAnsi="Arial" w:hint="default"/>
      </w:rPr>
    </w:lvl>
    <w:lvl w:ilvl="1" w:tplc="D24078A2" w:tentative="1">
      <w:start w:val="1"/>
      <w:numFmt w:val="bullet"/>
      <w:lvlText w:val="•"/>
      <w:lvlJc w:val="left"/>
      <w:pPr>
        <w:tabs>
          <w:tab w:val="num" w:pos="1440"/>
        </w:tabs>
        <w:ind w:left="1440" w:hanging="360"/>
      </w:pPr>
      <w:rPr>
        <w:rFonts w:ascii="Arial" w:hAnsi="Arial" w:hint="default"/>
      </w:rPr>
    </w:lvl>
    <w:lvl w:ilvl="2" w:tplc="7B82BD50" w:tentative="1">
      <w:start w:val="1"/>
      <w:numFmt w:val="bullet"/>
      <w:lvlText w:val="•"/>
      <w:lvlJc w:val="left"/>
      <w:pPr>
        <w:tabs>
          <w:tab w:val="num" w:pos="2160"/>
        </w:tabs>
        <w:ind w:left="2160" w:hanging="360"/>
      </w:pPr>
      <w:rPr>
        <w:rFonts w:ascii="Arial" w:hAnsi="Arial" w:hint="default"/>
      </w:rPr>
    </w:lvl>
    <w:lvl w:ilvl="3" w:tplc="294E0B36" w:tentative="1">
      <w:start w:val="1"/>
      <w:numFmt w:val="bullet"/>
      <w:lvlText w:val="•"/>
      <w:lvlJc w:val="left"/>
      <w:pPr>
        <w:tabs>
          <w:tab w:val="num" w:pos="2880"/>
        </w:tabs>
        <w:ind w:left="2880" w:hanging="360"/>
      </w:pPr>
      <w:rPr>
        <w:rFonts w:ascii="Arial" w:hAnsi="Arial" w:hint="default"/>
      </w:rPr>
    </w:lvl>
    <w:lvl w:ilvl="4" w:tplc="5282AFB4" w:tentative="1">
      <w:start w:val="1"/>
      <w:numFmt w:val="bullet"/>
      <w:lvlText w:val="•"/>
      <w:lvlJc w:val="left"/>
      <w:pPr>
        <w:tabs>
          <w:tab w:val="num" w:pos="3600"/>
        </w:tabs>
        <w:ind w:left="3600" w:hanging="360"/>
      </w:pPr>
      <w:rPr>
        <w:rFonts w:ascii="Arial" w:hAnsi="Arial" w:hint="default"/>
      </w:rPr>
    </w:lvl>
    <w:lvl w:ilvl="5" w:tplc="3D02FB28" w:tentative="1">
      <w:start w:val="1"/>
      <w:numFmt w:val="bullet"/>
      <w:lvlText w:val="•"/>
      <w:lvlJc w:val="left"/>
      <w:pPr>
        <w:tabs>
          <w:tab w:val="num" w:pos="4320"/>
        </w:tabs>
        <w:ind w:left="4320" w:hanging="360"/>
      </w:pPr>
      <w:rPr>
        <w:rFonts w:ascii="Arial" w:hAnsi="Arial" w:hint="default"/>
      </w:rPr>
    </w:lvl>
    <w:lvl w:ilvl="6" w:tplc="E1CE200A" w:tentative="1">
      <w:start w:val="1"/>
      <w:numFmt w:val="bullet"/>
      <w:lvlText w:val="•"/>
      <w:lvlJc w:val="left"/>
      <w:pPr>
        <w:tabs>
          <w:tab w:val="num" w:pos="5040"/>
        </w:tabs>
        <w:ind w:left="5040" w:hanging="360"/>
      </w:pPr>
      <w:rPr>
        <w:rFonts w:ascii="Arial" w:hAnsi="Arial" w:hint="default"/>
      </w:rPr>
    </w:lvl>
    <w:lvl w:ilvl="7" w:tplc="88245F8C" w:tentative="1">
      <w:start w:val="1"/>
      <w:numFmt w:val="bullet"/>
      <w:lvlText w:val="•"/>
      <w:lvlJc w:val="left"/>
      <w:pPr>
        <w:tabs>
          <w:tab w:val="num" w:pos="5760"/>
        </w:tabs>
        <w:ind w:left="5760" w:hanging="360"/>
      </w:pPr>
      <w:rPr>
        <w:rFonts w:ascii="Arial" w:hAnsi="Arial" w:hint="default"/>
      </w:rPr>
    </w:lvl>
    <w:lvl w:ilvl="8" w:tplc="D3A85D2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BB14DD"/>
    <w:multiLevelType w:val="hybridMultilevel"/>
    <w:tmpl w:val="17628C18"/>
    <w:lvl w:ilvl="0" w:tplc="E50CA28E">
      <w:start w:val="1"/>
      <w:numFmt w:val="bullet"/>
      <w:lvlText w:val="•"/>
      <w:lvlJc w:val="left"/>
      <w:pPr>
        <w:tabs>
          <w:tab w:val="num" w:pos="720"/>
        </w:tabs>
        <w:ind w:left="720" w:hanging="360"/>
      </w:pPr>
      <w:rPr>
        <w:rFonts w:ascii="Arial" w:hAnsi="Arial" w:cs="Times New Roman" w:hint="default"/>
      </w:rPr>
    </w:lvl>
    <w:lvl w:ilvl="1" w:tplc="9C6437BE">
      <w:start w:val="1"/>
      <w:numFmt w:val="bullet"/>
      <w:lvlText w:val="•"/>
      <w:lvlJc w:val="left"/>
      <w:pPr>
        <w:tabs>
          <w:tab w:val="num" w:pos="1440"/>
        </w:tabs>
        <w:ind w:left="1440" w:hanging="360"/>
      </w:pPr>
      <w:rPr>
        <w:rFonts w:ascii="Arial" w:hAnsi="Arial" w:cs="Times New Roman" w:hint="default"/>
      </w:rPr>
    </w:lvl>
    <w:lvl w:ilvl="2" w:tplc="CCB6EF00">
      <w:start w:val="1"/>
      <w:numFmt w:val="bullet"/>
      <w:lvlText w:val="•"/>
      <w:lvlJc w:val="left"/>
      <w:pPr>
        <w:tabs>
          <w:tab w:val="num" w:pos="2160"/>
        </w:tabs>
        <w:ind w:left="2160" w:hanging="360"/>
      </w:pPr>
      <w:rPr>
        <w:rFonts w:ascii="Arial" w:hAnsi="Arial" w:cs="Times New Roman" w:hint="default"/>
      </w:rPr>
    </w:lvl>
    <w:lvl w:ilvl="3" w:tplc="89EEF108">
      <w:start w:val="1"/>
      <w:numFmt w:val="bullet"/>
      <w:lvlText w:val="•"/>
      <w:lvlJc w:val="left"/>
      <w:pPr>
        <w:tabs>
          <w:tab w:val="num" w:pos="2880"/>
        </w:tabs>
        <w:ind w:left="2880" w:hanging="360"/>
      </w:pPr>
      <w:rPr>
        <w:rFonts w:ascii="Arial" w:hAnsi="Arial" w:cs="Times New Roman" w:hint="default"/>
      </w:rPr>
    </w:lvl>
    <w:lvl w:ilvl="4" w:tplc="42ECDBEA">
      <w:start w:val="1"/>
      <w:numFmt w:val="bullet"/>
      <w:lvlText w:val="•"/>
      <w:lvlJc w:val="left"/>
      <w:pPr>
        <w:tabs>
          <w:tab w:val="num" w:pos="3600"/>
        </w:tabs>
        <w:ind w:left="3600" w:hanging="360"/>
      </w:pPr>
      <w:rPr>
        <w:rFonts w:ascii="Arial" w:hAnsi="Arial" w:cs="Times New Roman" w:hint="default"/>
      </w:rPr>
    </w:lvl>
    <w:lvl w:ilvl="5" w:tplc="3A6A64DA">
      <w:start w:val="1"/>
      <w:numFmt w:val="bullet"/>
      <w:lvlText w:val="•"/>
      <w:lvlJc w:val="left"/>
      <w:pPr>
        <w:tabs>
          <w:tab w:val="num" w:pos="4320"/>
        </w:tabs>
        <w:ind w:left="4320" w:hanging="360"/>
      </w:pPr>
      <w:rPr>
        <w:rFonts w:ascii="Arial" w:hAnsi="Arial" w:cs="Times New Roman" w:hint="default"/>
      </w:rPr>
    </w:lvl>
    <w:lvl w:ilvl="6" w:tplc="785E48AA">
      <w:start w:val="1"/>
      <w:numFmt w:val="bullet"/>
      <w:lvlText w:val="•"/>
      <w:lvlJc w:val="left"/>
      <w:pPr>
        <w:tabs>
          <w:tab w:val="num" w:pos="5040"/>
        </w:tabs>
        <w:ind w:left="5040" w:hanging="360"/>
      </w:pPr>
      <w:rPr>
        <w:rFonts w:ascii="Arial" w:hAnsi="Arial" w:cs="Times New Roman" w:hint="default"/>
      </w:rPr>
    </w:lvl>
    <w:lvl w:ilvl="7" w:tplc="15F0E15A">
      <w:start w:val="1"/>
      <w:numFmt w:val="bullet"/>
      <w:lvlText w:val="•"/>
      <w:lvlJc w:val="left"/>
      <w:pPr>
        <w:tabs>
          <w:tab w:val="num" w:pos="5760"/>
        </w:tabs>
        <w:ind w:left="5760" w:hanging="360"/>
      </w:pPr>
      <w:rPr>
        <w:rFonts w:ascii="Arial" w:hAnsi="Arial" w:cs="Times New Roman" w:hint="default"/>
      </w:rPr>
    </w:lvl>
    <w:lvl w:ilvl="8" w:tplc="D38AD362">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2C5A2A51"/>
    <w:multiLevelType w:val="hybridMultilevel"/>
    <w:tmpl w:val="633C8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0647CE5"/>
    <w:multiLevelType w:val="hybridMultilevel"/>
    <w:tmpl w:val="F91C69CC"/>
    <w:lvl w:ilvl="0" w:tplc="AA8891D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5B2B28"/>
    <w:multiLevelType w:val="hybridMultilevel"/>
    <w:tmpl w:val="A77CB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170A7D"/>
    <w:multiLevelType w:val="hybridMultilevel"/>
    <w:tmpl w:val="E76A6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A1A024A"/>
    <w:multiLevelType w:val="hybridMultilevel"/>
    <w:tmpl w:val="123AA014"/>
    <w:lvl w:ilvl="0" w:tplc="A1E66C42">
      <w:start w:val="1"/>
      <w:numFmt w:val="bullet"/>
      <w:lvlText w:val="•"/>
      <w:lvlJc w:val="left"/>
      <w:pPr>
        <w:tabs>
          <w:tab w:val="num" w:pos="720"/>
        </w:tabs>
        <w:ind w:left="720" w:hanging="360"/>
      </w:pPr>
      <w:rPr>
        <w:rFonts w:ascii="Arial" w:hAnsi="Arial" w:hint="default"/>
      </w:rPr>
    </w:lvl>
    <w:lvl w:ilvl="1" w:tplc="9D3A3968" w:tentative="1">
      <w:start w:val="1"/>
      <w:numFmt w:val="bullet"/>
      <w:lvlText w:val="•"/>
      <w:lvlJc w:val="left"/>
      <w:pPr>
        <w:tabs>
          <w:tab w:val="num" w:pos="1440"/>
        </w:tabs>
        <w:ind w:left="1440" w:hanging="360"/>
      </w:pPr>
      <w:rPr>
        <w:rFonts w:ascii="Arial" w:hAnsi="Arial" w:hint="default"/>
      </w:rPr>
    </w:lvl>
    <w:lvl w:ilvl="2" w:tplc="AD120F68" w:tentative="1">
      <w:start w:val="1"/>
      <w:numFmt w:val="bullet"/>
      <w:lvlText w:val="•"/>
      <w:lvlJc w:val="left"/>
      <w:pPr>
        <w:tabs>
          <w:tab w:val="num" w:pos="2160"/>
        </w:tabs>
        <w:ind w:left="2160" w:hanging="360"/>
      </w:pPr>
      <w:rPr>
        <w:rFonts w:ascii="Arial" w:hAnsi="Arial" w:hint="default"/>
      </w:rPr>
    </w:lvl>
    <w:lvl w:ilvl="3" w:tplc="6F847E0A" w:tentative="1">
      <w:start w:val="1"/>
      <w:numFmt w:val="bullet"/>
      <w:lvlText w:val="•"/>
      <w:lvlJc w:val="left"/>
      <w:pPr>
        <w:tabs>
          <w:tab w:val="num" w:pos="2880"/>
        </w:tabs>
        <w:ind w:left="2880" w:hanging="360"/>
      </w:pPr>
      <w:rPr>
        <w:rFonts w:ascii="Arial" w:hAnsi="Arial" w:hint="default"/>
      </w:rPr>
    </w:lvl>
    <w:lvl w:ilvl="4" w:tplc="CAC0A524" w:tentative="1">
      <w:start w:val="1"/>
      <w:numFmt w:val="bullet"/>
      <w:lvlText w:val="•"/>
      <w:lvlJc w:val="left"/>
      <w:pPr>
        <w:tabs>
          <w:tab w:val="num" w:pos="3600"/>
        </w:tabs>
        <w:ind w:left="3600" w:hanging="360"/>
      </w:pPr>
      <w:rPr>
        <w:rFonts w:ascii="Arial" w:hAnsi="Arial" w:hint="default"/>
      </w:rPr>
    </w:lvl>
    <w:lvl w:ilvl="5" w:tplc="C8F887C6" w:tentative="1">
      <w:start w:val="1"/>
      <w:numFmt w:val="bullet"/>
      <w:lvlText w:val="•"/>
      <w:lvlJc w:val="left"/>
      <w:pPr>
        <w:tabs>
          <w:tab w:val="num" w:pos="4320"/>
        </w:tabs>
        <w:ind w:left="4320" w:hanging="360"/>
      </w:pPr>
      <w:rPr>
        <w:rFonts w:ascii="Arial" w:hAnsi="Arial" w:hint="default"/>
      </w:rPr>
    </w:lvl>
    <w:lvl w:ilvl="6" w:tplc="3B8863FA" w:tentative="1">
      <w:start w:val="1"/>
      <w:numFmt w:val="bullet"/>
      <w:lvlText w:val="•"/>
      <w:lvlJc w:val="left"/>
      <w:pPr>
        <w:tabs>
          <w:tab w:val="num" w:pos="5040"/>
        </w:tabs>
        <w:ind w:left="5040" w:hanging="360"/>
      </w:pPr>
      <w:rPr>
        <w:rFonts w:ascii="Arial" w:hAnsi="Arial" w:hint="default"/>
      </w:rPr>
    </w:lvl>
    <w:lvl w:ilvl="7" w:tplc="DA545B22" w:tentative="1">
      <w:start w:val="1"/>
      <w:numFmt w:val="bullet"/>
      <w:lvlText w:val="•"/>
      <w:lvlJc w:val="left"/>
      <w:pPr>
        <w:tabs>
          <w:tab w:val="num" w:pos="5760"/>
        </w:tabs>
        <w:ind w:left="5760" w:hanging="360"/>
      </w:pPr>
      <w:rPr>
        <w:rFonts w:ascii="Arial" w:hAnsi="Arial" w:hint="default"/>
      </w:rPr>
    </w:lvl>
    <w:lvl w:ilvl="8" w:tplc="7FFEB4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D8A7633"/>
    <w:multiLevelType w:val="hybridMultilevel"/>
    <w:tmpl w:val="A68019BE"/>
    <w:lvl w:ilvl="0" w:tplc="D6BA4EBC">
      <w:start w:val="1"/>
      <w:numFmt w:val="bullet"/>
      <w:lvlText w:val="•"/>
      <w:lvlJc w:val="left"/>
      <w:pPr>
        <w:tabs>
          <w:tab w:val="num" w:pos="720"/>
        </w:tabs>
        <w:ind w:left="720" w:hanging="360"/>
      </w:pPr>
      <w:rPr>
        <w:rFonts w:ascii="Arial" w:hAnsi="Arial" w:hint="default"/>
      </w:rPr>
    </w:lvl>
    <w:lvl w:ilvl="1" w:tplc="FB7C91B6" w:tentative="1">
      <w:start w:val="1"/>
      <w:numFmt w:val="bullet"/>
      <w:lvlText w:val="•"/>
      <w:lvlJc w:val="left"/>
      <w:pPr>
        <w:tabs>
          <w:tab w:val="num" w:pos="1440"/>
        </w:tabs>
        <w:ind w:left="1440" w:hanging="360"/>
      </w:pPr>
      <w:rPr>
        <w:rFonts w:ascii="Arial" w:hAnsi="Arial" w:hint="default"/>
      </w:rPr>
    </w:lvl>
    <w:lvl w:ilvl="2" w:tplc="8F5E82D2" w:tentative="1">
      <w:start w:val="1"/>
      <w:numFmt w:val="bullet"/>
      <w:lvlText w:val="•"/>
      <w:lvlJc w:val="left"/>
      <w:pPr>
        <w:tabs>
          <w:tab w:val="num" w:pos="2160"/>
        </w:tabs>
        <w:ind w:left="2160" w:hanging="360"/>
      </w:pPr>
      <w:rPr>
        <w:rFonts w:ascii="Arial" w:hAnsi="Arial" w:hint="default"/>
      </w:rPr>
    </w:lvl>
    <w:lvl w:ilvl="3" w:tplc="1E66A962" w:tentative="1">
      <w:start w:val="1"/>
      <w:numFmt w:val="bullet"/>
      <w:lvlText w:val="•"/>
      <w:lvlJc w:val="left"/>
      <w:pPr>
        <w:tabs>
          <w:tab w:val="num" w:pos="2880"/>
        </w:tabs>
        <w:ind w:left="2880" w:hanging="360"/>
      </w:pPr>
      <w:rPr>
        <w:rFonts w:ascii="Arial" w:hAnsi="Arial" w:hint="default"/>
      </w:rPr>
    </w:lvl>
    <w:lvl w:ilvl="4" w:tplc="99223854" w:tentative="1">
      <w:start w:val="1"/>
      <w:numFmt w:val="bullet"/>
      <w:lvlText w:val="•"/>
      <w:lvlJc w:val="left"/>
      <w:pPr>
        <w:tabs>
          <w:tab w:val="num" w:pos="3600"/>
        </w:tabs>
        <w:ind w:left="3600" w:hanging="360"/>
      </w:pPr>
      <w:rPr>
        <w:rFonts w:ascii="Arial" w:hAnsi="Arial" w:hint="default"/>
      </w:rPr>
    </w:lvl>
    <w:lvl w:ilvl="5" w:tplc="6C7666AA" w:tentative="1">
      <w:start w:val="1"/>
      <w:numFmt w:val="bullet"/>
      <w:lvlText w:val="•"/>
      <w:lvlJc w:val="left"/>
      <w:pPr>
        <w:tabs>
          <w:tab w:val="num" w:pos="4320"/>
        </w:tabs>
        <w:ind w:left="4320" w:hanging="360"/>
      </w:pPr>
      <w:rPr>
        <w:rFonts w:ascii="Arial" w:hAnsi="Arial" w:hint="default"/>
      </w:rPr>
    </w:lvl>
    <w:lvl w:ilvl="6" w:tplc="0DCED478" w:tentative="1">
      <w:start w:val="1"/>
      <w:numFmt w:val="bullet"/>
      <w:lvlText w:val="•"/>
      <w:lvlJc w:val="left"/>
      <w:pPr>
        <w:tabs>
          <w:tab w:val="num" w:pos="5040"/>
        </w:tabs>
        <w:ind w:left="5040" w:hanging="360"/>
      </w:pPr>
      <w:rPr>
        <w:rFonts w:ascii="Arial" w:hAnsi="Arial" w:hint="default"/>
      </w:rPr>
    </w:lvl>
    <w:lvl w:ilvl="7" w:tplc="9DB4829A" w:tentative="1">
      <w:start w:val="1"/>
      <w:numFmt w:val="bullet"/>
      <w:lvlText w:val="•"/>
      <w:lvlJc w:val="left"/>
      <w:pPr>
        <w:tabs>
          <w:tab w:val="num" w:pos="5760"/>
        </w:tabs>
        <w:ind w:left="5760" w:hanging="360"/>
      </w:pPr>
      <w:rPr>
        <w:rFonts w:ascii="Arial" w:hAnsi="Arial" w:hint="default"/>
      </w:rPr>
    </w:lvl>
    <w:lvl w:ilvl="8" w:tplc="ABF0AFE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09105EB"/>
    <w:multiLevelType w:val="hybridMultilevel"/>
    <w:tmpl w:val="25882682"/>
    <w:lvl w:ilvl="0" w:tplc="E586E02A">
      <w:start w:val="1"/>
      <w:numFmt w:val="decimal"/>
      <w:lvlText w:val="%1."/>
      <w:lvlJc w:val="left"/>
      <w:pPr>
        <w:ind w:left="410" w:hanging="360"/>
      </w:pPr>
    </w:lvl>
    <w:lvl w:ilvl="1" w:tplc="08090019">
      <w:start w:val="1"/>
      <w:numFmt w:val="lowerLetter"/>
      <w:lvlText w:val="%2."/>
      <w:lvlJc w:val="left"/>
      <w:pPr>
        <w:ind w:left="1130" w:hanging="360"/>
      </w:pPr>
    </w:lvl>
    <w:lvl w:ilvl="2" w:tplc="0809001B">
      <w:start w:val="1"/>
      <w:numFmt w:val="lowerRoman"/>
      <w:lvlText w:val="%3."/>
      <w:lvlJc w:val="right"/>
      <w:pPr>
        <w:ind w:left="1850" w:hanging="180"/>
      </w:pPr>
    </w:lvl>
    <w:lvl w:ilvl="3" w:tplc="0809000F">
      <w:start w:val="1"/>
      <w:numFmt w:val="decimal"/>
      <w:lvlText w:val="%4."/>
      <w:lvlJc w:val="left"/>
      <w:pPr>
        <w:ind w:left="2570" w:hanging="360"/>
      </w:pPr>
    </w:lvl>
    <w:lvl w:ilvl="4" w:tplc="08090019">
      <w:start w:val="1"/>
      <w:numFmt w:val="lowerLetter"/>
      <w:lvlText w:val="%5."/>
      <w:lvlJc w:val="left"/>
      <w:pPr>
        <w:ind w:left="3290" w:hanging="360"/>
      </w:pPr>
    </w:lvl>
    <w:lvl w:ilvl="5" w:tplc="0809001B">
      <w:start w:val="1"/>
      <w:numFmt w:val="lowerRoman"/>
      <w:lvlText w:val="%6."/>
      <w:lvlJc w:val="right"/>
      <w:pPr>
        <w:ind w:left="4010" w:hanging="180"/>
      </w:pPr>
    </w:lvl>
    <w:lvl w:ilvl="6" w:tplc="0809000F">
      <w:start w:val="1"/>
      <w:numFmt w:val="decimal"/>
      <w:lvlText w:val="%7."/>
      <w:lvlJc w:val="left"/>
      <w:pPr>
        <w:ind w:left="4730" w:hanging="360"/>
      </w:pPr>
    </w:lvl>
    <w:lvl w:ilvl="7" w:tplc="08090019">
      <w:start w:val="1"/>
      <w:numFmt w:val="lowerLetter"/>
      <w:lvlText w:val="%8."/>
      <w:lvlJc w:val="left"/>
      <w:pPr>
        <w:ind w:left="5450" w:hanging="360"/>
      </w:pPr>
    </w:lvl>
    <w:lvl w:ilvl="8" w:tplc="0809001B">
      <w:start w:val="1"/>
      <w:numFmt w:val="lowerRoman"/>
      <w:lvlText w:val="%9."/>
      <w:lvlJc w:val="right"/>
      <w:pPr>
        <w:ind w:left="6170" w:hanging="180"/>
      </w:pPr>
    </w:lvl>
  </w:abstractNum>
  <w:abstractNum w:abstractNumId="20" w15:restartNumberingAfterBreak="0">
    <w:nsid w:val="606843DC"/>
    <w:multiLevelType w:val="hybridMultilevel"/>
    <w:tmpl w:val="3E42D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6E1214D"/>
    <w:multiLevelType w:val="hybridMultilevel"/>
    <w:tmpl w:val="9F34024E"/>
    <w:lvl w:ilvl="0" w:tplc="ADB0AA92">
      <w:start w:val="1"/>
      <w:numFmt w:val="bullet"/>
      <w:lvlText w:val="•"/>
      <w:lvlJc w:val="left"/>
      <w:pPr>
        <w:tabs>
          <w:tab w:val="num" w:pos="720"/>
        </w:tabs>
        <w:ind w:left="720" w:hanging="360"/>
      </w:pPr>
      <w:rPr>
        <w:rFonts w:ascii="Arial" w:hAnsi="Arial" w:hint="default"/>
      </w:rPr>
    </w:lvl>
    <w:lvl w:ilvl="1" w:tplc="54B2907C" w:tentative="1">
      <w:start w:val="1"/>
      <w:numFmt w:val="bullet"/>
      <w:lvlText w:val="•"/>
      <w:lvlJc w:val="left"/>
      <w:pPr>
        <w:tabs>
          <w:tab w:val="num" w:pos="1440"/>
        </w:tabs>
        <w:ind w:left="1440" w:hanging="360"/>
      </w:pPr>
      <w:rPr>
        <w:rFonts w:ascii="Arial" w:hAnsi="Arial" w:hint="default"/>
      </w:rPr>
    </w:lvl>
    <w:lvl w:ilvl="2" w:tplc="7F848D9A" w:tentative="1">
      <w:start w:val="1"/>
      <w:numFmt w:val="bullet"/>
      <w:lvlText w:val="•"/>
      <w:lvlJc w:val="left"/>
      <w:pPr>
        <w:tabs>
          <w:tab w:val="num" w:pos="2160"/>
        </w:tabs>
        <w:ind w:left="2160" w:hanging="360"/>
      </w:pPr>
      <w:rPr>
        <w:rFonts w:ascii="Arial" w:hAnsi="Arial" w:hint="default"/>
      </w:rPr>
    </w:lvl>
    <w:lvl w:ilvl="3" w:tplc="E77AB61C" w:tentative="1">
      <w:start w:val="1"/>
      <w:numFmt w:val="bullet"/>
      <w:lvlText w:val="•"/>
      <w:lvlJc w:val="left"/>
      <w:pPr>
        <w:tabs>
          <w:tab w:val="num" w:pos="2880"/>
        </w:tabs>
        <w:ind w:left="2880" w:hanging="360"/>
      </w:pPr>
      <w:rPr>
        <w:rFonts w:ascii="Arial" w:hAnsi="Arial" w:hint="default"/>
      </w:rPr>
    </w:lvl>
    <w:lvl w:ilvl="4" w:tplc="D0862378" w:tentative="1">
      <w:start w:val="1"/>
      <w:numFmt w:val="bullet"/>
      <w:lvlText w:val="•"/>
      <w:lvlJc w:val="left"/>
      <w:pPr>
        <w:tabs>
          <w:tab w:val="num" w:pos="3600"/>
        </w:tabs>
        <w:ind w:left="3600" w:hanging="360"/>
      </w:pPr>
      <w:rPr>
        <w:rFonts w:ascii="Arial" w:hAnsi="Arial" w:hint="default"/>
      </w:rPr>
    </w:lvl>
    <w:lvl w:ilvl="5" w:tplc="181EBA86" w:tentative="1">
      <w:start w:val="1"/>
      <w:numFmt w:val="bullet"/>
      <w:lvlText w:val="•"/>
      <w:lvlJc w:val="left"/>
      <w:pPr>
        <w:tabs>
          <w:tab w:val="num" w:pos="4320"/>
        </w:tabs>
        <w:ind w:left="4320" w:hanging="360"/>
      </w:pPr>
      <w:rPr>
        <w:rFonts w:ascii="Arial" w:hAnsi="Arial" w:hint="default"/>
      </w:rPr>
    </w:lvl>
    <w:lvl w:ilvl="6" w:tplc="429A9BF2" w:tentative="1">
      <w:start w:val="1"/>
      <w:numFmt w:val="bullet"/>
      <w:lvlText w:val="•"/>
      <w:lvlJc w:val="left"/>
      <w:pPr>
        <w:tabs>
          <w:tab w:val="num" w:pos="5040"/>
        </w:tabs>
        <w:ind w:left="5040" w:hanging="360"/>
      </w:pPr>
      <w:rPr>
        <w:rFonts w:ascii="Arial" w:hAnsi="Arial" w:hint="default"/>
      </w:rPr>
    </w:lvl>
    <w:lvl w:ilvl="7" w:tplc="01AC9630" w:tentative="1">
      <w:start w:val="1"/>
      <w:numFmt w:val="bullet"/>
      <w:lvlText w:val="•"/>
      <w:lvlJc w:val="left"/>
      <w:pPr>
        <w:tabs>
          <w:tab w:val="num" w:pos="5760"/>
        </w:tabs>
        <w:ind w:left="5760" w:hanging="360"/>
      </w:pPr>
      <w:rPr>
        <w:rFonts w:ascii="Arial" w:hAnsi="Arial" w:hint="default"/>
      </w:rPr>
    </w:lvl>
    <w:lvl w:ilvl="8" w:tplc="3882357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7613CD2"/>
    <w:multiLevelType w:val="hybridMultilevel"/>
    <w:tmpl w:val="0CF0BB3A"/>
    <w:lvl w:ilvl="0" w:tplc="150827AC">
      <w:start w:val="1"/>
      <w:numFmt w:val="decimal"/>
      <w:lvlText w:val="%1."/>
      <w:lvlJc w:val="left"/>
      <w:pPr>
        <w:tabs>
          <w:tab w:val="num" w:pos="720"/>
        </w:tabs>
        <w:ind w:left="720" w:hanging="360"/>
      </w:pPr>
    </w:lvl>
    <w:lvl w:ilvl="1" w:tplc="7166CD38" w:tentative="1">
      <w:start w:val="1"/>
      <w:numFmt w:val="decimal"/>
      <w:lvlText w:val="%2."/>
      <w:lvlJc w:val="left"/>
      <w:pPr>
        <w:tabs>
          <w:tab w:val="num" w:pos="1440"/>
        </w:tabs>
        <w:ind w:left="1440" w:hanging="360"/>
      </w:pPr>
    </w:lvl>
    <w:lvl w:ilvl="2" w:tplc="6590C27E" w:tentative="1">
      <w:start w:val="1"/>
      <w:numFmt w:val="decimal"/>
      <w:lvlText w:val="%3."/>
      <w:lvlJc w:val="left"/>
      <w:pPr>
        <w:tabs>
          <w:tab w:val="num" w:pos="2160"/>
        </w:tabs>
        <w:ind w:left="2160" w:hanging="360"/>
      </w:pPr>
    </w:lvl>
    <w:lvl w:ilvl="3" w:tplc="DAEABB6A" w:tentative="1">
      <w:start w:val="1"/>
      <w:numFmt w:val="decimal"/>
      <w:lvlText w:val="%4."/>
      <w:lvlJc w:val="left"/>
      <w:pPr>
        <w:tabs>
          <w:tab w:val="num" w:pos="2880"/>
        </w:tabs>
        <w:ind w:left="2880" w:hanging="360"/>
      </w:pPr>
    </w:lvl>
    <w:lvl w:ilvl="4" w:tplc="743CC316" w:tentative="1">
      <w:start w:val="1"/>
      <w:numFmt w:val="decimal"/>
      <w:lvlText w:val="%5."/>
      <w:lvlJc w:val="left"/>
      <w:pPr>
        <w:tabs>
          <w:tab w:val="num" w:pos="3600"/>
        </w:tabs>
        <w:ind w:left="3600" w:hanging="360"/>
      </w:pPr>
    </w:lvl>
    <w:lvl w:ilvl="5" w:tplc="B6205870" w:tentative="1">
      <w:start w:val="1"/>
      <w:numFmt w:val="decimal"/>
      <w:lvlText w:val="%6."/>
      <w:lvlJc w:val="left"/>
      <w:pPr>
        <w:tabs>
          <w:tab w:val="num" w:pos="4320"/>
        </w:tabs>
        <w:ind w:left="4320" w:hanging="360"/>
      </w:pPr>
    </w:lvl>
    <w:lvl w:ilvl="6" w:tplc="51AE11DA" w:tentative="1">
      <w:start w:val="1"/>
      <w:numFmt w:val="decimal"/>
      <w:lvlText w:val="%7."/>
      <w:lvlJc w:val="left"/>
      <w:pPr>
        <w:tabs>
          <w:tab w:val="num" w:pos="5040"/>
        </w:tabs>
        <w:ind w:left="5040" w:hanging="360"/>
      </w:pPr>
    </w:lvl>
    <w:lvl w:ilvl="7" w:tplc="13FCFD3C" w:tentative="1">
      <w:start w:val="1"/>
      <w:numFmt w:val="decimal"/>
      <w:lvlText w:val="%8."/>
      <w:lvlJc w:val="left"/>
      <w:pPr>
        <w:tabs>
          <w:tab w:val="num" w:pos="5760"/>
        </w:tabs>
        <w:ind w:left="5760" w:hanging="360"/>
      </w:pPr>
    </w:lvl>
    <w:lvl w:ilvl="8" w:tplc="B21EA8F8" w:tentative="1">
      <w:start w:val="1"/>
      <w:numFmt w:val="decimal"/>
      <w:lvlText w:val="%9."/>
      <w:lvlJc w:val="left"/>
      <w:pPr>
        <w:tabs>
          <w:tab w:val="num" w:pos="6480"/>
        </w:tabs>
        <w:ind w:left="6480" w:hanging="360"/>
      </w:pPr>
    </w:lvl>
  </w:abstractNum>
  <w:abstractNum w:abstractNumId="23" w15:restartNumberingAfterBreak="0">
    <w:nsid w:val="6765577F"/>
    <w:multiLevelType w:val="hybridMultilevel"/>
    <w:tmpl w:val="BBB23B48"/>
    <w:lvl w:ilvl="0" w:tplc="AC68AD1A">
      <w:start w:val="1"/>
      <w:numFmt w:val="bullet"/>
      <w:lvlText w:val="•"/>
      <w:lvlJc w:val="left"/>
      <w:pPr>
        <w:tabs>
          <w:tab w:val="num" w:pos="720"/>
        </w:tabs>
        <w:ind w:left="720" w:hanging="360"/>
      </w:pPr>
      <w:rPr>
        <w:rFonts w:ascii="Arial" w:hAnsi="Arial" w:hint="default"/>
      </w:rPr>
    </w:lvl>
    <w:lvl w:ilvl="1" w:tplc="655AC03A" w:tentative="1">
      <w:start w:val="1"/>
      <w:numFmt w:val="bullet"/>
      <w:lvlText w:val="•"/>
      <w:lvlJc w:val="left"/>
      <w:pPr>
        <w:tabs>
          <w:tab w:val="num" w:pos="1440"/>
        </w:tabs>
        <w:ind w:left="1440" w:hanging="360"/>
      </w:pPr>
      <w:rPr>
        <w:rFonts w:ascii="Arial" w:hAnsi="Arial" w:hint="default"/>
      </w:rPr>
    </w:lvl>
    <w:lvl w:ilvl="2" w:tplc="FE6873AE" w:tentative="1">
      <w:start w:val="1"/>
      <w:numFmt w:val="bullet"/>
      <w:lvlText w:val="•"/>
      <w:lvlJc w:val="left"/>
      <w:pPr>
        <w:tabs>
          <w:tab w:val="num" w:pos="2160"/>
        </w:tabs>
        <w:ind w:left="2160" w:hanging="360"/>
      </w:pPr>
      <w:rPr>
        <w:rFonts w:ascii="Arial" w:hAnsi="Arial" w:hint="default"/>
      </w:rPr>
    </w:lvl>
    <w:lvl w:ilvl="3" w:tplc="59208412" w:tentative="1">
      <w:start w:val="1"/>
      <w:numFmt w:val="bullet"/>
      <w:lvlText w:val="•"/>
      <w:lvlJc w:val="left"/>
      <w:pPr>
        <w:tabs>
          <w:tab w:val="num" w:pos="2880"/>
        </w:tabs>
        <w:ind w:left="2880" w:hanging="360"/>
      </w:pPr>
      <w:rPr>
        <w:rFonts w:ascii="Arial" w:hAnsi="Arial" w:hint="default"/>
      </w:rPr>
    </w:lvl>
    <w:lvl w:ilvl="4" w:tplc="1B46B48C" w:tentative="1">
      <w:start w:val="1"/>
      <w:numFmt w:val="bullet"/>
      <w:lvlText w:val="•"/>
      <w:lvlJc w:val="left"/>
      <w:pPr>
        <w:tabs>
          <w:tab w:val="num" w:pos="3600"/>
        </w:tabs>
        <w:ind w:left="3600" w:hanging="360"/>
      </w:pPr>
      <w:rPr>
        <w:rFonts w:ascii="Arial" w:hAnsi="Arial" w:hint="default"/>
      </w:rPr>
    </w:lvl>
    <w:lvl w:ilvl="5" w:tplc="02EA0FDE" w:tentative="1">
      <w:start w:val="1"/>
      <w:numFmt w:val="bullet"/>
      <w:lvlText w:val="•"/>
      <w:lvlJc w:val="left"/>
      <w:pPr>
        <w:tabs>
          <w:tab w:val="num" w:pos="4320"/>
        </w:tabs>
        <w:ind w:left="4320" w:hanging="360"/>
      </w:pPr>
      <w:rPr>
        <w:rFonts w:ascii="Arial" w:hAnsi="Arial" w:hint="default"/>
      </w:rPr>
    </w:lvl>
    <w:lvl w:ilvl="6" w:tplc="1D860DEE" w:tentative="1">
      <w:start w:val="1"/>
      <w:numFmt w:val="bullet"/>
      <w:lvlText w:val="•"/>
      <w:lvlJc w:val="left"/>
      <w:pPr>
        <w:tabs>
          <w:tab w:val="num" w:pos="5040"/>
        </w:tabs>
        <w:ind w:left="5040" w:hanging="360"/>
      </w:pPr>
      <w:rPr>
        <w:rFonts w:ascii="Arial" w:hAnsi="Arial" w:hint="default"/>
      </w:rPr>
    </w:lvl>
    <w:lvl w:ilvl="7" w:tplc="CA8628BC" w:tentative="1">
      <w:start w:val="1"/>
      <w:numFmt w:val="bullet"/>
      <w:lvlText w:val="•"/>
      <w:lvlJc w:val="left"/>
      <w:pPr>
        <w:tabs>
          <w:tab w:val="num" w:pos="5760"/>
        </w:tabs>
        <w:ind w:left="5760" w:hanging="360"/>
      </w:pPr>
      <w:rPr>
        <w:rFonts w:ascii="Arial" w:hAnsi="Arial" w:hint="default"/>
      </w:rPr>
    </w:lvl>
    <w:lvl w:ilvl="8" w:tplc="1674DC9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8FD055A"/>
    <w:multiLevelType w:val="hybridMultilevel"/>
    <w:tmpl w:val="F490C33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5" w15:restartNumberingAfterBreak="0">
    <w:nsid w:val="6EA509EA"/>
    <w:multiLevelType w:val="hybridMultilevel"/>
    <w:tmpl w:val="14E0161E"/>
    <w:lvl w:ilvl="0" w:tplc="9F3AF1EC">
      <w:numFmt w:val="bullet"/>
      <w:lvlText w:val="-"/>
      <w:lvlJc w:val="left"/>
      <w:pPr>
        <w:ind w:left="360" w:hanging="360"/>
      </w:pPr>
      <w:rPr>
        <w:rFonts w:ascii="Calibri Light" w:eastAsia="Times New Roman" w:hAnsi="Calibri Light" w:cs="Calibri Ligh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0DE4F03"/>
    <w:multiLevelType w:val="hybridMultilevel"/>
    <w:tmpl w:val="D458DCC2"/>
    <w:lvl w:ilvl="0" w:tplc="ABAA372A">
      <w:start w:val="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55767A3"/>
    <w:multiLevelType w:val="hybridMultilevel"/>
    <w:tmpl w:val="50648AEA"/>
    <w:lvl w:ilvl="0" w:tplc="A25066A6">
      <w:start w:val="1"/>
      <w:numFmt w:val="bullet"/>
      <w:lvlText w:val="•"/>
      <w:lvlJc w:val="left"/>
      <w:pPr>
        <w:tabs>
          <w:tab w:val="num" w:pos="720"/>
        </w:tabs>
        <w:ind w:left="720" w:hanging="360"/>
      </w:pPr>
      <w:rPr>
        <w:rFonts w:ascii="Arial" w:hAnsi="Arial" w:hint="default"/>
      </w:rPr>
    </w:lvl>
    <w:lvl w:ilvl="1" w:tplc="535E907A" w:tentative="1">
      <w:start w:val="1"/>
      <w:numFmt w:val="bullet"/>
      <w:lvlText w:val="•"/>
      <w:lvlJc w:val="left"/>
      <w:pPr>
        <w:tabs>
          <w:tab w:val="num" w:pos="1440"/>
        </w:tabs>
        <w:ind w:left="1440" w:hanging="360"/>
      </w:pPr>
      <w:rPr>
        <w:rFonts w:ascii="Arial" w:hAnsi="Arial" w:hint="default"/>
      </w:rPr>
    </w:lvl>
    <w:lvl w:ilvl="2" w:tplc="414C932A" w:tentative="1">
      <w:start w:val="1"/>
      <w:numFmt w:val="bullet"/>
      <w:lvlText w:val="•"/>
      <w:lvlJc w:val="left"/>
      <w:pPr>
        <w:tabs>
          <w:tab w:val="num" w:pos="2160"/>
        </w:tabs>
        <w:ind w:left="2160" w:hanging="360"/>
      </w:pPr>
      <w:rPr>
        <w:rFonts w:ascii="Arial" w:hAnsi="Arial" w:hint="default"/>
      </w:rPr>
    </w:lvl>
    <w:lvl w:ilvl="3" w:tplc="21BC9A5A" w:tentative="1">
      <w:start w:val="1"/>
      <w:numFmt w:val="bullet"/>
      <w:lvlText w:val="•"/>
      <w:lvlJc w:val="left"/>
      <w:pPr>
        <w:tabs>
          <w:tab w:val="num" w:pos="2880"/>
        </w:tabs>
        <w:ind w:left="2880" w:hanging="360"/>
      </w:pPr>
      <w:rPr>
        <w:rFonts w:ascii="Arial" w:hAnsi="Arial" w:hint="default"/>
      </w:rPr>
    </w:lvl>
    <w:lvl w:ilvl="4" w:tplc="1DC8C3B0" w:tentative="1">
      <w:start w:val="1"/>
      <w:numFmt w:val="bullet"/>
      <w:lvlText w:val="•"/>
      <w:lvlJc w:val="left"/>
      <w:pPr>
        <w:tabs>
          <w:tab w:val="num" w:pos="3600"/>
        </w:tabs>
        <w:ind w:left="3600" w:hanging="360"/>
      </w:pPr>
      <w:rPr>
        <w:rFonts w:ascii="Arial" w:hAnsi="Arial" w:hint="default"/>
      </w:rPr>
    </w:lvl>
    <w:lvl w:ilvl="5" w:tplc="D3249644" w:tentative="1">
      <w:start w:val="1"/>
      <w:numFmt w:val="bullet"/>
      <w:lvlText w:val="•"/>
      <w:lvlJc w:val="left"/>
      <w:pPr>
        <w:tabs>
          <w:tab w:val="num" w:pos="4320"/>
        </w:tabs>
        <w:ind w:left="4320" w:hanging="360"/>
      </w:pPr>
      <w:rPr>
        <w:rFonts w:ascii="Arial" w:hAnsi="Arial" w:hint="default"/>
      </w:rPr>
    </w:lvl>
    <w:lvl w:ilvl="6" w:tplc="3FFACD3C" w:tentative="1">
      <w:start w:val="1"/>
      <w:numFmt w:val="bullet"/>
      <w:lvlText w:val="•"/>
      <w:lvlJc w:val="left"/>
      <w:pPr>
        <w:tabs>
          <w:tab w:val="num" w:pos="5040"/>
        </w:tabs>
        <w:ind w:left="5040" w:hanging="360"/>
      </w:pPr>
      <w:rPr>
        <w:rFonts w:ascii="Arial" w:hAnsi="Arial" w:hint="default"/>
      </w:rPr>
    </w:lvl>
    <w:lvl w:ilvl="7" w:tplc="02AE4BF4" w:tentative="1">
      <w:start w:val="1"/>
      <w:numFmt w:val="bullet"/>
      <w:lvlText w:val="•"/>
      <w:lvlJc w:val="left"/>
      <w:pPr>
        <w:tabs>
          <w:tab w:val="num" w:pos="5760"/>
        </w:tabs>
        <w:ind w:left="5760" w:hanging="360"/>
      </w:pPr>
      <w:rPr>
        <w:rFonts w:ascii="Arial" w:hAnsi="Arial" w:hint="default"/>
      </w:rPr>
    </w:lvl>
    <w:lvl w:ilvl="8" w:tplc="2FF2D88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9FB636A"/>
    <w:multiLevelType w:val="hybridMultilevel"/>
    <w:tmpl w:val="4454BAA0"/>
    <w:lvl w:ilvl="0" w:tplc="3A1A42B8">
      <w:start w:val="1"/>
      <w:numFmt w:val="bullet"/>
      <w:lvlText w:val="•"/>
      <w:lvlJc w:val="left"/>
      <w:pPr>
        <w:tabs>
          <w:tab w:val="num" w:pos="720"/>
        </w:tabs>
        <w:ind w:left="720" w:hanging="360"/>
      </w:pPr>
      <w:rPr>
        <w:rFonts w:ascii="Times New Roman" w:hAnsi="Times New Roman" w:hint="default"/>
      </w:rPr>
    </w:lvl>
    <w:lvl w:ilvl="1" w:tplc="E692F104" w:tentative="1">
      <w:start w:val="1"/>
      <w:numFmt w:val="bullet"/>
      <w:lvlText w:val="•"/>
      <w:lvlJc w:val="left"/>
      <w:pPr>
        <w:tabs>
          <w:tab w:val="num" w:pos="1440"/>
        </w:tabs>
        <w:ind w:left="1440" w:hanging="360"/>
      </w:pPr>
      <w:rPr>
        <w:rFonts w:ascii="Times New Roman" w:hAnsi="Times New Roman" w:hint="default"/>
      </w:rPr>
    </w:lvl>
    <w:lvl w:ilvl="2" w:tplc="B2446C56" w:tentative="1">
      <w:start w:val="1"/>
      <w:numFmt w:val="bullet"/>
      <w:lvlText w:val="•"/>
      <w:lvlJc w:val="left"/>
      <w:pPr>
        <w:tabs>
          <w:tab w:val="num" w:pos="2160"/>
        </w:tabs>
        <w:ind w:left="2160" w:hanging="360"/>
      </w:pPr>
      <w:rPr>
        <w:rFonts w:ascii="Times New Roman" w:hAnsi="Times New Roman" w:hint="default"/>
      </w:rPr>
    </w:lvl>
    <w:lvl w:ilvl="3" w:tplc="AE4AC440" w:tentative="1">
      <w:start w:val="1"/>
      <w:numFmt w:val="bullet"/>
      <w:lvlText w:val="•"/>
      <w:lvlJc w:val="left"/>
      <w:pPr>
        <w:tabs>
          <w:tab w:val="num" w:pos="2880"/>
        </w:tabs>
        <w:ind w:left="2880" w:hanging="360"/>
      </w:pPr>
      <w:rPr>
        <w:rFonts w:ascii="Times New Roman" w:hAnsi="Times New Roman" w:hint="default"/>
      </w:rPr>
    </w:lvl>
    <w:lvl w:ilvl="4" w:tplc="66124D80" w:tentative="1">
      <w:start w:val="1"/>
      <w:numFmt w:val="bullet"/>
      <w:lvlText w:val="•"/>
      <w:lvlJc w:val="left"/>
      <w:pPr>
        <w:tabs>
          <w:tab w:val="num" w:pos="3600"/>
        </w:tabs>
        <w:ind w:left="3600" w:hanging="360"/>
      </w:pPr>
      <w:rPr>
        <w:rFonts w:ascii="Times New Roman" w:hAnsi="Times New Roman" w:hint="default"/>
      </w:rPr>
    </w:lvl>
    <w:lvl w:ilvl="5" w:tplc="842272CA" w:tentative="1">
      <w:start w:val="1"/>
      <w:numFmt w:val="bullet"/>
      <w:lvlText w:val="•"/>
      <w:lvlJc w:val="left"/>
      <w:pPr>
        <w:tabs>
          <w:tab w:val="num" w:pos="4320"/>
        </w:tabs>
        <w:ind w:left="4320" w:hanging="360"/>
      </w:pPr>
      <w:rPr>
        <w:rFonts w:ascii="Times New Roman" w:hAnsi="Times New Roman" w:hint="default"/>
      </w:rPr>
    </w:lvl>
    <w:lvl w:ilvl="6" w:tplc="35648CEA" w:tentative="1">
      <w:start w:val="1"/>
      <w:numFmt w:val="bullet"/>
      <w:lvlText w:val="•"/>
      <w:lvlJc w:val="left"/>
      <w:pPr>
        <w:tabs>
          <w:tab w:val="num" w:pos="5040"/>
        </w:tabs>
        <w:ind w:left="5040" w:hanging="360"/>
      </w:pPr>
      <w:rPr>
        <w:rFonts w:ascii="Times New Roman" w:hAnsi="Times New Roman" w:hint="default"/>
      </w:rPr>
    </w:lvl>
    <w:lvl w:ilvl="7" w:tplc="9126DD12" w:tentative="1">
      <w:start w:val="1"/>
      <w:numFmt w:val="bullet"/>
      <w:lvlText w:val="•"/>
      <w:lvlJc w:val="left"/>
      <w:pPr>
        <w:tabs>
          <w:tab w:val="num" w:pos="5760"/>
        </w:tabs>
        <w:ind w:left="5760" w:hanging="360"/>
      </w:pPr>
      <w:rPr>
        <w:rFonts w:ascii="Times New Roman" w:hAnsi="Times New Roman" w:hint="default"/>
      </w:rPr>
    </w:lvl>
    <w:lvl w:ilvl="8" w:tplc="7C16C17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C2B4724"/>
    <w:multiLevelType w:val="hybridMultilevel"/>
    <w:tmpl w:val="A274A7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65382314">
    <w:abstractNumId w:val="3"/>
  </w:num>
  <w:num w:numId="2" w16cid:durableId="1910113698">
    <w:abstractNumId w:val="9"/>
  </w:num>
  <w:num w:numId="3" w16cid:durableId="405613309">
    <w:abstractNumId w:val="26"/>
  </w:num>
  <w:num w:numId="4" w16cid:durableId="240213499">
    <w:abstractNumId w:val="15"/>
  </w:num>
  <w:num w:numId="5" w16cid:durableId="740492638">
    <w:abstractNumId w:val="5"/>
  </w:num>
  <w:num w:numId="6" w16cid:durableId="211576891">
    <w:abstractNumId w:val="24"/>
  </w:num>
  <w:num w:numId="7" w16cid:durableId="1918248069">
    <w:abstractNumId w:val="7"/>
  </w:num>
  <w:num w:numId="8" w16cid:durableId="1159419045">
    <w:abstractNumId w:val="29"/>
  </w:num>
  <w:num w:numId="9" w16cid:durableId="1798374138">
    <w:abstractNumId w:val="6"/>
  </w:num>
  <w:num w:numId="10" w16cid:durableId="1530677457">
    <w:abstractNumId w:val="25"/>
  </w:num>
  <w:num w:numId="11" w16cid:durableId="984315201">
    <w:abstractNumId w:val="2"/>
  </w:num>
  <w:num w:numId="12" w16cid:durableId="7762198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5103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389165">
    <w:abstractNumId w:val="16"/>
  </w:num>
  <w:num w:numId="15" w16cid:durableId="1323195451">
    <w:abstractNumId w:val="13"/>
  </w:num>
  <w:num w:numId="16" w16cid:durableId="467165265">
    <w:abstractNumId w:val="10"/>
  </w:num>
  <w:num w:numId="17" w16cid:durableId="676033370">
    <w:abstractNumId w:val="12"/>
  </w:num>
  <w:num w:numId="18" w16cid:durableId="1742554342">
    <w:abstractNumId w:val="18"/>
  </w:num>
  <w:num w:numId="19" w16cid:durableId="613287013">
    <w:abstractNumId w:val="21"/>
  </w:num>
  <w:num w:numId="20" w16cid:durableId="8067070">
    <w:abstractNumId w:val="11"/>
  </w:num>
  <w:num w:numId="21" w16cid:durableId="825434180">
    <w:abstractNumId w:val="0"/>
  </w:num>
  <w:num w:numId="22" w16cid:durableId="1082681076">
    <w:abstractNumId w:val="23"/>
  </w:num>
  <w:num w:numId="23" w16cid:durableId="1901165520">
    <w:abstractNumId w:val="28"/>
  </w:num>
  <w:num w:numId="24" w16cid:durableId="1991010767">
    <w:abstractNumId w:val="22"/>
  </w:num>
  <w:num w:numId="25" w16cid:durableId="1542282676">
    <w:abstractNumId w:val="17"/>
  </w:num>
  <w:num w:numId="26" w16cid:durableId="986973659">
    <w:abstractNumId w:val="14"/>
  </w:num>
  <w:num w:numId="27" w16cid:durableId="815336034">
    <w:abstractNumId w:val="27"/>
  </w:num>
  <w:num w:numId="28" w16cid:durableId="1895651473">
    <w:abstractNumId w:val="8"/>
  </w:num>
  <w:num w:numId="29" w16cid:durableId="1858687908">
    <w:abstractNumId w:val="4"/>
  </w:num>
  <w:num w:numId="30" w16cid:durableId="1758164458">
    <w:abstractNumId w:val="20"/>
  </w:num>
  <w:num w:numId="31" w16cid:durableId="1425541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954"/>
    <w:rsid w:val="00001C42"/>
    <w:rsid w:val="00001E72"/>
    <w:rsid w:val="0000226C"/>
    <w:rsid w:val="0000363D"/>
    <w:rsid w:val="00004596"/>
    <w:rsid w:val="00004B72"/>
    <w:rsid w:val="00005419"/>
    <w:rsid w:val="000054D2"/>
    <w:rsid w:val="00005B3F"/>
    <w:rsid w:val="00005DB1"/>
    <w:rsid w:val="00006511"/>
    <w:rsid w:val="00006C79"/>
    <w:rsid w:val="000070E2"/>
    <w:rsid w:val="00010564"/>
    <w:rsid w:val="000118C2"/>
    <w:rsid w:val="00011AF5"/>
    <w:rsid w:val="0001227F"/>
    <w:rsid w:val="00012832"/>
    <w:rsid w:val="00015933"/>
    <w:rsid w:val="000159E5"/>
    <w:rsid w:val="0001656C"/>
    <w:rsid w:val="000175B3"/>
    <w:rsid w:val="000176E6"/>
    <w:rsid w:val="000202BA"/>
    <w:rsid w:val="00020581"/>
    <w:rsid w:val="00020ED0"/>
    <w:rsid w:val="00020FE5"/>
    <w:rsid w:val="000213CC"/>
    <w:rsid w:val="000221E0"/>
    <w:rsid w:val="00023E9F"/>
    <w:rsid w:val="00024480"/>
    <w:rsid w:val="0002473E"/>
    <w:rsid w:val="00025805"/>
    <w:rsid w:val="000264B4"/>
    <w:rsid w:val="000265A3"/>
    <w:rsid w:val="00027099"/>
    <w:rsid w:val="00027B22"/>
    <w:rsid w:val="00027BAD"/>
    <w:rsid w:val="00031418"/>
    <w:rsid w:val="00031478"/>
    <w:rsid w:val="00035040"/>
    <w:rsid w:val="00036FAB"/>
    <w:rsid w:val="00037707"/>
    <w:rsid w:val="00037C17"/>
    <w:rsid w:val="00040FA4"/>
    <w:rsid w:val="00041985"/>
    <w:rsid w:val="000427B8"/>
    <w:rsid w:val="00043889"/>
    <w:rsid w:val="00043DB1"/>
    <w:rsid w:val="00044002"/>
    <w:rsid w:val="000444EA"/>
    <w:rsid w:val="000458CD"/>
    <w:rsid w:val="0004612A"/>
    <w:rsid w:val="00047DF1"/>
    <w:rsid w:val="000509DD"/>
    <w:rsid w:val="00050AF7"/>
    <w:rsid w:val="00051022"/>
    <w:rsid w:val="00051A5B"/>
    <w:rsid w:val="00052C6A"/>
    <w:rsid w:val="00053780"/>
    <w:rsid w:val="00053EE4"/>
    <w:rsid w:val="00055000"/>
    <w:rsid w:val="000559DE"/>
    <w:rsid w:val="00055CBC"/>
    <w:rsid w:val="000563EB"/>
    <w:rsid w:val="00056A4F"/>
    <w:rsid w:val="00057396"/>
    <w:rsid w:val="000606C6"/>
    <w:rsid w:val="00060D7F"/>
    <w:rsid w:val="00063DEB"/>
    <w:rsid w:val="00066F52"/>
    <w:rsid w:val="0006711A"/>
    <w:rsid w:val="00072447"/>
    <w:rsid w:val="00072DB9"/>
    <w:rsid w:val="000733AD"/>
    <w:rsid w:val="0007445A"/>
    <w:rsid w:val="00074C45"/>
    <w:rsid w:val="000752D6"/>
    <w:rsid w:val="00075932"/>
    <w:rsid w:val="0007638A"/>
    <w:rsid w:val="00076C37"/>
    <w:rsid w:val="000770D8"/>
    <w:rsid w:val="00080102"/>
    <w:rsid w:val="00081E35"/>
    <w:rsid w:val="00083D1A"/>
    <w:rsid w:val="000841C2"/>
    <w:rsid w:val="000842AE"/>
    <w:rsid w:val="00084CF9"/>
    <w:rsid w:val="00086094"/>
    <w:rsid w:val="00086BE0"/>
    <w:rsid w:val="0008743D"/>
    <w:rsid w:val="000900C9"/>
    <w:rsid w:val="0009101B"/>
    <w:rsid w:val="00091B3B"/>
    <w:rsid w:val="00093324"/>
    <w:rsid w:val="0009491E"/>
    <w:rsid w:val="00095055"/>
    <w:rsid w:val="0009562F"/>
    <w:rsid w:val="00097293"/>
    <w:rsid w:val="000976B9"/>
    <w:rsid w:val="00097716"/>
    <w:rsid w:val="00097B42"/>
    <w:rsid w:val="000A019A"/>
    <w:rsid w:val="000A0285"/>
    <w:rsid w:val="000A0ECE"/>
    <w:rsid w:val="000A16EA"/>
    <w:rsid w:val="000A2779"/>
    <w:rsid w:val="000A29DE"/>
    <w:rsid w:val="000A2C3B"/>
    <w:rsid w:val="000A3ECF"/>
    <w:rsid w:val="000A4D59"/>
    <w:rsid w:val="000A5220"/>
    <w:rsid w:val="000A549A"/>
    <w:rsid w:val="000A6481"/>
    <w:rsid w:val="000A664C"/>
    <w:rsid w:val="000B064D"/>
    <w:rsid w:val="000B083D"/>
    <w:rsid w:val="000B0992"/>
    <w:rsid w:val="000B2005"/>
    <w:rsid w:val="000B32E2"/>
    <w:rsid w:val="000B3BFA"/>
    <w:rsid w:val="000B4C8F"/>
    <w:rsid w:val="000B510F"/>
    <w:rsid w:val="000B51A4"/>
    <w:rsid w:val="000B70C8"/>
    <w:rsid w:val="000B79A4"/>
    <w:rsid w:val="000C045B"/>
    <w:rsid w:val="000C11CC"/>
    <w:rsid w:val="000C12D3"/>
    <w:rsid w:val="000C12F1"/>
    <w:rsid w:val="000C1E4E"/>
    <w:rsid w:val="000C234E"/>
    <w:rsid w:val="000C3211"/>
    <w:rsid w:val="000C4910"/>
    <w:rsid w:val="000C502F"/>
    <w:rsid w:val="000C5651"/>
    <w:rsid w:val="000C6349"/>
    <w:rsid w:val="000C6834"/>
    <w:rsid w:val="000C78A3"/>
    <w:rsid w:val="000D011A"/>
    <w:rsid w:val="000D02A4"/>
    <w:rsid w:val="000D0E54"/>
    <w:rsid w:val="000D1749"/>
    <w:rsid w:val="000D1D61"/>
    <w:rsid w:val="000D32BB"/>
    <w:rsid w:val="000D49D0"/>
    <w:rsid w:val="000D4F26"/>
    <w:rsid w:val="000D56F1"/>
    <w:rsid w:val="000D5D2B"/>
    <w:rsid w:val="000D684D"/>
    <w:rsid w:val="000D6EF9"/>
    <w:rsid w:val="000E087A"/>
    <w:rsid w:val="000E0B50"/>
    <w:rsid w:val="000E0C43"/>
    <w:rsid w:val="000E1975"/>
    <w:rsid w:val="000E2B4E"/>
    <w:rsid w:val="000E2FCE"/>
    <w:rsid w:val="000E3B1C"/>
    <w:rsid w:val="000E42A4"/>
    <w:rsid w:val="000E4810"/>
    <w:rsid w:val="000E4ABC"/>
    <w:rsid w:val="000E563F"/>
    <w:rsid w:val="000E59CE"/>
    <w:rsid w:val="000E5F43"/>
    <w:rsid w:val="000E7D75"/>
    <w:rsid w:val="000F02C1"/>
    <w:rsid w:val="000F02FD"/>
    <w:rsid w:val="000F0342"/>
    <w:rsid w:val="000F0636"/>
    <w:rsid w:val="000F0A03"/>
    <w:rsid w:val="000F0B04"/>
    <w:rsid w:val="000F30E9"/>
    <w:rsid w:val="000F3195"/>
    <w:rsid w:val="000F426C"/>
    <w:rsid w:val="000F4318"/>
    <w:rsid w:val="000F617D"/>
    <w:rsid w:val="000F61F5"/>
    <w:rsid w:val="000F680C"/>
    <w:rsid w:val="000F70CA"/>
    <w:rsid w:val="00100269"/>
    <w:rsid w:val="001002CD"/>
    <w:rsid w:val="00100394"/>
    <w:rsid w:val="0010159F"/>
    <w:rsid w:val="00102262"/>
    <w:rsid w:val="0010268F"/>
    <w:rsid w:val="0010277A"/>
    <w:rsid w:val="00102D9A"/>
    <w:rsid w:val="00103662"/>
    <w:rsid w:val="0010371D"/>
    <w:rsid w:val="00105514"/>
    <w:rsid w:val="00105918"/>
    <w:rsid w:val="00105ACC"/>
    <w:rsid w:val="00105BE4"/>
    <w:rsid w:val="00105DB5"/>
    <w:rsid w:val="00106451"/>
    <w:rsid w:val="00106D78"/>
    <w:rsid w:val="00106F70"/>
    <w:rsid w:val="00107915"/>
    <w:rsid w:val="001102C6"/>
    <w:rsid w:val="001104C5"/>
    <w:rsid w:val="001106DD"/>
    <w:rsid w:val="00110C31"/>
    <w:rsid w:val="00110E3B"/>
    <w:rsid w:val="0011113B"/>
    <w:rsid w:val="001126B2"/>
    <w:rsid w:val="00112AA1"/>
    <w:rsid w:val="00112C5A"/>
    <w:rsid w:val="00112D3E"/>
    <w:rsid w:val="00112E70"/>
    <w:rsid w:val="0011443F"/>
    <w:rsid w:val="0011553C"/>
    <w:rsid w:val="00115D53"/>
    <w:rsid w:val="00115DDC"/>
    <w:rsid w:val="00116003"/>
    <w:rsid w:val="00116F4B"/>
    <w:rsid w:val="001177C9"/>
    <w:rsid w:val="00117860"/>
    <w:rsid w:val="001209DC"/>
    <w:rsid w:val="00120FB7"/>
    <w:rsid w:val="001226BC"/>
    <w:rsid w:val="00122810"/>
    <w:rsid w:val="00122CC4"/>
    <w:rsid w:val="0012351B"/>
    <w:rsid w:val="00123FF9"/>
    <w:rsid w:val="00124EF9"/>
    <w:rsid w:val="001253CC"/>
    <w:rsid w:val="001259D2"/>
    <w:rsid w:val="00126A7F"/>
    <w:rsid w:val="001271C2"/>
    <w:rsid w:val="00130063"/>
    <w:rsid w:val="00130359"/>
    <w:rsid w:val="001306A2"/>
    <w:rsid w:val="00131D36"/>
    <w:rsid w:val="00131E94"/>
    <w:rsid w:val="00132159"/>
    <w:rsid w:val="00132EE9"/>
    <w:rsid w:val="0013407D"/>
    <w:rsid w:val="001348D9"/>
    <w:rsid w:val="00134A41"/>
    <w:rsid w:val="00134F6E"/>
    <w:rsid w:val="001361CA"/>
    <w:rsid w:val="00136519"/>
    <w:rsid w:val="0013679D"/>
    <w:rsid w:val="00136825"/>
    <w:rsid w:val="00136D3A"/>
    <w:rsid w:val="00136EC9"/>
    <w:rsid w:val="00136FC5"/>
    <w:rsid w:val="00136FC7"/>
    <w:rsid w:val="00137050"/>
    <w:rsid w:val="0013716D"/>
    <w:rsid w:val="00137560"/>
    <w:rsid w:val="00140854"/>
    <w:rsid w:val="00140E10"/>
    <w:rsid w:val="001438F4"/>
    <w:rsid w:val="00143BF5"/>
    <w:rsid w:val="00143DCC"/>
    <w:rsid w:val="00144794"/>
    <w:rsid w:val="00144D53"/>
    <w:rsid w:val="00144D9A"/>
    <w:rsid w:val="00145506"/>
    <w:rsid w:val="001457AA"/>
    <w:rsid w:val="00145E7A"/>
    <w:rsid w:val="00146F46"/>
    <w:rsid w:val="0015125A"/>
    <w:rsid w:val="00151A74"/>
    <w:rsid w:val="001526EE"/>
    <w:rsid w:val="0015278B"/>
    <w:rsid w:val="0015295E"/>
    <w:rsid w:val="00152A73"/>
    <w:rsid w:val="001534F6"/>
    <w:rsid w:val="00153692"/>
    <w:rsid w:val="00154B70"/>
    <w:rsid w:val="00154EE2"/>
    <w:rsid w:val="001553F8"/>
    <w:rsid w:val="00155A3F"/>
    <w:rsid w:val="00157080"/>
    <w:rsid w:val="001570E1"/>
    <w:rsid w:val="00157C6A"/>
    <w:rsid w:val="001605B3"/>
    <w:rsid w:val="001622C2"/>
    <w:rsid w:val="00162D23"/>
    <w:rsid w:val="001633ED"/>
    <w:rsid w:val="00163F5F"/>
    <w:rsid w:val="00165DDC"/>
    <w:rsid w:val="0016769F"/>
    <w:rsid w:val="00170298"/>
    <w:rsid w:val="00170CF6"/>
    <w:rsid w:val="001715A2"/>
    <w:rsid w:val="0017388B"/>
    <w:rsid w:val="00173D31"/>
    <w:rsid w:val="0017441E"/>
    <w:rsid w:val="0017486D"/>
    <w:rsid w:val="00175839"/>
    <w:rsid w:val="00175A85"/>
    <w:rsid w:val="00175E6C"/>
    <w:rsid w:val="00175FBC"/>
    <w:rsid w:val="00176669"/>
    <w:rsid w:val="001766FF"/>
    <w:rsid w:val="00176C20"/>
    <w:rsid w:val="00176DFC"/>
    <w:rsid w:val="00177598"/>
    <w:rsid w:val="00180856"/>
    <w:rsid w:val="001808FE"/>
    <w:rsid w:val="0018097B"/>
    <w:rsid w:val="00180A13"/>
    <w:rsid w:val="00182C97"/>
    <w:rsid w:val="00183066"/>
    <w:rsid w:val="001833C7"/>
    <w:rsid w:val="00183FB4"/>
    <w:rsid w:val="00184412"/>
    <w:rsid w:val="00186A72"/>
    <w:rsid w:val="001903B2"/>
    <w:rsid w:val="001906F3"/>
    <w:rsid w:val="00192933"/>
    <w:rsid w:val="001929FC"/>
    <w:rsid w:val="00195C6D"/>
    <w:rsid w:val="001961C5"/>
    <w:rsid w:val="00196F95"/>
    <w:rsid w:val="00197315"/>
    <w:rsid w:val="0019772B"/>
    <w:rsid w:val="001A05A9"/>
    <w:rsid w:val="001A2614"/>
    <w:rsid w:val="001A2623"/>
    <w:rsid w:val="001A463E"/>
    <w:rsid w:val="001A46CC"/>
    <w:rsid w:val="001A6304"/>
    <w:rsid w:val="001B1060"/>
    <w:rsid w:val="001B11F1"/>
    <w:rsid w:val="001B1467"/>
    <w:rsid w:val="001B1C5E"/>
    <w:rsid w:val="001B2B23"/>
    <w:rsid w:val="001B2E5E"/>
    <w:rsid w:val="001B3197"/>
    <w:rsid w:val="001B39D3"/>
    <w:rsid w:val="001B4DA8"/>
    <w:rsid w:val="001B59D5"/>
    <w:rsid w:val="001B59D9"/>
    <w:rsid w:val="001B5F14"/>
    <w:rsid w:val="001B6935"/>
    <w:rsid w:val="001B7154"/>
    <w:rsid w:val="001C091C"/>
    <w:rsid w:val="001C121C"/>
    <w:rsid w:val="001C150C"/>
    <w:rsid w:val="001C1FAA"/>
    <w:rsid w:val="001C2261"/>
    <w:rsid w:val="001C266E"/>
    <w:rsid w:val="001C280D"/>
    <w:rsid w:val="001C306A"/>
    <w:rsid w:val="001C49DC"/>
    <w:rsid w:val="001C6945"/>
    <w:rsid w:val="001C698F"/>
    <w:rsid w:val="001C7200"/>
    <w:rsid w:val="001C7CD3"/>
    <w:rsid w:val="001C7F88"/>
    <w:rsid w:val="001D12D6"/>
    <w:rsid w:val="001D169B"/>
    <w:rsid w:val="001D1B1C"/>
    <w:rsid w:val="001D2B76"/>
    <w:rsid w:val="001D2C14"/>
    <w:rsid w:val="001D2ECE"/>
    <w:rsid w:val="001D3292"/>
    <w:rsid w:val="001D39E5"/>
    <w:rsid w:val="001D3C90"/>
    <w:rsid w:val="001D43DB"/>
    <w:rsid w:val="001D474C"/>
    <w:rsid w:val="001D4A3B"/>
    <w:rsid w:val="001D5BB9"/>
    <w:rsid w:val="001D6B1A"/>
    <w:rsid w:val="001D7365"/>
    <w:rsid w:val="001D7DA5"/>
    <w:rsid w:val="001E15FD"/>
    <w:rsid w:val="001E1AED"/>
    <w:rsid w:val="001E27B8"/>
    <w:rsid w:val="001E31AB"/>
    <w:rsid w:val="001E3706"/>
    <w:rsid w:val="001E3B01"/>
    <w:rsid w:val="001E4032"/>
    <w:rsid w:val="001E432A"/>
    <w:rsid w:val="001E4370"/>
    <w:rsid w:val="001E4D27"/>
    <w:rsid w:val="001E5169"/>
    <w:rsid w:val="001E5571"/>
    <w:rsid w:val="001E60C5"/>
    <w:rsid w:val="001E6F5D"/>
    <w:rsid w:val="001E71FE"/>
    <w:rsid w:val="001F0819"/>
    <w:rsid w:val="001F1677"/>
    <w:rsid w:val="001F1C52"/>
    <w:rsid w:val="001F2A1F"/>
    <w:rsid w:val="001F3DF4"/>
    <w:rsid w:val="001F49EA"/>
    <w:rsid w:val="001F5CF7"/>
    <w:rsid w:val="001F64C3"/>
    <w:rsid w:val="001F6A78"/>
    <w:rsid w:val="001F6E8A"/>
    <w:rsid w:val="001F72D8"/>
    <w:rsid w:val="001F7B28"/>
    <w:rsid w:val="002010C8"/>
    <w:rsid w:val="0020111C"/>
    <w:rsid w:val="0020121A"/>
    <w:rsid w:val="00201DDA"/>
    <w:rsid w:val="002027D4"/>
    <w:rsid w:val="0020296D"/>
    <w:rsid w:val="00203021"/>
    <w:rsid w:val="00203302"/>
    <w:rsid w:val="00203A7B"/>
    <w:rsid w:val="00203F87"/>
    <w:rsid w:val="002045A5"/>
    <w:rsid w:val="0020488B"/>
    <w:rsid w:val="00204F09"/>
    <w:rsid w:val="0020667A"/>
    <w:rsid w:val="0020698C"/>
    <w:rsid w:val="00206F7E"/>
    <w:rsid w:val="00207AE7"/>
    <w:rsid w:val="00207BE5"/>
    <w:rsid w:val="00207CB1"/>
    <w:rsid w:val="002105A2"/>
    <w:rsid w:val="00210A9C"/>
    <w:rsid w:val="00211E6F"/>
    <w:rsid w:val="002128AF"/>
    <w:rsid w:val="002137B0"/>
    <w:rsid w:val="002138C0"/>
    <w:rsid w:val="002150BF"/>
    <w:rsid w:val="00215481"/>
    <w:rsid w:val="00216187"/>
    <w:rsid w:val="00216A54"/>
    <w:rsid w:val="00217881"/>
    <w:rsid w:val="0022075B"/>
    <w:rsid w:val="00221F77"/>
    <w:rsid w:val="00221FF5"/>
    <w:rsid w:val="002226C1"/>
    <w:rsid w:val="00222917"/>
    <w:rsid w:val="00222DB9"/>
    <w:rsid w:val="002244BA"/>
    <w:rsid w:val="00224E2B"/>
    <w:rsid w:val="0022581B"/>
    <w:rsid w:val="00225F51"/>
    <w:rsid w:val="0022648E"/>
    <w:rsid w:val="00226AB8"/>
    <w:rsid w:val="00226F32"/>
    <w:rsid w:val="00227ACD"/>
    <w:rsid w:val="00227C82"/>
    <w:rsid w:val="002307C1"/>
    <w:rsid w:val="0023165F"/>
    <w:rsid w:val="00231F3A"/>
    <w:rsid w:val="002328F4"/>
    <w:rsid w:val="0023390F"/>
    <w:rsid w:val="0023393E"/>
    <w:rsid w:val="0023493E"/>
    <w:rsid w:val="00235942"/>
    <w:rsid w:val="00236538"/>
    <w:rsid w:val="0023703D"/>
    <w:rsid w:val="002375B2"/>
    <w:rsid w:val="00237A71"/>
    <w:rsid w:val="00237E0B"/>
    <w:rsid w:val="00242D73"/>
    <w:rsid w:val="002443DF"/>
    <w:rsid w:val="002446E1"/>
    <w:rsid w:val="00244923"/>
    <w:rsid w:val="002472A6"/>
    <w:rsid w:val="00247512"/>
    <w:rsid w:val="00247A4D"/>
    <w:rsid w:val="00250212"/>
    <w:rsid w:val="002507F2"/>
    <w:rsid w:val="00250C73"/>
    <w:rsid w:val="00251163"/>
    <w:rsid w:val="00251393"/>
    <w:rsid w:val="0025241A"/>
    <w:rsid w:val="0025305E"/>
    <w:rsid w:val="00253D09"/>
    <w:rsid w:val="00254CA2"/>
    <w:rsid w:val="002556C2"/>
    <w:rsid w:val="00256268"/>
    <w:rsid w:val="002567A3"/>
    <w:rsid w:val="00260219"/>
    <w:rsid w:val="00260B2C"/>
    <w:rsid w:val="0026106F"/>
    <w:rsid w:val="0026210C"/>
    <w:rsid w:val="0026268C"/>
    <w:rsid w:val="00262B7F"/>
    <w:rsid w:val="00263207"/>
    <w:rsid w:val="00264741"/>
    <w:rsid w:val="00264C92"/>
    <w:rsid w:val="0026639E"/>
    <w:rsid w:val="00266980"/>
    <w:rsid w:val="00266ACC"/>
    <w:rsid w:val="00267ACA"/>
    <w:rsid w:val="002707C5"/>
    <w:rsid w:val="00270A4E"/>
    <w:rsid w:val="00270E60"/>
    <w:rsid w:val="00270F52"/>
    <w:rsid w:val="00271563"/>
    <w:rsid w:val="00271569"/>
    <w:rsid w:val="00272177"/>
    <w:rsid w:val="002725DA"/>
    <w:rsid w:val="00274645"/>
    <w:rsid w:val="00274844"/>
    <w:rsid w:val="002748F6"/>
    <w:rsid w:val="00274D15"/>
    <w:rsid w:val="00275209"/>
    <w:rsid w:val="00277397"/>
    <w:rsid w:val="00277D90"/>
    <w:rsid w:val="0028055F"/>
    <w:rsid w:val="002808DB"/>
    <w:rsid w:val="00280AB4"/>
    <w:rsid w:val="00280D31"/>
    <w:rsid w:val="00280F92"/>
    <w:rsid w:val="002817B5"/>
    <w:rsid w:val="00282BE6"/>
    <w:rsid w:val="00283681"/>
    <w:rsid w:val="00284721"/>
    <w:rsid w:val="0028530F"/>
    <w:rsid w:val="002853A9"/>
    <w:rsid w:val="00285A75"/>
    <w:rsid w:val="00287580"/>
    <w:rsid w:val="00290498"/>
    <w:rsid w:val="0029071C"/>
    <w:rsid w:val="00291656"/>
    <w:rsid w:val="0029179B"/>
    <w:rsid w:val="00291BE8"/>
    <w:rsid w:val="00293122"/>
    <w:rsid w:val="0029502E"/>
    <w:rsid w:val="00296021"/>
    <w:rsid w:val="0029774E"/>
    <w:rsid w:val="00297B85"/>
    <w:rsid w:val="002A0002"/>
    <w:rsid w:val="002A02A1"/>
    <w:rsid w:val="002A04EB"/>
    <w:rsid w:val="002A07F7"/>
    <w:rsid w:val="002A1748"/>
    <w:rsid w:val="002A23FA"/>
    <w:rsid w:val="002A266C"/>
    <w:rsid w:val="002A2CE3"/>
    <w:rsid w:val="002A31A1"/>
    <w:rsid w:val="002A3CF3"/>
    <w:rsid w:val="002A3F7E"/>
    <w:rsid w:val="002A4191"/>
    <w:rsid w:val="002A5D11"/>
    <w:rsid w:val="002A6290"/>
    <w:rsid w:val="002A6A60"/>
    <w:rsid w:val="002B1743"/>
    <w:rsid w:val="002B1996"/>
    <w:rsid w:val="002B35B7"/>
    <w:rsid w:val="002B3AB2"/>
    <w:rsid w:val="002B4617"/>
    <w:rsid w:val="002B4641"/>
    <w:rsid w:val="002B5069"/>
    <w:rsid w:val="002B58A5"/>
    <w:rsid w:val="002B724C"/>
    <w:rsid w:val="002C02A9"/>
    <w:rsid w:val="002C0719"/>
    <w:rsid w:val="002C179D"/>
    <w:rsid w:val="002C18CD"/>
    <w:rsid w:val="002C2C2B"/>
    <w:rsid w:val="002C30D4"/>
    <w:rsid w:val="002C47FE"/>
    <w:rsid w:val="002C513E"/>
    <w:rsid w:val="002C5B51"/>
    <w:rsid w:val="002D1376"/>
    <w:rsid w:val="002D238E"/>
    <w:rsid w:val="002D2A30"/>
    <w:rsid w:val="002D2DC7"/>
    <w:rsid w:val="002D3F94"/>
    <w:rsid w:val="002D4720"/>
    <w:rsid w:val="002D49FB"/>
    <w:rsid w:val="002D4A25"/>
    <w:rsid w:val="002D4DF8"/>
    <w:rsid w:val="002D6038"/>
    <w:rsid w:val="002E0041"/>
    <w:rsid w:val="002E1390"/>
    <w:rsid w:val="002E1AEB"/>
    <w:rsid w:val="002E1DBF"/>
    <w:rsid w:val="002E2498"/>
    <w:rsid w:val="002E3105"/>
    <w:rsid w:val="002E320D"/>
    <w:rsid w:val="002E3E1D"/>
    <w:rsid w:val="002E4CA1"/>
    <w:rsid w:val="002E4EFD"/>
    <w:rsid w:val="002E5E57"/>
    <w:rsid w:val="002E6192"/>
    <w:rsid w:val="002E6312"/>
    <w:rsid w:val="002E6C7C"/>
    <w:rsid w:val="002F0118"/>
    <w:rsid w:val="002F0F08"/>
    <w:rsid w:val="002F1752"/>
    <w:rsid w:val="002F1AFD"/>
    <w:rsid w:val="002F20C7"/>
    <w:rsid w:val="002F2F90"/>
    <w:rsid w:val="002F2FAA"/>
    <w:rsid w:val="002F4373"/>
    <w:rsid w:val="002F43DE"/>
    <w:rsid w:val="002F477C"/>
    <w:rsid w:val="002F4A74"/>
    <w:rsid w:val="002F4CBD"/>
    <w:rsid w:val="002F4CDA"/>
    <w:rsid w:val="002F506A"/>
    <w:rsid w:val="002F52DA"/>
    <w:rsid w:val="002F557F"/>
    <w:rsid w:val="002F58FE"/>
    <w:rsid w:val="002F6432"/>
    <w:rsid w:val="002F6A6D"/>
    <w:rsid w:val="003012B9"/>
    <w:rsid w:val="0030161E"/>
    <w:rsid w:val="00301915"/>
    <w:rsid w:val="003028DC"/>
    <w:rsid w:val="003029D1"/>
    <w:rsid w:val="0030348A"/>
    <w:rsid w:val="00303B0E"/>
    <w:rsid w:val="003045DD"/>
    <w:rsid w:val="00304727"/>
    <w:rsid w:val="0030613B"/>
    <w:rsid w:val="00306844"/>
    <w:rsid w:val="003077DD"/>
    <w:rsid w:val="003111F3"/>
    <w:rsid w:val="003131EC"/>
    <w:rsid w:val="003134AE"/>
    <w:rsid w:val="00313DD8"/>
    <w:rsid w:val="003142AD"/>
    <w:rsid w:val="003143A4"/>
    <w:rsid w:val="00314AB6"/>
    <w:rsid w:val="00314CF6"/>
    <w:rsid w:val="00315F32"/>
    <w:rsid w:val="00316BAA"/>
    <w:rsid w:val="00317242"/>
    <w:rsid w:val="00320811"/>
    <w:rsid w:val="00322BF9"/>
    <w:rsid w:val="00324743"/>
    <w:rsid w:val="00324769"/>
    <w:rsid w:val="00324B27"/>
    <w:rsid w:val="003253AF"/>
    <w:rsid w:val="003258C4"/>
    <w:rsid w:val="00327407"/>
    <w:rsid w:val="00327CB6"/>
    <w:rsid w:val="00330A92"/>
    <w:rsid w:val="003315E9"/>
    <w:rsid w:val="0033298A"/>
    <w:rsid w:val="00333B31"/>
    <w:rsid w:val="00334257"/>
    <w:rsid w:val="0033440C"/>
    <w:rsid w:val="00335341"/>
    <w:rsid w:val="00335B88"/>
    <w:rsid w:val="00336412"/>
    <w:rsid w:val="00336CA6"/>
    <w:rsid w:val="00337157"/>
    <w:rsid w:val="003373BE"/>
    <w:rsid w:val="00340F22"/>
    <w:rsid w:val="003411DB"/>
    <w:rsid w:val="003417B4"/>
    <w:rsid w:val="00341D86"/>
    <w:rsid w:val="003423A7"/>
    <w:rsid w:val="003426EE"/>
    <w:rsid w:val="0034310E"/>
    <w:rsid w:val="00344213"/>
    <w:rsid w:val="003444F4"/>
    <w:rsid w:val="00344B88"/>
    <w:rsid w:val="00344EBB"/>
    <w:rsid w:val="00345842"/>
    <w:rsid w:val="0034612F"/>
    <w:rsid w:val="00346684"/>
    <w:rsid w:val="003472AF"/>
    <w:rsid w:val="00347FD9"/>
    <w:rsid w:val="003508FE"/>
    <w:rsid w:val="00351369"/>
    <w:rsid w:val="0035167B"/>
    <w:rsid w:val="003522BD"/>
    <w:rsid w:val="00352D4E"/>
    <w:rsid w:val="003543D2"/>
    <w:rsid w:val="0035493D"/>
    <w:rsid w:val="00356528"/>
    <w:rsid w:val="00356A6D"/>
    <w:rsid w:val="00356C7A"/>
    <w:rsid w:val="00356FF7"/>
    <w:rsid w:val="0035718C"/>
    <w:rsid w:val="003600A2"/>
    <w:rsid w:val="003608A1"/>
    <w:rsid w:val="003608FD"/>
    <w:rsid w:val="0036420C"/>
    <w:rsid w:val="00364A11"/>
    <w:rsid w:val="00366057"/>
    <w:rsid w:val="00366A68"/>
    <w:rsid w:val="003677E2"/>
    <w:rsid w:val="0037051F"/>
    <w:rsid w:val="003707E0"/>
    <w:rsid w:val="00370F35"/>
    <w:rsid w:val="003725F0"/>
    <w:rsid w:val="003732C7"/>
    <w:rsid w:val="0037346E"/>
    <w:rsid w:val="003739F0"/>
    <w:rsid w:val="00373FC2"/>
    <w:rsid w:val="003742A8"/>
    <w:rsid w:val="003749A5"/>
    <w:rsid w:val="00375CF8"/>
    <w:rsid w:val="00376918"/>
    <w:rsid w:val="00376F07"/>
    <w:rsid w:val="003775A3"/>
    <w:rsid w:val="00380502"/>
    <w:rsid w:val="00380788"/>
    <w:rsid w:val="003809CD"/>
    <w:rsid w:val="00381524"/>
    <w:rsid w:val="00381FAF"/>
    <w:rsid w:val="00383D10"/>
    <w:rsid w:val="00384170"/>
    <w:rsid w:val="003847A3"/>
    <w:rsid w:val="00385683"/>
    <w:rsid w:val="00386E7F"/>
    <w:rsid w:val="00387749"/>
    <w:rsid w:val="00387CB8"/>
    <w:rsid w:val="0039010C"/>
    <w:rsid w:val="00390C7F"/>
    <w:rsid w:val="00390E5C"/>
    <w:rsid w:val="00391AED"/>
    <w:rsid w:val="00391C4B"/>
    <w:rsid w:val="00391FA6"/>
    <w:rsid w:val="00393046"/>
    <w:rsid w:val="00394F6F"/>
    <w:rsid w:val="00395026"/>
    <w:rsid w:val="003952ED"/>
    <w:rsid w:val="00395549"/>
    <w:rsid w:val="00395F29"/>
    <w:rsid w:val="00396610"/>
    <w:rsid w:val="00396DEC"/>
    <w:rsid w:val="00396F9D"/>
    <w:rsid w:val="00397430"/>
    <w:rsid w:val="003A0443"/>
    <w:rsid w:val="003A0F5E"/>
    <w:rsid w:val="003A1E08"/>
    <w:rsid w:val="003A1F79"/>
    <w:rsid w:val="003A39B8"/>
    <w:rsid w:val="003A424B"/>
    <w:rsid w:val="003A46D3"/>
    <w:rsid w:val="003A542D"/>
    <w:rsid w:val="003A5636"/>
    <w:rsid w:val="003A5765"/>
    <w:rsid w:val="003A623D"/>
    <w:rsid w:val="003A68A3"/>
    <w:rsid w:val="003A76ED"/>
    <w:rsid w:val="003B0281"/>
    <w:rsid w:val="003B0433"/>
    <w:rsid w:val="003B04C1"/>
    <w:rsid w:val="003B2C84"/>
    <w:rsid w:val="003B4E23"/>
    <w:rsid w:val="003B4F01"/>
    <w:rsid w:val="003B505C"/>
    <w:rsid w:val="003B519E"/>
    <w:rsid w:val="003B5E6F"/>
    <w:rsid w:val="003B7AE1"/>
    <w:rsid w:val="003C0B1B"/>
    <w:rsid w:val="003C1195"/>
    <w:rsid w:val="003C12B6"/>
    <w:rsid w:val="003C185F"/>
    <w:rsid w:val="003C2D27"/>
    <w:rsid w:val="003C3451"/>
    <w:rsid w:val="003C373E"/>
    <w:rsid w:val="003C392F"/>
    <w:rsid w:val="003C3D7F"/>
    <w:rsid w:val="003C41DD"/>
    <w:rsid w:val="003C4DE7"/>
    <w:rsid w:val="003C5F2E"/>
    <w:rsid w:val="003C6326"/>
    <w:rsid w:val="003C6710"/>
    <w:rsid w:val="003C6D87"/>
    <w:rsid w:val="003C7600"/>
    <w:rsid w:val="003D079C"/>
    <w:rsid w:val="003D0D7D"/>
    <w:rsid w:val="003D164F"/>
    <w:rsid w:val="003D18F0"/>
    <w:rsid w:val="003D224C"/>
    <w:rsid w:val="003D2390"/>
    <w:rsid w:val="003D2EFA"/>
    <w:rsid w:val="003D3759"/>
    <w:rsid w:val="003D45D4"/>
    <w:rsid w:val="003D57E2"/>
    <w:rsid w:val="003D613B"/>
    <w:rsid w:val="003D684B"/>
    <w:rsid w:val="003D749F"/>
    <w:rsid w:val="003D7D9E"/>
    <w:rsid w:val="003E0FC6"/>
    <w:rsid w:val="003E14DF"/>
    <w:rsid w:val="003E1AAB"/>
    <w:rsid w:val="003E1F42"/>
    <w:rsid w:val="003E3584"/>
    <w:rsid w:val="003E382B"/>
    <w:rsid w:val="003E393C"/>
    <w:rsid w:val="003E3ACA"/>
    <w:rsid w:val="003E3DCB"/>
    <w:rsid w:val="003E4312"/>
    <w:rsid w:val="003E4820"/>
    <w:rsid w:val="003E48FA"/>
    <w:rsid w:val="003E4ADE"/>
    <w:rsid w:val="003E5891"/>
    <w:rsid w:val="003E7ED0"/>
    <w:rsid w:val="003F021E"/>
    <w:rsid w:val="003F03DF"/>
    <w:rsid w:val="003F1189"/>
    <w:rsid w:val="003F12BC"/>
    <w:rsid w:val="003F12D5"/>
    <w:rsid w:val="003F159E"/>
    <w:rsid w:val="003F1CB9"/>
    <w:rsid w:val="003F2050"/>
    <w:rsid w:val="003F37CA"/>
    <w:rsid w:val="003F3922"/>
    <w:rsid w:val="003F470D"/>
    <w:rsid w:val="003F512D"/>
    <w:rsid w:val="003F56AD"/>
    <w:rsid w:val="003F6A8D"/>
    <w:rsid w:val="003F6E69"/>
    <w:rsid w:val="003F7F31"/>
    <w:rsid w:val="004009B6"/>
    <w:rsid w:val="00400E23"/>
    <w:rsid w:val="004015AF"/>
    <w:rsid w:val="00401CD3"/>
    <w:rsid w:val="00401F79"/>
    <w:rsid w:val="00402778"/>
    <w:rsid w:val="00402D75"/>
    <w:rsid w:val="00402FA1"/>
    <w:rsid w:val="00403744"/>
    <w:rsid w:val="0040474A"/>
    <w:rsid w:val="00404E84"/>
    <w:rsid w:val="00405D7E"/>
    <w:rsid w:val="00406F40"/>
    <w:rsid w:val="00407FB6"/>
    <w:rsid w:val="00410561"/>
    <w:rsid w:val="004120D6"/>
    <w:rsid w:val="00412186"/>
    <w:rsid w:val="00412763"/>
    <w:rsid w:val="00412A2D"/>
    <w:rsid w:val="00413258"/>
    <w:rsid w:val="0041355F"/>
    <w:rsid w:val="00414181"/>
    <w:rsid w:val="0041427D"/>
    <w:rsid w:val="00414AD4"/>
    <w:rsid w:val="0041521E"/>
    <w:rsid w:val="004164DD"/>
    <w:rsid w:val="00416763"/>
    <w:rsid w:val="0041745A"/>
    <w:rsid w:val="004179B3"/>
    <w:rsid w:val="004207D5"/>
    <w:rsid w:val="00422B81"/>
    <w:rsid w:val="00422E44"/>
    <w:rsid w:val="004231FB"/>
    <w:rsid w:val="00423374"/>
    <w:rsid w:val="00423E0D"/>
    <w:rsid w:val="004257BB"/>
    <w:rsid w:val="00425883"/>
    <w:rsid w:val="00425A84"/>
    <w:rsid w:val="00425B3B"/>
    <w:rsid w:val="0042602B"/>
    <w:rsid w:val="004279BD"/>
    <w:rsid w:val="00430F3C"/>
    <w:rsid w:val="004325D3"/>
    <w:rsid w:val="00435176"/>
    <w:rsid w:val="00436F5C"/>
    <w:rsid w:val="004371EE"/>
    <w:rsid w:val="00437589"/>
    <w:rsid w:val="0043780A"/>
    <w:rsid w:val="00440A53"/>
    <w:rsid w:val="00442170"/>
    <w:rsid w:val="0044352D"/>
    <w:rsid w:val="004444EE"/>
    <w:rsid w:val="004445E7"/>
    <w:rsid w:val="0044491F"/>
    <w:rsid w:val="00444BDA"/>
    <w:rsid w:val="00445609"/>
    <w:rsid w:val="004464CF"/>
    <w:rsid w:val="00446AAD"/>
    <w:rsid w:val="004476C2"/>
    <w:rsid w:val="00451368"/>
    <w:rsid w:val="004522D4"/>
    <w:rsid w:val="00452B0E"/>
    <w:rsid w:val="00453473"/>
    <w:rsid w:val="004555E6"/>
    <w:rsid w:val="00456A9B"/>
    <w:rsid w:val="00460772"/>
    <w:rsid w:val="00461E79"/>
    <w:rsid w:val="00462717"/>
    <w:rsid w:val="004641CC"/>
    <w:rsid w:val="00464E64"/>
    <w:rsid w:val="00465403"/>
    <w:rsid w:val="00465526"/>
    <w:rsid w:val="0046651A"/>
    <w:rsid w:val="004674AA"/>
    <w:rsid w:val="004714FB"/>
    <w:rsid w:val="004718BD"/>
    <w:rsid w:val="00471B86"/>
    <w:rsid w:val="00471D6F"/>
    <w:rsid w:val="00472210"/>
    <w:rsid w:val="00473C52"/>
    <w:rsid w:val="00474524"/>
    <w:rsid w:val="00475D5E"/>
    <w:rsid w:val="00475F13"/>
    <w:rsid w:val="0047661B"/>
    <w:rsid w:val="00476A2A"/>
    <w:rsid w:val="00477094"/>
    <w:rsid w:val="0047757F"/>
    <w:rsid w:val="00477AF5"/>
    <w:rsid w:val="00477CEB"/>
    <w:rsid w:val="004803D6"/>
    <w:rsid w:val="00480B75"/>
    <w:rsid w:val="00483136"/>
    <w:rsid w:val="0048354D"/>
    <w:rsid w:val="00483FA6"/>
    <w:rsid w:val="0048489E"/>
    <w:rsid w:val="004852E3"/>
    <w:rsid w:val="00485ADC"/>
    <w:rsid w:val="00486858"/>
    <w:rsid w:val="00486C1D"/>
    <w:rsid w:val="004904F6"/>
    <w:rsid w:val="00490505"/>
    <w:rsid w:val="004908DB"/>
    <w:rsid w:val="00490E1A"/>
    <w:rsid w:val="00491DB6"/>
    <w:rsid w:val="00492636"/>
    <w:rsid w:val="004935C1"/>
    <w:rsid w:val="00493A20"/>
    <w:rsid w:val="00493C14"/>
    <w:rsid w:val="004951FE"/>
    <w:rsid w:val="00495C6A"/>
    <w:rsid w:val="004969D8"/>
    <w:rsid w:val="00496A0D"/>
    <w:rsid w:val="0049704E"/>
    <w:rsid w:val="004975FD"/>
    <w:rsid w:val="004979BF"/>
    <w:rsid w:val="004A1724"/>
    <w:rsid w:val="004A2349"/>
    <w:rsid w:val="004A31A7"/>
    <w:rsid w:val="004A435C"/>
    <w:rsid w:val="004A44DB"/>
    <w:rsid w:val="004A4D8B"/>
    <w:rsid w:val="004A4E6A"/>
    <w:rsid w:val="004A53BB"/>
    <w:rsid w:val="004A5428"/>
    <w:rsid w:val="004A5819"/>
    <w:rsid w:val="004A5C0E"/>
    <w:rsid w:val="004A5D84"/>
    <w:rsid w:val="004A6CE0"/>
    <w:rsid w:val="004A724B"/>
    <w:rsid w:val="004A74F4"/>
    <w:rsid w:val="004B1175"/>
    <w:rsid w:val="004B1442"/>
    <w:rsid w:val="004B1766"/>
    <w:rsid w:val="004B19DD"/>
    <w:rsid w:val="004B2E1A"/>
    <w:rsid w:val="004B3889"/>
    <w:rsid w:val="004B3E0D"/>
    <w:rsid w:val="004B3F04"/>
    <w:rsid w:val="004B441B"/>
    <w:rsid w:val="004B4571"/>
    <w:rsid w:val="004B4DE5"/>
    <w:rsid w:val="004B51F9"/>
    <w:rsid w:val="004B564F"/>
    <w:rsid w:val="004B6A7C"/>
    <w:rsid w:val="004B7ECE"/>
    <w:rsid w:val="004C04EA"/>
    <w:rsid w:val="004C0763"/>
    <w:rsid w:val="004C0A56"/>
    <w:rsid w:val="004C0AC1"/>
    <w:rsid w:val="004C10E7"/>
    <w:rsid w:val="004C23FB"/>
    <w:rsid w:val="004C3997"/>
    <w:rsid w:val="004C423D"/>
    <w:rsid w:val="004C4C1F"/>
    <w:rsid w:val="004C50BF"/>
    <w:rsid w:val="004C53CB"/>
    <w:rsid w:val="004C593C"/>
    <w:rsid w:val="004C629B"/>
    <w:rsid w:val="004C693B"/>
    <w:rsid w:val="004C751A"/>
    <w:rsid w:val="004C7E8B"/>
    <w:rsid w:val="004D0B15"/>
    <w:rsid w:val="004D0EBA"/>
    <w:rsid w:val="004D114D"/>
    <w:rsid w:val="004D14D3"/>
    <w:rsid w:val="004D18AC"/>
    <w:rsid w:val="004D23AD"/>
    <w:rsid w:val="004D3347"/>
    <w:rsid w:val="004D3E58"/>
    <w:rsid w:val="004D4156"/>
    <w:rsid w:val="004D4333"/>
    <w:rsid w:val="004D6531"/>
    <w:rsid w:val="004D6F30"/>
    <w:rsid w:val="004E011D"/>
    <w:rsid w:val="004E0D15"/>
    <w:rsid w:val="004E1AC6"/>
    <w:rsid w:val="004E2434"/>
    <w:rsid w:val="004E26E2"/>
    <w:rsid w:val="004E3070"/>
    <w:rsid w:val="004E32FB"/>
    <w:rsid w:val="004E3F0C"/>
    <w:rsid w:val="004E4B5B"/>
    <w:rsid w:val="004E5779"/>
    <w:rsid w:val="004E5E51"/>
    <w:rsid w:val="004E642B"/>
    <w:rsid w:val="004E668A"/>
    <w:rsid w:val="004E7E07"/>
    <w:rsid w:val="004F32E1"/>
    <w:rsid w:val="004F34F2"/>
    <w:rsid w:val="004F3D9B"/>
    <w:rsid w:val="004F4632"/>
    <w:rsid w:val="004F46CE"/>
    <w:rsid w:val="004F46D6"/>
    <w:rsid w:val="004F5C1C"/>
    <w:rsid w:val="004F62FF"/>
    <w:rsid w:val="004F69E2"/>
    <w:rsid w:val="004F6CFB"/>
    <w:rsid w:val="004F6EA8"/>
    <w:rsid w:val="004F70A7"/>
    <w:rsid w:val="005019FE"/>
    <w:rsid w:val="00502072"/>
    <w:rsid w:val="005027C2"/>
    <w:rsid w:val="00502C28"/>
    <w:rsid w:val="00503D06"/>
    <w:rsid w:val="00504229"/>
    <w:rsid w:val="00504370"/>
    <w:rsid w:val="00505434"/>
    <w:rsid w:val="00506126"/>
    <w:rsid w:val="005063FD"/>
    <w:rsid w:val="0050674F"/>
    <w:rsid w:val="005069C2"/>
    <w:rsid w:val="005070EC"/>
    <w:rsid w:val="00507747"/>
    <w:rsid w:val="00510452"/>
    <w:rsid w:val="00510AD7"/>
    <w:rsid w:val="00510EB1"/>
    <w:rsid w:val="0051164C"/>
    <w:rsid w:val="00512176"/>
    <w:rsid w:val="005122E9"/>
    <w:rsid w:val="005137DB"/>
    <w:rsid w:val="005142AC"/>
    <w:rsid w:val="0051437A"/>
    <w:rsid w:val="0051449F"/>
    <w:rsid w:val="00514960"/>
    <w:rsid w:val="0051508B"/>
    <w:rsid w:val="0051570C"/>
    <w:rsid w:val="00515A05"/>
    <w:rsid w:val="00515ECA"/>
    <w:rsid w:val="00516007"/>
    <w:rsid w:val="00517111"/>
    <w:rsid w:val="005203B7"/>
    <w:rsid w:val="005208BD"/>
    <w:rsid w:val="0052161C"/>
    <w:rsid w:val="00521FF6"/>
    <w:rsid w:val="0052347F"/>
    <w:rsid w:val="00527260"/>
    <w:rsid w:val="00527681"/>
    <w:rsid w:val="0052771A"/>
    <w:rsid w:val="00527FC5"/>
    <w:rsid w:val="00530245"/>
    <w:rsid w:val="00530967"/>
    <w:rsid w:val="00530DE6"/>
    <w:rsid w:val="00531FAE"/>
    <w:rsid w:val="00532041"/>
    <w:rsid w:val="005343BA"/>
    <w:rsid w:val="0053589B"/>
    <w:rsid w:val="00535CDB"/>
    <w:rsid w:val="00535E49"/>
    <w:rsid w:val="0053659F"/>
    <w:rsid w:val="00537D18"/>
    <w:rsid w:val="00537D95"/>
    <w:rsid w:val="005417AF"/>
    <w:rsid w:val="00541D7D"/>
    <w:rsid w:val="00543780"/>
    <w:rsid w:val="005442D1"/>
    <w:rsid w:val="005448A4"/>
    <w:rsid w:val="005450EB"/>
    <w:rsid w:val="0054574A"/>
    <w:rsid w:val="00545AC2"/>
    <w:rsid w:val="00546646"/>
    <w:rsid w:val="0054665C"/>
    <w:rsid w:val="00547A43"/>
    <w:rsid w:val="00550C47"/>
    <w:rsid w:val="00552694"/>
    <w:rsid w:val="00552D45"/>
    <w:rsid w:val="0055337B"/>
    <w:rsid w:val="0055377C"/>
    <w:rsid w:val="00553860"/>
    <w:rsid w:val="005541F4"/>
    <w:rsid w:val="005545FE"/>
    <w:rsid w:val="00554717"/>
    <w:rsid w:val="00554741"/>
    <w:rsid w:val="00554FF2"/>
    <w:rsid w:val="00555261"/>
    <w:rsid w:val="00555C70"/>
    <w:rsid w:val="00556DE6"/>
    <w:rsid w:val="005574AF"/>
    <w:rsid w:val="0055785D"/>
    <w:rsid w:val="005578C6"/>
    <w:rsid w:val="00557A53"/>
    <w:rsid w:val="0056090E"/>
    <w:rsid w:val="005613B3"/>
    <w:rsid w:val="00561ED7"/>
    <w:rsid w:val="00562166"/>
    <w:rsid w:val="0056253E"/>
    <w:rsid w:val="00562995"/>
    <w:rsid w:val="00563855"/>
    <w:rsid w:val="005642DD"/>
    <w:rsid w:val="00564453"/>
    <w:rsid w:val="00566025"/>
    <w:rsid w:val="0056611F"/>
    <w:rsid w:val="005666D7"/>
    <w:rsid w:val="0056769C"/>
    <w:rsid w:val="005676A0"/>
    <w:rsid w:val="00567ADA"/>
    <w:rsid w:val="005718D7"/>
    <w:rsid w:val="00571AFD"/>
    <w:rsid w:val="00571BEE"/>
    <w:rsid w:val="00571C08"/>
    <w:rsid w:val="00571C69"/>
    <w:rsid w:val="00572232"/>
    <w:rsid w:val="005722E9"/>
    <w:rsid w:val="00572D52"/>
    <w:rsid w:val="00573D34"/>
    <w:rsid w:val="00573F62"/>
    <w:rsid w:val="00574588"/>
    <w:rsid w:val="00574592"/>
    <w:rsid w:val="00574619"/>
    <w:rsid w:val="005746F6"/>
    <w:rsid w:val="00574E26"/>
    <w:rsid w:val="00575D36"/>
    <w:rsid w:val="005761EE"/>
    <w:rsid w:val="00576C13"/>
    <w:rsid w:val="00576CB6"/>
    <w:rsid w:val="00576CF4"/>
    <w:rsid w:val="00577164"/>
    <w:rsid w:val="00577D9F"/>
    <w:rsid w:val="00580391"/>
    <w:rsid w:val="0058086E"/>
    <w:rsid w:val="005818DE"/>
    <w:rsid w:val="00581AC8"/>
    <w:rsid w:val="00581CC1"/>
    <w:rsid w:val="00582221"/>
    <w:rsid w:val="00584718"/>
    <w:rsid w:val="00584D4C"/>
    <w:rsid w:val="005861DC"/>
    <w:rsid w:val="0058622F"/>
    <w:rsid w:val="00586418"/>
    <w:rsid w:val="00587350"/>
    <w:rsid w:val="005874B8"/>
    <w:rsid w:val="00587BA9"/>
    <w:rsid w:val="0059007C"/>
    <w:rsid w:val="00590699"/>
    <w:rsid w:val="00591A31"/>
    <w:rsid w:val="00591E29"/>
    <w:rsid w:val="00592318"/>
    <w:rsid w:val="00594C44"/>
    <w:rsid w:val="0059556C"/>
    <w:rsid w:val="00596B76"/>
    <w:rsid w:val="00597DD9"/>
    <w:rsid w:val="005A0ACF"/>
    <w:rsid w:val="005A0C34"/>
    <w:rsid w:val="005A2501"/>
    <w:rsid w:val="005A292F"/>
    <w:rsid w:val="005A2FF8"/>
    <w:rsid w:val="005A34B6"/>
    <w:rsid w:val="005A390E"/>
    <w:rsid w:val="005A3E34"/>
    <w:rsid w:val="005A44FF"/>
    <w:rsid w:val="005A4BD9"/>
    <w:rsid w:val="005A4D8E"/>
    <w:rsid w:val="005A51C6"/>
    <w:rsid w:val="005A576D"/>
    <w:rsid w:val="005A5BAB"/>
    <w:rsid w:val="005A5CB3"/>
    <w:rsid w:val="005A6604"/>
    <w:rsid w:val="005A78DE"/>
    <w:rsid w:val="005A7E09"/>
    <w:rsid w:val="005B08A6"/>
    <w:rsid w:val="005B0F22"/>
    <w:rsid w:val="005B0F27"/>
    <w:rsid w:val="005B1A31"/>
    <w:rsid w:val="005B1B6C"/>
    <w:rsid w:val="005B2B4F"/>
    <w:rsid w:val="005B2CB5"/>
    <w:rsid w:val="005B2CDC"/>
    <w:rsid w:val="005B3025"/>
    <w:rsid w:val="005B3439"/>
    <w:rsid w:val="005B4653"/>
    <w:rsid w:val="005B4E45"/>
    <w:rsid w:val="005B4E85"/>
    <w:rsid w:val="005B5E17"/>
    <w:rsid w:val="005B6419"/>
    <w:rsid w:val="005B6CC1"/>
    <w:rsid w:val="005C1943"/>
    <w:rsid w:val="005C22C2"/>
    <w:rsid w:val="005C2322"/>
    <w:rsid w:val="005C501A"/>
    <w:rsid w:val="005C5673"/>
    <w:rsid w:val="005C6D52"/>
    <w:rsid w:val="005C6F67"/>
    <w:rsid w:val="005C7858"/>
    <w:rsid w:val="005C7A9A"/>
    <w:rsid w:val="005C7FCE"/>
    <w:rsid w:val="005D05FD"/>
    <w:rsid w:val="005D11A5"/>
    <w:rsid w:val="005D1A7D"/>
    <w:rsid w:val="005D3508"/>
    <w:rsid w:val="005D48E0"/>
    <w:rsid w:val="005D4BC8"/>
    <w:rsid w:val="005D55D6"/>
    <w:rsid w:val="005D593D"/>
    <w:rsid w:val="005D65FF"/>
    <w:rsid w:val="005D6E43"/>
    <w:rsid w:val="005D717B"/>
    <w:rsid w:val="005D769A"/>
    <w:rsid w:val="005D7FC2"/>
    <w:rsid w:val="005E092E"/>
    <w:rsid w:val="005E1DD8"/>
    <w:rsid w:val="005E1EA0"/>
    <w:rsid w:val="005E1F6F"/>
    <w:rsid w:val="005E4132"/>
    <w:rsid w:val="005E58E1"/>
    <w:rsid w:val="005E5F8B"/>
    <w:rsid w:val="005E7C7D"/>
    <w:rsid w:val="005F0A09"/>
    <w:rsid w:val="005F0EC7"/>
    <w:rsid w:val="005F105B"/>
    <w:rsid w:val="005F1295"/>
    <w:rsid w:val="005F2075"/>
    <w:rsid w:val="005F2341"/>
    <w:rsid w:val="005F2B48"/>
    <w:rsid w:val="005F3ADE"/>
    <w:rsid w:val="005F432C"/>
    <w:rsid w:val="005F4B41"/>
    <w:rsid w:val="005F4D52"/>
    <w:rsid w:val="005F4F2A"/>
    <w:rsid w:val="005F5099"/>
    <w:rsid w:val="005F73A6"/>
    <w:rsid w:val="006002FC"/>
    <w:rsid w:val="00600D9B"/>
    <w:rsid w:val="0060128D"/>
    <w:rsid w:val="006015EB"/>
    <w:rsid w:val="006021B4"/>
    <w:rsid w:val="00602BDA"/>
    <w:rsid w:val="0060305B"/>
    <w:rsid w:val="0060308F"/>
    <w:rsid w:val="0060552B"/>
    <w:rsid w:val="00606031"/>
    <w:rsid w:val="00606E04"/>
    <w:rsid w:val="00607B8A"/>
    <w:rsid w:val="006102C4"/>
    <w:rsid w:val="00611A97"/>
    <w:rsid w:val="00611B3C"/>
    <w:rsid w:val="00611C5C"/>
    <w:rsid w:val="00612686"/>
    <w:rsid w:val="006131E9"/>
    <w:rsid w:val="0061392C"/>
    <w:rsid w:val="00613C92"/>
    <w:rsid w:val="00615685"/>
    <w:rsid w:val="00615849"/>
    <w:rsid w:val="00616069"/>
    <w:rsid w:val="00616F34"/>
    <w:rsid w:val="00616FDD"/>
    <w:rsid w:val="00617E42"/>
    <w:rsid w:val="00617E6C"/>
    <w:rsid w:val="006203EC"/>
    <w:rsid w:val="00622015"/>
    <w:rsid w:val="00622191"/>
    <w:rsid w:val="006228C3"/>
    <w:rsid w:val="00622D62"/>
    <w:rsid w:val="00622D80"/>
    <w:rsid w:val="0062336F"/>
    <w:rsid w:val="00623D41"/>
    <w:rsid w:val="00624A28"/>
    <w:rsid w:val="00624E5B"/>
    <w:rsid w:val="006264F1"/>
    <w:rsid w:val="00626A29"/>
    <w:rsid w:val="00626AF4"/>
    <w:rsid w:val="00626CB1"/>
    <w:rsid w:val="00626CBB"/>
    <w:rsid w:val="00627894"/>
    <w:rsid w:val="00627FF6"/>
    <w:rsid w:val="00630506"/>
    <w:rsid w:val="00630BC9"/>
    <w:rsid w:val="006320CB"/>
    <w:rsid w:val="0063314F"/>
    <w:rsid w:val="006337E7"/>
    <w:rsid w:val="0063422F"/>
    <w:rsid w:val="006354FF"/>
    <w:rsid w:val="00635832"/>
    <w:rsid w:val="00635AB6"/>
    <w:rsid w:val="006361B1"/>
    <w:rsid w:val="006365E9"/>
    <w:rsid w:val="00636E18"/>
    <w:rsid w:val="0063705B"/>
    <w:rsid w:val="00637228"/>
    <w:rsid w:val="006406FA"/>
    <w:rsid w:val="00641532"/>
    <w:rsid w:val="00641E0B"/>
    <w:rsid w:val="0064225E"/>
    <w:rsid w:val="0064298D"/>
    <w:rsid w:val="0064364F"/>
    <w:rsid w:val="006445A3"/>
    <w:rsid w:val="00645115"/>
    <w:rsid w:val="006462F1"/>
    <w:rsid w:val="006464CF"/>
    <w:rsid w:val="00646CB6"/>
    <w:rsid w:val="00646DB1"/>
    <w:rsid w:val="00647A7A"/>
    <w:rsid w:val="00650088"/>
    <w:rsid w:val="00650724"/>
    <w:rsid w:val="0065124E"/>
    <w:rsid w:val="006513A0"/>
    <w:rsid w:val="00652C4F"/>
    <w:rsid w:val="0065308E"/>
    <w:rsid w:val="006534DC"/>
    <w:rsid w:val="006541D1"/>
    <w:rsid w:val="00654860"/>
    <w:rsid w:val="00654F37"/>
    <w:rsid w:val="00655662"/>
    <w:rsid w:val="00656ABE"/>
    <w:rsid w:val="00657521"/>
    <w:rsid w:val="0066000B"/>
    <w:rsid w:val="0066030A"/>
    <w:rsid w:val="00660931"/>
    <w:rsid w:val="00660DB9"/>
    <w:rsid w:val="00661956"/>
    <w:rsid w:val="00661C43"/>
    <w:rsid w:val="00662C23"/>
    <w:rsid w:val="00663A53"/>
    <w:rsid w:val="0066473E"/>
    <w:rsid w:val="00664F66"/>
    <w:rsid w:val="00665069"/>
    <w:rsid w:val="0066537B"/>
    <w:rsid w:val="00665718"/>
    <w:rsid w:val="00665E8C"/>
    <w:rsid w:val="00665F6E"/>
    <w:rsid w:val="0066692E"/>
    <w:rsid w:val="00666CC6"/>
    <w:rsid w:val="006677D7"/>
    <w:rsid w:val="00667828"/>
    <w:rsid w:val="00667AF6"/>
    <w:rsid w:val="00670CDD"/>
    <w:rsid w:val="00670F37"/>
    <w:rsid w:val="00672277"/>
    <w:rsid w:val="00674930"/>
    <w:rsid w:val="00676079"/>
    <w:rsid w:val="00676326"/>
    <w:rsid w:val="006777C7"/>
    <w:rsid w:val="00677FE7"/>
    <w:rsid w:val="006830CE"/>
    <w:rsid w:val="006839E8"/>
    <w:rsid w:val="00683D65"/>
    <w:rsid w:val="00684AB4"/>
    <w:rsid w:val="00684FDE"/>
    <w:rsid w:val="006851CB"/>
    <w:rsid w:val="00685F12"/>
    <w:rsid w:val="00686618"/>
    <w:rsid w:val="00687672"/>
    <w:rsid w:val="00690239"/>
    <w:rsid w:val="00690FB6"/>
    <w:rsid w:val="00691287"/>
    <w:rsid w:val="006919FC"/>
    <w:rsid w:val="00693034"/>
    <w:rsid w:val="0069373F"/>
    <w:rsid w:val="00693FDC"/>
    <w:rsid w:val="006963D2"/>
    <w:rsid w:val="00696748"/>
    <w:rsid w:val="00697FEB"/>
    <w:rsid w:val="006A02C9"/>
    <w:rsid w:val="006A0A19"/>
    <w:rsid w:val="006A0B4A"/>
    <w:rsid w:val="006A0D71"/>
    <w:rsid w:val="006A0E7E"/>
    <w:rsid w:val="006A0F4A"/>
    <w:rsid w:val="006A1D16"/>
    <w:rsid w:val="006A1EA8"/>
    <w:rsid w:val="006A4300"/>
    <w:rsid w:val="006A4428"/>
    <w:rsid w:val="006A4CF3"/>
    <w:rsid w:val="006A70CC"/>
    <w:rsid w:val="006A7BEA"/>
    <w:rsid w:val="006A7D62"/>
    <w:rsid w:val="006B120F"/>
    <w:rsid w:val="006B1FE2"/>
    <w:rsid w:val="006B2EBD"/>
    <w:rsid w:val="006B2F86"/>
    <w:rsid w:val="006B3690"/>
    <w:rsid w:val="006B37A6"/>
    <w:rsid w:val="006B3C0D"/>
    <w:rsid w:val="006B4649"/>
    <w:rsid w:val="006B4CAC"/>
    <w:rsid w:val="006C0355"/>
    <w:rsid w:val="006C090C"/>
    <w:rsid w:val="006C13D5"/>
    <w:rsid w:val="006C3A40"/>
    <w:rsid w:val="006C3F79"/>
    <w:rsid w:val="006C4E8E"/>
    <w:rsid w:val="006C53A0"/>
    <w:rsid w:val="006C5E9B"/>
    <w:rsid w:val="006C6628"/>
    <w:rsid w:val="006C6D77"/>
    <w:rsid w:val="006C7240"/>
    <w:rsid w:val="006C74D6"/>
    <w:rsid w:val="006C7663"/>
    <w:rsid w:val="006D0EE8"/>
    <w:rsid w:val="006D12C7"/>
    <w:rsid w:val="006D175B"/>
    <w:rsid w:val="006D1BF7"/>
    <w:rsid w:val="006D23EF"/>
    <w:rsid w:val="006D457D"/>
    <w:rsid w:val="006D49D0"/>
    <w:rsid w:val="006D5361"/>
    <w:rsid w:val="006D59F8"/>
    <w:rsid w:val="006D61DA"/>
    <w:rsid w:val="006D6AF7"/>
    <w:rsid w:val="006D6EBB"/>
    <w:rsid w:val="006D781E"/>
    <w:rsid w:val="006D7F80"/>
    <w:rsid w:val="006D7FC7"/>
    <w:rsid w:val="006E00DA"/>
    <w:rsid w:val="006E04F7"/>
    <w:rsid w:val="006E0941"/>
    <w:rsid w:val="006E0B68"/>
    <w:rsid w:val="006E0EAD"/>
    <w:rsid w:val="006E1DC5"/>
    <w:rsid w:val="006E2E7E"/>
    <w:rsid w:val="006E2EFD"/>
    <w:rsid w:val="006E3420"/>
    <w:rsid w:val="006E381D"/>
    <w:rsid w:val="006E39D7"/>
    <w:rsid w:val="006E3BD0"/>
    <w:rsid w:val="006E3FA9"/>
    <w:rsid w:val="006E4444"/>
    <w:rsid w:val="006E4D14"/>
    <w:rsid w:val="006E6866"/>
    <w:rsid w:val="006E702B"/>
    <w:rsid w:val="006E7DC6"/>
    <w:rsid w:val="006F01FC"/>
    <w:rsid w:val="006F0349"/>
    <w:rsid w:val="006F08E1"/>
    <w:rsid w:val="006F0E10"/>
    <w:rsid w:val="006F13D2"/>
    <w:rsid w:val="006F1A53"/>
    <w:rsid w:val="006F2196"/>
    <w:rsid w:val="006F2B29"/>
    <w:rsid w:val="006F3240"/>
    <w:rsid w:val="006F3620"/>
    <w:rsid w:val="006F3D73"/>
    <w:rsid w:val="006F5A87"/>
    <w:rsid w:val="006F747C"/>
    <w:rsid w:val="006F74BF"/>
    <w:rsid w:val="006F7BDA"/>
    <w:rsid w:val="00700C93"/>
    <w:rsid w:val="00701FC8"/>
    <w:rsid w:val="0070288A"/>
    <w:rsid w:val="00702D07"/>
    <w:rsid w:val="00703676"/>
    <w:rsid w:val="00706655"/>
    <w:rsid w:val="007078D6"/>
    <w:rsid w:val="007106DD"/>
    <w:rsid w:val="00710F87"/>
    <w:rsid w:val="00711217"/>
    <w:rsid w:val="007116F8"/>
    <w:rsid w:val="00712900"/>
    <w:rsid w:val="007133E9"/>
    <w:rsid w:val="007137B3"/>
    <w:rsid w:val="00713BD4"/>
    <w:rsid w:val="00714542"/>
    <w:rsid w:val="007146AA"/>
    <w:rsid w:val="00714837"/>
    <w:rsid w:val="007149B8"/>
    <w:rsid w:val="00714EF0"/>
    <w:rsid w:val="00714F04"/>
    <w:rsid w:val="00715087"/>
    <w:rsid w:val="00715712"/>
    <w:rsid w:val="007158C7"/>
    <w:rsid w:val="00715D0C"/>
    <w:rsid w:val="0071628B"/>
    <w:rsid w:val="00716F27"/>
    <w:rsid w:val="00717727"/>
    <w:rsid w:val="00717B00"/>
    <w:rsid w:val="007208AB"/>
    <w:rsid w:val="00720B68"/>
    <w:rsid w:val="00720DE3"/>
    <w:rsid w:val="00721C6A"/>
    <w:rsid w:val="007222B0"/>
    <w:rsid w:val="007227EC"/>
    <w:rsid w:val="00722F2C"/>
    <w:rsid w:val="00723293"/>
    <w:rsid w:val="00723439"/>
    <w:rsid w:val="00723CB3"/>
    <w:rsid w:val="00724D46"/>
    <w:rsid w:val="007252D4"/>
    <w:rsid w:val="007263EF"/>
    <w:rsid w:val="00727012"/>
    <w:rsid w:val="0072723A"/>
    <w:rsid w:val="007279EC"/>
    <w:rsid w:val="00727D29"/>
    <w:rsid w:val="00730818"/>
    <w:rsid w:val="00730E2D"/>
    <w:rsid w:val="0073142D"/>
    <w:rsid w:val="0073237F"/>
    <w:rsid w:val="007323B9"/>
    <w:rsid w:val="007330A4"/>
    <w:rsid w:val="00733C05"/>
    <w:rsid w:val="00734568"/>
    <w:rsid w:val="0073460E"/>
    <w:rsid w:val="007349F9"/>
    <w:rsid w:val="00734A12"/>
    <w:rsid w:val="00735CDE"/>
    <w:rsid w:val="00736EAE"/>
    <w:rsid w:val="00737F9B"/>
    <w:rsid w:val="007402C2"/>
    <w:rsid w:val="0074044C"/>
    <w:rsid w:val="007405B1"/>
    <w:rsid w:val="00740AF0"/>
    <w:rsid w:val="007419ED"/>
    <w:rsid w:val="00742174"/>
    <w:rsid w:val="00742C4C"/>
    <w:rsid w:val="007431F0"/>
    <w:rsid w:val="00743537"/>
    <w:rsid w:val="00743577"/>
    <w:rsid w:val="007435D3"/>
    <w:rsid w:val="00744220"/>
    <w:rsid w:val="00744C66"/>
    <w:rsid w:val="007464CC"/>
    <w:rsid w:val="00747238"/>
    <w:rsid w:val="00747B4B"/>
    <w:rsid w:val="00747D5E"/>
    <w:rsid w:val="00750679"/>
    <w:rsid w:val="00751D79"/>
    <w:rsid w:val="00751EDA"/>
    <w:rsid w:val="00754003"/>
    <w:rsid w:val="00754851"/>
    <w:rsid w:val="007575D0"/>
    <w:rsid w:val="00757649"/>
    <w:rsid w:val="00760944"/>
    <w:rsid w:val="007609D5"/>
    <w:rsid w:val="00760C75"/>
    <w:rsid w:val="007611AD"/>
    <w:rsid w:val="0076126B"/>
    <w:rsid w:val="007613B3"/>
    <w:rsid w:val="00762FBA"/>
    <w:rsid w:val="0076316D"/>
    <w:rsid w:val="00763FB6"/>
    <w:rsid w:val="0076473F"/>
    <w:rsid w:val="00764748"/>
    <w:rsid w:val="00765515"/>
    <w:rsid w:val="00765F2A"/>
    <w:rsid w:val="00766F28"/>
    <w:rsid w:val="007713E8"/>
    <w:rsid w:val="00771967"/>
    <w:rsid w:val="00771AA1"/>
    <w:rsid w:val="00772FC8"/>
    <w:rsid w:val="0077322C"/>
    <w:rsid w:val="00774715"/>
    <w:rsid w:val="007747EE"/>
    <w:rsid w:val="00774999"/>
    <w:rsid w:val="00774F98"/>
    <w:rsid w:val="00776623"/>
    <w:rsid w:val="007768F5"/>
    <w:rsid w:val="0077735A"/>
    <w:rsid w:val="0078095B"/>
    <w:rsid w:val="00780D10"/>
    <w:rsid w:val="007813D1"/>
    <w:rsid w:val="00782158"/>
    <w:rsid w:val="007821BC"/>
    <w:rsid w:val="007826E0"/>
    <w:rsid w:val="0078271A"/>
    <w:rsid w:val="00783194"/>
    <w:rsid w:val="00783455"/>
    <w:rsid w:val="007835D5"/>
    <w:rsid w:val="0078383A"/>
    <w:rsid w:val="00783BA7"/>
    <w:rsid w:val="007853F8"/>
    <w:rsid w:val="0078687A"/>
    <w:rsid w:val="00786AA2"/>
    <w:rsid w:val="00786BB9"/>
    <w:rsid w:val="00786FE5"/>
    <w:rsid w:val="007870B3"/>
    <w:rsid w:val="00787297"/>
    <w:rsid w:val="007877DC"/>
    <w:rsid w:val="0079039B"/>
    <w:rsid w:val="007908E2"/>
    <w:rsid w:val="00792C45"/>
    <w:rsid w:val="00793842"/>
    <w:rsid w:val="00794379"/>
    <w:rsid w:val="007953B5"/>
    <w:rsid w:val="00795F3C"/>
    <w:rsid w:val="00796271"/>
    <w:rsid w:val="00796431"/>
    <w:rsid w:val="007964DC"/>
    <w:rsid w:val="007967E6"/>
    <w:rsid w:val="00797D07"/>
    <w:rsid w:val="00797EC1"/>
    <w:rsid w:val="007A03B9"/>
    <w:rsid w:val="007A06C5"/>
    <w:rsid w:val="007A0B4E"/>
    <w:rsid w:val="007A117C"/>
    <w:rsid w:val="007A19E3"/>
    <w:rsid w:val="007A2635"/>
    <w:rsid w:val="007A3BFB"/>
    <w:rsid w:val="007A4230"/>
    <w:rsid w:val="007A5DE7"/>
    <w:rsid w:val="007A69A5"/>
    <w:rsid w:val="007A6B52"/>
    <w:rsid w:val="007A6C81"/>
    <w:rsid w:val="007A7B10"/>
    <w:rsid w:val="007B02A8"/>
    <w:rsid w:val="007B0B30"/>
    <w:rsid w:val="007B129D"/>
    <w:rsid w:val="007B219A"/>
    <w:rsid w:val="007B31A6"/>
    <w:rsid w:val="007B4508"/>
    <w:rsid w:val="007B5E3D"/>
    <w:rsid w:val="007B6B28"/>
    <w:rsid w:val="007B79F6"/>
    <w:rsid w:val="007B7B44"/>
    <w:rsid w:val="007C0E2D"/>
    <w:rsid w:val="007C1271"/>
    <w:rsid w:val="007C12F0"/>
    <w:rsid w:val="007C15B2"/>
    <w:rsid w:val="007C1E59"/>
    <w:rsid w:val="007C4747"/>
    <w:rsid w:val="007C4C83"/>
    <w:rsid w:val="007C525A"/>
    <w:rsid w:val="007C533A"/>
    <w:rsid w:val="007C591A"/>
    <w:rsid w:val="007C6206"/>
    <w:rsid w:val="007C6225"/>
    <w:rsid w:val="007C64E2"/>
    <w:rsid w:val="007C7C72"/>
    <w:rsid w:val="007D065D"/>
    <w:rsid w:val="007D1196"/>
    <w:rsid w:val="007D1E88"/>
    <w:rsid w:val="007D275E"/>
    <w:rsid w:val="007D2928"/>
    <w:rsid w:val="007D37BA"/>
    <w:rsid w:val="007D3850"/>
    <w:rsid w:val="007D3F75"/>
    <w:rsid w:val="007D4025"/>
    <w:rsid w:val="007D66F0"/>
    <w:rsid w:val="007D73E5"/>
    <w:rsid w:val="007D750A"/>
    <w:rsid w:val="007D7523"/>
    <w:rsid w:val="007D77FB"/>
    <w:rsid w:val="007E0084"/>
    <w:rsid w:val="007E0678"/>
    <w:rsid w:val="007E0A18"/>
    <w:rsid w:val="007E0EF4"/>
    <w:rsid w:val="007E1035"/>
    <w:rsid w:val="007E1421"/>
    <w:rsid w:val="007E18D1"/>
    <w:rsid w:val="007E199C"/>
    <w:rsid w:val="007E2A76"/>
    <w:rsid w:val="007E4D07"/>
    <w:rsid w:val="007E581F"/>
    <w:rsid w:val="007E722A"/>
    <w:rsid w:val="007E72EF"/>
    <w:rsid w:val="007E770A"/>
    <w:rsid w:val="007E7968"/>
    <w:rsid w:val="007E7C0D"/>
    <w:rsid w:val="007F0CB0"/>
    <w:rsid w:val="007F1600"/>
    <w:rsid w:val="007F166D"/>
    <w:rsid w:val="007F1EDF"/>
    <w:rsid w:val="007F2054"/>
    <w:rsid w:val="007F299B"/>
    <w:rsid w:val="007F365B"/>
    <w:rsid w:val="007F3B50"/>
    <w:rsid w:val="007F4023"/>
    <w:rsid w:val="007F40D6"/>
    <w:rsid w:val="007F41A0"/>
    <w:rsid w:val="007F5346"/>
    <w:rsid w:val="007F690B"/>
    <w:rsid w:val="007F6FBE"/>
    <w:rsid w:val="007F742B"/>
    <w:rsid w:val="007F7CBC"/>
    <w:rsid w:val="00800C45"/>
    <w:rsid w:val="0080130F"/>
    <w:rsid w:val="00801B60"/>
    <w:rsid w:val="008026FE"/>
    <w:rsid w:val="00802F9F"/>
    <w:rsid w:val="0080372E"/>
    <w:rsid w:val="00803E55"/>
    <w:rsid w:val="00804358"/>
    <w:rsid w:val="00804F92"/>
    <w:rsid w:val="00807F19"/>
    <w:rsid w:val="00807F85"/>
    <w:rsid w:val="0081060D"/>
    <w:rsid w:val="00810A52"/>
    <w:rsid w:val="00810DCF"/>
    <w:rsid w:val="008110C4"/>
    <w:rsid w:val="00811527"/>
    <w:rsid w:val="00811F2C"/>
    <w:rsid w:val="00811FE2"/>
    <w:rsid w:val="008134F5"/>
    <w:rsid w:val="00813D03"/>
    <w:rsid w:val="00814399"/>
    <w:rsid w:val="00815A51"/>
    <w:rsid w:val="00817CF6"/>
    <w:rsid w:val="008208F2"/>
    <w:rsid w:val="00820A66"/>
    <w:rsid w:val="00820F38"/>
    <w:rsid w:val="00822D27"/>
    <w:rsid w:val="008242DA"/>
    <w:rsid w:val="00824A84"/>
    <w:rsid w:val="00826371"/>
    <w:rsid w:val="0082668B"/>
    <w:rsid w:val="0082687A"/>
    <w:rsid w:val="008272AC"/>
    <w:rsid w:val="00830214"/>
    <w:rsid w:val="00830902"/>
    <w:rsid w:val="00832118"/>
    <w:rsid w:val="00832C2F"/>
    <w:rsid w:val="00833EC7"/>
    <w:rsid w:val="00834366"/>
    <w:rsid w:val="008358AE"/>
    <w:rsid w:val="008363D1"/>
    <w:rsid w:val="00836C3B"/>
    <w:rsid w:val="008404FF"/>
    <w:rsid w:val="00840749"/>
    <w:rsid w:val="00840F7C"/>
    <w:rsid w:val="008412E1"/>
    <w:rsid w:val="008413A8"/>
    <w:rsid w:val="00842443"/>
    <w:rsid w:val="00843285"/>
    <w:rsid w:val="00843286"/>
    <w:rsid w:val="00843386"/>
    <w:rsid w:val="00844479"/>
    <w:rsid w:val="00844C79"/>
    <w:rsid w:val="00846122"/>
    <w:rsid w:val="008466C4"/>
    <w:rsid w:val="00850FDB"/>
    <w:rsid w:val="008510D6"/>
    <w:rsid w:val="008522B5"/>
    <w:rsid w:val="0085346F"/>
    <w:rsid w:val="00853C4A"/>
    <w:rsid w:val="00854190"/>
    <w:rsid w:val="00854682"/>
    <w:rsid w:val="00855DA1"/>
    <w:rsid w:val="00856359"/>
    <w:rsid w:val="0085657D"/>
    <w:rsid w:val="008569DC"/>
    <w:rsid w:val="00856DA4"/>
    <w:rsid w:val="00857078"/>
    <w:rsid w:val="00857A3C"/>
    <w:rsid w:val="00860613"/>
    <w:rsid w:val="00861279"/>
    <w:rsid w:val="008612B4"/>
    <w:rsid w:val="00862A90"/>
    <w:rsid w:val="00863D31"/>
    <w:rsid w:val="00863D50"/>
    <w:rsid w:val="0086454A"/>
    <w:rsid w:val="00866E95"/>
    <w:rsid w:val="00867E88"/>
    <w:rsid w:val="00870102"/>
    <w:rsid w:val="00870456"/>
    <w:rsid w:val="008721A5"/>
    <w:rsid w:val="008723A8"/>
    <w:rsid w:val="00872847"/>
    <w:rsid w:val="00872C9B"/>
    <w:rsid w:val="00872E78"/>
    <w:rsid w:val="00872FDB"/>
    <w:rsid w:val="00873451"/>
    <w:rsid w:val="00873471"/>
    <w:rsid w:val="00873C14"/>
    <w:rsid w:val="0087619E"/>
    <w:rsid w:val="00877706"/>
    <w:rsid w:val="00877F7D"/>
    <w:rsid w:val="008811FC"/>
    <w:rsid w:val="00881D54"/>
    <w:rsid w:val="008825CE"/>
    <w:rsid w:val="00882EFB"/>
    <w:rsid w:val="00882F4A"/>
    <w:rsid w:val="0088366A"/>
    <w:rsid w:val="00883A3C"/>
    <w:rsid w:val="0088460D"/>
    <w:rsid w:val="008857AA"/>
    <w:rsid w:val="00885FA2"/>
    <w:rsid w:val="0088688E"/>
    <w:rsid w:val="00887608"/>
    <w:rsid w:val="00887ABB"/>
    <w:rsid w:val="00887FD1"/>
    <w:rsid w:val="008900AF"/>
    <w:rsid w:val="008906E6"/>
    <w:rsid w:val="00890AD0"/>
    <w:rsid w:val="00890B66"/>
    <w:rsid w:val="00891109"/>
    <w:rsid w:val="00891BA0"/>
    <w:rsid w:val="00891BF0"/>
    <w:rsid w:val="00891F38"/>
    <w:rsid w:val="00893E0C"/>
    <w:rsid w:val="00893E72"/>
    <w:rsid w:val="00896BC2"/>
    <w:rsid w:val="00896C06"/>
    <w:rsid w:val="008A072D"/>
    <w:rsid w:val="008A1815"/>
    <w:rsid w:val="008A1C42"/>
    <w:rsid w:val="008A2D63"/>
    <w:rsid w:val="008A2FA0"/>
    <w:rsid w:val="008A3348"/>
    <w:rsid w:val="008A3666"/>
    <w:rsid w:val="008A3889"/>
    <w:rsid w:val="008A4BAF"/>
    <w:rsid w:val="008A56CE"/>
    <w:rsid w:val="008A5CE1"/>
    <w:rsid w:val="008A5EE6"/>
    <w:rsid w:val="008A6398"/>
    <w:rsid w:val="008B048B"/>
    <w:rsid w:val="008B08D3"/>
    <w:rsid w:val="008B19B7"/>
    <w:rsid w:val="008B19E5"/>
    <w:rsid w:val="008B1C16"/>
    <w:rsid w:val="008B2AC1"/>
    <w:rsid w:val="008B2D32"/>
    <w:rsid w:val="008B2D3F"/>
    <w:rsid w:val="008B2E9A"/>
    <w:rsid w:val="008B2EB5"/>
    <w:rsid w:val="008B3ADE"/>
    <w:rsid w:val="008B44C3"/>
    <w:rsid w:val="008B5255"/>
    <w:rsid w:val="008B5613"/>
    <w:rsid w:val="008B62E9"/>
    <w:rsid w:val="008B7050"/>
    <w:rsid w:val="008B7162"/>
    <w:rsid w:val="008C1507"/>
    <w:rsid w:val="008C19A3"/>
    <w:rsid w:val="008C2501"/>
    <w:rsid w:val="008C383B"/>
    <w:rsid w:val="008C3A5F"/>
    <w:rsid w:val="008C44A7"/>
    <w:rsid w:val="008C5671"/>
    <w:rsid w:val="008C59BA"/>
    <w:rsid w:val="008C5D4D"/>
    <w:rsid w:val="008C6671"/>
    <w:rsid w:val="008C739D"/>
    <w:rsid w:val="008C7707"/>
    <w:rsid w:val="008D1695"/>
    <w:rsid w:val="008D22DA"/>
    <w:rsid w:val="008D3273"/>
    <w:rsid w:val="008D3CA0"/>
    <w:rsid w:val="008D4696"/>
    <w:rsid w:val="008D6805"/>
    <w:rsid w:val="008D6CA8"/>
    <w:rsid w:val="008D733D"/>
    <w:rsid w:val="008E0A95"/>
    <w:rsid w:val="008E136A"/>
    <w:rsid w:val="008E14A5"/>
    <w:rsid w:val="008E2213"/>
    <w:rsid w:val="008E2336"/>
    <w:rsid w:val="008E27A7"/>
    <w:rsid w:val="008E33F9"/>
    <w:rsid w:val="008E34A2"/>
    <w:rsid w:val="008E34AE"/>
    <w:rsid w:val="008E3BA7"/>
    <w:rsid w:val="008E3D1C"/>
    <w:rsid w:val="008E4D1F"/>
    <w:rsid w:val="008E694D"/>
    <w:rsid w:val="008E78B4"/>
    <w:rsid w:val="008F047E"/>
    <w:rsid w:val="008F2841"/>
    <w:rsid w:val="008F2959"/>
    <w:rsid w:val="008F399F"/>
    <w:rsid w:val="008F39F1"/>
    <w:rsid w:val="008F432C"/>
    <w:rsid w:val="008F4916"/>
    <w:rsid w:val="008F6034"/>
    <w:rsid w:val="008F7859"/>
    <w:rsid w:val="008F7ADB"/>
    <w:rsid w:val="008F7CC9"/>
    <w:rsid w:val="009001B0"/>
    <w:rsid w:val="00900940"/>
    <w:rsid w:val="00900CC0"/>
    <w:rsid w:val="0090288E"/>
    <w:rsid w:val="009038F9"/>
    <w:rsid w:val="00905028"/>
    <w:rsid w:val="009055D6"/>
    <w:rsid w:val="00905AAB"/>
    <w:rsid w:val="009068C3"/>
    <w:rsid w:val="00906F53"/>
    <w:rsid w:val="0090775D"/>
    <w:rsid w:val="00910432"/>
    <w:rsid w:val="0091050C"/>
    <w:rsid w:val="00911865"/>
    <w:rsid w:val="00911A8D"/>
    <w:rsid w:val="00912D34"/>
    <w:rsid w:val="009139AF"/>
    <w:rsid w:val="009148EC"/>
    <w:rsid w:val="00914BFD"/>
    <w:rsid w:val="00914CD2"/>
    <w:rsid w:val="00915EF9"/>
    <w:rsid w:val="009174DB"/>
    <w:rsid w:val="009174F6"/>
    <w:rsid w:val="00917A99"/>
    <w:rsid w:val="00920831"/>
    <w:rsid w:val="00921BFB"/>
    <w:rsid w:val="00921EF9"/>
    <w:rsid w:val="00922AFA"/>
    <w:rsid w:val="00922BF2"/>
    <w:rsid w:val="009234FD"/>
    <w:rsid w:val="00923665"/>
    <w:rsid w:val="00924258"/>
    <w:rsid w:val="00924973"/>
    <w:rsid w:val="00924ED5"/>
    <w:rsid w:val="0092631A"/>
    <w:rsid w:val="009272E3"/>
    <w:rsid w:val="009311DF"/>
    <w:rsid w:val="009314B6"/>
    <w:rsid w:val="0093152E"/>
    <w:rsid w:val="009315A3"/>
    <w:rsid w:val="00931779"/>
    <w:rsid w:val="00931E42"/>
    <w:rsid w:val="0093252C"/>
    <w:rsid w:val="0093283A"/>
    <w:rsid w:val="0093430F"/>
    <w:rsid w:val="009356B3"/>
    <w:rsid w:val="00935AC3"/>
    <w:rsid w:val="00935EAC"/>
    <w:rsid w:val="00937529"/>
    <w:rsid w:val="00940DF7"/>
    <w:rsid w:val="00940F2E"/>
    <w:rsid w:val="00942405"/>
    <w:rsid w:val="00942818"/>
    <w:rsid w:val="00942AD5"/>
    <w:rsid w:val="00942F66"/>
    <w:rsid w:val="00943510"/>
    <w:rsid w:val="00943A66"/>
    <w:rsid w:val="00944371"/>
    <w:rsid w:val="00944529"/>
    <w:rsid w:val="00944CB3"/>
    <w:rsid w:val="00944D10"/>
    <w:rsid w:val="009450BA"/>
    <w:rsid w:val="009454B6"/>
    <w:rsid w:val="009460DF"/>
    <w:rsid w:val="00946929"/>
    <w:rsid w:val="00946D29"/>
    <w:rsid w:val="009474F2"/>
    <w:rsid w:val="00950E7E"/>
    <w:rsid w:val="00952AEF"/>
    <w:rsid w:val="00955C33"/>
    <w:rsid w:val="0095625A"/>
    <w:rsid w:val="00956446"/>
    <w:rsid w:val="00957B4C"/>
    <w:rsid w:val="009603BF"/>
    <w:rsid w:val="00960B5B"/>
    <w:rsid w:val="00960F24"/>
    <w:rsid w:val="00960FAF"/>
    <w:rsid w:val="00960FBE"/>
    <w:rsid w:val="0096172B"/>
    <w:rsid w:val="00961C91"/>
    <w:rsid w:val="009628F6"/>
    <w:rsid w:val="00962AB8"/>
    <w:rsid w:val="00962CB7"/>
    <w:rsid w:val="00962E64"/>
    <w:rsid w:val="00963AA3"/>
    <w:rsid w:val="00963B80"/>
    <w:rsid w:val="00964478"/>
    <w:rsid w:val="009651FA"/>
    <w:rsid w:val="00966080"/>
    <w:rsid w:val="0096628F"/>
    <w:rsid w:val="009664DD"/>
    <w:rsid w:val="00966F48"/>
    <w:rsid w:val="0096744E"/>
    <w:rsid w:val="009704A0"/>
    <w:rsid w:val="00970792"/>
    <w:rsid w:val="00970EB5"/>
    <w:rsid w:val="00971E1A"/>
    <w:rsid w:val="00971EE1"/>
    <w:rsid w:val="00973197"/>
    <w:rsid w:val="00973E14"/>
    <w:rsid w:val="009753FB"/>
    <w:rsid w:val="00975439"/>
    <w:rsid w:val="009756E8"/>
    <w:rsid w:val="00976F97"/>
    <w:rsid w:val="00977317"/>
    <w:rsid w:val="009802E6"/>
    <w:rsid w:val="009804C2"/>
    <w:rsid w:val="00980AFA"/>
    <w:rsid w:val="00980C11"/>
    <w:rsid w:val="00981086"/>
    <w:rsid w:val="0098257D"/>
    <w:rsid w:val="0098302F"/>
    <w:rsid w:val="009831C8"/>
    <w:rsid w:val="00983D28"/>
    <w:rsid w:val="0098474E"/>
    <w:rsid w:val="009857EB"/>
    <w:rsid w:val="00986110"/>
    <w:rsid w:val="009869D5"/>
    <w:rsid w:val="00987232"/>
    <w:rsid w:val="009877E3"/>
    <w:rsid w:val="00990104"/>
    <w:rsid w:val="0099047A"/>
    <w:rsid w:val="009905A0"/>
    <w:rsid w:val="00990EC7"/>
    <w:rsid w:val="00991B95"/>
    <w:rsid w:val="00991D3E"/>
    <w:rsid w:val="00992630"/>
    <w:rsid w:val="00992840"/>
    <w:rsid w:val="00993064"/>
    <w:rsid w:val="00994C6F"/>
    <w:rsid w:val="00994CC4"/>
    <w:rsid w:val="00995379"/>
    <w:rsid w:val="009968AC"/>
    <w:rsid w:val="00996911"/>
    <w:rsid w:val="00996DB9"/>
    <w:rsid w:val="009976E7"/>
    <w:rsid w:val="009A044E"/>
    <w:rsid w:val="009A10AD"/>
    <w:rsid w:val="009A10DD"/>
    <w:rsid w:val="009A11ED"/>
    <w:rsid w:val="009A1795"/>
    <w:rsid w:val="009A1CB0"/>
    <w:rsid w:val="009A2547"/>
    <w:rsid w:val="009A4D66"/>
    <w:rsid w:val="009A5821"/>
    <w:rsid w:val="009A63A6"/>
    <w:rsid w:val="009A65F0"/>
    <w:rsid w:val="009A67A1"/>
    <w:rsid w:val="009A7026"/>
    <w:rsid w:val="009A702B"/>
    <w:rsid w:val="009A7D0C"/>
    <w:rsid w:val="009A7F30"/>
    <w:rsid w:val="009B069B"/>
    <w:rsid w:val="009B097A"/>
    <w:rsid w:val="009B10E0"/>
    <w:rsid w:val="009B18EB"/>
    <w:rsid w:val="009B27DF"/>
    <w:rsid w:val="009B36AF"/>
    <w:rsid w:val="009B393A"/>
    <w:rsid w:val="009B5A7A"/>
    <w:rsid w:val="009B7972"/>
    <w:rsid w:val="009B7A5A"/>
    <w:rsid w:val="009C040E"/>
    <w:rsid w:val="009C0544"/>
    <w:rsid w:val="009C0DD6"/>
    <w:rsid w:val="009C1B29"/>
    <w:rsid w:val="009C1C07"/>
    <w:rsid w:val="009C1F84"/>
    <w:rsid w:val="009C38A8"/>
    <w:rsid w:val="009C38DF"/>
    <w:rsid w:val="009C40F8"/>
    <w:rsid w:val="009C5A3E"/>
    <w:rsid w:val="009C5D66"/>
    <w:rsid w:val="009C6CC1"/>
    <w:rsid w:val="009D05F1"/>
    <w:rsid w:val="009D089E"/>
    <w:rsid w:val="009D094F"/>
    <w:rsid w:val="009D0BF3"/>
    <w:rsid w:val="009D0E88"/>
    <w:rsid w:val="009D0EB6"/>
    <w:rsid w:val="009D1003"/>
    <w:rsid w:val="009D24D7"/>
    <w:rsid w:val="009D256E"/>
    <w:rsid w:val="009D2DB6"/>
    <w:rsid w:val="009D2EAF"/>
    <w:rsid w:val="009D2F47"/>
    <w:rsid w:val="009D2FB9"/>
    <w:rsid w:val="009D3067"/>
    <w:rsid w:val="009D39EE"/>
    <w:rsid w:val="009D3B45"/>
    <w:rsid w:val="009D4E78"/>
    <w:rsid w:val="009D5487"/>
    <w:rsid w:val="009D55B8"/>
    <w:rsid w:val="009D5F35"/>
    <w:rsid w:val="009D674E"/>
    <w:rsid w:val="009D6791"/>
    <w:rsid w:val="009D7835"/>
    <w:rsid w:val="009D7CDF"/>
    <w:rsid w:val="009D7EFC"/>
    <w:rsid w:val="009E05AC"/>
    <w:rsid w:val="009E1548"/>
    <w:rsid w:val="009E1649"/>
    <w:rsid w:val="009E172B"/>
    <w:rsid w:val="009E1B55"/>
    <w:rsid w:val="009E204D"/>
    <w:rsid w:val="009E253A"/>
    <w:rsid w:val="009E25F5"/>
    <w:rsid w:val="009E39C0"/>
    <w:rsid w:val="009E4CE0"/>
    <w:rsid w:val="009E523E"/>
    <w:rsid w:val="009E5367"/>
    <w:rsid w:val="009E7B93"/>
    <w:rsid w:val="009F0062"/>
    <w:rsid w:val="009F0349"/>
    <w:rsid w:val="009F1CE1"/>
    <w:rsid w:val="009F1E76"/>
    <w:rsid w:val="009F2D48"/>
    <w:rsid w:val="009F2FEB"/>
    <w:rsid w:val="009F3268"/>
    <w:rsid w:val="009F4230"/>
    <w:rsid w:val="009F4860"/>
    <w:rsid w:val="009F58F4"/>
    <w:rsid w:val="009F5F2C"/>
    <w:rsid w:val="009F6749"/>
    <w:rsid w:val="009F6A7F"/>
    <w:rsid w:val="009F6C56"/>
    <w:rsid w:val="00A0021A"/>
    <w:rsid w:val="00A0178C"/>
    <w:rsid w:val="00A01D67"/>
    <w:rsid w:val="00A01EAA"/>
    <w:rsid w:val="00A0206E"/>
    <w:rsid w:val="00A02A33"/>
    <w:rsid w:val="00A02F5D"/>
    <w:rsid w:val="00A031CC"/>
    <w:rsid w:val="00A0323B"/>
    <w:rsid w:val="00A04192"/>
    <w:rsid w:val="00A04474"/>
    <w:rsid w:val="00A0482C"/>
    <w:rsid w:val="00A06A94"/>
    <w:rsid w:val="00A0762A"/>
    <w:rsid w:val="00A0776D"/>
    <w:rsid w:val="00A0778F"/>
    <w:rsid w:val="00A1004D"/>
    <w:rsid w:val="00A1182A"/>
    <w:rsid w:val="00A13922"/>
    <w:rsid w:val="00A13DB8"/>
    <w:rsid w:val="00A13F1D"/>
    <w:rsid w:val="00A1482D"/>
    <w:rsid w:val="00A14AA1"/>
    <w:rsid w:val="00A155ED"/>
    <w:rsid w:val="00A15F37"/>
    <w:rsid w:val="00A16191"/>
    <w:rsid w:val="00A163E3"/>
    <w:rsid w:val="00A16B96"/>
    <w:rsid w:val="00A220C0"/>
    <w:rsid w:val="00A22229"/>
    <w:rsid w:val="00A2239A"/>
    <w:rsid w:val="00A2295F"/>
    <w:rsid w:val="00A22A52"/>
    <w:rsid w:val="00A23246"/>
    <w:rsid w:val="00A24A2E"/>
    <w:rsid w:val="00A25215"/>
    <w:rsid w:val="00A25889"/>
    <w:rsid w:val="00A2710F"/>
    <w:rsid w:val="00A3034C"/>
    <w:rsid w:val="00A30764"/>
    <w:rsid w:val="00A325EE"/>
    <w:rsid w:val="00A338A1"/>
    <w:rsid w:val="00A349CB"/>
    <w:rsid w:val="00A34E5A"/>
    <w:rsid w:val="00A3508F"/>
    <w:rsid w:val="00A35D8A"/>
    <w:rsid w:val="00A364F7"/>
    <w:rsid w:val="00A36CE8"/>
    <w:rsid w:val="00A36DDD"/>
    <w:rsid w:val="00A378ED"/>
    <w:rsid w:val="00A37C13"/>
    <w:rsid w:val="00A425BA"/>
    <w:rsid w:val="00A42D6B"/>
    <w:rsid w:val="00A42EEB"/>
    <w:rsid w:val="00A430E2"/>
    <w:rsid w:val="00A4316F"/>
    <w:rsid w:val="00A447E7"/>
    <w:rsid w:val="00A44A0C"/>
    <w:rsid w:val="00A454B6"/>
    <w:rsid w:val="00A4559F"/>
    <w:rsid w:val="00A45FC0"/>
    <w:rsid w:val="00A46558"/>
    <w:rsid w:val="00A472F8"/>
    <w:rsid w:val="00A50571"/>
    <w:rsid w:val="00A50AEA"/>
    <w:rsid w:val="00A5314F"/>
    <w:rsid w:val="00A53F81"/>
    <w:rsid w:val="00A54055"/>
    <w:rsid w:val="00A54B25"/>
    <w:rsid w:val="00A54D53"/>
    <w:rsid w:val="00A55882"/>
    <w:rsid w:val="00A5590F"/>
    <w:rsid w:val="00A569E0"/>
    <w:rsid w:val="00A56B6B"/>
    <w:rsid w:val="00A60311"/>
    <w:rsid w:val="00A60546"/>
    <w:rsid w:val="00A61107"/>
    <w:rsid w:val="00A63272"/>
    <w:rsid w:val="00A63EEE"/>
    <w:rsid w:val="00A6445C"/>
    <w:rsid w:val="00A66054"/>
    <w:rsid w:val="00A66F1E"/>
    <w:rsid w:val="00A6760A"/>
    <w:rsid w:val="00A676D3"/>
    <w:rsid w:val="00A679AD"/>
    <w:rsid w:val="00A71142"/>
    <w:rsid w:val="00A711B7"/>
    <w:rsid w:val="00A7149F"/>
    <w:rsid w:val="00A72C93"/>
    <w:rsid w:val="00A72DB7"/>
    <w:rsid w:val="00A72FF3"/>
    <w:rsid w:val="00A7410C"/>
    <w:rsid w:val="00A754A0"/>
    <w:rsid w:val="00A76082"/>
    <w:rsid w:val="00A7784F"/>
    <w:rsid w:val="00A80A07"/>
    <w:rsid w:val="00A811D6"/>
    <w:rsid w:val="00A81F02"/>
    <w:rsid w:val="00A82860"/>
    <w:rsid w:val="00A82B36"/>
    <w:rsid w:val="00A82F07"/>
    <w:rsid w:val="00A832BA"/>
    <w:rsid w:val="00A8331B"/>
    <w:rsid w:val="00A83BF6"/>
    <w:rsid w:val="00A84963"/>
    <w:rsid w:val="00A84D9C"/>
    <w:rsid w:val="00A85048"/>
    <w:rsid w:val="00A86552"/>
    <w:rsid w:val="00A86CD7"/>
    <w:rsid w:val="00A86D7C"/>
    <w:rsid w:val="00A8750A"/>
    <w:rsid w:val="00A9017B"/>
    <w:rsid w:val="00A90878"/>
    <w:rsid w:val="00A91266"/>
    <w:rsid w:val="00A9266A"/>
    <w:rsid w:val="00A9310D"/>
    <w:rsid w:val="00A9367D"/>
    <w:rsid w:val="00A950F4"/>
    <w:rsid w:val="00A9567A"/>
    <w:rsid w:val="00A96783"/>
    <w:rsid w:val="00A97098"/>
    <w:rsid w:val="00A97337"/>
    <w:rsid w:val="00A97B08"/>
    <w:rsid w:val="00A97D41"/>
    <w:rsid w:val="00A97F5A"/>
    <w:rsid w:val="00A97F92"/>
    <w:rsid w:val="00AA0D5A"/>
    <w:rsid w:val="00AA17F7"/>
    <w:rsid w:val="00AA253F"/>
    <w:rsid w:val="00AA25AC"/>
    <w:rsid w:val="00AA28D2"/>
    <w:rsid w:val="00AA2D58"/>
    <w:rsid w:val="00AA4A27"/>
    <w:rsid w:val="00AA4C06"/>
    <w:rsid w:val="00AA5C1F"/>
    <w:rsid w:val="00AA62A7"/>
    <w:rsid w:val="00AA7E5F"/>
    <w:rsid w:val="00AB0ED1"/>
    <w:rsid w:val="00AB16F3"/>
    <w:rsid w:val="00AB1ED1"/>
    <w:rsid w:val="00AB23B0"/>
    <w:rsid w:val="00AB2567"/>
    <w:rsid w:val="00AB3273"/>
    <w:rsid w:val="00AB3537"/>
    <w:rsid w:val="00AB365A"/>
    <w:rsid w:val="00AB3A63"/>
    <w:rsid w:val="00AB4201"/>
    <w:rsid w:val="00AB453D"/>
    <w:rsid w:val="00AB48D1"/>
    <w:rsid w:val="00AB4CFC"/>
    <w:rsid w:val="00AB5363"/>
    <w:rsid w:val="00AB58F2"/>
    <w:rsid w:val="00AB5E9F"/>
    <w:rsid w:val="00AB61EF"/>
    <w:rsid w:val="00AB689B"/>
    <w:rsid w:val="00AB747A"/>
    <w:rsid w:val="00AB7541"/>
    <w:rsid w:val="00AB7CDE"/>
    <w:rsid w:val="00AC0AAA"/>
    <w:rsid w:val="00AC0D62"/>
    <w:rsid w:val="00AC1771"/>
    <w:rsid w:val="00AC1934"/>
    <w:rsid w:val="00AC277A"/>
    <w:rsid w:val="00AC41F9"/>
    <w:rsid w:val="00AC4EEC"/>
    <w:rsid w:val="00AC5B51"/>
    <w:rsid w:val="00AC6C46"/>
    <w:rsid w:val="00AC6D5D"/>
    <w:rsid w:val="00AC6F64"/>
    <w:rsid w:val="00AC706B"/>
    <w:rsid w:val="00AC7487"/>
    <w:rsid w:val="00AC7B00"/>
    <w:rsid w:val="00AD03D9"/>
    <w:rsid w:val="00AD20AF"/>
    <w:rsid w:val="00AD25AD"/>
    <w:rsid w:val="00AD3A59"/>
    <w:rsid w:val="00AD3BBF"/>
    <w:rsid w:val="00AD4353"/>
    <w:rsid w:val="00AD485D"/>
    <w:rsid w:val="00AD613B"/>
    <w:rsid w:val="00AE079E"/>
    <w:rsid w:val="00AE0D0C"/>
    <w:rsid w:val="00AE1BA9"/>
    <w:rsid w:val="00AE2387"/>
    <w:rsid w:val="00AE4002"/>
    <w:rsid w:val="00AE6E19"/>
    <w:rsid w:val="00AE724E"/>
    <w:rsid w:val="00AE76A8"/>
    <w:rsid w:val="00AF09A0"/>
    <w:rsid w:val="00AF1091"/>
    <w:rsid w:val="00AF153A"/>
    <w:rsid w:val="00AF18A6"/>
    <w:rsid w:val="00AF18CA"/>
    <w:rsid w:val="00AF1CFD"/>
    <w:rsid w:val="00AF2306"/>
    <w:rsid w:val="00AF2617"/>
    <w:rsid w:val="00AF2AE5"/>
    <w:rsid w:val="00AF2B00"/>
    <w:rsid w:val="00AF3AD9"/>
    <w:rsid w:val="00AF4640"/>
    <w:rsid w:val="00AF5145"/>
    <w:rsid w:val="00AF52CD"/>
    <w:rsid w:val="00AF58F3"/>
    <w:rsid w:val="00AF5ABA"/>
    <w:rsid w:val="00AF6D5C"/>
    <w:rsid w:val="00AF6D94"/>
    <w:rsid w:val="00B00317"/>
    <w:rsid w:val="00B0149D"/>
    <w:rsid w:val="00B014EC"/>
    <w:rsid w:val="00B04FE2"/>
    <w:rsid w:val="00B05126"/>
    <w:rsid w:val="00B05277"/>
    <w:rsid w:val="00B05777"/>
    <w:rsid w:val="00B05B5E"/>
    <w:rsid w:val="00B06527"/>
    <w:rsid w:val="00B07EE5"/>
    <w:rsid w:val="00B10C3C"/>
    <w:rsid w:val="00B11271"/>
    <w:rsid w:val="00B112A5"/>
    <w:rsid w:val="00B116FF"/>
    <w:rsid w:val="00B118CF"/>
    <w:rsid w:val="00B12833"/>
    <w:rsid w:val="00B12D4B"/>
    <w:rsid w:val="00B140E9"/>
    <w:rsid w:val="00B14557"/>
    <w:rsid w:val="00B1471D"/>
    <w:rsid w:val="00B15438"/>
    <w:rsid w:val="00B17281"/>
    <w:rsid w:val="00B2131B"/>
    <w:rsid w:val="00B21BF3"/>
    <w:rsid w:val="00B222E2"/>
    <w:rsid w:val="00B230A8"/>
    <w:rsid w:val="00B2310C"/>
    <w:rsid w:val="00B23328"/>
    <w:rsid w:val="00B233EC"/>
    <w:rsid w:val="00B23B81"/>
    <w:rsid w:val="00B242B1"/>
    <w:rsid w:val="00B24E54"/>
    <w:rsid w:val="00B25994"/>
    <w:rsid w:val="00B27646"/>
    <w:rsid w:val="00B30A4E"/>
    <w:rsid w:val="00B31A01"/>
    <w:rsid w:val="00B31E3C"/>
    <w:rsid w:val="00B32C18"/>
    <w:rsid w:val="00B33037"/>
    <w:rsid w:val="00B33732"/>
    <w:rsid w:val="00B3483B"/>
    <w:rsid w:val="00B35C7E"/>
    <w:rsid w:val="00B35D32"/>
    <w:rsid w:val="00B36448"/>
    <w:rsid w:val="00B377F6"/>
    <w:rsid w:val="00B40FEB"/>
    <w:rsid w:val="00B416B1"/>
    <w:rsid w:val="00B418F4"/>
    <w:rsid w:val="00B426A2"/>
    <w:rsid w:val="00B42D4E"/>
    <w:rsid w:val="00B43376"/>
    <w:rsid w:val="00B43E68"/>
    <w:rsid w:val="00B44209"/>
    <w:rsid w:val="00B44CCC"/>
    <w:rsid w:val="00B44EAC"/>
    <w:rsid w:val="00B465C8"/>
    <w:rsid w:val="00B472C9"/>
    <w:rsid w:val="00B47636"/>
    <w:rsid w:val="00B47C1C"/>
    <w:rsid w:val="00B47F43"/>
    <w:rsid w:val="00B506AC"/>
    <w:rsid w:val="00B50773"/>
    <w:rsid w:val="00B50D1B"/>
    <w:rsid w:val="00B50E2C"/>
    <w:rsid w:val="00B51364"/>
    <w:rsid w:val="00B517ED"/>
    <w:rsid w:val="00B52041"/>
    <w:rsid w:val="00B52A2C"/>
    <w:rsid w:val="00B52F1D"/>
    <w:rsid w:val="00B53170"/>
    <w:rsid w:val="00B536A8"/>
    <w:rsid w:val="00B53B00"/>
    <w:rsid w:val="00B54AE6"/>
    <w:rsid w:val="00B54F8C"/>
    <w:rsid w:val="00B551CF"/>
    <w:rsid w:val="00B56D06"/>
    <w:rsid w:val="00B5765A"/>
    <w:rsid w:val="00B60C22"/>
    <w:rsid w:val="00B616A0"/>
    <w:rsid w:val="00B620CA"/>
    <w:rsid w:val="00B6232A"/>
    <w:rsid w:val="00B62B8F"/>
    <w:rsid w:val="00B62D75"/>
    <w:rsid w:val="00B63850"/>
    <w:rsid w:val="00B6475C"/>
    <w:rsid w:val="00B649F7"/>
    <w:rsid w:val="00B667C6"/>
    <w:rsid w:val="00B66DB7"/>
    <w:rsid w:val="00B67ADB"/>
    <w:rsid w:val="00B70A7F"/>
    <w:rsid w:val="00B716B3"/>
    <w:rsid w:val="00B719C9"/>
    <w:rsid w:val="00B71C25"/>
    <w:rsid w:val="00B71D4B"/>
    <w:rsid w:val="00B7214B"/>
    <w:rsid w:val="00B72A9B"/>
    <w:rsid w:val="00B73636"/>
    <w:rsid w:val="00B7370E"/>
    <w:rsid w:val="00B7381A"/>
    <w:rsid w:val="00B73C08"/>
    <w:rsid w:val="00B7439C"/>
    <w:rsid w:val="00B743D7"/>
    <w:rsid w:val="00B7534C"/>
    <w:rsid w:val="00B7657E"/>
    <w:rsid w:val="00B76793"/>
    <w:rsid w:val="00B76C42"/>
    <w:rsid w:val="00B76CBC"/>
    <w:rsid w:val="00B770C9"/>
    <w:rsid w:val="00B80C63"/>
    <w:rsid w:val="00B819ED"/>
    <w:rsid w:val="00B8390E"/>
    <w:rsid w:val="00B83CA3"/>
    <w:rsid w:val="00B84219"/>
    <w:rsid w:val="00B84275"/>
    <w:rsid w:val="00B84382"/>
    <w:rsid w:val="00B85068"/>
    <w:rsid w:val="00B85154"/>
    <w:rsid w:val="00B85546"/>
    <w:rsid w:val="00B85D8E"/>
    <w:rsid w:val="00B87377"/>
    <w:rsid w:val="00B87EA2"/>
    <w:rsid w:val="00B90139"/>
    <w:rsid w:val="00B913AA"/>
    <w:rsid w:val="00B91481"/>
    <w:rsid w:val="00B91B01"/>
    <w:rsid w:val="00B9205C"/>
    <w:rsid w:val="00B925BA"/>
    <w:rsid w:val="00B93031"/>
    <w:rsid w:val="00B9335D"/>
    <w:rsid w:val="00B94400"/>
    <w:rsid w:val="00B95673"/>
    <w:rsid w:val="00B961C8"/>
    <w:rsid w:val="00B96C2A"/>
    <w:rsid w:val="00B96FD4"/>
    <w:rsid w:val="00B97971"/>
    <w:rsid w:val="00B97D8D"/>
    <w:rsid w:val="00BA04E1"/>
    <w:rsid w:val="00BA18D1"/>
    <w:rsid w:val="00BA19E0"/>
    <w:rsid w:val="00BA1D00"/>
    <w:rsid w:val="00BA1F8A"/>
    <w:rsid w:val="00BA258C"/>
    <w:rsid w:val="00BA280D"/>
    <w:rsid w:val="00BA3140"/>
    <w:rsid w:val="00BA321E"/>
    <w:rsid w:val="00BA3EDB"/>
    <w:rsid w:val="00BA4441"/>
    <w:rsid w:val="00BA46B0"/>
    <w:rsid w:val="00BA47DA"/>
    <w:rsid w:val="00BA4E91"/>
    <w:rsid w:val="00BA5E59"/>
    <w:rsid w:val="00BA62A1"/>
    <w:rsid w:val="00BA6D0B"/>
    <w:rsid w:val="00BA75F2"/>
    <w:rsid w:val="00BB0F17"/>
    <w:rsid w:val="00BB1A4D"/>
    <w:rsid w:val="00BB1A9F"/>
    <w:rsid w:val="00BB228F"/>
    <w:rsid w:val="00BB304B"/>
    <w:rsid w:val="00BB347F"/>
    <w:rsid w:val="00BB36ED"/>
    <w:rsid w:val="00BB50DE"/>
    <w:rsid w:val="00BB641A"/>
    <w:rsid w:val="00BB6DED"/>
    <w:rsid w:val="00BB79A4"/>
    <w:rsid w:val="00BB7A89"/>
    <w:rsid w:val="00BB7CBB"/>
    <w:rsid w:val="00BC08D4"/>
    <w:rsid w:val="00BC0CB8"/>
    <w:rsid w:val="00BC0EE4"/>
    <w:rsid w:val="00BC1B82"/>
    <w:rsid w:val="00BC1D46"/>
    <w:rsid w:val="00BC21D7"/>
    <w:rsid w:val="00BC4A61"/>
    <w:rsid w:val="00BC52EB"/>
    <w:rsid w:val="00BC5978"/>
    <w:rsid w:val="00BC5A14"/>
    <w:rsid w:val="00BC63D5"/>
    <w:rsid w:val="00BC6876"/>
    <w:rsid w:val="00BD0100"/>
    <w:rsid w:val="00BD297C"/>
    <w:rsid w:val="00BD2BB6"/>
    <w:rsid w:val="00BD4509"/>
    <w:rsid w:val="00BD483C"/>
    <w:rsid w:val="00BD4931"/>
    <w:rsid w:val="00BD499A"/>
    <w:rsid w:val="00BD532D"/>
    <w:rsid w:val="00BD6018"/>
    <w:rsid w:val="00BD6F03"/>
    <w:rsid w:val="00BD6FDA"/>
    <w:rsid w:val="00BD77B5"/>
    <w:rsid w:val="00BD7A55"/>
    <w:rsid w:val="00BE00E4"/>
    <w:rsid w:val="00BE0270"/>
    <w:rsid w:val="00BE0809"/>
    <w:rsid w:val="00BE0965"/>
    <w:rsid w:val="00BE0D73"/>
    <w:rsid w:val="00BE0DD9"/>
    <w:rsid w:val="00BE180E"/>
    <w:rsid w:val="00BE19CD"/>
    <w:rsid w:val="00BE21A8"/>
    <w:rsid w:val="00BE2827"/>
    <w:rsid w:val="00BE2CB6"/>
    <w:rsid w:val="00BE331A"/>
    <w:rsid w:val="00BE391E"/>
    <w:rsid w:val="00BE4444"/>
    <w:rsid w:val="00BE48B7"/>
    <w:rsid w:val="00BE4C20"/>
    <w:rsid w:val="00BE53BC"/>
    <w:rsid w:val="00BE5574"/>
    <w:rsid w:val="00BE5CDB"/>
    <w:rsid w:val="00BE5DF3"/>
    <w:rsid w:val="00BE61B0"/>
    <w:rsid w:val="00BE6BFF"/>
    <w:rsid w:val="00BE74B4"/>
    <w:rsid w:val="00BE74D9"/>
    <w:rsid w:val="00BF01E3"/>
    <w:rsid w:val="00BF0B84"/>
    <w:rsid w:val="00BF19A0"/>
    <w:rsid w:val="00BF2280"/>
    <w:rsid w:val="00BF4843"/>
    <w:rsid w:val="00BF4B69"/>
    <w:rsid w:val="00BF5F81"/>
    <w:rsid w:val="00BF6456"/>
    <w:rsid w:val="00BF6462"/>
    <w:rsid w:val="00BF6F8D"/>
    <w:rsid w:val="00BF7738"/>
    <w:rsid w:val="00BF77A4"/>
    <w:rsid w:val="00C00471"/>
    <w:rsid w:val="00C011B3"/>
    <w:rsid w:val="00C014C6"/>
    <w:rsid w:val="00C01839"/>
    <w:rsid w:val="00C01BF8"/>
    <w:rsid w:val="00C02043"/>
    <w:rsid w:val="00C04A40"/>
    <w:rsid w:val="00C04F50"/>
    <w:rsid w:val="00C05E06"/>
    <w:rsid w:val="00C06FED"/>
    <w:rsid w:val="00C0702F"/>
    <w:rsid w:val="00C076D3"/>
    <w:rsid w:val="00C1041E"/>
    <w:rsid w:val="00C1044E"/>
    <w:rsid w:val="00C10EB9"/>
    <w:rsid w:val="00C11E3B"/>
    <w:rsid w:val="00C1233D"/>
    <w:rsid w:val="00C12AFA"/>
    <w:rsid w:val="00C12E9A"/>
    <w:rsid w:val="00C1412B"/>
    <w:rsid w:val="00C15578"/>
    <w:rsid w:val="00C15648"/>
    <w:rsid w:val="00C16E21"/>
    <w:rsid w:val="00C17244"/>
    <w:rsid w:val="00C2000C"/>
    <w:rsid w:val="00C2020E"/>
    <w:rsid w:val="00C20265"/>
    <w:rsid w:val="00C2049A"/>
    <w:rsid w:val="00C20ECB"/>
    <w:rsid w:val="00C2112F"/>
    <w:rsid w:val="00C21CA1"/>
    <w:rsid w:val="00C21D7D"/>
    <w:rsid w:val="00C21FB0"/>
    <w:rsid w:val="00C24142"/>
    <w:rsid w:val="00C257EC"/>
    <w:rsid w:val="00C25B6F"/>
    <w:rsid w:val="00C25CA5"/>
    <w:rsid w:val="00C2605E"/>
    <w:rsid w:val="00C2648E"/>
    <w:rsid w:val="00C26B97"/>
    <w:rsid w:val="00C27BE2"/>
    <w:rsid w:val="00C30194"/>
    <w:rsid w:val="00C30973"/>
    <w:rsid w:val="00C30F85"/>
    <w:rsid w:val="00C31129"/>
    <w:rsid w:val="00C313E7"/>
    <w:rsid w:val="00C3210B"/>
    <w:rsid w:val="00C326A9"/>
    <w:rsid w:val="00C34EEE"/>
    <w:rsid w:val="00C3561D"/>
    <w:rsid w:val="00C3654D"/>
    <w:rsid w:val="00C369FE"/>
    <w:rsid w:val="00C410EB"/>
    <w:rsid w:val="00C4196A"/>
    <w:rsid w:val="00C41CF2"/>
    <w:rsid w:val="00C41E47"/>
    <w:rsid w:val="00C42E87"/>
    <w:rsid w:val="00C42F00"/>
    <w:rsid w:val="00C43453"/>
    <w:rsid w:val="00C44924"/>
    <w:rsid w:val="00C45097"/>
    <w:rsid w:val="00C45C93"/>
    <w:rsid w:val="00C461EB"/>
    <w:rsid w:val="00C50077"/>
    <w:rsid w:val="00C51720"/>
    <w:rsid w:val="00C51E03"/>
    <w:rsid w:val="00C520D7"/>
    <w:rsid w:val="00C52B35"/>
    <w:rsid w:val="00C5372C"/>
    <w:rsid w:val="00C53769"/>
    <w:rsid w:val="00C53EEF"/>
    <w:rsid w:val="00C55CD2"/>
    <w:rsid w:val="00C55E91"/>
    <w:rsid w:val="00C562B4"/>
    <w:rsid w:val="00C56832"/>
    <w:rsid w:val="00C56C08"/>
    <w:rsid w:val="00C57869"/>
    <w:rsid w:val="00C60DF5"/>
    <w:rsid w:val="00C60FED"/>
    <w:rsid w:val="00C627A3"/>
    <w:rsid w:val="00C64C2F"/>
    <w:rsid w:val="00C6528A"/>
    <w:rsid w:val="00C6546A"/>
    <w:rsid w:val="00C66586"/>
    <w:rsid w:val="00C665F2"/>
    <w:rsid w:val="00C672BF"/>
    <w:rsid w:val="00C6749F"/>
    <w:rsid w:val="00C676D3"/>
    <w:rsid w:val="00C7054B"/>
    <w:rsid w:val="00C70598"/>
    <w:rsid w:val="00C71439"/>
    <w:rsid w:val="00C72AE9"/>
    <w:rsid w:val="00C7375A"/>
    <w:rsid w:val="00C74048"/>
    <w:rsid w:val="00C74654"/>
    <w:rsid w:val="00C74775"/>
    <w:rsid w:val="00C74F0F"/>
    <w:rsid w:val="00C754A8"/>
    <w:rsid w:val="00C7556D"/>
    <w:rsid w:val="00C75F55"/>
    <w:rsid w:val="00C76725"/>
    <w:rsid w:val="00C77FDD"/>
    <w:rsid w:val="00C81867"/>
    <w:rsid w:val="00C81AAE"/>
    <w:rsid w:val="00C81EBC"/>
    <w:rsid w:val="00C82FE1"/>
    <w:rsid w:val="00C847AA"/>
    <w:rsid w:val="00C84C3A"/>
    <w:rsid w:val="00C86300"/>
    <w:rsid w:val="00C8679C"/>
    <w:rsid w:val="00C8685C"/>
    <w:rsid w:val="00C873BE"/>
    <w:rsid w:val="00C87645"/>
    <w:rsid w:val="00C87795"/>
    <w:rsid w:val="00C8788F"/>
    <w:rsid w:val="00C878A2"/>
    <w:rsid w:val="00C93936"/>
    <w:rsid w:val="00C948E7"/>
    <w:rsid w:val="00C963E5"/>
    <w:rsid w:val="00C967BE"/>
    <w:rsid w:val="00C96E4A"/>
    <w:rsid w:val="00C97546"/>
    <w:rsid w:val="00C975A8"/>
    <w:rsid w:val="00C97688"/>
    <w:rsid w:val="00C97773"/>
    <w:rsid w:val="00C9786B"/>
    <w:rsid w:val="00C97D39"/>
    <w:rsid w:val="00CA1482"/>
    <w:rsid w:val="00CA1957"/>
    <w:rsid w:val="00CA2159"/>
    <w:rsid w:val="00CA21E3"/>
    <w:rsid w:val="00CA2ACE"/>
    <w:rsid w:val="00CA3B1F"/>
    <w:rsid w:val="00CA3B41"/>
    <w:rsid w:val="00CA3BA7"/>
    <w:rsid w:val="00CA3D0C"/>
    <w:rsid w:val="00CA7866"/>
    <w:rsid w:val="00CA7F24"/>
    <w:rsid w:val="00CB0C31"/>
    <w:rsid w:val="00CB0D84"/>
    <w:rsid w:val="00CB1580"/>
    <w:rsid w:val="00CB1A38"/>
    <w:rsid w:val="00CB21B3"/>
    <w:rsid w:val="00CB2E9C"/>
    <w:rsid w:val="00CB3460"/>
    <w:rsid w:val="00CB4072"/>
    <w:rsid w:val="00CB484D"/>
    <w:rsid w:val="00CB517A"/>
    <w:rsid w:val="00CB5E18"/>
    <w:rsid w:val="00CB61C9"/>
    <w:rsid w:val="00CB62EE"/>
    <w:rsid w:val="00CB7176"/>
    <w:rsid w:val="00CB730C"/>
    <w:rsid w:val="00CC0F4A"/>
    <w:rsid w:val="00CC0F68"/>
    <w:rsid w:val="00CC22B1"/>
    <w:rsid w:val="00CC2A03"/>
    <w:rsid w:val="00CC2C93"/>
    <w:rsid w:val="00CC2DC4"/>
    <w:rsid w:val="00CC384C"/>
    <w:rsid w:val="00CC38CF"/>
    <w:rsid w:val="00CC3988"/>
    <w:rsid w:val="00CC5202"/>
    <w:rsid w:val="00CC52C9"/>
    <w:rsid w:val="00CC53F4"/>
    <w:rsid w:val="00CC5AF3"/>
    <w:rsid w:val="00CC68BF"/>
    <w:rsid w:val="00CC6958"/>
    <w:rsid w:val="00CC7C45"/>
    <w:rsid w:val="00CD13B1"/>
    <w:rsid w:val="00CD2107"/>
    <w:rsid w:val="00CD28EC"/>
    <w:rsid w:val="00CD2DC8"/>
    <w:rsid w:val="00CD3D23"/>
    <w:rsid w:val="00CD3FDF"/>
    <w:rsid w:val="00CD561D"/>
    <w:rsid w:val="00CD6EF5"/>
    <w:rsid w:val="00CD755A"/>
    <w:rsid w:val="00CE052C"/>
    <w:rsid w:val="00CE0CE1"/>
    <w:rsid w:val="00CE20E9"/>
    <w:rsid w:val="00CE3DD3"/>
    <w:rsid w:val="00CE4053"/>
    <w:rsid w:val="00CE4954"/>
    <w:rsid w:val="00CE5016"/>
    <w:rsid w:val="00CE596E"/>
    <w:rsid w:val="00CE5FEF"/>
    <w:rsid w:val="00CF1160"/>
    <w:rsid w:val="00CF3482"/>
    <w:rsid w:val="00CF4940"/>
    <w:rsid w:val="00CF4CD4"/>
    <w:rsid w:val="00CF507C"/>
    <w:rsid w:val="00CF5293"/>
    <w:rsid w:val="00CF72AC"/>
    <w:rsid w:val="00D0011E"/>
    <w:rsid w:val="00D004E5"/>
    <w:rsid w:val="00D0136A"/>
    <w:rsid w:val="00D0142A"/>
    <w:rsid w:val="00D0150B"/>
    <w:rsid w:val="00D02111"/>
    <w:rsid w:val="00D0280B"/>
    <w:rsid w:val="00D038D7"/>
    <w:rsid w:val="00D03B38"/>
    <w:rsid w:val="00D052E6"/>
    <w:rsid w:val="00D05DDB"/>
    <w:rsid w:val="00D073F9"/>
    <w:rsid w:val="00D07DD7"/>
    <w:rsid w:val="00D10717"/>
    <w:rsid w:val="00D1147F"/>
    <w:rsid w:val="00D13DF1"/>
    <w:rsid w:val="00D13EDA"/>
    <w:rsid w:val="00D15061"/>
    <w:rsid w:val="00D1522E"/>
    <w:rsid w:val="00D15D74"/>
    <w:rsid w:val="00D16D8E"/>
    <w:rsid w:val="00D16FB5"/>
    <w:rsid w:val="00D1722E"/>
    <w:rsid w:val="00D176B7"/>
    <w:rsid w:val="00D17F2A"/>
    <w:rsid w:val="00D20B08"/>
    <w:rsid w:val="00D211A5"/>
    <w:rsid w:val="00D2261D"/>
    <w:rsid w:val="00D228B8"/>
    <w:rsid w:val="00D2301A"/>
    <w:rsid w:val="00D24515"/>
    <w:rsid w:val="00D24B00"/>
    <w:rsid w:val="00D24E61"/>
    <w:rsid w:val="00D2526B"/>
    <w:rsid w:val="00D266A9"/>
    <w:rsid w:val="00D27660"/>
    <w:rsid w:val="00D30E94"/>
    <w:rsid w:val="00D31401"/>
    <w:rsid w:val="00D324DA"/>
    <w:rsid w:val="00D3266B"/>
    <w:rsid w:val="00D32A14"/>
    <w:rsid w:val="00D32B43"/>
    <w:rsid w:val="00D33571"/>
    <w:rsid w:val="00D339A1"/>
    <w:rsid w:val="00D33CFC"/>
    <w:rsid w:val="00D344F3"/>
    <w:rsid w:val="00D3524B"/>
    <w:rsid w:val="00D357A4"/>
    <w:rsid w:val="00D36238"/>
    <w:rsid w:val="00D36EB1"/>
    <w:rsid w:val="00D375AE"/>
    <w:rsid w:val="00D4029D"/>
    <w:rsid w:val="00D43642"/>
    <w:rsid w:val="00D44DF2"/>
    <w:rsid w:val="00D44EDE"/>
    <w:rsid w:val="00D451A5"/>
    <w:rsid w:val="00D451C1"/>
    <w:rsid w:val="00D45283"/>
    <w:rsid w:val="00D4541B"/>
    <w:rsid w:val="00D477C3"/>
    <w:rsid w:val="00D47CB0"/>
    <w:rsid w:val="00D47DE7"/>
    <w:rsid w:val="00D51271"/>
    <w:rsid w:val="00D51828"/>
    <w:rsid w:val="00D53179"/>
    <w:rsid w:val="00D53DC5"/>
    <w:rsid w:val="00D5465D"/>
    <w:rsid w:val="00D5517C"/>
    <w:rsid w:val="00D55406"/>
    <w:rsid w:val="00D55E9A"/>
    <w:rsid w:val="00D5615B"/>
    <w:rsid w:val="00D5638E"/>
    <w:rsid w:val="00D56E84"/>
    <w:rsid w:val="00D60759"/>
    <w:rsid w:val="00D6293F"/>
    <w:rsid w:val="00D662E4"/>
    <w:rsid w:val="00D670D3"/>
    <w:rsid w:val="00D67470"/>
    <w:rsid w:val="00D6792F"/>
    <w:rsid w:val="00D67B99"/>
    <w:rsid w:val="00D67FC9"/>
    <w:rsid w:val="00D709B5"/>
    <w:rsid w:val="00D729D1"/>
    <w:rsid w:val="00D72B2A"/>
    <w:rsid w:val="00D736FB"/>
    <w:rsid w:val="00D73AAF"/>
    <w:rsid w:val="00D73B35"/>
    <w:rsid w:val="00D74B08"/>
    <w:rsid w:val="00D75461"/>
    <w:rsid w:val="00D75B0B"/>
    <w:rsid w:val="00D76233"/>
    <w:rsid w:val="00D77388"/>
    <w:rsid w:val="00D775D2"/>
    <w:rsid w:val="00D77855"/>
    <w:rsid w:val="00D8078E"/>
    <w:rsid w:val="00D80D94"/>
    <w:rsid w:val="00D8118D"/>
    <w:rsid w:val="00D82637"/>
    <w:rsid w:val="00D83283"/>
    <w:rsid w:val="00D83860"/>
    <w:rsid w:val="00D83B8A"/>
    <w:rsid w:val="00D83D34"/>
    <w:rsid w:val="00D85155"/>
    <w:rsid w:val="00D85F3F"/>
    <w:rsid w:val="00D86169"/>
    <w:rsid w:val="00D8652F"/>
    <w:rsid w:val="00D86BF7"/>
    <w:rsid w:val="00D86C18"/>
    <w:rsid w:val="00D8747A"/>
    <w:rsid w:val="00D875E3"/>
    <w:rsid w:val="00D91421"/>
    <w:rsid w:val="00D91CBD"/>
    <w:rsid w:val="00D926E9"/>
    <w:rsid w:val="00D92B66"/>
    <w:rsid w:val="00D9348C"/>
    <w:rsid w:val="00D93CC1"/>
    <w:rsid w:val="00D93EB9"/>
    <w:rsid w:val="00D942A3"/>
    <w:rsid w:val="00D95384"/>
    <w:rsid w:val="00D9583F"/>
    <w:rsid w:val="00D96C34"/>
    <w:rsid w:val="00D970E9"/>
    <w:rsid w:val="00D97E49"/>
    <w:rsid w:val="00DA073F"/>
    <w:rsid w:val="00DA08BF"/>
    <w:rsid w:val="00DA12F6"/>
    <w:rsid w:val="00DA1419"/>
    <w:rsid w:val="00DA2603"/>
    <w:rsid w:val="00DA2818"/>
    <w:rsid w:val="00DA2876"/>
    <w:rsid w:val="00DA40F8"/>
    <w:rsid w:val="00DA47F0"/>
    <w:rsid w:val="00DA4875"/>
    <w:rsid w:val="00DA4917"/>
    <w:rsid w:val="00DA4E73"/>
    <w:rsid w:val="00DA5117"/>
    <w:rsid w:val="00DA61B6"/>
    <w:rsid w:val="00DA68C1"/>
    <w:rsid w:val="00DA71E0"/>
    <w:rsid w:val="00DA7808"/>
    <w:rsid w:val="00DB2CB5"/>
    <w:rsid w:val="00DB2F25"/>
    <w:rsid w:val="00DB35F8"/>
    <w:rsid w:val="00DB57B7"/>
    <w:rsid w:val="00DB67E5"/>
    <w:rsid w:val="00DB68CD"/>
    <w:rsid w:val="00DB73AB"/>
    <w:rsid w:val="00DB746B"/>
    <w:rsid w:val="00DB761D"/>
    <w:rsid w:val="00DB7C28"/>
    <w:rsid w:val="00DC13F9"/>
    <w:rsid w:val="00DC1D72"/>
    <w:rsid w:val="00DC2A04"/>
    <w:rsid w:val="00DC2E2C"/>
    <w:rsid w:val="00DC46D1"/>
    <w:rsid w:val="00DC4E8F"/>
    <w:rsid w:val="00DC545A"/>
    <w:rsid w:val="00DC585F"/>
    <w:rsid w:val="00DC77F2"/>
    <w:rsid w:val="00DC78DB"/>
    <w:rsid w:val="00DC7F7D"/>
    <w:rsid w:val="00DD028A"/>
    <w:rsid w:val="00DD08C1"/>
    <w:rsid w:val="00DD19C8"/>
    <w:rsid w:val="00DD1BFF"/>
    <w:rsid w:val="00DD2278"/>
    <w:rsid w:val="00DD2ADC"/>
    <w:rsid w:val="00DD4F3E"/>
    <w:rsid w:val="00DD5FFB"/>
    <w:rsid w:val="00DD67A9"/>
    <w:rsid w:val="00DD6EA5"/>
    <w:rsid w:val="00DD75C0"/>
    <w:rsid w:val="00DD7C85"/>
    <w:rsid w:val="00DE2574"/>
    <w:rsid w:val="00DE2C5D"/>
    <w:rsid w:val="00DE36B6"/>
    <w:rsid w:val="00DE43B5"/>
    <w:rsid w:val="00DE4BD0"/>
    <w:rsid w:val="00DE58C9"/>
    <w:rsid w:val="00DE58D7"/>
    <w:rsid w:val="00DE5D98"/>
    <w:rsid w:val="00DE62BC"/>
    <w:rsid w:val="00DE7572"/>
    <w:rsid w:val="00DE7BEA"/>
    <w:rsid w:val="00DE7DAF"/>
    <w:rsid w:val="00DF154D"/>
    <w:rsid w:val="00DF16FC"/>
    <w:rsid w:val="00DF19F6"/>
    <w:rsid w:val="00DF376E"/>
    <w:rsid w:val="00DF431A"/>
    <w:rsid w:val="00DF5CAF"/>
    <w:rsid w:val="00DF62C6"/>
    <w:rsid w:val="00DF6D21"/>
    <w:rsid w:val="00DF75FB"/>
    <w:rsid w:val="00DF7C00"/>
    <w:rsid w:val="00E00BBD"/>
    <w:rsid w:val="00E00C89"/>
    <w:rsid w:val="00E013E3"/>
    <w:rsid w:val="00E01F2F"/>
    <w:rsid w:val="00E02136"/>
    <w:rsid w:val="00E02157"/>
    <w:rsid w:val="00E0219A"/>
    <w:rsid w:val="00E02370"/>
    <w:rsid w:val="00E02392"/>
    <w:rsid w:val="00E02F84"/>
    <w:rsid w:val="00E03E17"/>
    <w:rsid w:val="00E042FF"/>
    <w:rsid w:val="00E04850"/>
    <w:rsid w:val="00E05C13"/>
    <w:rsid w:val="00E05C1A"/>
    <w:rsid w:val="00E064CA"/>
    <w:rsid w:val="00E065B2"/>
    <w:rsid w:val="00E06813"/>
    <w:rsid w:val="00E10053"/>
    <w:rsid w:val="00E111E4"/>
    <w:rsid w:val="00E11521"/>
    <w:rsid w:val="00E127AF"/>
    <w:rsid w:val="00E13B47"/>
    <w:rsid w:val="00E15933"/>
    <w:rsid w:val="00E15B99"/>
    <w:rsid w:val="00E16BD3"/>
    <w:rsid w:val="00E16FAA"/>
    <w:rsid w:val="00E171C2"/>
    <w:rsid w:val="00E20598"/>
    <w:rsid w:val="00E20664"/>
    <w:rsid w:val="00E2148E"/>
    <w:rsid w:val="00E21C56"/>
    <w:rsid w:val="00E22425"/>
    <w:rsid w:val="00E22996"/>
    <w:rsid w:val="00E23F67"/>
    <w:rsid w:val="00E24926"/>
    <w:rsid w:val="00E24E04"/>
    <w:rsid w:val="00E2580D"/>
    <w:rsid w:val="00E2583C"/>
    <w:rsid w:val="00E2789E"/>
    <w:rsid w:val="00E27948"/>
    <w:rsid w:val="00E27F2F"/>
    <w:rsid w:val="00E30294"/>
    <w:rsid w:val="00E315D6"/>
    <w:rsid w:val="00E3258F"/>
    <w:rsid w:val="00E330AB"/>
    <w:rsid w:val="00E3317B"/>
    <w:rsid w:val="00E3386F"/>
    <w:rsid w:val="00E341F0"/>
    <w:rsid w:val="00E350BD"/>
    <w:rsid w:val="00E3540A"/>
    <w:rsid w:val="00E35AE0"/>
    <w:rsid w:val="00E36335"/>
    <w:rsid w:val="00E373B4"/>
    <w:rsid w:val="00E37B5C"/>
    <w:rsid w:val="00E37CF8"/>
    <w:rsid w:val="00E40350"/>
    <w:rsid w:val="00E407AC"/>
    <w:rsid w:val="00E413A5"/>
    <w:rsid w:val="00E41AF8"/>
    <w:rsid w:val="00E422BE"/>
    <w:rsid w:val="00E4296A"/>
    <w:rsid w:val="00E43380"/>
    <w:rsid w:val="00E44274"/>
    <w:rsid w:val="00E44603"/>
    <w:rsid w:val="00E44F24"/>
    <w:rsid w:val="00E455B4"/>
    <w:rsid w:val="00E46FA7"/>
    <w:rsid w:val="00E46FBA"/>
    <w:rsid w:val="00E47328"/>
    <w:rsid w:val="00E476DD"/>
    <w:rsid w:val="00E479DF"/>
    <w:rsid w:val="00E505D8"/>
    <w:rsid w:val="00E50B83"/>
    <w:rsid w:val="00E51530"/>
    <w:rsid w:val="00E5252F"/>
    <w:rsid w:val="00E528C6"/>
    <w:rsid w:val="00E52B26"/>
    <w:rsid w:val="00E535BD"/>
    <w:rsid w:val="00E54596"/>
    <w:rsid w:val="00E55578"/>
    <w:rsid w:val="00E56000"/>
    <w:rsid w:val="00E56378"/>
    <w:rsid w:val="00E57208"/>
    <w:rsid w:val="00E57457"/>
    <w:rsid w:val="00E60175"/>
    <w:rsid w:val="00E6160E"/>
    <w:rsid w:val="00E63F00"/>
    <w:rsid w:val="00E642DC"/>
    <w:rsid w:val="00E64ABC"/>
    <w:rsid w:val="00E64E57"/>
    <w:rsid w:val="00E64F71"/>
    <w:rsid w:val="00E64FC2"/>
    <w:rsid w:val="00E65240"/>
    <w:rsid w:val="00E66FD1"/>
    <w:rsid w:val="00E67590"/>
    <w:rsid w:val="00E67A1A"/>
    <w:rsid w:val="00E703B1"/>
    <w:rsid w:val="00E7045C"/>
    <w:rsid w:val="00E718EA"/>
    <w:rsid w:val="00E71A6E"/>
    <w:rsid w:val="00E72E55"/>
    <w:rsid w:val="00E733D4"/>
    <w:rsid w:val="00E74228"/>
    <w:rsid w:val="00E74759"/>
    <w:rsid w:val="00E74A24"/>
    <w:rsid w:val="00E74E48"/>
    <w:rsid w:val="00E76B64"/>
    <w:rsid w:val="00E76BBE"/>
    <w:rsid w:val="00E77101"/>
    <w:rsid w:val="00E77326"/>
    <w:rsid w:val="00E808C9"/>
    <w:rsid w:val="00E80943"/>
    <w:rsid w:val="00E8112D"/>
    <w:rsid w:val="00E81135"/>
    <w:rsid w:val="00E8148D"/>
    <w:rsid w:val="00E818C3"/>
    <w:rsid w:val="00E82DCF"/>
    <w:rsid w:val="00E84DC4"/>
    <w:rsid w:val="00E84E21"/>
    <w:rsid w:val="00E8561A"/>
    <w:rsid w:val="00E8589E"/>
    <w:rsid w:val="00E85DE8"/>
    <w:rsid w:val="00E86672"/>
    <w:rsid w:val="00E86705"/>
    <w:rsid w:val="00E86E0C"/>
    <w:rsid w:val="00E87FB1"/>
    <w:rsid w:val="00E900CF"/>
    <w:rsid w:val="00E908C6"/>
    <w:rsid w:val="00E924A8"/>
    <w:rsid w:val="00E93450"/>
    <w:rsid w:val="00E9372A"/>
    <w:rsid w:val="00E93AFD"/>
    <w:rsid w:val="00E95441"/>
    <w:rsid w:val="00E96618"/>
    <w:rsid w:val="00E97970"/>
    <w:rsid w:val="00E979A5"/>
    <w:rsid w:val="00E97C50"/>
    <w:rsid w:val="00EA03D8"/>
    <w:rsid w:val="00EA0DB1"/>
    <w:rsid w:val="00EA507E"/>
    <w:rsid w:val="00EA5747"/>
    <w:rsid w:val="00EA6103"/>
    <w:rsid w:val="00EA73BA"/>
    <w:rsid w:val="00EA7745"/>
    <w:rsid w:val="00EB0F28"/>
    <w:rsid w:val="00EB1892"/>
    <w:rsid w:val="00EB2336"/>
    <w:rsid w:val="00EB3B2C"/>
    <w:rsid w:val="00EB3F96"/>
    <w:rsid w:val="00EB3FA2"/>
    <w:rsid w:val="00EB4281"/>
    <w:rsid w:val="00EB4A81"/>
    <w:rsid w:val="00EB5264"/>
    <w:rsid w:val="00EB52AE"/>
    <w:rsid w:val="00EB60D0"/>
    <w:rsid w:val="00EC03D2"/>
    <w:rsid w:val="00EC0719"/>
    <w:rsid w:val="00EC09D5"/>
    <w:rsid w:val="00EC1FA6"/>
    <w:rsid w:val="00EC202F"/>
    <w:rsid w:val="00EC25AB"/>
    <w:rsid w:val="00EC3DF9"/>
    <w:rsid w:val="00EC4F93"/>
    <w:rsid w:val="00EC515F"/>
    <w:rsid w:val="00EC5679"/>
    <w:rsid w:val="00EC5764"/>
    <w:rsid w:val="00EC5DBE"/>
    <w:rsid w:val="00EC5DE6"/>
    <w:rsid w:val="00EC6263"/>
    <w:rsid w:val="00EC6C65"/>
    <w:rsid w:val="00ED0FC6"/>
    <w:rsid w:val="00ED1C3D"/>
    <w:rsid w:val="00ED2264"/>
    <w:rsid w:val="00ED23A2"/>
    <w:rsid w:val="00ED2B1D"/>
    <w:rsid w:val="00ED412E"/>
    <w:rsid w:val="00ED41A8"/>
    <w:rsid w:val="00ED44D2"/>
    <w:rsid w:val="00ED452D"/>
    <w:rsid w:val="00ED5035"/>
    <w:rsid w:val="00ED5703"/>
    <w:rsid w:val="00ED5DD6"/>
    <w:rsid w:val="00ED65DB"/>
    <w:rsid w:val="00ED6AF2"/>
    <w:rsid w:val="00ED7BC1"/>
    <w:rsid w:val="00EE04D4"/>
    <w:rsid w:val="00EE0C34"/>
    <w:rsid w:val="00EE0C71"/>
    <w:rsid w:val="00EE29BE"/>
    <w:rsid w:val="00EE3C34"/>
    <w:rsid w:val="00EE3CDA"/>
    <w:rsid w:val="00EE4C9E"/>
    <w:rsid w:val="00EE5884"/>
    <w:rsid w:val="00EE7261"/>
    <w:rsid w:val="00EF038F"/>
    <w:rsid w:val="00EF07C3"/>
    <w:rsid w:val="00EF1944"/>
    <w:rsid w:val="00EF26AE"/>
    <w:rsid w:val="00EF27B5"/>
    <w:rsid w:val="00EF43EA"/>
    <w:rsid w:val="00EF46B1"/>
    <w:rsid w:val="00EF493E"/>
    <w:rsid w:val="00EF5D73"/>
    <w:rsid w:val="00EF607A"/>
    <w:rsid w:val="00EF6331"/>
    <w:rsid w:val="00EF6482"/>
    <w:rsid w:val="00EF71FF"/>
    <w:rsid w:val="00EF7662"/>
    <w:rsid w:val="00EF773B"/>
    <w:rsid w:val="00F00241"/>
    <w:rsid w:val="00F00777"/>
    <w:rsid w:val="00F00887"/>
    <w:rsid w:val="00F0147C"/>
    <w:rsid w:val="00F01AED"/>
    <w:rsid w:val="00F02876"/>
    <w:rsid w:val="00F03CD8"/>
    <w:rsid w:val="00F06185"/>
    <w:rsid w:val="00F064C3"/>
    <w:rsid w:val="00F06A82"/>
    <w:rsid w:val="00F109A7"/>
    <w:rsid w:val="00F10BFD"/>
    <w:rsid w:val="00F10D7E"/>
    <w:rsid w:val="00F11D60"/>
    <w:rsid w:val="00F12451"/>
    <w:rsid w:val="00F12F74"/>
    <w:rsid w:val="00F1303C"/>
    <w:rsid w:val="00F132E8"/>
    <w:rsid w:val="00F14FD4"/>
    <w:rsid w:val="00F15550"/>
    <w:rsid w:val="00F15E8D"/>
    <w:rsid w:val="00F175AF"/>
    <w:rsid w:val="00F205FB"/>
    <w:rsid w:val="00F20967"/>
    <w:rsid w:val="00F20DD7"/>
    <w:rsid w:val="00F20F27"/>
    <w:rsid w:val="00F21CF8"/>
    <w:rsid w:val="00F22A61"/>
    <w:rsid w:val="00F2357B"/>
    <w:rsid w:val="00F23602"/>
    <w:rsid w:val="00F236DC"/>
    <w:rsid w:val="00F2464A"/>
    <w:rsid w:val="00F247BC"/>
    <w:rsid w:val="00F2482C"/>
    <w:rsid w:val="00F24A8F"/>
    <w:rsid w:val="00F25233"/>
    <w:rsid w:val="00F25CBC"/>
    <w:rsid w:val="00F25EAF"/>
    <w:rsid w:val="00F26AC0"/>
    <w:rsid w:val="00F2719D"/>
    <w:rsid w:val="00F27940"/>
    <w:rsid w:val="00F27A13"/>
    <w:rsid w:val="00F27FA1"/>
    <w:rsid w:val="00F3032E"/>
    <w:rsid w:val="00F3124A"/>
    <w:rsid w:val="00F313E8"/>
    <w:rsid w:val="00F31596"/>
    <w:rsid w:val="00F31EFE"/>
    <w:rsid w:val="00F3277D"/>
    <w:rsid w:val="00F32822"/>
    <w:rsid w:val="00F32EC1"/>
    <w:rsid w:val="00F3329B"/>
    <w:rsid w:val="00F33D35"/>
    <w:rsid w:val="00F340F0"/>
    <w:rsid w:val="00F343CC"/>
    <w:rsid w:val="00F34F38"/>
    <w:rsid w:val="00F350F7"/>
    <w:rsid w:val="00F35253"/>
    <w:rsid w:val="00F36405"/>
    <w:rsid w:val="00F36809"/>
    <w:rsid w:val="00F36950"/>
    <w:rsid w:val="00F371E7"/>
    <w:rsid w:val="00F3733F"/>
    <w:rsid w:val="00F3738F"/>
    <w:rsid w:val="00F37625"/>
    <w:rsid w:val="00F40055"/>
    <w:rsid w:val="00F41E87"/>
    <w:rsid w:val="00F42120"/>
    <w:rsid w:val="00F428F8"/>
    <w:rsid w:val="00F43B83"/>
    <w:rsid w:val="00F44EBF"/>
    <w:rsid w:val="00F45EB3"/>
    <w:rsid w:val="00F463BF"/>
    <w:rsid w:val="00F47502"/>
    <w:rsid w:val="00F47697"/>
    <w:rsid w:val="00F50DD0"/>
    <w:rsid w:val="00F517F3"/>
    <w:rsid w:val="00F520B3"/>
    <w:rsid w:val="00F53132"/>
    <w:rsid w:val="00F531DC"/>
    <w:rsid w:val="00F538EF"/>
    <w:rsid w:val="00F53F88"/>
    <w:rsid w:val="00F54274"/>
    <w:rsid w:val="00F5456A"/>
    <w:rsid w:val="00F545FC"/>
    <w:rsid w:val="00F547FE"/>
    <w:rsid w:val="00F54E12"/>
    <w:rsid w:val="00F56446"/>
    <w:rsid w:val="00F573F1"/>
    <w:rsid w:val="00F57AF7"/>
    <w:rsid w:val="00F57CAC"/>
    <w:rsid w:val="00F61B21"/>
    <w:rsid w:val="00F61FFC"/>
    <w:rsid w:val="00F625CA"/>
    <w:rsid w:val="00F62A93"/>
    <w:rsid w:val="00F62AF9"/>
    <w:rsid w:val="00F62C6B"/>
    <w:rsid w:val="00F62CDB"/>
    <w:rsid w:val="00F62F06"/>
    <w:rsid w:val="00F644AD"/>
    <w:rsid w:val="00F646BE"/>
    <w:rsid w:val="00F64FF5"/>
    <w:rsid w:val="00F66320"/>
    <w:rsid w:val="00F663A8"/>
    <w:rsid w:val="00F66A76"/>
    <w:rsid w:val="00F674BA"/>
    <w:rsid w:val="00F6767A"/>
    <w:rsid w:val="00F67E6A"/>
    <w:rsid w:val="00F70A48"/>
    <w:rsid w:val="00F70BAD"/>
    <w:rsid w:val="00F713ED"/>
    <w:rsid w:val="00F71668"/>
    <w:rsid w:val="00F73140"/>
    <w:rsid w:val="00F74364"/>
    <w:rsid w:val="00F74666"/>
    <w:rsid w:val="00F7492D"/>
    <w:rsid w:val="00F751A4"/>
    <w:rsid w:val="00F7568A"/>
    <w:rsid w:val="00F77C1A"/>
    <w:rsid w:val="00F77E91"/>
    <w:rsid w:val="00F81073"/>
    <w:rsid w:val="00F812E4"/>
    <w:rsid w:val="00F815BB"/>
    <w:rsid w:val="00F825C9"/>
    <w:rsid w:val="00F8344B"/>
    <w:rsid w:val="00F83C40"/>
    <w:rsid w:val="00F83EEA"/>
    <w:rsid w:val="00F844DC"/>
    <w:rsid w:val="00F8461A"/>
    <w:rsid w:val="00F84BEC"/>
    <w:rsid w:val="00F852BE"/>
    <w:rsid w:val="00F8731D"/>
    <w:rsid w:val="00F879C5"/>
    <w:rsid w:val="00F87CAF"/>
    <w:rsid w:val="00F87FA4"/>
    <w:rsid w:val="00F90063"/>
    <w:rsid w:val="00F90A3D"/>
    <w:rsid w:val="00F90EC0"/>
    <w:rsid w:val="00F91222"/>
    <w:rsid w:val="00F92352"/>
    <w:rsid w:val="00F9267B"/>
    <w:rsid w:val="00F93469"/>
    <w:rsid w:val="00F93B7A"/>
    <w:rsid w:val="00F94ACE"/>
    <w:rsid w:val="00F94AE5"/>
    <w:rsid w:val="00F94C20"/>
    <w:rsid w:val="00F94EAF"/>
    <w:rsid w:val="00F96581"/>
    <w:rsid w:val="00F96AF2"/>
    <w:rsid w:val="00F96D11"/>
    <w:rsid w:val="00F96F50"/>
    <w:rsid w:val="00F970A7"/>
    <w:rsid w:val="00F9731E"/>
    <w:rsid w:val="00F9738D"/>
    <w:rsid w:val="00FA1622"/>
    <w:rsid w:val="00FA1A3F"/>
    <w:rsid w:val="00FA2228"/>
    <w:rsid w:val="00FA2A03"/>
    <w:rsid w:val="00FA57BD"/>
    <w:rsid w:val="00FA59C4"/>
    <w:rsid w:val="00FA59C6"/>
    <w:rsid w:val="00FA5A3F"/>
    <w:rsid w:val="00FA5B04"/>
    <w:rsid w:val="00FA5F7E"/>
    <w:rsid w:val="00FA6AEF"/>
    <w:rsid w:val="00FB0167"/>
    <w:rsid w:val="00FB0EBB"/>
    <w:rsid w:val="00FB10F6"/>
    <w:rsid w:val="00FB13A2"/>
    <w:rsid w:val="00FB15EB"/>
    <w:rsid w:val="00FB19EB"/>
    <w:rsid w:val="00FB3A29"/>
    <w:rsid w:val="00FB41AF"/>
    <w:rsid w:val="00FB47DE"/>
    <w:rsid w:val="00FB492C"/>
    <w:rsid w:val="00FB4A1C"/>
    <w:rsid w:val="00FB60CC"/>
    <w:rsid w:val="00FB60FB"/>
    <w:rsid w:val="00FB612E"/>
    <w:rsid w:val="00FB6635"/>
    <w:rsid w:val="00FB6B37"/>
    <w:rsid w:val="00FB7510"/>
    <w:rsid w:val="00FC08D8"/>
    <w:rsid w:val="00FC111B"/>
    <w:rsid w:val="00FC1DE5"/>
    <w:rsid w:val="00FC206B"/>
    <w:rsid w:val="00FC23C7"/>
    <w:rsid w:val="00FC2710"/>
    <w:rsid w:val="00FC3E40"/>
    <w:rsid w:val="00FC3FB7"/>
    <w:rsid w:val="00FC4378"/>
    <w:rsid w:val="00FC52C1"/>
    <w:rsid w:val="00FC5A6D"/>
    <w:rsid w:val="00FC5B2A"/>
    <w:rsid w:val="00FC623B"/>
    <w:rsid w:val="00FC6281"/>
    <w:rsid w:val="00FC65D0"/>
    <w:rsid w:val="00FC772C"/>
    <w:rsid w:val="00FC7DB1"/>
    <w:rsid w:val="00FD0284"/>
    <w:rsid w:val="00FD0BC0"/>
    <w:rsid w:val="00FD1078"/>
    <w:rsid w:val="00FD12DB"/>
    <w:rsid w:val="00FD1306"/>
    <w:rsid w:val="00FD3713"/>
    <w:rsid w:val="00FD434E"/>
    <w:rsid w:val="00FD4587"/>
    <w:rsid w:val="00FD47F8"/>
    <w:rsid w:val="00FD57E2"/>
    <w:rsid w:val="00FD5B9B"/>
    <w:rsid w:val="00FD66DD"/>
    <w:rsid w:val="00FD6921"/>
    <w:rsid w:val="00FD77C2"/>
    <w:rsid w:val="00FE175F"/>
    <w:rsid w:val="00FE1F8E"/>
    <w:rsid w:val="00FE26DD"/>
    <w:rsid w:val="00FE2ED7"/>
    <w:rsid w:val="00FE329D"/>
    <w:rsid w:val="00FE34B0"/>
    <w:rsid w:val="00FE379B"/>
    <w:rsid w:val="00FE3AFB"/>
    <w:rsid w:val="00FE3E6F"/>
    <w:rsid w:val="00FE400F"/>
    <w:rsid w:val="00FE4187"/>
    <w:rsid w:val="00FE4697"/>
    <w:rsid w:val="00FE58C5"/>
    <w:rsid w:val="00FE5ADE"/>
    <w:rsid w:val="00FE5C0B"/>
    <w:rsid w:val="00FE5E79"/>
    <w:rsid w:val="00FE788D"/>
    <w:rsid w:val="00FE797F"/>
    <w:rsid w:val="00FF052C"/>
    <w:rsid w:val="00FF05CB"/>
    <w:rsid w:val="00FF1B26"/>
    <w:rsid w:val="00FF211E"/>
    <w:rsid w:val="00FF27FB"/>
    <w:rsid w:val="00FF31B0"/>
    <w:rsid w:val="00FF3215"/>
    <w:rsid w:val="00FF3E5C"/>
    <w:rsid w:val="00FF4658"/>
    <w:rsid w:val="00FF473D"/>
    <w:rsid w:val="00FF4E8A"/>
    <w:rsid w:val="00FF556A"/>
    <w:rsid w:val="00FF5D50"/>
    <w:rsid w:val="00FF5E33"/>
    <w:rsid w:val="00FF609F"/>
    <w:rsid w:val="00FF6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8FD0"/>
  <w15:docId w15:val="{A3C56C42-C2BB-4C69-A941-45FEB851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CC9"/>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3F1"/>
    <w:pPr>
      <w:tabs>
        <w:tab w:val="center" w:pos="4536"/>
        <w:tab w:val="right" w:pos="9072"/>
      </w:tabs>
    </w:pPr>
  </w:style>
  <w:style w:type="character" w:customStyle="1" w:styleId="HeaderChar">
    <w:name w:val="Header Char"/>
    <w:basedOn w:val="DefaultParagraphFont"/>
    <w:link w:val="Header"/>
    <w:uiPriority w:val="99"/>
    <w:rsid w:val="00F573F1"/>
  </w:style>
  <w:style w:type="paragraph" w:styleId="Footer">
    <w:name w:val="footer"/>
    <w:basedOn w:val="Normal"/>
    <w:link w:val="FooterChar"/>
    <w:uiPriority w:val="99"/>
    <w:unhideWhenUsed/>
    <w:rsid w:val="00F573F1"/>
    <w:pPr>
      <w:tabs>
        <w:tab w:val="center" w:pos="4536"/>
        <w:tab w:val="right" w:pos="9072"/>
      </w:tabs>
    </w:pPr>
  </w:style>
  <w:style w:type="character" w:customStyle="1" w:styleId="FooterChar">
    <w:name w:val="Footer Char"/>
    <w:basedOn w:val="DefaultParagraphFont"/>
    <w:link w:val="Footer"/>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link">
    <w:name w:val="Hyperlink"/>
    <w:basedOn w:val="DefaultParagraphFont"/>
    <w:uiPriority w:val="99"/>
    <w:rsid w:val="005A2501"/>
    <w:rPr>
      <w:rFonts w:cs="Times New Roman"/>
      <w:color w:val="0000FF"/>
      <w:u w:val="single"/>
    </w:rPr>
  </w:style>
  <w:style w:type="paragraph" w:styleId="NormalWeb">
    <w:name w:val="Normal (Web)"/>
    <w:basedOn w:val="Normal"/>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ListParagraph">
    <w:name w:val="List Paragraph"/>
    <w:basedOn w:val="Normal"/>
    <w:uiPriority w:val="34"/>
    <w:qFormat/>
    <w:rsid w:val="00517111"/>
    <w:pPr>
      <w:ind w:left="720"/>
      <w:contextualSpacing/>
    </w:pPr>
  </w:style>
  <w:style w:type="paragraph" w:styleId="BalloonText">
    <w:name w:val="Balloon Text"/>
    <w:basedOn w:val="Normal"/>
    <w:link w:val="BalloonTextChar"/>
    <w:uiPriority w:val="99"/>
    <w:semiHidden/>
    <w:unhideWhenUsed/>
    <w:rsid w:val="009139AF"/>
    <w:rPr>
      <w:rFonts w:cs="Arial"/>
      <w:szCs w:val="18"/>
    </w:rPr>
  </w:style>
  <w:style w:type="character" w:customStyle="1" w:styleId="BalloonTextChar">
    <w:name w:val="Balloon Text Char"/>
    <w:basedOn w:val="DefaultParagraphFont"/>
    <w:link w:val="BalloonText"/>
    <w:uiPriority w:val="99"/>
    <w:semiHidden/>
    <w:rsid w:val="009139AF"/>
    <w:rPr>
      <w:rFonts w:ascii="Arial" w:eastAsia="Times New Roman" w:hAnsi="Arial" w:cs="Arial"/>
      <w:sz w:val="18"/>
      <w:szCs w:val="18"/>
      <w:lang w:eastAsia="cs-CZ"/>
    </w:rPr>
  </w:style>
  <w:style w:type="character" w:styleId="CommentReference">
    <w:name w:val="annotation reference"/>
    <w:basedOn w:val="DefaultParagraphFont"/>
    <w:uiPriority w:val="99"/>
    <w:semiHidden/>
    <w:unhideWhenUsed/>
    <w:rsid w:val="00EA5747"/>
    <w:rPr>
      <w:sz w:val="16"/>
      <w:szCs w:val="16"/>
    </w:rPr>
  </w:style>
  <w:style w:type="paragraph" w:styleId="CommentText">
    <w:name w:val="annotation text"/>
    <w:basedOn w:val="Normal"/>
    <w:link w:val="CommentTextChar"/>
    <w:uiPriority w:val="99"/>
    <w:unhideWhenUsed/>
    <w:rsid w:val="00EA5747"/>
    <w:rPr>
      <w:sz w:val="20"/>
    </w:rPr>
  </w:style>
  <w:style w:type="character" w:customStyle="1" w:styleId="CommentTextChar">
    <w:name w:val="Comment Text Char"/>
    <w:basedOn w:val="DefaultParagraphFont"/>
    <w:link w:val="CommentText"/>
    <w:uiPriority w:val="99"/>
    <w:rsid w:val="00EA5747"/>
    <w:rPr>
      <w:rFonts w:ascii="Arial" w:eastAsia="Times New Roman" w:hAnsi="Arial" w:cs="Times New Roman"/>
      <w:sz w:val="20"/>
      <w:szCs w:val="20"/>
      <w:lang w:eastAsia="cs-CZ"/>
    </w:rPr>
  </w:style>
  <w:style w:type="paragraph" w:styleId="CommentSubject">
    <w:name w:val="annotation subject"/>
    <w:basedOn w:val="CommentText"/>
    <w:next w:val="CommentText"/>
    <w:link w:val="CommentSubjectChar"/>
    <w:uiPriority w:val="99"/>
    <w:semiHidden/>
    <w:unhideWhenUsed/>
    <w:rsid w:val="00EA5747"/>
    <w:rPr>
      <w:b/>
      <w:bCs/>
    </w:rPr>
  </w:style>
  <w:style w:type="character" w:customStyle="1" w:styleId="CommentSubjectChar">
    <w:name w:val="Comment Subject Char"/>
    <w:basedOn w:val="CommentTextChar"/>
    <w:link w:val="CommentSubject"/>
    <w:uiPriority w:val="99"/>
    <w:semiHidden/>
    <w:rsid w:val="00EA5747"/>
    <w:rPr>
      <w:rFonts w:ascii="Arial" w:eastAsia="Times New Roman" w:hAnsi="Arial" w:cs="Times New Roman"/>
      <w:b/>
      <w:bCs/>
      <w:sz w:val="20"/>
      <w:szCs w:val="20"/>
      <w:lang w:eastAsia="cs-CZ"/>
    </w:rPr>
  </w:style>
  <w:style w:type="paragraph" w:styleId="Revision">
    <w:name w:val="Revision"/>
    <w:hidden/>
    <w:uiPriority w:val="99"/>
    <w:semiHidden/>
    <w:rsid w:val="0046651A"/>
    <w:pPr>
      <w:spacing w:after="0" w:line="240" w:lineRule="auto"/>
    </w:pPr>
    <w:rPr>
      <w:rFonts w:ascii="Arial" w:eastAsia="Times New Roman" w:hAnsi="Arial" w:cs="Times New Roman"/>
      <w:sz w:val="18"/>
      <w:szCs w:val="20"/>
      <w:lang w:eastAsia="cs-CZ"/>
    </w:rPr>
  </w:style>
  <w:style w:type="character" w:styleId="Strong">
    <w:name w:val="Strong"/>
    <w:basedOn w:val="DefaultParagraphFont"/>
    <w:uiPriority w:val="22"/>
    <w:qFormat/>
    <w:rsid w:val="00C12AFA"/>
    <w:rPr>
      <w:b/>
      <w:bCs/>
    </w:rPr>
  </w:style>
  <w:style w:type="paragraph" w:customStyle="1" w:styleId="THnorm">
    <w:name w:val="TH norm"/>
    <w:basedOn w:val="Normal"/>
    <w:rsid w:val="006A7BEA"/>
    <w:pPr>
      <w:tabs>
        <w:tab w:val="left" w:pos="0"/>
      </w:tabs>
      <w:overflowPunct/>
      <w:autoSpaceDE/>
      <w:autoSpaceDN/>
      <w:adjustRightInd/>
      <w:spacing w:after="120"/>
      <w:ind w:firstLine="709"/>
      <w:textAlignment w:val="auto"/>
    </w:pPr>
    <w:rPr>
      <w:rFonts w:ascii="Times New Roman" w:hAnsi="Times New Roman"/>
      <w:sz w:val="24"/>
      <w:szCs w:val="24"/>
    </w:rPr>
  </w:style>
  <w:style w:type="character" w:customStyle="1" w:styleId="Nevyeenzmnka1">
    <w:name w:val="Nevyřešená zmínka1"/>
    <w:basedOn w:val="DefaultParagraphFont"/>
    <w:uiPriority w:val="99"/>
    <w:semiHidden/>
    <w:unhideWhenUsed/>
    <w:rsid w:val="009968AC"/>
    <w:rPr>
      <w:color w:val="605E5C"/>
      <w:shd w:val="clear" w:color="auto" w:fill="E1DFDD"/>
    </w:rPr>
  </w:style>
  <w:style w:type="character" w:styleId="FollowedHyperlink">
    <w:name w:val="FollowedHyperlink"/>
    <w:basedOn w:val="DefaultParagraphFont"/>
    <w:uiPriority w:val="99"/>
    <w:semiHidden/>
    <w:unhideWhenUsed/>
    <w:rsid w:val="000444EA"/>
    <w:rPr>
      <w:color w:val="954F72" w:themeColor="followedHyperlink"/>
      <w:u w:val="single"/>
    </w:rPr>
  </w:style>
  <w:style w:type="character" w:customStyle="1" w:styleId="Nevyeenzmnka2">
    <w:name w:val="Nevyřešená zmínka2"/>
    <w:basedOn w:val="DefaultParagraphFont"/>
    <w:uiPriority w:val="99"/>
    <w:semiHidden/>
    <w:unhideWhenUsed/>
    <w:rsid w:val="005A0ACF"/>
    <w:rPr>
      <w:color w:val="605E5C"/>
      <w:shd w:val="clear" w:color="auto" w:fill="E1DFDD"/>
    </w:rPr>
  </w:style>
  <w:style w:type="character" w:styleId="UnresolvedMention">
    <w:name w:val="Unresolved Mention"/>
    <w:basedOn w:val="DefaultParagraphFont"/>
    <w:uiPriority w:val="99"/>
    <w:semiHidden/>
    <w:unhideWhenUsed/>
    <w:rsid w:val="00BA19E0"/>
    <w:rPr>
      <w:color w:val="605E5C"/>
      <w:shd w:val="clear" w:color="auto" w:fill="E1DFDD"/>
    </w:rPr>
  </w:style>
  <w:style w:type="table" w:styleId="TableGrid">
    <w:name w:val="Table Grid"/>
    <w:basedOn w:val="TableNormal"/>
    <w:uiPriority w:val="39"/>
    <w:rsid w:val="000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F7BDA"/>
    <w:rPr>
      <w:sz w:val="20"/>
    </w:rPr>
  </w:style>
  <w:style w:type="character" w:customStyle="1" w:styleId="FootnoteTextChar">
    <w:name w:val="Footnote Text Char"/>
    <w:basedOn w:val="DefaultParagraphFont"/>
    <w:link w:val="FootnoteText"/>
    <w:uiPriority w:val="99"/>
    <w:semiHidden/>
    <w:rsid w:val="006F7BDA"/>
    <w:rPr>
      <w:rFonts w:ascii="Arial" w:eastAsia="Times New Roman" w:hAnsi="Arial" w:cs="Times New Roman"/>
      <w:sz w:val="20"/>
      <w:szCs w:val="20"/>
      <w:lang w:eastAsia="cs-CZ"/>
    </w:rPr>
  </w:style>
  <w:style w:type="character" w:styleId="FootnoteReference">
    <w:name w:val="footnote reference"/>
    <w:basedOn w:val="DefaultParagraphFont"/>
    <w:uiPriority w:val="99"/>
    <w:semiHidden/>
    <w:unhideWhenUsed/>
    <w:rsid w:val="006F7BDA"/>
    <w:rPr>
      <w:vertAlign w:val="superscript"/>
    </w:rPr>
  </w:style>
  <w:style w:type="paragraph" w:customStyle="1" w:styleId="xmsonormal">
    <w:name w:val="xmsonormal"/>
    <w:basedOn w:val="Normal"/>
    <w:rsid w:val="00051022"/>
    <w:pPr>
      <w:overflowPunct/>
      <w:autoSpaceDE/>
      <w:autoSpaceDN/>
      <w:adjustRightInd/>
      <w:spacing w:before="100" w:beforeAutospacing="1" w:after="100" w:afterAutospacing="1"/>
      <w:jc w:val="left"/>
      <w:textAlignment w:val="auto"/>
    </w:pPr>
    <w:rPr>
      <w:rFonts w:ascii="Calibri" w:eastAsia="Calibri" w:hAnsi="Calibri" w:cs="Calibri"/>
      <w:sz w:val="22"/>
      <w:szCs w:val="22"/>
    </w:rPr>
  </w:style>
  <w:style w:type="character" w:customStyle="1" w:styleId="xpk-token">
    <w:name w:val="xpk-token"/>
    <w:basedOn w:val="DefaultParagraphFont"/>
    <w:rsid w:val="00051022"/>
  </w:style>
  <w:style w:type="paragraph" w:customStyle="1" w:styleId="xmsonormal0">
    <w:name w:val="x_msonormal"/>
    <w:basedOn w:val="Normal"/>
    <w:rsid w:val="00162D23"/>
    <w:pPr>
      <w:overflowPunct/>
      <w:autoSpaceDE/>
      <w:autoSpaceDN/>
      <w:adjustRightInd/>
      <w:jc w:val="left"/>
      <w:textAlignment w:val="auto"/>
    </w:pPr>
    <w:rPr>
      <w:rFonts w:ascii="Calibri" w:eastAsiaTheme="minorHAnsi" w:hAnsi="Calibri" w:cs="Calibri"/>
      <w:sz w:val="22"/>
      <w:szCs w:val="22"/>
    </w:rPr>
  </w:style>
  <w:style w:type="paragraph" w:styleId="EndnoteText">
    <w:name w:val="endnote text"/>
    <w:basedOn w:val="Normal"/>
    <w:link w:val="EndnoteTextChar"/>
    <w:uiPriority w:val="99"/>
    <w:semiHidden/>
    <w:unhideWhenUsed/>
    <w:rsid w:val="00AA4A27"/>
    <w:rPr>
      <w:sz w:val="20"/>
    </w:rPr>
  </w:style>
  <w:style w:type="character" w:customStyle="1" w:styleId="EndnoteTextChar">
    <w:name w:val="Endnote Text Char"/>
    <w:basedOn w:val="DefaultParagraphFont"/>
    <w:link w:val="EndnoteText"/>
    <w:uiPriority w:val="99"/>
    <w:semiHidden/>
    <w:rsid w:val="00AA4A27"/>
    <w:rPr>
      <w:rFonts w:ascii="Arial" w:eastAsia="Times New Roman" w:hAnsi="Arial" w:cs="Times New Roman"/>
      <w:sz w:val="20"/>
      <w:szCs w:val="20"/>
      <w:lang w:eastAsia="cs-CZ"/>
    </w:rPr>
  </w:style>
  <w:style w:type="character" w:styleId="EndnoteReference">
    <w:name w:val="endnote reference"/>
    <w:basedOn w:val="DefaultParagraphFont"/>
    <w:uiPriority w:val="99"/>
    <w:semiHidden/>
    <w:unhideWhenUsed/>
    <w:rsid w:val="00AA4A27"/>
    <w:rPr>
      <w:vertAlign w:val="superscript"/>
    </w:rPr>
  </w:style>
  <w:style w:type="paragraph" w:customStyle="1" w:styleId="CBANadpisvTABULCE">
    <w:name w:val="CBA Nadpis v TABULCE"/>
    <w:basedOn w:val="Normal"/>
    <w:qFormat/>
    <w:rsid w:val="0028530F"/>
    <w:pPr>
      <w:spacing w:before="120" w:after="120"/>
      <w:jc w:val="left"/>
    </w:pPr>
    <w:rPr>
      <w:b/>
      <w:bCs/>
      <w:color w:val="13576B"/>
    </w:rPr>
  </w:style>
  <w:style w:type="paragraph" w:customStyle="1" w:styleId="CBAodstavecvTABULCE">
    <w:name w:val="CBA odstavec v TABULCE"/>
    <w:basedOn w:val="Normal"/>
    <w:qFormat/>
    <w:rsid w:val="0028530F"/>
    <w:pPr>
      <w:spacing w:before="120" w:after="120"/>
      <w:jc w:val="left"/>
    </w:pPr>
    <w:rPr>
      <w:color w:val="13576B"/>
    </w:rPr>
  </w:style>
  <w:style w:type="paragraph" w:styleId="PlainText">
    <w:name w:val="Plain Text"/>
    <w:basedOn w:val="Normal"/>
    <w:link w:val="PlainTextChar"/>
    <w:uiPriority w:val="99"/>
    <w:semiHidden/>
    <w:unhideWhenUsed/>
    <w:rsid w:val="001177C9"/>
    <w:rPr>
      <w:rFonts w:ascii="Consolas" w:hAnsi="Consolas"/>
      <w:sz w:val="21"/>
      <w:szCs w:val="21"/>
    </w:rPr>
  </w:style>
  <w:style w:type="character" w:customStyle="1" w:styleId="PlainTextChar">
    <w:name w:val="Plain Text Char"/>
    <w:basedOn w:val="DefaultParagraphFont"/>
    <w:link w:val="PlainText"/>
    <w:uiPriority w:val="99"/>
    <w:semiHidden/>
    <w:rsid w:val="001177C9"/>
    <w:rPr>
      <w:rFonts w:ascii="Consolas" w:eastAsia="Times New Roman" w:hAnsi="Consolas" w:cs="Times New Roman"/>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326">
      <w:bodyDiv w:val="1"/>
      <w:marLeft w:val="0"/>
      <w:marRight w:val="0"/>
      <w:marTop w:val="0"/>
      <w:marBottom w:val="0"/>
      <w:divBdr>
        <w:top w:val="none" w:sz="0" w:space="0" w:color="auto"/>
        <w:left w:val="none" w:sz="0" w:space="0" w:color="auto"/>
        <w:bottom w:val="none" w:sz="0" w:space="0" w:color="auto"/>
        <w:right w:val="none" w:sz="0" w:space="0" w:color="auto"/>
      </w:divBdr>
    </w:div>
    <w:div w:id="5329771">
      <w:bodyDiv w:val="1"/>
      <w:marLeft w:val="0"/>
      <w:marRight w:val="0"/>
      <w:marTop w:val="0"/>
      <w:marBottom w:val="0"/>
      <w:divBdr>
        <w:top w:val="none" w:sz="0" w:space="0" w:color="auto"/>
        <w:left w:val="none" w:sz="0" w:space="0" w:color="auto"/>
        <w:bottom w:val="none" w:sz="0" w:space="0" w:color="auto"/>
        <w:right w:val="none" w:sz="0" w:space="0" w:color="auto"/>
      </w:divBdr>
      <w:divsChild>
        <w:div w:id="655306342">
          <w:marLeft w:val="360"/>
          <w:marRight w:val="0"/>
          <w:marTop w:val="200"/>
          <w:marBottom w:val="0"/>
          <w:divBdr>
            <w:top w:val="none" w:sz="0" w:space="0" w:color="auto"/>
            <w:left w:val="none" w:sz="0" w:space="0" w:color="auto"/>
            <w:bottom w:val="none" w:sz="0" w:space="0" w:color="auto"/>
            <w:right w:val="none" w:sz="0" w:space="0" w:color="auto"/>
          </w:divBdr>
        </w:div>
        <w:div w:id="783503361">
          <w:marLeft w:val="360"/>
          <w:marRight w:val="0"/>
          <w:marTop w:val="200"/>
          <w:marBottom w:val="0"/>
          <w:divBdr>
            <w:top w:val="none" w:sz="0" w:space="0" w:color="auto"/>
            <w:left w:val="none" w:sz="0" w:space="0" w:color="auto"/>
            <w:bottom w:val="none" w:sz="0" w:space="0" w:color="auto"/>
            <w:right w:val="none" w:sz="0" w:space="0" w:color="auto"/>
          </w:divBdr>
        </w:div>
        <w:div w:id="987126633">
          <w:marLeft w:val="360"/>
          <w:marRight w:val="0"/>
          <w:marTop w:val="200"/>
          <w:marBottom w:val="0"/>
          <w:divBdr>
            <w:top w:val="none" w:sz="0" w:space="0" w:color="auto"/>
            <w:left w:val="none" w:sz="0" w:space="0" w:color="auto"/>
            <w:bottom w:val="none" w:sz="0" w:space="0" w:color="auto"/>
            <w:right w:val="none" w:sz="0" w:space="0" w:color="auto"/>
          </w:divBdr>
        </w:div>
      </w:divsChild>
    </w:div>
    <w:div w:id="8140468">
      <w:bodyDiv w:val="1"/>
      <w:marLeft w:val="0"/>
      <w:marRight w:val="0"/>
      <w:marTop w:val="0"/>
      <w:marBottom w:val="0"/>
      <w:divBdr>
        <w:top w:val="none" w:sz="0" w:space="0" w:color="auto"/>
        <w:left w:val="none" w:sz="0" w:space="0" w:color="auto"/>
        <w:bottom w:val="none" w:sz="0" w:space="0" w:color="auto"/>
        <w:right w:val="none" w:sz="0" w:space="0" w:color="auto"/>
      </w:divBdr>
    </w:div>
    <w:div w:id="10764336">
      <w:bodyDiv w:val="1"/>
      <w:marLeft w:val="0"/>
      <w:marRight w:val="0"/>
      <w:marTop w:val="0"/>
      <w:marBottom w:val="0"/>
      <w:divBdr>
        <w:top w:val="none" w:sz="0" w:space="0" w:color="auto"/>
        <w:left w:val="none" w:sz="0" w:space="0" w:color="auto"/>
        <w:bottom w:val="none" w:sz="0" w:space="0" w:color="auto"/>
        <w:right w:val="none" w:sz="0" w:space="0" w:color="auto"/>
      </w:divBdr>
    </w:div>
    <w:div w:id="54865042">
      <w:bodyDiv w:val="1"/>
      <w:marLeft w:val="0"/>
      <w:marRight w:val="0"/>
      <w:marTop w:val="0"/>
      <w:marBottom w:val="0"/>
      <w:divBdr>
        <w:top w:val="none" w:sz="0" w:space="0" w:color="auto"/>
        <w:left w:val="none" w:sz="0" w:space="0" w:color="auto"/>
        <w:bottom w:val="none" w:sz="0" w:space="0" w:color="auto"/>
        <w:right w:val="none" w:sz="0" w:space="0" w:color="auto"/>
      </w:divBdr>
    </w:div>
    <w:div w:id="65881925">
      <w:bodyDiv w:val="1"/>
      <w:marLeft w:val="0"/>
      <w:marRight w:val="0"/>
      <w:marTop w:val="0"/>
      <w:marBottom w:val="0"/>
      <w:divBdr>
        <w:top w:val="none" w:sz="0" w:space="0" w:color="auto"/>
        <w:left w:val="none" w:sz="0" w:space="0" w:color="auto"/>
        <w:bottom w:val="none" w:sz="0" w:space="0" w:color="auto"/>
        <w:right w:val="none" w:sz="0" w:space="0" w:color="auto"/>
      </w:divBdr>
    </w:div>
    <w:div w:id="66729864">
      <w:bodyDiv w:val="1"/>
      <w:marLeft w:val="0"/>
      <w:marRight w:val="0"/>
      <w:marTop w:val="0"/>
      <w:marBottom w:val="0"/>
      <w:divBdr>
        <w:top w:val="none" w:sz="0" w:space="0" w:color="auto"/>
        <w:left w:val="none" w:sz="0" w:space="0" w:color="auto"/>
        <w:bottom w:val="none" w:sz="0" w:space="0" w:color="auto"/>
        <w:right w:val="none" w:sz="0" w:space="0" w:color="auto"/>
      </w:divBdr>
    </w:div>
    <w:div w:id="75367933">
      <w:bodyDiv w:val="1"/>
      <w:marLeft w:val="0"/>
      <w:marRight w:val="0"/>
      <w:marTop w:val="0"/>
      <w:marBottom w:val="0"/>
      <w:divBdr>
        <w:top w:val="none" w:sz="0" w:space="0" w:color="auto"/>
        <w:left w:val="none" w:sz="0" w:space="0" w:color="auto"/>
        <w:bottom w:val="none" w:sz="0" w:space="0" w:color="auto"/>
        <w:right w:val="none" w:sz="0" w:space="0" w:color="auto"/>
      </w:divBdr>
    </w:div>
    <w:div w:id="97651239">
      <w:bodyDiv w:val="1"/>
      <w:marLeft w:val="0"/>
      <w:marRight w:val="0"/>
      <w:marTop w:val="0"/>
      <w:marBottom w:val="0"/>
      <w:divBdr>
        <w:top w:val="none" w:sz="0" w:space="0" w:color="auto"/>
        <w:left w:val="none" w:sz="0" w:space="0" w:color="auto"/>
        <w:bottom w:val="none" w:sz="0" w:space="0" w:color="auto"/>
        <w:right w:val="none" w:sz="0" w:space="0" w:color="auto"/>
      </w:divBdr>
    </w:div>
    <w:div w:id="104077534">
      <w:bodyDiv w:val="1"/>
      <w:marLeft w:val="0"/>
      <w:marRight w:val="0"/>
      <w:marTop w:val="0"/>
      <w:marBottom w:val="0"/>
      <w:divBdr>
        <w:top w:val="none" w:sz="0" w:space="0" w:color="auto"/>
        <w:left w:val="none" w:sz="0" w:space="0" w:color="auto"/>
        <w:bottom w:val="none" w:sz="0" w:space="0" w:color="auto"/>
        <w:right w:val="none" w:sz="0" w:space="0" w:color="auto"/>
      </w:divBdr>
    </w:div>
    <w:div w:id="105078644">
      <w:bodyDiv w:val="1"/>
      <w:marLeft w:val="0"/>
      <w:marRight w:val="0"/>
      <w:marTop w:val="0"/>
      <w:marBottom w:val="0"/>
      <w:divBdr>
        <w:top w:val="none" w:sz="0" w:space="0" w:color="auto"/>
        <w:left w:val="none" w:sz="0" w:space="0" w:color="auto"/>
        <w:bottom w:val="none" w:sz="0" w:space="0" w:color="auto"/>
        <w:right w:val="none" w:sz="0" w:space="0" w:color="auto"/>
      </w:divBdr>
    </w:div>
    <w:div w:id="132212633">
      <w:bodyDiv w:val="1"/>
      <w:marLeft w:val="0"/>
      <w:marRight w:val="0"/>
      <w:marTop w:val="0"/>
      <w:marBottom w:val="0"/>
      <w:divBdr>
        <w:top w:val="none" w:sz="0" w:space="0" w:color="auto"/>
        <w:left w:val="none" w:sz="0" w:space="0" w:color="auto"/>
        <w:bottom w:val="none" w:sz="0" w:space="0" w:color="auto"/>
        <w:right w:val="none" w:sz="0" w:space="0" w:color="auto"/>
      </w:divBdr>
    </w:div>
    <w:div w:id="144977189">
      <w:bodyDiv w:val="1"/>
      <w:marLeft w:val="0"/>
      <w:marRight w:val="0"/>
      <w:marTop w:val="0"/>
      <w:marBottom w:val="0"/>
      <w:divBdr>
        <w:top w:val="none" w:sz="0" w:space="0" w:color="auto"/>
        <w:left w:val="none" w:sz="0" w:space="0" w:color="auto"/>
        <w:bottom w:val="none" w:sz="0" w:space="0" w:color="auto"/>
        <w:right w:val="none" w:sz="0" w:space="0" w:color="auto"/>
      </w:divBdr>
    </w:div>
    <w:div w:id="156385367">
      <w:bodyDiv w:val="1"/>
      <w:marLeft w:val="0"/>
      <w:marRight w:val="0"/>
      <w:marTop w:val="0"/>
      <w:marBottom w:val="0"/>
      <w:divBdr>
        <w:top w:val="none" w:sz="0" w:space="0" w:color="auto"/>
        <w:left w:val="none" w:sz="0" w:space="0" w:color="auto"/>
        <w:bottom w:val="none" w:sz="0" w:space="0" w:color="auto"/>
        <w:right w:val="none" w:sz="0" w:space="0" w:color="auto"/>
      </w:divBdr>
    </w:div>
    <w:div w:id="158036286">
      <w:bodyDiv w:val="1"/>
      <w:marLeft w:val="0"/>
      <w:marRight w:val="0"/>
      <w:marTop w:val="0"/>
      <w:marBottom w:val="0"/>
      <w:divBdr>
        <w:top w:val="none" w:sz="0" w:space="0" w:color="auto"/>
        <w:left w:val="none" w:sz="0" w:space="0" w:color="auto"/>
        <w:bottom w:val="none" w:sz="0" w:space="0" w:color="auto"/>
        <w:right w:val="none" w:sz="0" w:space="0" w:color="auto"/>
      </w:divBdr>
    </w:div>
    <w:div w:id="165872005">
      <w:bodyDiv w:val="1"/>
      <w:marLeft w:val="0"/>
      <w:marRight w:val="0"/>
      <w:marTop w:val="0"/>
      <w:marBottom w:val="0"/>
      <w:divBdr>
        <w:top w:val="none" w:sz="0" w:space="0" w:color="auto"/>
        <w:left w:val="none" w:sz="0" w:space="0" w:color="auto"/>
        <w:bottom w:val="none" w:sz="0" w:space="0" w:color="auto"/>
        <w:right w:val="none" w:sz="0" w:space="0" w:color="auto"/>
      </w:divBdr>
      <w:divsChild>
        <w:div w:id="570114465">
          <w:marLeft w:val="360"/>
          <w:marRight w:val="0"/>
          <w:marTop w:val="200"/>
          <w:marBottom w:val="0"/>
          <w:divBdr>
            <w:top w:val="none" w:sz="0" w:space="0" w:color="auto"/>
            <w:left w:val="none" w:sz="0" w:space="0" w:color="auto"/>
            <w:bottom w:val="none" w:sz="0" w:space="0" w:color="auto"/>
            <w:right w:val="none" w:sz="0" w:space="0" w:color="auto"/>
          </w:divBdr>
        </w:div>
        <w:div w:id="1910266459">
          <w:marLeft w:val="360"/>
          <w:marRight w:val="0"/>
          <w:marTop w:val="200"/>
          <w:marBottom w:val="0"/>
          <w:divBdr>
            <w:top w:val="none" w:sz="0" w:space="0" w:color="auto"/>
            <w:left w:val="none" w:sz="0" w:space="0" w:color="auto"/>
            <w:bottom w:val="none" w:sz="0" w:space="0" w:color="auto"/>
            <w:right w:val="none" w:sz="0" w:space="0" w:color="auto"/>
          </w:divBdr>
        </w:div>
        <w:div w:id="178393963">
          <w:marLeft w:val="360"/>
          <w:marRight w:val="0"/>
          <w:marTop w:val="200"/>
          <w:marBottom w:val="0"/>
          <w:divBdr>
            <w:top w:val="none" w:sz="0" w:space="0" w:color="auto"/>
            <w:left w:val="none" w:sz="0" w:space="0" w:color="auto"/>
            <w:bottom w:val="none" w:sz="0" w:space="0" w:color="auto"/>
            <w:right w:val="none" w:sz="0" w:space="0" w:color="auto"/>
          </w:divBdr>
        </w:div>
      </w:divsChild>
    </w:div>
    <w:div w:id="175731695">
      <w:bodyDiv w:val="1"/>
      <w:marLeft w:val="0"/>
      <w:marRight w:val="0"/>
      <w:marTop w:val="0"/>
      <w:marBottom w:val="0"/>
      <w:divBdr>
        <w:top w:val="none" w:sz="0" w:space="0" w:color="auto"/>
        <w:left w:val="none" w:sz="0" w:space="0" w:color="auto"/>
        <w:bottom w:val="none" w:sz="0" w:space="0" w:color="auto"/>
        <w:right w:val="none" w:sz="0" w:space="0" w:color="auto"/>
      </w:divBdr>
      <w:divsChild>
        <w:div w:id="1685135723">
          <w:marLeft w:val="288"/>
          <w:marRight w:val="0"/>
          <w:marTop w:val="360"/>
          <w:marBottom w:val="0"/>
          <w:divBdr>
            <w:top w:val="none" w:sz="0" w:space="0" w:color="auto"/>
            <w:left w:val="none" w:sz="0" w:space="0" w:color="auto"/>
            <w:bottom w:val="none" w:sz="0" w:space="0" w:color="auto"/>
            <w:right w:val="none" w:sz="0" w:space="0" w:color="auto"/>
          </w:divBdr>
        </w:div>
      </w:divsChild>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4709785">
      <w:bodyDiv w:val="1"/>
      <w:marLeft w:val="0"/>
      <w:marRight w:val="0"/>
      <w:marTop w:val="0"/>
      <w:marBottom w:val="0"/>
      <w:divBdr>
        <w:top w:val="none" w:sz="0" w:space="0" w:color="auto"/>
        <w:left w:val="none" w:sz="0" w:space="0" w:color="auto"/>
        <w:bottom w:val="none" w:sz="0" w:space="0" w:color="auto"/>
        <w:right w:val="none" w:sz="0" w:space="0" w:color="auto"/>
      </w:divBdr>
    </w:div>
    <w:div w:id="211889271">
      <w:bodyDiv w:val="1"/>
      <w:marLeft w:val="0"/>
      <w:marRight w:val="0"/>
      <w:marTop w:val="0"/>
      <w:marBottom w:val="0"/>
      <w:divBdr>
        <w:top w:val="none" w:sz="0" w:space="0" w:color="auto"/>
        <w:left w:val="none" w:sz="0" w:space="0" w:color="auto"/>
        <w:bottom w:val="none" w:sz="0" w:space="0" w:color="auto"/>
        <w:right w:val="none" w:sz="0" w:space="0" w:color="auto"/>
      </w:divBdr>
    </w:div>
    <w:div w:id="212281255">
      <w:bodyDiv w:val="1"/>
      <w:marLeft w:val="0"/>
      <w:marRight w:val="0"/>
      <w:marTop w:val="0"/>
      <w:marBottom w:val="0"/>
      <w:divBdr>
        <w:top w:val="none" w:sz="0" w:space="0" w:color="auto"/>
        <w:left w:val="none" w:sz="0" w:space="0" w:color="auto"/>
        <w:bottom w:val="none" w:sz="0" w:space="0" w:color="auto"/>
        <w:right w:val="none" w:sz="0" w:space="0" w:color="auto"/>
      </w:divBdr>
    </w:div>
    <w:div w:id="212424732">
      <w:bodyDiv w:val="1"/>
      <w:marLeft w:val="0"/>
      <w:marRight w:val="0"/>
      <w:marTop w:val="0"/>
      <w:marBottom w:val="0"/>
      <w:divBdr>
        <w:top w:val="none" w:sz="0" w:space="0" w:color="auto"/>
        <w:left w:val="none" w:sz="0" w:space="0" w:color="auto"/>
        <w:bottom w:val="none" w:sz="0" w:space="0" w:color="auto"/>
        <w:right w:val="none" w:sz="0" w:space="0" w:color="auto"/>
      </w:divBdr>
    </w:div>
    <w:div w:id="213932845">
      <w:bodyDiv w:val="1"/>
      <w:marLeft w:val="0"/>
      <w:marRight w:val="0"/>
      <w:marTop w:val="0"/>
      <w:marBottom w:val="0"/>
      <w:divBdr>
        <w:top w:val="none" w:sz="0" w:space="0" w:color="auto"/>
        <w:left w:val="none" w:sz="0" w:space="0" w:color="auto"/>
        <w:bottom w:val="none" w:sz="0" w:space="0" w:color="auto"/>
        <w:right w:val="none" w:sz="0" w:space="0" w:color="auto"/>
      </w:divBdr>
      <w:divsChild>
        <w:div w:id="417947238">
          <w:marLeft w:val="288"/>
          <w:marRight w:val="0"/>
          <w:marTop w:val="360"/>
          <w:marBottom w:val="0"/>
          <w:divBdr>
            <w:top w:val="none" w:sz="0" w:space="0" w:color="auto"/>
            <w:left w:val="none" w:sz="0" w:space="0" w:color="auto"/>
            <w:bottom w:val="none" w:sz="0" w:space="0" w:color="auto"/>
            <w:right w:val="none" w:sz="0" w:space="0" w:color="auto"/>
          </w:divBdr>
        </w:div>
        <w:div w:id="1857307784">
          <w:marLeft w:val="1080"/>
          <w:marRight w:val="0"/>
          <w:marTop w:val="360"/>
          <w:marBottom w:val="50"/>
          <w:divBdr>
            <w:top w:val="none" w:sz="0" w:space="0" w:color="auto"/>
            <w:left w:val="none" w:sz="0" w:space="0" w:color="auto"/>
            <w:bottom w:val="none" w:sz="0" w:space="0" w:color="auto"/>
            <w:right w:val="none" w:sz="0" w:space="0" w:color="auto"/>
          </w:divBdr>
        </w:div>
        <w:div w:id="116265497">
          <w:marLeft w:val="1080"/>
          <w:marRight w:val="0"/>
          <w:marTop w:val="360"/>
          <w:marBottom w:val="50"/>
          <w:divBdr>
            <w:top w:val="none" w:sz="0" w:space="0" w:color="auto"/>
            <w:left w:val="none" w:sz="0" w:space="0" w:color="auto"/>
            <w:bottom w:val="none" w:sz="0" w:space="0" w:color="auto"/>
            <w:right w:val="none" w:sz="0" w:space="0" w:color="auto"/>
          </w:divBdr>
        </w:div>
        <w:div w:id="1898468414">
          <w:marLeft w:val="288"/>
          <w:marRight w:val="0"/>
          <w:marTop w:val="360"/>
          <w:marBottom w:val="0"/>
          <w:divBdr>
            <w:top w:val="none" w:sz="0" w:space="0" w:color="auto"/>
            <w:left w:val="none" w:sz="0" w:space="0" w:color="auto"/>
            <w:bottom w:val="none" w:sz="0" w:space="0" w:color="auto"/>
            <w:right w:val="none" w:sz="0" w:space="0" w:color="auto"/>
          </w:divBdr>
        </w:div>
        <w:div w:id="1770351847">
          <w:marLeft w:val="288"/>
          <w:marRight w:val="0"/>
          <w:marTop w:val="360"/>
          <w:marBottom w:val="0"/>
          <w:divBdr>
            <w:top w:val="none" w:sz="0" w:space="0" w:color="auto"/>
            <w:left w:val="none" w:sz="0" w:space="0" w:color="auto"/>
            <w:bottom w:val="none" w:sz="0" w:space="0" w:color="auto"/>
            <w:right w:val="none" w:sz="0" w:space="0" w:color="auto"/>
          </w:divBdr>
        </w:div>
        <w:div w:id="201289034">
          <w:marLeft w:val="288"/>
          <w:marRight w:val="0"/>
          <w:marTop w:val="360"/>
          <w:marBottom w:val="0"/>
          <w:divBdr>
            <w:top w:val="none" w:sz="0" w:space="0" w:color="auto"/>
            <w:left w:val="none" w:sz="0" w:space="0" w:color="auto"/>
            <w:bottom w:val="none" w:sz="0" w:space="0" w:color="auto"/>
            <w:right w:val="none" w:sz="0" w:space="0" w:color="auto"/>
          </w:divBdr>
        </w:div>
        <w:div w:id="784738889">
          <w:marLeft w:val="288"/>
          <w:marRight w:val="0"/>
          <w:marTop w:val="360"/>
          <w:marBottom w:val="0"/>
          <w:divBdr>
            <w:top w:val="none" w:sz="0" w:space="0" w:color="auto"/>
            <w:left w:val="none" w:sz="0" w:space="0" w:color="auto"/>
            <w:bottom w:val="none" w:sz="0" w:space="0" w:color="auto"/>
            <w:right w:val="none" w:sz="0" w:space="0" w:color="auto"/>
          </w:divBdr>
        </w:div>
        <w:div w:id="961959719">
          <w:marLeft w:val="288"/>
          <w:marRight w:val="0"/>
          <w:marTop w:val="360"/>
          <w:marBottom w:val="0"/>
          <w:divBdr>
            <w:top w:val="none" w:sz="0" w:space="0" w:color="auto"/>
            <w:left w:val="none" w:sz="0" w:space="0" w:color="auto"/>
            <w:bottom w:val="none" w:sz="0" w:space="0" w:color="auto"/>
            <w:right w:val="none" w:sz="0" w:space="0" w:color="auto"/>
          </w:divBdr>
        </w:div>
      </w:divsChild>
    </w:div>
    <w:div w:id="214389258">
      <w:bodyDiv w:val="1"/>
      <w:marLeft w:val="0"/>
      <w:marRight w:val="0"/>
      <w:marTop w:val="0"/>
      <w:marBottom w:val="0"/>
      <w:divBdr>
        <w:top w:val="none" w:sz="0" w:space="0" w:color="auto"/>
        <w:left w:val="none" w:sz="0" w:space="0" w:color="auto"/>
        <w:bottom w:val="none" w:sz="0" w:space="0" w:color="auto"/>
        <w:right w:val="none" w:sz="0" w:space="0" w:color="auto"/>
      </w:divBdr>
    </w:div>
    <w:div w:id="215168246">
      <w:bodyDiv w:val="1"/>
      <w:marLeft w:val="0"/>
      <w:marRight w:val="0"/>
      <w:marTop w:val="0"/>
      <w:marBottom w:val="0"/>
      <w:divBdr>
        <w:top w:val="none" w:sz="0" w:space="0" w:color="auto"/>
        <w:left w:val="none" w:sz="0" w:space="0" w:color="auto"/>
        <w:bottom w:val="none" w:sz="0" w:space="0" w:color="auto"/>
        <w:right w:val="none" w:sz="0" w:space="0" w:color="auto"/>
      </w:divBdr>
    </w:div>
    <w:div w:id="220482590">
      <w:bodyDiv w:val="1"/>
      <w:marLeft w:val="0"/>
      <w:marRight w:val="0"/>
      <w:marTop w:val="0"/>
      <w:marBottom w:val="0"/>
      <w:divBdr>
        <w:top w:val="none" w:sz="0" w:space="0" w:color="auto"/>
        <w:left w:val="none" w:sz="0" w:space="0" w:color="auto"/>
        <w:bottom w:val="none" w:sz="0" w:space="0" w:color="auto"/>
        <w:right w:val="none" w:sz="0" w:space="0" w:color="auto"/>
      </w:divBdr>
      <w:divsChild>
        <w:div w:id="1975969">
          <w:marLeft w:val="360"/>
          <w:marRight w:val="0"/>
          <w:marTop w:val="200"/>
          <w:marBottom w:val="0"/>
          <w:divBdr>
            <w:top w:val="none" w:sz="0" w:space="0" w:color="auto"/>
            <w:left w:val="none" w:sz="0" w:space="0" w:color="auto"/>
            <w:bottom w:val="none" w:sz="0" w:space="0" w:color="auto"/>
            <w:right w:val="none" w:sz="0" w:space="0" w:color="auto"/>
          </w:divBdr>
        </w:div>
      </w:divsChild>
    </w:div>
    <w:div w:id="223495743">
      <w:bodyDiv w:val="1"/>
      <w:marLeft w:val="0"/>
      <w:marRight w:val="0"/>
      <w:marTop w:val="0"/>
      <w:marBottom w:val="0"/>
      <w:divBdr>
        <w:top w:val="none" w:sz="0" w:space="0" w:color="auto"/>
        <w:left w:val="none" w:sz="0" w:space="0" w:color="auto"/>
        <w:bottom w:val="none" w:sz="0" w:space="0" w:color="auto"/>
        <w:right w:val="none" w:sz="0" w:space="0" w:color="auto"/>
      </w:divBdr>
    </w:div>
    <w:div w:id="231698303">
      <w:bodyDiv w:val="1"/>
      <w:marLeft w:val="0"/>
      <w:marRight w:val="0"/>
      <w:marTop w:val="0"/>
      <w:marBottom w:val="0"/>
      <w:divBdr>
        <w:top w:val="none" w:sz="0" w:space="0" w:color="auto"/>
        <w:left w:val="none" w:sz="0" w:space="0" w:color="auto"/>
        <w:bottom w:val="none" w:sz="0" w:space="0" w:color="auto"/>
        <w:right w:val="none" w:sz="0" w:space="0" w:color="auto"/>
      </w:divBdr>
    </w:div>
    <w:div w:id="236210548">
      <w:bodyDiv w:val="1"/>
      <w:marLeft w:val="0"/>
      <w:marRight w:val="0"/>
      <w:marTop w:val="0"/>
      <w:marBottom w:val="0"/>
      <w:divBdr>
        <w:top w:val="none" w:sz="0" w:space="0" w:color="auto"/>
        <w:left w:val="none" w:sz="0" w:space="0" w:color="auto"/>
        <w:bottom w:val="none" w:sz="0" w:space="0" w:color="auto"/>
        <w:right w:val="none" w:sz="0" w:space="0" w:color="auto"/>
      </w:divBdr>
    </w:div>
    <w:div w:id="253131029">
      <w:bodyDiv w:val="1"/>
      <w:marLeft w:val="0"/>
      <w:marRight w:val="0"/>
      <w:marTop w:val="0"/>
      <w:marBottom w:val="0"/>
      <w:divBdr>
        <w:top w:val="none" w:sz="0" w:space="0" w:color="auto"/>
        <w:left w:val="none" w:sz="0" w:space="0" w:color="auto"/>
        <w:bottom w:val="none" w:sz="0" w:space="0" w:color="auto"/>
        <w:right w:val="none" w:sz="0" w:space="0" w:color="auto"/>
      </w:divBdr>
    </w:div>
    <w:div w:id="294987942">
      <w:bodyDiv w:val="1"/>
      <w:marLeft w:val="0"/>
      <w:marRight w:val="0"/>
      <w:marTop w:val="0"/>
      <w:marBottom w:val="0"/>
      <w:divBdr>
        <w:top w:val="none" w:sz="0" w:space="0" w:color="auto"/>
        <w:left w:val="none" w:sz="0" w:space="0" w:color="auto"/>
        <w:bottom w:val="none" w:sz="0" w:space="0" w:color="auto"/>
        <w:right w:val="none" w:sz="0" w:space="0" w:color="auto"/>
      </w:divBdr>
    </w:div>
    <w:div w:id="30450761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31490063">
      <w:bodyDiv w:val="1"/>
      <w:marLeft w:val="0"/>
      <w:marRight w:val="0"/>
      <w:marTop w:val="0"/>
      <w:marBottom w:val="0"/>
      <w:divBdr>
        <w:top w:val="none" w:sz="0" w:space="0" w:color="auto"/>
        <w:left w:val="none" w:sz="0" w:space="0" w:color="auto"/>
        <w:bottom w:val="none" w:sz="0" w:space="0" w:color="auto"/>
        <w:right w:val="none" w:sz="0" w:space="0" w:color="auto"/>
      </w:divBdr>
    </w:div>
    <w:div w:id="334265626">
      <w:bodyDiv w:val="1"/>
      <w:marLeft w:val="0"/>
      <w:marRight w:val="0"/>
      <w:marTop w:val="0"/>
      <w:marBottom w:val="0"/>
      <w:divBdr>
        <w:top w:val="none" w:sz="0" w:space="0" w:color="auto"/>
        <w:left w:val="none" w:sz="0" w:space="0" w:color="auto"/>
        <w:bottom w:val="none" w:sz="0" w:space="0" w:color="auto"/>
        <w:right w:val="none" w:sz="0" w:space="0" w:color="auto"/>
      </w:divBdr>
    </w:div>
    <w:div w:id="343899673">
      <w:bodyDiv w:val="1"/>
      <w:marLeft w:val="0"/>
      <w:marRight w:val="0"/>
      <w:marTop w:val="0"/>
      <w:marBottom w:val="0"/>
      <w:divBdr>
        <w:top w:val="none" w:sz="0" w:space="0" w:color="auto"/>
        <w:left w:val="none" w:sz="0" w:space="0" w:color="auto"/>
        <w:bottom w:val="none" w:sz="0" w:space="0" w:color="auto"/>
        <w:right w:val="none" w:sz="0" w:space="0" w:color="auto"/>
      </w:divBdr>
    </w:div>
    <w:div w:id="358311346">
      <w:bodyDiv w:val="1"/>
      <w:marLeft w:val="0"/>
      <w:marRight w:val="0"/>
      <w:marTop w:val="0"/>
      <w:marBottom w:val="0"/>
      <w:divBdr>
        <w:top w:val="none" w:sz="0" w:space="0" w:color="auto"/>
        <w:left w:val="none" w:sz="0" w:space="0" w:color="auto"/>
        <w:bottom w:val="none" w:sz="0" w:space="0" w:color="auto"/>
        <w:right w:val="none" w:sz="0" w:space="0" w:color="auto"/>
      </w:divBdr>
    </w:div>
    <w:div w:id="372461916">
      <w:bodyDiv w:val="1"/>
      <w:marLeft w:val="0"/>
      <w:marRight w:val="0"/>
      <w:marTop w:val="0"/>
      <w:marBottom w:val="0"/>
      <w:divBdr>
        <w:top w:val="none" w:sz="0" w:space="0" w:color="auto"/>
        <w:left w:val="none" w:sz="0" w:space="0" w:color="auto"/>
        <w:bottom w:val="none" w:sz="0" w:space="0" w:color="auto"/>
        <w:right w:val="none" w:sz="0" w:space="0" w:color="auto"/>
      </w:divBdr>
    </w:div>
    <w:div w:id="376399311">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6539390">
      <w:bodyDiv w:val="1"/>
      <w:marLeft w:val="0"/>
      <w:marRight w:val="0"/>
      <w:marTop w:val="0"/>
      <w:marBottom w:val="0"/>
      <w:divBdr>
        <w:top w:val="none" w:sz="0" w:space="0" w:color="auto"/>
        <w:left w:val="none" w:sz="0" w:space="0" w:color="auto"/>
        <w:bottom w:val="none" w:sz="0" w:space="0" w:color="auto"/>
        <w:right w:val="none" w:sz="0" w:space="0" w:color="auto"/>
      </w:divBdr>
    </w:div>
    <w:div w:id="408618435">
      <w:bodyDiv w:val="1"/>
      <w:marLeft w:val="0"/>
      <w:marRight w:val="0"/>
      <w:marTop w:val="0"/>
      <w:marBottom w:val="0"/>
      <w:divBdr>
        <w:top w:val="none" w:sz="0" w:space="0" w:color="auto"/>
        <w:left w:val="none" w:sz="0" w:space="0" w:color="auto"/>
        <w:bottom w:val="none" w:sz="0" w:space="0" w:color="auto"/>
        <w:right w:val="none" w:sz="0" w:space="0" w:color="auto"/>
      </w:divBdr>
    </w:div>
    <w:div w:id="411201801">
      <w:bodyDiv w:val="1"/>
      <w:marLeft w:val="0"/>
      <w:marRight w:val="0"/>
      <w:marTop w:val="0"/>
      <w:marBottom w:val="0"/>
      <w:divBdr>
        <w:top w:val="none" w:sz="0" w:space="0" w:color="auto"/>
        <w:left w:val="none" w:sz="0" w:space="0" w:color="auto"/>
        <w:bottom w:val="none" w:sz="0" w:space="0" w:color="auto"/>
        <w:right w:val="none" w:sz="0" w:space="0" w:color="auto"/>
      </w:divBdr>
    </w:div>
    <w:div w:id="411973544">
      <w:bodyDiv w:val="1"/>
      <w:marLeft w:val="0"/>
      <w:marRight w:val="0"/>
      <w:marTop w:val="0"/>
      <w:marBottom w:val="0"/>
      <w:divBdr>
        <w:top w:val="none" w:sz="0" w:space="0" w:color="auto"/>
        <w:left w:val="none" w:sz="0" w:space="0" w:color="auto"/>
        <w:bottom w:val="none" w:sz="0" w:space="0" w:color="auto"/>
        <w:right w:val="none" w:sz="0" w:space="0" w:color="auto"/>
      </w:divBdr>
    </w:div>
    <w:div w:id="420875207">
      <w:bodyDiv w:val="1"/>
      <w:marLeft w:val="0"/>
      <w:marRight w:val="0"/>
      <w:marTop w:val="0"/>
      <w:marBottom w:val="0"/>
      <w:divBdr>
        <w:top w:val="none" w:sz="0" w:space="0" w:color="auto"/>
        <w:left w:val="none" w:sz="0" w:space="0" w:color="auto"/>
        <w:bottom w:val="none" w:sz="0" w:space="0" w:color="auto"/>
        <w:right w:val="none" w:sz="0" w:space="0" w:color="auto"/>
      </w:divBdr>
    </w:div>
    <w:div w:id="421756657">
      <w:bodyDiv w:val="1"/>
      <w:marLeft w:val="0"/>
      <w:marRight w:val="0"/>
      <w:marTop w:val="0"/>
      <w:marBottom w:val="0"/>
      <w:divBdr>
        <w:top w:val="none" w:sz="0" w:space="0" w:color="auto"/>
        <w:left w:val="none" w:sz="0" w:space="0" w:color="auto"/>
        <w:bottom w:val="none" w:sz="0" w:space="0" w:color="auto"/>
        <w:right w:val="none" w:sz="0" w:space="0" w:color="auto"/>
      </w:divBdr>
    </w:div>
    <w:div w:id="426123723">
      <w:bodyDiv w:val="1"/>
      <w:marLeft w:val="0"/>
      <w:marRight w:val="0"/>
      <w:marTop w:val="0"/>
      <w:marBottom w:val="0"/>
      <w:divBdr>
        <w:top w:val="none" w:sz="0" w:space="0" w:color="auto"/>
        <w:left w:val="none" w:sz="0" w:space="0" w:color="auto"/>
        <w:bottom w:val="none" w:sz="0" w:space="0" w:color="auto"/>
        <w:right w:val="none" w:sz="0" w:space="0" w:color="auto"/>
      </w:divBdr>
    </w:div>
    <w:div w:id="430663453">
      <w:bodyDiv w:val="1"/>
      <w:marLeft w:val="0"/>
      <w:marRight w:val="0"/>
      <w:marTop w:val="0"/>
      <w:marBottom w:val="0"/>
      <w:divBdr>
        <w:top w:val="none" w:sz="0" w:space="0" w:color="auto"/>
        <w:left w:val="none" w:sz="0" w:space="0" w:color="auto"/>
        <w:bottom w:val="none" w:sz="0" w:space="0" w:color="auto"/>
        <w:right w:val="none" w:sz="0" w:space="0" w:color="auto"/>
      </w:divBdr>
    </w:div>
    <w:div w:id="443963842">
      <w:bodyDiv w:val="1"/>
      <w:marLeft w:val="0"/>
      <w:marRight w:val="0"/>
      <w:marTop w:val="0"/>
      <w:marBottom w:val="0"/>
      <w:divBdr>
        <w:top w:val="none" w:sz="0" w:space="0" w:color="auto"/>
        <w:left w:val="none" w:sz="0" w:space="0" w:color="auto"/>
        <w:bottom w:val="none" w:sz="0" w:space="0" w:color="auto"/>
        <w:right w:val="none" w:sz="0" w:space="0" w:color="auto"/>
      </w:divBdr>
    </w:div>
    <w:div w:id="448546075">
      <w:bodyDiv w:val="1"/>
      <w:marLeft w:val="0"/>
      <w:marRight w:val="0"/>
      <w:marTop w:val="0"/>
      <w:marBottom w:val="0"/>
      <w:divBdr>
        <w:top w:val="none" w:sz="0" w:space="0" w:color="auto"/>
        <w:left w:val="none" w:sz="0" w:space="0" w:color="auto"/>
        <w:bottom w:val="none" w:sz="0" w:space="0" w:color="auto"/>
        <w:right w:val="none" w:sz="0" w:space="0" w:color="auto"/>
      </w:divBdr>
    </w:div>
    <w:div w:id="467934595">
      <w:bodyDiv w:val="1"/>
      <w:marLeft w:val="0"/>
      <w:marRight w:val="0"/>
      <w:marTop w:val="0"/>
      <w:marBottom w:val="0"/>
      <w:divBdr>
        <w:top w:val="none" w:sz="0" w:space="0" w:color="auto"/>
        <w:left w:val="none" w:sz="0" w:space="0" w:color="auto"/>
        <w:bottom w:val="none" w:sz="0" w:space="0" w:color="auto"/>
        <w:right w:val="none" w:sz="0" w:space="0" w:color="auto"/>
      </w:divBdr>
    </w:div>
    <w:div w:id="507059065">
      <w:bodyDiv w:val="1"/>
      <w:marLeft w:val="0"/>
      <w:marRight w:val="0"/>
      <w:marTop w:val="0"/>
      <w:marBottom w:val="0"/>
      <w:divBdr>
        <w:top w:val="none" w:sz="0" w:space="0" w:color="auto"/>
        <w:left w:val="none" w:sz="0" w:space="0" w:color="auto"/>
        <w:bottom w:val="none" w:sz="0" w:space="0" w:color="auto"/>
        <w:right w:val="none" w:sz="0" w:space="0" w:color="auto"/>
      </w:divBdr>
    </w:div>
    <w:div w:id="512230630">
      <w:bodyDiv w:val="1"/>
      <w:marLeft w:val="0"/>
      <w:marRight w:val="0"/>
      <w:marTop w:val="0"/>
      <w:marBottom w:val="0"/>
      <w:divBdr>
        <w:top w:val="none" w:sz="0" w:space="0" w:color="auto"/>
        <w:left w:val="none" w:sz="0" w:space="0" w:color="auto"/>
        <w:bottom w:val="none" w:sz="0" w:space="0" w:color="auto"/>
        <w:right w:val="none" w:sz="0" w:space="0" w:color="auto"/>
      </w:divBdr>
    </w:div>
    <w:div w:id="513692315">
      <w:bodyDiv w:val="1"/>
      <w:marLeft w:val="0"/>
      <w:marRight w:val="0"/>
      <w:marTop w:val="0"/>
      <w:marBottom w:val="0"/>
      <w:divBdr>
        <w:top w:val="none" w:sz="0" w:space="0" w:color="auto"/>
        <w:left w:val="none" w:sz="0" w:space="0" w:color="auto"/>
        <w:bottom w:val="none" w:sz="0" w:space="0" w:color="auto"/>
        <w:right w:val="none" w:sz="0" w:space="0" w:color="auto"/>
      </w:divBdr>
    </w:div>
    <w:div w:id="529345210">
      <w:bodyDiv w:val="1"/>
      <w:marLeft w:val="0"/>
      <w:marRight w:val="0"/>
      <w:marTop w:val="0"/>
      <w:marBottom w:val="0"/>
      <w:divBdr>
        <w:top w:val="none" w:sz="0" w:space="0" w:color="auto"/>
        <w:left w:val="none" w:sz="0" w:space="0" w:color="auto"/>
        <w:bottom w:val="none" w:sz="0" w:space="0" w:color="auto"/>
        <w:right w:val="none" w:sz="0" w:space="0" w:color="auto"/>
      </w:divBdr>
    </w:div>
    <w:div w:id="530805065">
      <w:bodyDiv w:val="1"/>
      <w:marLeft w:val="0"/>
      <w:marRight w:val="0"/>
      <w:marTop w:val="0"/>
      <w:marBottom w:val="0"/>
      <w:divBdr>
        <w:top w:val="none" w:sz="0" w:space="0" w:color="auto"/>
        <w:left w:val="none" w:sz="0" w:space="0" w:color="auto"/>
        <w:bottom w:val="none" w:sz="0" w:space="0" w:color="auto"/>
        <w:right w:val="none" w:sz="0" w:space="0" w:color="auto"/>
      </w:divBdr>
    </w:div>
    <w:div w:id="534119866">
      <w:bodyDiv w:val="1"/>
      <w:marLeft w:val="0"/>
      <w:marRight w:val="0"/>
      <w:marTop w:val="0"/>
      <w:marBottom w:val="0"/>
      <w:divBdr>
        <w:top w:val="none" w:sz="0" w:space="0" w:color="auto"/>
        <w:left w:val="none" w:sz="0" w:space="0" w:color="auto"/>
        <w:bottom w:val="none" w:sz="0" w:space="0" w:color="auto"/>
        <w:right w:val="none" w:sz="0" w:space="0" w:color="auto"/>
      </w:divBdr>
    </w:div>
    <w:div w:id="541747342">
      <w:bodyDiv w:val="1"/>
      <w:marLeft w:val="0"/>
      <w:marRight w:val="0"/>
      <w:marTop w:val="0"/>
      <w:marBottom w:val="0"/>
      <w:divBdr>
        <w:top w:val="none" w:sz="0" w:space="0" w:color="auto"/>
        <w:left w:val="none" w:sz="0" w:space="0" w:color="auto"/>
        <w:bottom w:val="none" w:sz="0" w:space="0" w:color="auto"/>
        <w:right w:val="none" w:sz="0" w:space="0" w:color="auto"/>
      </w:divBdr>
    </w:div>
    <w:div w:id="547766773">
      <w:bodyDiv w:val="1"/>
      <w:marLeft w:val="0"/>
      <w:marRight w:val="0"/>
      <w:marTop w:val="0"/>
      <w:marBottom w:val="0"/>
      <w:divBdr>
        <w:top w:val="none" w:sz="0" w:space="0" w:color="auto"/>
        <w:left w:val="none" w:sz="0" w:space="0" w:color="auto"/>
        <w:bottom w:val="none" w:sz="0" w:space="0" w:color="auto"/>
        <w:right w:val="none" w:sz="0" w:space="0" w:color="auto"/>
      </w:divBdr>
    </w:div>
    <w:div w:id="558173341">
      <w:bodyDiv w:val="1"/>
      <w:marLeft w:val="0"/>
      <w:marRight w:val="0"/>
      <w:marTop w:val="0"/>
      <w:marBottom w:val="0"/>
      <w:divBdr>
        <w:top w:val="none" w:sz="0" w:space="0" w:color="auto"/>
        <w:left w:val="none" w:sz="0" w:space="0" w:color="auto"/>
        <w:bottom w:val="none" w:sz="0" w:space="0" w:color="auto"/>
        <w:right w:val="none" w:sz="0" w:space="0" w:color="auto"/>
      </w:divBdr>
    </w:div>
    <w:div w:id="566258281">
      <w:bodyDiv w:val="1"/>
      <w:marLeft w:val="0"/>
      <w:marRight w:val="0"/>
      <w:marTop w:val="0"/>
      <w:marBottom w:val="0"/>
      <w:divBdr>
        <w:top w:val="none" w:sz="0" w:space="0" w:color="auto"/>
        <w:left w:val="none" w:sz="0" w:space="0" w:color="auto"/>
        <w:bottom w:val="none" w:sz="0" w:space="0" w:color="auto"/>
        <w:right w:val="none" w:sz="0" w:space="0" w:color="auto"/>
      </w:divBdr>
    </w:div>
    <w:div w:id="569268724">
      <w:bodyDiv w:val="1"/>
      <w:marLeft w:val="0"/>
      <w:marRight w:val="0"/>
      <w:marTop w:val="0"/>
      <w:marBottom w:val="0"/>
      <w:divBdr>
        <w:top w:val="none" w:sz="0" w:space="0" w:color="auto"/>
        <w:left w:val="none" w:sz="0" w:space="0" w:color="auto"/>
        <w:bottom w:val="none" w:sz="0" w:space="0" w:color="auto"/>
        <w:right w:val="none" w:sz="0" w:space="0" w:color="auto"/>
      </w:divBdr>
    </w:div>
    <w:div w:id="596527678">
      <w:bodyDiv w:val="1"/>
      <w:marLeft w:val="0"/>
      <w:marRight w:val="0"/>
      <w:marTop w:val="0"/>
      <w:marBottom w:val="0"/>
      <w:divBdr>
        <w:top w:val="none" w:sz="0" w:space="0" w:color="auto"/>
        <w:left w:val="none" w:sz="0" w:space="0" w:color="auto"/>
        <w:bottom w:val="none" w:sz="0" w:space="0" w:color="auto"/>
        <w:right w:val="none" w:sz="0" w:space="0" w:color="auto"/>
      </w:divBdr>
    </w:div>
    <w:div w:id="615522263">
      <w:bodyDiv w:val="1"/>
      <w:marLeft w:val="0"/>
      <w:marRight w:val="0"/>
      <w:marTop w:val="0"/>
      <w:marBottom w:val="0"/>
      <w:divBdr>
        <w:top w:val="none" w:sz="0" w:space="0" w:color="auto"/>
        <w:left w:val="none" w:sz="0" w:space="0" w:color="auto"/>
        <w:bottom w:val="none" w:sz="0" w:space="0" w:color="auto"/>
        <w:right w:val="none" w:sz="0" w:space="0" w:color="auto"/>
      </w:divBdr>
    </w:div>
    <w:div w:id="620036621">
      <w:bodyDiv w:val="1"/>
      <w:marLeft w:val="0"/>
      <w:marRight w:val="0"/>
      <w:marTop w:val="0"/>
      <w:marBottom w:val="0"/>
      <w:divBdr>
        <w:top w:val="none" w:sz="0" w:space="0" w:color="auto"/>
        <w:left w:val="none" w:sz="0" w:space="0" w:color="auto"/>
        <w:bottom w:val="none" w:sz="0" w:space="0" w:color="auto"/>
        <w:right w:val="none" w:sz="0" w:space="0" w:color="auto"/>
      </w:divBdr>
    </w:div>
    <w:div w:id="624774902">
      <w:bodyDiv w:val="1"/>
      <w:marLeft w:val="0"/>
      <w:marRight w:val="0"/>
      <w:marTop w:val="0"/>
      <w:marBottom w:val="0"/>
      <w:divBdr>
        <w:top w:val="none" w:sz="0" w:space="0" w:color="auto"/>
        <w:left w:val="none" w:sz="0" w:space="0" w:color="auto"/>
        <w:bottom w:val="none" w:sz="0" w:space="0" w:color="auto"/>
        <w:right w:val="none" w:sz="0" w:space="0" w:color="auto"/>
      </w:divBdr>
    </w:div>
    <w:div w:id="630671323">
      <w:bodyDiv w:val="1"/>
      <w:marLeft w:val="0"/>
      <w:marRight w:val="0"/>
      <w:marTop w:val="0"/>
      <w:marBottom w:val="0"/>
      <w:divBdr>
        <w:top w:val="none" w:sz="0" w:space="0" w:color="auto"/>
        <w:left w:val="none" w:sz="0" w:space="0" w:color="auto"/>
        <w:bottom w:val="none" w:sz="0" w:space="0" w:color="auto"/>
        <w:right w:val="none" w:sz="0" w:space="0" w:color="auto"/>
      </w:divBdr>
    </w:div>
    <w:div w:id="664868437">
      <w:bodyDiv w:val="1"/>
      <w:marLeft w:val="0"/>
      <w:marRight w:val="0"/>
      <w:marTop w:val="0"/>
      <w:marBottom w:val="0"/>
      <w:divBdr>
        <w:top w:val="none" w:sz="0" w:space="0" w:color="auto"/>
        <w:left w:val="none" w:sz="0" w:space="0" w:color="auto"/>
        <w:bottom w:val="none" w:sz="0" w:space="0" w:color="auto"/>
        <w:right w:val="none" w:sz="0" w:space="0" w:color="auto"/>
      </w:divBdr>
    </w:div>
    <w:div w:id="704403528">
      <w:bodyDiv w:val="1"/>
      <w:marLeft w:val="0"/>
      <w:marRight w:val="0"/>
      <w:marTop w:val="0"/>
      <w:marBottom w:val="0"/>
      <w:divBdr>
        <w:top w:val="none" w:sz="0" w:space="0" w:color="auto"/>
        <w:left w:val="none" w:sz="0" w:space="0" w:color="auto"/>
        <w:bottom w:val="none" w:sz="0" w:space="0" w:color="auto"/>
        <w:right w:val="none" w:sz="0" w:space="0" w:color="auto"/>
      </w:divBdr>
    </w:div>
    <w:div w:id="739715590">
      <w:bodyDiv w:val="1"/>
      <w:marLeft w:val="0"/>
      <w:marRight w:val="0"/>
      <w:marTop w:val="0"/>
      <w:marBottom w:val="0"/>
      <w:divBdr>
        <w:top w:val="none" w:sz="0" w:space="0" w:color="auto"/>
        <w:left w:val="none" w:sz="0" w:space="0" w:color="auto"/>
        <w:bottom w:val="none" w:sz="0" w:space="0" w:color="auto"/>
        <w:right w:val="none" w:sz="0" w:space="0" w:color="auto"/>
      </w:divBdr>
    </w:div>
    <w:div w:id="746734854">
      <w:bodyDiv w:val="1"/>
      <w:marLeft w:val="0"/>
      <w:marRight w:val="0"/>
      <w:marTop w:val="0"/>
      <w:marBottom w:val="0"/>
      <w:divBdr>
        <w:top w:val="none" w:sz="0" w:space="0" w:color="auto"/>
        <w:left w:val="none" w:sz="0" w:space="0" w:color="auto"/>
        <w:bottom w:val="none" w:sz="0" w:space="0" w:color="auto"/>
        <w:right w:val="none" w:sz="0" w:space="0" w:color="auto"/>
      </w:divBdr>
      <w:divsChild>
        <w:div w:id="1120420196">
          <w:marLeft w:val="360"/>
          <w:marRight w:val="0"/>
          <w:marTop w:val="200"/>
          <w:marBottom w:val="0"/>
          <w:divBdr>
            <w:top w:val="none" w:sz="0" w:space="0" w:color="auto"/>
            <w:left w:val="none" w:sz="0" w:space="0" w:color="auto"/>
            <w:bottom w:val="none" w:sz="0" w:space="0" w:color="auto"/>
            <w:right w:val="none" w:sz="0" w:space="0" w:color="auto"/>
          </w:divBdr>
        </w:div>
      </w:divsChild>
    </w:div>
    <w:div w:id="759524415">
      <w:bodyDiv w:val="1"/>
      <w:marLeft w:val="0"/>
      <w:marRight w:val="0"/>
      <w:marTop w:val="0"/>
      <w:marBottom w:val="0"/>
      <w:divBdr>
        <w:top w:val="none" w:sz="0" w:space="0" w:color="auto"/>
        <w:left w:val="none" w:sz="0" w:space="0" w:color="auto"/>
        <w:bottom w:val="none" w:sz="0" w:space="0" w:color="auto"/>
        <w:right w:val="none" w:sz="0" w:space="0" w:color="auto"/>
      </w:divBdr>
    </w:div>
    <w:div w:id="779027833">
      <w:bodyDiv w:val="1"/>
      <w:marLeft w:val="0"/>
      <w:marRight w:val="0"/>
      <w:marTop w:val="0"/>
      <w:marBottom w:val="0"/>
      <w:divBdr>
        <w:top w:val="none" w:sz="0" w:space="0" w:color="auto"/>
        <w:left w:val="none" w:sz="0" w:space="0" w:color="auto"/>
        <w:bottom w:val="none" w:sz="0" w:space="0" w:color="auto"/>
        <w:right w:val="none" w:sz="0" w:space="0" w:color="auto"/>
      </w:divBdr>
    </w:div>
    <w:div w:id="783886223">
      <w:bodyDiv w:val="1"/>
      <w:marLeft w:val="0"/>
      <w:marRight w:val="0"/>
      <w:marTop w:val="0"/>
      <w:marBottom w:val="0"/>
      <w:divBdr>
        <w:top w:val="none" w:sz="0" w:space="0" w:color="auto"/>
        <w:left w:val="none" w:sz="0" w:space="0" w:color="auto"/>
        <w:bottom w:val="none" w:sz="0" w:space="0" w:color="auto"/>
        <w:right w:val="none" w:sz="0" w:space="0" w:color="auto"/>
      </w:divBdr>
    </w:div>
    <w:div w:id="801191573">
      <w:bodyDiv w:val="1"/>
      <w:marLeft w:val="0"/>
      <w:marRight w:val="0"/>
      <w:marTop w:val="0"/>
      <w:marBottom w:val="0"/>
      <w:divBdr>
        <w:top w:val="none" w:sz="0" w:space="0" w:color="auto"/>
        <w:left w:val="none" w:sz="0" w:space="0" w:color="auto"/>
        <w:bottom w:val="none" w:sz="0" w:space="0" w:color="auto"/>
        <w:right w:val="none" w:sz="0" w:space="0" w:color="auto"/>
      </w:divBdr>
    </w:div>
    <w:div w:id="806968104">
      <w:bodyDiv w:val="1"/>
      <w:marLeft w:val="0"/>
      <w:marRight w:val="0"/>
      <w:marTop w:val="0"/>
      <w:marBottom w:val="0"/>
      <w:divBdr>
        <w:top w:val="none" w:sz="0" w:space="0" w:color="auto"/>
        <w:left w:val="none" w:sz="0" w:space="0" w:color="auto"/>
        <w:bottom w:val="none" w:sz="0" w:space="0" w:color="auto"/>
        <w:right w:val="none" w:sz="0" w:space="0" w:color="auto"/>
      </w:divBdr>
    </w:div>
    <w:div w:id="816918479">
      <w:bodyDiv w:val="1"/>
      <w:marLeft w:val="0"/>
      <w:marRight w:val="0"/>
      <w:marTop w:val="0"/>
      <w:marBottom w:val="0"/>
      <w:divBdr>
        <w:top w:val="none" w:sz="0" w:space="0" w:color="auto"/>
        <w:left w:val="none" w:sz="0" w:space="0" w:color="auto"/>
        <w:bottom w:val="none" w:sz="0" w:space="0" w:color="auto"/>
        <w:right w:val="none" w:sz="0" w:space="0" w:color="auto"/>
      </w:divBdr>
    </w:div>
    <w:div w:id="817648807">
      <w:bodyDiv w:val="1"/>
      <w:marLeft w:val="0"/>
      <w:marRight w:val="0"/>
      <w:marTop w:val="0"/>
      <w:marBottom w:val="0"/>
      <w:divBdr>
        <w:top w:val="none" w:sz="0" w:space="0" w:color="auto"/>
        <w:left w:val="none" w:sz="0" w:space="0" w:color="auto"/>
        <w:bottom w:val="none" w:sz="0" w:space="0" w:color="auto"/>
        <w:right w:val="none" w:sz="0" w:space="0" w:color="auto"/>
      </w:divBdr>
    </w:div>
    <w:div w:id="822359253">
      <w:bodyDiv w:val="1"/>
      <w:marLeft w:val="0"/>
      <w:marRight w:val="0"/>
      <w:marTop w:val="0"/>
      <w:marBottom w:val="0"/>
      <w:divBdr>
        <w:top w:val="none" w:sz="0" w:space="0" w:color="auto"/>
        <w:left w:val="none" w:sz="0" w:space="0" w:color="auto"/>
        <w:bottom w:val="none" w:sz="0" w:space="0" w:color="auto"/>
        <w:right w:val="none" w:sz="0" w:space="0" w:color="auto"/>
      </w:divBdr>
    </w:div>
    <w:div w:id="832257858">
      <w:bodyDiv w:val="1"/>
      <w:marLeft w:val="0"/>
      <w:marRight w:val="0"/>
      <w:marTop w:val="0"/>
      <w:marBottom w:val="0"/>
      <w:divBdr>
        <w:top w:val="none" w:sz="0" w:space="0" w:color="auto"/>
        <w:left w:val="none" w:sz="0" w:space="0" w:color="auto"/>
        <w:bottom w:val="none" w:sz="0" w:space="0" w:color="auto"/>
        <w:right w:val="none" w:sz="0" w:space="0" w:color="auto"/>
      </w:divBdr>
    </w:div>
    <w:div w:id="832260493">
      <w:bodyDiv w:val="1"/>
      <w:marLeft w:val="0"/>
      <w:marRight w:val="0"/>
      <w:marTop w:val="0"/>
      <w:marBottom w:val="0"/>
      <w:divBdr>
        <w:top w:val="none" w:sz="0" w:space="0" w:color="auto"/>
        <w:left w:val="none" w:sz="0" w:space="0" w:color="auto"/>
        <w:bottom w:val="none" w:sz="0" w:space="0" w:color="auto"/>
        <w:right w:val="none" w:sz="0" w:space="0" w:color="auto"/>
      </w:divBdr>
    </w:div>
    <w:div w:id="845289396">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81332576">
      <w:bodyDiv w:val="1"/>
      <w:marLeft w:val="0"/>
      <w:marRight w:val="0"/>
      <w:marTop w:val="0"/>
      <w:marBottom w:val="0"/>
      <w:divBdr>
        <w:top w:val="none" w:sz="0" w:space="0" w:color="auto"/>
        <w:left w:val="none" w:sz="0" w:space="0" w:color="auto"/>
        <w:bottom w:val="none" w:sz="0" w:space="0" w:color="auto"/>
        <w:right w:val="none" w:sz="0" w:space="0" w:color="auto"/>
      </w:divBdr>
    </w:div>
    <w:div w:id="912815054">
      <w:bodyDiv w:val="1"/>
      <w:marLeft w:val="0"/>
      <w:marRight w:val="0"/>
      <w:marTop w:val="0"/>
      <w:marBottom w:val="0"/>
      <w:divBdr>
        <w:top w:val="none" w:sz="0" w:space="0" w:color="auto"/>
        <w:left w:val="none" w:sz="0" w:space="0" w:color="auto"/>
        <w:bottom w:val="none" w:sz="0" w:space="0" w:color="auto"/>
        <w:right w:val="none" w:sz="0" w:space="0" w:color="auto"/>
      </w:divBdr>
    </w:div>
    <w:div w:id="943684580">
      <w:bodyDiv w:val="1"/>
      <w:marLeft w:val="0"/>
      <w:marRight w:val="0"/>
      <w:marTop w:val="0"/>
      <w:marBottom w:val="0"/>
      <w:divBdr>
        <w:top w:val="none" w:sz="0" w:space="0" w:color="auto"/>
        <w:left w:val="none" w:sz="0" w:space="0" w:color="auto"/>
        <w:bottom w:val="none" w:sz="0" w:space="0" w:color="auto"/>
        <w:right w:val="none" w:sz="0" w:space="0" w:color="auto"/>
      </w:divBdr>
    </w:div>
    <w:div w:id="944657113">
      <w:bodyDiv w:val="1"/>
      <w:marLeft w:val="0"/>
      <w:marRight w:val="0"/>
      <w:marTop w:val="0"/>
      <w:marBottom w:val="0"/>
      <w:divBdr>
        <w:top w:val="none" w:sz="0" w:space="0" w:color="auto"/>
        <w:left w:val="none" w:sz="0" w:space="0" w:color="auto"/>
        <w:bottom w:val="none" w:sz="0" w:space="0" w:color="auto"/>
        <w:right w:val="none" w:sz="0" w:space="0" w:color="auto"/>
      </w:divBdr>
      <w:divsChild>
        <w:div w:id="174616939">
          <w:marLeft w:val="360"/>
          <w:marRight w:val="0"/>
          <w:marTop w:val="200"/>
          <w:marBottom w:val="0"/>
          <w:divBdr>
            <w:top w:val="none" w:sz="0" w:space="0" w:color="auto"/>
            <w:left w:val="none" w:sz="0" w:space="0" w:color="auto"/>
            <w:bottom w:val="none" w:sz="0" w:space="0" w:color="auto"/>
            <w:right w:val="none" w:sz="0" w:space="0" w:color="auto"/>
          </w:divBdr>
        </w:div>
      </w:divsChild>
    </w:div>
    <w:div w:id="952442645">
      <w:bodyDiv w:val="1"/>
      <w:marLeft w:val="0"/>
      <w:marRight w:val="0"/>
      <w:marTop w:val="0"/>
      <w:marBottom w:val="0"/>
      <w:divBdr>
        <w:top w:val="none" w:sz="0" w:space="0" w:color="auto"/>
        <w:left w:val="none" w:sz="0" w:space="0" w:color="auto"/>
        <w:bottom w:val="none" w:sz="0" w:space="0" w:color="auto"/>
        <w:right w:val="none" w:sz="0" w:space="0" w:color="auto"/>
      </w:divBdr>
    </w:div>
    <w:div w:id="966008203">
      <w:bodyDiv w:val="1"/>
      <w:marLeft w:val="0"/>
      <w:marRight w:val="0"/>
      <w:marTop w:val="0"/>
      <w:marBottom w:val="0"/>
      <w:divBdr>
        <w:top w:val="none" w:sz="0" w:space="0" w:color="auto"/>
        <w:left w:val="none" w:sz="0" w:space="0" w:color="auto"/>
        <w:bottom w:val="none" w:sz="0" w:space="0" w:color="auto"/>
        <w:right w:val="none" w:sz="0" w:space="0" w:color="auto"/>
      </w:divBdr>
    </w:div>
    <w:div w:id="968975400">
      <w:bodyDiv w:val="1"/>
      <w:marLeft w:val="0"/>
      <w:marRight w:val="0"/>
      <w:marTop w:val="0"/>
      <w:marBottom w:val="0"/>
      <w:divBdr>
        <w:top w:val="none" w:sz="0" w:space="0" w:color="auto"/>
        <w:left w:val="none" w:sz="0" w:space="0" w:color="auto"/>
        <w:bottom w:val="none" w:sz="0" w:space="0" w:color="auto"/>
        <w:right w:val="none" w:sz="0" w:space="0" w:color="auto"/>
      </w:divBdr>
      <w:divsChild>
        <w:div w:id="1350522814">
          <w:marLeft w:val="0"/>
          <w:marRight w:val="150"/>
          <w:marTop w:val="0"/>
          <w:marBottom w:val="0"/>
          <w:divBdr>
            <w:top w:val="single" w:sz="2" w:space="0" w:color="000000"/>
            <w:left w:val="single" w:sz="2" w:space="0" w:color="000000"/>
            <w:bottom w:val="single" w:sz="2" w:space="0" w:color="000000"/>
            <w:right w:val="single" w:sz="2" w:space="0" w:color="000000"/>
          </w:divBdr>
          <w:divsChild>
            <w:div w:id="419184993">
              <w:marLeft w:val="0"/>
              <w:marRight w:val="0"/>
              <w:marTop w:val="0"/>
              <w:marBottom w:val="0"/>
              <w:divBdr>
                <w:top w:val="single" w:sz="2" w:space="0" w:color="000000"/>
                <w:left w:val="single" w:sz="2" w:space="0" w:color="000000"/>
                <w:bottom w:val="single" w:sz="2" w:space="0" w:color="000000"/>
                <w:right w:val="single" w:sz="2" w:space="0" w:color="000000"/>
              </w:divBdr>
              <w:divsChild>
                <w:div w:id="1983074791">
                  <w:marLeft w:val="0"/>
                  <w:marRight w:val="0"/>
                  <w:marTop w:val="0"/>
                  <w:marBottom w:val="0"/>
                  <w:divBdr>
                    <w:top w:val="single" w:sz="2" w:space="0" w:color="000000"/>
                    <w:left w:val="single" w:sz="2" w:space="0" w:color="000000"/>
                    <w:bottom w:val="single" w:sz="2" w:space="0" w:color="000000"/>
                    <w:right w:val="single" w:sz="2" w:space="0" w:color="000000"/>
                  </w:divBdr>
                  <w:divsChild>
                    <w:div w:id="914239938">
                      <w:marLeft w:val="0"/>
                      <w:marRight w:val="0"/>
                      <w:marTop w:val="0"/>
                      <w:marBottom w:val="0"/>
                      <w:divBdr>
                        <w:top w:val="single" w:sz="2" w:space="0" w:color="000000"/>
                        <w:left w:val="single" w:sz="2" w:space="0" w:color="000000"/>
                        <w:bottom w:val="single" w:sz="2" w:space="0" w:color="000000"/>
                        <w:right w:val="single" w:sz="2" w:space="0" w:color="000000"/>
                      </w:divBdr>
                      <w:divsChild>
                        <w:div w:id="929580508">
                          <w:marLeft w:val="0"/>
                          <w:marRight w:val="0"/>
                          <w:marTop w:val="0"/>
                          <w:marBottom w:val="0"/>
                          <w:divBdr>
                            <w:top w:val="none" w:sz="0" w:space="0" w:color="auto"/>
                            <w:left w:val="none" w:sz="0" w:space="0" w:color="auto"/>
                            <w:bottom w:val="none" w:sz="0" w:space="0" w:color="auto"/>
                            <w:right w:val="none" w:sz="0" w:space="0" w:color="auto"/>
                          </w:divBdr>
                          <w:divsChild>
                            <w:div w:id="2019498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058825838">
          <w:marLeft w:val="0"/>
          <w:marRight w:val="0"/>
          <w:marTop w:val="0"/>
          <w:marBottom w:val="0"/>
          <w:divBdr>
            <w:top w:val="single" w:sz="2" w:space="0" w:color="000000"/>
            <w:left w:val="single" w:sz="2" w:space="0" w:color="000000"/>
            <w:bottom w:val="single" w:sz="2" w:space="8" w:color="000000"/>
            <w:right w:val="single" w:sz="2" w:space="0" w:color="000000"/>
          </w:divBdr>
          <w:divsChild>
            <w:div w:id="2075395400">
              <w:marLeft w:val="0"/>
              <w:marRight w:val="0"/>
              <w:marTop w:val="0"/>
              <w:marBottom w:val="0"/>
              <w:divBdr>
                <w:top w:val="single" w:sz="2" w:space="0" w:color="000000"/>
                <w:left w:val="single" w:sz="2" w:space="0" w:color="000000"/>
                <w:bottom w:val="single" w:sz="2" w:space="0" w:color="000000"/>
                <w:right w:val="single" w:sz="2" w:space="0" w:color="000000"/>
              </w:divBdr>
              <w:divsChild>
                <w:div w:id="201989819">
                  <w:marLeft w:val="0"/>
                  <w:marRight w:val="0"/>
                  <w:marTop w:val="0"/>
                  <w:marBottom w:val="30"/>
                  <w:divBdr>
                    <w:top w:val="single" w:sz="2" w:space="0" w:color="000000"/>
                    <w:left w:val="single" w:sz="2" w:space="0" w:color="000000"/>
                    <w:bottom w:val="single" w:sz="2" w:space="0" w:color="000000"/>
                    <w:right w:val="single" w:sz="2" w:space="0" w:color="000000"/>
                  </w:divBdr>
                  <w:divsChild>
                    <w:div w:id="1779834749">
                      <w:marLeft w:val="0"/>
                      <w:marRight w:val="0"/>
                      <w:marTop w:val="0"/>
                      <w:marBottom w:val="0"/>
                      <w:divBdr>
                        <w:top w:val="single" w:sz="2" w:space="0" w:color="000000"/>
                        <w:left w:val="single" w:sz="2" w:space="0" w:color="000000"/>
                        <w:bottom w:val="single" w:sz="2" w:space="0" w:color="000000"/>
                        <w:right w:val="single" w:sz="2" w:space="0" w:color="000000"/>
                      </w:divBdr>
                      <w:divsChild>
                        <w:div w:id="70584360">
                          <w:marLeft w:val="0"/>
                          <w:marRight w:val="0"/>
                          <w:marTop w:val="0"/>
                          <w:marBottom w:val="0"/>
                          <w:divBdr>
                            <w:top w:val="single" w:sz="2" w:space="0" w:color="000000"/>
                            <w:left w:val="single" w:sz="2" w:space="0" w:color="000000"/>
                            <w:bottom w:val="single" w:sz="2" w:space="0" w:color="000000"/>
                            <w:right w:val="single" w:sz="2" w:space="0" w:color="000000"/>
                          </w:divBdr>
                          <w:divsChild>
                            <w:div w:id="1392079576">
                              <w:marLeft w:val="0"/>
                              <w:marRight w:val="0"/>
                              <w:marTop w:val="0"/>
                              <w:marBottom w:val="0"/>
                              <w:divBdr>
                                <w:top w:val="single" w:sz="2" w:space="0" w:color="000000"/>
                                <w:left w:val="single" w:sz="2" w:space="0" w:color="000000"/>
                                <w:bottom w:val="single" w:sz="2" w:space="0" w:color="000000"/>
                                <w:right w:val="single" w:sz="2" w:space="0" w:color="000000"/>
                              </w:divBdr>
                              <w:divsChild>
                                <w:div w:id="1962956154">
                                  <w:marLeft w:val="0"/>
                                  <w:marRight w:val="0"/>
                                  <w:marTop w:val="0"/>
                                  <w:marBottom w:val="0"/>
                                  <w:divBdr>
                                    <w:top w:val="single" w:sz="2" w:space="0" w:color="000000"/>
                                    <w:left w:val="single" w:sz="2" w:space="0" w:color="000000"/>
                                    <w:bottom w:val="single" w:sz="2" w:space="0" w:color="000000"/>
                                    <w:right w:val="single" w:sz="2" w:space="0" w:color="000000"/>
                                  </w:divBdr>
                                  <w:divsChild>
                                    <w:div w:id="1719091966">
                                      <w:marLeft w:val="0"/>
                                      <w:marRight w:val="0"/>
                                      <w:marTop w:val="0"/>
                                      <w:marBottom w:val="0"/>
                                      <w:divBdr>
                                        <w:top w:val="single" w:sz="2" w:space="0" w:color="000000"/>
                                        <w:left w:val="single" w:sz="2" w:space="0" w:color="000000"/>
                                        <w:bottom w:val="single" w:sz="2" w:space="0" w:color="000000"/>
                                        <w:right w:val="single" w:sz="2" w:space="0" w:color="000000"/>
                                      </w:divBdr>
                                      <w:divsChild>
                                        <w:div w:id="20445532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9860268">
                                      <w:marLeft w:val="75"/>
                                      <w:marRight w:val="0"/>
                                      <w:marTop w:val="0"/>
                                      <w:marBottom w:val="0"/>
                                      <w:divBdr>
                                        <w:top w:val="single" w:sz="2" w:space="0" w:color="000000"/>
                                        <w:left w:val="single" w:sz="2" w:space="0" w:color="000000"/>
                                        <w:bottom w:val="single" w:sz="2" w:space="0" w:color="000000"/>
                                        <w:right w:val="single" w:sz="2" w:space="0" w:color="000000"/>
                                      </w:divBdr>
                                      <w:divsChild>
                                        <w:div w:id="8544648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2902919">
                              <w:marLeft w:val="0"/>
                              <w:marRight w:val="0"/>
                              <w:marTop w:val="0"/>
                              <w:marBottom w:val="0"/>
                              <w:divBdr>
                                <w:top w:val="single" w:sz="2" w:space="0" w:color="000000"/>
                                <w:left w:val="single" w:sz="2" w:space="4" w:color="000000"/>
                                <w:bottom w:val="single" w:sz="2" w:space="0" w:color="000000"/>
                                <w:right w:val="single" w:sz="2" w:space="4" w:color="000000"/>
                              </w:divBdr>
                            </w:div>
                          </w:divsChild>
                        </w:div>
                      </w:divsChild>
                    </w:div>
                  </w:divsChild>
                </w:div>
              </w:divsChild>
            </w:div>
            <w:div w:id="596210244">
              <w:marLeft w:val="0"/>
              <w:marRight w:val="0"/>
              <w:marTop w:val="0"/>
              <w:marBottom w:val="0"/>
              <w:divBdr>
                <w:top w:val="single" w:sz="2" w:space="0" w:color="000000"/>
                <w:left w:val="single" w:sz="2" w:space="0" w:color="000000"/>
                <w:bottom w:val="single" w:sz="2" w:space="0" w:color="000000"/>
                <w:right w:val="single" w:sz="2" w:space="0" w:color="000000"/>
              </w:divBdr>
              <w:divsChild>
                <w:div w:id="1702171599">
                  <w:marLeft w:val="0"/>
                  <w:marRight w:val="0"/>
                  <w:marTop w:val="0"/>
                  <w:marBottom w:val="0"/>
                  <w:divBdr>
                    <w:top w:val="single" w:sz="2" w:space="0" w:color="000000"/>
                    <w:left w:val="single" w:sz="2" w:space="0" w:color="000000"/>
                    <w:bottom w:val="single" w:sz="2" w:space="0" w:color="000000"/>
                    <w:right w:val="single" w:sz="2" w:space="0" w:color="000000"/>
                  </w:divBdr>
                  <w:divsChild>
                    <w:div w:id="5555561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2033238">
                  <w:marLeft w:val="0"/>
                  <w:marRight w:val="0"/>
                  <w:marTop w:val="0"/>
                  <w:marBottom w:val="0"/>
                  <w:divBdr>
                    <w:top w:val="single" w:sz="2" w:space="0" w:color="000000"/>
                    <w:left w:val="single" w:sz="2" w:space="0" w:color="000000"/>
                    <w:bottom w:val="single" w:sz="2" w:space="0" w:color="000000"/>
                    <w:right w:val="single" w:sz="2" w:space="0" w:color="000000"/>
                  </w:divBdr>
                  <w:divsChild>
                    <w:div w:id="1143278826">
                      <w:marLeft w:val="0"/>
                      <w:marRight w:val="0"/>
                      <w:marTop w:val="0"/>
                      <w:marBottom w:val="0"/>
                      <w:divBdr>
                        <w:top w:val="single" w:sz="2" w:space="0" w:color="000000"/>
                        <w:left w:val="single" w:sz="2" w:space="0" w:color="000000"/>
                        <w:bottom w:val="single" w:sz="2" w:space="0" w:color="000000"/>
                        <w:right w:val="single" w:sz="2" w:space="0" w:color="000000"/>
                      </w:divBdr>
                      <w:divsChild>
                        <w:div w:id="1894271443">
                          <w:marLeft w:val="0"/>
                          <w:marRight w:val="0"/>
                          <w:marTop w:val="150"/>
                          <w:marBottom w:val="0"/>
                          <w:divBdr>
                            <w:top w:val="single" w:sz="2" w:space="0" w:color="000000"/>
                            <w:left w:val="single" w:sz="2" w:space="0" w:color="000000"/>
                            <w:bottom w:val="single" w:sz="2" w:space="0" w:color="000000"/>
                            <w:right w:val="single" w:sz="2" w:space="0" w:color="000000"/>
                          </w:divBdr>
                          <w:divsChild>
                            <w:div w:id="1464040857">
                              <w:marLeft w:val="0"/>
                              <w:marRight w:val="0"/>
                              <w:marTop w:val="0"/>
                              <w:marBottom w:val="0"/>
                              <w:divBdr>
                                <w:top w:val="single" w:sz="2" w:space="0" w:color="000000"/>
                                <w:left w:val="single" w:sz="2" w:space="0" w:color="000000"/>
                                <w:bottom w:val="single" w:sz="2" w:space="0" w:color="000000"/>
                                <w:right w:val="single" w:sz="2" w:space="0" w:color="000000"/>
                              </w:divBdr>
                              <w:divsChild>
                                <w:div w:id="1662074022">
                                  <w:marLeft w:val="0"/>
                                  <w:marRight w:val="0"/>
                                  <w:marTop w:val="0"/>
                                  <w:marBottom w:val="0"/>
                                  <w:divBdr>
                                    <w:top w:val="single" w:sz="2" w:space="0" w:color="000000"/>
                                    <w:left w:val="single" w:sz="2" w:space="0" w:color="000000"/>
                                    <w:bottom w:val="single" w:sz="2" w:space="0" w:color="000000"/>
                                    <w:right w:val="single" w:sz="2" w:space="0" w:color="000000"/>
                                  </w:divBdr>
                                  <w:divsChild>
                                    <w:div w:id="1497575823">
                                      <w:marLeft w:val="0"/>
                                      <w:marRight w:val="0"/>
                                      <w:marTop w:val="0"/>
                                      <w:marBottom w:val="0"/>
                                      <w:divBdr>
                                        <w:top w:val="single" w:sz="2" w:space="0" w:color="000000"/>
                                        <w:left w:val="single" w:sz="2" w:space="0" w:color="000000"/>
                                        <w:bottom w:val="single" w:sz="2" w:space="0" w:color="000000"/>
                                        <w:right w:val="single" w:sz="2" w:space="0" w:color="000000"/>
                                      </w:divBdr>
                                      <w:divsChild>
                                        <w:div w:id="172844713">
                                          <w:marLeft w:val="0"/>
                                          <w:marRight w:val="0"/>
                                          <w:marTop w:val="0"/>
                                          <w:marBottom w:val="0"/>
                                          <w:divBdr>
                                            <w:top w:val="single" w:sz="2" w:space="0" w:color="000000"/>
                                            <w:left w:val="single" w:sz="2" w:space="0" w:color="000000"/>
                                            <w:bottom w:val="single" w:sz="2" w:space="0" w:color="000000"/>
                                            <w:right w:val="single" w:sz="2" w:space="0" w:color="000000"/>
                                          </w:divBdr>
                                          <w:divsChild>
                                            <w:div w:id="145826655">
                                              <w:marLeft w:val="0"/>
                                              <w:marRight w:val="0"/>
                                              <w:marTop w:val="0"/>
                                              <w:marBottom w:val="0"/>
                                              <w:divBdr>
                                                <w:top w:val="single" w:sz="2" w:space="0" w:color="000000"/>
                                                <w:left w:val="single" w:sz="2" w:space="0" w:color="000000"/>
                                                <w:bottom w:val="single" w:sz="2" w:space="0" w:color="000000"/>
                                                <w:right w:val="single" w:sz="2" w:space="0" w:color="000000"/>
                                              </w:divBdr>
                                              <w:divsChild>
                                                <w:div w:id="1208638256">
                                                  <w:marLeft w:val="0"/>
                                                  <w:marRight w:val="0"/>
                                                  <w:marTop w:val="0"/>
                                                  <w:marBottom w:val="0"/>
                                                  <w:divBdr>
                                                    <w:top w:val="single" w:sz="2" w:space="0" w:color="000000"/>
                                                    <w:left w:val="single" w:sz="2" w:space="8" w:color="000000"/>
                                                    <w:bottom w:val="single" w:sz="2" w:space="0" w:color="000000"/>
                                                    <w:right w:val="single" w:sz="2" w:space="8" w:color="000000"/>
                                                  </w:divBdr>
                                                  <w:divsChild>
                                                    <w:div w:id="19284640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04856711">
                                                  <w:marLeft w:val="0"/>
                                                  <w:marRight w:val="0"/>
                                                  <w:marTop w:val="0"/>
                                                  <w:marBottom w:val="0"/>
                                                  <w:divBdr>
                                                    <w:top w:val="single" w:sz="2" w:space="0" w:color="000000"/>
                                                    <w:left w:val="single" w:sz="2" w:space="8" w:color="000000"/>
                                                    <w:bottom w:val="single" w:sz="2" w:space="0" w:color="000000"/>
                                                    <w:right w:val="single" w:sz="2" w:space="0" w:color="000000"/>
                                                  </w:divBdr>
                                                  <w:divsChild>
                                                    <w:div w:id="19040207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02988206">
                                          <w:marLeft w:val="0"/>
                                          <w:marRight w:val="0"/>
                                          <w:marTop w:val="75"/>
                                          <w:marBottom w:val="0"/>
                                          <w:divBdr>
                                            <w:top w:val="single" w:sz="2" w:space="0" w:color="000000"/>
                                            <w:left w:val="single" w:sz="2" w:space="0" w:color="000000"/>
                                            <w:bottom w:val="single" w:sz="2" w:space="0" w:color="000000"/>
                                            <w:right w:val="single" w:sz="2" w:space="0" w:color="000000"/>
                                          </w:divBdr>
                                          <w:divsChild>
                                            <w:div w:id="1491291521">
                                              <w:marLeft w:val="0"/>
                                              <w:marRight w:val="0"/>
                                              <w:marTop w:val="0"/>
                                              <w:marBottom w:val="0"/>
                                              <w:divBdr>
                                                <w:top w:val="single" w:sz="2" w:space="0" w:color="000000"/>
                                                <w:left w:val="single" w:sz="2" w:space="0" w:color="000000"/>
                                                <w:bottom w:val="single" w:sz="2" w:space="0" w:color="000000"/>
                                                <w:right w:val="single" w:sz="2" w:space="0" w:color="000000"/>
                                              </w:divBdr>
                                              <w:divsChild>
                                                <w:div w:id="354237189">
                                                  <w:marLeft w:val="0"/>
                                                  <w:marRight w:val="0"/>
                                                  <w:marTop w:val="0"/>
                                                  <w:marBottom w:val="0"/>
                                                  <w:divBdr>
                                                    <w:top w:val="single" w:sz="2" w:space="0" w:color="000000"/>
                                                    <w:left w:val="single" w:sz="2" w:space="8" w:color="000000"/>
                                                    <w:bottom w:val="single" w:sz="2" w:space="0" w:color="000000"/>
                                                    <w:right w:val="single" w:sz="2" w:space="8" w:color="000000"/>
                                                  </w:divBdr>
                                                  <w:divsChild>
                                                    <w:div w:id="1014647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42356615">
                                                  <w:marLeft w:val="0"/>
                                                  <w:marRight w:val="0"/>
                                                  <w:marTop w:val="0"/>
                                                  <w:marBottom w:val="0"/>
                                                  <w:divBdr>
                                                    <w:top w:val="single" w:sz="2" w:space="0" w:color="000000"/>
                                                    <w:left w:val="single" w:sz="2" w:space="8" w:color="000000"/>
                                                    <w:bottom w:val="single" w:sz="2" w:space="0" w:color="000000"/>
                                                    <w:right w:val="single" w:sz="2" w:space="0" w:color="000000"/>
                                                  </w:divBdr>
                                                  <w:divsChild>
                                                    <w:div w:id="11109319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64566048">
                                          <w:marLeft w:val="0"/>
                                          <w:marRight w:val="0"/>
                                          <w:marTop w:val="75"/>
                                          <w:marBottom w:val="0"/>
                                          <w:divBdr>
                                            <w:top w:val="single" w:sz="2" w:space="0" w:color="000000"/>
                                            <w:left w:val="single" w:sz="2" w:space="0" w:color="000000"/>
                                            <w:bottom w:val="single" w:sz="2" w:space="0" w:color="000000"/>
                                            <w:right w:val="single" w:sz="2" w:space="0" w:color="000000"/>
                                          </w:divBdr>
                                          <w:divsChild>
                                            <w:div w:id="1746099576">
                                              <w:marLeft w:val="0"/>
                                              <w:marRight w:val="0"/>
                                              <w:marTop w:val="0"/>
                                              <w:marBottom w:val="0"/>
                                              <w:divBdr>
                                                <w:top w:val="single" w:sz="2" w:space="0" w:color="000000"/>
                                                <w:left w:val="single" w:sz="2" w:space="0" w:color="000000"/>
                                                <w:bottom w:val="single" w:sz="2" w:space="0" w:color="000000"/>
                                                <w:right w:val="single" w:sz="2" w:space="0" w:color="000000"/>
                                              </w:divBdr>
                                              <w:divsChild>
                                                <w:div w:id="2134010985">
                                                  <w:marLeft w:val="0"/>
                                                  <w:marRight w:val="0"/>
                                                  <w:marTop w:val="0"/>
                                                  <w:marBottom w:val="0"/>
                                                  <w:divBdr>
                                                    <w:top w:val="single" w:sz="2" w:space="0" w:color="000000"/>
                                                    <w:left w:val="single" w:sz="2" w:space="8" w:color="000000"/>
                                                    <w:bottom w:val="single" w:sz="2" w:space="0" w:color="000000"/>
                                                    <w:right w:val="single" w:sz="2" w:space="8" w:color="000000"/>
                                                  </w:divBdr>
                                                  <w:divsChild>
                                                    <w:div w:id="13292136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4777583">
                                                  <w:marLeft w:val="0"/>
                                                  <w:marRight w:val="0"/>
                                                  <w:marTop w:val="0"/>
                                                  <w:marBottom w:val="0"/>
                                                  <w:divBdr>
                                                    <w:top w:val="single" w:sz="2" w:space="0" w:color="000000"/>
                                                    <w:left w:val="single" w:sz="2" w:space="8" w:color="000000"/>
                                                    <w:bottom w:val="single" w:sz="2" w:space="0" w:color="000000"/>
                                                    <w:right w:val="single" w:sz="2" w:space="0" w:color="000000"/>
                                                  </w:divBdr>
                                                  <w:divsChild>
                                                    <w:div w:id="4796164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00835978">
                                          <w:marLeft w:val="0"/>
                                          <w:marRight w:val="0"/>
                                          <w:marTop w:val="150"/>
                                          <w:marBottom w:val="0"/>
                                          <w:divBdr>
                                            <w:top w:val="single" w:sz="2" w:space="0" w:color="000000"/>
                                            <w:left w:val="single" w:sz="2" w:space="0" w:color="000000"/>
                                            <w:bottom w:val="single" w:sz="2" w:space="0" w:color="000000"/>
                                            <w:right w:val="single" w:sz="2" w:space="0" w:color="000000"/>
                                          </w:divBdr>
                                          <w:divsChild>
                                            <w:div w:id="427583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98969751">
      <w:bodyDiv w:val="1"/>
      <w:marLeft w:val="0"/>
      <w:marRight w:val="0"/>
      <w:marTop w:val="0"/>
      <w:marBottom w:val="0"/>
      <w:divBdr>
        <w:top w:val="none" w:sz="0" w:space="0" w:color="auto"/>
        <w:left w:val="none" w:sz="0" w:space="0" w:color="auto"/>
        <w:bottom w:val="none" w:sz="0" w:space="0" w:color="auto"/>
        <w:right w:val="none" w:sz="0" w:space="0" w:color="auto"/>
      </w:divBdr>
    </w:div>
    <w:div w:id="1002588299">
      <w:bodyDiv w:val="1"/>
      <w:marLeft w:val="0"/>
      <w:marRight w:val="0"/>
      <w:marTop w:val="0"/>
      <w:marBottom w:val="0"/>
      <w:divBdr>
        <w:top w:val="none" w:sz="0" w:space="0" w:color="auto"/>
        <w:left w:val="none" w:sz="0" w:space="0" w:color="auto"/>
        <w:bottom w:val="none" w:sz="0" w:space="0" w:color="auto"/>
        <w:right w:val="none" w:sz="0" w:space="0" w:color="auto"/>
      </w:divBdr>
    </w:div>
    <w:div w:id="1005596062">
      <w:bodyDiv w:val="1"/>
      <w:marLeft w:val="0"/>
      <w:marRight w:val="0"/>
      <w:marTop w:val="0"/>
      <w:marBottom w:val="0"/>
      <w:divBdr>
        <w:top w:val="none" w:sz="0" w:space="0" w:color="auto"/>
        <w:left w:val="none" w:sz="0" w:space="0" w:color="auto"/>
        <w:bottom w:val="none" w:sz="0" w:space="0" w:color="auto"/>
        <w:right w:val="none" w:sz="0" w:space="0" w:color="auto"/>
      </w:divBdr>
    </w:div>
    <w:div w:id="1007630827">
      <w:bodyDiv w:val="1"/>
      <w:marLeft w:val="0"/>
      <w:marRight w:val="0"/>
      <w:marTop w:val="0"/>
      <w:marBottom w:val="0"/>
      <w:divBdr>
        <w:top w:val="none" w:sz="0" w:space="0" w:color="auto"/>
        <w:left w:val="none" w:sz="0" w:space="0" w:color="auto"/>
        <w:bottom w:val="none" w:sz="0" w:space="0" w:color="auto"/>
        <w:right w:val="none" w:sz="0" w:space="0" w:color="auto"/>
      </w:divBdr>
    </w:div>
    <w:div w:id="1011301086">
      <w:bodyDiv w:val="1"/>
      <w:marLeft w:val="0"/>
      <w:marRight w:val="0"/>
      <w:marTop w:val="0"/>
      <w:marBottom w:val="0"/>
      <w:divBdr>
        <w:top w:val="none" w:sz="0" w:space="0" w:color="auto"/>
        <w:left w:val="none" w:sz="0" w:space="0" w:color="auto"/>
        <w:bottom w:val="none" w:sz="0" w:space="0" w:color="auto"/>
        <w:right w:val="none" w:sz="0" w:space="0" w:color="auto"/>
      </w:divBdr>
    </w:div>
    <w:div w:id="1014117436">
      <w:bodyDiv w:val="1"/>
      <w:marLeft w:val="0"/>
      <w:marRight w:val="0"/>
      <w:marTop w:val="0"/>
      <w:marBottom w:val="0"/>
      <w:divBdr>
        <w:top w:val="none" w:sz="0" w:space="0" w:color="auto"/>
        <w:left w:val="none" w:sz="0" w:space="0" w:color="auto"/>
        <w:bottom w:val="none" w:sz="0" w:space="0" w:color="auto"/>
        <w:right w:val="none" w:sz="0" w:space="0" w:color="auto"/>
      </w:divBdr>
    </w:div>
    <w:div w:id="1020621603">
      <w:bodyDiv w:val="1"/>
      <w:marLeft w:val="0"/>
      <w:marRight w:val="0"/>
      <w:marTop w:val="0"/>
      <w:marBottom w:val="0"/>
      <w:divBdr>
        <w:top w:val="none" w:sz="0" w:space="0" w:color="auto"/>
        <w:left w:val="none" w:sz="0" w:space="0" w:color="auto"/>
        <w:bottom w:val="none" w:sz="0" w:space="0" w:color="auto"/>
        <w:right w:val="none" w:sz="0" w:space="0" w:color="auto"/>
      </w:divBdr>
    </w:div>
    <w:div w:id="1034380407">
      <w:bodyDiv w:val="1"/>
      <w:marLeft w:val="0"/>
      <w:marRight w:val="0"/>
      <w:marTop w:val="0"/>
      <w:marBottom w:val="0"/>
      <w:divBdr>
        <w:top w:val="none" w:sz="0" w:space="0" w:color="auto"/>
        <w:left w:val="none" w:sz="0" w:space="0" w:color="auto"/>
        <w:bottom w:val="none" w:sz="0" w:space="0" w:color="auto"/>
        <w:right w:val="none" w:sz="0" w:space="0" w:color="auto"/>
      </w:divBdr>
    </w:div>
    <w:div w:id="1048455468">
      <w:bodyDiv w:val="1"/>
      <w:marLeft w:val="0"/>
      <w:marRight w:val="0"/>
      <w:marTop w:val="0"/>
      <w:marBottom w:val="0"/>
      <w:divBdr>
        <w:top w:val="none" w:sz="0" w:space="0" w:color="auto"/>
        <w:left w:val="none" w:sz="0" w:space="0" w:color="auto"/>
        <w:bottom w:val="none" w:sz="0" w:space="0" w:color="auto"/>
        <w:right w:val="none" w:sz="0" w:space="0" w:color="auto"/>
      </w:divBdr>
    </w:div>
    <w:div w:id="1063288314">
      <w:bodyDiv w:val="1"/>
      <w:marLeft w:val="0"/>
      <w:marRight w:val="0"/>
      <w:marTop w:val="0"/>
      <w:marBottom w:val="0"/>
      <w:divBdr>
        <w:top w:val="none" w:sz="0" w:space="0" w:color="auto"/>
        <w:left w:val="none" w:sz="0" w:space="0" w:color="auto"/>
        <w:bottom w:val="none" w:sz="0" w:space="0" w:color="auto"/>
        <w:right w:val="none" w:sz="0" w:space="0" w:color="auto"/>
      </w:divBdr>
    </w:div>
    <w:div w:id="1065756110">
      <w:bodyDiv w:val="1"/>
      <w:marLeft w:val="0"/>
      <w:marRight w:val="0"/>
      <w:marTop w:val="0"/>
      <w:marBottom w:val="0"/>
      <w:divBdr>
        <w:top w:val="none" w:sz="0" w:space="0" w:color="auto"/>
        <w:left w:val="none" w:sz="0" w:space="0" w:color="auto"/>
        <w:bottom w:val="none" w:sz="0" w:space="0" w:color="auto"/>
        <w:right w:val="none" w:sz="0" w:space="0" w:color="auto"/>
      </w:divBdr>
    </w:div>
    <w:div w:id="1066416294">
      <w:bodyDiv w:val="1"/>
      <w:marLeft w:val="0"/>
      <w:marRight w:val="0"/>
      <w:marTop w:val="0"/>
      <w:marBottom w:val="0"/>
      <w:divBdr>
        <w:top w:val="none" w:sz="0" w:space="0" w:color="auto"/>
        <w:left w:val="none" w:sz="0" w:space="0" w:color="auto"/>
        <w:bottom w:val="none" w:sz="0" w:space="0" w:color="auto"/>
        <w:right w:val="none" w:sz="0" w:space="0" w:color="auto"/>
      </w:divBdr>
    </w:div>
    <w:div w:id="1074622778">
      <w:bodyDiv w:val="1"/>
      <w:marLeft w:val="0"/>
      <w:marRight w:val="0"/>
      <w:marTop w:val="0"/>
      <w:marBottom w:val="0"/>
      <w:divBdr>
        <w:top w:val="none" w:sz="0" w:space="0" w:color="auto"/>
        <w:left w:val="none" w:sz="0" w:space="0" w:color="auto"/>
        <w:bottom w:val="none" w:sz="0" w:space="0" w:color="auto"/>
        <w:right w:val="none" w:sz="0" w:space="0" w:color="auto"/>
      </w:divBdr>
    </w:div>
    <w:div w:id="1090395961">
      <w:bodyDiv w:val="1"/>
      <w:marLeft w:val="0"/>
      <w:marRight w:val="0"/>
      <w:marTop w:val="0"/>
      <w:marBottom w:val="0"/>
      <w:divBdr>
        <w:top w:val="none" w:sz="0" w:space="0" w:color="auto"/>
        <w:left w:val="none" w:sz="0" w:space="0" w:color="auto"/>
        <w:bottom w:val="none" w:sz="0" w:space="0" w:color="auto"/>
        <w:right w:val="none" w:sz="0" w:space="0" w:color="auto"/>
      </w:divBdr>
    </w:div>
    <w:div w:id="1093933032">
      <w:bodyDiv w:val="1"/>
      <w:marLeft w:val="0"/>
      <w:marRight w:val="0"/>
      <w:marTop w:val="0"/>
      <w:marBottom w:val="0"/>
      <w:divBdr>
        <w:top w:val="none" w:sz="0" w:space="0" w:color="auto"/>
        <w:left w:val="none" w:sz="0" w:space="0" w:color="auto"/>
        <w:bottom w:val="none" w:sz="0" w:space="0" w:color="auto"/>
        <w:right w:val="none" w:sz="0" w:space="0" w:color="auto"/>
      </w:divBdr>
    </w:div>
    <w:div w:id="1094859030">
      <w:bodyDiv w:val="1"/>
      <w:marLeft w:val="0"/>
      <w:marRight w:val="0"/>
      <w:marTop w:val="0"/>
      <w:marBottom w:val="0"/>
      <w:divBdr>
        <w:top w:val="none" w:sz="0" w:space="0" w:color="auto"/>
        <w:left w:val="none" w:sz="0" w:space="0" w:color="auto"/>
        <w:bottom w:val="none" w:sz="0" w:space="0" w:color="auto"/>
        <w:right w:val="none" w:sz="0" w:space="0" w:color="auto"/>
      </w:divBdr>
    </w:div>
    <w:div w:id="1135484086">
      <w:bodyDiv w:val="1"/>
      <w:marLeft w:val="0"/>
      <w:marRight w:val="0"/>
      <w:marTop w:val="0"/>
      <w:marBottom w:val="0"/>
      <w:divBdr>
        <w:top w:val="none" w:sz="0" w:space="0" w:color="auto"/>
        <w:left w:val="none" w:sz="0" w:space="0" w:color="auto"/>
        <w:bottom w:val="none" w:sz="0" w:space="0" w:color="auto"/>
        <w:right w:val="none" w:sz="0" w:space="0" w:color="auto"/>
      </w:divBdr>
    </w:div>
    <w:div w:id="1142767651">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154027908">
      <w:bodyDiv w:val="1"/>
      <w:marLeft w:val="0"/>
      <w:marRight w:val="0"/>
      <w:marTop w:val="0"/>
      <w:marBottom w:val="0"/>
      <w:divBdr>
        <w:top w:val="none" w:sz="0" w:space="0" w:color="auto"/>
        <w:left w:val="none" w:sz="0" w:space="0" w:color="auto"/>
        <w:bottom w:val="none" w:sz="0" w:space="0" w:color="auto"/>
        <w:right w:val="none" w:sz="0" w:space="0" w:color="auto"/>
      </w:divBdr>
    </w:div>
    <w:div w:id="1166476524">
      <w:bodyDiv w:val="1"/>
      <w:marLeft w:val="0"/>
      <w:marRight w:val="0"/>
      <w:marTop w:val="0"/>
      <w:marBottom w:val="0"/>
      <w:divBdr>
        <w:top w:val="none" w:sz="0" w:space="0" w:color="auto"/>
        <w:left w:val="none" w:sz="0" w:space="0" w:color="auto"/>
        <w:bottom w:val="none" w:sz="0" w:space="0" w:color="auto"/>
        <w:right w:val="none" w:sz="0" w:space="0" w:color="auto"/>
      </w:divBdr>
    </w:div>
    <w:div w:id="1174028343">
      <w:bodyDiv w:val="1"/>
      <w:marLeft w:val="0"/>
      <w:marRight w:val="0"/>
      <w:marTop w:val="0"/>
      <w:marBottom w:val="0"/>
      <w:divBdr>
        <w:top w:val="none" w:sz="0" w:space="0" w:color="auto"/>
        <w:left w:val="none" w:sz="0" w:space="0" w:color="auto"/>
        <w:bottom w:val="none" w:sz="0" w:space="0" w:color="auto"/>
        <w:right w:val="none" w:sz="0" w:space="0" w:color="auto"/>
      </w:divBdr>
    </w:div>
    <w:div w:id="1178081212">
      <w:bodyDiv w:val="1"/>
      <w:marLeft w:val="0"/>
      <w:marRight w:val="0"/>
      <w:marTop w:val="0"/>
      <w:marBottom w:val="0"/>
      <w:divBdr>
        <w:top w:val="none" w:sz="0" w:space="0" w:color="auto"/>
        <w:left w:val="none" w:sz="0" w:space="0" w:color="auto"/>
        <w:bottom w:val="none" w:sz="0" w:space="0" w:color="auto"/>
        <w:right w:val="none" w:sz="0" w:space="0" w:color="auto"/>
      </w:divBdr>
      <w:divsChild>
        <w:div w:id="810363461">
          <w:marLeft w:val="360"/>
          <w:marRight w:val="0"/>
          <w:marTop w:val="200"/>
          <w:marBottom w:val="0"/>
          <w:divBdr>
            <w:top w:val="none" w:sz="0" w:space="0" w:color="auto"/>
            <w:left w:val="none" w:sz="0" w:space="0" w:color="auto"/>
            <w:bottom w:val="none" w:sz="0" w:space="0" w:color="auto"/>
            <w:right w:val="none" w:sz="0" w:space="0" w:color="auto"/>
          </w:divBdr>
        </w:div>
        <w:div w:id="597561776">
          <w:marLeft w:val="360"/>
          <w:marRight w:val="0"/>
          <w:marTop w:val="200"/>
          <w:marBottom w:val="0"/>
          <w:divBdr>
            <w:top w:val="none" w:sz="0" w:space="0" w:color="auto"/>
            <w:left w:val="none" w:sz="0" w:space="0" w:color="auto"/>
            <w:bottom w:val="none" w:sz="0" w:space="0" w:color="auto"/>
            <w:right w:val="none" w:sz="0" w:space="0" w:color="auto"/>
          </w:divBdr>
        </w:div>
        <w:div w:id="1840803065">
          <w:marLeft w:val="360"/>
          <w:marRight w:val="0"/>
          <w:marTop w:val="200"/>
          <w:marBottom w:val="0"/>
          <w:divBdr>
            <w:top w:val="none" w:sz="0" w:space="0" w:color="auto"/>
            <w:left w:val="none" w:sz="0" w:space="0" w:color="auto"/>
            <w:bottom w:val="none" w:sz="0" w:space="0" w:color="auto"/>
            <w:right w:val="none" w:sz="0" w:space="0" w:color="auto"/>
          </w:divBdr>
        </w:div>
      </w:divsChild>
    </w:div>
    <w:div w:id="1184320010">
      <w:bodyDiv w:val="1"/>
      <w:marLeft w:val="0"/>
      <w:marRight w:val="0"/>
      <w:marTop w:val="0"/>
      <w:marBottom w:val="0"/>
      <w:divBdr>
        <w:top w:val="none" w:sz="0" w:space="0" w:color="auto"/>
        <w:left w:val="none" w:sz="0" w:space="0" w:color="auto"/>
        <w:bottom w:val="none" w:sz="0" w:space="0" w:color="auto"/>
        <w:right w:val="none" w:sz="0" w:space="0" w:color="auto"/>
      </w:divBdr>
    </w:div>
    <w:div w:id="1200315711">
      <w:bodyDiv w:val="1"/>
      <w:marLeft w:val="0"/>
      <w:marRight w:val="0"/>
      <w:marTop w:val="0"/>
      <w:marBottom w:val="0"/>
      <w:divBdr>
        <w:top w:val="none" w:sz="0" w:space="0" w:color="auto"/>
        <w:left w:val="none" w:sz="0" w:space="0" w:color="auto"/>
        <w:bottom w:val="none" w:sz="0" w:space="0" w:color="auto"/>
        <w:right w:val="none" w:sz="0" w:space="0" w:color="auto"/>
      </w:divBdr>
    </w:div>
    <w:div w:id="1200707317">
      <w:bodyDiv w:val="1"/>
      <w:marLeft w:val="0"/>
      <w:marRight w:val="0"/>
      <w:marTop w:val="0"/>
      <w:marBottom w:val="0"/>
      <w:divBdr>
        <w:top w:val="none" w:sz="0" w:space="0" w:color="auto"/>
        <w:left w:val="none" w:sz="0" w:space="0" w:color="auto"/>
        <w:bottom w:val="none" w:sz="0" w:space="0" w:color="auto"/>
        <w:right w:val="none" w:sz="0" w:space="0" w:color="auto"/>
      </w:divBdr>
    </w:div>
    <w:div w:id="1208109095">
      <w:bodyDiv w:val="1"/>
      <w:marLeft w:val="0"/>
      <w:marRight w:val="0"/>
      <w:marTop w:val="0"/>
      <w:marBottom w:val="0"/>
      <w:divBdr>
        <w:top w:val="none" w:sz="0" w:space="0" w:color="auto"/>
        <w:left w:val="none" w:sz="0" w:space="0" w:color="auto"/>
        <w:bottom w:val="none" w:sz="0" w:space="0" w:color="auto"/>
        <w:right w:val="none" w:sz="0" w:space="0" w:color="auto"/>
      </w:divBdr>
    </w:div>
    <w:div w:id="1209335892">
      <w:bodyDiv w:val="1"/>
      <w:marLeft w:val="0"/>
      <w:marRight w:val="0"/>
      <w:marTop w:val="0"/>
      <w:marBottom w:val="0"/>
      <w:divBdr>
        <w:top w:val="none" w:sz="0" w:space="0" w:color="auto"/>
        <w:left w:val="none" w:sz="0" w:space="0" w:color="auto"/>
        <w:bottom w:val="none" w:sz="0" w:space="0" w:color="auto"/>
        <w:right w:val="none" w:sz="0" w:space="0" w:color="auto"/>
      </w:divBdr>
    </w:div>
    <w:div w:id="1215972820">
      <w:bodyDiv w:val="1"/>
      <w:marLeft w:val="0"/>
      <w:marRight w:val="0"/>
      <w:marTop w:val="0"/>
      <w:marBottom w:val="0"/>
      <w:divBdr>
        <w:top w:val="none" w:sz="0" w:space="0" w:color="auto"/>
        <w:left w:val="none" w:sz="0" w:space="0" w:color="auto"/>
        <w:bottom w:val="none" w:sz="0" w:space="0" w:color="auto"/>
        <w:right w:val="none" w:sz="0" w:space="0" w:color="auto"/>
      </w:divBdr>
    </w:div>
    <w:div w:id="1233589226">
      <w:bodyDiv w:val="1"/>
      <w:marLeft w:val="0"/>
      <w:marRight w:val="0"/>
      <w:marTop w:val="0"/>
      <w:marBottom w:val="0"/>
      <w:divBdr>
        <w:top w:val="none" w:sz="0" w:space="0" w:color="auto"/>
        <w:left w:val="none" w:sz="0" w:space="0" w:color="auto"/>
        <w:bottom w:val="none" w:sz="0" w:space="0" w:color="auto"/>
        <w:right w:val="none" w:sz="0" w:space="0" w:color="auto"/>
      </w:divBdr>
    </w:div>
    <w:div w:id="1234389943">
      <w:bodyDiv w:val="1"/>
      <w:marLeft w:val="0"/>
      <w:marRight w:val="0"/>
      <w:marTop w:val="0"/>
      <w:marBottom w:val="0"/>
      <w:divBdr>
        <w:top w:val="none" w:sz="0" w:space="0" w:color="auto"/>
        <w:left w:val="none" w:sz="0" w:space="0" w:color="auto"/>
        <w:bottom w:val="none" w:sz="0" w:space="0" w:color="auto"/>
        <w:right w:val="none" w:sz="0" w:space="0" w:color="auto"/>
      </w:divBdr>
      <w:divsChild>
        <w:div w:id="991954521">
          <w:marLeft w:val="360"/>
          <w:marRight w:val="0"/>
          <w:marTop w:val="200"/>
          <w:marBottom w:val="0"/>
          <w:divBdr>
            <w:top w:val="none" w:sz="0" w:space="0" w:color="auto"/>
            <w:left w:val="none" w:sz="0" w:space="0" w:color="auto"/>
            <w:bottom w:val="none" w:sz="0" w:space="0" w:color="auto"/>
            <w:right w:val="none" w:sz="0" w:space="0" w:color="auto"/>
          </w:divBdr>
        </w:div>
        <w:div w:id="2089380503">
          <w:marLeft w:val="360"/>
          <w:marRight w:val="0"/>
          <w:marTop w:val="200"/>
          <w:marBottom w:val="0"/>
          <w:divBdr>
            <w:top w:val="none" w:sz="0" w:space="0" w:color="auto"/>
            <w:left w:val="none" w:sz="0" w:space="0" w:color="auto"/>
            <w:bottom w:val="none" w:sz="0" w:space="0" w:color="auto"/>
            <w:right w:val="none" w:sz="0" w:space="0" w:color="auto"/>
          </w:divBdr>
        </w:div>
        <w:div w:id="16002883">
          <w:marLeft w:val="360"/>
          <w:marRight w:val="0"/>
          <w:marTop w:val="200"/>
          <w:marBottom w:val="0"/>
          <w:divBdr>
            <w:top w:val="none" w:sz="0" w:space="0" w:color="auto"/>
            <w:left w:val="none" w:sz="0" w:space="0" w:color="auto"/>
            <w:bottom w:val="none" w:sz="0" w:space="0" w:color="auto"/>
            <w:right w:val="none" w:sz="0" w:space="0" w:color="auto"/>
          </w:divBdr>
        </w:div>
        <w:div w:id="1818842063">
          <w:marLeft w:val="360"/>
          <w:marRight w:val="0"/>
          <w:marTop w:val="200"/>
          <w:marBottom w:val="0"/>
          <w:divBdr>
            <w:top w:val="none" w:sz="0" w:space="0" w:color="auto"/>
            <w:left w:val="none" w:sz="0" w:space="0" w:color="auto"/>
            <w:bottom w:val="none" w:sz="0" w:space="0" w:color="auto"/>
            <w:right w:val="none" w:sz="0" w:space="0" w:color="auto"/>
          </w:divBdr>
        </w:div>
      </w:divsChild>
    </w:div>
    <w:div w:id="1246841300">
      <w:bodyDiv w:val="1"/>
      <w:marLeft w:val="0"/>
      <w:marRight w:val="0"/>
      <w:marTop w:val="0"/>
      <w:marBottom w:val="0"/>
      <w:divBdr>
        <w:top w:val="none" w:sz="0" w:space="0" w:color="auto"/>
        <w:left w:val="none" w:sz="0" w:space="0" w:color="auto"/>
        <w:bottom w:val="none" w:sz="0" w:space="0" w:color="auto"/>
        <w:right w:val="none" w:sz="0" w:space="0" w:color="auto"/>
      </w:divBdr>
    </w:div>
    <w:div w:id="1251349081">
      <w:bodyDiv w:val="1"/>
      <w:marLeft w:val="0"/>
      <w:marRight w:val="0"/>
      <w:marTop w:val="0"/>
      <w:marBottom w:val="0"/>
      <w:divBdr>
        <w:top w:val="none" w:sz="0" w:space="0" w:color="auto"/>
        <w:left w:val="none" w:sz="0" w:space="0" w:color="auto"/>
        <w:bottom w:val="none" w:sz="0" w:space="0" w:color="auto"/>
        <w:right w:val="none" w:sz="0" w:space="0" w:color="auto"/>
      </w:divBdr>
    </w:div>
    <w:div w:id="1253078867">
      <w:bodyDiv w:val="1"/>
      <w:marLeft w:val="0"/>
      <w:marRight w:val="0"/>
      <w:marTop w:val="0"/>
      <w:marBottom w:val="0"/>
      <w:divBdr>
        <w:top w:val="none" w:sz="0" w:space="0" w:color="auto"/>
        <w:left w:val="none" w:sz="0" w:space="0" w:color="auto"/>
        <w:bottom w:val="none" w:sz="0" w:space="0" w:color="auto"/>
        <w:right w:val="none" w:sz="0" w:space="0" w:color="auto"/>
      </w:divBdr>
    </w:div>
    <w:div w:id="1268585387">
      <w:bodyDiv w:val="1"/>
      <w:marLeft w:val="0"/>
      <w:marRight w:val="0"/>
      <w:marTop w:val="0"/>
      <w:marBottom w:val="0"/>
      <w:divBdr>
        <w:top w:val="none" w:sz="0" w:space="0" w:color="auto"/>
        <w:left w:val="none" w:sz="0" w:space="0" w:color="auto"/>
        <w:bottom w:val="none" w:sz="0" w:space="0" w:color="auto"/>
        <w:right w:val="none" w:sz="0" w:space="0" w:color="auto"/>
      </w:divBdr>
    </w:div>
    <w:div w:id="1283875638">
      <w:bodyDiv w:val="1"/>
      <w:marLeft w:val="0"/>
      <w:marRight w:val="0"/>
      <w:marTop w:val="0"/>
      <w:marBottom w:val="0"/>
      <w:divBdr>
        <w:top w:val="none" w:sz="0" w:space="0" w:color="auto"/>
        <w:left w:val="none" w:sz="0" w:space="0" w:color="auto"/>
        <w:bottom w:val="none" w:sz="0" w:space="0" w:color="auto"/>
        <w:right w:val="none" w:sz="0" w:space="0" w:color="auto"/>
      </w:divBdr>
    </w:div>
    <w:div w:id="1285237181">
      <w:bodyDiv w:val="1"/>
      <w:marLeft w:val="0"/>
      <w:marRight w:val="0"/>
      <w:marTop w:val="0"/>
      <w:marBottom w:val="0"/>
      <w:divBdr>
        <w:top w:val="none" w:sz="0" w:space="0" w:color="auto"/>
        <w:left w:val="none" w:sz="0" w:space="0" w:color="auto"/>
        <w:bottom w:val="none" w:sz="0" w:space="0" w:color="auto"/>
        <w:right w:val="none" w:sz="0" w:space="0" w:color="auto"/>
      </w:divBdr>
    </w:div>
    <w:div w:id="1324624702">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368138656">
      <w:bodyDiv w:val="1"/>
      <w:marLeft w:val="0"/>
      <w:marRight w:val="0"/>
      <w:marTop w:val="0"/>
      <w:marBottom w:val="0"/>
      <w:divBdr>
        <w:top w:val="none" w:sz="0" w:space="0" w:color="auto"/>
        <w:left w:val="none" w:sz="0" w:space="0" w:color="auto"/>
        <w:bottom w:val="none" w:sz="0" w:space="0" w:color="auto"/>
        <w:right w:val="none" w:sz="0" w:space="0" w:color="auto"/>
      </w:divBdr>
    </w:div>
    <w:div w:id="1373380894">
      <w:bodyDiv w:val="1"/>
      <w:marLeft w:val="0"/>
      <w:marRight w:val="0"/>
      <w:marTop w:val="0"/>
      <w:marBottom w:val="0"/>
      <w:divBdr>
        <w:top w:val="none" w:sz="0" w:space="0" w:color="auto"/>
        <w:left w:val="none" w:sz="0" w:space="0" w:color="auto"/>
        <w:bottom w:val="none" w:sz="0" w:space="0" w:color="auto"/>
        <w:right w:val="none" w:sz="0" w:space="0" w:color="auto"/>
      </w:divBdr>
    </w:div>
    <w:div w:id="1399672845">
      <w:bodyDiv w:val="1"/>
      <w:marLeft w:val="0"/>
      <w:marRight w:val="0"/>
      <w:marTop w:val="0"/>
      <w:marBottom w:val="0"/>
      <w:divBdr>
        <w:top w:val="none" w:sz="0" w:space="0" w:color="auto"/>
        <w:left w:val="none" w:sz="0" w:space="0" w:color="auto"/>
        <w:bottom w:val="none" w:sz="0" w:space="0" w:color="auto"/>
        <w:right w:val="none" w:sz="0" w:space="0" w:color="auto"/>
      </w:divBdr>
    </w:div>
    <w:div w:id="1402143847">
      <w:bodyDiv w:val="1"/>
      <w:marLeft w:val="0"/>
      <w:marRight w:val="0"/>
      <w:marTop w:val="0"/>
      <w:marBottom w:val="0"/>
      <w:divBdr>
        <w:top w:val="none" w:sz="0" w:space="0" w:color="auto"/>
        <w:left w:val="none" w:sz="0" w:space="0" w:color="auto"/>
        <w:bottom w:val="none" w:sz="0" w:space="0" w:color="auto"/>
        <w:right w:val="none" w:sz="0" w:space="0" w:color="auto"/>
      </w:divBdr>
    </w:div>
    <w:div w:id="1411075325">
      <w:bodyDiv w:val="1"/>
      <w:marLeft w:val="0"/>
      <w:marRight w:val="0"/>
      <w:marTop w:val="0"/>
      <w:marBottom w:val="0"/>
      <w:divBdr>
        <w:top w:val="none" w:sz="0" w:space="0" w:color="auto"/>
        <w:left w:val="none" w:sz="0" w:space="0" w:color="auto"/>
        <w:bottom w:val="none" w:sz="0" w:space="0" w:color="auto"/>
        <w:right w:val="none" w:sz="0" w:space="0" w:color="auto"/>
      </w:divBdr>
    </w:div>
    <w:div w:id="1421179395">
      <w:bodyDiv w:val="1"/>
      <w:marLeft w:val="0"/>
      <w:marRight w:val="0"/>
      <w:marTop w:val="0"/>
      <w:marBottom w:val="0"/>
      <w:divBdr>
        <w:top w:val="none" w:sz="0" w:space="0" w:color="auto"/>
        <w:left w:val="none" w:sz="0" w:space="0" w:color="auto"/>
        <w:bottom w:val="none" w:sz="0" w:space="0" w:color="auto"/>
        <w:right w:val="none" w:sz="0" w:space="0" w:color="auto"/>
      </w:divBdr>
    </w:div>
    <w:div w:id="1424909206">
      <w:bodyDiv w:val="1"/>
      <w:marLeft w:val="0"/>
      <w:marRight w:val="0"/>
      <w:marTop w:val="0"/>
      <w:marBottom w:val="0"/>
      <w:divBdr>
        <w:top w:val="none" w:sz="0" w:space="0" w:color="auto"/>
        <w:left w:val="none" w:sz="0" w:space="0" w:color="auto"/>
        <w:bottom w:val="none" w:sz="0" w:space="0" w:color="auto"/>
        <w:right w:val="none" w:sz="0" w:space="0" w:color="auto"/>
      </w:divBdr>
    </w:div>
    <w:div w:id="1436707664">
      <w:bodyDiv w:val="1"/>
      <w:marLeft w:val="0"/>
      <w:marRight w:val="0"/>
      <w:marTop w:val="0"/>
      <w:marBottom w:val="0"/>
      <w:divBdr>
        <w:top w:val="none" w:sz="0" w:space="0" w:color="auto"/>
        <w:left w:val="none" w:sz="0" w:space="0" w:color="auto"/>
        <w:bottom w:val="none" w:sz="0" w:space="0" w:color="auto"/>
        <w:right w:val="none" w:sz="0" w:space="0" w:color="auto"/>
      </w:divBdr>
    </w:div>
    <w:div w:id="1441560953">
      <w:bodyDiv w:val="1"/>
      <w:marLeft w:val="0"/>
      <w:marRight w:val="0"/>
      <w:marTop w:val="0"/>
      <w:marBottom w:val="0"/>
      <w:divBdr>
        <w:top w:val="none" w:sz="0" w:space="0" w:color="auto"/>
        <w:left w:val="none" w:sz="0" w:space="0" w:color="auto"/>
        <w:bottom w:val="none" w:sz="0" w:space="0" w:color="auto"/>
        <w:right w:val="none" w:sz="0" w:space="0" w:color="auto"/>
      </w:divBdr>
    </w:div>
    <w:div w:id="1453863550">
      <w:bodyDiv w:val="1"/>
      <w:marLeft w:val="0"/>
      <w:marRight w:val="0"/>
      <w:marTop w:val="0"/>
      <w:marBottom w:val="0"/>
      <w:divBdr>
        <w:top w:val="none" w:sz="0" w:space="0" w:color="auto"/>
        <w:left w:val="none" w:sz="0" w:space="0" w:color="auto"/>
        <w:bottom w:val="none" w:sz="0" w:space="0" w:color="auto"/>
        <w:right w:val="none" w:sz="0" w:space="0" w:color="auto"/>
      </w:divBdr>
    </w:div>
    <w:div w:id="1460342913">
      <w:bodyDiv w:val="1"/>
      <w:marLeft w:val="0"/>
      <w:marRight w:val="0"/>
      <w:marTop w:val="0"/>
      <w:marBottom w:val="0"/>
      <w:divBdr>
        <w:top w:val="none" w:sz="0" w:space="0" w:color="auto"/>
        <w:left w:val="none" w:sz="0" w:space="0" w:color="auto"/>
        <w:bottom w:val="none" w:sz="0" w:space="0" w:color="auto"/>
        <w:right w:val="none" w:sz="0" w:space="0" w:color="auto"/>
      </w:divBdr>
    </w:div>
    <w:div w:id="1471360023">
      <w:bodyDiv w:val="1"/>
      <w:marLeft w:val="0"/>
      <w:marRight w:val="0"/>
      <w:marTop w:val="0"/>
      <w:marBottom w:val="0"/>
      <w:divBdr>
        <w:top w:val="none" w:sz="0" w:space="0" w:color="auto"/>
        <w:left w:val="none" w:sz="0" w:space="0" w:color="auto"/>
        <w:bottom w:val="none" w:sz="0" w:space="0" w:color="auto"/>
        <w:right w:val="none" w:sz="0" w:space="0" w:color="auto"/>
      </w:divBdr>
    </w:div>
    <w:div w:id="1483740881">
      <w:bodyDiv w:val="1"/>
      <w:marLeft w:val="0"/>
      <w:marRight w:val="0"/>
      <w:marTop w:val="0"/>
      <w:marBottom w:val="0"/>
      <w:divBdr>
        <w:top w:val="none" w:sz="0" w:space="0" w:color="auto"/>
        <w:left w:val="none" w:sz="0" w:space="0" w:color="auto"/>
        <w:bottom w:val="none" w:sz="0" w:space="0" w:color="auto"/>
        <w:right w:val="none" w:sz="0" w:space="0" w:color="auto"/>
      </w:divBdr>
    </w:div>
    <w:div w:id="1513955578">
      <w:bodyDiv w:val="1"/>
      <w:marLeft w:val="0"/>
      <w:marRight w:val="0"/>
      <w:marTop w:val="0"/>
      <w:marBottom w:val="0"/>
      <w:divBdr>
        <w:top w:val="none" w:sz="0" w:space="0" w:color="auto"/>
        <w:left w:val="none" w:sz="0" w:space="0" w:color="auto"/>
        <w:bottom w:val="none" w:sz="0" w:space="0" w:color="auto"/>
        <w:right w:val="none" w:sz="0" w:space="0" w:color="auto"/>
      </w:divBdr>
    </w:div>
    <w:div w:id="1530332780">
      <w:bodyDiv w:val="1"/>
      <w:marLeft w:val="0"/>
      <w:marRight w:val="0"/>
      <w:marTop w:val="0"/>
      <w:marBottom w:val="0"/>
      <w:divBdr>
        <w:top w:val="none" w:sz="0" w:space="0" w:color="auto"/>
        <w:left w:val="none" w:sz="0" w:space="0" w:color="auto"/>
        <w:bottom w:val="none" w:sz="0" w:space="0" w:color="auto"/>
        <w:right w:val="none" w:sz="0" w:space="0" w:color="auto"/>
      </w:divBdr>
    </w:div>
    <w:div w:id="1534071791">
      <w:bodyDiv w:val="1"/>
      <w:marLeft w:val="0"/>
      <w:marRight w:val="0"/>
      <w:marTop w:val="0"/>
      <w:marBottom w:val="0"/>
      <w:divBdr>
        <w:top w:val="none" w:sz="0" w:space="0" w:color="auto"/>
        <w:left w:val="none" w:sz="0" w:space="0" w:color="auto"/>
        <w:bottom w:val="none" w:sz="0" w:space="0" w:color="auto"/>
        <w:right w:val="none" w:sz="0" w:space="0" w:color="auto"/>
      </w:divBdr>
    </w:div>
    <w:div w:id="1535385158">
      <w:bodyDiv w:val="1"/>
      <w:marLeft w:val="0"/>
      <w:marRight w:val="0"/>
      <w:marTop w:val="0"/>
      <w:marBottom w:val="0"/>
      <w:divBdr>
        <w:top w:val="none" w:sz="0" w:space="0" w:color="auto"/>
        <w:left w:val="none" w:sz="0" w:space="0" w:color="auto"/>
        <w:bottom w:val="none" w:sz="0" w:space="0" w:color="auto"/>
        <w:right w:val="none" w:sz="0" w:space="0" w:color="auto"/>
      </w:divBdr>
    </w:div>
    <w:div w:id="1536308343">
      <w:bodyDiv w:val="1"/>
      <w:marLeft w:val="0"/>
      <w:marRight w:val="0"/>
      <w:marTop w:val="0"/>
      <w:marBottom w:val="0"/>
      <w:divBdr>
        <w:top w:val="none" w:sz="0" w:space="0" w:color="auto"/>
        <w:left w:val="none" w:sz="0" w:space="0" w:color="auto"/>
        <w:bottom w:val="none" w:sz="0" w:space="0" w:color="auto"/>
        <w:right w:val="none" w:sz="0" w:space="0" w:color="auto"/>
      </w:divBdr>
    </w:div>
    <w:div w:id="1568108159">
      <w:bodyDiv w:val="1"/>
      <w:marLeft w:val="0"/>
      <w:marRight w:val="0"/>
      <w:marTop w:val="0"/>
      <w:marBottom w:val="0"/>
      <w:divBdr>
        <w:top w:val="none" w:sz="0" w:space="0" w:color="auto"/>
        <w:left w:val="none" w:sz="0" w:space="0" w:color="auto"/>
        <w:bottom w:val="none" w:sz="0" w:space="0" w:color="auto"/>
        <w:right w:val="none" w:sz="0" w:space="0" w:color="auto"/>
      </w:divBdr>
    </w:div>
    <w:div w:id="1585534784">
      <w:bodyDiv w:val="1"/>
      <w:marLeft w:val="0"/>
      <w:marRight w:val="0"/>
      <w:marTop w:val="0"/>
      <w:marBottom w:val="0"/>
      <w:divBdr>
        <w:top w:val="none" w:sz="0" w:space="0" w:color="auto"/>
        <w:left w:val="none" w:sz="0" w:space="0" w:color="auto"/>
        <w:bottom w:val="none" w:sz="0" w:space="0" w:color="auto"/>
        <w:right w:val="none" w:sz="0" w:space="0" w:color="auto"/>
      </w:divBdr>
    </w:div>
    <w:div w:id="1586260126">
      <w:bodyDiv w:val="1"/>
      <w:marLeft w:val="0"/>
      <w:marRight w:val="0"/>
      <w:marTop w:val="0"/>
      <w:marBottom w:val="0"/>
      <w:divBdr>
        <w:top w:val="none" w:sz="0" w:space="0" w:color="auto"/>
        <w:left w:val="none" w:sz="0" w:space="0" w:color="auto"/>
        <w:bottom w:val="none" w:sz="0" w:space="0" w:color="auto"/>
        <w:right w:val="none" w:sz="0" w:space="0" w:color="auto"/>
      </w:divBdr>
    </w:div>
    <w:div w:id="1591236043">
      <w:bodyDiv w:val="1"/>
      <w:marLeft w:val="0"/>
      <w:marRight w:val="0"/>
      <w:marTop w:val="0"/>
      <w:marBottom w:val="0"/>
      <w:divBdr>
        <w:top w:val="none" w:sz="0" w:space="0" w:color="auto"/>
        <w:left w:val="none" w:sz="0" w:space="0" w:color="auto"/>
        <w:bottom w:val="none" w:sz="0" w:space="0" w:color="auto"/>
        <w:right w:val="none" w:sz="0" w:space="0" w:color="auto"/>
      </w:divBdr>
    </w:div>
    <w:div w:id="1608003995">
      <w:bodyDiv w:val="1"/>
      <w:marLeft w:val="0"/>
      <w:marRight w:val="0"/>
      <w:marTop w:val="0"/>
      <w:marBottom w:val="0"/>
      <w:divBdr>
        <w:top w:val="none" w:sz="0" w:space="0" w:color="auto"/>
        <w:left w:val="none" w:sz="0" w:space="0" w:color="auto"/>
        <w:bottom w:val="none" w:sz="0" w:space="0" w:color="auto"/>
        <w:right w:val="none" w:sz="0" w:space="0" w:color="auto"/>
      </w:divBdr>
    </w:div>
    <w:div w:id="1610316242">
      <w:bodyDiv w:val="1"/>
      <w:marLeft w:val="0"/>
      <w:marRight w:val="0"/>
      <w:marTop w:val="0"/>
      <w:marBottom w:val="0"/>
      <w:divBdr>
        <w:top w:val="none" w:sz="0" w:space="0" w:color="auto"/>
        <w:left w:val="none" w:sz="0" w:space="0" w:color="auto"/>
        <w:bottom w:val="none" w:sz="0" w:space="0" w:color="auto"/>
        <w:right w:val="none" w:sz="0" w:space="0" w:color="auto"/>
      </w:divBdr>
    </w:div>
    <w:div w:id="1625690487">
      <w:bodyDiv w:val="1"/>
      <w:marLeft w:val="0"/>
      <w:marRight w:val="0"/>
      <w:marTop w:val="0"/>
      <w:marBottom w:val="0"/>
      <w:divBdr>
        <w:top w:val="none" w:sz="0" w:space="0" w:color="auto"/>
        <w:left w:val="none" w:sz="0" w:space="0" w:color="auto"/>
        <w:bottom w:val="none" w:sz="0" w:space="0" w:color="auto"/>
        <w:right w:val="none" w:sz="0" w:space="0" w:color="auto"/>
      </w:divBdr>
    </w:div>
    <w:div w:id="1635672542">
      <w:bodyDiv w:val="1"/>
      <w:marLeft w:val="0"/>
      <w:marRight w:val="0"/>
      <w:marTop w:val="0"/>
      <w:marBottom w:val="0"/>
      <w:divBdr>
        <w:top w:val="none" w:sz="0" w:space="0" w:color="auto"/>
        <w:left w:val="none" w:sz="0" w:space="0" w:color="auto"/>
        <w:bottom w:val="none" w:sz="0" w:space="0" w:color="auto"/>
        <w:right w:val="none" w:sz="0" w:space="0" w:color="auto"/>
      </w:divBdr>
    </w:div>
    <w:div w:id="1640383861">
      <w:bodyDiv w:val="1"/>
      <w:marLeft w:val="0"/>
      <w:marRight w:val="0"/>
      <w:marTop w:val="0"/>
      <w:marBottom w:val="0"/>
      <w:divBdr>
        <w:top w:val="none" w:sz="0" w:space="0" w:color="auto"/>
        <w:left w:val="none" w:sz="0" w:space="0" w:color="auto"/>
        <w:bottom w:val="none" w:sz="0" w:space="0" w:color="auto"/>
        <w:right w:val="none" w:sz="0" w:space="0" w:color="auto"/>
      </w:divBdr>
    </w:div>
    <w:div w:id="1652515071">
      <w:bodyDiv w:val="1"/>
      <w:marLeft w:val="0"/>
      <w:marRight w:val="0"/>
      <w:marTop w:val="0"/>
      <w:marBottom w:val="0"/>
      <w:divBdr>
        <w:top w:val="none" w:sz="0" w:space="0" w:color="auto"/>
        <w:left w:val="none" w:sz="0" w:space="0" w:color="auto"/>
        <w:bottom w:val="none" w:sz="0" w:space="0" w:color="auto"/>
        <w:right w:val="none" w:sz="0" w:space="0" w:color="auto"/>
      </w:divBdr>
    </w:div>
    <w:div w:id="1672639719">
      <w:bodyDiv w:val="1"/>
      <w:marLeft w:val="0"/>
      <w:marRight w:val="0"/>
      <w:marTop w:val="0"/>
      <w:marBottom w:val="0"/>
      <w:divBdr>
        <w:top w:val="none" w:sz="0" w:space="0" w:color="auto"/>
        <w:left w:val="none" w:sz="0" w:space="0" w:color="auto"/>
        <w:bottom w:val="none" w:sz="0" w:space="0" w:color="auto"/>
        <w:right w:val="none" w:sz="0" w:space="0" w:color="auto"/>
      </w:divBdr>
    </w:div>
    <w:div w:id="1685783644">
      <w:bodyDiv w:val="1"/>
      <w:marLeft w:val="0"/>
      <w:marRight w:val="0"/>
      <w:marTop w:val="0"/>
      <w:marBottom w:val="0"/>
      <w:divBdr>
        <w:top w:val="none" w:sz="0" w:space="0" w:color="auto"/>
        <w:left w:val="none" w:sz="0" w:space="0" w:color="auto"/>
        <w:bottom w:val="none" w:sz="0" w:space="0" w:color="auto"/>
        <w:right w:val="none" w:sz="0" w:space="0" w:color="auto"/>
      </w:divBdr>
    </w:div>
    <w:div w:id="1718161714">
      <w:bodyDiv w:val="1"/>
      <w:marLeft w:val="0"/>
      <w:marRight w:val="0"/>
      <w:marTop w:val="0"/>
      <w:marBottom w:val="0"/>
      <w:divBdr>
        <w:top w:val="none" w:sz="0" w:space="0" w:color="auto"/>
        <w:left w:val="none" w:sz="0" w:space="0" w:color="auto"/>
        <w:bottom w:val="none" w:sz="0" w:space="0" w:color="auto"/>
        <w:right w:val="none" w:sz="0" w:space="0" w:color="auto"/>
      </w:divBdr>
      <w:divsChild>
        <w:div w:id="2128498270">
          <w:marLeft w:val="547"/>
          <w:marRight w:val="0"/>
          <w:marTop w:val="200"/>
          <w:marBottom w:val="0"/>
          <w:divBdr>
            <w:top w:val="none" w:sz="0" w:space="0" w:color="auto"/>
            <w:left w:val="none" w:sz="0" w:space="0" w:color="auto"/>
            <w:bottom w:val="none" w:sz="0" w:space="0" w:color="auto"/>
            <w:right w:val="none" w:sz="0" w:space="0" w:color="auto"/>
          </w:divBdr>
        </w:div>
        <w:div w:id="1115370626">
          <w:marLeft w:val="547"/>
          <w:marRight w:val="0"/>
          <w:marTop w:val="200"/>
          <w:marBottom w:val="0"/>
          <w:divBdr>
            <w:top w:val="none" w:sz="0" w:space="0" w:color="auto"/>
            <w:left w:val="none" w:sz="0" w:space="0" w:color="auto"/>
            <w:bottom w:val="none" w:sz="0" w:space="0" w:color="auto"/>
            <w:right w:val="none" w:sz="0" w:space="0" w:color="auto"/>
          </w:divBdr>
        </w:div>
        <w:div w:id="412707738">
          <w:marLeft w:val="547"/>
          <w:marRight w:val="0"/>
          <w:marTop w:val="200"/>
          <w:marBottom w:val="0"/>
          <w:divBdr>
            <w:top w:val="none" w:sz="0" w:space="0" w:color="auto"/>
            <w:left w:val="none" w:sz="0" w:space="0" w:color="auto"/>
            <w:bottom w:val="none" w:sz="0" w:space="0" w:color="auto"/>
            <w:right w:val="none" w:sz="0" w:space="0" w:color="auto"/>
          </w:divBdr>
        </w:div>
        <w:div w:id="1107702886">
          <w:marLeft w:val="547"/>
          <w:marRight w:val="0"/>
          <w:marTop w:val="200"/>
          <w:marBottom w:val="0"/>
          <w:divBdr>
            <w:top w:val="none" w:sz="0" w:space="0" w:color="auto"/>
            <w:left w:val="none" w:sz="0" w:space="0" w:color="auto"/>
            <w:bottom w:val="none" w:sz="0" w:space="0" w:color="auto"/>
            <w:right w:val="none" w:sz="0" w:space="0" w:color="auto"/>
          </w:divBdr>
        </w:div>
        <w:div w:id="2005350507">
          <w:marLeft w:val="547"/>
          <w:marRight w:val="0"/>
          <w:marTop w:val="200"/>
          <w:marBottom w:val="0"/>
          <w:divBdr>
            <w:top w:val="none" w:sz="0" w:space="0" w:color="auto"/>
            <w:left w:val="none" w:sz="0" w:space="0" w:color="auto"/>
            <w:bottom w:val="none" w:sz="0" w:space="0" w:color="auto"/>
            <w:right w:val="none" w:sz="0" w:space="0" w:color="auto"/>
          </w:divBdr>
        </w:div>
        <w:div w:id="1819225086">
          <w:marLeft w:val="547"/>
          <w:marRight w:val="0"/>
          <w:marTop w:val="200"/>
          <w:marBottom w:val="0"/>
          <w:divBdr>
            <w:top w:val="none" w:sz="0" w:space="0" w:color="auto"/>
            <w:left w:val="none" w:sz="0" w:space="0" w:color="auto"/>
            <w:bottom w:val="none" w:sz="0" w:space="0" w:color="auto"/>
            <w:right w:val="none" w:sz="0" w:space="0" w:color="auto"/>
          </w:divBdr>
        </w:div>
        <w:div w:id="314721304">
          <w:marLeft w:val="547"/>
          <w:marRight w:val="0"/>
          <w:marTop w:val="200"/>
          <w:marBottom w:val="0"/>
          <w:divBdr>
            <w:top w:val="none" w:sz="0" w:space="0" w:color="auto"/>
            <w:left w:val="none" w:sz="0" w:space="0" w:color="auto"/>
            <w:bottom w:val="none" w:sz="0" w:space="0" w:color="auto"/>
            <w:right w:val="none" w:sz="0" w:space="0" w:color="auto"/>
          </w:divBdr>
        </w:div>
      </w:divsChild>
    </w:div>
    <w:div w:id="1737510226">
      <w:bodyDiv w:val="1"/>
      <w:marLeft w:val="0"/>
      <w:marRight w:val="0"/>
      <w:marTop w:val="0"/>
      <w:marBottom w:val="0"/>
      <w:divBdr>
        <w:top w:val="none" w:sz="0" w:space="0" w:color="auto"/>
        <w:left w:val="none" w:sz="0" w:space="0" w:color="auto"/>
        <w:bottom w:val="none" w:sz="0" w:space="0" w:color="auto"/>
        <w:right w:val="none" w:sz="0" w:space="0" w:color="auto"/>
      </w:divBdr>
    </w:div>
    <w:div w:id="1750931508">
      <w:bodyDiv w:val="1"/>
      <w:marLeft w:val="0"/>
      <w:marRight w:val="0"/>
      <w:marTop w:val="0"/>
      <w:marBottom w:val="0"/>
      <w:divBdr>
        <w:top w:val="none" w:sz="0" w:space="0" w:color="auto"/>
        <w:left w:val="none" w:sz="0" w:space="0" w:color="auto"/>
        <w:bottom w:val="none" w:sz="0" w:space="0" w:color="auto"/>
        <w:right w:val="none" w:sz="0" w:space="0" w:color="auto"/>
      </w:divBdr>
      <w:divsChild>
        <w:div w:id="409543285">
          <w:marLeft w:val="547"/>
          <w:marRight w:val="0"/>
          <w:marTop w:val="0"/>
          <w:marBottom w:val="0"/>
          <w:divBdr>
            <w:top w:val="none" w:sz="0" w:space="0" w:color="auto"/>
            <w:left w:val="none" w:sz="0" w:space="0" w:color="auto"/>
            <w:bottom w:val="none" w:sz="0" w:space="0" w:color="auto"/>
            <w:right w:val="none" w:sz="0" w:space="0" w:color="auto"/>
          </w:divBdr>
        </w:div>
      </w:divsChild>
    </w:div>
    <w:div w:id="1759474541">
      <w:bodyDiv w:val="1"/>
      <w:marLeft w:val="0"/>
      <w:marRight w:val="0"/>
      <w:marTop w:val="0"/>
      <w:marBottom w:val="0"/>
      <w:divBdr>
        <w:top w:val="none" w:sz="0" w:space="0" w:color="auto"/>
        <w:left w:val="none" w:sz="0" w:space="0" w:color="auto"/>
        <w:bottom w:val="none" w:sz="0" w:space="0" w:color="auto"/>
        <w:right w:val="none" w:sz="0" w:space="0" w:color="auto"/>
      </w:divBdr>
    </w:div>
    <w:div w:id="1781409061">
      <w:bodyDiv w:val="1"/>
      <w:marLeft w:val="0"/>
      <w:marRight w:val="0"/>
      <w:marTop w:val="0"/>
      <w:marBottom w:val="0"/>
      <w:divBdr>
        <w:top w:val="none" w:sz="0" w:space="0" w:color="auto"/>
        <w:left w:val="none" w:sz="0" w:space="0" w:color="auto"/>
        <w:bottom w:val="none" w:sz="0" w:space="0" w:color="auto"/>
        <w:right w:val="none" w:sz="0" w:space="0" w:color="auto"/>
      </w:divBdr>
    </w:div>
    <w:div w:id="1786845925">
      <w:bodyDiv w:val="1"/>
      <w:marLeft w:val="0"/>
      <w:marRight w:val="0"/>
      <w:marTop w:val="0"/>
      <w:marBottom w:val="0"/>
      <w:divBdr>
        <w:top w:val="none" w:sz="0" w:space="0" w:color="auto"/>
        <w:left w:val="none" w:sz="0" w:space="0" w:color="auto"/>
        <w:bottom w:val="none" w:sz="0" w:space="0" w:color="auto"/>
        <w:right w:val="none" w:sz="0" w:space="0" w:color="auto"/>
      </w:divBdr>
    </w:div>
    <w:div w:id="1808274903">
      <w:bodyDiv w:val="1"/>
      <w:marLeft w:val="0"/>
      <w:marRight w:val="0"/>
      <w:marTop w:val="0"/>
      <w:marBottom w:val="0"/>
      <w:divBdr>
        <w:top w:val="none" w:sz="0" w:space="0" w:color="auto"/>
        <w:left w:val="none" w:sz="0" w:space="0" w:color="auto"/>
        <w:bottom w:val="none" w:sz="0" w:space="0" w:color="auto"/>
        <w:right w:val="none" w:sz="0" w:space="0" w:color="auto"/>
      </w:divBdr>
    </w:div>
    <w:div w:id="1818692839">
      <w:bodyDiv w:val="1"/>
      <w:marLeft w:val="0"/>
      <w:marRight w:val="0"/>
      <w:marTop w:val="0"/>
      <w:marBottom w:val="0"/>
      <w:divBdr>
        <w:top w:val="none" w:sz="0" w:space="0" w:color="auto"/>
        <w:left w:val="none" w:sz="0" w:space="0" w:color="auto"/>
        <w:bottom w:val="none" w:sz="0" w:space="0" w:color="auto"/>
        <w:right w:val="none" w:sz="0" w:space="0" w:color="auto"/>
      </w:divBdr>
    </w:div>
    <w:div w:id="1829785376">
      <w:bodyDiv w:val="1"/>
      <w:marLeft w:val="0"/>
      <w:marRight w:val="0"/>
      <w:marTop w:val="0"/>
      <w:marBottom w:val="0"/>
      <w:divBdr>
        <w:top w:val="none" w:sz="0" w:space="0" w:color="auto"/>
        <w:left w:val="none" w:sz="0" w:space="0" w:color="auto"/>
        <w:bottom w:val="none" w:sz="0" w:space="0" w:color="auto"/>
        <w:right w:val="none" w:sz="0" w:space="0" w:color="auto"/>
      </w:divBdr>
    </w:div>
    <w:div w:id="1879589351">
      <w:bodyDiv w:val="1"/>
      <w:marLeft w:val="0"/>
      <w:marRight w:val="0"/>
      <w:marTop w:val="0"/>
      <w:marBottom w:val="0"/>
      <w:divBdr>
        <w:top w:val="none" w:sz="0" w:space="0" w:color="auto"/>
        <w:left w:val="none" w:sz="0" w:space="0" w:color="auto"/>
        <w:bottom w:val="none" w:sz="0" w:space="0" w:color="auto"/>
        <w:right w:val="none" w:sz="0" w:space="0" w:color="auto"/>
      </w:divBdr>
    </w:div>
    <w:div w:id="1884058316">
      <w:bodyDiv w:val="1"/>
      <w:marLeft w:val="0"/>
      <w:marRight w:val="0"/>
      <w:marTop w:val="0"/>
      <w:marBottom w:val="0"/>
      <w:divBdr>
        <w:top w:val="none" w:sz="0" w:space="0" w:color="auto"/>
        <w:left w:val="none" w:sz="0" w:space="0" w:color="auto"/>
        <w:bottom w:val="none" w:sz="0" w:space="0" w:color="auto"/>
        <w:right w:val="none" w:sz="0" w:space="0" w:color="auto"/>
      </w:divBdr>
    </w:div>
    <w:div w:id="1889797145">
      <w:bodyDiv w:val="1"/>
      <w:marLeft w:val="0"/>
      <w:marRight w:val="0"/>
      <w:marTop w:val="0"/>
      <w:marBottom w:val="0"/>
      <w:divBdr>
        <w:top w:val="none" w:sz="0" w:space="0" w:color="auto"/>
        <w:left w:val="none" w:sz="0" w:space="0" w:color="auto"/>
        <w:bottom w:val="none" w:sz="0" w:space="0" w:color="auto"/>
        <w:right w:val="none" w:sz="0" w:space="0" w:color="auto"/>
      </w:divBdr>
    </w:div>
    <w:div w:id="1900895321">
      <w:bodyDiv w:val="1"/>
      <w:marLeft w:val="0"/>
      <w:marRight w:val="0"/>
      <w:marTop w:val="0"/>
      <w:marBottom w:val="0"/>
      <w:divBdr>
        <w:top w:val="none" w:sz="0" w:space="0" w:color="auto"/>
        <w:left w:val="none" w:sz="0" w:space="0" w:color="auto"/>
        <w:bottom w:val="none" w:sz="0" w:space="0" w:color="auto"/>
        <w:right w:val="none" w:sz="0" w:space="0" w:color="auto"/>
      </w:divBdr>
    </w:div>
    <w:div w:id="1920940718">
      <w:bodyDiv w:val="1"/>
      <w:marLeft w:val="0"/>
      <w:marRight w:val="0"/>
      <w:marTop w:val="0"/>
      <w:marBottom w:val="0"/>
      <w:divBdr>
        <w:top w:val="none" w:sz="0" w:space="0" w:color="auto"/>
        <w:left w:val="none" w:sz="0" w:space="0" w:color="auto"/>
        <w:bottom w:val="none" w:sz="0" w:space="0" w:color="auto"/>
        <w:right w:val="none" w:sz="0" w:space="0" w:color="auto"/>
      </w:divBdr>
    </w:div>
    <w:div w:id="1938127327">
      <w:bodyDiv w:val="1"/>
      <w:marLeft w:val="0"/>
      <w:marRight w:val="0"/>
      <w:marTop w:val="0"/>
      <w:marBottom w:val="0"/>
      <w:divBdr>
        <w:top w:val="none" w:sz="0" w:space="0" w:color="auto"/>
        <w:left w:val="none" w:sz="0" w:space="0" w:color="auto"/>
        <w:bottom w:val="none" w:sz="0" w:space="0" w:color="auto"/>
        <w:right w:val="none" w:sz="0" w:space="0" w:color="auto"/>
      </w:divBdr>
    </w:div>
    <w:div w:id="1943412806">
      <w:bodyDiv w:val="1"/>
      <w:marLeft w:val="0"/>
      <w:marRight w:val="0"/>
      <w:marTop w:val="0"/>
      <w:marBottom w:val="0"/>
      <w:divBdr>
        <w:top w:val="none" w:sz="0" w:space="0" w:color="auto"/>
        <w:left w:val="none" w:sz="0" w:space="0" w:color="auto"/>
        <w:bottom w:val="none" w:sz="0" w:space="0" w:color="auto"/>
        <w:right w:val="none" w:sz="0" w:space="0" w:color="auto"/>
      </w:divBdr>
    </w:div>
    <w:div w:id="1944532815">
      <w:bodyDiv w:val="1"/>
      <w:marLeft w:val="0"/>
      <w:marRight w:val="0"/>
      <w:marTop w:val="0"/>
      <w:marBottom w:val="0"/>
      <w:divBdr>
        <w:top w:val="none" w:sz="0" w:space="0" w:color="auto"/>
        <w:left w:val="none" w:sz="0" w:space="0" w:color="auto"/>
        <w:bottom w:val="none" w:sz="0" w:space="0" w:color="auto"/>
        <w:right w:val="none" w:sz="0" w:space="0" w:color="auto"/>
      </w:divBdr>
    </w:div>
    <w:div w:id="1964920720">
      <w:bodyDiv w:val="1"/>
      <w:marLeft w:val="0"/>
      <w:marRight w:val="0"/>
      <w:marTop w:val="0"/>
      <w:marBottom w:val="0"/>
      <w:divBdr>
        <w:top w:val="none" w:sz="0" w:space="0" w:color="auto"/>
        <w:left w:val="none" w:sz="0" w:space="0" w:color="auto"/>
        <w:bottom w:val="none" w:sz="0" w:space="0" w:color="auto"/>
        <w:right w:val="none" w:sz="0" w:space="0" w:color="auto"/>
      </w:divBdr>
    </w:div>
    <w:div w:id="1981573451">
      <w:bodyDiv w:val="1"/>
      <w:marLeft w:val="0"/>
      <w:marRight w:val="0"/>
      <w:marTop w:val="0"/>
      <w:marBottom w:val="0"/>
      <w:divBdr>
        <w:top w:val="none" w:sz="0" w:space="0" w:color="auto"/>
        <w:left w:val="none" w:sz="0" w:space="0" w:color="auto"/>
        <w:bottom w:val="none" w:sz="0" w:space="0" w:color="auto"/>
        <w:right w:val="none" w:sz="0" w:space="0" w:color="auto"/>
      </w:divBdr>
    </w:div>
    <w:div w:id="1988048669">
      <w:bodyDiv w:val="1"/>
      <w:marLeft w:val="0"/>
      <w:marRight w:val="0"/>
      <w:marTop w:val="0"/>
      <w:marBottom w:val="0"/>
      <w:divBdr>
        <w:top w:val="none" w:sz="0" w:space="0" w:color="auto"/>
        <w:left w:val="none" w:sz="0" w:space="0" w:color="auto"/>
        <w:bottom w:val="none" w:sz="0" w:space="0" w:color="auto"/>
        <w:right w:val="none" w:sz="0" w:space="0" w:color="auto"/>
      </w:divBdr>
    </w:div>
    <w:div w:id="2002464024">
      <w:bodyDiv w:val="1"/>
      <w:marLeft w:val="0"/>
      <w:marRight w:val="0"/>
      <w:marTop w:val="0"/>
      <w:marBottom w:val="0"/>
      <w:divBdr>
        <w:top w:val="none" w:sz="0" w:space="0" w:color="auto"/>
        <w:left w:val="none" w:sz="0" w:space="0" w:color="auto"/>
        <w:bottom w:val="none" w:sz="0" w:space="0" w:color="auto"/>
        <w:right w:val="none" w:sz="0" w:space="0" w:color="auto"/>
      </w:divBdr>
    </w:div>
    <w:div w:id="2006467231">
      <w:bodyDiv w:val="1"/>
      <w:marLeft w:val="0"/>
      <w:marRight w:val="0"/>
      <w:marTop w:val="0"/>
      <w:marBottom w:val="0"/>
      <w:divBdr>
        <w:top w:val="none" w:sz="0" w:space="0" w:color="auto"/>
        <w:left w:val="none" w:sz="0" w:space="0" w:color="auto"/>
        <w:bottom w:val="none" w:sz="0" w:space="0" w:color="auto"/>
        <w:right w:val="none" w:sz="0" w:space="0" w:color="auto"/>
      </w:divBdr>
    </w:div>
    <w:div w:id="2016418330">
      <w:bodyDiv w:val="1"/>
      <w:marLeft w:val="0"/>
      <w:marRight w:val="0"/>
      <w:marTop w:val="0"/>
      <w:marBottom w:val="0"/>
      <w:divBdr>
        <w:top w:val="none" w:sz="0" w:space="0" w:color="auto"/>
        <w:left w:val="none" w:sz="0" w:space="0" w:color="auto"/>
        <w:bottom w:val="none" w:sz="0" w:space="0" w:color="auto"/>
        <w:right w:val="none" w:sz="0" w:space="0" w:color="auto"/>
      </w:divBdr>
    </w:div>
    <w:div w:id="2032954125">
      <w:bodyDiv w:val="1"/>
      <w:marLeft w:val="0"/>
      <w:marRight w:val="0"/>
      <w:marTop w:val="0"/>
      <w:marBottom w:val="0"/>
      <w:divBdr>
        <w:top w:val="none" w:sz="0" w:space="0" w:color="auto"/>
        <w:left w:val="none" w:sz="0" w:space="0" w:color="auto"/>
        <w:bottom w:val="none" w:sz="0" w:space="0" w:color="auto"/>
        <w:right w:val="none" w:sz="0" w:space="0" w:color="auto"/>
      </w:divBdr>
    </w:div>
    <w:div w:id="2046520279">
      <w:bodyDiv w:val="1"/>
      <w:marLeft w:val="0"/>
      <w:marRight w:val="0"/>
      <w:marTop w:val="0"/>
      <w:marBottom w:val="0"/>
      <w:divBdr>
        <w:top w:val="none" w:sz="0" w:space="0" w:color="auto"/>
        <w:left w:val="none" w:sz="0" w:space="0" w:color="auto"/>
        <w:bottom w:val="none" w:sz="0" w:space="0" w:color="auto"/>
        <w:right w:val="none" w:sz="0" w:space="0" w:color="auto"/>
      </w:divBdr>
    </w:div>
    <w:div w:id="2051300818">
      <w:bodyDiv w:val="1"/>
      <w:marLeft w:val="0"/>
      <w:marRight w:val="0"/>
      <w:marTop w:val="0"/>
      <w:marBottom w:val="0"/>
      <w:divBdr>
        <w:top w:val="none" w:sz="0" w:space="0" w:color="auto"/>
        <w:left w:val="none" w:sz="0" w:space="0" w:color="auto"/>
        <w:bottom w:val="none" w:sz="0" w:space="0" w:color="auto"/>
        <w:right w:val="none" w:sz="0" w:space="0" w:color="auto"/>
      </w:divBdr>
    </w:div>
    <w:div w:id="2071464247">
      <w:bodyDiv w:val="1"/>
      <w:marLeft w:val="0"/>
      <w:marRight w:val="0"/>
      <w:marTop w:val="0"/>
      <w:marBottom w:val="0"/>
      <w:divBdr>
        <w:top w:val="none" w:sz="0" w:space="0" w:color="auto"/>
        <w:left w:val="none" w:sz="0" w:space="0" w:color="auto"/>
        <w:bottom w:val="none" w:sz="0" w:space="0" w:color="auto"/>
        <w:right w:val="none" w:sz="0" w:space="0" w:color="auto"/>
      </w:divBdr>
    </w:div>
    <w:div w:id="2076471330">
      <w:bodyDiv w:val="1"/>
      <w:marLeft w:val="0"/>
      <w:marRight w:val="0"/>
      <w:marTop w:val="0"/>
      <w:marBottom w:val="0"/>
      <w:divBdr>
        <w:top w:val="none" w:sz="0" w:space="0" w:color="auto"/>
        <w:left w:val="none" w:sz="0" w:space="0" w:color="auto"/>
        <w:bottom w:val="none" w:sz="0" w:space="0" w:color="auto"/>
        <w:right w:val="none" w:sz="0" w:space="0" w:color="auto"/>
      </w:divBdr>
    </w:div>
    <w:div w:id="2077163629">
      <w:bodyDiv w:val="1"/>
      <w:marLeft w:val="0"/>
      <w:marRight w:val="0"/>
      <w:marTop w:val="0"/>
      <w:marBottom w:val="0"/>
      <w:divBdr>
        <w:top w:val="none" w:sz="0" w:space="0" w:color="auto"/>
        <w:left w:val="none" w:sz="0" w:space="0" w:color="auto"/>
        <w:bottom w:val="none" w:sz="0" w:space="0" w:color="auto"/>
        <w:right w:val="none" w:sz="0" w:space="0" w:color="auto"/>
      </w:divBdr>
    </w:div>
    <w:div w:id="2083524829">
      <w:bodyDiv w:val="1"/>
      <w:marLeft w:val="0"/>
      <w:marRight w:val="0"/>
      <w:marTop w:val="0"/>
      <w:marBottom w:val="0"/>
      <w:divBdr>
        <w:top w:val="none" w:sz="0" w:space="0" w:color="auto"/>
        <w:left w:val="none" w:sz="0" w:space="0" w:color="auto"/>
        <w:bottom w:val="none" w:sz="0" w:space="0" w:color="auto"/>
        <w:right w:val="none" w:sz="0" w:space="0" w:color="auto"/>
      </w:divBdr>
    </w:div>
    <w:div w:id="2087460467">
      <w:bodyDiv w:val="1"/>
      <w:marLeft w:val="0"/>
      <w:marRight w:val="0"/>
      <w:marTop w:val="0"/>
      <w:marBottom w:val="0"/>
      <w:divBdr>
        <w:top w:val="none" w:sz="0" w:space="0" w:color="auto"/>
        <w:left w:val="none" w:sz="0" w:space="0" w:color="auto"/>
        <w:bottom w:val="none" w:sz="0" w:space="0" w:color="auto"/>
        <w:right w:val="none" w:sz="0" w:space="0" w:color="auto"/>
      </w:divBdr>
    </w:div>
    <w:div w:id="2089568533">
      <w:bodyDiv w:val="1"/>
      <w:marLeft w:val="0"/>
      <w:marRight w:val="0"/>
      <w:marTop w:val="0"/>
      <w:marBottom w:val="0"/>
      <w:divBdr>
        <w:top w:val="none" w:sz="0" w:space="0" w:color="auto"/>
        <w:left w:val="none" w:sz="0" w:space="0" w:color="auto"/>
        <w:bottom w:val="none" w:sz="0" w:space="0" w:color="auto"/>
        <w:right w:val="none" w:sz="0" w:space="0" w:color="auto"/>
      </w:divBdr>
    </w:div>
    <w:div w:id="2106001260">
      <w:bodyDiv w:val="1"/>
      <w:marLeft w:val="0"/>
      <w:marRight w:val="0"/>
      <w:marTop w:val="0"/>
      <w:marBottom w:val="0"/>
      <w:divBdr>
        <w:top w:val="none" w:sz="0" w:space="0" w:color="auto"/>
        <w:left w:val="none" w:sz="0" w:space="0" w:color="auto"/>
        <w:bottom w:val="none" w:sz="0" w:space="0" w:color="auto"/>
        <w:right w:val="none" w:sz="0" w:space="0" w:color="auto"/>
      </w:divBdr>
    </w:div>
    <w:div w:id="2121292041">
      <w:bodyDiv w:val="1"/>
      <w:marLeft w:val="0"/>
      <w:marRight w:val="0"/>
      <w:marTop w:val="0"/>
      <w:marBottom w:val="0"/>
      <w:divBdr>
        <w:top w:val="none" w:sz="0" w:space="0" w:color="auto"/>
        <w:left w:val="none" w:sz="0" w:space="0" w:color="auto"/>
        <w:bottom w:val="none" w:sz="0" w:space="0" w:color="auto"/>
        <w:right w:val="none" w:sz="0" w:space="0" w:color="auto"/>
      </w:divBdr>
    </w:div>
    <w:div w:id="2123260324">
      <w:bodyDiv w:val="1"/>
      <w:marLeft w:val="0"/>
      <w:marRight w:val="0"/>
      <w:marTop w:val="0"/>
      <w:marBottom w:val="0"/>
      <w:divBdr>
        <w:top w:val="none" w:sz="0" w:space="0" w:color="auto"/>
        <w:left w:val="none" w:sz="0" w:space="0" w:color="auto"/>
        <w:bottom w:val="none" w:sz="0" w:space="0" w:color="auto"/>
        <w:right w:val="none" w:sz="0" w:space="0" w:color="auto"/>
      </w:divBdr>
    </w:div>
    <w:div w:id="2132819564">
      <w:bodyDiv w:val="1"/>
      <w:marLeft w:val="0"/>
      <w:marRight w:val="0"/>
      <w:marTop w:val="0"/>
      <w:marBottom w:val="0"/>
      <w:divBdr>
        <w:top w:val="none" w:sz="0" w:space="0" w:color="auto"/>
        <w:left w:val="none" w:sz="0" w:space="0" w:color="auto"/>
        <w:bottom w:val="none" w:sz="0" w:space="0" w:color="auto"/>
        <w:right w:val="none" w:sz="0" w:space="0" w:color="auto"/>
      </w:divBdr>
    </w:div>
    <w:div w:id="2135901973">
      <w:bodyDiv w:val="1"/>
      <w:marLeft w:val="0"/>
      <w:marRight w:val="0"/>
      <w:marTop w:val="0"/>
      <w:marBottom w:val="0"/>
      <w:divBdr>
        <w:top w:val="none" w:sz="0" w:space="0" w:color="auto"/>
        <w:left w:val="none" w:sz="0" w:space="0" w:color="auto"/>
        <w:bottom w:val="none" w:sz="0" w:space="0" w:color="auto"/>
        <w:right w:val="none" w:sz="0" w:space="0" w:color="auto"/>
      </w:divBdr>
    </w:div>
    <w:div w:id="21465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1.xml"/><Relationship Id="rId26" Type="http://schemas.openxmlformats.org/officeDocument/2006/relationships/hyperlink" Target="https://www.cbamonitor.cz/aktuality/ceny-nemovitosti-si--udrzely-10-dynamiku-coz-neplati-o-disponibilnim-duchodu" TargetMode="External"/><Relationship Id="rId21" Type="http://schemas.openxmlformats.org/officeDocument/2006/relationships/image" Target="media/image9.jpeg"/><Relationship Id="rId34" Type="http://schemas.openxmlformats.org/officeDocument/2006/relationships/hyperlink" Target="http://www.cbaonline.cz"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hyperlink" Target="https://www.cbamonitor.cz/aktuality/cnb-zprisnuje-podminky-pro-investicni-hypoteky-9-dopad-nebo-potrebna-redistribuce-poptavky" TargetMode="External"/><Relationship Id="rId33"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hyperlink" Target="https://www.cbamonitor.cz/aktuality/cnb-zprisnuje-podminky-pro-investicni-hypoteky-9-dopad-nebo-potrebna-redistribuce-poptavky" TargetMode="External"/><Relationship Id="rId20" Type="http://schemas.openxmlformats.org/officeDocument/2006/relationships/image" Target="media/image8.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amonitor.cz/aktuality/cnb-zprisnuje-podminky-pro-investicni-hypoteky-9-dopad-nebo-potrebna-redistribuce-poptavky" TargetMode="External"/><Relationship Id="rId24" Type="http://schemas.openxmlformats.org/officeDocument/2006/relationships/hyperlink" Target="https://www.cbamonitor.cz/statistika/dynamika-mezd" TargetMode="External"/><Relationship Id="rId32" Type="http://schemas.openxmlformats.org/officeDocument/2006/relationships/hyperlink" Target="https://www.cbamonitor.cz/statistika/prognoza-prumerna-mzda"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s://www.cbamonitor.cz/aktuality/mzdy-uzavrely-lonske-rok-silneji-a-letos-by-mohly-realne-pridat-dalsi-4" TargetMode="External"/><Relationship Id="rId28" Type="http://schemas.openxmlformats.org/officeDocument/2006/relationships/hyperlink" Target="https://www.cbamonitor.cz/kategorie/ceny-nemovitosti"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0.jpeg"/><Relationship Id="rId27" Type="http://schemas.openxmlformats.org/officeDocument/2006/relationships/hyperlink" Target="https://www.cbamonitor.cz/aktuality/-vyssi-ceny-bytu-vyvolavaji-bohatsi-diskusi-nad-makroprudencni-politikou-centralni-banky-nez-se-na-prvni-pohled-zda" TargetMode="External"/><Relationship Id="rId30" Type="http://schemas.openxmlformats.org/officeDocument/2006/relationships/image" Target="media/image12.png"/><Relationship Id="rId35" Type="http://schemas.openxmlformats.org/officeDocument/2006/relationships/hyperlink" Target="https://www.cbamonitor.cz/kategorie/cba-hypomonitor"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0CBE5B95D55468F8CF7D6D1C8CB6B" ma:contentTypeVersion="10" ma:contentTypeDescription="Create a new document." ma:contentTypeScope="" ma:versionID="03de8c559e19055c2732f6aae148e160">
  <xsd:schema xmlns:xsd="http://www.w3.org/2001/XMLSchema" xmlns:xs="http://www.w3.org/2001/XMLSchema" xmlns:p="http://schemas.microsoft.com/office/2006/metadata/properties" xmlns:ns3="b09ec118-0c61-46db-bb00-952e09940a1f" targetNamespace="http://schemas.microsoft.com/office/2006/metadata/properties" ma:root="true" ma:fieldsID="a58f24d30c88e6ff28d70a1926b856b7" ns3:_="">
    <xsd:import namespace="b09ec118-0c61-46db-bb00-952e09940a1f"/>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ec118-0c61-46db-bb00-952e09940a1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09ec118-0c61-46db-bb00-952e09940a1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464796-18D1-44D3-AEB3-40E112819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ec118-0c61-46db-bb00-952e09940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9F6F5-D843-4129-900A-FD170C2ABB09}">
  <ds:schemaRefs>
    <ds:schemaRef ds:uri="http://schemas.openxmlformats.org/officeDocument/2006/bibliography"/>
  </ds:schemaRefs>
</ds:datastoreItem>
</file>

<file path=customXml/itemProps3.xml><?xml version="1.0" encoding="utf-8"?>
<ds:datastoreItem xmlns:ds="http://schemas.openxmlformats.org/officeDocument/2006/customXml" ds:itemID="{6DB935B7-8C88-4CAE-A0AA-13A352B0843E}">
  <ds:schemaRefs>
    <ds:schemaRef ds:uri="http://schemas.microsoft.com/office/2006/metadata/properties"/>
    <ds:schemaRef ds:uri="http://schemas.microsoft.com/office/infopath/2007/PartnerControls"/>
    <ds:schemaRef ds:uri="b09ec118-0c61-46db-bb00-952e09940a1f"/>
  </ds:schemaRefs>
</ds:datastoreItem>
</file>

<file path=customXml/itemProps4.xml><?xml version="1.0" encoding="utf-8"?>
<ds:datastoreItem xmlns:ds="http://schemas.openxmlformats.org/officeDocument/2006/customXml" ds:itemID="{90F695EA-D77D-4F66-A87E-5245D7A921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12</Pages>
  <Words>2708</Words>
  <Characters>15982</Characters>
  <Application>Microsoft Office Word</Application>
  <DocSecurity>0</DocSecurity>
  <Lines>133</Lines>
  <Paragraphs>37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Jaromír Šindel</cp:lastModifiedBy>
  <cp:revision>7</cp:revision>
  <cp:lastPrinted>2025-08-14T09:13:00Z</cp:lastPrinted>
  <dcterms:created xsi:type="dcterms:W3CDTF">2026-02-13T15:17:00Z</dcterms:created>
  <dcterms:modified xsi:type="dcterms:W3CDTF">2026-03-12T14:30:00Z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0x0101004DC0CBE5B95D55468F8CF7D6D1C8CB6B</vt:lpwstr>
  </property>
</Properties>
</file>