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45D2" w14:textId="6DC90918" w:rsidR="00266E32" w:rsidRPr="00906FDC" w:rsidRDefault="00266E32" w:rsidP="002B1A4A">
      <w:pPr>
        <w:spacing w:after="120"/>
        <w:rPr>
          <w:rFonts w:ascii="Calibri" w:hAnsi="Calibri" w:cs="Arial"/>
          <w:b/>
          <w:color w:val="13576B"/>
          <w:sz w:val="36"/>
          <w:szCs w:val="36"/>
        </w:rPr>
      </w:pPr>
      <w:bookmarkStart w:id="0" w:name="_Hlk198644776"/>
      <w:bookmarkEnd w:id="0"/>
      <w:r w:rsidRPr="00906FDC">
        <w:rPr>
          <w:rFonts w:ascii="Calibri" w:hAnsi="Calibri" w:cs="Arial"/>
          <w:b/>
          <w:color w:val="13576B"/>
          <w:sz w:val="36"/>
          <w:szCs w:val="36"/>
        </w:rPr>
        <w:t>MAKROEKONOMICKÁ PROGNÓZA ČBA</w:t>
      </w:r>
    </w:p>
    <w:p w14:paraId="51371ECF" w14:textId="77777777" w:rsidR="00F17677" w:rsidRDefault="00FE14E0" w:rsidP="00526818">
      <w:pPr>
        <w:jc w:val="left"/>
        <w:rPr>
          <w:rFonts w:ascii="Calibri" w:hAnsi="Calibri" w:cs="Arial"/>
          <w:b/>
          <w:color w:val="13576B"/>
          <w:sz w:val="32"/>
          <w:szCs w:val="32"/>
        </w:rPr>
      </w:pPr>
      <w:r>
        <w:rPr>
          <w:rFonts w:ascii="Calibri" w:hAnsi="Calibri" w:cs="Arial"/>
          <w:b/>
          <w:color w:val="13576B"/>
          <w:sz w:val="32"/>
          <w:szCs w:val="32"/>
        </w:rPr>
        <w:t>Listopad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>20</w:t>
      </w:r>
      <w:r w:rsidR="00335332" w:rsidRPr="00906FDC">
        <w:rPr>
          <w:rFonts w:ascii="Calibri" w:hAnsi="Calibri" w:cs="Arial"/>
          <w:b/>
          <w:color w:val="13576B"/>
          <w:sz w:val="32"/>
          <w:szCs w:val="32"/>
        </w:rPr>
        <w:t>2</w:t>
      </w:r>
      <w:r w:rsidR="003503ED">
        <w:rPr>
          <w:rFonts w:ascii="Calibri" w:hAnsi="Calibri" w:cs="Arial"/>
          <w:b/>
          <w:color w:val="13576B"/>
          <w:sz w:val="32"/>
          <w:szCs w:val="32"/>
        </w:rPr>
        <w:t>5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 xml:space="preserve">: </w:t>
      </w:r>
      <w:r w:rsidR="00526818" w:rsidRPr="00526818">
        <w:rPr>
          <w:rFonts w:ascii="Calibri" w:hAnsi="Calibri" w:cs="Arial"/>
          <w:b/>
          <w:color w:val="13576B"/>
          <w:sz w:val="32"/>
          <w:szCs w:val="32"/>
        </w:rPr>
        <w:t xml:space="preserve">Ekonomika našlápla k silnějšímu </w:t>
      </w:r>
      <w:r w:rsidR="00603693">
        <w:rPr>
          <w:rFonts w:ascii="Calibri" w:hAnsi="Calibri" w:cs="Arial"/>
          <w:b/>
          <w:color w:val="13576B"/>
          <w:sz w:val="32"/>
          <w:szCs w:val="32"/>
        </w:rPr>
        <w:t xml:space="preserve">2,5% </w:t>
      </w:r>
      <w:r w:rsidR="00526818" w:rsidRPr="00526818">
        <w:rPr>
          <w:rFonts w:ascii="Calibri" w:hAnsi="Calibri" w:cs="Arial"/>
          <w:b/>
          <w:color w:val="13576B"/>
          <w:sz w:val="32"/>
          <w:szCs w:val="32"/>
        </w:rPr>
        <w:t>růstu</w:t>
      </w:r>
      <w:r w:rsidR="00610BEA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603693">
        <w:rPr>
          <w:rFonts w:ascii="Calibri" w:hAnsi="Calibri" w:cs="Arial"/>
          <w:b/>
          <w:color w:val="13576B"/>
          <w:sz w:val="32"/>
          <w:szCs w:val="32"/>
        </w:rPr>
        <w:t>navzdory celním otřesům</w:t>
      </w:r>
    </w:p>
    <w:p w14:paraId="3719106D" w14:textId="120126B8" w:rsidR="00B22E78" w:rsidRPr="00FE14E0" w:rsidRDefault="00603693" w:rsidP="00526818">
      <w:pPr>
        <w:jc w:val="left"/>
        <w:rPr>
          <w:rFonts w:ascii="Calibri" w:hAnsi="Calibri" w:cs="Arial"/>
          <w:b/>
          <w:color w:val="EE0000"/>
          <w:sz w:val="32"/>
          <w:szCs w:val="32"/>
        </w:rPr>
      </w:pPr>
      <w:r>
        <w:rPr>
          <w:rFonts w:ascii="Calibri" w:hAnsi="Calibri" w:cs="Arial"/>
          <w:b/>
          <w:color w:val="13576B"/>
          <w:sz w:val="32"/>
          <w:szCs w:val="32"/>
        </w:rPr>
        <w:t xml:space="preserve"> </w:t>
      </w:r>
    </w:p>
    <w:p w14:paraId="6955ED09" w14:textId="66AE39F6" w:rsidR="000544C4" w:rsidRPr="0028378F" w:rsidRDefault="00266E32" w:rsidP="00806391">
      <w:pPr>
        <w:spacing w:after="120"/>
        <w:rPr>
          <w:rFonts w:ascii="Calibri" w:hAnsi="Calibri" w:cs="Calibri"/>
          <w:b/>
          <w:color w:val="13576B"/>
          <w:sz w:val="20"/>
        </w:rPr>
      </w:pPr>
      <w:r w:rsidRPr="0028378F">
        <w:rPr>
          <w:rFonts w:ascii="Calibri" w:hAnsi="Calibri" w:cs="Calibri"/>
          <w:b/>
          <w:color w:val="13576B"/>
          <w:sz w:val="20"/>
        </w:rPr>
        <w:t xml:space="preserve">Praha, </w:t>
      </w:r>
      <w:r w:rsidR="009D61B8" w:rsidRPr="0028378F">
        <w:rPr>
          <w:rFonts w:ascii="Calibri" w:hAnsi="Calibri" w:cs="Calibri"/>
          <w:b/>
          <w:color w:val="13576B"/>
          <w:sz w:val="20"/>
        </w:rPr>
        <w:t>2</w:t>
      </w:r>
      <w:r w:rsidR="00FE14E0" w:rsidRPr="0028378F">
        <w:rPr>
          <w:rFonts w:ascii="Calibri" w:hAnsi="Calibri" w:cs="Calibri"/>
          <w:b/>
          <w:color w:val="13576B"/>
          <w:sz w:val="20"/>
        </w:rPr>
        <w:t>6</w:t>
      </w:r>
      <w:r w:rsidRPr="0028378F">
        <w:rPr>
          <w:rFonts w:ascii="Calibri" w:hAnsi="Calibri" w:cs="Calibri"/>
          <w:b/>
          <w:color w:val="13576B"/>
          <w:sz w:val="20"/>
        </w:rPr>
        <w:t xml:space="preserve">. </w:t>
      </w:r>
      <w:r w:rsidR="00FE14E0" w:rsidRPr="0028378F">
        <w:rPr>
          <w:rFonts w:ascii="Calibri" w:hAnsi="Calibri" w:cs="Calibri"/>
          <w:b/>
          <w:color w:val="13576B"/>
          <w:sz w:val="20"/>
        </w:rPr>
        <w:t>listopad</w:t>
      </w:r>
      <w:r w:rsidR="00FF1673" w:rsidRPr="0028378F">
        <w:rPr>
          <w:rFonts w:ascii="Calibri" w:hAnsi="Calibri" w:cs="Calibri"/>
          <w:b/>
          <w:color w:val="13576B"/>
          <w:sz w:val="20"/>
        </w:rPr>
        <w:t xml:space="preserve"> </w:t>
      </w:r>
      <w:r w:rsidRPr="0028378F">
        <w:rPr>
          <w:rFonts w:ascii="Calibri" w:hAnsi="Calibri" w:cs="Calibri"/>
          <w:b/>
          <w:color w:val="13576B"/>
          <w:sz w:val="20"/>
        </w:rPr>
        <w:t>202</w:t>
      </w:r>
      <w:r w:rsidR="003503ED" w:rsidRPr="0028378F">
        <w:rPr>
          <w:rFonts w:ascii="Calibri" w:hAnsi="Calibri" w:cs="Calibri"/>
          <w:b/>
          <w:color w:val="13576B"/>
          <w:sz w:val="20"/>
        </w:rPr>
        <w:t>5</w:t>
      </w:r>
      <w:r w:rsidRPr="0028378F">
        <w:rPr>
          <w:rFonts w:ascii="Calibri" w:hAnsi="Calibri" w:cs="Calibri"/>
          <w:b/>
          <w:color w:val="13576B"/>
          <w:sz w:val="20"/>
        </w:rPr>
        <w:t xml:space="preserve"> –</w:t>
      </w:r>
      <w:bookmarkStart w:id="1" w:name="_Hlk190799464"/>
      <w:r w:rsidR="00B22E78" w:rsidRPr="0028378F">
        <w:rPr>
          <w:rFonts w:ascii="Calibri" w:hAnsi="Calibri" w:cs="Calibri"/>
          <w:b/>
          <w:color w:val="13576B"/>
          <w:sz w:val="20"/>
        </w:rPr>
        <w:t xml:space="preserve"> </w:t>
      </w:r>
      <w:r w:rsidR="000544C4" w:rsidRPr="0028378F">
        <w:rPr>
          <w:rFonts w:ascii="Calibri" w:hAnsi="Calibri" w:cs="Calibri"/>
          <w:b/>
          <w:color w:val="13576B"/>
          <w:sz w:val="20"/>
        </w:rPr>
        <w:t>Prognostický panel České bankovní asociace (ČBA), sdružující hlavní ekonomy předních českých bank, očekává letos silnější růst české ekonomiky o 2,5 %, v roce 2026 mírné zpomalení spíše technického rázu na 2,2 %</w:t>
      </w:r>
      <w:r w:rsidR="003464C2">
        <w:rPr>
          <w:rFonts w:ascii="Calibri" w:hAnsi="Calibri" w:cs="Calibri"/>
          <w:b/>
          <w:color w:val="13576B"/>
          <w:sz w:val="20"/>
        </w:rPr>
        <w:t xml:space="preserve">. Pro nově zahrnutý rok 2027 čekáme </w:t>
      </w:r>
      <w:r w:rsidR="000544C4" w:rsidRPr="0028378F">
        <w:rPr>
          <w:rFonts w:ascii="Calibri" w:hAnsi="Calibri" w:cs="Calibri"/>
          <w:b/>
          <w:color w:val="13576B"/>
          <w:sz w:val="20"/>
        </w:rPr>
        <w:t>návrat ke svižnější</w:t>
      </w:r>
      <w:r w:rsidR="003464C2">
        <w:rPr>
          <w:rFonts w:ascii="Calibri" w:hAnsi="Calibri" w:cs="Calibri"/>
          <w:b/>
          <w:color w:val="13576B"/>
          <w:sz w:val="20"/>
        </w:rPr>
        <w:t>mu</w:t>
      </w:r>
      <w:r w:rsidR="000544C4" w:rsidRPr="0028378F">
        <w:rPr>
          <w:rFonts w:ascii="Calibri" w:hAnsi="Calibri" w:cs="Calibri"/>
          <w:b/>
          <w:color w:val="13576B"/>
          <w:sz w:val="20"/>
        </w:rPr>
        <w:t xml:space="preserve"> posílení o 2,6 %. Zlepšení výhledu pro letošní i příští rok (o 0,4 a 0,2 procentního bodu) odráží odolnost české ekonomiky, podpořenou vyšším růstem mezd, vládními investicemi, deeskalací celních sporů a částečně i očekávanou uvolněnější fiskální politikou. V příštím roce se</w:t>
      </w:r>
      <w:r w:rsidR="00DD759F">
        <w:rPr>
          <w:rFonts w:ascii="Calibri" w:hAnsi="Calibri" w:cs="Calibri"/>
          <w:b/>
          <w:color w:val="13576B"/>
          <w:sz w:val="20"/>
        </w:rPr>
        <w:t xml:space="preserve"> rovněž</w:t>
      </w:r>
      <w:r w:rsidR="000544C4" w:rsidRPr="0028378F">
        <w:rPr>
          <w:rFonts w:ascii="Calibri" w:hAnsi="Calibri" w:cs="Calibri"/>
          <w:b/>
          <w:color w:val="13576B"/>
          <w:sz w:val="20"/>
        </w:rPr>
        <w:t xml:space="preserve"> pozitivně projeví oživení investiční aktivity, také díky návratu silnější úvěrové aktivity podniků v nedávných měsících.</w:t>
      </w:r>
    </w:p>
    <w:p w14:paraId="436ACA49" w14:textId="77777777" w:rsidR="003660C8" w:rsidRDefault="000544C4" w:rsidP="00806391">
      <w:pPr>
        <w:spacing w:after="120"/>
        <w:rPr>
          <w:rFonts w:ascii="Calibri" w:hAnsi="Calibri" w:cs="Calibri"/>
          <w:b/>
          <w:color w:val="13576B"/>
          <w:sz w:val="20"/>
        </w:rPr>
      </w:pPr>
      <w:r w:rsidRPr="0028378F">
        <w:rPr>
          <w:rFonts w:ascii="Calibri" w:hAnsi="Calibri" w:cs="Calibri"/>
          <w:b/>
          <w:color w:val="13576B"/>
          <w:sz w:val="20"/>
        </w:rPr>
        <w:t xml:space="preserve">Výhled na růst spotřebitelských cen kolem 2,2 % v roce 2026 zůstává beze změny. Silnější mzdový růst společně s mírně vyšší dynamikou jádrové inflace se ovšem odráží ve výhledu na stabilní úrokovou sazbu ČNB na úrovni 3,50 %. A na poloviční úrovni vůči svému vrcholu z let 2022 až 2023 by měla setrvat i během roku 2027. Povolební výsledek se promítá do očekávání vyššího deficitu veřejných financí v příštím a přespříštím roce, přičemž programové prohlášení pravděpodobné nové koalice zatím není v prognóze plně zohledněno. A to jednak kvůli prozatím nejasnému načasování jednotlivých vládních plánů, ale i nejistotou ohledně způsobu schválení rozpočtu na rok 2026. </w:t>
      </w:r>
    </w:p>
    <w:p w14:paraId="4D558E81" w14:textId="46B837C2" w:rsidR="00B22E78" w:rsidRDefault="000544C4" w:rsidP="00806391">
      <w:pPr>
        <w:spacing w:after="120"/>
        <w:rPr>
          <w:rFonts w:ascii="Calibri" w:hAnsi="Calibri" w:cs="Calibri"/>
          <w:b/>
          <w:color w:val="13576B"/>
          <w:sz w:val="20"/>
        </w:rPr>
      </w:pPr>
      <w:r w:rsidRPr="0028378F">
        <w:rPr>
          <w:rFonts w:ascii="Calibri" w:hAnsi="Calibri" w:cs="Calibri"/>
          <w:b/>
          <w:color w:val="13576B"/>
          <w:sz w:val="20"/>
        </w:rPr>
        <w:t xml:space="preserve">Celkově představuje </w:t>
      </w:r>
      <w:r w:rsidR="0028378F" w:rsidRPr="0028378F">
        <w:rPr>
          <w:rFonts w:ascii="Calibri" w:hAnsi="Calibri" w:cs="Calibri"/>
          <w:b/>
          <w:color w:val="13576B"/>
          <w:sz w:val="20"/>
        </w:rPr>
        <w:t xml:space="preserve">rýsující se změna rozpočtové politiky </w:t>
      </w:r>
      <w:r w:rsidRPr="0028378F">
        <w:rPr>
          <w:rFonts w:ascii="Calibri" w:hAnsi="Calibri" w:cs="Calibri"/>
          <w:b/>
          <w:color w:val="13576B"/>
          <w:sz w:val="20"/>
        </w:rPr>
        <w:t>proinflační riziko</w:t>
      </w:r>
      <w:r w:rsidR="0028378F" w:rsidRPr="0028378F">
        <w:rPr>
          <w:rFonts w:ascii="Calibri" w:hAnsi="Calibri" w:cs="Calibri"/>
          <w:b/>
          <w:color w:val="13576B"/>
          <w:sz w:val="20"/>
        </w:rPr>
        <w:t xml:space="preserve">, ale </w:t>
      </w:r>
      <w:r w:rsidRPr="0028378F">
        <w:rPr>
          <w:rFonts w:ascii="Calibri" w:hAnsi="Calibri" w:cs="Calibri"/>
          <w:b/>
          <w:color w:val="13576B"/>
          <w:sz w:val="20"/>
        </w:rPr>
        <w:t>spíše ve střednědobém horizontu</w:t>
      </w:r>
      <w:r w:rsidR="0028378F" w:rsidRPr="0028378F">
        <w:rPr>
          <w:rFonts w:ascii="Calibri" w:hAnsi="Calibri" w:cs="Calibri"/>
          <w:b/>
          <w:color w:val="13576B"/>
          <w:sz w:val="20"/>
        </w:rPr>
        <w:t>, a jeho síla bude záviset na časování realizace jednotlivých plánů</w:t>
      </w:r>
      <w:r w:rsidRPr="0028378F">
        <w:rPr>
          <w:rFonts w:ascii="Calibri" w:hAnsi="Calibri" w:cs="Calibri"/>
          <w:b/>
          <w:color w:val="13576B"/>
          <w:sz w:val="20"/>
        </w:rPr>
        <w:t>. V</w:t>
      </w:r>
      <w:r w:rsidR="003C7CA9">
        <w:rPr>
          <w:rFonts w:ascii="Calibri" w:hAnsi="Calibri" w:cs="Calibri"/>
          <w:bCs/>
          <w:color w:val="000000" w:themeColor="text1"/>
          <w:sz w:val="20"/>
        </w:rPr>
        <w:t> </w:t>
      </w:r>
      <w:r w:rsidRPr="0028378F">
        <w:rPr>
          <w:rFonts w:ascii="Calibri" w:hAnsi="Calibri" w:cs="Calibri"/>
          <w:b/>
          <w:color w:val="13576B"/>
          <w:sz w:val="20"/>
        </w:rPr>
        <w:t>krátkodobém výhledu mohou</w:t>
      </w:r>
      <w:r w:rsidR="0028378F" w:rsidRPr="0028378F">
        <w:rPr>
          <w:rFonts w:ascii="Calibri" w:hAnsi="Calibri" w:cs="Calibri"/>
          <w:b/>
          <w:color w:val="13576B"/>
          <w:sz w:val="20"/>
        </w:rPr>
        <w:t xml:space="preserve"> totiž</w:t>
      </w:r>
      <w:r w:rsidRPr="0028378F">
        <w:rPr>
          <w:rFonts w:ascii="Calibri" w:hAnsi="Calibri" w:cs="Calibri"/>
          <w:b/>
          <w:color w:val="13576B"/>
          <w:sz w:val="20"/>
        </w:rPr>
        <w:t xml:space="preserve"> některá opatření – například regulace cen energií – naopak inflaci tlumit. Většina ekonomů však vnímá riziko silnějšího fiskálního stimulu v roce 2027</w:t>
      </w:r>
      <w:r w:rsidR="0028378F" w:rsidRPr="0028378F">
        <w:rPr>
          <w:rFonts w:ascii="Calibri" w:hAnsi="Calibri" w:cs="Calibri"/>
          <w:b/>
          <w:color w:val="13576B"/>
          <w:sz w:val="20"/>
        </w:rPr>
        <w:t xml:space="preserve">. </w:t>
      </w:r>
      <w:r w:rsidR="009D6C75" w:rsidRPr="0028378F">
        <w:rPr>
          <w:rFonts w:ascii="Calibri" w:hAnsi="Calibri" w:cs="Calibri"/>
          <w:b/>
          <w:color w:val="13576B"/>
          <w:sz w:val="20"/>
        </w:rPr>
        <w:t xml:space="preserve">Solidní a rezistentní růstová trajektorie české ekonomiky </w:t>
      </w:r>
      <w:r w:rsidR="003660C8">
        <w:rPr>
          <w:rFonts w:ascii="Calibri" w:hAnsi="Calibri" w:cs="Calibri"/>
          <w:b/>
          <w:color w:val="13576B"/>
          <w:sz w:val="20"/>
        </w:rPr>
        <w:t xml:space="preserve">stále </w:t>
      </w:r>
      <w:r w:rsidR="009D6C75" w:rsidRPr="0028378F">
        <w:rPr>
          <w:rFonts w:ascii="Calibri" w:hAnsi="Calibri" w:cs="Calibri"/>
          <w:b/>
          <w:color w:val="13576B"/>
          <w:sz w:val="20"/>
        </w:rPr>
        <w:t>částečně tlumí regionální rozdíly</w:t>
      </w:r>
      <w:r w:rsidR="0028378F" w:rsidRPr="0028378F">
        <w:rPr>
          <w:rFonts w:ascii="Calibri" w:hAnsi="Calibri" w:cs="Calibri"/>
          <w:b/>
          <w:color w:val="13576B"/>
          <w:sz w:val="20"/>
        </w:rPr>
        <w:t xml:space="preserve">. </w:t>
      </w:r>
    </w:p>
    <w:p w14:paraId="1A320FDF" w14:textId="319B7ADD" w:rsidR="003A42C1" w:rsidRDefault="003A42C1" w:rsidP="00806391">
      <w:pPr>
        <w:spacing w:after="120"/>
        <w:rPr>
          <w:rFonts w:ascii="Calibri" w:hAnsi="Calibri" w:cs="Calibri"/>
          <w:b/>
          <w:color w:val="EE0000"/>
          <w:sz w:val="20"/>
        </w:rPr>
      </w:pPr>
      <w:r>
        <w:rPr>
          <w:rFonts w:ascii="Calibri" w:hAnsi="Calibri" w:cs="Calibri"/>
          <w:b/>
          <w:noProof/>
          <w:color w:val="13576B"/>
          <w:sz w:val="20"/>
        </w:rPr>
        <w:drawing>
          <wp:inline distT="0" distB="0" distL="0" distR="0" wp14:anchorId="34C5470E" wp14:editId="53FECB61">
            <wp:extent cx="6479540" cy="2790908"/>
            <wp:effectExtent l="0" t="0" r="0" b="9525"/>
            <wp:docPr id="704196411" name="Picture 7" descr="A blue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96411" name="Picture 7" descr="A blue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9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EA413" w14:textId="1E36FCB8" w:rsidR="009D6C75" w:rsidRDefault="00603693" w:rsidP="00603693">
      <w:pPr>
        <w:pStyle w:val="Normlnweb"/>
        <w:spacing w:before="0" w:beforeAutospacing="0" w:after="0" w:afterAutospacing="0"/>
        <w:jc w:val="both"/>
        <w:rPr>
          <w:rFonts w:ascii="Calibri" w:hAnsi="Calibri" w:cs="Calibri"/>
          <w:b/>
          <w:color w:val="13576B"/>
          <w:sz w:val="22"/>
          <w:szCs w:val="28"/>
        </w:rPr>
      </w:pPr>
      <w:bookmarkStart w:id="2" w:name="_Hlk214964158"/>
      <w:r w:rsidRPr="009D6C75">
        <w:rPr>
          <w:rFonts w:ascii="Calibri" w:hAnsi="Calibri" w:cs="Calibri"/>
          <w:b/>
          <w:color w:val="EE0000"/>
          <w:sz w:val="22"/>
          <w:szCs w:val="28"/>
        </w:rPr>
        <w:t>Anketa ČBA</w:t>
      </w:r>
      <w:r w:rsidRPr="00806391">
        <w:rPr>
          <w:rFonts w:ascii="Calibri" w:hAnsi="Calibri" w:cs="Calibri"/>
          <w:b/>
          <w:color w:val="13576B"/>
          <w:sz w:val="22"/>
          <w:szCs w:val="28"/>
        </w:rPr>
        <w:t xml:space="preserve">: 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>Klíčové ingredience pr</w:t>
      </w:r>
      <w:r>
        <w:rPr>
          <w:rFonts w:ascii="Calibri" w:hAnsi="Calibri" w:cs="Calibri"/>
          <w:b/>
          <w:color w:val="13576B"/>
          <w:sz w:val="22"/>
          <w:szCs w:val="28"/>
        </w:rPr>
        <w:t>ogramové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>ho</w:t>
      </w:r>
      <w:r>
        <w:rPr>
          <w:rFonts w:ascii="Calibri" w:hAnsi="Calibri" w:cs="Calibri"/>
          <w:b/>
          <w:color w:val="13576B"/>
          <w:sz w:val="22"/>
          <w:szCs w:val="28"/>
        </w:rPr>
        <w:t xml:space="preserve"> prohlášení pravděpodobn</w:t>
      </w:r>
      <w:r w:rsidR="00642A66">
        <w:rPr>
          <w:rFonts w:ascii="Calibri" w:hAnsi="Calibri" w:cs="Calibri"/>
          <w:b/>
          <w:color w:val="13576B"/>
          <w:sz w:val="22"/>
          <w:szCs w:val="28"/>
        </w:rPr>
        <w:t>é</w:t>
      </w:r>
      <w:r>
        <w:rPr>
          <w:rFonts w:ascii="Calibri" w:hAnsi="Calibri" w:cs="Calibri"/>
          <w:b/>
          <w:color w:val="13576B"/>
          <w:sz w:val="22"/>
          <w:szCs w:val="28"/>
        </w:rPr>
        <w:t xml:space="preserve"> nové</w:t>
      </w:r>
      <w:r w:rsidR="00642A66">
        <w:rPr>
          <w:rFonts w:ascii="Calibri" w:hAnsi="Calibri" w:cs="Calibri"/>
          <w:b/>
          <w:color w:val="13576B"/>
          <w:sz w:val="22"/>
          <w:szCs w:val="28"/>
        </w:rPr>
        <w:t xml:space="preserve"> vládní</w:t>
      </w:r>
      <w:r>
        <w:rPr>
          <w:rFonts w:ascii="Calibri" w:hAnsi="Calibri" w:cs="Calibri"/>
          <w:b/>
          <w:color w:val="13576B"/>
          <w:sz w:val="22"/>
          <w:szCs w:val="28"/>
        </w:rPr>
        <w:t xml:space="preserve"> koalice.</w:t>
      </w:r>
      <w:r w:rsidRPr="00B22E78"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Pr="00603693">
        <w:rPr>
          <w:rFonts w:ascii="Calibri" w:hAnsi="Calibri" w:cs="Calibri"/>
          <w:bCs/>
          <w:color w:val="13576B"/>
          <w:sz w:val="22"/>
          <w:szCs w:val="28"/>
        </w:rPr>
        <w:t>Výsledky parlamentních voleb přináší s plány nové vlády zlom do hospodářské politiky</w:t>
      </w:r>
      <w:r w:rsidR="00812FD2">
        <w:rPr>
          <w:rFonts w:ascii="Calibri" w:hAnsi="Calibri" w:cs="Calibri"/>
          <w:bCs/>
          <w:color w:val="13576B"/>
          <w:sz w:val="22"/>
          <w:szCs w:val="28"/>
        </w:rPr>
        <w:t xml:space="preserve">. Proto jsme mezi </w:t>
      </w:r>
      <w:proofErr w:type="spellStart"/>
      <w:r w:rsidRPr="00603693">
        <w:rPr>
          <w:rFonts w:ascii="Calibri" w:hAnsi="Calibri" w:cs="Calibri"/>
          <w:bCs/>
          <w:color w:val="13576B"/>
          <w:sz w:val="22"/>
          <w:szCs w:val="28"/>
        </w:rPr>
        <w:t>panelist</w:t>
      </w:r>
      <w:r w:rsidR="000B47BE">
        <w:rPr>
          <w:rFonts w:ascii="Calibri" w:hAnsi="Calibri" w:cs="Calibri"/>
          <w:bCs/>
          <w:color w:val="13576B"/>
          <w:sz w:val="22"/>
          <w:szCs w:val="28"/>
        </w:rPr>
        <w:t>y</w:t>
      </w:r>
      <w:proofErr w:type="spellEnd"/>
      <w:r w:rsidRPr="00603693">
        <w:rPr>
          <w:rFonts w:ascii="Calibri" w:hAnsi="Calibri" w:cs="Calibri"/>
          <w:bCs/>
          <w:color w:val="13576B"/>
          <w:sz w:val="22"/>
          <w:szCs w:val="28"/>
        </w:rPr>
        <w:t xml:space="preserve"> prognózy </w:t>
      </w:r>
      <w:r w:rsidR="000B47BE">
        <w:rPr>
          <w:rFonts w:ascii="Calibri" w:hAnsi="Calibri" w:cs="Calibri"/>
          <w:bCs/>
          <w:color w:val="13576B"/>
          <w:sz w:val="22"/>
          <w:szCs w:val="28"/>
        </w:rPr>
        <w:t>zjišťovali</w:t>
      </w:r>
      <w:r w:rsidRPr="00603693">
        <w:rPr>
          <w:rFonts w:ascii="Calibri" w:hAnsi="Calibri" w:cs="Calibri"/>
          <w:bCs/>
          <w:color w:val="13576B"/>
          <w:sz w:val="22"/>
          <w:szCs w:val="28"/>
        </w:rPr>
        <w:t xml:space="preserve">, která opatření by </w:t>
      </w:r>
      <w:r w:rsidR="004D6685">
        <w:rPr>
          <w:rFonts w:ascii="Calibri" w:hAnsi="Calibri" w:cs="Calibri"/>
          <w:bCs/>
          <w:color w:val="13576B"/>
          <w:sz w:val="22"/>
          <w:szCs w:val="28"/>
        </w:rPr>
        <w:t xml:space="preserve">ve </w:t>
      </w:r>
      <w:r w:rsidRPr="00603693">
        <w:rPr>
          <w:rFonts w:ascii="Calibri" w:hAnsi="Calibri" w:cs="Calibri"/>
          <w:bCs/>
          <w:color w:val="13576B"/>
          <w:sz w:val="22"/>
          <w:szCs w:val="28"/>
        </w:rPr>
        <w:t xml:space="preserve">svém potenciálním prohlášení sdíleli, </w:t>
      </w:r>
      <w:r w:rsidR="006C362A" w:rsidRPr="006C362A">
        <w:rPr>
          <w:rFonts w:ascii="Calibri" w:hAnsi="Calibri" w:cs="Calibri"/>
          <w:bCs/>
          <w:color w:val="13576B"/>
          <w:sz w:val="22"/>
          <w:szCs w:val="28"/>
        </w:rPr>
        <w:t xml:space="preserve">a </w:t>
      </w:r>
      <w:r w:rsidR="006C362A">
        <w:rPr>
          <w:rFonts w:ascii="Calibri" w:hAnsi="Calibri" w:cs="Calibri"/>
          <w:bCs/>
          <w:color w:val="13576B"/>
          <w:sz w:val="22"/>
          <w:szCs w:val="28"/>
        </w:rPr>
        <w:t>která</w:t>
      </w:r>
      <w:r w:rsidR="006C362A" w:rsidRPr="006C362A">
        <w:rPr>
          <w:rFonts w:ascii="Calibri" w:hAnsi="Calibri" w:cs="Calibri"/>
          <w:bCs/>
          <w:color w:val="13576B"/>
          <w:sz w:val="22"/>
          <w:szCs w:val="28"/>
        </w:rPr>
        <w:t xml:space="preserve"> budou vyžadovat další strukturální reformy, aby se snížila s nimi spojená rizika.</w:t>
      </w:r>
    </w:p>
    <w:p w14:paraId="31CFBF90" w14:textId="52116068" w:rsidR="009D6C75" w:rsidRPr="009D6C75" w:rsidRDefault="009D6C75" w:rsidP="00603693">
      <w:pPr>
        <w:pStyle w:val="Normlnweb"/>
        <w:spacing w:before="0" w:beforeAutospacing="0" w:after="0" w:afterAutospacing="0"/>
        <w:jc w:val="both"/>
        <w:rPr>
          <w:rFonts w:ascii="Calibri" w:hAnsi="Calibri" w:cs="Calibri"/>
          <w:b/>
          <w:color w:val="13576B"/>
          <w:sz w:val="22"/>
          <w:szCs w:val="28"/>
        </w:rPr>
      </w:pPr>
      <w:r>
        <w:rPr>
          <w:rFonts w:ascii="Calibri" w:hAnsi="Calibri" w:cs="Calibri"/>
          <w:b/>
          <w:color w:val="13576B"/>
          <w:sz w:val="22"/>
          <w:szCs w:val="28"/>
        </w:rPr>
        <w:t>Výsledek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 xml:space="preserve">? Mezi nejvíce sdílené </w:t>
      </w:r>
      <w:r w:rsidR="00914F70">
        <w:rPr>
          <w:rFonts w:ascii="Calibri" w:hAnsi="Calibri" w:cs="Calibri"/>
          <w:b/>
          <w:color w:val="13576B"/>
          <w:sz w:val="22"/>
          <w:szCs w:val="28"/>
        </w:rPr>
        <w:t>plány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 xml:space="preserve"> patř</w:t>
      </w:r>
      <w:r w:rsidR="00984334">
        <w:rPr>
          <w:rFonts w:ascii="Calibri" w:hAnsi="Calibri" w:cs="Calibri"/>
          <w:b/>
          <w:color w:val="13576B"/>
          <w:sz w:val="22"/>
          <w:szCs w:val="28"/>
        </w:rPr>
        <w:t>í</w:t>
      </w:r>
      <w:r w:rsidR="00914F70">
        <w:rPr>
          <w:rFonts w:ascii="Calibri" w:hAnsi="Calibri" w:cs="Calibri"/>
          <w:b/>
          <w:color w:val="13576B"/>
          <w:sz w:val="22"/>
          <w:szCs w:val="28"/>
        </w:rPr>
        <w:t xml:space="preserve">: dokončení jednotného inkasního místa, 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 xml:space="preserve">znovuzavedení </w:t>
      </w:r>
      <w:r w:rsidR="00914F70">
        <w:rPr>
          <w:rFonts w:ascii="Calibri" w:hAnsi="Calibri" w:cs="Calibri"/>
          <w:b/>
          <w:color w:val="13576B"/>
          <w:sz w:val="22"/>
          <w:szCs w:val="28"/>
        </w:rPr>
        <w:t>EET a zrychlení odpisů na podporu výzkumu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 xml:space="preserve">. </w:t>
      </w:r>
      <w:r w:rsidR="00812FD2">
        <w:rPr>
          <w:rFonts w:ascii="Calibri" w:hAnsi="Calibri" w:cs="Calibri"/>
          <w:b/>
          <w:color w:val="13576B"/>
          <w:sz w:val="22"/>
          <w:szCs w:val="28"/>
        </w:rPr>
        <w:t>Na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 xml:space="preserve">opak </w:t>
      </w:r>
      <w:r w:rsidR="006C362A" w:rsidRPr="006C362A">
        <w:rPr>
          <w:rFonts w:ascii="Calibri" w:hAnsi="Calibri" w:cs="Calibri"/>
          <w:b/>
          <w:color w:val="13576B"/>
          <w:sz w:val="22"/>
          <w:szCs w:val="28"/>
        </w:rPr>
        <w:t>mezi rizikovější plány, kter</w:t>
      </w:r>
      <w:r w:rsidR="00984334">
        <w:rPr>
          <w:rFonts w:ascii="Calibri" w:hAnsi="Calibri" w:cs="Calibri"/>
          <w:b/>
          <w:color w:val="13576B"/>
          <w:sz w:val="22"/>
          <w:szCs w:val="28"/>
        </w:rPr>
        <w:t>é</w:t>
      </w:r>
      <w:r w:rsidR="006C362A" w:rsidRPr="006C362A">
        <w:rPr>
          <w:rFonts w:ascii="Calibri" w:hAnsi="Calibri" w:cs="Calibri"/>
          <w:b/>
          <w:color w:val="13576B"/>
          <w:sz w:val="22"/>
          <w:szCs w:val="28"/>
        </w:rPr>
        <w:t xml:space="preserve"> budou vyžadovat opatření k</w:t>
      </w:r>
      <w:r w:rsidR="006C362A">
        <w:rPr>
          <w:rFonts w:ascii="Calibri" w:hAnsi="Calibri" w:cs="Calibri"/>
          <w:b/>
          <w:color w:val="13576B"/>
          <w:sz w:val="22"/>
          <w:szCs w:val="28"/>
        </w:rPr>
        <w:t xml:space="preserve"> zmírnění rizik, </w:t>
      </w:r>
      <w:r w:rsidR="000B47BE">
        <w:rPr>
          <w:rFonts w:ascii="Calibri" w:hAnsi="Calibri" w:cs="Calibri"/>
          <w:b/>
          <w:color w:val="13576B"/>
          <w:sz w:val="22"/>
          <w:szCs w:val="28"/>
        </w:rPr>
        <w:t xml:space="preserve">se zařadilo </w:t>
      </w:r>
      <w:r w:rsidR="00914F70">
        <w:rPr>
          <w:rFonts w:ascii="Calibri" w:hAnsi="Calibri" w:cs="Calibri"/>
          <w:b/>
          <w:color w:val="13576B"/>
          <w:sz w:val="22"/>
          <w:szCs w:val="28"/>
        </w:rPr>
        <w:t>zrušení parametrické důchodové reformy včetně valorizace</w:t>
      </w:r>
      <w:r w:rsidR="00812FD2">
        <w:rPr>
          <w:rFonts w:ascii="Calibri" w:hAnsi="Calibri" w:cs="Calibri"/>
          <w:b/>
          <w:color w:val="13576B"/>
          <w:sz w:val="22"/>
          <w:szCs w:val="28"/>
        </w:rPr>
        <w:t xml:space="preserve"> penzí</w:t>
      </w:r>
      <w:r w:rsidR="00914F70">
        <w:rPr>
          <w:rFonts w:ascii="Calibri" w:hAnsi="Calibri" w:cs="Calibri"/>
          <w:b/>
          <w:color w:val="13576B"/>
          <w:sz w:val="22"/>
          <w:szCs w:val="28"/>
        </w:rPr>
        <w:t>, snižování daní (především korporátní daně na 19 %) a dotační podpora hypoték</w:t>
      </w:r>
      <w:r w:rsidR="00726664">
        <w:rPr>
          <w:rFonts w:ascii="Calibri" w:hAnsi="Calibri" w:cs="Calibri"/>
          <w:b/>
          <w:color w:val="13576B"/>
          <w:sz w:val="22"/>
          <w:szCs w:val="28"/>
        </w:rPr>
        <w:t xml:space="preserve">. </w:t>
      </w:r>
      <w:r w:rsidR="00726664" w:rsidRPr="00726664">
        <w:rPr>
          <w:rFonts w:ascii="Calibri" w:hAnsi="Calibri" w:cs="Calibri"/>
          <w:bCs/>
          <w:color w:val="13576B"/>
          <w:sz w:val="22"/>
          <w:szCs w:val="28"/>
        </w:rPr>
        <w:t>U nich ovšem</w:t>
      </w:r>
      <w:r w:rsidR="005736B5" w:rsidRPr="005736B5">
        <w:rPr>
          <w:rFonts w:ascii="Calibri" w:hAnsi="Calibri" w:cs="Calibri"/>
          <w:bCs/>
          <w:color w:val="13576B"/>
          <w:sz w:val="22"/>
          <w:szCs w:val="28"/>
        </w:rPr>
        <w:t xml:space="preserve"> dopad na státní rozpočet</w:t>
      </w:r>
      <w:r w:rsidR="00F17677">
        <w:rPr>
          <w:rFonts w:ascii="Calibri" w:hAnsi="Calibri" w:cs="Calibri"/>
          <w:bCs/>
          <w:color w:val="13576B"/>
          <w:sz w:val="22"/>
          <w:szCs w:val="28"/>
        </w:rPr>
        <w:t xml:space="preserve"> limituje</w:t>
      </w:r>
      <w:r w:rsidR="005736B5" w:rsidRPr="005736B5">
        <w:rPr>
          <w:rFonts w:ascii="Calibri" w:hAnsi="Calibri" w:cs="Calibri"/>
          <w:bCs/>
          <w:color w:val="13576B"/>
          <w:sz w:val="22"/>
          <w:szCs w:val="28"/>
        </w:rPr>
        <w:t xml:space="preserve"> věkové </w:t>
      </w:r>
      <w:r w:rsidR="005736B5" w:rsidRPr="005736B5">
        <w:rPr>
          <w:rFonts w:ascii="Calibri" w:hAnsi="Calibri" w:cs="Calibri"/>
          <w:bCs/>
          <w:color w:val="13576B"/>
          <w:sz w:val="22"/>
          <w:szCs w:val="28"/>
        </w:rPr>
        <w:lastRenderedPageBreak/>
        <w:t>omezení podpory (mladé rodiny s dětmi do 6 let věku) a relevance pro trh nemovitostí bude záviset na načasování s plánovanými změnami stavebního řízení a dostupného bydlení.</w:t>
      </w:r>
      <w:r w:rsidR="005736B5">
        <w:rPr>
          <w:rFonts w:ascii="Calibri" w:hAnsi="Calibri" w:cs="Calibri"/>
          <w:b/>
          <w:color w:val="EE0000"/>
          <w:sz w:val="22"/>
          <w:szCs w:val="28"/>
        </w:rPr>
        <w:t xml:space="preserve"> </w:t>
      </w:r>
    </w:p>
    <w:p w14:paraId="2C85B4A2" w14:textId="1ACDB5A5" w:rsidR="00603693" w:rsidRDefault="0066782D" w:rsidP="00603693">
      <w:pPr>
        <w:pStyle w:val="Normlnweb"/>
        <w:spacing w:before="0" w:beforeAutospacing="0" w:after="0" w:afterAutospacing="0"/>
        <w:jc w:val="both"/>
        <w:rPr>
          <w:noProof/>
        </w:rPr>
      </w:pPr>
      <w:r>
        <w:rPr>
          <w:rFonts w:ascii="Calibri" w:hAnsi="Calibri" w:cs="Calibri"/>
          <w:bCs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2C23AA" wp14:editId="4EFA1D22">
                <wp:simplePos x="0" y="0"/>
                <wp:positionH relativeFrom="column">
                  <wp:posOffset>2990466</wp:posOffset>
                </wp:positionH>
                <wp:positionV relativeFrom="paragraph">
                  <wp:posOffset>1882668</wp:posOffset>
                </wp:positionV>
                <wp:extent cx="298161" cy="241753"/>
                <wp:effectExtent l="0" t="0" r="26035" b="25400"/>
                <wp:wrapNone/>
                <wp:docPr id="234605617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61" cy="24175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5EEC1C" id="Oval 22" o:spid="_x0000_s1026" style="position:absolute;margin-left:235.45pt;margin-top:148.25pt;width:23.5pt;height:1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" fillcolor="white [3212]" strokecolor="white [3212]" strokeweight="1pt">
                <v:stroke joinstyle="miter"/>
              </v:oval>
            </w:pict>
          </mc:Fallback>
        </mc:AlternateContent>
      </w:r>
      <w:r w:rsidR="009D6C75" w:rsidRPr="009D6C75">
        <w:rPr>
          <w:noProof/>
        </w:rPr>
        <w:t xml:space="preserve"> </w:t>
      </w:r>
      <w:r w:rsidRPr="0066782D">
        <w:rPr>
          <w:noProof/>
        </w:rPr>
        <w:drawing>
          <wp:inline distT="0" distB="0" distL="0" distR="0" wp14:anchorId="3A9A7795" wp14:editId="767A0716">
            <wp:extent cx="3204376" cy="2135414"/>
            <wp:effectExtent l="0" t="0" r="0" b="0"/>
            <wp:docPr id="1151312010" name="Picture 1" descr="A close 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12010" name="Picture 1" descr="A close up of word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8036" cy="217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3693" w:rsidRPr="00B22E78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726664">
        <w:rPr>
          <w:noProof/>
        </w:rPr>
        <w:t xml:space="preserve">   </w:t>
      </w:r>
      <w:r w:rsidR="00984334">
        <w:rPr>
          <w:noProof/>
        </w:rPr>
        <w:drawing>
          <wp:inline distT="0" distB="0" distL="0" distR="0" wp14:anchorId="60BE4CD6" wp14:editId="6FE9BA6D">
            <wp:extent cx="3065069" cy="2120076"/>
            <wp:effectExtent l="0" t="0" r="2540" b="0"/>
            <wp:docPr id="1539277018" name="Obrázek 9" descr="Obsah obrázku text, kruh, Písmo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77018" name="Obrázek 9" descr="Obsah obrázku text, kruh, Písmo, snímek obrazovky&#10;&#10;Obsah generovaný pomocí AI může být nesprávný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420" cy="215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31DE0" w14:textId="65D94604" w:rsidR="004D6685" w:rsidRDefault="004D6685" w:rsidP="00603693">
      <w:pPr>
        <w:pStyle w:val="Normlnweb"/>
        <w:spacing w:before="0" w:beforeAutospacing="0" w:after="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18E96D27" w14:textId="01F7F940" w:rsidR="00603693" w:rsidRPr="00273C29" w:rsidRDefault="00914F70" w:rsidP="00603693">
      <w:pPr>
        <w:pStyle w:val="Normlnweb"/>
        <w:spacing w:before="0" w:beforeAutospacing="0" w:after="0" w:afterAutospacing="0"/>
        <w:jc w:val="both"/>
        <w:rPr>
          <w:rFonts w:ascii="Calibri" w:hAnsi="Calibri" w:cs="Calibri"/>
          <w:bCs/>
          <w:color w:val="000000" w:themeColor="text1"/>
          <w:sz w:val="14"/>
          <w:szCs w:val="18"/>
        </w:rPr>
      </w:pPr>
      <w:r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603693" w:rsidRPr="00273C29">
        <w:rPr>
          <w:rFonts w:ascii="Calibri" w:hAnsi="Calibri" w:cs="Calibri"/>
          <w:bCs/>
          <w:color w:val="13576B"/>
          <w:sz w:val="18"/>
          <w:szCs w:val="12"/>
        </w:rPr>
        <w:t>Pramen: Prognóza ČBA</w:t>
      </w:r>
    </w:p>
    <w:bookmarkEnd w:id="2"/>
    <w:p w14:paraId="332871A7" w14:textId="61457A23" w:rsidR="00A1698B" w:rsidRDefault="00A1698B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806391">
        <w:rPr>
          <w:rFonts w:ascii="Calibri" w:eastAsia="Calibri" w:hAnsi="Calibri" w:cs="Calibri"/>
          <w:b/>
          <w:color w:val="13576B"/>
          <w:sz w:val="22"/>
          <w:szCs w:val="28"/>
        </w:rPr>
        <w:t>Makroekonomická Prognóza ČBA v číslech: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4"/>
        <w:gridCol w:w="639"/>
        <w:gridCol w:w="639"/>
        <w:gridCol w:w="639"/>
        <w:gridCol w:w="639"/>
        <w:gridCol w:w="186"/>
        <w:gridCol w:w="679"/>
        <w:gridCol w:w="639"/>
        <w:gridCol w:w="186"/>
      </w:tblGrid>
      <w:tr w:rsidR="00A1698B" w:rsidRPr="00B96CE1" w14:paraId="3865FC2E" w14:textId="77777777" w:rsidTr="0099317E">
        <w:trPr>
          <w:trHeight w:val="540"/>
        </w:trPr>
        <w:tc>
          <w:tcPr>
            <w:tcW w:w="4894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19CEDF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Ukazatel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C61A51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2024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9087D4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5BB506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E096FF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B1A298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5B914F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vs. předchozí výhled</w:t>
            </w:r>
          </w:p>
        </w:tc>
      </w:tr>
      <w:tr w:rsidR="00A1698B" w:rsidRPr="00B96CE1" w14:paraId="31DD7FF3" w14:textId="77777777" w:rsidTr="0099317E">
        <w:trPr>
          <w:trHeight w:val="435"/>
        </w:trPr>
        <w:tc>
          <w:tcPr>
            <w:tcW w:w="4894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B88503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77B4B1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FFB9E4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2F3A7D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87AB6B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6C0CC5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D6B52F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95A73D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2026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1BF6F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B96CE1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 </w:t>
            </w:r>
          </w:p>
        </w:tc>
      </w:tr>
      <w:tr w:rsidR="00A1698B" w:rsidRPr="00B96CE1" w14:paraId="153930A4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982658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A7E5E4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1,1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F3F9B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6C01AE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2D5E57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02CFF6B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F39B6E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(0,4)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42BB57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BDE2B8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B6E32FF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E0BBF72" w14:textId="77777777" w:rsidR="00A1698B" w:rsidRPr="00B96CE1" w:rsidRDefault="00A1698B" w:rsidP="0099317E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spotřeby domácností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3BC574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2,2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B6CF09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D57D59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A99C7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EE3FA8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B1039C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88594D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(0,3)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7AB8DD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47A821E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DA74711" w14:textId="77777777" w:rsidR="00A1698B" w:rsidRPr="00B96CE1" w:rsidRDefault="00A1698B" w:rsidP="0099317E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vládní spotřeby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5E164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3,2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89064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4C3520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42F784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0C26983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FAAF81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(0,3)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FD1A7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4EE493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44E7AC9C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ADE7DE8" w14:textId="77777777" w:rsidR="00A1698B" w:rsidRPr="00B96CE1" w:rsidRDefault="00A1698B" w:rsidP="0099317E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investic (bez zásob, 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491124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-3,1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C774EA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0,3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11A8E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88A459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0B9BB1B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EFE158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48D61B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EE9A83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2D7C6267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6D5B9F6" w14:textId="77777777" w:rsidR="00A1698B" w:rsidRPr="00B96CE1" w:rsidRDefault="00A1698B" w:rsidP="0099317E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Růst vývozů (%)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04BCB5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1,1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6C397B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89F8D7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C03B79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5A825F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EC5D22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(1,3)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61BA5B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(0,4)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DB03F6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44D2885D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7D7CE0E" w14:textId="77777777" w:rsidR="00A1698B" w:rsidRPr="00B96CE1" w:rsidRDefault="00A1698B" w:rsidP="0099317E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dovozů (%)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D08B13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0,2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184A6A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F9928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76502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AEDDA9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1E76DF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(2,1)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673069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(0,7)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5D0582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2C8BCFE7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BC63A7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průměr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EBDC98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2,4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1E9729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3DE2BA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3D77D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1A2C3D1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E30731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BC547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B00E63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12B12B16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AB38C3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konec roku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515DAE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2,9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27C15C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D5D4EA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F9F868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5F8E0D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7D6F61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CACBE7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A13550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4B98E39B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1CE9A0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Jádrová inflace CPI (%) průměr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F89AE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2,5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55B298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5597F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FB453E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34035E9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51B8D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2D5AC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900B7D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BCA0E37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6095D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Podíl nezaměstnaných osob (MPSV): průměr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B620FF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3,8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0C021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3B8705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BA807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EE00EC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4A4D50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28DE98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(0,3)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44B46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048CE6DC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190274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nominální mzda (růst v 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2408E3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7,2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9C944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7,2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EF0EF1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5,6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C10040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5,1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1D77DB9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A2ED45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(1)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93F95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(0,7)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4D0AD1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43E759D0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C812C8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reálná mzda (%)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29565F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4,7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875C6C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95727C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F9E615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A0A766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E6DB8E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(1)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25BE53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(0,7)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A76354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8F356BC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D6D49B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Vládní deficit/přebytek (% HDP)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4B0EFE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-2,2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2F1552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-2,1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F5B9A6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-2,6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83EF28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-2,5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1EA023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6429D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2A6BF2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(-0,3)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2001A0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5F1DEAE5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A533C1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Vládní dluh (% HDP)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636323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43,3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31A10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43,7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2FC629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44,6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75EFFC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45,0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6287C66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DD3CF2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(-0,4)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BE4A8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(-0,2)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C3D1A1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7D73157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9C9428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Základní sazba ČNB 2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týdenní</w:t>
            </w: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 REPO (%): konec období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0A587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7,00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CF086C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26F46F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201BD3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3,50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7C4676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4C0C46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23B43F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(0,25)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6AA219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51901607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58CA9C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3M-PRIBOR (%): průměr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05A029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5,0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822701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C33DBC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C8359E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3,5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161DC3E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EF015A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(0,06)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B7AB69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(0,27)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DBC081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7A9634F5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FA9EE0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Výnos 10letého vládního dluhopisu (%): průměr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51E249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4,0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6E93B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25ABA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937B74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09801E2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1205E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(0,07)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78C8B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(0,27)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5B9F91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672BB8E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F7A850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Refinanční sazba ECB (%): konec období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A4E384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4,50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D1FAC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38F396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990CD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2,15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628E5C5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A792CF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(0,25)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BF559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(0,25)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42D1A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21E34FD3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A920B0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průměr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FBE009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25,1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29235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24,7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03D273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24,4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15DFF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24,1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333ECE8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B8677F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0B55E4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(-0,3)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8EDB27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27D1F7B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87A230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konec roku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09E810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25,2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BC9FB2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24,4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EB51E2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24,2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5271D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24,1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6E7383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F64D61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(-0,3)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764C6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(-0,4)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75EFF8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64A59AC8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52D71D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v eurozóně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B7471B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0,8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D3B269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1,3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1442FA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1,0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FE5919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1,4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50FC30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B97D3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F06990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B2A665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20774A7A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02FCFC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Ceny ropy (USD za barel): brent průměr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441A4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0B10D1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34F98B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FA1DC1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F85997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35CBFF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(0,9)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3D7C3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(-0,9)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9D30BC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6F0182C3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B70EFD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klientských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6AE6D9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6,1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CAFFDB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5,9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6A4717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6,0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DA1363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CAAF72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5D9C049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B26DD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12B8E5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1851DBA4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8027225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domácnostem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E1C04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4,9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F9AE8B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6,8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4DDBA4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7,0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93FEB1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6,4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429CAA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24F926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B136D1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(0,6)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690B3E3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356B2810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763E3B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(nefinančním) podnikům (%)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E22D13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7,6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8C13BF7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265EDA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311AF28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5,4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87962D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3D13BE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(-1)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CF4D5EE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(-0,8)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7BFD56B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  <w:tr w:rsidR="00A1698B" w:rsidRPr="00B96CE1" w14:paraId="63F4874B" w14:textId="77777777" w:rsidTr="0099317E">
        <w:trPr>
          <w:trHeight w:val="274"/>
        </w:trPr>
        <w:tc>
          <w:tcPr>
            <w:tcW w:w="489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AECBE82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B96CE1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lastRenderedPageBreak/>
              <w:t>Růst bankovních vkladů klientských celkem (%)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755731F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B96CE1">
              <w:rPr>
                <w:rFonts w:ascii="Calibri Light" w:hAnsi="Calibri Light" w:cs="Calibri Light"/>
                <w:color w:val="13576B"/>
                <w:sz w:val="20"/>
              </w:rPr>
              <w:t>7,4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42E235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0E6120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4,9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7B0DC04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5,0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6F58C0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509A4B6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(-0,5)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E00AE7C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B32B91D" w14:textId="77777777" w:rsidR="00A1698B" w:rsidRPr="00B96CE1" w:rsidRDefault="00A1698B" w:rsidP="0099317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 w:rsidRPr="00B96CE1"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 </w:t>
            </w:r>
          </w:p>
        </w:tc>
      </w:tr>
    </w:tbl>
    <w:p w14:paraId="36F72888" w14:textId="77777777" w:rsidR="00A1698B" w:rsidRPr="00806391" w:rsidRDefault="00A1698B" w:rsidP="00A1698B">
      <w:pPr>
        <w:spacing w:after="120"/>
        <w:rPr>
          <w:rFonts w:ascii="Calibri" w:hAnsi="Calibri" w:cs="Calibri"/>
          <w:bCs/>
          <w:color w:val="13576B"/>
          <w:szCs w:val="18"/>
        </w:rPr>
      </w:pPr>
      <w:r w:rsidRPr="00806391">
        <w:rPr>
          <w:rFonts w:ascii="Calibri" w:hAnsi="Calibri" w:cs="Calibri"/>
          <w:bCs/>
          <w:color w:val="13576B"/>
          <w:szCs w:val="18"/>
        </w:rPr>
        <w:t>Pramen: Prognóza ČBA</w:t>
      </w:r>
      <w:r>
        <w:rPr>
          <w:rFonts w:ascii="Calibri" w:hAnsi="Calibri" w:cs="Calibri"/>
          <w:bCs/>
          <w:color w:val="13576B"/>
          <w:szCs w:val="18"/>
        </w:rPr>
        <w:t xml:space="preserve">, </w:t>
      </w:r>
      <w:r w:rsidRPr="00806391">
        <w:rPr>
          <w:rFonts w:ascii="Calibri" w:hAnsi="Calibri" w:cs="Calibri"/>
          <w:bCs/>
          <w:color w:val="13576B"/>
          <w:szCs w:val="18"/>
        </w:rPr>
        <w:t xml:space="preserve">ČSÚ, ČNB, Úřad práce, </w:t>
      </w:r>
      <w:proofErr w:type="spellStart"/>
      <w:r>
        <w:rPr>
          <w:rFonts w:ascii="Calibri" w:hAnsi="Calibri" w:cs="Calibri"/>
          <w:bCs/>
          <w:color w:val="13576B"/>
          <w:szCs w:val="18"/>
        </w:rPr>
        <w:t>Macrobond</w:t>
      </w:r>
      <w:proofErr w:type="spellEnd"/>
    </w:p>
    <w:p w14:paraId="7F0AC495" w14:textId="7BA28FB5" w:rsidR="001E3643" w:rsidRPr="007B70F3" w:rsidRDefault="0028378F" w:rsidP="007B70F3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7B70F3">
        <w:rPr>
          <w:rFonts w:ascii="Calibri" w:eastAsia="Calibri" w:hAnsi="Calibri" w:cs="Calibri"/>
          <w:b/>
          <w:color w:val="13576B"/>
          <w:sz w:val="22"/>
          <w:szCs w:val="28"/>
        </w:rPr>
        <w:t>Klíčové faktory l</w:t>
      </w:r>
      <w:r w:rsidR="00B22E78" w:rsidRPr="007B70F3">
        <w:rPr>
          <w:rFonts w:ascii="Calibri" w:eastAsia="Calibri" w:hAnsi="Calibri" w:cs="Calibri"/>
          <w:b/>
          <w:color w:val="13576B"/>
          <w:sz w:val="22"/>
          <w:szCs w:val="28"/>
        </w:rPr>
        <w:t xml:space="preserve">epší </w:t>
      </w:r>
      <w:r w:rsidR="001E3643" w:rsidRPr="007B70F3">
        <w:rPr>
          <w:rFonts w:ascii="Calibri" w:eastAsia="Calibri" w:hAnsi="Calibri" w:cs="Calibri"/>
          <w:b/>
          <w:color w:val="13576B"/>
          <w:sz w:val="22"/>
          <w:szCs w:val="28"/>
        </w:rPr>
        <w:t>P</w:t>
      </w:r>
      <w:r w:rsidR="00B22E78" w:rsidRPr="007B70F3">
        <w:rPr>
          <w:rFonts w:ascii="Calibri" w:eastAsia="Calibri" w:hAnsi="Calibri" w:cs="Calibri"/>
          <w:b/>
          <w:color w:val="13576B"/>
          <w:sz w:val="22"/>
          <w:szCs w:val="28"/>
        </w:rPr>
        <w:t>rognóz</w:t>
      </w:r>
      <w:r w:rsidRPr="007B70F3">
        <w:rPr>
          <w:rFonts w:ascii="Calibri" w:eastAsia="Calibri" w:hAnsi="Calibri" w:cs="Calibri"/>
          <w:b/>
          <w:color w:val="13576B"/>
          <w:sz w:val="22"/>
          <w:szCs w:val="28"/>
        </w:rPr>
        <w:t>y</w:t>
      </w:r>
      <w:r w:rsidR="00B22E78" w:rsidRPr="007B70F3">
        <w:rPr>
          <w:rFonts w:ascii="Calibri" w:eastAsia="Calibri" w:hAnsi="Calibri" w:cs="Calibri"/>
          <w:b/>
          <w:color w:val="13576B"/>
          <w:sz w:val="22"/>
          <w:szCs w:val="28"/>
        </w:rPr>
        <w:t xml:space="preserve"> ČBA</w:t>
      </w:r>
    </w:p>
    <w:p w14:paraId="0898C06A" w14:textId="55EAB721" w:rsidR="001E3643" w:rsidRPr="001E3643" w:rsidRDefault="00B22E78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6B18B6">
        <w:rPr>
          <w:rFonts w:ascii="Calibri" w:hAnsi="Calibri" w:cs="Calibri"/>
          <w:b/>
          <w:color w:val="000000" w:themeColor="text1"/>
          <w:sz w:val="20"/>
        </w:rPr>
        <w:t xml:space="preserve">1) </w:t>
      </w:r>
      <w:r w:rsidR="001E3643">
        <w:rPr>
          <w:rFonts w:ascii="Calibri" w:hAnsi="Calibri" w:cs="Calibri"/>
          <w:b/>
          <w:color w:val="000000" w:themeColor="text1"/>
          <w:sz w:val="20"/>
        </w:rPr>
        <w:t xml:space="preserve">Silnější exportní aktivita – </w:t>
      </w:r>
      <w:r w:rsidR="001E3643" w:rsidRPr="001E3643">
        <w:rPr>
          <w:rFonts w:ascii="Calibri" w:hAnsi="Calibri" w:cs="Calibri"/>
          <w:bCs/>
          <w:color w:val="000000" w:themeColor="text1"/>
          <w:sz w:val="20"/>
        </w:rPr>
        <w:t>navzdory stabilnímu výhledu na zahraniční poptávku přepokládáme její posílení, také díky probíhající diverzifikaci trhů (větší orientace mimo eurozónu, návrat na britský trh, růst v Asii mimo Čínu a ve Spojených státech</w:t>
      </w:r>
      <w:r w:rsidR="0011316F" w:rsidRPr="001E3643">
        <w:rPr>
          <w:rFonts w:ascii="Calibri" w:hAnsi="Calibri" w:cs="Calibri"/>
          <w:bCs/>
          <w:color w:val="000000" w:themeColor="text1"/>
          <w:sz w:val="20"/>
        </w:rPr>
        <w:t>)</w:t>
      </w:r>
      <w:r w:rsidR="007D4EFE" w:rsidRPr="001E3643">
        <w:rPr>
          <w:rFonts w:ascii="Calibri" w:hAnsi="Calibri" w:cs="Calibri"/>
          <w:bCs/>
          <w:color w:val="000000" w:themeColor="text1"/>
          <w:sz w:val="20"/>
        </w:rPr>
        <w:t xml:space="preserve">. Zároveň </w:t>
      </w:r>
      <w:r w:rsidR="001E3643" w:rsidRPr="001E3643">
        <w:rPr>
          <w:rFonts w:ascii="Calibri" w:hAnsi="Calibri" w:cs="Calibri"/>
          <w:bCs/>
          <w:color w:val="000000" w:themeColor="text1"/>
          <w:sz w:val="20"/>
        </w:rPr>
        <w:t xml:space="preserve">zůstává v </w:t>
      </w:r>
      <w:r w:rsidR="007D4EFE" w:rsidRPr="001E3643">
        <w:rPr>
          <w:rFonts w:ascii="Calibri" w:hAnsi="Calibri" w:cs="Calibri"/>
          <w:bCs/>
          <w:color w:val="000000" w:themeColor="text1"/>
          <w:sz w:val="20"/>
        </w:rPr>
        <w:t>očekávání oživení německé ekonomiky díky fiskálnímu balíčku</w:t>
      </w:r>
      <w:r w:rsidR="001E3643" w:rsidRPr="001E3643">
        <w:rPr>
          <w:rFonts w:ascii="Calibri" w:hAnsi="Calibri" w:cs="Calibri"/>
          <w:bCs/>
          <w:color w:val="000000" w:themeColor="text1"/>
          <w:sz w:val="20"/>
        </w:rPr>
        <w:t xml:space="preserve">. </w:t>
      </w:r>
    </w:p>
    <w:p w14:paraId="527DCB13" w14:textId="2932C8E4" w:rsidR="001E3643" w:rsidRPr="001E3643" w:rsidRDefault="00104C8C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1E3643">
        <w:rPr>
          <w:rFonts w:ascii="Calibri" w:hAnsi="Calibri" w:cs="Calibri"/>
          <w:b/>
          <w:color w:val="000000" w:themeColor="text1"/>
          <w:sz w:val="20"/>
        </w:rPr>
        <w:t xml:space="preserve">2) </w:t>
      </w:r>
      <w:r w:rsidR="00A1698B">
        <w:rPr>
          <w:rFonts w:ascii="Calibri" w:hAnsi="Calibri" w:cs="Calibri"/>
          <w:b/>
          <w:color w:val="000000" w:themeColor="text1"/>
          <w:sz w:val="20"/>
        </w:rPr>
        <w:t>Stále poměrně silná</w:t>
      </w:r>
      <w:r w:rsidRPr="001E3643">
        <w:rPr>
          <w:rFonts w:ascii="Calibri" w:hAnsi="Calibri" w:cs="Calibri"/>
          <w:b/>
          <w:color w:val="000000" w:themeColor="text1"/>
          <w:sz w:val="20"/>
        </w:rPr>
        <w:t xml:space="preserve"> spotřeb</w:t>
      </w:r>
      <w:r w:rsidR="001E3643" w:rsidRPr="001E3643">
        <w:rPr>
          <w:rFonts w:ascii="Calibri" w:hAnsi="Calibri" w:cs="Calibri"/>
          <w:b/>
          <w:color w:val="000000" w:themeColor="text1"/>
          <w:sz w:val="20"/>
        </w:rPr>
        <w:t>a</w:t>
      </w:r>
      <w:r w:rsidRPr="001E3643"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="006B18B6" w:rsidRPr="001E3643">
        <w:rPr>
          <w:rFonts w:ascii="Calibri" w:hAnsi="Calibri" w:cs="Calibri"/>
          <w:b/>
          <w:color w:val="000000" w:themeColor="text1"/>
          <w:sz w:val="20"/>
        </w:rPr>
        <w:t>domácnost</w:t>
      </w:r>
      <w:r w:rsidR="001E3643" w:rsidRPr="001E3643">
        <w:rPr>
          <w:rFonts w:ascii="Calibri" w:hAnsi="Calibri" w:cs="Calibri"/>
          <w:b/>
          <w:color w:val="000000" w:themeColor="text1"/>
          <w:sz w:val="20"/>
        </w:rPr>
        <w:t>í</w:t>
      </w:r>
      <w:r w:rsidR="001E3643" w:rsidRPr="001E3643">
        <w:rPr>
          <w:rFonts w:ascii="Calibri" w:hAnsi="Calibri" w:cs="Calibri"/>
          <w:bCs/>
          <w:color w:val="000000" w:themeColor="text1"/>
          <w:sz w:val="20"/>
        </w:rPr>
        <w:t xml:space="preserve"> – podpořená</w:t>
      </w:r>
      <w:r w:rsidR="0011316F" w:rsidRPr="001E3643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1E3643" w:rsidRPr="001E3643">
        <w:rPr>
          <w:rFonts w:ascii="Calibri" w:hAnsi="Calibri" w:cs="Calibri"/>
          <w:bCs/>
          <w:color w:val="000000" w:themeColor="text1"/>
          <w:sz w:val="20"/>
        </w:rPr>
        <w:t>vyšším růstem mezd a stále vysokou mírou úspor.</w:t>
      </w:r>
    </w:p>
    <w:p w14:paraId="7BD9A8D5" w14:textId="6F3DC04F" w:rsidR="001202B4" w:rsidRDefault="00104C8C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/>
          <w:color w:val="000000" w:themeColor="text1"/>
          <w:sz w:val="20"/>
        </w:rPr>
      </w:pPr>
      <w:r w:rsidRPr="006B18B6">
        <w:rPr>
          <w:rFonts w:ascii="Calibri" w:hAnsi="Calibri" w:cs="Calibri"/>
          <w:b/>
          <w:color w:val="000000" w:themeColor="text1"/>
          <w:sz w:val="20"/>
        </w:rPr>
        <w:t xml:space="preserve">3) </w:t>
      </w:r>
      <w:r w:rsidR="001E3643">
        <w:rPr>
          <w:rFonts w:ascii="Calibri" w:hAnsi="Calibri" w:cs="Calibri"/>
          <w:b/>
          <w:color w:val="000000" w:themeColor="text1"/>
          <w:sz w:val="20"/>
        </w:rPr>
        <w:t>Vládní spotřeba</w:t>
      </w:r>
      <w:r w:rsidR="001202B4"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="001202B4" w:rsidRPr="001202B4">
        <w:rPr>
          <w:rFonts w:ascii="Calibri" w:hAnsi="Calibri" w:cs="Calibri"/>
          <w:bCs/>
          <w:color w:val="000000" w:themeColor="text1"/>
          <w:sz w:val="20"/>
        </w:rPr>
        <w:t xml:space="preserve">– odráží jak </w:t>
      </w:r>
      <w:r w:rsidR="00A1698B">
        <w:rPr>
          <w:rFonts w:ascii="Calibri" w:hAnsi="Calibri" w:cs="Calibri"/>
          <w:bCs/>
          <w:color w:val="000000" w:themeColor="text1"/>
          <w:sz w:val="20"/>
        </w:rPr>
        <w:t>lepší</w:t>
      </w:r>
      <w:r w:rsidR="001202B4" w:rsidRPr="001202B4">
        <w:rPr>
          <w:rFonts w:ascii="Calibri" w:hAnsi="Calibri" w:cs="Calibri"/>
          <w:bCs/>
          <w:color w:val="000000" w:themeColor="text1"/>
          <w:sz w:val="20"/>
        </w:rPr>
        <w:t xml:space="preserve"> výhled pro letošní rok, tak očekávaný mírně vyšší deficit veřejných financí přinejmenším v následujících dvou letech.</w:t>
      </w:r>
      <w:r w:rsidR="001202B4">
        <w:rPr>
          <w:rFonts w:ascii="Calibri" w:hAnsi="Calibri" w:cs="Calibri"/>
          <w:b/>
          <w:color w:val="000000" w:themeColor="text1"/>
          <w:sz w:val="20"/>
        </w:rPr>
        <w:t xml:space="preserve"> </w:t>
      </w:r>
    </w:p>
    <w:p w14:paraId="54F28CBE" w14:textId="3C2F676F" w:rsidR="00603693" w:rsidRPr="00566C95" w:rsidRDefault="00453B4E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3503ED">
        <w:rPr>
          <w:b/>
          <w:bCs/>
          <w:noProof/>
          <w:color w:val="FF0000"/>
          <w:sz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512D24" wp14:editId="1A4EA36A">
                <wp:simplePos x="0" y="0"/>
                <wp:positionH relativeFrom="margin">
                  <wp:posOffset>2540</wp:posOffset>
                </wp:positionH>
                <wp:positionV relativeFrom="paragraph">
                  <wp:posOffset>414020</wp:posOffset>
                </wp:positionV>
                <wp:extent cx="6461760" cy="696595"/>
                <wp:effectExtent l="0" t="0" r="15240" b="27305"/>
                <wp:wrapSquare wrapText="bothSides"/>
                <wp:docPr id="1636775914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E2981" w14:textId="7671C58D" w:rsidR="00603693" w:rsidRDefault="00603693" w:rsidP="0060369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Jaromír Šindel</w:t>
                            </w:r>
                            <w:r w:rsidRPr="00222AA1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hlavní ekonom České bankovní asociace:  </w:t>
                            </w:r>
                          </w:p>
                          <w:p w14:paraId="525B1F2A" w14:textId="6091E1E8" w:rsidR="00603693" w:rsidRPr="0035275E" w:rsidRDefault="00603693" w:rsidP="0060369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V příštím a přespříštím roce </w:t>
                            </w:r>
                            <w:r w:rsid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čeká</w:t>
                            </w:r>
                            <w:r w:rsid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vá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me robustnější růst ekonomiky opřený o všechny klíčové výdajové </w:t>
                            </w:r>
                            <w:r w:rsidR="00B437B7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složky – včetně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investic</w:t>
                            </w:r>
                            <w:r w:rsidR="00DD759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. </w:t>
                            </w:r>
                            <w:r w:rsidR="0028378F" w:rsidRP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K tomu by měl přispět </w:t>
                            </w:r>
                            <w:r w:rsid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i v současnosti </w:t>
                            </w:r>
                            <w:r w:rsidR="0028378F" w:rsidRP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rovnoměrnější růst úvěrové aktivity, který již není založen pouze na </w:t>
                            </w:r>
                            <w:r w:rsid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hypotečních úvěrech</w:t>
                            </w:r>
                            <w:r w:rsidR="0028378F" w:rsidRPr="0028378F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domácnostem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.“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2D24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.2pt;margin-top:32.6pt;width:508.8pt;height:54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">
                <v:textbox>
                  <w:txbxContent>
                    <w:p w14:paraId="780E2981" w14:textId="7671C58D" w:rsidR="00603693" w:rsidRDefault="00603693" w:rsidP="0060369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Jaromír Šindel</w:t>
                      </w:r>
                      <w:r w:rsidRPr="00222AA1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,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hlavní ekonom České bankovní asociace:  </w:t>
                      </w:r>
                    </w:p>
                    <w:p w14:paraId="525B1F2A" w14:textId="6091E1E8" w:rsidR="00603693" w:rsidRPr="0035275E" w:rsidRDefault="00603693" w:rsidP="00603693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V příštím a přespříštím roce </w:t>
                      </w:r>
                      <w:r w:rsid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o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čeká</w:t>
                      </w:r>
                      <w:r w:rsid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vá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me robustnější růst ekonomiky opřený o všechny klíčové výdajové </w:t>
                      </w:r>
                      <w:r w:rsidR="00B437B7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složky – včetně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investic</w:t>
                      </w:r>
                      <w:r w:rsidR="00DD759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. </w:t>
                      </w:r>
                      <w:r w:rsidR="0028378F" w:rsidRP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K tomu by měl přispět </w:t>
                      </w:r>
                      <w:r w:rsid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i v současnosti </w:t>
                      </w:r>
                      <w:r w:rsidR="0028378F" w:rsidRP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rovnoměrnější růst úvěrové aktivity, který již není založen pouze na </w:t>
                      </w:r>
                      <w:r w:rsid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hypotečních úvěrech</w:t>
                      </w:r>
                      <w:r w:rsidR="0028378F" w:rsidRPr="0028378F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domácnostem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.“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0BEA">
        <w:rPr>
          <w:rFonts w:ascii="Calibri" w:hAnsi="Calibri" w:cs="Calibri"/>
          <w:bCs/>
          <w:color w:val="000000" w:themeColor="text1"/>
          <w:sz w:val="20"/>
        </w:rPr>
        <w:t>Predikce růstu letošního HDP je o</w:t>
      </w:r>
      <w:r w:rsidR="00610BEA" w:rsidRPr="00610BEA">
        <w:rPr>
          <w:rFonts w:ascii="Calibri" w:hAnsi="Calibri" w:cs="Calibri"/>
          <w:bCs/>
          <w:color w:val="000000" w:themeColor="text1"/>
          <w:sz w:val="20"/>
        </w:rPr>
        <w:t xml:space="preserve"> 0,8 procentního bodu</w:t>
      </w:r>
      <w:r w:rsidR="00610BEA">
        <w:rPr>
          <w:rFonts w:ascii="Calibri" w:hAnsi="Calibri" w:cs="Calibri"/>
          <w:bCs/>
          <w:color w:val="000000" w:themeColor="text1"/>
          <w:sz w:val="20"/>
        </w:rPr>
        <w:t xml:space="preserve"> vyšší</w:t>
      </w:r>
      <w:r w:rsidR="00610BEA" w:rsidRPr="00610BEA">
        <w:rPr>
          <w:rFonts w:ascii="Calibri" w:hAnsi="Calibri" w:cs="Calibri"/>
          <w:bCs/>
          <w:color w:val="000000" w:themeColor="text1"/>
          <w:sz w:val="20"/>
        </w:rPr>
        <w:t xml:space="preserve"> ve srovnání s květnovým výhledem</w:t>
      </w:r>
      <w:r w:rsidR="00610BEA">
        <w:rPr>
          <w:rFonts w:ascii="Calibri" w:hAnsi="Calibri" w:cs="Calibri"/>
          <w:bCs/>
          <w:color w:val="000000" w:themeColor="text1"/>
          <w:sz w:val="20"/>
        </w:rPr>
        <w:t xml:space="preserve"> a nachází se okolo půvo</w:t>
      </w:r>
      <w:r w:rsidR="001202B4">
        <w:rPr>
          <w:rFonts w:ascii="Calibri" w:hAnsi="Calibri" w:cs="Calibri"/>
          <w:bCs/>
          <w:color w:val="000000" w:themeColor="text1"/>
          <w:sz w:val="20"/>
        </w:rPr>
        <w:t xml:space="preserve">dní Prognózy </w:t>
      </w:r>
      <w:r w:rsidR="00610BEA">
        <w:rPr>
          <w:rFonts w:ascii="Calibri" w:hAnsi="Calibri" w:cs="Calibri"/>
          <w:bCs/>
          <w:color w:val="000000" w:themeColor="text1"/>
          <w:sz w:val="20"/>
        </w:rPr>
        <w:t xml:space="preserve">ČBA z léta a podzimu 2024. </w:t>
      </w:r>
    </w:p>
    <w:p w14:paraId="70C8BC85" w14:textId="1D7B2EFC" w:rsidR="00812FD2" w:rsidRPr="00812FD2" w:rsidRDefault="00812FD2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B437B7">
        <w:rPr>
          <w:rFonts w:ascii="Calibri" w:hAnsi="Calibri" w:cs="Calibri"/>
          <w:b/>
          <w:color w:val="000000" w:themeColor="text1"/>
          <w:sz w:val="20"/>
        </w:rPr>
        <w:t xml:space="preserve">Očekávané posílení investiční aktivity z letošní stagnace zůstává v prognóze pro příští a přespříští rok kolem 3 %. </w:t>
      </w:r>
      <w:r w:rsidR="003C7CA9">
        <w:rPr>
          <w:rFonts w:ascii="Calibri" w:hAnsi="Calibri" w:cs="Calibri"/>
          <w:bCs/>
          <w:color w:val="000000" w:themeColor="text1"/>
          <w:sz w:val="20"/>
        </w:rPr>
        <w:t>Na straně jedné t</w:t>
      </w:r>
      <w:r w:rsidRPr="00812FD2">
        <w:rPr>
          <w:rFonts w:ascii="Calibri" w:hAnsi="Calibri" w:cs="Calibri"/>
          <w:bCs/>
          <w:color w:val="000000" w:themeColor="text1"/>
          <w:sz w:val="20"/>
        </w:rPr>
        <w:t xml:space="preserve">ento výhled odráží pravděpodobně přetrvávající nejistotu </w:t>
      </w:r>
      <w:r w:rsidR="00FE4E21">
        <w:rPr>
          <w:rFonts w:ascii="Calibri" w:hAnsi="Calibri" w:cs="Calibri"/>
          <w:bCs/>
          <w:color w:val="000000" w:themeColor="text1"/>
          <w:sz w:val="20"/>
        </w:rPr>
        <w:t>vývoje</w:t>
      </w:r>
      <w:r w:rsidRPr="00812FD2">
        <w:rPr>
          <w:rFonts w:ascii="Calibri" w:hAnsi="Calibri" w:cs="Calibri"/>
          <w:bCs/>
          <w:color w:val="000000" w:themeColor="text1"/>
          <w:sz w:val="20"/>
        </w:rPr>
        <w:t xml:space="preserve"> evropské ekonomiky, dostatečné hodnocení výrobních kapacit </w:t>
      </w:r>
      <w:r>
        <w:rPr>
          <w:rFonts w:ascii="Calibri" w:hAnsi="Calibri" w:cs="Calibri"/>
          <w:bCs/>
          <w:color w:val="000000" w:themeColor="text1"/>
          <w:sz w:val="20"/>
        </w:rPr>
        <w:t>ze stran</w:t>
      </w:r>
      <w:r w:rsidR="00B437B7">
        <w:rPr>
          <w:rFonts w:ascii="Calibri" w:hAnsi="Calibri" w:cs="Calibri"/>
          <w:bCs/>
          <w:color w:val="000000" w:themeColor="text1"/>
          <w:sz w:val="20"/>
        </w:rPr>
        <w:t>y</w:t>
      </w:r>
      <w:r>
        <w:rPr>
          <w:rFonts w:ascii="Calibri" w:hAnsi="Calibri" w:cs="Calibri"/>
          <w:bCs/>
          <w:color w:val="000000" w:themeColor="text1"/>
          <w:sz w:val="20"/>
        </w:rPr>
        <w:t xml:space="preserve"> výrobců </w:t>
      </w:r>
      <w:r w:rsidRPr="00812FD2">
        <w:rPr>
          <w:rFonts w:ascii="Calibri" w:hAnsi="Calibri" w:cs="Calibri"/>
          <w:bCs/>
          <w:color w:val="000000" w:themeColor="text1"/>
          <w:sz w:val="20"/>
        </w:rPr>
        <w:t xml:space="preserve">navzdory jejich vysokému využití a menší příliv evropských fondů po skončení RRF v roce 2026. Svoji roli </w:t>
      </w:r>
      <w:r>
        <w:rPr>
          <w:rFonts w:ascii="Calibri" w:hAnsi="Calibri" w:cs="Calibri"/>
          <w:bCs/>
          <w:color w:val="000000" w:themeColor="text1"/>
          <w:sz w:val="20"/>
        </w:rPr>
        <w:t>sehrává</w:t>
      </w:r>
      <w:r w:rsidRPr="00812FD2">
        <w:rPr>
          <w:rFonts w:ascii="Calibri" w:hAnsi="Calibri" w:cs="Calibri"/>
          <w:bCs/>
          <w:color w:val="000000" w:themeColor="text1"/>
          <w:sz w:val="20"/>
        </w:rPr>
        <w:t xml:space="preserve"> i hypotéza nižší investiční náročnosti ekonomiky tažené sektorem služeb. Na</w:t>
      </w:r>
      <w:r w:rsidR="003C7CA9">
        <w:rPr>
          <w:rFonts w:ascii="Calibri" w:hAnsi="Calibri" w:cs="Calibri"/>
          <w:bCs/>
          <w:color w:val="000000" w:themeColor="text1"/>
          <w:sz w:val="20"/>
        </w:rPr>
        <w:t xml:space="preserve"> straně druhé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 pozitivní impuls k výraznější investiční aktivitě </w:t>
      </w:r>
      <w:r w:rsidRPr="00812FD2">
        <w:rPr>
          <w:rFonts w:ascii="Calibri" w:hAnsi="Calibri" w:cs="Calibri"/>
          <w:bCs/>
          <w:color w:val="000000" w:themeColor="text1"/>
          <w:sz w:val="20"/>
        </w:rPr>
        <w:t>mohou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 přinést </w:t>
      </w:r>
      <w:r w:rsidRPr="00812FD2">
        <w:rPr>
          <w:rFonts w:ascii="Calibri" w:hAnsi="Calibri" w:cs="Calibri"/>
          <w:bCs/>
          <w:color w:val="000000" w:themeColor="text1"/>
          <w:sz w:val="20"/>
        </w:rPr>
        <w:t>silnější investice do energetiky</w:t>
      </w:r>
      <w:r w:rsidR="00B437B7">
        <w:rPr>
          <w:rFonts w:ascii="Calibri" w:hAnsi="Calibri" w:cs="Calibri"/>
          <w:bCs/>
          <w:color w:val="000000" w:themeColor="text1"/>
          <w:sz w:val="20"/>
        </w:rPr>
        <w:t xml:space="preserve"> včetně snížení energetické náročnosti </w:t>
      </w:r>
      <w:r>
        <w:rPr>
          <w:rFonts w:ascii="Calibri" w:hAnsi="Calibri" w:cs="Calibri"/>
          <w:bCs/>
          <w:color w:val="000000" w:themeColor="text1"/>
          <w:sz w:val="20"/>
        </w:rPr>
        <w:t>(zde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B437B7">
        <w:rPr>
          <w:rFonts w:ascii="Calibri" w:hAnsi="Calibri" w:cs="Calibri"/>
          <w:bCs/>
          <w:color w:val="000000" w:themeColor="text1"/>
          <w:sz w:val="20"/>
        </w:rPr>
        <w:t>představuje</w:t>
      </w:r>
      <w:r>
        <w:rPr>
          <w:rFonts w:ascii="Calibri" w:hAnsi="Calibri" w:cs="Calibri"/>
          <w:bCs/>
          <w:color w:val="000000" w:themeColor="text1"/>
          <w:sz w:val="20"/>
        </w:rPr>
        <w:t xml:space="preserve"> odložení ETS2</w:t>
      </w:r>
      <w:r w:rsidR="00B437B7">
        <w:rPr>
          <w:rFonts w:ascii="Calibri" w:hAnsi="Calibri" w:cs="Calibri"/>
          <w:bCs/>
          <w:color w:val="000000" w:themeColor="text1"/>
          <w:sz w:val="20"/>
        </w:rPr>
        <w:t>, a tedy i subvencí z klimatického fondu negativní riziko)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 či </w:t>
      </w:r>
      <w:r w:rsidRPr="00812FD2">
        <w:rPr>
          <w:rFonts w:ascii="Calibri" w:hAnsi="Calibri" w:cs="Calibri"/>
          <w:bCs/>
          <w:color w:val="000000" w:themeColor="text1"/>
          <w:sz w:val="20"/>
        </w:rPr>
        <w:t>odkládaná investiční aktivita z předchozích let, oživení korporátních úvěrů a celkové zrychlení české ekonomiky</w:t>
      </w:r>
      <w:r>
        <w:rPr>
          <w:rFonts w:ascii="Calibri" w:hAnsi="Calibri" w:cs="Calibri"/>
          <w:bCs/>
          <w:color w:val="000000" w:themeColor="text1"/>
          <w:sz w:val="20"/>
        </w:rPr>
        <w:t xml:space="preserve">. </w:t>
      </w:r>
    </w:p>
    <w:p w14:paraId="689A5E2B" w14:textId="4C9EF98A" w:rsidR="00A84C99" w:rsidRDefault="003C7CA9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>
        <w:rPr>
          <w:rFonts w:ascii="Calibri" w:hAnsi="Calibri" w:cs="Calibri"/>
          <w:b/>
          <w:color w:val="000000" w:themeColor="text1"/>
          <w:sz w:val="20"/>
        </w:rPr>
        <w:t>Predikované</w:t>
      </w:r>
      <w:r w:rsidR="007D4EFE" w:rsidRPr="007D4EFE">
        <w:rPr>
          <w:rFonts w:ascii="Calibri" w:hAnsi="Calibri" w:cs="Calibri"/>
          <w:b/>
          <w:color w:val="000000" w:themeColor="text1"/>
          <w:sz w:val="20"/>
        </w:rPr>
        <w:t xml:space="preserve"> z</w:t>
      </w:r>
      <w:r w:rsidR="0011316F" w:rsidRPr="007D4EFE">
        <w:rPr>
          <w:rFonts w:ascii="Calibri" w:hAnsi="Calibri" w:cs="Calibri"/>
          <w:b/>
          <w:color w:val="000000" w:themeColor="text1"/>
          <w:sz w:val="20"/>
        </w:rPr>
        <w:t xml:space="preserve">pomalení </w:t>
      </w:r>
      <w:r w:rsidR="007D4EFE" w:rsidRPr="007D4EFE">
        <w:rPr>
          <w:rFonts w:ascii="Calibri" w:hAnsi="Calibri" w:cs="Calibri"/>
          <w:b/>
          <w:color w:val="000000" w:themeColor="text1"/>
          <w:sz w:val="20"/>
        </w:rPr>
        <w:t xml:space="preserve">české </w:t>
      </w:r>
      <w:r w:rsidR="0011316F" w:rsidRPr="007D4EFE">
        <w:rPr>
          <w:rFonts w:ascii="Calibri" w:hAnsi="Calibri" w:cs="Calibri"/>
          <w:b/>
          <w:color w:val="000000" w:themeColor="text1"/>
          <w:sz w:val="20"/>
        </w:rPr>
        <w:t>ekonomiky v roce 2026</w:t>
      </w:r>
      <w:r w:rsidR="007D4EFE" w:rsidRPr="007D4EFE">
        <w:rPr>
          <w:rFonts w:ascii="Calibri" w:hAnsi="Calibri" w:cs="Calibri"/>
          <w:b/>
          <w:color w:val="000000" w:themeColor="text1"/>
          <w:sz w:val="20"/>
        </w:rPr>
        <w:t xml:space="preserve"> na 2,2 %</w:t>
      </w:r>
      <w:r w:rsidR="00A84C99">
        <w:rPr>
          <w:rFonts w:ascii="Calibri" w:hAnsi="Calibri" w:cs="Calibri"/>
          <w:b/>
          <w:color w:val="000000" w:themeColor="text1"/>
          <w:sz w:val="20"/>
        </w:rPr>
        <w:t xml:space="preserve"> meziročně</w:t>
      </w:r>
      <w:r w:rsidR="0011316F" w:rsidRPr="007D4EFE"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="007D4EFE" w:rsidRPr="007D4EFE">
        <w:rPr>
          <w:rFonts w:ascii="Calibri" w:hAnsi="Calibri" w:cs="Calibri"/>
          <w:b/>
          <w:color w:val="000000" w:themeColor="text1"/>
          <w:sz w:val="20"/>
        </w:rPr>
        <w:t>odráží pravděpodobné dočasné zchlazení</w:t>
      </w:r>
      <w:r w:rsidR="0011316F" w:rsidRPr="007D4EFE">
        <w:rPr>
          <w:rFonts w:ascii="Calibri" w:hAnsi="Calibri" w:cs="Calibri"/>
          <w:b/>
          <w:color w:val="000000" w:themeColor="text1"/>
          <w:sz w:val="20"/>
        </w:rPr>
        <w:t xml:space="preserve"> růstu</w:t>
      </w:r>
      <w:r w:rsidR="007D4EFE" w:rsidRPr="007D4EFE">
        <w:rPr>
          <w:rFonts w:ascii="Calibri" w:hAnsi="Calibri" w:cs="Calibri"/>
          <w:b/>
          <w:color w:val="000000" w:themeColor="text1"/>
          <w:sz w:val="20"/>
        </w:rPr>
        <w:t xml:space="preserve"> hospodářství </w:t>
      </w:r>
      <w:r w:rsidR="0011316F" w:rsidRPr="007D4EFE">
        <w:rPr>
          <w:rFonts w:ascii="Calibri" w:hAnsi="Calibri" w:cs="Calibri"/>
          <w:b/>
          <w:color w:val="000000" w:themeColor="text1"/>
          <w:sz w:val="20"/>
        </w:rPr>
        <w:t>v závěru letošního roku</w:t>
      </w:r>
      <w:r w:rsidR="00DD759F">
        <w:rPr>
          <w:rFonts w:ascii="Calibri" w:hAnsi="Calibri" w:cs="Calibri"/>
          <w:b/>
          <w:color w:val="000000" w:themeColor="text1"/>
          <w:sz w:val="20"/>
        </w:rPr>
        <w:t xml:space="preserve">. </w:t>
      </w:r>
      <w:r w:rsidR="00A84C99" w:rsidRPr="00602FFB">
        <w:rPr>
          <w:rFonts w:ascii="Calibri" w:hAnsi="Calibri" w:cs="Calibri"/>
          <w:bCs/>
          <w:color w:val="000000" w:themeColor="text1"/>
          <w:sz w:val="20"/>
        </w:rPr>
        <w:t>A to na</w:t>
      </w:r>
      <w:r w:rsidR="00A84C99"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="00A84C99">
        <w:rPr>
          <w:rFonts w:ascii="Calibri" w:hAnsi="Calibri" w:cs="Calibri"/>
          <w:bCs/>
          <w:color w:val="000000" w:themeColor="text1"/>
          <w:sz w:val="20"/>
        </w:rPr>
        <w:t>0,4 % mezičtvrtle</w:t>
      </w:r>
      <w:r w:rsidR="003A42C1">
        <w:rPr>
          <w:rFonts w:ascii="Calibri" w:hAnsi="Calibri" w:cs="Calibri"/>
          <w:bCs/>
          <w:color w:val="000000" w:themeColor="text1"/>
          <w:sz w:val="20"/>
        </w:rPr>
        <w:t>t</w:t>
      </w:r>
      <w:r w:rsidR="00A84C99">
        <w:rPr>
          <w:rFonts w:ascii="Calibri" w:hAnsi="Calibri" w:cs="Calibri"/>
          <w:bCs/>
          <w:color w:val="000000" w:themeColor="text1"/>
          <w:sz w:val="20"/>
        </w:rPr>
        <w:t>ně z překvapivě siln</w:t>
      </w:r>
      <w:r w:rsidR="00B437B7">
        <w:rPr>
          <w:rFonts w:ascii="Calibri" w:hAnsi="Calibri" w:cs="Calibri"/>
          <w:bCs/>
          <w:color w:val="000000" w:themeColor="text1"/>
          <w:sz w:val="20"/>
        </w:rPr>
        <w:t>ého</w:t>
      </w:r>
      <w:r w:rsidR="00A84C99">
        <w:rPr>
          <w:rFonts w:ascii="Calibri" w:hAnsi="Calibri" w:cs="Calibri"/>
          <w:bCs/>
          <w:color w:val="000000" w:themeColor="text1"/>
          <w:sz w:val="20"/>
        </w:rPr>
        <w:t xml:space="preserve"> 0,7% zlepšen</w:t>
      </w:r>
      <w:r w:rsidR="00B437B7">
        <w:rPr>
          <w:rFonts w:ascii="Calibri" w:hAnsi="Calibri" w:cs="Calibri"/>
          <w:bCs/>
          <w:color w:val="000000" w:themeColor="text1"/>
          <w:sz w:val="20"/>
        </w:rPr>
        <w:t>í</w:t>
      </w:r>
      <w:r w:rsidR="00A84C99">
        <w:rPr>
          <w:rFonts w:ascii="Calibri" w:hAnsi="Calibri" w:cs="Calibri"/>
          <w:bCs/>
          <w:color w:val="000000" w:themeColor="text1"/>
          <w:sz w:val="20"/>
        </w:rPr>
        <w:t xml:space="preserve"> ve </w:t>
      </w:r>
      <w:r w:rsidR="00B437B7">
        <w:rPr>
          <w:rFonts w:ascii="Calibri" w:hAnsi="Calibri" w:cs="Calibri"/>
          <w:bCs/>
          <w:color w:val="000000" w:themeColor="text1"/>
          <w:sz w:val="20"/>
        </w:rPr>
        <w:t>třetím</w:t>
      </w:r>
      <w:r w:rsidR="00A84C99">
        <w:rPr>
          <w:rFonts w:ascii="Calibri" w:hAnsi="Calibri" w:cs="Calibri"/>
          <w:bCs/>
          <w:color w:val="000000" w:themeColor="text1"/>
          <w:sz w:val="20"/>
        </w:rPr>
        <w:t xml:space="preserve"> čtvrtletí</w:t>
      </w:r>
      <w:r w:rsidR="00A1698B">
        <w:rPr>
          <w:rFonts w:ascii="Calibri" w:hAnsi="Calibri" w:cs="Calibri"/>
          <w:bCs/>
          <w:color w:val="000000" w:themeColor="text1"/>
          <w:sz w:val="20"/>
        </w:rPr>
        <w:t xml:space="preserve">, které </w:t>
      </w:r>
      <w:r w:rsidR="0011316F">
        <w:rPr>
          <w:rFonts w:ascii="Calibri" w:hAnsi="Calibri" w:cs="Calibri"/>
          <w:bCs/>
          <w:color w:val="000000" w:themeColor="text1"/>
          <w:sz w:val="20"/>
        </w:rPr>
        <w:t xml:space="preserve">nemalé </w:t>
      </w:r>
      <w:r w:rsidR="00A84C99">
        <w:rPr>
          <w:rFonts w:ascii="Calibri" w:hAnsi="Calibri" w:cs="Calibri"/>
          <w:bCs/>
          <w:color w:val="000000" w:themeColor="text1"/>
          <w:sz w:val="20"/>
        </w:rPr>
        <w:t>části konsensu</w:t>
      </w:r>
      <w:r w:rsidR="0011316F">
        <w:rPr>
          <w:rFonts w:ascii="Calibri" w:hAnsi="Calibri" w:cs="Calibri"/>
          <w:bCs/>
          <w:color w:val="000000" w:themeColor="text1"/>
          <w:sz w:val="20"/>
        </w:rPr>
        <w:t xml:space="preserve"> připadá neadekvátní </w:t>
      </w:r>
      <w:r w:rsidR="00B437B7">
        <w:rPr>
          <w:rFonts w:ascii="Calibri" w:hAnsi="Calibri" w:cs="Calibri"/>
          <w:bCs/>
          <w:color w:val="000000" w:themeColor="text1"/>
          <w:sz w:val="20"/>
        </w:rPr>
        <w:t xml:space="preserve">vůči </w:t>
      </w:r>
      <w:r w:rsidR="0011316F">
        <w:rPr>
          <w:rFonts w:ascii="Calibri" w:hAnsi="Calibri" w:cs="Calibri"/>
          <w:bCs/>
          <w:color w:val="000000" w:themeColor="text1"/>
          <w:sz w:val="20"/>
        </w:rPr>
        <w:t xml:space="preserve">měsíčním </w:t>
      </w:r>
      <w:r w:rsidR="00A84C99">
        <w:rPr>
          <w:rFonts w:ascii="Calibri" w:hAnsi="Calibri" w:cs="Calibri"/>
          <w:bCs/>
          <w:color w:val="000000" w:themeColor="text1"/>
          <w:sz w:val="20"/>
        </w:rPr>
        <w:t>údajům</w:t>
      </w:r>
      <w:r w:rsidR="0011316F">
        <w:rPr>
          <w:rFonts w:ascii="Calibri" w:hAnsi="Calibri" w:cs="Calibri"/>
          <w:bCs/>
          <w:color w:val="000000" w:themeColor="text1"/>
          <w:sz w:val="20"/>
        </w:rPr>
        <w:t xml:space="preserve"> z ekonomiky. </w:t>
      </w:r>
      <w:r w:rsidR="00033B04">
        <w:rPr>
          <w:rFonts w:ascii="Calibri" w:hAnsi="Calibri" w:cs="Calibri"/>
          <w:bCs/>
          <w:color w:val="000000" w:themeColor="text1"/>
          <w:sz w:val="20"/>
        </w:rPr>
        <w:t>Zároveň s</w:t>
      </w:r>
      <w:r w:rsidR="00A1698B">
        <w:rPr>
          <w:rFonts w:ascii="Calibri" w:hAnsi="Calibri" w:cs="Calibri"/>
          <w:bCs/>
          <w:color w:val="000000" w:themeColor="text1"/>
          <w:sz w:val="20"/>
        </w:rPr>
        <w:t>e do slabšího výkonu v závěru letošního roku p</w:t>
      </w:r>
      <w:r w:rsidR="00033B04">
        <w:rPr>
          <w:rFonts w:ascii="Calibri" w:hAnsi="Calibri" w:cs="Calibri"/>
          <w:bCs/>
          <w:color w:val="000000" w:themeColor="text1"/>
          <w:sz w:val="20"/>
        </w:rPr>
        <w:t xml:space="preserve">romítá </w:t>
      </w:r>
      <w:r w:rsidR="00016072">
        <w:rPr>
          <w:rFonts w:ascii="Calibri" w:hAnsi="Calibri" w:cs="Calibri"/>
          <w:bCs/>
          <w:color w:val="000000" w:themeColor="text1"/>
          <w:sz w:val="20"/>
        </w:rPr>
        <w:t>očekávané</w:t>
      </w:r>
      <w:r w:rsidR="00033B04">
        <w:rPr>
          <w:rFonts w:ascii="Calibri" w:hAnsi="Calibri" w:cs="Calibri"/>
          <w:bCs/>
          <w:color w:val="000000" w:themeColor="text1"/>
          <w:sz w:val="20"/>
        </w:rPr>
        <w:t xml:space="preserve"> zpomalení ekonomické aktivity z důvodu předchozího „předzásobení“ exportů </w:t>
      </w:r>
      <w:r w:rsidR="00B437B7">
        <w:rPr>
          <w:rFonts w:ascii="Calibri" w:hAnsi="Calibri" w:cs="Calibri"/>
          <w:bCs/>
          <w:color w:val="000000" w:themeColor="text1"/>
          <w:sz w:val="20"/>
        </w:rPr>
        <w:t xml:space="preserve">v reakci na předchozí hrozbu vyšších amerických cel. </w:t>
      </w:r>
      <w:r w:rsidR="00A84C99"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633F1670" w14:textId="52F8D4FF" w:rsidR="00B437B7" w:rsidRDefault="00A1698B" w:rsidP="00A1698B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3503ED">
        <w:rPr>
          <w:b/>
          <w:bCs/>
          <w:noProof/>
          <w:color w:val="FF0000"/>
          <w:sz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E9B9E01" wp14:editId="0FBA4B28">
                <wp:simplePos x="0" y="0"/>
                <wp:positionH relativeFrom="margin">
                  <wp:posOffset>2540</wp:posOffset>
                </wp:positionH>
                <wp:positionV relativeFrom="paragraph">
                  <wp:posOffset>1494155</wp:posOffset>
                </wp:positionV>
                <wp:extent cx="6461760" cy="551815"/>
                <wp:effectExtent l="0" t="0" r="15240" b="19685"/>
                <wp:wrapSquare wrapText="bothSides"/>
                <wp:docPr id="3385519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47594" w14:textId="6BA53A92" w:rsidR="00603693" w:rsidRDefault="00603693" w:rsidP="0060369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Petr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Gapko</w:t>
                            </w:r>
                            <w:proofErr w:type="spellEnd"/>
                            <w:r w:rsidRPr="00222AA1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hlavní ekonom Moneta bank:  </w:t>
                            </w:r>
                          </w:p>
                          <w:p w14:paraId="74AF944A" w14:textId="25AA44E4" w:rsidR="00603693" w:rsidRPr="0035275E" w:rsidRDefault="00603693" w:rsidP="0060369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A1698B" w:rsidRPr="00A1698B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V letošním roce v roli ekonomického tahouna dominuje spotřeba domácností, podpořena rychlejším růstem reálné mzdy. V příštích letech se k domácnostem v podpoře tuzemského hospodářství přidá i výrobní sektor prostřednictvím investic.“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B9E01" id="_x0000_s1027" type="#_x0000_t202" style="position:absolute;left:0;text-align:left;margin-left:.2pt;margin-top:117.65pt;width:508.8pt;height:43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">
                <v:textbox>
                  <w:txbxContent>
                    <w:p w14:paraId="5FD47594" w14:textId="6BA53A92" w:rsidR="00603693" w:rsidRDefault="00603693" w:rsidP="0060369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Petr Gapko</w:t>
                      </w:r>
                      <w:r w:rsidRPr="00222AA1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,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hlavní ekonom Moneta bank:  </w:t>
                      </w:r>
                    </w:p>
                    <w:p w14:paraId="74AF944A" w14:textId="25AA44E4" w:rsidR="00603693" w:rsidRPr="0035275E" w:rsidRDefault="00603693" w:rsidP="00603693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A1698B" w:rsidRPr="00A1698B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V letošním roce v roli ekonomického tahouna dominuje spotřeba domácností, podpořena rychlejším růstem reálné mzdy. V příštích letech se k domácnostem v podpoře tuzemského hospodářství přidá i výrobní sektor prostřednictvím investic.“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4C99">
        <w:rPr>
          <w:rFonts w:ascii="Calibri" w:hAnsi="Calibri" w:cs="Calibri"/>
          <w:b/>
          <w:color w:val="000000" w:themeColor="text1"/>
          <w:sz w:val="20"/>
        </w:rPr>
        <w:t>HDP</w:t>
      </w:r>
      <w:r w:rsidR="003C7CA9">
        <w:rPr>
          <w:rFonts w:ascii="Calibri" w:hAnsi="Calibri" w:cs="Calibri"/>
          <w:b/>
          <w:color w:val="000000" w:themeColor="text1"/>
          <w:sz w:val="20"/>
        </w:rPr>
        <w:t xml:space="preserve"> tak</w:t>
      </w:r>
      <w:r w:rsidR="00A84C99">
        <w:rPr>
          <w:rFonts w:ascii="Calibri" w:hAnsi="Calibri" w:cs="Calibri"/>
          <w:b/>
          <w:color w:val="000000" w:themeColor="text1"/>
          <w:sz w:val="20"/>
        </w:rPr>
        <w:t xml:space="preserve"> během příštího </w:t>
      </w:r>
      <w:r w:rsidR="00B437B7">
        <w:rPr>
          <w:rFonts w:ascii="Calibri" w:hAnsi="Calibri" w:cs="Calibri"/>
          <w:b/>
          <w:color w:val="000000" w:themeColor="text1"/>
          <w:sz w:val="20"/>
        </w:rPr>
        <w:t xml:space="preserve">roku </w:t>
      </w:r>
      <w:r w:rsidR="00A84C99">
        <w:rPr>
          <w:rFonts w:ascii="Calibri" w:hAnsi="Calibri" w:cs="Calibri"/>
          <w:b/>
          <w:color w:val="000000" w:themeColor="text1"/>
          <w:sz w:val="20"/>
        </w:rPr>
        <w:t>ve skutečnost</w:t>
      </w:r>
      <w:r w:rsidR="00B437B7">
        <w:rPr>
          <w:rFonts w:ascii="Calibri" w:hAnsi="Calibri" w:cs="Calibri"/>
          <w:b/>
          <w:color w:val="000000" w:themeColor="text1"/>
          <w:sz w:val="20"/>
        </w:rPr>
        <w:t xml:space="preserve">i </w:t>
      </w:r>
      <w:r w:rsidR="00A84C99">
        <w:rPr>
          <w:rFonts w:ascii="Calibri" w:hAnsi="Calibri" w:cs="Calibri"/>
          <w:b/>
          <w:color w:val="000000" w:themeColor="text1"/>
          <w:sz w:val="20"/>
        </w:rPr>
        <w:t xml:space="preserve">vzroste o 2,5 % a rok 2027 přinese </w:t>
      </w:r>
      <w:r w:rsidR="00603693">
        <w:rPr>
          <w:rFonts w:ascii="Calibri" w:hAnsi="Calibri" w:cs="Calibri"/>
          <w:b/>
          <w:color w:val="000000" w:themeColor="text1"/>
          <w:sz w:val="20"/>
        </w:rPr>
        <w:t xml:space="preserve">ještě </w:t>
      </w:r>
      <w:r w:rsidR="00A84C99">
        <w:rPr>
          <w:rFonts w:ascii="Calibri" w:hAnsi="Calibri" w:cs="Calibri"/>
          <w:b/>
          <w:color w:val="000000" w:themeColor="text1"/>
          <w:sz w:val="20"/>
        </w:rPr>
        <w:t xml:space="preserve">mírně lepší výsledek 2,6 %. 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>Do zlepšeného výhledu se promítlo pozitivní překvapení ze silnějšího růstu průměrné mzdy ve druhém čtvrtletí, které výrazně ovlivnilo i její výhled do dalších let. Při malé změně cenové dynamiky počítáme se silnějším růstem reálné mzdy: o 3,3 % v</w:t>
      </w:r>
      <w:r w:rsidR="003C7CA9">
        <w:rPr>
          <w:rFonts w:ascii="Calibri" w:hAnsi="Calibri" w:cs="Calibri"/>
          <w:bCs/>
          <w:color w:val="000000" w:themeColor="text1"/>
          <w:sz w:val="20"/>
        </w:rPr>
        <w:t> 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>příštím roce po letošním zlepšení o 4,6 % (kumulativn</w:t>
      </w:r>
      <w:r w:rsidR="00B437B7">
        <w:rPr>
          <w:rFonts w:ascii="Calibri" w:hAnsi="Calibri" w:cs="Calibri"/>
          <w:bCs/>
          <w:color w:val="000000" w:themeColor="text1"/>
          <w:sz w:val="20"/>
        </w:rPr>
        <w:t xml:space="preserve">í zlepšení dosáhlo v těchto letech 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 xml:space="preserve">1,7 p. b.). Silnější kupní síla se odráží v robustnějším výhledu spotřeby domácností, která může navíc těžit ze stále vysoké míry úspor. Vnímáme i 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pozitivní 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>riziko rychlejšího růstu spotřeby, zejména pokud dojde k fiskálnímu uvolnění</w:t>
      </w:r>
      <w:r w:rsidR="007D23A6">
        <w:rPr>
          <w:rFonts w:ascii="Calibri" w:hAnsi="Calibri" w:cs="Calibri"/>
          <w:bCs/>
          <w:color w:val="000000" w:themeColor="text1"/>
          <w:sz w:val="20"/>
        </w:rPr>
        <w:t xml:space="preserve"> skrze štědřejší valorizaci penzí a zvýšení mezd ve vládním sektoru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>. Na druhou stranu vyšší nezaměstnanost (registrovaná v říjnu 4,7 %, výběrová 2,8 % ve třetím čtvrtletí) a dopad končících fixací nízko úročených hypoték mohou výdaje některých domácností tlumit – byť efekt refin</w:t>
      </w:r>
      <w:r w:rsidR="00375EA8">
        <w:rPr>
          <w:rFonts w:ascii="Calibri" w:hAnsi="Calibri" w:cs="Calibri"/>
          <w:bCs/>
          <w:color w:val="000000" w:themeColor="text1"/>
          <w:sz w:val="20"/>
        </w:rPr>
        <w:t>an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>cování z vyšších sazeb by měl v</w:t>
      </w:r>
      <w:r w:rsidR="003C7CA9">
        <w:rPr>
          <w:rFonts w:ascii="Calibri" w:hAnsi="Calibri" w:cs="Calibri"/>
          <w:bCs/>
          <w:color w:val="000000" w:themeColor="text1"/>
          <w:sz w:val="20"/>
        </w:rPr>
        <w:t> 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 xml:space="preserve">následujících dvou letech </w:t>
      </w:r>
      <w:r w:rsidR="007D23A6">
        <w:rPr>
          <w:rFonts w:ascii="Calibri" w:hAnsi="Calibri" w:cs="Calibri"/>
          <w:bCs/>
          <w:color w:val="000000" w:themeColor="text1"/>
          <w:sz w:val="20"/>
        </w:rPr>
        <w:t xml:space="preserve">tento faktor </w:t>
      </w:r>
      <w:r w:rsidR="00FE4E21">
        <w:rPr>
          <w:rFonts w:ascii="Calibri" w:hAnsi="Calibri" w:cs="Calibri"/>
          <w:bCs/>
          <w:color w:val="000000" w:themeColor="text1"/>
          <w:sz w:val="20"/>
        </w:rPr>
        <w:t>neutralizovat</w:t>
      </w:r>
      <w:r w:rsidR="00B437B7" w:rsidRPr="00B437B7">
        <w:rPr>
          <w:rFonts w:ascii="Calibri" w:hAnsi="Calibri" w:cs="Calibri"/>
          <w:bCs/>
          <w:color w:val="000000" w:themeColor="text1"/>
          <w:sz w:val="20"/>
        </w:rPr>
        <w:t>.</w:t>
      </w:r>
    </w:p>
    <w:p w14:paraId="37670778" w14:textId="0EE9626E" w:rsidR="00A1698B" w:rsidRDefault="007B70F3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>
        <w:rPr>
          <w:rFonts w:ascii="Calibri" w:eastAsia="Calibri" w:hAnsi="Calibri" w:cs="Calibri"/>
          <w:b/>
          <w:color w:val="13576B"/>
          <w:sz w:val="22"/>
          <w:szCs w:val="28"/>
        </w:rPr>
        <w:t>Výhled na mírnější i</w:t>
      </w:r>
      <w:r w:rsidR="00B437B7" w:rsidRPr="007B70F3">
        <w:rPr>
          <w:rFonts w:ascii="Calibri" w:eastAsia="Calibri" w:hAnsi="Calibri" w:cs="Calibri"/>
          <w:b/>
          <w:color w:val="13576B"/>
          <w:sz w:val="22"/>
          <w:szCs w:val="28"/>
        </w:rPr>
        <w:t>nflac</w:t>
      </w:r>
      <w:r w:rsidR="00E643FA">
        <w:rPr>
          <w:rFonts w:ascii="Calibri" w:eastAsia="Calibri" w:hAnsi="Calibri" w:cs="Calibri"/>
          <w:b/>
          <w:color w:val="13576B"/>
          <w:sz w:val="22"/>
          <w:szCs w:val="28"/>
        </w:rPr>
        <w:t>i</w:t>
      </w:r>
      <w:r>
        <w:rPr>
          <w:rFonts w:ascii="Calibri" w:eastAsia="Calibri" w:hAnsi="Calibri" w:cs="Calibri"/>
          <w:b/>
          <w:color w:val="13576B"/>
          <w:sz w:val="22"/>
          <w:szCs w:val="28"/>
        </w:rPr>
        <w:t xml:space="preserve"> také díky </w:t>
      </w:r>
      <w:r w:rsidR="00B437B7" w:rsidRPr="007B70F3">
        <w:rPr>
          <w:rFonts w:ascii="Calibri" w:eastAsia="Calibri" w:hAnsi="Calibri" w:cs="Calibri"/>
          <w:b/>
          <w:color w:val="13576B"/>
          <w:sz w:val="22"/>
          <w:szCs w:val="28"/>
        </w:rPr>
        <w:t>měnov</w:t>
      </w:r>
      <w:r>
        <w:rPr>
          <w:rFonts w:ascii="Calibri" w:eastAsia="Calibri" w:hAnsi="Calibri" w:cs="Calibri"/>
          <w:b/>
          <w:color w:val="13576B"/>
          <w:sz w:val="22"/>
          <w:szCs w:val="28"/>
        </w:rPr>
        <w:t>é</w:t>
      </w:r>
      <w:r w:rsidR="00B437B7" w:rsidRPr="007B70F3">
        <w:rPr>
          <w:rFonts w:ascii="Calibri" w:eastAsia="Calibri" w:hAnsi="Calibri" w:cs="Calibri"/>
          <w:b/>
          <w:color w:val="13576B"/>
          <w:sz w:val="22"/>
          <w:szCs w:val="28"/>
        </w:rPr>
        <w:t xml:space="preserve"> politi</w:t>
      </w:r>
      <w:r>
        <w:rPr>
          <w:rFonts w:ascii="Calibri" w:eastAsia="Calibri" w:hAnsi="Calibri" w:cs="Calibri"/>
          <w:b/>
          <w:color w:val="13576B"/>
          <w:sz w:val="22"/>
          <w:szCs w:val="28"/>
        </w:rPr>
        <w:t>ce</w:t>
      </w:r>
      <w:r w:rsidR="00B437B7" w:rsidRPr="007B70F3">
        <w:rPr>
          <w:rFonts w:ascii="Calibri" w:eastAsia="Calibri" w:hAnsi="Calibri" w:cs="Calibri"/>
          <w:b/>
          <w:color w:val="13576B"/>
          <w:sz w:val="22"/>
          <w:szCs w:val="28"/>
        </w:rPr>
        <w:t xml:space="preserve"> a </w:t>
      </w:r>
      <w:r>
        <w:rPr>
          <w:rFonts w:ascii="Calibri" w:eastAsia="Calibri" w:hAnsi="Calibri" w:cs="Calibri"/>
          <w:b/>
          <w:color w:val="13576B"/>
          <w:sz w:val="22"/>
          <w:szCs w:val="28"/>
        </w:rPr>
        <w:t>kurzu koruny</w:t>
      </w:r>
    </w:p>
    <w:p w14:paraId="16596539" w14:textId="2A71C7DD" w:rsidR="00B437B7" w:rsidRPr="00A1698B" w:rsidRDefault="00B437B7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FE4E21">
        <w:rPr>
          <w:rFonts w:ascii="Calibri" w:hAnsi="Calibri" w:cs="Calibri"/>
          <w:b/>
          <w:color w:val="000000" w:themeColor="text1"/>
          <w:sz w:val="20"/>
        </w:rPr>
        <w:t>Kombinace silnějšího růstu ekonomiky a mezd spolu s pravděpodobně uvolněnější fiskální politikou se v inflačním výhledu odráží jen částečně</w:t>
      </w:r>
      <w:r w:rsidR="003C7CA9">
        <w:rPr>
          <w:rFonts w:ascii="Calibri" w:hAnsi="Calibri" w:cs="Calibri"/>
          <w:b/>
          <w:color w:val="000000" w:themeColor="text1"/>
          <w:sz w:val="20"/>
        </w:rPr>
        <w:t xml:space="preserve">. 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Silnější dynamika mezd se promítá do mírně vyššího výhledu jádrové inflace na 2,5 % v příštím roce, 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kde to částečně </w:t>
      </w:r>
      <w:r w:rsidRPr="00B437B7">
        <w:rPr>
          <w:rFonts w:ascii="Calibri" w:hAnsi="Calibri" w:cs="Calibri"/>
          <w:bCs/>
          <w:color w:val="000000" w:themeColor="text1"/>
          <w:sz w:val="20"/>
        </w:rPr>
        <w:t>kompenz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uje </w:t>
      </w:r>
      <w:r w:rsidRPr="00B437B7">
        <w:rPr>
          <w:rFonts w:ascii="Calibri" w:hAnsi="Calibri" w:cs="Calibri"/>
          <w:bCs/>
          <w:color w:val="000000" w:themeColor="text1"/>
          <w:sz w:val="20"/>
        </w:rPr>
        <w:t>silnější korun</w:t>
      </w:r>
      <w:r w:rsidR="00FE4E21">
        <w:rPr>
          <w:rFonts w:ascii="Calibri" w:hAnsi="Calibri" w:cs="Calibri"/>
          <w:bCs/>
          <w:color w:val="000000" w:themeColor="text1"/>
          <w:sz w:val="20"/>
        </w:rPr>
        <w:t>a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 a</w:t>
      </w:r>
      <w:r w:rsidR="00FE4E21">
        <w:rPr>
          <w:rFonts w:ascii="Calibri" w:hAnsi="Calibri" w:cs="Calibri"/>
          <w:bCs/>
          <w:color w:val="000000" w:themeColor="text1"/>
          <w:sz w:val="20"/>
        </w:rPr>
        <w:t xml:space="preserve"> očekávaná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FE4E21" w:rsidRPr="00FE4E21">
        <w:rPr>
          <w:rFonts w:ascii="Calibri" w:hAnsi="Calibri" w:cs="Calibri"/>
          <w:bCs/>
          <w:color w:val="000000" w:themeColor="text1"/>
          <w:sz w:val="20"/>
        </w:rPr>
        <w:t>neměnn</w:t>
      </w:r>
      <w:r w:rsidR="00FE4E21">
        <w:rPr>
          <w:rFonts w:ascii="Calibri" w:hAnsi="Calibri" w:cs="Calibri"/>
          <w:bCs/>
          <w:color w:val="000000" w:themeColor="text1"/>
          <w:sz w:val="20"/>
        </w:rPr>
        <w:t>á</w:t>
      </w:r>
      <w:r w:rsidR="00FE4E21" w:rsidRPr="00FE4E21">
        <w:rPr>
          <w:rFonts w:ascii="Calibri" w:hAnsi="Calibri" w:cs="Calibri"/>
          <w:bCs/>
          <w:color w:val="000000" w:themeColor="text1"/>
          <w:sz w:val="20"/>
        </w:rPr>
        <w:t xml:space="preserve"> úrokov</w:t>
      </w:r>
      <w:r w:rsidR="00FE4E21">
        <w:rPr>
          <w:rFonts w:ascii="Calibri" w:hAnsi="Calibri" w:cs="Calibri"/>
          <w:bCs/>
          <w:color w:val="000000" w:themeColor="text1"/>
          <w:sz w:val="20"/>
        </w:rPr>
        <w:t>á</w:t>
      </w:r>
      <w:r w:rsidR="00FE4E21" w:rsidRPr="00FE4E21">
        <w:rPr>
          <w:rFonts w:ascii="Calibri" w:hAnsi="Calibri" w:cs="Calibri"/>
          <w:bCs/>
          <w:color w:val="000000" w:themeColor="text1"/>
          <w:sz w:val="20"/>
        </w:rPr>
        <w:t xml:space="preserve"> sazb</w:t>
      </w:r>
      <w:r w:rsidR="00FE4E21">
        <w:rPr>
          <w:rFonts w:ascii="Calibri" w:hAnsi="Calibri" w:cs="Calibri"/>
          <w:bCs/>
          <w:color w:val="000000" w:themeColor="text1"/>
          <w:sz w:val="20"/>
        </w:rPr>
        <w:t>a</w:t>
      </w:r>
      <w:r w:rsidR="00FE4E21" w:rsidRPr="00FE4E21">
        <w:rPr>
          <w:rFonts w:ascii="Calibri" w:hAnsi="Calibri" w:cs="Calibri"/>
          <w:bCs/>
          <w:color w:val="000000" w:themeColor="text1"/>
          <w:sz w:val="20"/>
        </w:rPr>
        <w:t xml:space="preserve"> centrální banky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. </w:t>
      </w:r>
      <w:r w:rsidR="009B6FB7">
        <w:rPr>
          <w:rFonts w:ascii="Calibri" w:hAnsi="Calibri" w:cs="Calibri"/>
          <w:bCs/>
          <w:color w:val="000000" w:themeColor="text1"/>
          <w:sz w:val="20"/>
        </w:rPr>
        <w:t>Celková spotřebitelská inflace by ovšem měla v příštím roce zpomalit na nezměněných 2,2 % meziročně z letošních 2,5 % a v roce 2027 čekáme její mírnou akceleraci na 2,3 %. Očekávaná desinflace v příštím roce by měla odrážet slabší tlaky z cen energií (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>načasování plánovaný</w:t>
      </w:r>
      <w:r w:rsidR="009B6FB7">
        <w:rPr>
          <w:rFonts w:ascii="Calibri" w:hAnsi="Calibri" w:cs="Calibri"/>
          <w:bCs/>
          <w:color w:val="000000" w:themeColor="text1"/>
          <w:sz w:val="20"/>
        </w:rPr>
        <w:t>ch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lastRenderedPageBreak/>
        <w:t>kroků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 nastávající 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>vlády je však nejisté</w:t>
      </w:r>
      <w:r w:rsidR="009B6FB7">
        <w:rPr>
          <w:rFonts w:ascii="Calibri" w:hAnsi="Calibri" w:cs="Calibri"/>
          <w:bCs/>
          <w:color w:val="000000" w:themeColor="text1"/>
          <w:sz w:val="20"/>
        </w:rPr>
        <w:t>).</w:t>
      </w:r>
      <w:r w:rsidR="009B6FB7" w:rsidRPr="009B6FB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Ty ovšem posílí disponibilní důchod domácností, </w:t>
      </w:r>
      <w:r w:rsidRPr="00B437B7">
        <w:rPr>
          <w:rFonts w:ascii="Calibri" w:hAnsi="Calibri" w:cs="Calibri"/>
          <w:bCs/>
          <w:color w:val="000000" w:themeColor="text1"/>
          <w:sz w:val="20"/>
        </w:rPr>
        <w:t>jejichž spotřeba pak může působit proinflačně v ostatních segmentech,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 což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 společně s případným dalším fiskálním uvolněním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 představuje riziko silnějšího růstu jádrové inflace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. </w:t>
      </w:r>
      <w:r w:rsidR="009B6FB7">
        <w:rPr>
          <w:rFonts w:ascii="Calibri" w:hAnsi="Calibri" w:cs="Calibri"/>
          <w:bCs/>
          <w:color w:val="000000" w:themeColor="text1"/>
          <w:sz w:val="20"/>
        </w:rPr>
        <w:t>Co se týče cen bydlení a nemovitostí, pak p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okud se podaří nastartovat reformy na nabídkové straně, mohou pomoci 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i tlumit </w:t>
      </w:r>
      <w:r w:rsidRPr="00B437B7">
        <w:rPr>
          <w:rFonts w:ascii="Calibri" w:hAnsi="Calibri" w:cs="Calibri"/>
          <w:bCs/>
          <w:color w:val="000000" w:themeColor="text1"/>
          <w:sz w:val="20"/>
        </w:rPr>
        <w:t>snižovat poptávkové tlaky</w:t>
      </w:r>
      <w:r w:rsidR="009B6FB7">
        <w:rPr>
          <w:rFonts w:ascii="Calibri" w:hAnsi="Calibri" w:cs="Calibri"/>
          <w:bCs/>
          <w:color w:val="000000" w:themeColor="text1"/>
          <w:sz w:val="20"/>
        </w:rPr>
        <w:t>. Například u investiční poptávk</w:t>
      </w:r>
      <w:r w:rsidRPr="00B437B7">
        <w:rPr>
          <w:rFonts w:ascii="Calibri" w:hAnsi="Calibri" w:cs="Calibri"/>
          <w:bCs/>
          <w:color w:val="000000" w:themeColor="text1"/>
          <w:sz w:val="20"/>
        </w:rPr>
        <w:t>y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, kde se i zrcadlí faktor budoucího nedostatku. Ovšem </w:t>
      </w:r>
      <w:r w:rsidRPr="00B437B7">
        <w:rPr>
          <w:rFonts w:ascii="Calibri" w:hAnsi="Calibri" w:cs="Calibri"/>
          <w:bCs/>
          <w:color w:val="000000" w:themeColor="text1"/>
          <w:sz w:val="20"/>
        </w:rPr>
        <w:t xml:space="preserve">nedostatek pracovní síly a materiálu bude ve stavebnictví nadále limitovat </w:t>
      </w:r>
      <w:r w:rsidR="009B6FB7">
        <w:rPr>
          <w:rFonts w:ascii="Calibri" w:hAnsi="Calibri" w:cs="Calibri"/>
          <w:bCs/>
          <w:color w:val="000000" w:themeColor="text1"/>
          <w:sz w:val="20"/>
        </w:rPr>
        <w:t>příznivý dopad na ceny.</w:t>
      </w:r>
    </w:p>
    <w:p w14:paraId="45AD4FC1" w14:textId="6A0D4213" w:rsidR="003C7CA9" w:rsidRDefault="003C7CA9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>
        <w:rPr>
          <w:rFonts w:ascii="Calibri" w:hAnsi="Calibri" w:cs="Calibri"/>
          <w:b/>
          <w:color w:val="000000" w:themeColor="text1"/>
          <w:sz w:val="20"/>
        </w:rPr>
        <w:t xml:space="preserve">Mírnější růst spotřebitelských cen bude rovněž odrážet </w:t>
      </w:r>
      <w:r w:rsidR="003A42C1" w:rsidRPr="00602FFB">
        <w:rPr>
          <w:rFonts w:ascii="Calibri" w:hAnsi="Calibri" w:cs="Calibri"/>
          <w:b/>
          <w:color w:val="000000" w:themeColor="text1"/>
          <w:sz w:val="20"/>
        </w:rPr>
        <w:t>více restriktivní měnov</w:t>
      </w:r>
      <w:r>
        <w:rPr>
          <w:rFonts w:ascii="Calibri" w:hAnsi="Calibri" w:cs="Calibri"/>
          <w:b/>
          <w:color w:val="000000" w:themeColor="text1"/>
          <w:sz w:val="20"/>
        </w:rPr>
        <w:t>ou</w:t>
      </w:r>
      <w:r w:rsidR="003A42C1" w:rsidRPr="00602FFB">
        <w:rPr>
          <w:rFonts w:ascii="Calibri" w:hAnsi="Calibri" w:cs="Calibri"/>
          <w:b/>
          <w:color w:val="000000" w:themeColor="text1"/>
          <w:sz w:val="20"/>
        </w:rPr>
        <w:t xml:space="preserve"> politi</w:t>
      </w:r>
      <w:r>
        <w:rPr>
          <w:rFonts w:ascii="Calibri" w:hAnsi="Calibri" w:cs="Calibri"/>
          <w:b/>
          <w:color w:val="000000" w:themeColor="text1"/>
          <w:sz w:val="20"/>
        </w:rPr>
        <w:t>ku</w:t>
      </w:r>
      <w:r w:rsidR="003A42C1" w:rsidRPr="00602FFB">
        <w:rPr>
          <w:rFonts w:ascii="Calibri" w:hAnsi="Calibri" w:cs="Calibri"/>
          <w:b/>
          <w:color w:val="000000" w:themeColor="text1"/>
          <w:sz w:val="20"/>
        </w:rPr>
        <w:t xml:space="preserve"> ČNB</w:t>
      </w:r>
      <w:r w:rsidR="009B6FB7">
        <w:rPr>
          <w:rFonts w:ascii="Calibri" w:hAnsi="Calibri" w:cs="Calibri"/>
          <w:b/>
          <w:color w:val="000000" w:themeColor="text1"/>
          <w:sz w:val="20"/>
        </w:rPr>
        <w:t xml:space="preserve"> </w:t>
      </w:r>
      <w:r>
        <w:rPr>
          <w:rFonts w:ascii="Calibri" w:hAnsi="Calibri" w:cs="Calibri"/>
          <w:b/>
          <w:color w:val="000000" w:themeColor="text1"/>
          <w:sz w:val="20"/>
        </w:rPr>
        <w:t xml:space="preserve">se </w:t>
      </w:r>
      <w:r w:rsidR="003A42C1" w:rsidRPr="00602FFB">
        <w:rPr>
          <w:rFonts w:ascii="Calibri" w:hAnsi="Calibri" w:cs="Calibri"/>
          <w:b/>
          <w:color w:val="000000" w:themeColor="text1"/>
          <w:sz w:val="20"/>
        </w:rPr>
        <w:t>stabilní úrokovou sazb</w:t>
      </w:r>
      <w:r>
        <w:rPr>
          <w:rFonts w:ascii="Calibri" w:hAnsi="Calibri" w:cs="Calibri"/>
          <w:b/>
          <w:color w:val="000000" w:themeColor="text1"/>
          <w:sz w:val="20"/>
        </w:rPr>
        <w:t>ou v příštích dvou letech</w:t>
      </w:r>
      <w:r w:rsidR="009B6FB7">
        <w:rPr>
          <w:rFonts w:ascii="Calibri" w:hAnsi="Calibri" w:cs="Calibri"/>
          <w:b/>
          <w:color w:val="000000" w:themeColor="text1"/>
          <w:sz w:val="20"/>
        </w:rPr>
        <w:t>.</w:t>
      </w:r>
      <w:r w:rsidR="009B6FB7" w:rsidRPr="009B6FB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>Již předchozí projekce naznačovala</w:t>
      </w:r>
      <w:r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méně přesvědčivé 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 xml:space="preserve">snížení </w:t>
      </w:r>
      <w:r w:rsidR="009B6FB7">
        <w:rPr>
          <w:rFonts w:ascii="Calibri" w:hAnsi="Calibri" w:cs="Calibri"/>
          <w:bCs/>
          <w:color w:val="000000" w:themeColor="text1"/>
          <w:sz w:val="20"/>
        </w:rPr>
        <w:t>úrokové sazby ČNB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 xml:space="preserve"> ze stávajících 3,5</w:t>
      </w:r>
      <w:r>
        <w:rPr>
          <w:rFonts w:ascii="Calibri" w:hAnsi="Calibri" w:cs="Calibri"/>
          <w:bCs/>
          <w:color w:val="000000" w:themeColor="text1"/>
          <w:sz w:val="20"/>
        </w:rPr>
        <w:t>0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 xml:space="preserve"> % 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na jaře příštího roku. </w:t>
      </w:r>
      <w:r w:rsidR="009B6FB7" w:rsidRPr="00B437B7">
        <w:rPr>
          <w:rFonts w:ascii="Calibri" w:hAnsi="Calibri" w:cs="Calibri"/>
          <w:bCs/>
          <w:color w:val="000000" w:themeColor="text1"/>
          <w:sz w:val="20"/>
        </w:rPr>
        <w:t>Růst jádrové inflace ve třetím čtvrtletí a růst mezd a cen nemovitostí ve druhém čtvrtletí přinesly spíše jestřábí překvapení.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602FFB">
        <w:rPr>
          <w:rFonts w:ascii="Calibri" w:hAnsi="Calibri" w:cs="Calibri"/>
          <w:bCs/>
          <w:color w:val="000000" w:themeColor="text1"/>
          <w:sz w:val="20"/>
        </w:rPr>
        <w:t xml:space="preserve">Navíc výsledek říjnových voleb přináší spíše proinflační rizika na 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konci </w:t>
      </w:r>
      <w:r w:rsidR="00602FFB">
        <w:rPr>
          <w:rFonts w:ascii="Calibri" w:hAnsi="Calibri" w:cs="Calibri"/>
          <w:bCs/>
          <w:color w:val="000000" w:themeColor="text1"/>
          <w:sz w:val="20"/>
        </w:rPr>
        <w:t>horizontu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 predikce</w:t>
      </w:r>
      <w:r w:rsidR="00602FFB">
        <w:rPr>
          <w:rFonts w:ascii="Calibri" w:hAnsi="Calibri" w:cs="Calibri"/>
          <w:bCs/>
          <w:color w:val="000000" w:themeColor="text1"/>
          <w:sz w:val="20"/>
        </w:rPr>
        <w:t>. V tomto prostředí tak většina konsensu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602FFB">
        <w:rPr>
          <w:rFonts w:ascii="Calibri" w:hAnsi="Calibri" w:cs="Calibri"/>
          <w:bCs/>
          <w:color w:val="000000" w:themeColor="text1"/>
          <w:sz w:val="20"/>
        </w:rPr>
        <w:t>očekává stabilitu úrokových sazeb</w:t>
      </w:r>
      <w:r w:rsidR="009B6FB7">
        <w:rPr>
          <w:rFonts w:ascii="Calibri" w:hAnsi="Calibri" w:cs="Calibri"/>
          <w:bCs/>
          <w:color w:val="000000" w:themeColor="text1"/>
          <w:sz w:val="20"/>
        </w:rPr>
        <w:t>. A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 i když v současnosti stále necelá polovina respondentů očekává pokles úrokové sazby, tak buď vnímají proinflační rizika kvůli fiskální politice, nebo očekávají snížení úrokové sazby na konci či za horizontem Prognózy. Naopak </w:t>
      </w:r>
      <w:r w:rsidR="00D93C28">
        <w:rPr>
          <w:rFonts w:ascii="Calibri" w:hAnsi="Calibri" w:cs="Calibri"/>
          <w:bCs/>
          <w:color w:val="000000" w:themeColor="text1"/>
          <w:sz w:val="20"/>
        </w:rPr>
        <w:t xml:space="preserve">tři z deseti </w:t>
      </w:r>
      <w:r w:rsidR="00556F82">
        <w:rPr>
          <w:rFonts w:ascii="Calibri" w:hAnsi="Calibri" w:cs="Calibri"/>
          <w:bCs/>
          <w:color w:val="000000" w:themeColor="text1"/>
          <w:sz w:val="20"/>
        </w:rPr>
        <w:t>respondentů očekáv</w:t>
      </w:r>
      <w:r w:rsidR="00D93C28">
        <w:rPr>
          <w:rFonts w:ascii="Calibri" w:hAnsi="Calibri" w:cs="Calibri"/>
          <w:bCs/>
          <w:color w:val="000000" w:themeColor="text1"/>
          <w:sz w:val="20"/>
        </w:rPr>
        <w:t>ají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9B6FB7">
        <w:rPr>
          <w:rFonts w:ascii="Calibri" w:hAnsi="Calibri" w:cs="Calibri"/>
          <w:bCs/>
          <w:color w:val="000000" w:themeColor="text1"/>
          <w:sz w:val="20"/>
        </w:rPr>
        <w:t>v roce 2028</w:t>
      </w:r>
      <w:r w:rsidR="00D93C28">
        <w:rPr>
          <w:rFonts w:ascii="Calibri" w:hAnsi="Calibri" w:cs="Calibri"/>
          <w:bCs/>
          <w:color w:val="000000" w:themeColor="text1"/>
          <w:sz w:val="20"/>
        </w:rPr>
        <w:t xml:space="preserve"> vyšší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 úrokové sazby </w:t>
      </w:r>
      <w:r w:rsidR="00D93C28">
        <w:rPr>
          <w:rFonts w:ascii="Calibri" w:hAnsi="Calibri" w:cs="Calibri"/>
          <w:bCs/>
          <w:color w:val="000000" w:themeColor="text1"/>
          <w:sz w:val="20"/>
        </w:rPr>
        <w:t>ČNB než dnes.</w:t>
      </w:r>
      <w:r w:rsidR="00556F82"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2A208C47" w14:textId="29CB18AA" w:rsidR="00AE7A72" w:rsidRDefault="003C7CA9" w:rsidP="006B18B6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3C7CA9">
        <w:rPr>
          <w:rFonts w:ascii="Calibri" w:hAnsi="Calibri" w:cs="Calibri"/>
          <w:b/>
          <w:color w:val="000000" w:themeColor="text1"/>
          <w:sz w:val="20"/>
        </w:rPr>
        <w:t xml:space="preserve">Přísnější měnové podmínky také odráží </w:t>
      </w:r>
      <w:r w:rsidR="00AE7A72" w:rsidRPr="003C7CA9">
        <w:rPr>
          <w:rFonts w:ascii="Calibri" w:hAnsi="Calibri" w:cs="Calibri"/>
          <w:b/>
          <w:color w:val="000000" w:themeColor="text1"/>
          <w:sz w:val="20"/>
        </w:rPr>
        <w:t>výhled</w:t>
      </w:r>
      <w:r w:rsidR="00AE7A72"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="00AE7A72" w:rsidRPr="00602FFB">
        <w:rPr>
          <w:rFonts w:ascii="Calibri" w:hAnsi="Calibri" w:cs="Calibri"/>
          <w:b/>
          <w:color w:val="000000" w:themeColor="text1"/>
          <w:sz w:val="20"/>
        </w:rPr>
        <w:t>na silnější korunu</w:t>
      </w:r>
      <w:r w:rsidR="00AE7A72">
        <w:rPr>
          <w:rFonts w:ascii="Calibri" w:hAnsi="Calibri" w:cs="Calibri"/>
          <w:b/>
          <w:color w:val="000000" w:themeColor="text1"/>
          <w:sz w:val="20"/>
        </w:rPr>
        <w:t xml:space="preserve"> poblíž 24 vůči euru na roční</w:t>
      </w:r>
      <w:r w:rsidR="00DD759F">
        <w:rPr>
          <w:rFonts w:ascii="Calibri" w:hAnsi="Calibri" w:cs="Calibri"/>
          <w:b/>
          <w:color w:val="000000" w:themeColor="text1"/>
          <w:sz w:val="20"/>
        </w:rPr>
        <w:t>m</w:t>
      </w:r>
      <w:r w:rsidR="00AE7A72">
        <w:rPr>
          <w:rFonts w:ascii="Calibri" w:hAnsi="Calibri" w:cs="Calibri"/>
          <w:b/>
          <w:color w:val="000000" w:themeColor="text1"/>
          <w:sz w:val="20"/>
        </w:rPr>
        <w:t xml:space="preserve"> i dvouletém horizontu</w:t>
      </w:r>
      <w:r w:rsidR="00AE7A72" w:rsidRPr="00602FFB">
        <w:rPr>
          <w:rFonts w:ascii="Calibri" w:hAnsi="Calibri" w:cs="Calibri"/>
          <w:b/>
          <w:color w:val="000000" w:themeColor="text1"/>
          <w:sz w:val="20"/>
        </w:rPr>
        <w:t>.</w:t>
      </w:r>
      <w:r w:rsidR="00AE7A72">
        <w:rPr>
          <w:rFonts w:ascii="Calibri" w:hAnsi="Calibri" w:cs="Calibri"/>
          <w:bCs/>
          <w:color w:val="000000" w:themeColor="text1"/>
          <w:sz w:val="20"/>
        </w:rPr>
        <w:t xml:space="preserve"> Silnější koruna v predikci odráží kombinaci </w:t>
      </w:r>
      <w:r w:rsidR="009B6FB7">
        <w:rPr>
          <w:rFonts w:ascii="Calibri" w:hAnsi="Calibri" w:cs="Calibri"/>
          <w:bCs/>
          <w:color w:val="000000" w:themeColor="text1"/>
          <w:sz w:val="20"/>
        </w:rPr>
        <w:t>lepšího</w:t>
      </w:r>
      <w:r w:rsidR="00AE7A72">
        <w:rPr>
          <w:rFonts w:ascii="Calibri" w:hAnsi="Calibri" w:cs="Calibri"/>
          <w:bCs/>
          <w:color w:val="000000" w:themeColor="text1"/>
          <w:sz w:val="20"/>
        </w:rPr>
        <w:t xml:space="preserve"> výkon</w:t>
      </w:r>
      <w:r w:rsidR="009B6FB7">
        <w:rPr>
          <w:rFonts w:ascii="Calibri" w:hAnsi="Calibri" w:cs="Calibri"/>
          <w:bCs/>
          <w:color w:val="000000" w:themeColor="text1"/>
          <w:sz w:val="20"/>
        </w:rPr>
        <w:t>u</w:t>
      </w:r>
      <w:r w:rsidR="00AE7A72">
        <w:rPr>
          <w:rFonts w:ascii="Calibri" w:hAnsi="Calibri" w:cs="Calibri"/>
          <w:bCs/>
          <w:color w:val="000000" w:themeColor="text1"/>
          <w:sz w:val="20"/>
        </w:rPr>
        <w:t xml:space="preserve"> české ekonomiky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, </w:t>
      </w:r>
      <w:r w:rsidR="00AE7A72">
        <w:rPr>
          <w:rFonts w:ascii="Calibri" w:hAnsi="Calibri" w:cs="Calibri"/>
          <w:bCs/>
          <w:color w:val="000000" w:themeColor="text1"/>
          <w:sz w:val="20"/>
        </w:rPr>
        <w:t xml:space="preserve">současnou úroveň </w:t>
      </w:r>
      <w:r w:rsidR="009B6FB7">
        <w:rPr>
          <w:rFonts w:ascii="Calibri" w:hAnsi="Calibri" w:cs="Calibri"/>
          <w:bCs/>
          <w:color w:val="000000" w:themeColor="text1"/>
          <w:sz w:val="20"/>
        </w:rPr>
        <w:t xml:space="preserve">kurzu </w:t>
      </w:r>
      <w:r w:rsidR="00AE7A72">
        <w:rPr>
          <w:rFonts w:ascii="Calibri" w:hAnsi="Calibri" w:cs="Calibri"/>
          <w:bCs/>
          <w:color w:val="000000" w:themeColor="text1"/>
          <w:sz w:val="20"/>
        </w:rPr>
        <w:t>koruny</w:t>
      </w:r>
      <w:r w:rsidR="007B70F3">
        <w:rPr>
          <w:rFonts w:ascii="Calibri" w:hAnsi="Calibri" w:cs="Calibri"/>
          <w:bCs/>
          <w:color w:val="000000" w:themeColor="text1"/>
          <w:sz w:val="20"/>
        </w:rPr>
        <w:t xml:space="preserve"> a slabšího a</w:t>
      </w:r>
      <w:r w:rsidR="00AE7A72">
        <w:rPr>
          <w:rFonts w:ascii="Calibri" w:hAnsi="Calibri" w:cs="Calibri"/>
          <w:bCs/>
          <w:color w:val="000000" w:themeColor="text1"/>
          <w:sz w:val="20"/>
        </w:rPr>
        <w:t>merického dolaru.</w:t>
      </w:r>
      <w:r w:rsidR="007B70F3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AE7A72">
        <w:rPr>
          <w:rFonts w:ascii="Calibri" w:hAnsi="Calibri" w:cs="Calibri"/>
          <w:bCs/>
          <w:color w:val="000000" w:themeColor="text1"/>
          <w:sz w:val="20"/>
        </w:rPr>
        <w:t>Výhled na úrokový diferenciál zůst</w:t>
      </w:r>
      <w:r w:rsidR="007B70F3">
        <w:rPr>
          <w:rFonts w:ascii="Calibri" w:hAnsi="Calibri" w:cs="Calibri"/>
          <w:bCs/>
          <w:color w:val="000000" w:themeColor="text1"/>
          <w:sz w:val="20"/>
        </w:rPr>
        <w:t>ává</w:t>
      </w:r>
      <w:r w:rsidR="00AE7A72">
        <w:rPr>
          <w:rFonts w:ascii="Calibri" w:hAnsi="Calibri" w:cs="Calibri"/>
          <w:bCs/>
          <w:color w:val="000000" w:themeColor="text1"/>
          <w:sz w:val="20"/>
        </w:rPr>
        <w:t xml:space="preserve"> v podstatě beze změny, jelikož více jestřábí výhled na ČNB byl kompenzován rovněž méně holubičím výhled</w:t>
      </w:r>
      <w:r w:rsidR="003A0AAE">
        <w:rPr>
          <w:rFonts w:ascii="Calibri" w:hAnsi="Calibri" w:cs="Calibri"/>
          <w:bCs/>
          <w:color w:val="000000" w:themeColor="text1"/>
          <w:sz w:val="20"/>
        </w:rPr>
        <w:t xml:space="preserve">em na ECB, kde předpokládáme setrvání její depozitní sazby na 2 %. Náš výhled </w:t>
      </w:r>
      <w:r w:rsidR="007B70F3">
        <w:rPr>
          <w:rFonts w:ascii="Calibri" w:hAnsi="Calibri" w:cs="Calibri"/>
          <w:bCs/>
          <w:color w:val="000000" w:themeColor="text1"/>
          <w:sz w:val="20"/>
        </w:rPr>
        <w:t>stabilní</w:t>
      </w:r>
      <w:r w:rsidR="003A0AAE">
        <w:rPr>
          <w:rFonts w:ascii="Calibri" w:hAnsi="Calibri" w:cs="Calibri"/>
          <w:bCs/>
          <w:color w:val="000000" w:themeColor="text1"/>
          <w:sz w:val="20"/>
        </w:rPr>
        <w:t xml:space="preserve"> úrokové sazby ČNB tak implikuje mírnou korekci na českých sazbách s delší splatností, které </w:t>
      </w:r>
      <w:r w:rsidR="007B70F3">
        <w:rPr>
          <w:rFonts w:ascii="Calibri" w:hAnsi="Calibri" w:cs="Calibri"/>
          <w:bCs/>
          <w:color w:val="000000" w:themeColor="text1"/>
          <w:sz w:val="20"/>
        </w:rPr>
        <w:t xml:space="preserve">svou současnou vyšší úrovní </w:t>
      </w:r>
      <w:proofErr w:type="spellStart"/>
      <w:r w:rsidR="003A0AAE">
        <w:rPr>
          <w:rFonts w:ascii="Calibri" w:hAnsi="Calibri" w:cs="Calibri"/>
          <w:bCs/>
          <w:color w:val="000000" w:themeColor="text1"/>
          <w:sz w:val="20"/>
        </w:rPr>
        <w:t>zaceňují</w:t>
      </w:r>
      <w:proofErr w:type="spellEnd"/>
      <w:r w:rsidR="003A0AAE">
        <w:rPr>
          <w:rFonts w:ascii="Calibri" w:hAnsi="Calibri" w:cs="Calibri"/>
          <w:bCs/>
          <w:color w:val="000000" w:themeColor="text1"/>
          <w:sz w:val="20"/>
        </w:rPr>
        <w:t xml:space="preserve"> zvýšení úrokové sazby ČNB, což </w:t>
      </w:r>
      <w:r w:rsidR="007B70F3">
        <w:rPr>
          <w:rFonts w:ascii="Calibri" w:hAnsi="Calibri" w:cs="Calibri"/>
          <w:bCs/>
          <w:color w:val="000000" w:themeColor="text1"/>
          <w:sz w:val="20"/>
        </w:rPr>
        <w:t xml:space="preserve">v našem výhledu </w:t>
      </w:r>
      <w:r w:rsidR="003A0AAE">
        <w:rPr>
          <w:rFonts w:ascii="Calibri" w:hAnsi="Calibri" w:cs="Calibri"/>
          <w:bCs/>
          <w:color w:val="000000" w:themeColor="text1"/>
          <w:sz w:val="20"/>
        </w:rPr>
        <w:t xml:space="preserve">limituje posílení koruny vůči euru. </w:t>
      </w:r>
    </w:p>
    <w:bookmarkEnd w:id="1"/>
    <w:p w14:paraId="5ED4A81C" w14:textId="77777777" w:rsidR="007B70F3" w:rsidRDefault="007B70F3" w:rsidP="007B70F3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7B70F3">
        <w:rPr>
          <w:rFonts w:ascii="Calibri" w:eastAsia="Calibri" w:hAnsi="Calibri" w:cs="Calibri"/>
          <w:b/>
          <w:color w:val="13576B"/>
          <w:sz w:val="22"/>
          <w:szCs w:val="28"/>
        </w:rPr>
        <w:t>Bankovní úvěry a vklady</w:t>
      </w:r>
    </w:p>
    <w:p w14:paraId="593C9032" w14:textId="77777777" w:rsidR="007B70F3" w:rsidRDefault="007B70F3" w:rsidP="007B70F3">
      <w:pPr>
        <w:spacing w:after="120"/>
        <w:rPr>
          <w:rFonts w:ascii="Calibri" w:hAnsi="Calibri" w:cs="Calibri"/>
          <w:bCs/>
          <w:color w:val="000000" w:themeColor="text1"/>
          <w:sz w:val="20"/>
        </w:rPr>
      </w:pPr>
      <w:r w:rsidRPr="007B70F3">
        <w:rPr>
          <w:rFonts w:ascii="Calibri" w:hAnsi="Calibri" w:cs="Calibri"/>
          <w:b/>
          <w:color w:val="000000" w:themeColor="text1"/>
          <w:sz w:val="20"/>
        </w:rPr>
        <w:t xml:space="preserve">Celkově by klientské úvěry měly pouze neznatelně zmírnit svůj růst lehce pod 6 % odrážející dosavadní složení růstu ekonomiky. </w:t>
      </w:r>
      <w:r w:rsidRPr="007B70F3">
        <w:rPr>
          <w:rFonts w:ascii="Calibri" w:hAnsi="Calibri" w:cs="Calibri"/>
          <w:bCs/>
          <w:color w:val="000000" w:themeColor="text1"/>
          <w:sz w:val="20"/>
        </w:rPr>
        <w:t xml:space="preserve">Růst bankovních úvěrů domácnostem by měl v letošním a příštím roce posílit k 7 %, zatímco růst úvěrů nefinančním podnikům by se měl v příštím roce přiblížit k 5 % po slabším téměř 4,5% letošním nárůstu, který odráží slabší investiční aktivitu firem. Ovšem údaje za nově poskytnuté úvěry nefinančním podnikům naznačují oživení korporátního úvěrování od konce druhého čtvrtletí. </w:t>
      </w:r>
    </w:p>
    <w:p w14:paraId="1C491C72" w14:textId="74A7A241" w:rsidR="000D2DCD" w:rsidRPr="000D2DCD" w:rsidRDefault="007B70F3" w:rsidP="000D2DCD">
      <w:pPr>
        <w:spacing w:after="120"/>
        <w:rPr>
          <w:rFonts w:ascii="Calibri" w:hAnsi="Calibri" w:cs="Calibri"/>
          <w:bCs/>
          <w:color w:val="000000" w:themeColor="text1"/>
          <w:sz w:val="20"/>
        </w:rPr>
      </w:pPr>
      <w:r w:rsidRPr="007B70F3">
        <w:rPr>
          <w:rFonts w:ascii="Calibri" w:hAnsi="Calibri" w:cs="Calibri"/>
          <w:bCs/>
          <w:color w:val="000000" w:themeColor="text1"/>
          <w:sz w:val="20"/>
        </w:rPr>
        <w:t>V příštím a přespříštím roce by měl zrychlit růst vkladů k 5 % po pravděpodobném zpomalení k 4,5 % v letošním roce (což se projevilo v mírném nárůstu poměru vkladů vůči úvěrům na 63 % v letošním září) z téměř 7,5% růstu v loňském roce. A to v</w:t>
      </w:r>
      <w:r w:rsidR="00DD759F">
        <w:rPr>
          <w:rFonts w:ascii="Calibri" w:hAnsi="Calibri" w:cs="Calibri"/>
          <w:bCs/>
          <w:color w:val="000000" w:themeColor="text1"/>
          <w:sz w:val="20"/>
        </w:rPr>
        <w:t> </w:t>
      </w:r>
      <w:r w:rsidRPr="007B70F3">
        <w:rPr>
          <w:rFonts w:ascii="Calibri" w:hAnsi="Calibri" w:cs="Calibri"/>
          <w:bCs/>
          <w:color w:val="000000" w:themeColor="text1"/>
          <w:sz w:val="20"/>
        </w:rPr>
        <w:t>reakci na mírnější růst korporátních úvěrů, pokles úrokové sazby, relativní oživení portfoliových investic domácností namísto spoření a rovněž předpokládanou nižší míru úspor domácností.</w:t>
      </w:r>
    </w:p>
    <w:p w14:paraId="19F75569" w14:textId="60B60E7A" w:rsidR="007B70F3" w:rsidRPr="00914F70" w:rsidRDefault="005839F2" w:rsidP="000171EA">
      <w:pPr>
        <w:jc w:val="left"/>
        <w:rPr>
          <w:rFonts w:ascii="Calibri" w:hAnsi="Calibri" w:cs="Calibri"/>
          <w:color w:val="FF0000"/>
          <w:sz w:val="20"/>
        </w:rPr>
      </w:pPr>
      <w:r>
        <w:rPr>
          <w:rFonts w:ascii="Calibri" w:hAnsi="Calibri" w:cs="Calibri"/>
          <w:noProof/>
          <w:color w:val="FF0000"/>
          <w:sz w:val="20"/>
        </w:rPr>
        <w:drawing>
          <wp:inline distT="0" distB="0" distL="0" distR="0" wp14:anchorId="43564340" wp14:editId="4E2BEB1C">
            <wp:extent cx="3181396" cy="2250237"/>
            <wp:effectExtent l="0" t="0" r="0" b="0"/>
            <wp:docPr id="1057779496" name="Picture 2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79496" name="Picture 21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715" cy="2265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2DCD">
        <w:rPr>
          <w:rFonts w:ascii="Calibri" w:hAnsi="Calibri" w:cs="Calibri"/>
          <w:noProof/>
          <w:color w:val="FF0000"/>
          <w:sz w:val="20"/>
        </w:rPr>
        <w:drawing>
          <wp:inline distT="0" distB="0" distL="0" distR="0" wp14:anchorId="76EE683D" wp14:editId="26AFBB6B">
            <wp:extent cx="3181985" cy="2244203"/>
            <wp:effectExtent l="0" t="0" r="0" b="3810"/>
            <wp:docPr id="21414156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01" cy="2258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2DCD">
        <w:rPr>
          <w:rFonts w:ascii="Calibri" w:hAnsi="Calibri" w:cs="Calibri"/>
          <w:color w:val="FF0000"/>
          <w:sz w:val="20"/>
        </w:rPr>
        <w:t xml:space="preserve">    </w:t>
      </w:r>
    </w:p>
    <w:p w14:paraId="4094574A" w14:textId="3C5B817A" w:rsidR="007B70F3" w:rsidRPr="00806391" w:rsidRDefault="007B70F3" w:rsidP="007B70F3">
      <w:pPr>
        <w:spacing w:after="120"/>
        <w:rPr>
          <w:rFonts w:ascii="Calibri" w:hAnsi="Calibri" w:cs="Calibri"/>
          <w:bCs/>
          <w:color w:val="13576B"/>
          <w:szCs w:val="18"/>
        </w:rPr>
      </w:pPr>
      <w:r>
        <w:rPr>
          <w:rFonts w:ascii="Calibri" w:hAnsi="Calibri" w:cs="Calibri"/>
          <w:bCs/>
          <w:color w:val="13576B"/>
          <w:szCs w:val="18"/>
        </w:rPr>
        <w:t>Pramen</w:t>
      </w:r>
      <w:r w:rsidRPr="00806391">
        <w:rPr>
          <w:rFonts w:ascii="Calibri" w:hAnsi="Calibri" w:cs="Calibri"/>
          <w:bCs/>
          <w:color w:val="13576B"/>
          <w:szCs w:val="18"/>
        </w:rPr>
        <w:t>: ČNB, ČBA (sezónní očištění)</w:t>
      </w:r>
    </w:p>
    <w:p w14:paraId="439A8F15" w14:textId="77777777" w:rsidR="003C7CA9" w:rsidRDefault="00DD759F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DD759F">
        <w:rPr>
          <w:rFonts w:ascii="Calibri" w:eastAsia="Calibri" w:hAnsi="Calibri" w:cs="Calibri"/>
          <w:b/>
          <w:color w:val="13576B"/>
          <w:sz w:val="22"/>
          <w:szCs w:val="28"/>
        </w:rPr>
        <w:t>Solidní a rezistentní růstová trajektorie české ekonomiky částečně tlumí mezinárodní regionální rozdíly</w:t>
      </w:r>
    </w:p>
    <w:p w14:paraId="18D0C5D8" w14:textId="7C78DBF0" w:rsidR="007B70F3" w:rsidRPr="00A1698B" w:rsidRDefault="007B70F3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A1698B">
        <w:rPr>
          <w:rFonts w:ascii="Calibri" w:hAnsi="Calibri" w:cs="Calibri"/>
          <w:bCs/>
          <w:color w:val="000000" w:themeColor="text1"/>
          <w:sz w:val="20"/>
        </w:rPr>
        <w:t>V rámci post</w:t>
      </w:r>
      <w:r w:rsidRPr="00A1698B">
        <w:rPr>
          <w:rFonts w:ascii="Cambria Math" w:hAnsi="Cambria Math" w:cs="Cambria Math"/>
          <w:bCs/>
          <w:color w:val="000000" w:themeColor="text1"/>
          <w:sz w:val="20"/>
        </w:rPr>
        <w:t>‑</w:t>
      </w:r>
      <w:r w:rsidRPr="00A1698B">
        <w:rPr>
          <w:rFonts w:ascii="Calibri" w:hAnsi="Calibri" w:cs="Calibri"/>
          <w:bCs/>
          <w:color w:val="000000" w:themeColor="text1"/>
          <w:sz w:val="20"/>
        </w:rPr>
        <w:t>covidového oživení pokračuje česká ekonomika v rychlejším tempu než Německo, které by měla na horizontu predikce (2027) překonat bezmála o 8 %. Zároveň se očekává, že český HDP na sklonku let 2026–2027 překoná post</w:t>
      </w:r>
      <w:r w:rsidRPr="00A1698B">
        <w:rPr>
          <w:rFonts w:ascii="Cambria Math" w:hAnsi="Cambria Math" w:cs="Cambria Math"/>
          <w:bCs/>
          <w:color w:val="000000" w:themeColor="text1"/>
          <w:sz w:val="20"/>
        </w:rPr>
        <w:t>‑</w:t>
      </w:r>
      <w:r w:rsidRPr="00A1698B">
        <w:rPr>
          <w:rFonts w:ascii="Calibri" w:hAnsi="Calibri" w:cs="Calibri"/>
          <w:bCs/>
          <w:color w:val="000000" w:themeColor="text1"/>
          <w:sz w:val="20"/>
        </w:rPr>
        <w:t xml:space="preserve">covidovou trajektorii eurozóny. V regionu by měla česká ekonomika více přiblížit Slovensku, stabilizovat rozdíl vůči Maďarsku, ale znovu </w:t>
      </w:r>
      <w:r w:rsidRPr="00A1698B">
        <w:rPr>
          <w:rFonts w:ascii="Calibri" w:hAnsi="Calibri" w:cs="Calibri"/>
          <w:bCs/>
          <w:color w:val="000000" w:themeColor="text1"/>
          <w:sz w:val="20"/>
        </w:rPr>
        <w:lastRenderedPageBreak/>
        <w:t>mírně ztrácet na Polsko. Tyto rozdíly odrážejí odlišnou dynamiku spotřeby domácností. Pokud se naplní uvedená pozitivní rizika, česká ekonomika může svou regionální pozici dále vylepšit.</w:t>
      </w:r>
    </w:p>
    <w:p w14:paraId="5022AF46" w14:textId="680B5AB5" w:rsidR="001202B4" w:rsidRPr="00A1698B" w:rsidRDefault="007B70F3" w:rsidP="00A1698B">
      <w:pPr>
        <w:spacing w:after="120"/>
        <w:rPr>
          <w:rFonts w:ascii="Calibri" w:hAnsi="Calibri" w:cs="Calibri"/>
          <w:bCs/>
          <w:color w:val="000000" w:themeColor="text1"/>
          <w:sz w:val="20"/>
        </w:rPr>
      </w:pPr>
      <w:r w:rsidRPr="00A1698B">
        <w:rPr>
          <w:rFonts w:ascii="Calibri" w:hAnsi="Calibri" w:cs="Calibri"/>
          <w:bCs/>
          <w:color w:val="000000" w:themeColor="text1"/>
          <w:sz w:val="20"/>
        </w:rPr>
        <w:t>Z pohledu plnění inflačního cíle se růst spotřebitelských cen bude pohybovat mírně nad cílem ČNB, podobně jako v Polsku, což tamní centrální bance umožňuje uvolňovat měnovou politiku (na 4,25 % z 5,25 % v létě) k již uvolněně polské fiskální politice, jejíž deficit by měl v průměru v příštích dvou letech přesahovat 3% fiskální limit o přibližně 3 % HDP. Evropská komise odhaduje</w:t>
      </w:r>
      <w:r w:rsidR="00A1698B" w:rsidRPr="00A1698B">
        <w:rPr>
          <w:rFonts w:ascii="Calibri" w:hAnsi="Calibri" w:cs="Calibri"/>
          <w:bCs/>
          <w:color w:val="000000" w:themeColor="text1"/>
          <w:sz w:val="20"/>
        </w:rPr>
        <w:t xml:space="preserve"> nárůst </w:t>
      </w:r>
      <w:r w:rsidRPr="00A1698B">
        <w:rPr>
          <w:rFonts w:ascii="Calibri" w:hAnsi="Calibri" w:cs="Calibri"/>
          <w:bCs/>
          <w:color w:val="000000" w:themeColor="text1"/>
          <w:sz w:val="20"/>
        </w:rPr>
        <w:t>polsk</w:t>
      </w:r>
      <w:r w:rsidR="00A1698B" w:rsidRPr="00A1698B">
        <w:rPr>
          <w:rFonts w:ascii="Calibri" w:hAnsi="Calibri" w:cs="Calibri"/>
          <w:bCs/>
          <w:color w:val="000000" w:themeColor="text1"/>
          <w:sz w:val="20"/>
        </w:rPr>
        <w:t xml:space="preserve">ého vládního dluhu </w:t>
      </w:r>
      <w:r w:rsidRPr="00A1698B">
        <w:rPr>
          <w:rFonts w:ascii="Calibri" w:hAnsi="Calibri" w:cs="Calibri"/>
          <w:bCs/>
          <w:color w:val="000000" w:themeColor="text1"/>
          <w:sz w:val="20"/>
        </w:rPr>
        <w:t>do roku 2027 k 70 % HDP (oproti 45 % v ČR), což by bylo o 13 p. b. více než v roce 2019 (v ČR +8,1 p. b.).</w:t>
      </w:r>
      <w:r w:rsidR="001202B4" w:rsidRPr="00A1698B"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5DAAEFA9" w14:textId="77777777" w:rsidR="001202B4" w:rsidRDefault="001202B4" w:rsidP="001202B4">
      <w:pPr>
        <w:rPr>
          <w:rFonts w:ascii="Calibri" w:eastAsia="Calibri" w:hAnsi="Calibri" w:cs="Calibri"/>
          <w:bCs/>
          <w:color w:val="13576B"/>
          <w:sz w:val="20"/>
          <w:szCs w:val="24"/>
        </w:rPr>
      </w:pPr>
      <w:r>
        <w:rPr>
          <w:rFonts w:ascii="Calibri" w:eastAsia="Calibri" w:hAnsi="Calibri" w:cs="Calibri"/>
          <w:bCs/>
          <w:noProof/>
          <w:color w:val="13576B"/>
          <w:sz w:val="20"/>
          <w:szCs w:val="24"/>
        </w:rPr>
        <w:drawing>
          <wp:inline distT="0" distB="0" distL="0" distR="0" wp14:anchorId="71DF458C" wp14:editId="643A548F">
            <wp:extent cx="3202453" cy="2147570"/>
            <wp:effectExtent l="0" t="0" r="0" b="5080"/>
            <wp:docPr id="169695958" name="Picture 8" descr="A graph of the growth of the gd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5958" name="Picture 8" descr="A graph of the growth of the gd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67" cy="215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Cs/>
          <w:color w:val="13576B"/>
          <w:sz w:val="20"/>
          <w:szCs w:val="24"/>
        </w:rPr>
        <w:t xml:space="preserve"> </w:t>
      </w:r>
      <w:r>
        <w:rPr>
          <w:rFonts w:ascii="Calibri" w:eastAsia="Calibri" w:hAnsi="Calibri" w:cs="Calibri"/>
          <w:bCs/>
          <w:noProof/>
          <w:color w:val="13576B"/>
          <w:sz w:val="20"/>
          <w:szCs w:val="24"/>
        </w:rPr>
        <w:drawing>
          <wp:inline distT="0" distB="0" distL="0" distR="0" wp14:anchorId="38BCCC98" wp14:editId="2CCAD9F4">
            <wp:extent cx="3238871" cy="2185035"/>
            <wp:effectExtent l="0" t="0" r="0" b="5715"/>
            <wp:docPr id="1034184301" name="Picture 10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84301" name="Picture 10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494" cy="219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DE564" w14:textId="3644362E" w:rsidR="001E07DA" w:rsidRDefault="001202B4" w:rsidP="001202B4">
      <w:pPr>
        <w:spacing w:after="120"/>
        <w:rPr>
          <w:rFonts w:ascii="Calibri" w:hAnsi="Calibri" w:cs="Calibri"/>
          <w:bCs/>
          <w:color w:val="13576B"/>
          <w:szCs w:val="18"/>
        </w:rPr>
      </w:pPr>
      <w:r w:rsidRPr="00806391">
        <w:rPr>
          <w:rFonts w:ascii="Calibri" w:hAnsi="Calibri" w:cs="Calibri"/>
          <w:bCs/>
          <w:color w:val="13576B"/>
          <w:szCs w:val="18"/>
        </w:rPr>
        <w:t xml:space="preserve">Pramen: </w:t>
      </w:r>
      <w:proofErr w:type="spellStart"/>
      <w:r>
        <w:rPr>
          <w:rFonts w:ascii="Calibri" w:hAnsi="Calibri" w:cs="Calibri"/>
          <w:bCs/>
          <w:color w:val="13576B"/>
          <w:szCs w:val="18"/>
        </w:rPr>
        <w:t>Macrobond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,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Consensus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Economics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, ČNB, Prognóza ČBA </w:t>
      </w:r>
      <w:r w:rsidRPr="00806391">
        <w:rPr>
          <w:rFonts w:ascii="Calibri" w:hAnsi="Calibri" w:cs="Calibri"/>
          <w:bCs/>
          <w:color w:val="13576B"/>
          <w:szCs w:val="18"/>
        </w:rPr>
        <w:tab/>
        <w:t xml:space="preserve">    Pramen: </w:t>
      </w:r>
      <w:proofErr w:type="spellStart"/>
      <w:r>
        <w:rPr>
          <w:rFonts w:ascii="Calibri" w:hAnsi="Calibri" w:cs="Calibri"/>
          <w:bCs/>
          <w:color w:val="13576B"/>
          <w:szCs w:val="18"/>
        </w:rPr>
        <w:t>Macrobond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,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Consensus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Economics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>, ČNB, Prognóza ČBA</w:t>
      </w:r>
    </w:p>
    <w:p w14:paraId="6060EDB7" w14:textId="77777777" w:rsidR="0066782D" w:rsidRDefault="0066782D" w:rsidP="001E07DA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5AEBB5F0" w14:textId="38EFBE36" w:rsidR="00806391" w:rsidRPr="001E07DA" w:rsidRDefault="00806391" w:rsidP="001E07DA">
      <w:pPr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1E07DA">
        <w:rPr>
          <w:rFonts w:ascii="Calibri" w:eastAsia="Calibri" w:hAnsi="Calibri" w:cs="Calibri"/>
          <w:b/>
          <w:color w:val="13576B"/>
          <w:sz w:val="22"/>
          <w:szCs w:val="28"/>
        </w:rPr>
        <w:t xml:space="preserve">Výhled české </w:t>
      </w:r>
      <w:r w:rsidRPr="007022D5">
        <w:rPr>
          <w:rFonts w:ascii="Calibri" w:eastAsia="Calibri" w:hAnsi="Calibri" w:cs="Calibri"/>
          <w:b/>
          <w:color w:val="13576B"/>
          <w:sz w:val="22"/>
          <w:szCs w:val="28"/>
        </w:rPr>
        <w:t>ekonomiky v</w:t>
      </w:r>
      <w:r w:rsidR="001202B4" w:rsidRPr="007022D5">
        <w:rPr>
          <w:rFonts w:ascii="Calibri" w:eastAsia="Calibri" w:hAnsi="Calibri" w:cs="Calibri"/>
          <w:b/>
          <w:color w:val="13576B"/>
          <w:sz w:val="22"/>
          <w:szCs w:val="28"/>
        </w:rPr>
        <w:t> </w:t>
      </w:r>
      <w:r w:rsidRPr="007022D5">
        <w:rPr>
          <w:rFonts w:ascii="Calibri" w:eastAsia="Calibri" w:hAnsi="Calibri" w:cs="Calibri"/>
          <w:b/>
          <w:color w:val="13576B"/>
          <w:sz w:val="22"/>
          <w:szCs w:val="28"/>
        </w:rPr>
        <w:t>grafech</w:t>
      </w:r>
      <w:r w:rsidR="001202B4">
        <w:rPr>
          <w:rFonts w:ascii="Calibri" w:eastAsia="Calibri" w:hAnsi="Calibri" w:cs="Calibri"/>
          <w:b/>
          <w:color w:val="EE0000"/>
          <w:sz w:val="22"/>
          <w:szCs w:val="28"/>
        </w:rPr>
        <w:t xml:space="preserve"> </w:t>
      </w:r>
    </w:p>
    <w:p w14:paraId="0CBF7EA2" w14:textId="79828597" w:rsidR="00222AA1" w:rsidRDefault="00A86819" w:rsidP="001E07DA">
      <w:pPr>
        <w:rPr>
          <w:noProof/>
        </w:rPr>
      </w:pPr>
      <w:r w:rsidRPr="00A86819">
        <w:rPr>
          <w:noProof/>
        </w:rPr>
        <w:drawing>
          <wp:inline distT="0" distB="0" distL="0" distR="0" wp14:anchorId="466BB061" wp14:editId="57AF7050">
            <wp:extent cx="3202744" cy="1970202"/>
            <wp:effectExtent l="0" t="0" r="0" b="0"/>
            <wp:docPr id="19207774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65" cy="198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AA1">
        <w:rPr>
          <w:noProof/>
        </w:rPr>
        <w:t xml:space="preserve">  </w:t>
      </w:r>
      <w:r w:rsidR="007022D5" w:rsidRPr="007022D5">
        <w:rPr>
          <w:noProof/>
        </w:rPr>
        <w:drawing>
          <wp:inline distT="0" distB="0" distL="0" distR="0" wp14:anchorId="1856EAE3" wp14:editId="61C5E570">
            <wp:extent cx="3201908" cy="1928393"/>
            <wp:effectExtent l="0" t="0" r="0" b="0"/>
            <wp:docPr id="14499929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576" cy="193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AA1">
        <w:rPr>
          <w:noProof/>
        </w:rPr>
        <w:t xml:space="preserve">  </w:t>
      </w:r>
    </w:p>
    <w:p w14:paraId="5B9F0A2F" w14:textId="4BBA8328" w:rsidR="00222AA1" w:rsidRDefault="007022D5" w:rsidP="001E07DA">
      <w:pPr>
        <w:rPr>
          <w:noProof/>
        </w:rPr>
      </w:pPr>
      <w:r w:rsidRPr="007022D5">
        <w:rPr>
          <w:noProof/>
        </w:rPr>
        <w:drawing>
          <wp:inline distT="0" distB="0" distL="0" distR="0" wp14:anchorId="22833562" wp14:editId="16FE4516">
            <wp:extent cx="3145155" cy="1975104"/>
            <wp:effectExtent l="0" t="0" r="0" b="6350"/>
            <wp:docPr id="9677439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50" cy="199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AA1">
        <w:rPr>
          <w:noProof/>
        </w:rPr>
        <w:t xml:space="preserve">  </w:t>
      </w:r>
      <w:r w:rsidRPr="007022D5">
        <w:rPr>
          <w:noProof/>
        </w:rPr>
        <w:drawing>
          <wp:inline distT="0" distB="0" distL="0" distR="0" wp14:anchorId="17165E0F" wp14:editId="09D51022">
            <wp:extent cx="3079699" cy="1959224"/>
            <wp:effectExtent l="0" t="0" r="6985" b="3175"/>
            <wp:docPr id="7392978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5" cy="196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137BA" w14:textId="79884736" w:rsidR="00806391" w:rsidRPr="00806391" w:rsidRDefault="007022D5" w:rsidP="001E07DA">
      <w:pPr>
        <w:rPr>
          <w:rFonts w:ascii="Calibri" w:hAnsi="Calibri" w:cs="Calibri"/>
          <w:bCs/>
          <w:color w:val="000000" w:themeColor="text1"/>
          <w:sz w:val="20"/>
        </w:rPr>
      </w:pPr>
      <w:r w:rsidRPr="007022D5">
        <w:rPr>
          <w:noProof/>
        </w:rPr>
        <w:lastRenderedPageBreak/>
        <w:drawing>
          <wp:inline distT="0" distB="0" distL="0" distR="0" wp14:anchorId="5DC109F7" wp14:editId="032FA3E7">
            <wp:extent cx="3063875" cy="1893395"/>
            <wp:effectExtent l="0" t="0" r="3175" b="0"/>
            <wp:docPr id="1194990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12" cy="19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AA1" w:rsidRPr="00C84D31">
        <w:rPr>
          <w:noProof/>
        </w:rPr>
        <w:t xml:space="preserve">  </w:t>
      </w:r>
      <w:r w:rsidRPr="007022D5">
        <w:rPr>
          <w:noProof/>
        </w:rPr>
        <w:drawing>
          <wp:inline distT="0" distB="0" distL="0" distR="0" wp14:anchorId="6A036963" wp14:editId="0A2C28C7">
            <wp:extent cx="3195320" cy="1894270"/>
            <wp:effectExtent l="0" t="0" r="5080" b="0"/>
            <wp:docPr id="20294080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58" cy="190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391" w:rsidRPr="00806391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Pr="007022D5">
        <w:rPr>
          <w:noProof/>
        </w:rPr>
        <w:drawing>
          <wp:inline distT="0" distB="0" distL="0" distR="0" wp14:anchorId="10853F53" wp14:editId="382B1C0A">
            <wp:extent cx="3196024" cy="1878787"/>
            <wp:effectExtent l="0" t="0" r="4445" b="7620"/>
            <wp:docPr id="64669279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78" cy="18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7022D5">
        <w:rPr>
          <w:noProof/>
        </w:rPr>
        <w:drawing>
          <wp:inline distT="0" distB="0" distL="0" distR="0" wp14:anchorId="0D0EEF0A" wp14:editId="2405B228">
            <wp:extent cx="3202043" cy="1931213"/>
            <wp:effectExtent l="0" t="0" r="0" b="0"/>
            <wp:docPr id="15919710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11" cy="19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3AFD8" w14:textId="6E916B4D" w:rsidR="00806391" w:rsidRDefault="00806391" w:rsidP="00806391">
      <w:pPr>
        <w:spacing w:after="120"/>
        <w:rPr>
          <w:rFonts w:ascii="Calibri" w:hAnsi="Calibri" w:cs="Calibri"/>
          <w:bCs/>
          <w:color w:val="13576B"/>
          <w:szCs w:val="18"/>
        </w:rPr>
      </w:pPr>
      <w:r w:rsidRPr="00806391">
        <w:rPr>
          <w:rFonts w:ascii="Calibri" w:hAnsi="Calibri" w:cs="Calibri"/>
          <w:bCs/>
          <w:color w:val="13576B"/>
          <w:szCs w:val="18"/>
        </w:rPr>
        <w:t xml:space="preserve">Pramen: </w:t>
      </w:r>
      <w:r w:rsidR="000D2DCD" w:rsidRPr="00806391">
        <w:rPr>
          <w:rFonts w:ascii="Calibri" w:hAnsi="Calibri" w:cs="Calibri"/>
          <w:bCs/>
          <w:color w:val="13576B"/>
          <w:szCs w:val="18"/>
        </w:rPr>
        <w:t>Prognóza ČBA</w:t>
      </w:r>
      <w:r w:rsidR="000D2DCD">
        <w:rPr>
          <w:rFonts w:ascii="Calibri" w:hAnsi="Calibri" w:cs="Calibri"/>
          <w:bCs/>
          <w:color w:val="13576B"/>
          <w:szCs w:val="18"/>
        </w:rPr>
        <w:t xml:space="preserve">, </w:t>
      </w:r>
      <w:r w:rsidRPr="00806391">
        <w:rPr>
          <w:rFonts w:ascii="Calibri" w:hAnsi="Calibri" w:cs="Calibri"/>
          <w:bCs/>
          <w:color w:val="13576B"/>
          <w:szCs w:val="18"/>
        </w:rPr>
        <w:t xml:space="preserve">ČSÚ, ČNB, Úřad práce, </w:t>
      </w:r>
      <w:proofErr w:type="spellStart"/>
      <w:r w:rsidR="007022D5">
        <w:rPr>
          <w:rFonts w:ascii="Calibri" w:hAnsi="Calibri" w:cs="Calibri"/>
          <w:bCs/>
          <w:color w:val="13576B"/>
          <w:szCs w:val="18"/>
        </w:rPr>
        <w:t>Macrobond</w:t>
      </w:r>
      <w:proofErr w:type="spellEnd"/>
    </w:p>
    <w:p w14:paraId="023172F4" w14:textId="77777777" w:rsidR="0066782D" w:rsidRPr="00806391" w:rsidRDefault="0066782D" w:rsidP="00806391">
      <w:pPr>
        <w:spacing w:after="120"/>
        <w:rPr>
          <w:rFonts w:ascii="Calibri" w:hAnsi="Calibri" w:cs="Calibri"/>
          <w:bCs/>
          <w:color w:val="13576B"/>
          <w:szCs w:val="18"/>
        </w:rPr>
      </w:pPr>
    </w:p>
    <w:p w14:paraId="17CF7A7C" w14:textId="3625EAC7" w:rsidR="005547BF" w:rsidRDefault="003161ED" w:rsidP="00B4285D">
      <w:pPr>
        <w:rPr>
          <w:rFonts w:ascii="Calibri" w:eastAsiaTheme="minorEastAsia" w:hAnsi="Calibri" w:cs="Calibri"/>
        </w:rPr>
      </w:pPr>
      <w:r w:rsidRPr="00C9674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hidden="0" allowOverlap="1" wp14:anchorId="3801A402" wp14:editId="06FB1357">
                <wp:simplePos x="0" y="0"/>
                <wp:positionH relativeFrom="margin">
                  <wp:align>right</wp:align>
                </wp:positionH>
                <wp:positionV relativeFrom="paragraph">
                  <wp:posOffset>16378</wp:posOffset>
                </wp:positionV>
                <wp:extent cx="6476365" cy="1168842"/>
                <wp:effectExtent l="0" t="0" r="635" b="127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1168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13D1E" w14:textId="77777777" w:rsidR="00F37DC9" w:rsidRPr="0073410F" w:rsidRDefault="00F37DC9" w:rsidP="00F37DC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  <w:bookmarkStart w:id="3" w:name="_Hlk190863040"/>
                            <w:r w:rsidRPr="0073410F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  <w:t xml:space="preserve">O prognóze ČBA </w:t>
                            </w:r>
                          </w:p>
                          <w:p w14:paraId="77C1A42D" w14:textId="3FBACB94" w:rsidR="00F37DC9" w:rsidRPr="00A55BDD" w:rsidRDefault="00EE7B05" w:rsidP="00DF20C8">
                            <w:pPr>
                              <w:spacing w:line="276" w:lineRule="auto"/>
                              <w:ind w:left="28" w:hanging="28"/>
                              <w:rPr>
                                <w:sz w:val="16"/>
                                <w:szCs w:val="16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Tato prognóza vznikla na základě příspěvků analytiků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10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členských bank ČBA: </w:t>
                            </w:r>
                            <w:bookmarkEnd w:id="3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Petr Dufek (hlavní ekonom, Banka CREDITAS), Jan Bureš (hlavní ekonom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ČSOB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), Petr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Gapko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ekonom, MONETA Money Bank), </w:t>
                            </w:r>
                            <w:r w:rsidR="005736B5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David Havrlant (hlavní ekonom ING)</w:t>
                            </w:r>
                            <w:r w:rsidR="005736B5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,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Helena Horská a Martin Kron (ekonomický výzkum Raiffeisenbank),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Martin Motl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 Citibank),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Adam </w:t>
                            </w:r>
                            <w:proofErr w:type="spellStart"/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Ruschka</w:t>
                            </w:r>
                            <w:proofErr w:type="spellEnd"/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(ekonom J&amp;T banky),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Michal Skořepa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a Jiří Polanský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(makroekonomi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čtí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analyti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ci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České spořitelny), Pavel Sobíšek (hlavní ekonom,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UniCredit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Bank) a Jan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Vejmělek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a Martin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Gürtler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(ekonomický výzkum Komerční banky</w:t>
                            </w:r>
                            <w:r w:rsidR="005736B5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)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 Za ČBA se na tvorbě prognózy podílel její hlavní ekonom Jaromír Šindel.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1A402" id="Obdélník 4" o:spid="_x0000_s1029" style="position:absolute;left:0;text-align:left;margin-left:458.75pt;margin-top:1.3pt;width:509.95pt;height:92.0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" fillcolor="#bfbfbf [2412]" stroked="f" strokeweight="1pt">
                <v:textbox inset="3mm,3mm,3mm,3mm">
                  <w:txbxContent>
                    <w:p w14:paraId="7E313D1E" w14:textId="77777777" w:rsidR="00F37DC9" w:rsidRPr="0073410F" w:rsidRDefault="00F37DC9" w:rsidP="00F37DC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  <w:bookmarkStart w:id="4" w:name="_Hlk190863040"/>
                      <w:r w:rsidRPr="0073410F"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  <w:t xml:space="preserve">O prognóze ČBA </w:t>
                      </w:r>
                    </w:p>
                    <w:p w14:paraId="77C1A42D" w14:textId="3FBACB94" w:rsidR="00F37DC9" w:rsidRPr="00A55BDD" w:rsidRDefault="00EE7B05" w:rsidP="00DF20C8">
                      <w:pPr>
                        <w:spacing w:line="276" w:lineRule="auto"/>
                        <w:ind w:left="28" w:hanging="28"/>
                        <w:rPr>
                          <w:sz w:val="16"/>
                          <w:szCs w:val="16"/>
                        </w:rPr>
                      </w:pP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Tato prognóza vznikla na základě příspěvků analytiků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10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členských bank ČBA: </w:t>
                      </w:r>
                      <w:bookmarkEnd w:id="4"/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Petr Dufek (hlavní ekonom, Banka CREDITAS), Jan Bureš (hlavní ekonom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ČSOB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), Petr Gapko (hlavní ekonom, MONETA Money Bank), </w:t>
                      </w:r>
                      <w:r w:rsidR="005736B5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David Havrlant (hlavní ekonom ING)</w:t>
                      </w:r>
                      <w:r w:rsidR="005736B5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,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Helena Horská a Martin Kron (ekonomický výzkum Raiffeisenbank),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Martin Motl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(hlavní ekonom Citibank),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Adam Ruschka (ekonom J&amp;T banky),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Michal Skořepa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a Jiří Polanský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(makroekonomi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čtí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analyti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ci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České spořitelny), Pavel Sobíšek (hlavní ekonom, UniCredit Bank) a Jan Vejmělek a Martin Gürtler (ekonomický výzkum Komerční banky</w:t>
                      </w:r>
                      <w:r w:rsidR="005736B5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)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 Za ČBA se na tvorbě prognózy podílel její hlavní ekonom Jaromír Šindel.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70CAB7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6DB62AD1" w14:textId="5086AED3" w:rsidR="001642C0" w:rsidRDefault="001642C0" w:rsidP="00B4285D">
      <w:pPr>
        <w:rPr>
          <w:rFonts w:ascii="Calibri" w:eastAsiaTheme="minorEastAsia" w:hAnsi="Calibri" w:cs="Calibri"/>
        </w:rPr>
      </w:pPr>
    </w:p>
    <w:p w14:paraId="52E6141C" w14:textId="16E75886" w:rsidR="00F37DC9" w:rsidRDefault="00F37DC9" w:rsidP="00B4285D">
      <w:pPr>
        <w:rPr>
          <w:rFonts w:ascii="Calibri" w:eastAsiaTheme="minorEastAsia" w:hAnsi="Calibri" w:cs="Calibri"/>
        </w:rPr>
      </w:pPr>
    </w:p>
    <w:p w14:paraId="59DD5F85" w14:textId="14AD5D2F" w:rsidR="00F37DC9" w:rsidRDefault="00F37DC9" w:rsidP="00B4285D">
      <w:pPr>
        <w:rPr>
          <w:rFonts w:ascii="Calibri" w:eastAsiaTheme="minorEastAsia" w:hAnsi="Calibri" w:cs="Calibri"/>
        </w:rPr>
      </w:pPr>
    </w:p>
    <w:p w14:paraId="333F07F6" w14:textId="217C26C9" w:rsidR="00F37DC9" w:rsidRDefault="00F37DC9" w:rsidP="00B4285D">
      <w:pPr>
        <w:rPr>
          <w:rFonts w:ascii="Calibri" w:eastAsiaTheme="minorEastAsia" w:hAnsi="Calibri" w:cs="Calibri"/>
        </w:rPr>
      </w:pPr>
    </w:p>
    <w:p w14:paraId="5ACD7EBC" w14:textId="267566DC" w:rsidR="00F37DC9" w:rsidRDefault="00F37DC9" w:rsidP="00272A8E">
      <w:pPr>
        <w:tabs>
          <w:tab w:val="left" w:pos="2532"/>
        </w:tabs>
        <w:rPr>
          <w:rFonts w:ascii="Calibri" w:eastAsiaTheme="minorEastAsia" w:hAnsi="Calibri" w:cs="Calibri"/>
        </w:rPr>
      </w:pPr>
    </w:p>
    <w:p w14:paraId="1EE8715A" w14:textId="77777777" w:rsidR="002F2215" w:rsidRDefault="002F2215" w:rsidP="00B4285D">
      <w:pPr>
        <w:rPr>
          <w:rFonts w:ascii="Calibri" w:eastAsiaTheme="minorEastAsia" w:hAnsi="Calibri" w:cs="Calibri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817"/>
        <w:gridCol w:w="3384"/>
      </w:tblGrid>
      <w:tr w:rsidR="0073410F" w:rsidRPr="00635D8B" w14:paraId="2BB4B9D8" w14:textId="77777777" w:rsidTr="001726CC">
        <w:trPr>
          <w:trHeight w:val="1364"/>
        </w:trPr>
        <w:tc>
          <w:tcPr>
            <w:tcW w:w="6817" w:type="dxa"/>
            <w:shd w:val="clear" w:color="auto" w:fill="13576B"/>
          </w:tcPr>
          <w:p w14:paraId="32CA9EB7" w14:textId="77777777" w:rsidR="0073410F" w:rsidRDefault="0073410F" w:rsidP="001726CC">
            <w:pPr>
              <w:pStyle w:val="CBANadpis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>O České bankovní asociaci</w:t>
            </w:r>
          </w:p>
          <w:p w14:paraId="22379D56" w14:textId="057F3E4D" w:rsidR="0073410F" w:rsidRDefault="0073410F" w:rsidP="001726CC">
            <w:pPr>
              <w:rPr>
                <w:rFonts w:ascii="Calibri" w:hAnsi="Calibri"/>
                <w:color w:val="FFFFFF"/>
                <w:sz w:val="22"/>
              </w:rPr>
            </w:pPr>
            <w:bookmarkStart w:id="4" w:name="_Hlk128734138"/>
            <w:r>
              <w:rPr>
                <w:color w:val="FFFFFF"/>
              </w:rPr>
              <w:t>Česká bankovní asociace (ČBA) je dobrovolné sdružení 3</w:t>
            </w:r>
            <w:r w:rsidR="004E3E95">
              <w:rPr>
                <w:color w:val="FFFFFF"/>
              </w:rPr>
              <w:t>3</w:t>
            </w:r>
            <w:r>
              <w:rPr>
                <w:color w:val="FFFFFF"/>
              </w:rPr>
              <w:t xml:space="preserve"> bank působících v České republice a reprezentuje tak 99 % trhu. Již 30 let podporuje nejen rozvoj bankovního sektoru, ale i celé ekonomiky a všeobecné finanční gramotnosti. ČBA je členem Evropské bankovní federace (EBF).</w:t>
            </w:r>
          </w:p>
          <w:bookmarkEnd w:id="4"/>
          <w:p w14:paraId="4A9BB153" w14:textId="77777777" w:rsidR="0073410F" w:rsidRDefault="0073410F" w:rsidP="001726CC">
            <w:pPr>
              <w:pStyle w:val="CBAodstavec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 xml:space="preserve">Více informací na </w:t>
            </w:r>
            <w:r>
              <w:rPr>
                <w:rFonts w:ascii="IBM Plex Sans" w:hAnsi="IBM Plex Sans" w:cs="Poppins"/>
                <w:color w:val="FFFFFF"/>
                <w:szCs w:val="18"/>
                <w:u w:val="single"/>
              </w:rPr>
              <w:t>www.cbaonline.cz.</w:t>
            </w:r>
            <w:r>
              <w:rPr>
                <w:rFonts w:ascii="IBM Plex Sans" w:hAnsi="IBM Plex Sans" w:cs="Poppins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51EEA920" w14:textId="77777777" w:rsidR="0073410F" w:rsidRDefault="0073410F" w:rsidP="001726CC">
            <w:pPr>
              <w:pStyle w:val="CBAodstavecvTABULCE"/>
              <w:rPr>
                <w:rFonts w:ascii="IBM Plex Sans" w:hAnsi="IBM Plex Sans" w:cs="Poppins"/>
                <w:b/>
                <w:bCs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 xml:space="preserve">                Dotazy posílejte na</w:t>
            </w:r>
          </w:p>
          <w:p w14:paraId="4BDB00A6" w14:textId="77777777" w:rsidR="0073410F" w:rsidRDefault="0073410F" w:rsidP="001726CC">
            <w:pPr>
              <w:pStyle w:val="CBAodstavecvTABULCE"/>
              <w:jc w:val="center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radek.salsa@cbaonline.cz</w:t>
            </w:r>
          </w:p>
        </w:tc>
      </w:tr>
    </w:tbl>
    <w:p w14:paraId="1AE6FC8E" w14:textId="01CA802E" w:rsidR="005C1943" w:rsidRPr="00F37DC9" w:rsidRDefault="005C1943" w:rsidP="0063005B">
      <w:pPr>
        <w:rPr>
          <w:rFonts w:ascii="Calibri" w:eastAsiaTheme="minorEastAsia" w:hAnsi="Calibri" w:cs="Calibri"/>
        </w:rPr>
      </w:pPr>
    </w:p>
    <w:sectPr w:rsidR="005C1943" w:rsidRPr="00F37DC9" w:rsidSect="00524989">
      <w:headerReference w:type="default" r:id="rId23"/>
      <w:footerReference w:type="default" r:id="rId24"/>
      <w:pgSz w:w="11906" w:h="16838"/>
      <w:pgMar w:top="2552" w:right="851" w:bottom="1418" w:left="85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279A" w14:textId="77777777" w:rsidR="001E5577" w:rsidRDefault="001E5577" w:rsidP="00F573F1">
      <w:r>
        <w:separator/>
      </w:r>
    </w:p>
  </w:endnote>
  <w:endnote w:type="continuationSeparator" w:id="0">
    <w:p w14:paraId="7E91A9B9" w14:textId="77777777" w:rsidR="001E5577" w:rsidRDefault="001E5577" w:rsidP="00F573F1">
      <w:r>
        <w:continuationSeparator/>
      </w:r>
    </w:p>
  </w:endnote>
  <w:endnote w:type="continuationNotice" w:id="1">
    <w:p w14:paraId="04A5FDB9" w14:textId="77777777" w:rsidR="001E5577" w:rsidRDefault="001E55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Cs w:val="18"/>
      </w:rPr>
      <w:id w:val="114994418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54F1F5" w14:textId="19327CD8" w:rsidR="00F37DC9" w:rsidRPr="00F37DC9" w:rsidRDefault="00F37DC9">
            <w:pPr>
              <w:pStyle w:val="Zpat"/>
              <w:jc w:val="right"/>
              <w:rPr>
                <w:rFonts w:ascii="Calibri" w:hAnsi="Calibri" w:cs="Calibri"/>
                <w:szCs w:val="18"/>
              </w:rPr>
            </w:pPr>
            <w:r w:rsidRPr="001E31AB">
              <w:rPr>
                <w:rFonts w:ascii="Calibri" w:hAnsi="Calibri"/>
                <w:noProof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40EC3339" wp14:editId="625B1AC4">
                  <wp:simplePos x="0" y="0"/>
                  <wp:positionH relativeFrom="column">
                    <wp:posOffset>-541020</wp:posOffset>
                  </wp:positionH>
                  <wp:positionV relativeFrom="paragraph">
                    <wp:posOffset>-137160</wp:posOffset>
                  </wp:positionV>
                  <wp:extent cx="3042285" cy="701040"/>
                  <wp:effectExtent l="0" t="0" r="5715" b="0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DC9">
              <w:rPr>
                <w:rFonts w:ascii="Calibri" w:hAnsi="Calibri" w:cs="Calibri"/>
                <w:szCs w:val="18"/>
              </w:rPr>
              <w:t xml:space="preserve">Stránka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PAGE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F37DC9">
              <w:rPr>
                <w:rFonts w:ascii="Calibri" w:hAnsi="Calibri" w:cs="Calibri"/>
                <w:szCs w:val="18"/>
              </w:rPr>
              <w:t xml:space="preserve"> z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NUMPAGES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6B2FBE8E" w14:textId="77777777" w:rsidR="00536B9B" w:rsidRPr="00FB4A1C" w:rsidRDefault="00536B9B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A8D3" w14:textId="77777777" w:rsidR="001E5577" w:rsidRDefault="001E5577" w:rsidP="00F573F1">
      <w:r>
        <w:separator/>
      </w:r>
    </w:p>
  </w:footnote>
  <w:footnote w:type="continuationSeparator" w:id="0">
    <w:p w14:paraId="3C5540C8" w14:textId="77777777" w:rsidR="001E5577" w:rsidRDefault="001E5577" w:rsidP="00F573F1">
      <w:r>
        <w:continuationSeparator/>
      </w:r>
    </w:p>
  </w:footnote>
  <w:footnote w:type="continuationNotice" w:id="1">
    <w:p w14:paraId="6556D4CE" w14:textId="77777777" w:rsidR="001E5577" w:rsidRDefault="001E55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6A72" w14:textId="2B5E0211" w:rsidR="00F37DC9" w:rsidRDefault="00F37DC9" w:rsidP="00F37DC9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F98975" wp14:editId="270559D0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A7D056" wp14:editId="7FF03F24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7EE12" w14:textId="508204F7" w:rsidR="00F37DC9" w:rsidRDefault="002B1A4A">
    <w:pPr>
      <w:pStyle w:val="Zhlav"/>
    </w:pPr>
    <w:r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5203F4D" wp14:editId="7D6E81C2">
              <wp:simplePos x="0" y="0"/>
              <wp:positionH relativeFrom="margin">
                <wp:posOffset>2425453</wp:posOffset>
              </wp:positionH>
              <wp:positionV relativeFrom="paragraph">
                <wp:posOffset>72859</wp:posOffset>
              </wp:positionV>
              <wp:extent cx="1709530" cy="1404620"/>
              <wp:effectExtent l="0" t="0" r="0" b="254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5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A903D" w14:textId="51009859" w:rsidR="002B1A4A" w:rsidRPr="002B1A4A" w:rsidRDefault="002B1A4A" w:rsidP="002B1A4A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203F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style="position:absolute;left:0;text-align:left;margin-left:191pt;margin-top:5.75pt;width:134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" filled="f" stroked="f">
              <v:textbox style="mso-fit-shape-to-text:t">
                <w:txbxContent>
                  <w:p w14:paraId="1F1A903D" w14:textId="51009859" w:rsidR="002B1A4A" w:rsidRPr="002B1A4A" w:rsidRDefault="002B1A4A" w:rsidP="002B1A4A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DC9"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5CB3763" wp14:editId="0D54C2D8">
              <wp:simplePos x="0" y="0"/>
              <wp:positionH relativeFrom="margin">
                <wp:posOffset>5289974</wp:posOffset>
              </wp:positionH>
              <wp:positionV relativeFrom="paragraph">
                <wp:posOffset>6985</wp:posOffset>
              </wp:positionV>
              <wp:extent cx="1239520" cy="1404620"/>
              <wp:effectExtent l="0" t="0" r="0" b="0"/>
              <wp:wrapNone/>
              <wp:docPr id="20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D1CFE" w14:textId="77777777" w:rsidR="00F37DC9" w:rsidRPr="00F37DC9" w:rsidRDefault="00F37DC9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 w:rsidRPr="00F37DC9"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  <w:t xml:space="preserve">TISKOVÁ ZPRÁVA </w:t>
                          </w:r>
                        </w:p>
                        <w:p w14:paraId="5CDE064D" w14:textId="0DABC128" w:rsidR="00F37DC9" w:rsidRPr="00F37DC9" w:rsidRDefault="00FE14E0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26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11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. 202</w:t>
                          </w:r>
                          <w:r w:rsidR="003503ED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CB3763" id="_x0000_s1031" type="#_x0000_t202" style="position:absolute;left:0;text-align:left;margin-left:416.55pt;margin-top:.55pt;width:9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" filled="f" stroked="f">
              <v:textbox style="mso-fit-shape-to-text:t">
                <w:txbxContent>
                  <w:p w14:paraId="49CD1CFE" w14:textId="77777777" w:rsidR="00F37DC9" w:rsidRPr="00F37DC9" w:rsidRDefault="00F37DC9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 w:rsidRPr="00F37DC9"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  <w:t xml:space="preserve">TISKOVÁ ZPRÁVA </w:t>
                    </w:r>
                  </w:p>
                  <w:p w14:paraId="5CDE064D" w14:textId="0DABC128" w:rsidR="00F37DC9" w:rsidRPr="00F37DC9" w:rsidRDefault="00FE14E0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26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11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. 202</w:t>
                    </w:r>
                    <w:r w:rsidR="003503ED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8A7"/>
    <w:multiLevelType w:val="hybridMultilevel"/>
    <w:tmpl w:val="ADD42E08"/>
    <w:lvl w:ilvl="0" w:tplc="9B0CB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C4DCE"/>
    <w:multiLevelType w:val="hybridMultilevel"/>
    <w:tmpl w:val="D4D47A08"/>
    <w:lvl w:ilvl="0" w:tplc="F062A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86F60"/>
    <w:multiLevelType w:val="hybridMultilevel"/>
    <w:tmpl w:val="3232EEBE"/>
    <w:lvl w:ilvl="0" w:tplc="491E8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2CEC"/>
    <w:multiLevelType w:val="hybridMultilevel"/>
    <w:tmpl w:val="FDB00238"/>
    <w:lvl w:ilvl="0" w:tplc="BD9EF86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BCF"/>
    <w:multiLevelType w:val="hybridMultilevel"/>
    <w:tmpl w:val="3554269C"/>
    <w:lvl w:ilvl="0" w:tplc="F52C1D16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41FF"/>
    <w:multiLevelType w:val="hybridMultilevel"/>
    <w:tmpl w:val="06ECF1A8"/>
    <w:lvl w:ilvl="0" w:tplc="72161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9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4DA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E1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44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FEB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2F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86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A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F3628E"/>
    <w:multiLevelType w:val="hybridMultilevel"/>
    <w:tmpl w:val="771602E6"/>
    <w:lvl w:ilvl="0" w:tplc="30548F9A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63A7"/>
    <w:multiLevelType w:val="hybridMultilevel"/>
    <w:tmpl w:val="F904BEEC"/>
    <w:lvl w:ilvl="0" w:tplc="E0A2536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A73130"/>
    <w:multiLevelType w:val="hybridMultilevel"/>
    <w:tmpl w:val="65281904"/>
    <w:lvl w:ilvl="0" w:tplc="DF56ABD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451B"/>
    <w:multiLevelType w:val="hybridMultilevel"/>
    <w:tmpl w:val="C1DEF65C"/>
    <w:lvl w:ilvl="0" w:tplc="0E7285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6527">
    <w:abstractNumId w:val="1"/>
  </w:num>
  <w:num w:numId="2" w16cid:durableId="433785663">
    <w:abstractNumId w:val="2"/>
  </w:num>
  <w:num w:numId="3" w16cid:durableId="1729918350">
    <w:abstractNumId w:val="10"/>
  </w:num>
  <w:num w:numId="4" w16cid:durableId="253903565">
    <w:abstractNumId w:val="7"/>
  </w:num>
  <w:num w:numId="5" w16cid:durableId="802504195">
    <w:abstractNumId w:val="3"/>
  </w:num>
  <w:num w:numId="6" w16cid:durableId="197862842">
    <w:abstractNumId w:val="4"/>
  </w:num>
  <w:num w:numId="7" w16cid:durableId="1431047350">
    <w:abstractNumId w:val="6"/>
  </w:num>
  <w:num w:numId="8" w16cid:durableId="1469476053">
    <w:abstractNumId w:val="12"/>
  </w:num>
  <w:num w:numId="9" w16cid:durableId="1848516986">
    <w:abstractNumId w:val="0"/>
  </w:num>
  <w:num w:numId="10" w16cid:durableId="2118717874">
    <w:abstractNumId w:val="9"/>
  </w:num>
  <w:num w:numId="11" w16cid:durableId="185876810">
    <w:abstractNumId w:val="8"/>
  </w:num>
  <w:num w:numId="12" w16cid:durableId="2013485861">
    <w:abstractNumId w:val="5"/>
  </w:num>
  <w:num w:numId="13" w16cid:durableId="754328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169"/>
    <w:rsid w:val="00001E30"/>
    <w:rsid w:val="00004650"/>
    <w:rsid w:val="00004B58"/>
    <w:rsid w:val="00005244"/>
    <w:rsid w:val="00006087"/>
    <w:rsid w:val="00006860"/>
    <w:rsid w:val="00014977"/>
    <w:rsid w:val="0001513F"/>
    <w:rsid w:val="000158F1"/>
    <w:rsid w:val="00016072"/>
    <w:rsid w:val="000162B2"/>
    <w:rsid w:val="000171EA"/>
    <w:rsid w:val="00017461"/>
    <w:rsid w:val="00017F00"/>
    <w:rsid w:val="000221D6"/>
    <w:rsid w:val="00023000"/>
    <w:rsid w:val="00026596"/>
    <w:rsid w:val="00032B41"/>
    <w:rsid w:val="00032EF8"/>
    <w:rsid w:val="00033084"/>
    <w:rsid w:val="00033B04"/>
    <w:rsid w:val="00034035"/>
    <w:rsid w:val="000349D8"/>
    <w:rsid w:val="00034F87"/>
    <w:rsid w:val="000366C2"/>
    <w:rsid w:val="00036DD3"/>
    <w:rsid w:val="000419CA"/>
    <w:rsid w:val="00044002"/>
    <w:rsid w:val="00044266"/>
    <w:rsid w:val="0005001B"/>
    <w:rsid w:val="0005108F"/>
    <w:rsid w:val="000544C4"/>
    <w:rsid w:val="0005493C"/>
    <w:rsid w:val="00054E8F"/>
    <w:rsid w:val="00055376"/>
    <w:rsid w:val="00055B74"/>
    <w:rsid w:val="00062A8A"/>
    <w:rsid w:val="00062D67"/>
    <w:rsid w:val="00062DC6"/>
    <w:rsid w:val="000650ED"/>
    <w:rsid w:val="00065AA0"/>
    <w:rsid w:val="00066333"/>
    <w:rsid w:val="00067197"/>
    <w:rsid w:val="00067501"/>
    <w:rsid w:val="0006786A"/>
    <w:rsid w:val="0007096D"/>
    <w:rsid w:val="00071B9F"/>
    <w:rsid w:val="0007438C"/>
    <w:rsid w:val="000766D5"/>
    <w:rsid w:val="00076970"/>
    <w:rsid w:val="0007755C"/>
    <w:rsid w:val="0008071A"/>
    <w:rsid w:val="0008238B"/>
    <w:rsid w:val="00082CD7"/>
    <w:rsid w:val="00082E1D"/>
    <w:rsid w:val="000831A0"/>
    <w:rsid w:val="0008323B"/>
    <w:rsid w:val="00086563"/>
    <w:rsid w:val="00087711"/>
    <w:rsid w:val="00087849"/>
    <w:rsid w:val="00087A3D"/>
    <w:rsid w:val="00092245"/>
    <w:rsid w:val="00092ACE"/>
    <w:rsid w:val="00093C64"/>
    <w:rsid w:val="00095A11"/>
    <w:rsid w:val="00097B97"/>
    <w:rsid w:val="000A00DE"/>
    <w:rsid w:val="000A086B"/>
    <w:rsid w:val="000A1677"/>
    <w:rsid w:val="000A1D30"/>
    <w:rsid w:val="000A1E1A"/>
    <w:rsid w:val="000A1EA1"/>
    <w:rsid w:val="000A2025"/>
    <w:rsid w:val="000A2144"/>
    <w:rsid w:val="000A2EC0"/>
    <w:rsid w:val="000A337A"/>
    <w:rsid w:val="000A34D4"/>
    <w:rsid w:val="000A39EF"/>
    <w:rsid w:val="000A5EDA"/>
    <w:rsid w:val="000A6730"/>
    <w:rsid w:val="000A72B8"/>
    <w:rsid w:val="000A7E0A"/>
    <w:rsid w:val="000B1B0C"/>
    <w:rsid w:val="000B27C5"/>
    <w:rsid w:val="000B47BE"/>
    <w:rsid w:val="000B4814"/>
    <w:rsid w:val="000B6BEC"/>
    <w:rsid w:val="000C1155"/>
    <w:rsid w:val="000C1D98"/>
    <w:rsid w:val="000C2287"/>
    <w:rsid w:val="000C552C"/>
    <w:rsid w:val="000C6B0C"/>
    <w:rsid w:val="000C779F"/>
    <w:rsid w:val="000C77D3"/>
    <w:rsid w:val="000D0BFE"/>
    <w:rsid w:val="000D12F8"/>
    <w:rsid w:val="000D1977"/>
    <w:rsid w:val="000D2B81"/>
    <w:rsid w:val="000D2DCD"/>
    <w:rsid w:val="000D314F"/>
    <w:rsid w:val="000D5D2B"/>
    <w:rsid w:val="000D70E4"/>
    <w:rsid w:val="000D7C38"/>
    <w:rsid w:val="000E1A02"/>
    <w:rsid w:val="000E1DF8"/>
    <w:rsid w:val="000E3A69"/>
    <w:rsid w:val="000E5E2A"/>
    <w:rsid w:val="000E7086"/>
    <w:rsid w:val="000F34A7"/>
    <w:rsid w:val="000F39C3"/>
    <w:rsid w:val="000F4797"/>
    <w:rsid w:val="000F60B1"/>
    <w:rsid w:val="000F790F"/>
    <w:rsid w:val="00100481"/>
    <w:rsid w:val="00100B73"/>
    <w:rsid w:val="001045A6"/>
    <w:rsid w:val="00104C8C"/>
    <w:rsid w:val="00104E9B"/>
    <w:rsid w:val="001058E0"/>
    <w:rsid w:val="00105C84"/>
    <w:rsid w:val="0010643C"/>
    <w:rsid w:val="001064A7"/>
    <w:rsid w:val="0011316F"/>
    <w:rsid w:val="00114049"/>
    <w:rsid w:val="0011443F"/>
    <w:rsid w:val="0011497E"/>
    <w:rsid w:val="00114D42"/>
    <w:rsid w:val="00115103"/>
    <w:rsid w:val="00115379"/>
    <w:rsid w:val="00115462"/>
    <w:rsid w:val="00116565"/>
    <w:rsid w:val="001202B4"/>
    <w:rsid w:val="00120A0D"/>
    <w:rsid w:val="0012304F"/>
    <w:rsid w:val="001230C1"/>
    <w:rsid w:val="001246BC"/>
    <w:rsid w:val="00124A05"/>
    <w:rsid w:val="00124FA1"/>
    <w:rsid w:val="00125474"/>
    <w:rsid w:val="0012566F"/>
    <w:rsid w:val="001262D3"/>
    <w:rsid w:val="00126D6F"/>
    <w:rsid w:val="00127A07"/>
    <w:rsid w:val="001309A9"/>
    <w:rsid w:val="00131552"/>
    <w:rsid w:val="0013261F"/>
    <w:rsid w:val="00134800"/>
    <w:rsid w:val="00135CBF"/>
    <w:rsid w:val="00135CD7"/>
    <w:rsid w:val="001362D6"/>
    <w:rsid w:val="00141F10"/>
    <w:rsid w:val="001422DD"/>
    <w:rsid w:val="00142834"/>
    <w:rsid w:val="00142FD3"/>
    <w:rsid w:val="00144F4C"/>
    <w:rsid w:val="00146670"/>
    <w:rsid w:val="00146F24"/>
    <w:rsid w:val="0014795B"/>
    <w:rsid w:val="00147E43"/>
    <w:rsid w:val="0015008F"/>
    <w:rsid w:val="00150BD1"/>
    <w:rsid w:val="00151610"/>
    <w:rsid w:val="0015167E"/>
    <w:rsid w:val="00153984"/>
    <w:rsid w:val="00153D1F"/>
    <w:rsid w:val="00154824"/>
    <w:rsid w:val="00156D1E"/>
    <w:rsid w:val="00156EF2"/>
    <w:rsid w:val="001607D6"/>
    <w:rsid w:val="001610CA"/>
    <w:rsid w:val="001613CA"/>
    <w:rsid w:val="00161A57"/>
    <w:rsid w:val="00161E9D"/>
    <w:rsid w:val="001642C0"/>
    <w:rsid w:val="001645F1"/>
    <w:rsid w:val="00164D55"/>
    <w:rsid w:val="00165709"/>
    <w:rsid w:val="00165D62"/>
    <w:rsid w:val="00166404"/>
    <w:rsid w:val="0016743F"/>
    <w:rsid w:val="00174667"/>
    <w:rsid w:val="001766F5"/>
    <w:rsid w:val="001768A6"/>
    <w:rsid w:val="001802DE"/>
    <w:rsid w:val="001828E8"/>
    <w:rsid w:val="0018297A"/>
    <w:rsid w:val="001855FF"/>
    <w:rsid w:val="001869EE"/>
    <w:rsid w:val="00186E9F"/>
    <w:rsid w:val="00187BEF"/>
    <w:rsid w:val="00190861"/>
    <w:rsid w:val="001914C2"/>
    <w:rsid w:val="00191CB2"/>
    <w:rsid w:val="00193933"/>
    <w:rsid w:val="00194F73"/>
    <w:rsid w:val="001951E8"/>
    <w:rsid w:val="00195399"/>
    <w:rsid w:val="00195C6D"/>
    <w:rsid w:val="001960B2"/>
    <w:rsid w:val="0019625C"/>
    <w:rsid w:val="0019764B"/>
    <w:rsid w:val="001A19BA"/>
    <w:rsid w:val="001A3800"/>
    <w:rsid w:val="001A7447"/>
    <w:rsid w:val="001A7E43"/>
    <w:rsid w:val="001A7F7D"/>
    <w:rsid w:val="001B33B0"/>
    <w:rsid w:val="001B35D7"/>
    <w:rsid w:val="001B44EF"/>
    <w:rsid w:val="001B4FA1"/>
    <w:rsid w:val="001B5613"/>
    <w:rsid w:val="001B5FE5"/>
    <w:rsid w:val="001B69C3"/>
    <w:rsid w:val="001B79B9"/>
    <w:rsid w:val="001B7A61"/>
    <w:rsid w:val="001B7FB3"/>
    <w:rsid w:val="001C03DD"/>
    <w:rsid w:val="001C0DF4"/>
    <w:rsid w:val="001C1C00"/>
    <w:rsid w:val="001C1FEF"/>
    <w:rsid w:val="001C25B6"/>
    <w:rsid w:val="001C297A"/>
    <w:rsid w:val="001C2A36"/>
    <w:rsid w:val="001C333D"/>
    <w:rsid w:val="001C3443"/>
    <w:rsid w:val="001C48A4"/>
    <w:rsid w:val="001C576C"/>
    <w:rsid w:val="001C7F27"/>
    <w:rsid w:val="001D20AB"/>
    <w:rsid w:val="001D245F"/>
    <w:rsid w:val="001D5BB9"/>
    <w:rsid w:val="001E07DA"/>
    <w:rsid w:val="001E0DB9"/>
    <w:rsid w:val="001E1D50"/>
    <w:rsid w:val="001E3643"/>
    <w:rsid w:val="001E4A94"/>
    <w:rsid w:val="001E4E51"/>
    <w:rsid w:val="001E5577"/>
    <w:rsid w:val="001E6405"/>
    <w:rsid w:val="001E6A1E"/>
    <w:rsid w:val="001F5756"/>
    <w:rsid w:val="001F64CB"/>
    <w:rsid w:val="001F6807"/>
    <w:rsid w:val="001F783F"/>
    <w:rsid w:val="001F7C24"/>
    <w:rsid w:val="00202169"/>
    <w:rsid w:val="00202BDA"/>
    <w:rsid w:val="00203F12"/>
    <w:rsid w:val="002050D0"/>
    <w:rsid w:val="00205254"/>
    <w:rsid w:val="002057D4"/>
    <w:rsid w:val="00212C61"/>
    <w:rsid w:val="00213F46"/>
    <w:rsid w:val="00213FC6"/>
    <w:rsid w:val="00214FAB"/>
    <w:rsid w:val="002165FE"/>
    <w:rsid w:val="00217AD4"/>
    <w:rsid w:val="00217E6B"/>
    <w:rsid w:val="002207A6"/>
    <w:rsid w:val="00221E42"/>
    <w:rsid w:val="00222AA1"/>
    <w:rsid w:val="0022377B"/>
    <w:rsid w:val="00224038"/>
    <w:rsid w:val="00224284"/>
    <w:rsid w:val="00224F0E"/>
    <w:rsid w:val="002401B0"/>
    <w:rsid w:val="002418DB"/>
    <w:rsid w:val="00242192"/>
    <w:rsid w:val="00244B0F"/>
    <w:rsid w:val="00245099"/>
    <w:rsid w:val="0024553D"/>
    <w:rsid w:val="00246F10"/>
    <w:rsid w:val="00247943"/>
    <w:rsid w:val="0025106C"/>
    <w:rsid w:val="002511A0"/>
    <w:rsid w:val="00251963"/>
    <w:rsid w:val="00252997"/>
    <w:rsid w:val="00253ECD"/>
    <w:rsid w:val="00254030"/>
    <w:rsid w:val="00254EB5"/>
    <w:rsid w:val="00261296"/>
    <w:rsid w:val="00261512"/>
    <w:rsid w:val="002624E9"/>
    <w:rsid w:val="002636B5"/>
    <w:rsid w:val="00263F96"/>
    <w:rsid w:val="00264CED"/>
    <w:rsid w:val="00264F1B"/>
    <w:rsid w:val="00266E32"/>
    <w:rsid w:val="00267813"/>
    <w:rsid w:val="00267ACA"/>
    <w:rsid w:val="0027007C"/>
    <w:rsid w:val="002728A8"/>
    <w:rsid w:val="00272A8E"/>
    <w:rsid w:val="00272AB0"/>
    <w:rsid w:val="00273B83"/>
    <w:rsid w:val="00273C29"/>
    <w:rsid w:val="0027402B"/>
    <w:rsid w:val="00275FB5"/>
    <w:rsid w:val="0027655E"/>
    <w:rsid w:val="0028253D"/>
    <w:rsid w:val="00282A5F"/>
    <w:rsid w:val="0028378F"/>
    <w:rsid w:val="00284DD5"/>
    <w:rsid w:val="002858AE"/>
    <w:rsid w:val="002878FD"/>
    <w:rsid w:val="00292C2B"/>
    <w:rsid w:val="002930C9"/>
    <w:rsid w:val="0029614D"/>
    <w:rsid w:val="002A2B40"/>
    <w:rsid w:val="002A2D5A"/>
    <w:rsid w:val="002A2ED6"/>
    <w:rsid w:val="002A3E47"/>
    <w:rsid w:val="002A60DC"/>
    <w:rsid w:val="002A7837"/>
    <w:rsid w:val="002B1A4A"/>
    <w:rsid w:val="002B273C"/>
    <w:rsid w:val="002B3725"/>
    <w:rsid w:val="002B5D56"/>
    <w:rsid w:val="002C063C"/>
    <w:rsid w:val="002C0B36"/>
    <w:rsid w:val="002C1004"/>
    <w:rsid w:val="002C1871"/>
    <w:rsid w:val="002C2AE2"/>
    <w:rsid w:val="002C4547"/>
    <w:rsid w:val="002C4F14"/>
    <w:rsid w:val="002C51A7"/>
    <w:rsid w:val="002C5839"/>
    <w:rsid w:val="002C752B"/>
    <w:rsid w:val="002D12BD"/>
    <w:rsid w:val="002D1376"/>
    <w:rsid w:val="002D2DEC"/>
    <w:rsid w:val="002D34FC"/>
    <w:rsid w:val="002D3F33"/>
    <w:rsid w:val="002D4C1A"/>
    <w:rsid w:val="002D57C2"/>
    <w:rsid w:val="002D6131"/>
    <w:rsid w:val="002D615E"/>
    <w:rsid w:val="002D6B03"/>
    <w:rsid w:val="002E1078"/>
    <w:rsid w:val="002E18D7"/>
    <w:rsid w:val="002E1F2F"/>
    <w:rsid w:val="002E39FF"/>
    <w:rsid w:val="002E3DF7"/>
    <w:rsid w:val="002E4A51"/>
    <w:rsid w:val="002E5008"/>
    <w:rsid w:val="002E732D"/>
    <w:rsid w:val="002E7CA6"/>
    <w:rsid w:val="002F076C"/>
    <w:rsid w:val="002F1A0F"/>
    <w:rsid w:val="002F2215"/>
    <w:rsid w:val="002F3D6C"/>
    <w:rsid w:val="002F477C"/>
    <w:rsid w:val="002F6016"/>
    <w:rsid w:val="00302451"/>
    <w:rsid w:val="00302716"/>
    <w:rsid w:val="00303B8A"/>
    <w:rsid w:val="00303D8D"/>
    <w:rsid w:val="00303DD6"/>
    <w:rsid w:val="00304E17"/>
    <w:rsid w:val="00310201"/>
    <w:rsid w:val="00310D0B"/>
    <w:rsid w:val="00310ECE"/>
    <w:rsid w:val="003123D0"/>
    <w:rsid w:val="00312467"/>
    <w:rsid w:val="0031389C"/>
    <w:rsid w:val="00314231"/>
    <w:rsid w:val="003152F5"/>
    <w:rsid w:val="00315BAC"/>
    <w:rsid w:val="00315F30"/>
    <w:rsid w:val="003161ED"/>
    <w:rsid w:val="00316A23"/>
    <w:rsid w:val="003172F8"/>
    <w:rsid w:val="00320075"/>
    <w:rsid w:val="00320A31"/>
    <w:rsid w:val="00320A3F"/>
    <w:rsid w:val="003215CA"/>
    <w:rsid w:val="0032171F"/>
    <w:rsid w:val="0032297D"/>
    <w:rsid w:val="0032343F"/>
    <w:rsid w:val="003239D9"/>
    <w:rsid w:val="00324583"/>
    <w:rsid w:val="00325C91"/>
    <w:rsid w:val="00327407"/>
    <w:rsid w:val="00327E59"/>
    <w:rsid w:val="003305B2"/>
    <w:rsid w:val="003306A1"/>
    <w:rsid w:val="003334FA"/>
    <w:rsid w:val="00334A50"/>
    <w:rsid w:val="00335332"/>
    <w:rsid w:val="00335638"/>
    <w:rsid w:val="003366D7"/>
    <w:rsid w:val="0033687A"/>
    <w:rsid w:val="00336B96"/>
    <w:rsid w:val="00337931"/>
    <w:rsid w:val="003401BC"/>
    <w:rsid w:val="00342579"/>
    <w:rsid w:val="00343CB8"/>
    <w:rsid w:val="00345D5D"/>
    <w:rsid w:val="003464C2"/>
    <w:rsid w:val="00346FF6"/>
    <w:rsid w:val="003503ED"/>
    <w:rsid w:val="00351068"/>
    <w:rsid w:val="0035275E"/>
    <w:rsid w:val="003533C5"/>
    <w:rsid w:val="00355435"/>
    <w:rsid w:val="0035571B"/>
    <w:rsid w:val="00356262"/>
    <w:rsid w:val="0035702D"/>
    <w:rsid w:val="003571AD"/>
    <w:rsid w:val="00357877"/>
    <w:rsid w:val="00360F61"/>
    <w:rsid w:val="00361426"/>
    <w:rsid w:val="00361DD8"/>
    <w:rsid w:val="00362759"/>
    <w:rsid w:val="00364050"/>
    <w:rsid w:val="00364371"/>
    <w:rsid w:val="0036442C"/>
    <w:rsid w:val="003654CD"/>
    <w:rsid w:val="00365B2D"/>
    <w:rsid w:val="00365D50"/>
    <w:rsid w:val="003660C8"/>
    <w:rsid w:val="003668D4"/>
    <w:rsid w:val="00366C7D"/>
    <w:rsid w:val="00367443"/>
    <w:rsid w:val="00367D3B"/>
    <w:rsid w:val="00367F9E"/>
    <w:rsid w:val="0037051A"/>
    <w:rsid w:val="003707A8"/>
    <w:rsid w:val="00370F35"/>
    <w:rsid w:val="003713E7"/>
    <w:rsid w:val="003716C3"/>
    <w:rsid w:val="003724E9"/>
    <w:rsid w:val="003727EB"/>
    <w:rsid w:val="0037320F"/>
    <w:rsid w:val="0037353B"/>
    <w:rsid w:val="00373AE4"/>
    <w:rsid w:val="00373D9D"/>
    <w:rsid w:val="003745FD"/>
    <w:rsid w:val="00375EA8"/>
    <w:rsid w:val="00380C99"/>
    <w:rsid w:val="003831B6"/>
    <w:rsid w:val="00383E25"/>
    <w:rsid w:val="003844CD"/>
    <w:rsid w:val="003909E1"/>
    <w:rsid w:val="00391FA6"/>
    <w:rsid w:val="0039301A"/>
    <w:rsid w:val="00393731"/>
    <w:rsid w:val="003947A8"/>
    <w:rsid w:val="003952ED"/>
    <w:rsid w:val="00395434"/>
    <w:rsid w:val="00395A5D"/>
    <w:rsid w:val="00396883"/>
    <w:rsid w:val="00397D2D"/>
    <w:rsid w:val="00397F9F"/>
    <w:rsid w:val="003A0AAE"/>
    <w:rsid w:val="003A1647"/>
    <w:rsid w:val="003A2F89"/>
    <w:rsid w:val="003A30BE"/>
    <w:rsid w:val="003A42C1"/>
    <w:rsid w:val="003A5DED"/>
    <w:rsid w:val="003A6E43"/>
    <w:rsid w:val="003A6F74"/>
    <w:rsid w:val="003B0E41"/>
    <w:rsid w:val="003B29C5"/>
    <w:rsid w:val="003B2E15"/>
    <w:rsid w:val="003B2E74"/>
    <w:rsid w:val="003B3F77"/>
    <w:rsid w:val="003B48EF"/>
    <w:rsid w:val="003B61CD"/>
    <w:rsid w:val="003B6752"/>
    <w:rsid w:val="003C2B53"/>
    <w:rsid w:val="003C2DA2"/>
    <w:rsid w:val="003C3D7F"/>
    <w:rsid w:val="003C4F56"/>
    <w:rsid w:val="003C5DC3"/>
    <w:rsid w:val="003C7352"/>
    <w:rsid w:val="003C7394"/>
    <w:rsid w:val="003C7CA9"/>
    <w:rsid w:val="003D104A"/>
    <w:rsid w:val="003D1132"/>
    <w:rsid w:val="003D14D7"/>
    <w:rsid w:val="003D2AB0"/>
    <w:rsid w:val="003D424E"/>
    <w:rsid w:val="003D5446"/>
    <w:rsid w:val="003D6D17"/>
    <w:rsid w:val="003E0BE6"/>
    <w:rsid w:val="003E0E58"/>
    <w:rsid w:val="003E1610"/>
    <w:rsid w:val="003E2BA3"/>
    <w:rsid w:val="003E31EA"/>
    <w:rsid w:val="003E3DCB"/>
    <w:rsid w:val="003E515C"/>
    <w:rsid w:val="003E6581"/>
    <w:rsid w:val="003E6B52"/>
    <w:rsid w:val="003E75D1"/>
    <w:rsid w:val="003F1CB9"/>
    <w:rsid w:val="003F2B91"/>
    <w:rsid w:val="003F3510"/>
    <w:rsid w:val="003F431E"/>
    <w:rsid w:val="003F618A"/>
    <w:rsid w:val="003F7F31"/>
    <w:rsid w:val="0040072F"/>
    <w:rsid w:val="00401262"/>
    <w:rsid w:val="00401322"/>
    <w:rsid w:val="00402738"/>
    <w:rsid w:val="00404CED"/>
    <w:rsid w:val="00405C26"/>
    <w:rsid w:val="00407468"/>
    <w:rsid w:val="00407F75"/>
    <w:rsid w:val="00410C72"/>
    <w:rsid w:val="00411E07"/>
    <w:rsid w:val="00414950"/>
    <w:rsid w:val="00416028"/>
    <w:rsid w:val="00416A62"/>
    <w:rsid w:val="00420888"/>
    <w:rsid w:val="00421049"/>
    <w:rsid w:val="0042113A"/>
    <w:rsid w:val="00422611"/>
    <w:rsid w:val="00423B22"/>
    <w:rsid w:val="00425C7D"/>
    <w:rsid w:val="004300C6"/>
    <w:rsid w:val="00430E68"/>
    <w:rsid w:val="00432B0F"/>
    <w:rsid w:val="004333DE"/>
    <w:rsid w:val="00433E42"/>
    <w:rsid w:val="00435968"/>
    <w:rsid w:val="00435AAD"/>
    <w:rsid w:val="00435C21"/>
    <w:rsid w:val="004366A2"/>
    <w:rsid w:val="00437356"/>
    <w:rsid w:val="00437589"/>
    <w:rsid w:val="004401B1"/>
    <w:rsid w:val="004403EB"/>
    <w:rsid w:val="00442322"/>
    <w:rsid w:val="0044304B"/>
    <w:rsid w:val="004475DD"/>
    <w:rsid w:val="004476CB"/>
    <w:rsid w:val="00447B3F"/>
    <w:rsid w:val="00453B4E"/>
    <w:rsid w:val="00453E1C"/>
    <w:rsid w:val="00454547"/>
    <w:rsid w:val="004551CA"/>
    <w:rsid w:val="00455AD4"/>
    <w:rsid w:val="0045664E"/>
    <w:rsid w:val="00457A66"/>
    <w:rsid w:val="0046134F"/>
    <w:rsid w:val="00462589"/>
    <w:rsid w:val="00463781"/>
    <w:rsid w:val="00463F39"/>
    <w:rsid w:val="0047073B"/>
    <w:rsid w:val="00471FFB"/>
    <w:rsid w:val="004728A5"/>
    <w:rsid w:val="00472906"/>
    <w:rsid w:val="00474A86"/>
    <w:rsid w:val="0047616B"/>
    <w:rsid w:val="00476BD0"/>
    <w:rsid w:val="00477857"/>
    <w:rsid w:val="004817D8"/>
    <w:rsid w:val="00483BB7"/>
    <w:rsid w:val="00484A70"/>
    <w:rsid w:val="00484CE4"/>
    <w:rsid w:val="00484DC6"/>
    <w:rsid w:val="00485076"/>
    <w:rsid w:val="004852C9"/>
    <w:rsid w:val="00485870"/>
    <w:rsid w:val="00490B90"/>
    <w:rsid w:val="00490DDA"/>
    <w:rsid w:val="0049113D"/>
    <w:rsid w:val="0049132F"/>
    <w:rsid w:val="00495A30"/>
    <w:rsid w:val="0049605B"/>
    <w:rsid w:val="0049790B"/>
    <w:rsid w:val="004A03FB"/>
    <w:rsid w:val="004A1724"/>
    <w:rsid w:val="004A2FAE"/>
    <w:rsid w:val="004A6401"/>
    <w:rsid w:val="004A6443"/>
    <w:rsid w:val="004A6B15"/>
    <w:rsid w:val="004A7ABD"/>
    <w:rsid w:val="004A7D28"/>
    <w:rsid w:val="004B025B"/>
    <w:rsid w:val="004B1725"/>
    <w:rsid w:val="004B49EC"/>
    <w:rsid w:val="004B4C95"/>
    <w:rsid w:val="004B4D9A"/>
    <w:rsid w:val="004B4E22"/>
    <w:rsid w:val="004C133B"/>
    <w:rsid w:val="004C1B31"/>
    <w:rsid w:val="004C297A"/>
    <w:rsid w:val="004C389E"/>
    <w:rsid w:val="004C3EBA"/>
    <w:rsid w:val="004C4302"/>
    <w:rsid w:val="004C5DF3"/>
    <w:rsid w:val="004C5ED8"/>
    <w:rsid w:val="004C6901"/>
    <w:rsid w:val="004D12DA"/>
    <w:rsid w:val="004D1CED"/>
    <w:rsid w:val="004D5EDF"/>
    <w:rsid w:val="004D63E3"/>
    <w:rsid w:val="004D6685"/>
    <w:rsid w:val="004D6922"/>
    <w:rsid w:val="004D7651"/>
    <w:rsid w:val="004E1A7D"/>
    <w:rsid w:val="004E1AC6"/>
    <w:rsid w:val="004E27AE"/>
    <w:rsid w:val="004E3A25"/>
    <w:rsid w:val="004E3E95"/>
    <w:rsid w:val="004E4AD6"/>
    <w:rsid w:val="004E6615"/>
    <w:rsid w:val="004E6814"/>
    <w:rsid w:val="004F0729"/>
    <w:rsid w:val="004F09E3"/>
    <w:rsid w:val="004F1275"/>
    <w:rsid w:val="004F196E"/>
    <w:rsid w:val="004F24F2"/>
    <w:rsid w:val="004F29DA"/>
    <w:rsid w:val="004F4A74"/>
    <w:rsid w:val="005024DC"/>
    <w:rsid w:val="00503095"/>
    <w:rsid w:val="00504443"/>
    <w:rsid w:val="005044E1"/>
    <w:rsid w:val="005045E5"/>
    <w:rsid w:val="00504A5F"/>
    <w:rsid w:val="00505601"/>
    <w:rsid w:val="00505850"/>
    <w:rsid w:val="00505C9C"/>
    <w:rsid w:val="005061AA"/>
    <w:rsid w:val="00506DF1"/>
    <w:rsid w:val="00507B3C"/>
    <w:rsid w:val="00512418"/>
    <w:rsid w:val="0051322A"/>
    <w:rsid w:val="005142C0"/>
    <w:rsid w:val="0051446C"/>
    <w:rsid w:val="00517111"/>
    <w:rsid w:val="005208C8"/>
    <w:rsid w:val="00520AEA"/>
    <w:rsid w:val="00520BE6"/>
    <w:rsid w:val="00520C82"/>
    <w:rsid w:val="00521B07"/>
    <w:rsid w:val="005228D2"/>
    <w:rsid w:val="00524989"/>
    <w:rsid w:val="00525ABD"/>
    <w:rsid w:val="00525F88"/>
    <w:rsid w:val="0052644D"/>
    <w:rsid w:val="00526818"/>
    <w:rsid w:val="00527304"/>
    <w:rsid w:val="00527C61"/>
    <w:rsid w:val="00532363"/>
    <w:rsid w:val="005354AE"/>
    <w:rsid w:val="00536B9B"/>
    <w:rsid w:val="00537515"/>
    <w:rsid w:val="00537656"/>
    <w:rsid w:val="005376D6"/>
    <w:rsid w:val="00537A4D"/>
    <w:rsid w:val="00537C68"/>
    <w:rsid w:val="00540AD1"/>
    <w:rsid w:val="00545533"/>
    <w:rsid w:val="00545FBC"/>
    <w:rsid w:val="0054647F"/>
    <w:rsid w:val="0054661B"/>
    <w:rsid w:val="00550C81"/>
    <w:rsid w:val="0055128F"/>
    <w:rsid w:val="00551B4C"/>
    <w:rsid w:val="005531EC"/>
    <w:rsid w:val="00553FBC"/>
    <w:rsid w:val="005547BF"/>
    <w:rsid w:val="00554D9D"/>
    <w:rsid w:val="005552E9"/>
    <w:rsid w:val="00555B91"/>
    <w:rsid w:val="00556F82"/>
    <w:rsid w:val="00561FE2"/>
    <w:rsid w:val="00562D02"/>
    <w:rsid w:val="0056315C"/>
    <w:rsid w:val="0056335A"/>
    <w:rsid w:val="00563E7E"/>
    <w:rsid w:val="005642DD"/>
    <w:rsid w:val="00564C9B"/>
    <w:rsid w:val="00566C95"/>
    <w:rsid w:val="00571647"/>
    <w:rsid w:val="00571819"/>
    <w:rsid w:val="00572DA2"/>
    <w:rsid w:val="005736B5"/>
    <w:rsid w:val="00576028"/>
    <w:rsid w:val="005763DB"/>
    <w:rsid w:val="005775FE"/>
    <w:rsid w:val="00577677"/>
    <w:rsid w:val="0058017E"/>
    <w:rsid w:val="00580733"/>
    <w:rsid w:val="00581327"/>
    <w:rsid w:val="00581C97"/>
    <w:rsid w:val="0058265B"/>
    <w:rsid w:val="0058388D"/>
    <w:rsid w:val="005839E3"/>
    <w:rsid w:val="005839F2"/>
    <w:rsid w:val="00585A0A"/>
    <w:rsid w:val="005864AD"/>
    <w:rsid w:val="00587061"/>
    <w:rsid w:val="00587F82"/>
    <w:rsid w:val="00591B8C"/>
    <w:rsid w:val="00593090"/>
    <w:rsid w:val="00594873"/>
    <w:rsid w:val="00594F62"/>
    <w:rsid w:val="005954B4"/>
    <w:rsid w:val="00595CAD"/>
    <w:rsid w:val="00596CED"/>
    <w:rsid w:val="005A2501"/>
    <w:rsid w:val="005A28E8"/>
    <w:rsid w:val="005A2AF1"/>
    <w:rsid w:val="005A3968"/>
    <w:rsid w:val="005A44FF"/>
    <w:rsid w:val="005A5299"/>
    <w:rsid w:val="005A7A4D"/>
    <w:rsid w:val="005A7E70"/>
    <w:rsid w:val="005B006B"/>
    <w:rsid w:val="005B12FA"/>
    <w:rsid w:val="005B1718"/>
    <w:rsid w:val="005B2A69"/>
    <w:rsid w:val="005B4768"/>
    <w:rsid w:val="005B493E"/>
    <w:rsid w:val="005B7249"/>
    <w:rsid w:val="005C01AE"/>
    <w:rsid w:val="005C11B5"/>
    <w:rsid w:val="005C13B0"/>
    <w:rsid w:val="005C1943"/>
    <w:rsid w:val="005C3C3C"/>
    <w:rsid w:val="005C41EF"/>
    <w:rsid w:val="005C575F"/>
    <w:rsid w:val="005C60BB"/>
    <w:rsid w:val="005C6A0D"/>
    <w:rsid w:val="005C6BBE"/>
    <w:rsid w:val="005C6D52"/>
    <w:rsid w:val="005C6DB6"/>
    <w:rsid w:val="005C7415"/>
    <w:rsid w:val="005D053D"/>
    <w:rsid w:val="005D0910"/>
    <w:rsid w:val="005D42A6"/>
    <w:rsid w:val="005D42B1"/>
    <w:rsid w:val="005D59CD"/>
    <w:rsid w:val="005D738B"/>
    <w:rsid w:val="005E0B44"/>
    <w:rsid w:val="005E1864"/>
    <w:rsid w:val="005E236A"/>
    <w:rsid w:val="005E3B90"/>
    <w:rsid w:val="005E419A"/>
    <w:rsid w:val="005E51FF"/>
    <w:rsid w:val="005E58E1"/>
    <w:rsid w:val="005E5B24"/>
    <w:rsid w:val="005E5B52"/>
    <w:rsid w:val="005E5ECB"/>
    <w:rsid w:val="005E7020"/>
    <w:rsid w:val="005F084E"/>
    <w:rsid w:val="005F0A8A"/>
    <w:rsid w:val="005F3FF0"/>
    <w:rsid w:val="005F4524"/>
    <w:rsid w:val="005F4ABC"/>
    <w:rsid w:val="005F5EB0"/>
    <w:rsid w:val="005F772B"/>
    <w:rsid w:val="005F7A84"/>
    <w:rsid w:val="0060060A"/>
    <w:rsid w:val="006028B1"/>
    <w:rsid w:val="00602E5F"/>
    <w:rsid w:val="00602FFB"/>
    <w:rsid w:val="00603141"/>
    <w:rsid w:val="00603693"/>
    <w:rsid w:val="00603B79"/>
    <w:rsid w:val="00603B91"/>
    <w:rsid w:val="00604274"/>
    <w:rsid w:val="0060552B"/>
    <w:rsid w:val="00610BEA"/>
    <w:rsid w:val="00611326"/>
    <w:rsid w:val="00611C5C"/>
    <w:rsid w:val="00611EFE"/>
    <w:rsid w:val="00612725"/>
    <w:rsid w:val="006146A8"/>
    <w:rsid w:val="00614E76"/>
    <w:rsid w:val="006155CF"/>
    <w:rsid w:val="006160C8"/>
    <w:rsid w:val="00621963"/>
    <w:rsid w:val="006223AD"/>
    <w:rsid w:val="00623B0C"/>
    <w:rsid w:val="006257D7"/>
    <w:rsid w:val="00626065"/>
    <w:rsid w:val="00626382"/>
    <w:rsid w:val="00627C6F"/>
    <w:rsid w:val="0063005B"/>
    <w:rsid w:val="00632959"/>
    <w:rsid w:val="00632A2F"/>
    <w:rsid w:val="00634862"/>
    <w:rsid w:val="00635DD9"/>
    <w:rsid w:val="00635F63"/>
    <w:rsid w:val="00640878"/>
    <w:rsid w:val="00642A66"/>
    <w:rsid w:val="00643505"/>
    <w:rsid w:val="0064499D"/>
    <w:rsid w:val="006454CC"/>
    <w:rsid w:val="0064654D"/>
    <w:rsid w:val="0064668C"/>
    <w:rsid w:val="006478ED"/>
    <w:rsid w:val="00647974"/>
    <w:rsid w:val="00650A3A"/>
    <w:rsid w:val="00650A73"/>
    <w:rsid w:val="006529D6"/>
    <w:rsid w:val="00652DE8"/>
    <w:rsid w:val="00653FBB"/>
    <w:rsid w:val="0065523B"/>
    <w:rsid w:val="0065675B"/>
    <w:rsid w:val="00660A8C"/>
    <w:rsid w:val="0066376E"/>
    <w:rsid w:val="00663D34"/>
    <w:rsid w:val="006642E5"/>
    <w:rsid w:val="0066436B"/>
    <w:rsid w:val="00664659"/>
    <w:rsid w:val="006648C4"/>
    <w:rsid w:val="0066682C"/>
    <w:rsid w:val="006669D1"/>
    <w:rsid w:val="006674AE"/>
    <w:rsid w:val="0066782D"/>
    <w:rsid w:val="00667BA1"/>
    <w:rsid w:val="0067027E"/>
    <w:rsid w:val="00670BEE"/>
    <w:rsid w:val="0067115A"/>
    <w:rsid w:val="0067201E"/>
    <w:rsid w:val="006723C7"/>
    <w:rsid w:val="006733E8"/>
    <w:rsid w:val="006756EC"/>
    <w:rsid w:val="006756FC"/>
    <w:rsid w:val="00675820"/>
    <w:rsid w:val="00675D0C"/>
    <w:rsid w:val="00675EBD"/>
    <w:rsid w:val="00676F20"/>
    <w:rsid w:val="00680B54"/>
    <w:rsid w:val="00682D20"/>
    <w:rsid w:val="0068337D"/>
    <w:rsid w:val="00683E88"/>
    <w:rsid w:val="00685126"/>
    <w:rsid w:val="0068657C"/>
    <w:rsid w:val="0069201F"/>
    <w:rsid w:val="006952F0"/>
    <w:rsid w:val="006963D2"/>
    <w:rsid w:val="006973A5"/>
    <w:rsid w:val="00697575"/>
    <w:rsid w:val="006A00DF"/>
    <w:rsid w:val="006A062A"/>
    <w:rsid w:val="006A1E09"/>
    <w:rsid w:val="006A3419"/>
    <w:rsid w:val="006A3C9A"/>
    <w:rsid w:val="006A4148"/>
    <w:rsid w:val="006A437E"/>
    <w:rsid w:val="006A54C3"/>
    <w:rsid w:val="006A5DB5"/>
    <w:rsid w:val="006A640B"/>
    <w:rsid w:val="006A7A3C"/>
    <w:rsid w:val="006A7ECC"/>
    <w:rsid w:val="006B03F0"/>
    <w:rsid w:val="006B18B6"/>
    <w:rsid w:val="006B19D1"/>
    <w:rsid w:val="006B211F"/>
    <w:rsid w:val="006B2ADD"/>
    <w:rsid w:val="006B2CA3"/>
    <w:rsid w:val="006B2F86"/>
    <w:rsid w:val="006B3936"/>
    <w:rsid w:val="006B3B72"/>
    <w:rsid w:val="006B5123"/>
    <w:rsid w:val="006B5EA5"/>
    <w:rsid w:val="006B60A6"/>
    <w:rsid w:val="006B650F"/>
    <w:rsid w:val="006B68CC"/>
    <w:rsid w:val="006B7DE5"/>
    <w:rsid w:val="006C035F"/>
    <w:rsid w:val="006C362A"/>
    <w:rsid w:val="006C3AF8"/>
    <w:rsid w:val="006C3BE5"/>
    <w:rsid w:val="006C4385"/>
    <w:rsid w:val="006C5A37"/>
    <w:rsid w:val="006C6CFF"/>
    <w:rsid w:val="006C6D8D"/>
    <w:rsid w:val="006C6DCB"/>
    <w:rsid w:val="006C7AFD"/>
    <w:rsid w:val="006D0B7D"/>
    <w:rsid w:val="006D1635"/>
    <w:rsid w:val="006D182D"/>
    <w:rsid w:val="006D23EF"/>
    <w:rsid w:val="006D3D9F"/>
    <w:rsid w:val="006D5E66"/>
    <w:rsid w:val="006D7299"/>
    <w:rsid w:val="006D7467"/>
    <w:rsid w:val="006D74B0"/>
    <w:rsid w:val="006D7A25"/>
    <w:rsid w:val="006E0634"/>
    <w:rsid w:val="006E0B29"/>
    <w:rsid w:val="006E0DB3"/>
    <w:rsid w:val="006E18EC"/>
    <w:rsid w:val="006E1DBB"/>
    <w:rsid w:val="006E27F8"/>
    <w:rsid w:val="006E335A"/>
    <w:rsid w:val="006E3A3B"/>
    <w:rsid w:val="006E6C76"/>
    <w:rsid w:val="006E7261"/>
    <w:rsid w:val="006F0636"/>
    <w:rsid w:val="006F0FDF"/>
    <w:rsid w:val="006F3FD9"/>
    <w:rsid w:val="006F4A34"/>
    <w:rsid w:val="006F5022"/>
    <w:rsid w:val="007000AB"/>
    <w:rsid w:val="0070077F"/>
    <w:rsid w:val="00700BFA"/>
    <w:rsid w:val="00700C4E"/>
    <w:rsid w:val="007022D5"/>
    <w:rsid w:val="00704FBA"/>
    <w:rsid w:val="00705401"/>
    <w:rsid w:val="007068E5"/>
    <w:rsid w:val="007075B3"/>
    <w:rsid w:val="00710350"/>
    <w:rsid w:val="007204F9"/>
    <w:rsid w:val="00720B0E"/>
    <w:rsid w:val="00724502"/>
    <w:rsid w:val="00724C77"/>
    <w:rsid w:val="007251C1"/>
    <w:rsid w:val="00725295"/>
    <w:rsid w:val="00725BE6"/>
    <w:rsid w:val="00726439"/>
    <w:rsid w:val="00726664"/>
    <w:rsid w:val="007270C0"/>
    <w:rsid w:val="00730B38"/>
    <w:rsid w:val="00732A91"/>
    <w:rsid w:val="007330DC"/>
    <w:rsid w:val="0073410F"/>
    <w:rsid w:val="00734471"/>
    <w:rsid w:val="007366FE"/>
    <w:rsid w:val="007403DA"/>
    <w:rsid w:val="00742137"/>
    <w:rsid w:val="00742148"/>
    <w:rsid w:val="00742303"/>
    <w:rsid w:val="00742971"/>
    <w:rsid w:val="00743530"/>
    <w:rsid w:val="0074441D"/>
    <w:rsid w:val="00744504"/>
    <w:rsid w:val="00746582"/>
    <w:rsid w:val="00747A85"/>
    <w:rsid w:val="00747C2E"/>
    <w:rsid w:val="0075147D"/>
    <w:rsid w:val="00751801"/>
    <w:rsid w:val="00752180"/>
    <w:rsid w:val="0075302C"/>
    <w:rsid w:val="00754744"/>
    <w:rsid w:val="0075587C"/>
    <w:rsid w:val="00755B46"/>
    <w:rsid w:val="00757607"/>
    <w:rsid w:val="00757E86"/>
    <w:rsid w:val="00757EA3"/>
    <w:rsid w:val="00760C39"/>
    <w:rsid w:val="00761A85"/>
    <w:rsid w:val="00761C3F"/>
    <w:rsid w:val="0076384E"/>
    <w:rsid w:val="007642B3"/>
    <w:rsid w:val="007656CF"/>
    <w:rsid w:val="00766022"/>
    <w:rsid w:val="00766D42"/>
    <w:rsid w:val="007673D0"/>
    <w:rsid w:val="0077118A"/>
    <w:rsid w:val="007725F7"/>
    <w:rsid w:val="00772999"/>
    <w:rsid w:val="00772E8C"/>
    <w:rsid w:val="00773BB4"/>
    <w:rsid w:val="00774CF4"/>
    <w:rsid w:val="00777FD3"/>
    <w:rsid w:val="007809DB"/>
    <w:rsid w:val="00781826"/>
    <w:rsid w:val="007836B5"/>
    <w:rsid w:val="00783B41"/>
    <w:rsid w:val="00785CFA"/>
    <w:rsid w:val="00786866"/>
    <w:rsid w:val="00790AE2"/>
    <w:rsid w:val="007948B6"/>
    <w:rsid w:val="00794DCF"/>
    <w:rsid w:val="00794FB6"/>
    <w:rsid w:val="007951F0"/>
    <w:rsid w:val="0079753B"/>
    <w:rsid w:val="007A1BB8"/>
    <w:rsid w:val="007A35E0"/>
    <w:rsid w:val="007A6FBF"/>
    <w:rsid w:val="007A7909"/>
    <w:rsid w:val="007A7D73"/>
    <w:rsid w:val="007B02A8"/>
    <w:rsid w:val="007B17AD"/>
    <w:rsid w:val="007B5891"/>
    <w:rsid w:val="007B5D5A"/>
    <w:rsid w:val="007B5FE5"/>
    <w:rsid w:val="007B657D"/>
    <w:rsid w:val="007B70F3"/>
    <w:rsid w:val="007C0171"/>
    <w:rsid w:val="007C1FCA"/>
    <w:rsid w:val="007C2872"/>
    <w:rsid w:val="007C2DA0"/>
    <w:rsid w:val="007C2F0D"/>
    <w:rsid w:val="007C4A76"/>
    <w:rsid w:val="007C4C83"/>
    <w:rsid w:val="007C5704"/>
    <w:rsid w:val="007C58D4"/>
    <w:rsid w:val="007C64E9"/>
    <w:rsid w:val="007D02A1"/>
    <w:rsid w:val="007D1A1C"/>
    <w:rsid w:val="007D23A6"/>
    <w:rsid w:val="007D4025"/>
    <w:rsid w:val="007D4AC5"/>
    <w:rsid w:val="007D4EFE"/>
    <w:rsid w:val="007D52B7"/>
    <w:rsid w:val="007D666C"/>
    <w:rsid w:val="007D6C66"/>
    <w:rsid w:val="007E029B"/>
    <w:rsid w:val="007E0BF1"/>
    <w:rsid w:val="007E0CE4"/>
    <w:rsid w:val="007E2C86"/>
    <w:rsid w:val="007E33A6"/>
    <w:rsid w:val="007E37FD"/>
    <w:rsid w:val="007E4E82"/>
    <w:rsid w:val="007E5F13"/>
    <w:rsid w:val="007E78B4"/>
    <w:rsid w:val="007E7B36"/>
    <w:rsid w:val="007F07AB"/>
    <w:rsid w:val="007F0A89"/>
    <w:rsid w:val="007F10A4"/>
    <w:rsid w:val="007F16CA"/>
    <w:rsid w:val="007F1F07"/>
    <w:rsid w:val="007F2956"/>
    <w:rsid w:val="007F2D02"/>
    <w:rsid w:val="007F40D6"/>
    <w:rsid w:val="007F45C8"/>
    <w:rsid w:val="007F61C7"/>
    <w:rsid w:val="007F6300"/>
    <w:rsid w:val="00801132"/>
    <w:rsid w:val="008030F5"/>
    <w:rsid w:val="00803E55"/>
    <w:rsid w:val="0080505A"/>
    <w:rsid w:val="00805B5F"/>
    <w:rsid w:val="00805FC0"/>
    <w:rsid w:val="00806205"/>
    <w:rsid w:val="00806391"/>
    <w:rsid w:val="008066BB"/>
    <w:rsid w:val="00806F9C"/>
    <w:rsid w:val="00807F85"/>
    <w:rsid w:val="008102BB"/>
    <w:rsid w:val="00811FE2"/>
    <w:rsid w:val="00812FD2"/>
    <w:rsid w:val="0081429A"/>
    <w:rsid w:val="00816AF0"/>
    <w:rsid w:val="008175B9"/>
    <w:rsid w:val="00821693"/>
    <w:rsid w:val="0082348D"/>
    <w:rsid w:val="008268CD"/>
    <w:rsid w:val="008270D7"/>
    <w:rsid w:val="008315F2"/>
    <w:rsid w:val="00833844"/>
    <w:rsid w:val="0083413A"/>
    <w:rsid w:val="00835E99"/>
    <w:rsid w:val="00840194"/>
    <w:rsid w:val="008404DA"/>
    <w:rsid w:val="008454CD"/>
    <w:rsid w:val="008456CB"/>
    <w:rsid w:val="008466DF"/>
    <w:rsid w:val="00847E22"/>
    <w:rsid w:val="00847F3A"/>
    <w:rsid w:val="00850043"/>
    <w:rsid w:val="00851A29"/>
    <w:rsid w:val="00851DC6"/>
    <w:rsid w:val="0085398E"/>
    <w:rsid w:val="00854190"/>
    <w:rsid w:val="00855C1D"/>
    <w:rsid w:val="00856019"/>
    <w:rsid w:val="008566F9"/>
    <w:rsid w:val="00857D12"/>
    <w:rsid w:val="008611A0"/>
    <w:rsid w:val="008620DC"/>
    <w:rsid w:val="00862465"/>
    <w:rsid w:val="00864495"/>
    <w:rsid w:val="00864784"/>
    <w:rsid w:val="00864AC0"/>
    <w:rsid w:val="008659F5"/>
    <w:rsid w:val="008667B0"/>
    <w:rsid w:val="008676B2"/>
    <w:rsid w:val="00870102"/>
    <w:rsid w:val="00870714"/>
    <w:rsid w:val="00870D1C"/>
    <w:rsid w:val="00871DD4"/>
    <w:rsid w:val="008722D9"/>
    <w:rsid w:val="00872847"/>
    <w:rsid w:val="00872976"/>
    <w:rsid w:val="00873666"/>
    <w:rsid w:val="008743BF"/>
    <w:rsid w:val="0087441A"/>
    <w:rsid w:val="00877D52"/>
    <w:rsid w:val="00881CB5"/>
    <w:rsid w:val="00881D23"/>
    <w:rsid w:val="008820E6"/>
    <w:rsid w:val="00882583"/>
    <w:rsid w:val="008825F4"/>
    <w:rsid w:val="0088279B"/>
    <w:rsid w:val="00884E72"/>
    <w:rsid w:val="008857AA"/>
    <w:rsid w:val="0089060C"/>
    <w:rsid w:val="00890D45"/>
    <w:rsid w:val="00891074"/>
    <w:rsid w:val="008910AF"/>
    <w:rsid w:val="00892903"/>
    <w:rsid w:val="00892B10"/>
    <w:rsid w:val="00893782"/>
    <w:rsid w:val="00893FAA"/>
    <w:rsid w:val="00895ED5"/>
    <w:rsid w:val="00895EF3"/>
    <w:rsid w:val="00897332"/>
    <w:rsid w:val="008A0F96"/>
    <w:rsid w:val="008A1BEE"/>
    <w:rsid w:val="008A21AE"/>
    <w:rsid w:val="008A304A"/>
    <w:rsid w:val="008A389F"/>
    <w:rsid w:val="008A3A35"/>
    <w:rsid w:val="008A531D"/>
    <w:rsid w:val="008A594F"/>
    <w:rsid w:val="008B0EB9"/>
    <w:rsid w:val="008B1328"/>
    <w:rsid w:val="008B3232"/>
    <w:rsid w:val="008B3FEF"/>
    <w:rsid w:val="008B6D55"/>
    <w:rsid w:val="008C3B72"/>
    <w:rsid w:val="008C3E6D"/>
    <w:rsid w:val="008C4379"/>
    <w:rsid w:val="008C5FB5"/>
    <w:rsid w:val="008C67EB"/>
    <w:rsid w:val="008C782F"/>
    <w:rsid w:val="008C7E08"/>
    <w:rsid w:val="008D0F71"/>
    <w:rsid w:val="008D1230"/>
    <w:rsid w:val="008D240C"/>
    <w:rsid w:val="008D2512"/>
    <w:rsid w:val="008D487B"/>
    <w:rsid w:val="008D49F6"/>
    <w:rsid w:val="008D5313"/>
    <w:rsid w:val="008D576F"/>
    <w:rsid w:val="008D6C27"/>
    <w:rsid w:val="008D7CA2"/>
    <w:rsid w:val="008E02B4"/>
    <w:rsid w:val="008E0A13"/>
    <w:rsid w:val="008E1318"/>
    <w:rsid w:val="008E1BD7"/>
    <w:rsid w:val="008E265E"/>
    <w:rsid w:val="008E31EC"/>
    <w:rsid w:val="008E48CE"/>
    <w:rsid w:val="008E56B6"/>
    <w:rsid w:val="008F06AA"/>
    <w:rsid w:val="008F11D5"/>
    <w:rsid w:val="008F472D"/>
    <w:rsid w:val="008F659D"/>
    <w:rsid w:val="008F69D5"/>
    <w:rsid w:val="008F6F41"/>
    <w:rsid w:val="0090211A"/>
    <w:rsid w:val="009025CC"/>
    <w:rsid w:val="00903A4E"/>
    <w:rsid w:val="009047C8"/>
    <w:rsid w:val="00904D42"/>
    <w:rsid w:val="0090528F"/>
    <w:rsid w:val="009065D8"/>
    <w:rsid w:val="00906FDC"/>
    <w:rsid w:val="00907436"/>
    <w:rsid w:val="00907818"/>
    <w:rsid w:val="009100B7"/>
    <w:rsid w:val="00910CBA"/>
    <w:rsid w:val="00912FA3"/>
    <w:rsid w:val="00912FEF"/>
    <w:rsid w:val="009139AF"/>
    <w:rsid w:val="00914F70"/>
    <w:rsid w:val="00914FD1"/>
    <w:rsid w:val="00915B01"/>
    <w:rsid w:val="00915CEC"/>
    <w:rsid w:val="00915DC5"/>
    <w:rsid w:val="0091603D"/>
    <w:rsid w:val="009224FC"/>
    <w:rsid w:val="00926110"/>
    <w:rsid w:val="009263C2"/>
    <w:rsid w:val="009308CD"/>
    <w:rsid w:val="00930E42"/>
    <w:rsid w:val="009331BD"/>
    <w:rsid w:val="00934899"/>
    <w:rsid w:val="009358CC"/>
    <w:rsid w:val="00937940"/>
    <w:rsid w:val="009420E7"/>
    <w:rsid w:val="009430BD"/>
    <w:rsid w:val="00943C78"/>
    <w:rsid w:val="00943FFA"/>
    <w:rsid w:val="00944D10"/>
    <w:rsid w:val="00945AF2"/>
    <w:rsid w:val="00945EB2"/>
    <w:rsid w:val="009471C7"/>
    <w:rsid w:val="00947AC8"/>
    <w:rsid w:val="00947BA5"/>
    <w:rsid w:val="00950AD8"/>
    <w:rsid w:val="00951333"/>
    <w:rsid w:val="00951A46"/>
    <w:rsid w:val="0095568B"/>
    <w:rsid w:val="009563E8"/>
    <w:rsid w:val="00957974"/>
    <w:rsid w:val="00957FF9"/>
    <w:rsid w:val="00960232"/>
    <w:rsid w:val="00960259"/>
    <w:rsid w:val="00961386"/>
    <w:rsid w:val="00961843"/>
    <w:rsid w:val="00962A49"/>
    <w:rsid w:val="009638B3"/>
    <w:rsid w:val="00970450"/>
    <w:rsid w:val="00970853"/>
    <w:rsid w:val="0097099D"/>
    <w:rsid w:val="00972535"/>
    <w:rsid w:val="00975546"/>
    <w:rsid w:val="00976AD3"/>
    <w:rsid w:val="00977317"/>
    <w:rsid w:val="009774DC"/>
    <w:rsid w:val="00977832"/>
    <w:rsid w:val="009808F6"/>
    <w:rsid w:val="0098288C"/>
    <w:rsid w:val="00983579"/>
    <w:rsid w:val="0098366D"/>
    <w:rsid w:val="009836A6"/>
    <w:rsid w:val="00983D2F"/>
    <w:rsid w:val="00984334"/>
    <w:rsid w:val="00984751"/>
    <w:rsid w:val="0098573B"/>
    <w:rsid w:val="00990401"/>
    <w:rsid w:val="00996EDA"/>
    <w:rsid w:val="009976E2"/>
    <w:rsid w:val="009977AA"/>
    <w:rsid w:val="009A05A6"/>
    <w:rsid w:val="009A1A97"/>
    <w:rsid w:val="009A1DCA"/>
    <w:rsid w:val="009A24CC"/>
    <w:rsid w:val="009A3086"/>
    <w:rsid w:val="009A4429"/>
    <w:rsid w:val="009A4D08"/>
    <w:rsid w:val="009A5048"/>
    <w:rsid w:val="009A515B"/>
    <w:rsid w:val="009A6092"/>
    <w:rsid w:val="009A6859"/>
    <w:rsid w:val="009A7905"/>
    <w:rsid w:val="009B0181"/>
    <w:rsid w:val="009B0E09"/>
    <w:rsid w:val="009B1CBB"/>
    <w:rsid w:val="009B4613"/>
    <w:rsid w:val="009B4FEE"/>
    <w:rsid w:val="009B6DA6"/>
    <w:rsid w:val="009B6FB7"/>
    <w:rsid w:val="009B7D7F"/>
    <w:rsid w:val="009C181E"/>
    <w:rsid w:val="009C4DB6"/>
    <w:rsid w:val="009C4DDF"/>
    <w:rsid w:val="009C5136"/>
    <w:rsid w:val="009C63C2"/>
    <w:rsid w:val="009C6555"/>
    <w:rsid w:val="009D150F"/>
    <w:rsid w:val="009D5E6C"/>
    <w:rsid w:val="009D61B8"/>
    <w:rsid w:val="009D6384"/>
    <w:rsid w:val="009D6C75"/>
    <w:rsid w:val="009D73C5"/>
    <w:rsid w:val="009E1728"/>
    <w:rsid w:val="009E2261"/>
    <w:rsid w:val="009E2662"/>
    <w:rsid w:val="009E36B5"/>
    <w:rsid w:val="009E3AA1"/>
    <w:rsid w:val="009E7A41"/>
    <w:rsid w:val="009F012D"/>
    <w:rsid w:val="009F0CA8"/>
    <w:rsid w:val="009F1744"/>
    <w:rsid w:val="009F1949"/>
    <w:rsid w:val="009F1A8B"/>
    <w:rsid w:val="009F4198"/>
    <w:rsid w:val="009F569C"/>
    <w:rsid w:val="009F5B5C"/>
    <w:rsid w:val="009F5C2E"/>
    <w:rsid w:val="009F7CC2"/>
    <w:rsid w:val="00A00BF5"/>
    <w:rsid w:val="00A01EB4"/>
    <w:rsid w:val="00A020B8"/>
    <w:rsid w:val="00A02527"/>
    <w:rsid w:val="00A02AC0"/>
    <w:rsid w:val="00A0532F"/>
    <w:rsid w:val="00A06127"/>
    <w:rsid w:val="00A071F3"/>
    <w:rsid w:val="00A07E80"/>
    <w:rsid w:val="00A1037F"/>
    <w:rsid w:val="00A10A9C"/>
    <w:rsid w:val="00A114A1"/>
    <w:rsid w:val="00A12522"/>
    <w:rsid w:val="00A144A3"/>
    <w:rsid w:val="00A144D8"/>
    <w:rsid w:val="00A14650"/>
    <w:rsid w:val="00A14763"/>
    <w:rsid w:val="00A16762"/>
    <w:rsid w:val="00A1688A"/>
    <w:rsid w:val="00A1698B"/>
    <w:rsid w:val="00A177F0"/>
    <w:rsid w:val="00A22DEF"/>
    <w:rsid w:val="00A22F5D"/>
    <w:rsid w:val="00A2430B"/>
    <w:rsid w:val="00A257D9"/>
    <w:rsid w:val="00A25F05"/>
    <w:rsid w:val="00A26182"/>
    <w:rsid w:val="00A26EDB"/>
    <w:rsid w:val="00A2750F"/>
    <w:rsid w:val="00A278C7"/>
    <w:rsid w:val="00A357AF"/>
    <w:rsid w:val="00A414E1"/>
    <w:rsid w:val="00A41BA7"/>
    <w:rsid w:val="00A42EAA"/>
    <w:rsid w:val="00A43387"/>
    <w:rsid w:val="00A4779D"/>
    <w:rsid w:val="00A47C99"/>
    <w:rsid w:val="00A50114"/>
    <w:rsid w:val="00A51840"/>
    <w:rsid w:val="00A52038"/>
    <w:rsid w:val="00A520B1"/>
    <w:rsid w:val="00A55739"/>
    <w:rsid w:val="00A5767C"/>
    <w:rsid w:val="00A60208"/>
    <w:rsid w:val="00A60B81"/>
    <w:rsid w:val="00A6286E"/>
    <w:rsid w:val="00A6400E"/>
    <w:rsid w:val="00A64535"/>
    <w:rsid w:val="00A666C1"/>
    <w:rsid w:val="00A7019E"/>
    <w:rsid w:val="00A70AFB"/>
    <w:rsid w:val="00A7149F"/>
    <w:rsid w:val="00A71A8B"/>
    <w:rsid w:val="00A71F9A"/>
    <w:rsid w:val="00A72EC7"/>
    <w:rsid w:val="00A73218"/>
    <w:rsid w:val="00A732A1"/>
    <w:rsid w:val="00A757DD"/>
    <w:rsid w:val="00A76466"/>
    <w:rsid w:val="00A80ECC"/>
    <w:rsid w:val="00A81442"/>
    <w:rsid w:val="00A83A83"/>
    <w:rsid w:val="00A84275"/>
    <w:rsid w:val="00A84C99"/>
    <w:rsid w:val="00A85C43"/>
    <w:rsid w:val="00A85E41"/>
    <w:rsid w:val="00A8617F"/>
    <w:rsid w:val="00A86819"/>
    <w:rsid w:val="00A870FD"/>
    <w:rsid w:val="00A8750A"/>
    <w:rsid w:val="00A87E96"/>
    <w:rsid w:val="00A90878"/>
    <w:rsid w:val="00A908BE"/>
    <w:rsid w:val="00A9273C"/>
    <w:rsid w:val="00A928C2"/>
    <w:rsid w:val="00A929EE"/>
    <w:rsid w:val="00A941CA"/>
    <w:rsid w:val="00A95C21"/>
    <w:rsid w:val="00A97B14"/>
    <w:rsid w:val="00AA0A43"/>
    <w:rsid w:val="00AA0A59"/>
    <w:rsid w:val="00AA1435"/>
    <w:rsid w:val="00AA16B8"/>
    <w:rsid w:val="00AA24D9"/>
    <w:rsid w:val="00AA2604"/>
    <w:rsid w:val="00AA2D4E"/>
    <w:rsid w:val="00AA3035"/>
    <w:rsid w:val="00AA6103"/>
    <w:rsid w:val="00AA6453"/>
    <w:rsid w:val="00AA66C1"/>
    <w:rsid w:val="00AA6BA4"/>
    <w:rsid w:val="00AB018D"/>
    <w:rsid w:val="00AB0580"/>
    <w:rsid w:val="00AB12AC"/>
    <w:rsid w:val="00AB1947"/>
    <w:rsid w:val="00AB24BA"/>
    <w:rsid w:val="00AB342B"/>
    <w:rsid w:val="00AB352D"/>
    <w:rsid w:val="00AB36AC"/>
    <w:rsid w:val="00AB39A4"/>
    <w:rsid w:val="00AB4419"/>
    <w:rsid w:val="00AB79C8"/>
    <w:rsid w:val="00AC08E3"/>
    <w:rsid w:val="00AC0E0C"/>
    <w:rsid w:val="00AC1037"/>
    <w:rsid w:val="00AC12D8"/>
    <w:rsid w:val="00AC35AF"/>
    <w:rsid w:val="00AC3C60"/>
    <w:rsid w:val="00AC4B7C"/>
    <w:rsid w:val="00AC57E5"/>
    <w:rsid w:val="00AC5A00"/>
    <w:rsid w:val="00AC75B5"/>
    <w:rsid w:val="00AD068B"/>
    <w:rsid w:val="00AD0B10"/>
    <w:rsid w:val="00AD1BCC"/>
    <w:rsid w:val="00AD2C6F"/>
    <w:rsid w:val="00AD4CC5"/>
    <w:rsid w:val="00AD5AF2"/>
    <w:rsid w:val="00AD6D13"/>
    <w:rsid w:val="00AE125F"/>
    <w:rsid w:val="00AE1994"/>
    <w:rsid w:val="00AE3164"/>
    <w:rsid w:val="00AE69C7"/>
    <w:rsid w:val="00AE7A72"/>
    <w:rsid w:val="00AF11ED"/>
    <w:rsid w:val="00AF218D"/>
    <w:rsid w:val="00AF36FE"/>
    <w:rsid w:val="00AF38C7"/>
    <w:rsid w:val="00AF3F59"/>
    <w:rsid w:val="00AF4DF3"/>
    <w:rsid w:val="00B0052C"/>
    <w:rsid w:val="00B03E8F"/>
    <w:rsid w:val="00B04775"/>
    <w:rsid w:val="00B05188"/>
    <w:rsid w:val="00B05DAB"/>
    <w:rsid w:val="00B067AB"/>
    <w:rsid w:val="00B06E15"/>
    <w:rsid w:val="00B07CAE"/>
    <w:rsid w:val="00B10A25"/>
    <w:rsid w:val="00B10C17"/>
    <w:rsid w:val="00B10FE5"/>
    <w:rsid w:val="00B11E30"/>
    <w:rsid w:val="00B1247A"/>
    <w:rsid w:val="00B13428"/>
    <w:rsid w:val="00B13809"/>
    <w:rsid w:val="00B16925"/>
    <w:rsid w:val="00B16F18"/>
    <w:rsid w:val="00B20BCD"/>
    <w:rsid w:val="00B22E78"/>
    <w:rsid w:val="00B22F63"/>
    <w:rsid w:val="00B235CA"/>
    <w:rsid w:val="00B2588D"/>
    <w:rsid w:val="00B25E96"/>
    <w:rsid w:val="00B2642D"/>
    <w:rsid w:val="00B2642F"/>
    <w:rsid w:val="00B2720B"/>
    <w:rsid w:val="00B27646"/>
    <w:rsid w:val="00B3003D"/>
    <w:rsid w:val="00B30573"/>
    <w:rsid w:val="00B3068D"/>
    <w:rsid w:val="00B32114"/>
    <w:rsid w:val="00B3228D"/>
    <w:rsid w:val="00B33525"/>
    <w:rsid w:val="00B337FB"/>
    <w:rsid w:val="00B34EF4"/>
    <w:rsid w:val="00B36071"/>
    <w:rsid w:val="00B37804"/>
    <w:rsid w:val="00B403E8"/>
    <w:rsid w:val="00B4285D"/>
    <w:rsid w:val="00B42B24"/>
    <w:rsid w:val="00B4316B"/>
    <w:rsid w:val="00B437B7"/>
    <w:rsid w:val="00B44088"/>
    <w:rsid w:val="00B445A6"/>
    <w:rsid w:val="00B447B3"/>
    <w:rsid w:val="00B45293"/>
    <w:rsid w:val="00B461D8"/>
    <w:rsid w:val="00B4671E"/>
    <w:rsid w:val="00B4716E"/>
    <w:rsid w:val="00B506AC"/>
    <w:rsid w:val="00B5087D"/>
    <w:rsid w:val="00B518BF"/>
    <w:rsid w:val="00B52170"/>
    <w:rsid w:val="00B521E9"/>
    <w:rsid w:val="00B56AE5"/>
    <w:rsid w:val="00B57E29"/>
    <w:rsid w:val="00B639BE"/>
    <w:rsid w:val="00B64423"/>
    <w:rsid w:val="00B64486"/>
    <w:rsid w:val="00B65809"/>
    <w:rsid w:val="00B717E7"/>
    <w:rsid w:val="00B729D5"/>
    <w:rsid w:val="00B7479B"/>
    <w:rsid w:val="00B74A72"/>
    <w:rsid w:val="00B76371"/>
    <w:rsid w:val="00B8098A"/>
    <w:rsid w:val="00B80CC0"/>
    <w:rsid w:val="00B82C4A"/>
    <w:rsid w:val="00B83E9D"/>
    <w:rsid w:val="00B8455A"/>
    <w:rsid w:val="00B84907"/>
    <w:rsid w:val="00B85767"/>
    <w:rsid w:val="00B858E0"/>
    <w:rsid w:val="00B87B58"/>
    <w:rsid w:val="00B87C49"/>
    <w:rsid w:val="00B90FB3"/>
    <w:rsid w:val="00B91466"/>
    <w:rsid w:val="00B93346"/>
    <w:rsid w:val="00B941DB"/>
    <w:rsid w:val="00B95673"/>
    <w:rsid w:val="00B960DB"/>
    <w:rsid w:val="00B96CE1"/>
    <w:rsid w:val="00B9723F"/>
    <w:rsid w:val="00B97579"/>
    <w:rsid w:val="00B97D6A"/>
    <w:rsid w:val="00BA172A"/>
    <w:rsid w:val="00BA38A9"/>
    <w:rsid w:val="00BA417F"/>
    <w:rsid w:val="00BA49C9"/>
    <w:rsid w:val="00BA4F26"/>
    <w:rsid w:val="00BA56C8"/>
    <w:rsid w:val="00BA56E2"/>
    <w:rsid w:val="00BA5EDD"/>
    <w:rsid w:val="00BB0033"/>
    <w:rsid w:val="00BB1FC3"/>
    <w:rsid w:val="00BB2FFB"/>
    <w:rsid w:val="00BB3F99"/>
    <w:rsid w:val="00BB5FA5"/>
    <w:rsid w:val="00BB751C"/>
    <w:rsid w:val="00BC0374"/>
    <w:rsid w:val="00BC15D2"/>
    <w:rsid w:val="00BC3556"/>
    <w:rsid w:val="00BC3E1C"/>
    <w:rsid w:val="00BC61FC"/>
    <w:rsid w:val="00BC646D"/>
    <w:rsid w:val="00BD1211"/>
    <w:rsid w:val="00BD42F8"/>
    <w:rsid w:val="00BD4DA9"/>
    <w:rsid w:val="00BD51B7"/>
    <w:rsid w:val="00BD55D6"/>
    <w:rsid w:val="00BD5F64"/>
    <w:rsid w:val="00BD64FB"/>
    <w:rsid w:val="00BD6A3F"/>
    <w:rsid w:val="00BD7B5A"/>
    <w:rsid w:val="00BD7BF3"/>
    <w:rsid w:val="00BE1009"/>
    <w:rsid w:val="00BE4AFD"/>
    <w:rsid w:val="00BF0D5A"/>
    <w:rsid w:val="00BF1E98"/>
    <w:rsid w:val="00BF48A4"/>
    <w:rsid w:val="00BF58BD"/>
    <w:rsid w:val="00BF590E"/>
    <w:rsid w:val="00BF5C5A"/>
    <w:rsid w:val="00BF73F4"/>
    <w:rsid w:val="00C019C0"/>
    <w:rsid w:val="00C01A39"/>
    <w:rsid w:val="00C01CB1"/>
    <w:rsid w:val="00C01FF9"/>
    <w:rsid w:val="00C04531"/>
    <w:rsid w:val="00C05636"/>
    <w:rsid w:val="00C05857"/>
    <w:rsid w:val="00C0609E"/>
    <w:rsid w:val="00C10771"/>
    <w:rsid w:val="00C1402D"/>
    <w:rsid w:val="00C154B0"/>
    <w:rsid w:val="00C15C17"/>
    <w:rsid w:val="00C168B8"/>
    <w:rsid w:val="00C16997"/>
    <w:rsid w:val="00C17244"/>
    <w:rsid w:val="00C212A4"/>
    <w:rsid w:val="00C224C2"/>
    <w:rsid w:val="00C23A88"/>
    <w:rsid w:val="00C253FE"/>
    <w:rsid w:val="00C25EA6"/>
    <w:rsid w:val="00C26803"/>
    <w:rsid w:val="00C311F5"/>
    <w:rsid w:val="00C31BC2"/>
    <w:rsid w:val="00C31CD3"/>
    <w:rsid w:val="00C320FB"/>
    <w:rsid w:val="00C322BF"/>
    <w:rsid w:val="00C33B31"/>
    <w:rsid w:val="00C35854"/>
    <w:rsid w:val="00C35F67"/>
    <w:rsid w:val="00C407F3"/>
    <w:rsid w:val="00C408DB"/>
    <w:rsid w:val="00C4207F"/>
    <w:rsid w:val="00C46358"/>
    <w:rsid w:val="00C4653C"/>
    <w:rsid w:val="00C50104"/>
    <w:rsid w:val="00C50233"/>
    <w:rsid w:val="00C50E1A"/>
    <w:rsid w:val="00C53046"/>
    <w:rsid w:val="00C53C29"/>
    <w:rsid w:val="00C552C2"/>
    <w:rsid w:val="00C60A8B"/>
    <w:rsid w:val="00C617BE"/>
    <w:rsid w:val="00C62B5E"/>
    <w:rsid w:val="00C62C4C"/>
    <w:rsid w:val="00C64001"/>
    <w:rsid w:val="00C64546"/>
    <w:rsid w:val="00C65737"/>
    <w:rsid w:val="00C659ED"/>
    <w:rsid w:val="00C65E53"/>
    <w:rsid w:val="00C66678"/>
    <w:rsid w:val="00C66EF2"/>
    <w:rsid w:val="00C6774E"/>
    <w:rsid w:val="00C70439"/>
    <w:rsid w:val="00C71B8F"/>
    <w:rsid w:val="00C720E9"/>
    <w:rsid w:val="00C7355E"/>
    <w:rsid w:val="00C73708"/>
    <w:rsid w:val="00C7383D"/>
    <w:rsid w:val="00C73C02"/>
    <w:rsid w:val="00C74048"/>
    <w:rsid w:val="00C745AE"/>
    <w:rsid w:val="00C74E3F"/>
    <w:rsid w:val="00C77572"/>
    <w:rsid w:val="00C77948"/>
    <w:rsid w:val="00C83793"/>
    <w:rsid w:val="00C84C93"/>
    <w:rsid w:val="00C8570C"/>
    <w:rsid w:val="00C867C8"/>
    <w:rsid w:val="00C900FE"/>
    <w:rsid w:val="00C90A46"/>
    <w:rsid w:val="00C92683"/>
    <w:rsid w:val="00C92B88"/>
    <w:rsid w:val="00C93158"/>
    <w:rsid w:val="00C93EFF"/>
    <w:rsid w:val="00C94438"/>
    <w:rsid w:val="00C94867"/>
    <w:rsid w:val="00C94C33"/>
    <w:rsid w:val="00C94DCE"/>
    <w:rsid w:val="00C94E04"/>
    <w:rsid w:val="00C9579A"/>
    <w:rsid w:val="00C9744E"/>
    <w:rsid w:val="00C975C9"/>
    <w:rsid w:val="00C97815"/>
    <w:rsid w:val="00CA0CF8"/>
    <w:rsid w:val="00CA1CBA"/>
    <w:rsid w:val="00CA3DD4"/>
    <w:rsid w:val="00CA69A8"/>
    <w:rsid w:val="00CA6B72"/>
    <w:rsid w:val="00CA7415"/>
    <w:rsid w:val="00CA74FD"/>
    <w:rsid w:val="00CA7866"/>
    <w:rsid w:val="00CB0619"/>
    <w:rsid w:val="00CB0FD3"/>
    <w:rsid w:val="00CB1B94"/>
    <w:rsid w:val="00CB1D5F"/>
    <w:rsid w:val="00CB1D9D"/>
    <w:rsid w:val="00CB2CC6"/>
    <w:rsid w:val="00CB3A76"/>
    <w:rsid w:val="00CB5392"/>
    <w:rsid w:val="00CB5C47"/>
    <w:rsid w:val="00CB608D"/>
    <w:rsid w:val="00CB6D21"/>
    <w:rsid w:val="00CB6D60"/>
    <w:rsid w:val="00CB6EC2"/>
    <w:rsid w:val="00CB79A1"/>
    <w:rsid w:val="00CC0318"/>
    <w:rsid w:val="00CC0530"/>
    <w:rsid w:val="00CC05B2"/>
    <w:rsid w:val="00CC060E"/>
    <w:rsid w:val="00CC2DDE"/>
    <w:rsid w:val="00CC3338"/>
    <w:rsid w:val="00CC3C89"/>
    <w:rsid w:val="00CC7510"/>
    <w:rsid w:val="00CC7D61"/>
    <w:rsid w:val="00CD149B"/>
    <w:rsid w:val="00CD214E"/>
    <w:rsid w:val="00CD5288"/>
    <w:rsid w:val="00CD67B5"/>
    <w:rsid w:val="00CD7450"/>
    <w:rsid w:val="00CE0212"/>
    <w:rsid w:val="00CE1014"/>
    <w:rsid w:val="00CE165F"/>
    <w:rsid w:val="00CE21CF"/>
    <w:rsid w:val="00CE2F5F"/>
    <w:rsid w:val="00CE5236"/>
    <w:rsid w:val="00CE5BFC"/>
    <w:rsid w:val="00CE5DCA"/>
    <w:rsid w:val="00CE6DF9"/>
    <w:rsid w:val="00CF04CA"/>
    <w:rsid w:val="00CF0E31"/>
    <w:rsid w:val="00CF1CB7"/>
    <w:rsid w:val="00CF2169"/>
    <w:rsid w:val="00CF38A4"/>
    <w:rsid w:val="00CF3F39"/>
    <w:rsid w:val="00CF5488"/>
    <w:rsid w:val="00CF6D15"/>
    <w:rsid w:val="00CF7040"/>
    <w:rsid w:val="00CF750C"/>
    <w:rsid w:val="00D0203A"/>
    <w:rsid w:val="00D021DB"/>
    <w:rsid w:val="00D03D9E"/>
    <w:rsid w:val="00D03EA1"/>
    <w:rsid w:val="00D04098"/>
    <w:rsid w:val="00D04BC7"/>
    <w:rsid w:val="00D071A8"/>
    <w:rsid w:val="00D10717"/>
    <w:rsid w:val="00D108D2"/>
    <w:rsid w:val="00D10FC9"/>
    <w:rsid w:val="00D12935"/>
    <w:rsid w:val="00D13645"/>
    <w:rsid w:val="00D14C65"/>
    <w:rsid w:val="00D15085"/>
    <w:rsid w:val="00D15281"/>
    <w:rsid w:val="00D157A4"/>
    <w:rsid w:val="00D168FB"/>
    <w:rsid w:val="00D16D29"/>
    <w:rsid w:val="00D1792F"/>
    <w:rsid w:val="00D17D09"/>
    <w:rsid w:val="00D20916"/>
    <w:rsid w:val="00D20E42"/>
    <w:rsid w:val="00D2261D"/>
    <w:rsid w:val="00D236FC"/>
    <w:rsid w:val="00D242FD"/>
    <w:rsid w:val="00D24ACA"/>
    <w:rsid w:val="00D27F2C"/>
    <w:rsid w:val="00D30A6F"/>
    <w:rsid w:val="00D31368"/>
    <w:rsid w:val="00D32547"/>
    <w:rsid w:val="00D33278"/>
    <w:rsid w:val="00D347D2"/>
    <w:rsid w:val="00D358D2"/>
    <w:rsid w:val="00D36FE1"/>
    <w:rsid w:val="00D40CC6"/>
    <w:rsid w:val="00D42B95"/>
    <w:rsid w:val="00D43613"/>
    <w:rsid w:val="00D45BA3"/>
    <w:rsid w:val="00D462C7"/>
    <w:rsid w:val="00D47140"/>
    <w:rsid w:val="00D4786E"/>
    <w:rsid w:val="00D47FD0"/>
    <w:rsid w:val="00D50C16"/>
    <w:rsid w:val="00D517DA"/>
    <w:rsid w:val="00D520B2"/>
    <w:rsid w:val="00D53F73"/>
    <w:rsid w:val="00D546E7"/>
    <w:rsid w:val="00D5614B"/>
    <w:rsid w:val="00D568EE"/>
    <w:rsid w:val="00D56D0F"/>
    <w:rsid w:val="00D57204"/>
    <w:rsid w:val="00D57A51"/>
    <w:rsid w:val="00D61603"/>
    <w:rsid w:val="00D6204C"/>
    <w:rsid w:val="00D62AF6"/>
    <w:rsid w:val="00D6328E"/>
    <w:rsid w:val="00D648BF"/>
    <w:rsid w:val="00D65B0A"/>
    <w:rsid w:val="00D676D5"/>
    <w:rsid w:val="00D67A35"/>
    <w:rsid w:val="00D7105D"/>
    <w:rsid w:val="00D72373"/>
    <w:rsid w:val="00D72C77"/>
    <w:rsid w:val="00D73A84"/>
    <w:rsid w:val="00D73B30"/>
    <w:rsid w:val="00D7485D"/>
    <w:rsid w:val="00D7566D"/>
    <w:rsid w:val="00D768EB"/>
    <w:rsid w:val="00D7765B"/>
    <w:rsid w:val="00D77C73"/>
    <w:rsid w:val="00D8042C"/>
    <w:rsid w:val="00D80DD5"/>
    <w:rsid w:val="00D81A21"/>
    <w:rsid w:val="00D823C6"/>
    <w:rsid w:val="00D85ED3"/>
    <w:rsid w:val="00D87B97"/>
    <w:rsid w:val="00D90D8D"/>
    <w:rsid w:val="00D9177C"/>
    <w:rsid w:val="00D91982"/>
    <w:rsid w:val="00D92AD0"/>
    <w:rsid w:val="00D9338E"/>
    <w:rsid w:val="00D93419"/>
    <w:rsid w:val="00D93C28"/>
    <w:rsid w:val="00D95BCC"/>
    <w:rsid w:val="00D967BD"/>
    <w:rsid w:val="00D97A26"/>
    <w:rsid w:val="00D97E49"/>
    <w:rsid w:val="00DA1EE9"/>
    <w:rsid w:val="00DA293A"/>
    <w:rsid w:val="00DA2C5D"/>
    <w:rsid w:val="00DA347B"/>
    <w:rsid w:val="00DA4328"/>
    <w:rsid w:val="00DA4796"/>
    <w:rsid w:val="00DA61AD"/>
    <w:rsid w:val="00DA7DB9"/>
    <w:rsid w:val="00DB3C8F"/>
    <w:rsid w:val="00DB46CC"/>
    <w:rsid w:val="00DB4B28"/>
    <w:rsid w:val="00DB4EAB"/>
    <w:rsid w:val="00DB5292"/>
    <w:rsid w:val="00DB5DA9"/>
    <w:rsid w:val="00DB7417"/>
    <w:rsid w:val="00DC0C11"/>
    <w:rsid w:val="00DC328A"/>
    <w:rsid w:val="00DC4924"/>
    <w:rsid w:val="00DC556E"/>
    <w:rsid w:val="00DC6426"/>
    <w:rsid w:val="00DC674C"/>
    <w:rsid w:val="00DC7164"/>
    <w:rsid w:val="00DD0F97"/>
    <w:rsid w:val="00DD2360"/>
    <w:rsid w:val="00DD24D1"/>
    <w:rsid w:val="00DD45CD"/>
    <w:rsid w:val="00DD4A8E"/>
    <w:rsid w:val="00DD5178"/>
    <w:rsid w:val="00DD759F"/>
    <w:rsid w:val="00DE07EE"/>
    <w:rsid w:val="00DE0976"/>
    <w:rsid w:val="00DE3055"/>
    <w:rsid w:val="00DE3268"/>
    <w:rsid w:val="00DE5733"/>
    <w:rsid w:val="00DE70AE"/>
    <w:rsid w:val="00DF00E0"/>
    <w:rsid w:val="00DF0C5E"/>
    <w:rsid w:val="00DF153D"/>
    <w:rsid w:val="00DF1C2C"/>
    <w:rsid w:val="00DF20C8"/>
    <w:rsid w:val="00DF2C13"/>
    <w:rsid w:val="00DF2CEF"/>
    <w:rsid w:val="00DF4577"/>
    <w:rsid w:val="00DF7A07"/>
    <w:rsid w:val="00E00755"/>
    <w:rsid w:val="00E00EC4"/>
    <w:rsid w:val="00E03E1A"/>
    <w:rsid w:val="00E0427D"/>
    <w:rsid w:val="00E04FC0"/>
    <w:rsid w:val="00E07861"/>
    <w:rsid w:val="00E10053"/>
    <w:rsid w:val="00E10472"/>
    <w:rsid w:val="00E11110"/>
    <w:rsid w:val="00E111EF"/>
    <w:rsid w:val="00E12866"/>
    <w:rsid w:val="00E14498"/>
    <w:rsid w:val="00E15014"/>
    <w:rsid w:val="00E15AEB"/>
    <w:rsid w:val="00E1785E"/>
    <w:rsid w:val="00E22F3F"/>
    <w:rsid w:val="00E23BAB"/>
    <w:rsid w:val="00E23E0B"/>
    <w:rsid w:val="00E23F00"/>
    <w:rsid w:val="00E27281"/>
    <w:rsid w:val="00E27B5F"/>
    <w:rsid w:val="00E27F6D"/>
    <w:rsid w:val="00E30032"/>
    <w:rsid w:val="00E3112C"/>
    <w:rsid w:val="00E3213E"/>
    <w:rsid w:val="00E3317B"/>
    <w:rsid w:val="00E3386F"/>
    <w:rsid w:val="00E3424D"/>
    <w:rsid w:val="00E37C53"/>
    <w:rsid w:val="00E40B49"/>
    <w:rsid w:val="00E44BCD"/>
    <w:rsid w:val="00E454BA"/>
    <w:rsid w:val="00E463A1"/>
    <w:rsid w:val="00E5038F"/>
    <w:rsid w:val="00E50F70"/>
    <w:rsid w:val="00E516A6"/>
    <w:rsid w:val="00E52382"/>
    <w:rsid w:val="00E52BFC"/>
    <w:rsid w:val="00E52EE1"/>
    <w:rsid w:val="00E62677"/>
    <w:rsid w:val="00E63F7F"/>
    <w:rsid w:val="00E63FE0"/>
    <w:rsid w:val="00E643FA"/>
    <w:rsid w:val="00E708D5"/>
    <w:rsid w:val="00E729C3"/>
    <w:rsid w:val="00E732C9"/>
    <w:rsid w:val="00E74C2F"/>
    <w:rsid w:val="00E7535A"/>
    <w:rsid w:val="00E76C3A"/>
    <w:rsid w:val="00E77101"/>
    <w:rsid w:val="00E77BCA"/>
    <w:rsid w:val="00E77EE7"/>
    <w:rsid w:val="00E81839"/>
    <w:rsid w:val="00E81FB1"/>
    <w:rsid w:val="00E820A2"/>
    <w:rsid w:val="00E8230A"/>
    <w:rsid w:val="00E82950"/>
    <w:rsid w:val="00E82C0C"/>
    <w:rsid w:val="00E836B3"/>
    <w:rsid w:val="00E8453F"/>
    <w:rsid w:val="00E8486F"/>
    <w:rsid w:val="00E858A7"/>
    <w:rsid w:val="00E868F3"/>
    <w:rsid w:val="00E8716B"/>
    <w:rsid w:val="00E8787F"/>
    <w:rsid w:val="00E900AF"/>
    <w:rsid w:val="00E9176D"/>
    <w:rsid w:val="00E91C6C"/>
    <w:rsid w:val="00E92D8C"/>
    <w:rsid w:val="00E95359"/>
    <w:rsid w:val="00E966FD"/>
    <w:rsid w:val="00E96BF7"/>
    <w:rsid w:val="00EA05BA"/>
    <w:rsid w:val="00EA0715"/>
    <w:rsid w:val="00EA0A1C"/>
    <w:rsid w:val="00EA2DCF"/>
    <w:rsid w:val="00EA3EEC"/>
    <w:rsid w:val="00EA57B1"/>
    <w:rsid w:val="00EA5E6A"/>
    <w:rsid w:val="00EA6FE9"/>
    <w:rsid w:val="00EB0399"/>
    <w:rsid w:val="00EB1AD7"/>
    <w:rsid w:val="00EB2C64"/>
    <w:rsid w:val="00EB2EED"/>
    <w:rsid w:val="00EB2F2C"/>
    <w:rsid w:val="00EB36AD"/>
    <w:rsid w:val="00EB3C69"/>
    <w:rsid w:val="00EB3D5F"/>
    <w:rsid w:val="00EB3E5F"/>
    <w:rsid w:val="00EB531D"/>
    <w:rsid w:val="00EB5CBD"/>
    <w:rsid w:val="00EB62D7"/>
    <w:rsid w:val="00EB6C50"/>
    <w:rsid w:val="00EB6F2B"/>
    <w:rsid w:val="00EB708F"/>
    <w:rsid w:val="00EC126D"/>
    <w:rsid w:val="00EC3AAD"/>
    <w:rsid w:val="00EC4A5C"/>
    <w:rsid w:val="00EC5F71"/>
    <w:rsid w:val="00EC720E"/>
    <w:rsid w:val="00ED1237"/>
    <w:rsid w:val="00ED1277"/>
    <w:rsid w:val="00ED2F8C"/>
    <w:rsid w:val="00ED452D"/>
    <w:rsid w:val="00ED488C"/>
    <w:rsid w:val="00ED4B86"/>
    <w:rsid w:val="00ED525B"/>
    <w:rsid w:val="00EE0272"/>
    <w:rsid w:val="00EE3BCE"/>
    <w:rsid w:val="00EE53AB"/>
    <w:rsid w:val="00EE5AD9"/>
    <w:rsid w:val="00EE6358"/>
    <w:rsid w:val="00EE6EA2"/>
    <w:rsid w:val="00EE7B05"/>
    <w:rsid w:val="00EE7D8D"/>
    <w:rsid w:val="00EF0D43"/>
    <w:rsid w:val="00EF1FB7"/>
    <w:rsid w:val="00F00B3C"/>
    <w:rsid w:val="00F01005"/>
    <w:rsid w:val="00F0109D"/>
    <w:rsid w:val="00F01F41"/>
    <w:rsid w:val="00F039E2"/>
    <w:rsid w:val="00F0442B"/>
    <w:rsid w:val="00F052DC"/>
    <w:rsid w:val="00F05700"/>
    <w:rsid w:val="00F10CEF"/>
    <w:rsid w:val="00F110B1"/>
    <w:rsid w:val="00F11D98"/>
    <w:rsid w:val="00F120F4"/>
    <w:rsid w:val="00F123D1"/>
    <w:rsid w:val="00F1406D"/>
    <w:rsid w:val="00F14133"/>
    <w:rsid w:val="00F17677"/>
    <w:rsid w:val="00F20CC6"/>
    <w:rsid w:val="00F20F0C"/>
    <w:rsid w:val="00F21173"/>
    <w:rsid w:val="00F21E02"/>
    <w:rsid w:val="00F21EDB"/>
    <w:rsid w:val="00F21FAB"/>
    <w:rsid w:val="00F23321"/>
    <w:rsid w:val="00F24239"/>
    <w:rsid w:val="00F24AFC"/>
    <w:rsid w:val="00F24D61"/>
    <w:rsid w:val="00F32F3A"/>
    <w:rsid w:val="00F331B0"/>
    <w:rsid w:val="00F345FE"/>
    <w:rsid w:val="00F34E21"/>
    <w:rsid w:val="00F35ABF"/>
    <w:rsid w:val="00F37DC9"/>
    <w:rsid w:val="00F40053"/>
    <w:rsid w:val="00F438E3"/>
    <w:rsid w:val="00F43D1E"/>
    <w:rsid w:val="00F464BF"/>
    <w:rsid w:val="00F46BA9"/>
    <w:rsid w:val="00F471FA"/>
    <w:rsid w:val="00F52243"/>
    <w:rsid w:val="00F52FD1"/>
    <w:rsid w:val="00F531A0"/>
    <w:rsid w:val="00F54329"/>
    <w:rsid w:val="00F545AC"/>
    <w:rsid w:val="00F54FF2"/>
    <w:rsid w:val="00F55212"/>
    <w:rsid w:val="00F55301"/>
    <w:rsid w:val="00F554B9"/>
    <w:rsid w:val="00F56999"/>
    <w:rsid w:val="00F573F1"/>
    <w:rsid w:val="00F602AA"/>
    <w:rsid w:val="00F60422"/>
    <w:rsid w:val="00F60644"/>
    <w:rsid w:val="00F60F91"/>
    <w:rsid w:val="00F615BD"/>
    <w:rsid w:val="00F65020"/>
    <w:rsid w:val="00F664D1"/>
    <w:rsid w:val="00F6767A"/>
    <w:rsid w:val="00F67E6A"/>
    <w:rsid w:val="00F71485"/>
    <w:rsid w:val="00F714C4"/>
    <w:rsid w:val="00F71F1F"/>
    <w:rsid w:val="00F72FB2"/>
    <w:rsid w:val="00F73328"/>
    <w:rsid w:val="00F73F74"/>
    <w:rsid w:val="00F7521F"/>
    <w:rsid w:val="00F75A88"/>
    <w:rsid w:val="00F7728A"/>
    <w:rsid w:val="00F80A00"/>
    <w:rsid w:val="00F811EE"/>
    <w:rsid w:val="00F848CC"/>
    <w:rsid w:val="00F854D8"/>
    <w:rsid w:val="00F860E1"/>
    <w:rsid w:val="00F860F7"/>
    <w:rsid w:val="00F8682A"/>
    <w:rsid w:val="00F8777E"/>
    <w:rsid w:val="00F91676"/>
    <w:rsid w:val="00F91687"/>
    <w:rsid w:val="00F9181B"/>
    <w:rsid w:val="00F93181"/>
    <w:rsid w:val="00F934FC"/>
    <w:rsid w:val="00F9553E"/>
    <w:rsid w:val="00F97C75"/>
    <w:rsid w:val="00FA03BC"/>
    <w:rsid w:val="00FA2AD8"/>
    <w:rsid w:val="00FA2D2A"/>
    <w:rsid w:val="00FA2E41"/>
    <w:rsid w:val="00FA325B"/>
    <w:rsid w:val="00FA3413"/>
    <w:rsid w:val="00FA5F5A"/>
    <w:rsid w:val="00FA68D2"/>
    <w:rsid w:val="00FA7186"/>
    <w:rsid w:val="00FA7D6B"/>
    <w:rsid w:val="00FB115F"/>
    <w:rsid w:val="00FB19F5"/>
    <w:rsid w:val="00FB355A"/>
    <w:rsid w:val="00FB4A1C"/>
    <w:rsid w:val="00FB504D"/>
    <w:rsid w:val="00FB51DC"/>
    <w:rsid w:val="00FB5BF0"/>
    <w:rsid w:val="00FB5CD9"/>
    <w:rsid w:val="00FB66CC"/>
    <w:rsid w:val="00FB6924"/>
    <w:rsid w:val="00FB795F"/>
    <w:rsid w:val="00FB7C60"/>
    <w:rsid w:val="00FC1601"/>
    <w:rsid w:val="00FC1884"/>
    <w:rsid w:val="00FC2DE4"/>
    <w:rsid w:val="00FC3DEC"/>
    <w:rsid w:val="00FC6275"/>
    <w:rsid w:val="00FC64FB"/>
    <w:rsid w:val="00FC7377"/>
    <w:rsid w:val="00FD0E2D"/>
    <w:rsid w:val="00FD0F4E"/>
    <w:rsid w:val="00FD12DB"/>
    <w:rsid w:val="00FD1A61"/>
    <w:rsid w:val="00FD3C84"/>
    <w:rsid w:val="00FD4088"/>
    <w:rsid w:val="00FD41A6"/>
    <w:rsid w:val="00FD57E2"/>
    <w:rsid w:val="00FD58B6"/>
    <w:rsid w:val="00FD5D61"/>
    <w:rsid w:val="00FD64E5"/>
    <w:rsid w:val="00FE03F5"/>
    <w:rsid w:val="00FE14E0"/>
    <w:rsid w:val="00FE2E40"/>
    <w:rsid w:val="00FE493E"/>
    <w:rsid w:val="00FE4E21"/>
    <w:rsid w:val="00FE5DF6"/>
    <w:rsid w:val="00FF07EE"/>
    <w:rsid w:val="00FF1673"/>
    <w:rsid w:val="00FF1D71"/>
    <w:rsid w:val="00FF2AE4"/>
    <w:rsid w:val="00FF3C7C"/>
    <w:rsid w:val="00FF5794"/>
    <w:rsid w:val="00FF69E1"/>
    <w:rsid w:val="00FF6B3D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3594D"/>
  <w15:docId w15:val="{AE278A13-9C2A-4D53-8A14-E27E9B8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4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50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50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50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E1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7C2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45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453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6453"/>
    <w:rPr>
      <w:vertAlign w:val="superscript"/>
    </w:rPr>
  </w:style>
  <w:style w:type="character" w:customStyle="1" w:styleId="cf01">
    <w:name w:val="cf01"/>
    <w:basedOn w:val="Standardnpsmoodstavce"/>
    <w:rsid w:val="00983579"/>
    <w:rPr>
      <w:rFonts w:ascii="Segoe UI" w:hAnsi="Segoe UI" w:cs="Segoe UI" w:hint="default"/>
      <w:sz w:val="18"/>
      <w:szCs w:val="18"/>
    </w:rPr>
  </w:style>
  <w:style w:type="paragraph" w:customStyle="1" w:styleId="CBANadpisvTABULCE">
    <w:name w:val="CBA Nadpis v TABULCE"/>
    <w:basedOn w:val="Normln"/>
    <w:qFormat/>
    <w:rsid w:val="007341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73410F"/>
    <w:pPr>
      <w:spacing w:before="120" w:after="120"/>
      <w:jc w:val="left"/>
    </w:pPr>
    <w:rPr>
      <w:color w:val="13576B"/>
    </w:rPr>
  </w:style>
  <w:style w:type="character" w:styleId="Nevyeenzmnka">
    <w:name w:val="Unresolved Mention"/>
    <w:basedOn w:val="Standardnpsmoodstavce"/>
    <w:uiPriority w:val="99"/>
    <w:semiHidden/>
    <w:unhideWhenUsed/>
    <w:rsid w:val="00E84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8650-8B43-417C-931A-06049C16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1982</Words>
  <Characters>11699</Characters>
  <Application>Microsoft Office Word</Application>
  <DocSecurity>0</DocSecurity>
  <Lines>97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2023-05-10T14:22:00Z</cp:lastPrinted>
  <dcterms:created xsi:type="dcterms:W3CDTF">2025-11-25T14:33:00Z</dcterms:created>
  <dcterms:modified xsi:type="dcterms:W3CDTF">2025-11-25T14:48:00Z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0254f4-34d0-49c5-b888-af4abf762ef7_Enabled">
    <vt:lpwstr>True</vt:lpwstr>
  </property>
  <property fmtid="{D5CDD505-2E9C-101B-9397-08002B2CF9AE}" pid="3" name="MSIP_Label_390254f4-34d0-49c5-b888-af4abf762ef7_SiteId">
    <vt:lpwstr>2cc49ce9-66a1-41ac-a96b-bdc54247696a</vt:lpwstr>
  </property>
  <property fmtid="{D5CDD505-2E9C-101B-9397-08002B2CF9AE}" pid="4" name="MSIP_Label_390254f4-34d0-49c5-b888-af4abf762ef7_Owner">
    <vt:lpwstr>Pavel.Sobisek@unicreditgroup.cz</vt:lpwstr>
  </property>
  <property fmtid="{D5CDD505-2E9C-101B-9397-08002B2CF9AE}" pid="5" name="MSIP_Label_390254f4-34d0-49c5-b888-af4abf762ef7_SetDate">
    <vt:lpwstr>2020-01-15T16:11:29.8787231Z</vt:lpwstr>
  </property>
  <property fmtid="{D5CDD505-2E9C-101B-9397-08002B2CF9AE}" pid="6" name="MSIP_Label_390254f4-34d0-49c5-b888-af4abf762ef7_Name">
    <vt:lpwstr>Internal Use Only</vt:lpwstr>
  </property>
  <property fmtid="{D5CDD505-2E9C-101B-9397-08002B2CF9AE}" pid="7" name="MSIP_Label_390254f4-34d0-49c5-b888-af4abf762ef7_Application">
    <vt:lpwstr>Microsoft Azure Information Protection</vt:lpwstr>
  </property>
  <property fmtid="{D5CDD505-2E9C-101B-9397-08002B2CF9AE}" pid="8" name="MSIP_Label_390254f4-34d0-49c5-b888-af4abf762ef7_ActionId">
    <vt:lpwstr>43f3763f-d3c6-435c-ae50-a4a40081b5fb</vt:lpwstr>
  </property>
  <property fmtid="{D5CDD505-2E9C-101B-9397-08002B2CF9AE}" pid="9" name="MSIP_Label_390254f4-34d0-49c5-b888-af4abf762ef7_Extended_MSFT_Method">
    <vt:lpwstr>Automatic</vt:lpwstr>
  </property>
  <property fmtid="{D5CDD505-2E9C-101B-9397-08002B2CF9AE}" pid="10" name="MSIP_Label_faa92781-1fcb-4da3-a1a2-e534c28a25f3_Enabled">
    <vt:lpwstr>True</vt:lpwstr>
  </property>
  <property fmtid="{D5CDD505-2E9C-101B-9397-08002B2CF9AE}" pid="11" name="MSIP_Label_faa92781-1fcb-4da3-a1a2-e534c28a25f3_SiteId">
    <vt:lpwstr>2cc49ce9-66a1-41ac-a96b-bdc54247696a</vt:lpwstr>
  </property>
  <property fmtid="{D5CDD505-2E9C-101B-9397-08002B2CF9AE}" pid="12" name="MSIP_Label_faa92781-1fcb-4da3-a1a2-e534c28a25f3_Owner">
    <vt:lpwstr>Pavel.Sobisek@unicreditgroup.cz</vt:lpwstr>
  </property>
  <property fmtid="{D5CDD505-2E9C-101B-9397-08002B2CF9AE}" pid="13" name="MSIP_Label_faa92781-1fcb-4da3-a1a2-e534c28a25f3_SetDate">
    <vt:lpwstr>2020-01-15T16:11:29.8787231Z</vt:lpwstr>
  </property>
  <property fmtid="{D5CDD505-2E9C-101B-9397-08002B2CF9AE}" pid="14" name="MSIP_Label_faa92781-1fcb-4da3-a1a2-e534c28a25f3_Name">
    <vt:lpwstr>in UniCredit Group - no visual markings</vt:lpwstr>
  </property>
  <property fmtid="{D5CDD505-2E9C-101B-9397-08002B2CF9AE}" pid="15" name="MSIP_Label_faa92781-1fcb-4da3-a1a2-e534c28a25f3_Application">
    <vt:lpwstr>Microsoft Azure Information Protection</vt:lpwstr>
  </property>
  <property fmtid="{D5CDD505-2E9C-101B-9397-08002B2CF9AE}" pid="16" name="MSIP_Label_faa92781-1fcb-4da3-a1a2-e534c28a25f3_ActionId">
    <vt:lpwstr>43f3763f-d3c6-435c-ae50-a4a40081b5fb</vt:lpwstr>
  </property>
  <property fmtid="{D5CDD505-2E9C-101B-9397-08002B2CF9AE}" pid="17" name="MSIP_Label_faa92781-1fcb-4da3-a1a2-e534c28a25f3_Parent">
    <vt:lpwstr>390254f4-34d0-49c5-b888-af4abf762ef7</vt:lpwstr>
  </property>
  <property fmtid="{D5CDD505-2E9C-101B-9397-08002B2CF9AE}" pid="18" name="MSIP_Label_faa92781-1fcb-4da3-a1a2-e534c28a25f3_Extended_MSFT_Method">
    <vt:lpwstr>Automatic</vt:lpwstr>
  </property>
  <property fmtid="{D5CDD505-2E9C-101B-9397-08002B2CF9AE}" pid="19" name="MSIP_Label_2b3a104e-2916-42dc-a2f6-6210338509ed_Enabled">
    <vt:lpwstr>True</vt:lpwstr>
  </property>
  <property fmtid="{D5CDD505-2E9C-101B-9397-08002B2CF9AE}" pid="20" name="MSIP_Label_2b3a104e-2916-42dc-a2f6-6210338509ed_SiteId">
    <vt:lpwstr>e70aafb3-2e89-46a5-ba50-66803e8a4411</vt:lpwstr>
  </property>
  <property fmtid="{D5CDD505-2E9C-101B-9397-08002B2CF9AE}" pid="21" name="MSIP_Label_2b3a104e-2916-42dc-a2f6-6210338509ed_Owner">
    <vt:lpwstr>cen87316@csin.cz</vt:lpwstr>
  </property>
  <property fmtid="{D5CDD505-2E9C-101B-9397-08002B2CF9AE}" pid="22" name="MSIP_Label_2b3a104e-2916-42dc-a2f6-6210338509ed_SetDate">
    <vt:lpwstr>2020-01-17T08:10:02.3455520Z</vt:lpwstr>
  </property>
  <property fmtid="{D5CDD505-2E9C-101B-9397-08002B2CF9AE}" pid="23" name="MSIP_Label_2b3a104e-2916-42dc-a2f6-6210338509ed_Name">
    <vt:lpwstr>CS Internal</vt:lpwstr>
  </property>
  <property fmtid="{D5CDD505-2E9C-101B-9397-08002B2CF9AE}" pid="24" name="MSIP_Label_2b3a104e-2916-42dc-a2f6-6210338509ed_Application">
    <vt:lpwstr>Microsoft Azure Information Protection</vt:lpwstr>
  </property>
  <property fmtid="{D5CDD505-2E9C-101B-9397-08002B2CF9AE}" pid="25" name="MSIP_Label_2b3a104e-2916-42dc-a2f6-6210338509ed_ActionId">
    <vt:lpwstr>60b9ebe4-46ae-459c-bf59-6a05f328379e</vt:lpwstr>
  </property>
  <property fmtid="{D5CDD505-2E9C-101B-9397-08002B2CF9AE}" pid="26" name="MSIP_Label_2b3a104e-2916-42dc-a2f6-6210338509ed_Extended_MSFT_Method">
    <vt:lpwstr>Automatic</vt:lpwstr>
  </property>
  <property fmtid="{D5CDD505-2E9C-101B-9397-08002B2CF9AE}" pid="27" name="MSIP_Label_2a6524ed-fb1a-49fd-bafe-15c5e5ffd047_Enabled">
    <vt:lpwstr>true</vt:lpwstr>
  </property>
  <property fmtid="{D5CDD505-2E9C-101B-9397-08002B2CF9AE}" pid="28" name="MSIP_Label_2a6524ed-fb1a-49fd-bafe-15c5e5ffd047_SetDate">
    <vt:lpwstr>2021-05-10T05:54:55Z</vt:lpwstr>
  </property>
  <property fmtid="{D5CDD505-2E9C-101B-9397-08002B2CF9AE}" pid="29" name="MSIP_Label_2a6524ed-fb1a-49fd-bafe-15c5e5ffd047_Method">
    <vt:lpwstr>Standard</vt:lpwstr>
  </property>
  <property fmtid="{D5CDD505-2E9C-101B-9397-08002B2CF9AE}" pid="30" name="MSIP_Label_2a6524ed-fb1a-49fd-bafe-15c5e5ffd047_Name">
    <vt:lpwstr>Internal</vt:lpwstr>
  </property>
  <property fmtid="{D5CDD505-2E9C-101B-9397-08002B2CF9AE}" pid="31" name="MSIP_Label_2a6524ed-fb1a-49fd-bafe-15c5e5ffd047_SiteId">
    <vt:lpwstr>9b511fda-f0b1-43a5-b06e-1e720f64520a</vt:lpwstr>
  </property>
  <property fmtid="{D5CDD505-2E9C-101B-9397-08002B2CF9AE}" pid="32" name="MSIP_Label_2a6524ed-fb1a-49fd-bafe-15c5e5ffd047_ActionId">
    <vt:lpwstr>6e16e441-bca8-45fa-8e42-4b14b422a2ce</vt:lpwstr>
  </property>
  <property fmtid="{D5CDD505-2E9C-101B-9397-08002B2CF9AE}" pid="33" name="MSIP_Label_2a6524ed-fb1a-49fd-bafe-15c5e5ffd047_ContentBits">
    <vt:lpwstr>0</vt:lpwstr>
  </property>
  <property fmtid="{D5CDD505-2E9C-101B-9397-08002B2CF9AE}" pid="34" name="MSIP_Label_63f4bb52-bd44-4e71-98c6-b1e43e6be5b6_Enabled">
    <vt:lpwstr>true</vt:lpwstr>
  </property>
  <property fmtid="{D5CDD505-2E9C-101B-9397-08002B2CF9AE}" pid="35" name="MSIP_Label_63f4bb52-bd44-4e71-98c6-b1e43e6be5b6_SetDate">
    <vt:lpwstr>2022-08-10T09:54:41Z</vt:lpwstr>
  </property>
  <property fmtid="{D5CDD505-2E9C-101B-9397-08002B2CF9AE}" pid="36" name="MSIP_Label_63f4bb52-bd44-4e71-98c6-b1e43e6be5b6_Method">
    <vt:lpwstr>Standard</vt:lpwstr>
  </property>
  <property fmtid="{D5CDD505-2E9C-101B-9397-08002B2CF9AE}" pid="37" name="MSIP_Label_63f4bb52-bd44-4e71-98c6-b1e43e6be5b6_Name">
    <vt:lpwstr>Chráněné</vt:lpwstr>
  </property>
  <property fmtid="{D5CDD505-2E9C-101B-9397-08002B2CF9AE}" pid="38" name="MSIP_Label_63f4bb52-bd44-4e71-98c6-b1e43e6be5b6_SiteId">
    <vt:lpwstr>9cca307d-eed7-47e0-a567-a3b37ba0308b</vt:lpwstr>
  </property>
  <property fmtid="{D5CDD505-2E9C-101B-9397-08002B2CF9AE}" pid="39" name="MSIP_Label_63f4bb52-bd44-4e71-98c6-b1e43e6be5b6_ActionId">
    <vt:lpwstr>ca7f3bf3-cf89-4cf9-9bd8-fcbcfa83b433</vt:lpwstr>
  </property>
  <property fmtid="{D5CDD505-2E9C-101B-9397-08002B2CF9AE}" pid="40" name="MSIP_Label_63f4bb52-bd44-4e71-98c6-b1e43e6be5b6_ContentBits">
    <vt:lpwstr>0</vt:lpwstr>
  </property>
  <property fmtid="{D5CDD505-2E9C-101B-9397-08002B2CF9AE}" pid="41" name="MSIP_Label_95047c84-0a67-483c-b79b-e48654b86430_Enabled">
    <vt:lpwstr>true</vt:lpwstr>
  </property>
  <property fmtid="{D5CDD505-2E9C-101B-9397-08002B2CF9AE}" pid="42" name="MSIP_Label_95047c84-0a67-483c-b79b-e48654b86430_SetDate">
    <vt:lpwstr>2022-11-09T11:52:35Z</vt:lpwstr>
  </property>
  <property fmtid="{D5CDD505-2E9C-101B-9397-08002B2CF9AE}" pid="43" name="MSIP_Label_95047c84-0a67-483c-b79b-e48654b86430_Method">
    <vt:lpwstr>Standard</vt:lpwstr>
  </property>
  <property fmtid="{D5CDD505-2E9C-101B-9397-08002B2CF9AE}" pid="44" name="MSIP_Label_95047c84-0a67-483c-b79b-e48654b86430_Name">
    <vt:lpwstr>defa4170-0d19-0005-0004-bc88714345d2</vt:lpwstr>
  </property>
  <property fmtid="{D5CDD505-2E9C-101B-9397-08002B2CF9AE}" pid="45" name="MSIP_Label_95047c84-0a67-483c-b79b-e48654b86430_SiteId">
    <vt:lpwstr>3f20558b-6d29-4505-a3e9-96d02ae92fa1</vt:lpwstr>
  </property>
  <property fmtid="{D5CDD505-2E9C-101B-9397-08002B2CF9AE}" pid="46" name="MSIP_Label_95047c84-0a67-483c-b79b-e48654b86430_ActionId">
    <vt:lpwstr>09b031df-8fbf-4de6-9fcd-b47722a3820f</vt:lpwstr>
  </property>
  <property fmtid="{D5CDD505-2E9C-101B-9397-08002B2CF9AE}" pid="47" name="MSIP_Label_95047c84-0a67-483c-b79b-e48654b86430_ContentBits">
    <vt:lpwstr>0</vt:lpwstr>
  </property>
  <property fmtid="{D5CDD505-2E9C-101B-9397-08002B2CF9AE}" pid="48" name="MSIP_Label_38939b85-7e40-4a1d-91e1-0e84c3b219d7_Enabled">
    <vt:lpwstr>true</vt:lpwstr>
  </property>
  <property fmtid="{D5CDD505-2E9C-101B-9397-08002B2CF9AE}" pid="49" name="MSIP_Label_38939b85-7e40-4a1d-91e1-0e84c3b219d7_SetDate">
    <vt:lpwstr>2023-08-08T13:09:17Z</vt:lpwstr>
  </property>
  <property fmtid="{D5CDD505-2E9C-101B-9397-08002B2CF9AE}" pid="50" name="MSIP_Label_38939b85-7e40-4a1d-91e1-0e84c3b219d7_Method">
    <vt:lpwstr>Standard</vt:lpwstr>
  </property>
  <property fmtid="{D5CDD505-2E9C-101B-9397-08002B2CF9AE}" pid="51" name="MSIP_Label_38939b85-7e40-4a1d-91e1-0e84c3b219d7_Name">
    <vt:lpwstr>38939b85-7e40-4a1d-91e1-0e84c3b219d7</vt:lpwstr>
  </property>
  <property fmtid="{D5CDD505-2E9C-101B-9397-08002B2CF9AE}" pid="52" name="MSIP_Label_38939b85-7e40-4a1d-91e1-0e84c3b219d7_SiteId">
    <vt:lpwstr>3ad0376a-54d3-49a6-9e20-52de0a92fc89</vt:lpwstr>
  </property>
  <property fmtid="{D5CDD505-2E9C-101B-9397-08002B2CF9AE}" pid="53" name="MSIP_Label_38939b85-7e40-4a1d-91e1-0e84c3b219d7_ActionId">
    <vt:lpwstr>a9bfb157-61e9-41a9-8f12-7ab49d163955</vt:lpwstr>
  </property>
  <property fmtid="{D5CDD505-2E9C-101B-9397-08002B2CF9AE}" pid="54" name="MSIP_Label_38939b85-7e40-4a1d-91e1-0e84c3b219d7_ContentBits">
    <vt:lpwstr>0</vt:lpwstr>
  </property>
  <property fmtid="{D5CDD505-2E9C-101B-9397-08002B2CF9AE}" pid="55" name="MSIP_Label_076d9757-80ae-4c87-b4d7-9ffa7a0710d0_Enabled">
    <vt:lpwstr>true</vt:lpwstr>
  </property>
  <property fmtid="{D5CDD505-2E9C-101B-9397-08002B2CF9AE}" pid="56" name="MSIP_Label_076d9757-80ae-4c87-b4d7-9ffa7a0710d0_SetDate">
    <vt:lpwstr>2023-11-08T08:22:38Z</vt:lpwstr>
  </property>
  <property fmtid="{D5CDD505-2E9C-101B-9397-08002B2CF9AE}" pid="57" name="MSIP_Label_076d9757-80ae-4c87-b4d7-9ffa7a0710d0_Method">
    <vt:lpwstr>Standard</vt:lpwstr>
  </property>
  <property fmtid="{D5CDD505-2E9C-101B-9397-08002B2CF9AE}" pid="58" name="MSIP_Label_076d9757-80ae-4c87-b4d7-9ffa7a0710d0_Name">
    <vt:lpwstr>C1 - Internal</vt:lpwstr>
  </property>
  <property fmtid="{D5CDD505-2E9C-101B-9397-08002B2CF9AE}" pid="59" name="MSIP_Label_076d9757-80ae-4c87-b4d7-9ffa7a0710d0_SiteId">
    <vt:lpwstr>c79e7c80-cff5-4503-b468-3702cea89272</vt:lpwstr>
  </property>
  <property fmtid="{D5CDD505-2E9C-101B-9397-08002B2CF9AE}" pid="60" name="MSIP_Label_076d9757-80ae-4c87-b4d7-9ffa7a0710d0_ActionId">
    <vt:lpwstr>e6da5af1-39f2-4f2b-b59b-984e27099740</vt:lpwstr>
  </property>
  <property fmtid="{D5CDD505-2E9C-101B-9397-08002B2CF9AE}" pid="61" name="MSIP_Label_076d9757-80ae-4c87-b4d7-9ffa7a0710d0_ContentBits">
    <vt:lpwstr>0</vt:lpwstr>
  </property>
  <property fmtid="{D5CDD505-2E9C-101B-9397-08002B2CF9AE}" pid="62" name="Kod_Duvernosti">
    <vt:lpwstr>KB_C1_INTERNAL_992521</vt:lpwstr>
  </property>
</Properties>
</file>