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single" w:sz="36" w:space="0" w:color="13576B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9"/>
      </w:tblGrid>
      <w:tr w:rsidR="001755F4" w14:paraId="3BD55BF6" w14:textId="77777777" w:rsidTr="001324C5">
        <w:tc>
          <w:tcPr>
            <w:tcW w:w="9049" w:type="dxa"/>
            <w:tcBorders>
              <w:top w:val="nil"/>
              <w:left w:val="single" w:sz="18" w:space="0" w:color="13576B"/>
              <w:bottom w:val="nil"/>
              <w:right w:val="nil"/>
            </w:tcBorders>
            <w:vAlign w:val="center"/>
            <w:hideMark/>
          </w:tcPr>
          <w:p w14:paraId="13EB1019" w14:textId="7DB7D10E" w:rsidR="001755F4" w:rsidRDefault="00DB05B3" w:rsidP="001324C5">
            <w:pPr>
              <w:rPr>
                <w:rFonts w:cs="Arial"/>
                <w:b/>
                <w:bCs/>
                <w:color w:val="13576B"/>
                <w:sz w:val="32"/>
                <w:szCs w:val="32"/>
              </w:rPr>
            </w:pPr>
            <w:r>
              <w:rPr>
                <w:rFonts w:cs="Arial"/>
                <w:b/>
                <w:bCs/>
                <w:color w:val="13576B"/>
                <w:sz w:val="32"/>
                <w:szCs w:val="32"/>
              </w:rPr>
              <w:t>C</w:t>
            </w:r>
            <w:r w:rsidR="001755F4" w:rsidRPr="001755F4">
              <w:rPr>
                <w:rFonts w:cs="Arial"/>
                <w:b/>
                <w:bCs/>
                <w:color w:val="13576B"/>
                <w:sz w:val="32"/>
                <w:szCs w:val="32"/>
              </w:rPr>
              <w:t xml:space="preserve">eny nemovitostí </w:t>
            </w:r>
            <w:r>
              <w:rPr>
                <w:rFonts w:cs="Arial"/>
                <w:b/>
                <w:bCs/>
                <w:color w:val="13576B"/>
                <w:sz w:val="32"/>
                <w:szCs w:val="32"/>
              </w:rPr>
              <w:t>loni vzrostly</w:t>
            </w:r>
            <w:r w:rsidR="001755F4" w:rsidRPr="001755F4">
              <w:rPr>
                <w:rFonts w:cs="Arial"/>
                <w:b/>
                <w:bCs/>
                <w:color w:val="13576B"/>
                <w:sz w:val="32"/>
                <w:szCs w:val="32"/>
              </w:rPr>
              <w:t xml:space="preserve"> o 1</w:t>
            </w:r>
            <w:r w:rsidR="009F7AEF">
              <w:rPr>
                <w:rFonts w:cs="Arial"/>
                <w:b/>
                <w:bCs/>
                <w:color w:val="13576B"/>
                <w:sz w:val="32"/>
                <w:szCs w:val="32"/>
              </w:rPr>
              <w:t>2</w:t>
            </w:r>
            <w:r w:rsidR="001755F4" w:rsidRPr="001755F4">
              <w:rPr>
                <w:rFonts w:cs="Arial"/>
                <w:b/>
                <w:bCs/>
                <w:color w:val="13576B"/>
                <w:sz w:val="32"/>
                <w:szCs w:val="32"/>
              </w:rPr>
              <w:t xml:space="preserve"> procent</w:t>
            </w:r>
            <w:r w:rsidR="008D1BC8">
              <w:rPr>
                <w:rFonts w:cs="Arial"/>
                <w:b/>
                <w:bCs/>
                <w:color w:val="13576B"/>
                <w:sz w:val="32"/>
                <w:szCs w:val="32"/>
              </w:rPr>
              <w:t>, nájemní bydlení v některých regionech až o 10 procent</w:t>
            </w:r>
          </w:p>
        </w:tc>
      </w:tr>
    </w:tbl>
    <w:p w14:paraId="0335ADC9" w14:textId="77777777" w:rsidR="001755F4" w:rsidRDefault="001755F4" w:rsidP="001755F4">
      <w:pPr>
        <w:spacing w:after="120"/>
        <w:rPr>
          <w:rFonts w:cs="Arial"/>
          <w:b/>
          <w:bCs/>
          <w:color w:val="13576B"/>
          <w:sz w:val="28"/>
          <w:szCs w:val="28"/>
        </w:rPr>
      </w:pPr>
    </w:p>
    <w:p w14:paraId="7FF939AB" w14:textId="1D47D91A" w:rsidR="000F2245" w:rsidRDefault="000F2245">
      <w:pPr>
        <w:rPr>
          <w:b/>
          <w:bCs/>
        </w:rPr>
      </w:pPr>
      <w:r w:rsidRPr="000E61BD">
        <w:t xml:space="preserve">Praha, 25. února 2026 – </w:t>
      </w:r>
      <w:r w:rsidRPr="00435892">
        <w:rPr>
          <w:b/>
          <w:bCs/>
        </w:rPr>
        <w:t>Realitní trh v Česku si v</w:t>
      </w:r>
      <w:r w:rsidR="0025391A">
        <w:rPr>
          <w:b/>
          <w:bCs/>
        </w:rPr>
        <w:t> </w:t>
      </w:r>
      <w:r w:rsidRPr="00435892">
        <w:rPr>
          <w:b/>
          <w:bCs/>
        </w:rPr>
        <w:t>loňském roce udržel růstové tempo a</w:t>
      </w:r>
      <w:r w:rsidR="00D719CD">
        <w:rPr>
          <w:b/>
          <w:bCs/>
        </w:rPr>
        <w:t> </w:t>
      </w:r>
      <w:r w:rsidRPr="00435892">
        <w:rPr>
          <w:b/>
          <w:bCs/>
        </w:rPr>
        <w:t>meziročně</w:t>
      </w:r>
      <w:r w:rsidR="0044354D">
        <w:rPr>
          <w:b/>
          <w:bCs/>
        </w:rPr>
        <w:t xml:space="preserve"> prodeje</w:t>
      </w:r>
      <w:r w:rsidRPr="00435892">
        <w:rPr>
          <w:b/>
          <w:bCs/>
        </w:rPr>
        <w:t xml:space="preserve"> vzrostl</w:t>
      </w:r>
      <w:r w:rsidR="0044354D">
        <w:rPr>
          <w:b/>
          <w:bCs/>
        </w:rPr>
        <w:t>y</w:t>
      </w:r>
      <w:r w:rsidRPr="00435892">
        <w:rPr>
          <w:b/>
          <w:bCs/>
        </w:rPr>
        <w:t xml:space="preserve"> o </w:t>
      </w:r>
      <w:r w:rsidRPr="0044354D">
        <w:rPr>
          <w:b/>
          <w:bCs/>
        </w:rPr>
        <w:t>1</w:t>
      </w:r>
      <w:r w:rsidR="0044354D" w:rsidRPr="0044354D">
        <w:rPr>
          <w:b/>
          <w:bCs/>
        </w:rPr>
        <w:t>1</w:t>
      </w:r>
      <w:r w:rsidRPr="0044354D">
        <w:rPr>
          <w:b/>
          <w:bCs/>
        </w:rPr>
        <w:t xml:space="preserve"> procent</w:t>
      </w:r>
      <w:r w:rsidRPr="00435892">
        <w:rPr>
          <w:b/>
          <w:bCs/>
        </w:rPr>
        <w:t xml:space="preserve">. Pokračuje tak v posilování aktivity, i když už ne v tak </w:t>
      </w:r>
      <w:r w:rsidR="00CD235B">
        <w:rPr>
          <w:b/>
          <w:bCs/>
        </w:rPr>
        <w:t>rychl</w:t>
      </w:r>
      <w:r w:rsidR="0025391A">
        <w:rPr>
          <w:b/>
          <w:bCs/>
        </w:rPr>
        <w:t>ém tempu,</w:t>
      </w:r>
      <w:r w:rsidRPr="00435892">
        <w:rPr>
          <w:b/>
          <w:bCs/>
        </w:rPr>
        <w:t xml:space="preserve"> jako tomu bylo v letech 2023-2024. </w:t>
      </w:r>
      <w:r w:rsidR="006435FA" w:rsidRPr="00435892">
        <w:rPr>
          <w:b/>
          <w:bCs/>
        </w:rPr>
        <w:t xml:space="preserve">Ceny nemovitostí stouply v celorepublikovém průměru o </w:t>
      </w:r>
      <w:r w:rsidR="006435FA" w:rsidRPr="0044354D">
        <w:rPr>
          <w:b/>
          <w:bCs/>
        </w:rPr>
        <w:t>1</w:t>
      </w:r>
      <w:r w:rsidR="0044354D">
        <w:rPr>
          <w:b/>
          <w:bCs/>
        </w:rPr>
        <w:t>2</w:t>
      </w:r>
      <w:r w:rsidR="006435FA" w:rsidRPr="0044354D">
        <w:rPr>
          <w:b/>
          <w:bCs/>
        </w:rPr>
        <w:t xml:space="preserve"> procent</w:t>
      </w:r>
      <w:r w:rsidR="006435FA" w:rsidRPr="00435892">
        <w:rPr>
          <w:b/>
          <w:bCs/>
        </w:rPr>
        <w:t>. Hypoteční trh</w:t>
      </w:r>
      <w:r w:rsidR="001755F4">
        <w:rPr>
          <w:b/>
          <w:bCs/>
        </w:rPr>
        <w:t xml:space="preserve"> loni vzrostl o 41 procent a objemově byl druhý nejsilnější v</w:t>
      </w:r>
      <w:r w:rsidR="00AB47FD">
        <w:rPr>
          <w:b/>
          <w:bCs/>
        </w:rPr>
        <w:t> </w:t>
      </w:r>
      <w:r w:rsidR="001755F4">
        <w:rPr>
          <w:b/>
          <w:bCs/>
        </w:rPr>
        <w:t>historii</w:t>
      </w:r>
      <w:r w:rsidR="00AB47FD">
        <w:rPr>
          <w:b/>
          <w:bCs/>
        </w:rPr>
        <w:t xml:space="preserve">, ale rostly i počty nových hypoték, a to o </w:t>
      </w:r>
      <w:r w:rsidR="001E72A1">
        <w:rPr>
          <w:b/>
          <w:bCs/>
        </w:rPr>
        <w:t>23</w:t>
      </w:r>
      <w:r w:rsidR="00AB47FD">
        <w:rPr>
          <w:b/>
          <w:bCs/>
        </w:rPr>
        <w:t xml:space="preserve"> %</w:t>
      </w:r>
      <w:r w:rsidR="001755F4">
        <w:rPr>
          <w:b/>
          <w:bCs/>
        </w:rPr>
        <w:t xml:space="preserve">. </w:t>
      </w:r>
      <w:r w:rsidR="006435FA" w:rsidRPr="00435892">
        <w:rPr>
          <w:b/>
          <w:bCs/>
        </w:rPr>
        <w:t>Vyplývá to ze statistik České bankovní asociace a společnosti Flat Zone.</w:t>
      </w:r>
    </w:p>
    <w:p w14:paraId="31F3DA53" w14:textId="77777777" w:rsidR="001755F4" w:rsidRPr="00435892" w:rsidRDefault="001755F4">
      <w:pPr>
        <w:rPr>
          <w:b/>
          <w:bCs/>
        </w:rPr>
      </w:pPr>
    </w:p>
    <w:p w14:paraId="196C3F75" w14:textId="458BA34C" w:rsidR="00DE1011" w:rsidRPr="000E61BD" w:rsidRDefault="00DE1011" w:rsidP="00DE1011">
      <w:pPr>
        <w:rPr>
          <w:b/>
          <w:bCs/>
        </w:rPr>
      </w:pPr>
      <w:r w:rsidRPr="000E61BD">
        <w:rPr>
          <w:b/>
          <w:bCs/>
        </w:rPr>
        <w:t>Aktivitu na realitní</w:t>
      </w:r>
      <w:r w:rsidR="00E66E1D">
        <w:rPr>
          <w:b/>
          <w:bCs/>
        </w:rPr>
        <w:t>m</w:t>
      </w:r>
      <w:r w:rsidRPr="000E61BD">
        <w:rPr>
          <w:b/>
          <w:bCs/>
        </w:rPr>
        <w:t xml:space="preserve"> trhu táhne Praha, u starší zástavby i Ústecký kraj</w:t>
      </w:r>
    </w:p>
    <w:p w14:paraId="68CB2160" w14:textId="40F8EF66" w:rsidR="00DE1011" w:rsidRPr="000E61BD" w:rsidRDefault="00DE1011" w:rsidP="00DE1011">
      <w:r w:rsidRPr="000E61BD">
        <w:t xml:space="preserve">Prodeje nemovitostí celkově stouply o </w:t>
      </w:r>
      <w:r w:rsidRPr="0044354D">
        <w:t>1</w:t>
      </w:r>
      <w:r w:rsidR="0044354D">
        <w:t>1</w:t>
      </w:r>
      <w:r w:rsidRPr="0044354D">
        <w:t xml:space="preserve"> procent</w:t>
      </w:r>
      <w:r w:rsidRPr="000E61BD">
        <w:t xml:space="preserve">, </w:t>
      </w:r>
      <w:r w:rsidR="0025391A">
        <w:t>prodalo se o 6,5 tisíce více bytů a</w:t>
      </w:r>
      <w:r w:rsidR="00E66E1D">
        <w:t> </w:t>
      </w:r>
      <w:r w:rsidR="0025391A">
        <w:t xml:space="preserve">rodinných </w:t>
      </w:r>
      <w:r w:rsidR="00C04EE0">
        <w:t>domů</w:t>
      </w:r>
      <w:r w:rsidR="0025391A">
        <w:t xml:space="preserve"> než v předešlém roce</w:t>
      </w:r>
      <w:r w:rsidR="00C04EE0">
        <w:t>. P</w:t>
      </w:r>
      <w:r w:rsidR="0025391A">
        <w:t>okračoval tak trend trvající od počátku roku 2023, jen v pomalejším tempu</w:t>
      </w:r>
      <w:r w:rsidRPr="000E61BD">
        <w:t xml:space="preserve">. </w:t>
      </w:r>
      <w:r w:rsidR="00546464">
        <w:t>Prodeje s</w:t>
      </w:r>
      <w:r w:rsidRPr="000E61BD">
        <w:t>tarší bytov</w:t>
      </w:r>
      <w:r w:rsidR="00546464">
        <w:t>é</w:t>
      </w:r>
      <w:r w:rsidRPr="000E61BD">
        <w:t xml:space="preserve"> zástavb</w:t>
      </w:r>
      <w:r w:rsidR="00546464">
        <w:t>y vzrostly o 12 procent. N</w:t>
      </w:r>
      <w:r w:rsidRPr="000E61BD">
        <w:t>ejvíce</w:t>
      </w:r>
      <w:r w:rsidR="00546464">
        <w:t xml:space="preserve"> se</w:t>
      </w:r>
      <w:r w:rsidRPr="000E61BD">
        <w:t xml:space="preserve"> prodávala v Praze a Ústeckém kraji</w:t>
      </w:r>
      <w:r w:rsidR="0044354D">
        <w:t>.</w:t>
      </w:r>
      <w:r w:rsidR="00D719CD">
        <w:t xml:space="preserve"> </w:t>
      </w:r>
      <w:r w:rsidRPr="000E61BD">
        <w:t xml:space="preserve"> Nejvíce </w:t>
      </w:r>
      <w:r w:rsidR="00C04EE0">
        <w:t xml:space="preserve">nových bytů </w:t>
      </w:r>
      <w:r w:rsidRPr="000E61BD">
        <w:t>se prodávalo v hlavním městě</w:t>
      </w:r>
      <w:r w:rsidR="00FD3E3A">
        <w:t xml:space="preserve">, </w:t>
      </w:r>
      <w:r w:rsidRPr="000E61BD">
        <w:t xml:space="preserve">Jihomoravském a Středočeském kraji. Ke konci loňského roku bylo </w:t>
      </w:r>
      <w:r w:rsidR="00C04EE0">
        <w:t xml:space="preserve">v nabídce developerů </w:t>
      </w:r>
      <w:r w:rsidRPr="000E61BD">
        <w:t>k dispozici téměř 17 a půl tisíce nových bytů</w:t>
      </w:r>
      <w:r w:rsidR="00C04EE0">
        <w:t>, ve všech regionech kromě Prahy nabídka nových bytů oproti roku 2024 vzrostla</w:t>
      </w:r>
      <w:r w:rsidRPr="000E61BD">
        <w:t>. Aktivita na trhu s rodinnými do</w:t>
      </w:r>
      <w:r w:rsidR="00897936">
        <w:t>m</w:t>
      </w:r>
      <w:r w:rsidRPr="000E61BD">
        <w:t xml:space="preserve">y stoupla o 4 procenta, nejsilnější byla ve Středočeském kraji. </w:t>
      </w:r>
    </w:p>
    <w:p w14:paraId="60416B73" w14:textId="50FF7040" w:rsidR="00DE1011" w:rsidRPr="00DE1011" w:rsidRDefault="00DE1011" w:rsidP="00DE1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i/>
          <w:iCs/>
        </w:rPr>
        <w:t>„</w:t>
      </w:r>
      <w:r w:rsidRPr="000E61BD">
        <w:rPr>
          <w:i/>
          <w:iCs/>
        </w:rPr>
        <w:t>Také v roce 2025 byla základním problémem českého bytového trhu skutečnost, že se staví málo v místech, kam dlouhodobě směřuje velká poptávka. Tedy v Praze, Brně a</w:t>
      </w:r>
      <w:r w:rsidR="00E66E1D">
        <w:rPr>
          <w:i/>
          <w:iCs/>
        </w:rPr>
        <w:t> </w:t>
      </w:r>
      <w:r w:rsidRPr="000E61BD">
        <w:rPr>
          <w:i/>
          <w:iCs/>
        </w:rPr>
        <w:t>okolí těchto dvou metropolí, a v krajských městech</w:t>
      </w:r>
      <w:r w:rsidRPr="000E61BD">
        <w:rPr>
          <w:rFonts w:ascii="Arial" w:hAnsi="Arial" w:cs="Arial"/>
          <w:i/>
          <w:iCs/>
        </w:rPr>
        <w:t>​</w:t>
      </w:r>
      <w:r w:rsidRPr="000E61BD">
        <w:rPr>
          <w:rFonts w:cs="Arial"/>
          <w:i/>
          <w:iCs/>
        </w:rPr>
        <w:t>.</w:t>
      </w:r>
      <w:r w:rsidRPr="000E61BD">
        <w:rPr>
          <w:i/>
          <w:iCs/>
        </w:rPr>
        <w:t xml:space="preserve"> </w:t>
      </w:r>
      <w:r w:rsidRPr="000E61BD">
        <w:rPr>
          <w:rFonts w:cs="Arial"/>
          <w:i/>
          <w:iCs/>
        </w:rPr>
        <w:t>Dostupnost bydlení se zvýší tehdy, pokud bude nová výstavba probíhat rychleji, předvídatelněji a zejména tam, kam se lidé přesídlují</w:t>
      </w:r>
      <w:r>
        <w:rPr>
          <w:rFonts w:cs="Arial"/>
          <w:i/>
          <w:iCs/>
        </w:rPr>
        <w:t xml:space="preserve">,“ </w:t>
      </w:r>
      <w:r w:rsidRPr="000E61BD">
        <w:rPr>
          <w:b/>
          <w:bCs/>
        </w:rPr>
        <w:t>říká Milan Roček, jednatel společnosti Flat Zone.</w:t>
      </w:r>
    </w:p>
    <w:p w14:paraId="307CAA54" w14:textId="77777777" w:rsidR="00D7274A" w:rsidRPr="000E61BD" w:rsidRDefault="00D7274A"/>
    <w:p w14:paraId="278A4AB4" w14:textId="0CAAEC9E" w:rsidR="00D7274A" w:rsidRPr="000E61BD" w:rsidRDefault="00D7274A">
      <w:pPr>
        <w:rPr>
          <w:b/>
          <w:bCs/>
        </w:rPr>
      </w:pPr>
      <w:r w:rsidRPr="000E61BD">
        <w:rPr>
          <w:b/>
          <w:bCs/>
        </w:rPr>
        <w:t>Ceny nemovitostí pokračovaly v silném růstu</w:t>
      </w:r>
    </w:p>
    <w:p w14:paraId="14BFB194" w14:textId="40799DE8" w:rsidR="00D7274A" w:rsidRDefault="00D7274A" w:rsidP="00D7274A">
      <w:r w:rsidRPr="000E61BD">
        <w:t>Nejvíce zdražila starší bytová výstavba, v celorepublikovém průměru o 18 procent. Stejné tempo bylo i v hlavním městě, v regionech bylo o jeden procentní bod nižší. Nejvíce ceny rostly v</w:t>
      </w:r>
      <w:r w:rsidR="00281C9F">
        <w:t> </w:t>
      </w:r>
      <w:r w:rsidRPr="000E61BD">
        <w:t>Praze</w:t>
      </w:r>
      <w:r w:rsidR="00281C9F">
        <w:t xml:space="preserve">, </w:t>
      </w:r>
      <w:r w:rsidRPr="000E61BD">
        <w:t xml:space="preserve">Středočeském a Jihomoravském kraji. Ceny novostaveb vzrostly </w:t>
      </w:r>
      <w:r w:rsidR="00125304" w:rsidRPr="000E61BD">
        <w:t xml:space="preserve">u prvoprodejů o </w:t>
      </w:r>
      <w:r w:rsidR="004C0C0C">
        <w:t>9</w:t>
      </w:r>
      <w:r w:rsidR="00125304" w:rsidRPr="000E61BD">
        <w:t xml:space="preserve"> procent, u přeprodeje </w:t>
      </w:r>
      <w:r w:rsidR="004C0C0C">
        <w:t xml:space="preserve">zánovních novostaveb </w:t>
      </w:r>
      <w:r w:rsidR="00125304" w:rsidRPr="000E61BD">
        <w:t xml:space="preserve">to bylo </w:t>
      </w:r>
      <w:r w:rsidR="004C0C0C">
        <w:t>13</w:t>
      </w:r>
      <w:r w:rsidR="00125304" w:rsidRPr="000E61BD">
        <w:t xml:space="preserve"> </w:t>
      </w:r>
      <w:r w:rsidR="00125304" w:rsidRPr="000E61BD">
        <w:lastRenderedPageBreak/>
        <w:t xml:space="preserve">procent v republikovém průměru, </w:t>
      </w:r>
      <w:r w:rsidR="004C0C0C">
        <w:t xml:space="preserve">stejně jako </w:t>
      </w:r>
      <w:r w:rsidR="00125304" w:rsidRPr="000E61BD">
        <w:t>v Praze. Rodinné domy v průměru zdražily o</w:t>
      </w:r>
      <w:r w:rsidR="00E66E1D">
        <w:t> </w:t>
      </w:r>
      <w:r w:rsidR="00125304" w:rsidRPr="000E61BD">
        <w:t>14 procent</w:t>
      </w:r>
      <w:r w:rsidR="00546464">
        <w:t>.</w:t>
      </w:r>
      <w:r w:rsidR="00125304" w:rsidRPr="000E61BD">
        <w:t xml:space="preserve"> </w:t>
      </w:r>
    </w:p>
    <w:p w14:paraId="1939411D" w14:textId="77777777" w:rsidR="001755F4" w:rsidRDefault="001755F4" w:rsidP="00D7274A"/>
    <w:p w14:paraId="7C488983" w14:textId="0E49FAB4" w:rsidR="00125304" w:rsidRPr="00125304" w:rsidRDefault="00125304" w:rsidP="00125304">
      <w:pPr>
        <w:rPr>
          <w:b/>
          <w:bCs/>
        </w:rPr>
      </w:pPr>
      <w:r w:rsidRPr="00125304">
        <w:rPr>
          <w:b/>
          <w:bCs/>
        </w:rPr>
        <w:t>Tabulka 1: Ceny nemovitostí na konci roku 202</w:t>
      </w:r>
      <w:r w:rsidR="003B2127">
        <w:rPr>
          <w:b/>
          <w:bCs/>
        </w:rPr>
        <w:t>5</w:t>
      </w:r>
    </w:p>
    <w:tbl>
      <w:tblPr>
        <w:tblStyle w:val="Prosttabulka1"/>
        <w:tblW w:w="9072" w:type="dxa"/>
        <w:tblInd w:w="-5" w:type="dxa"/>
        <w:tblLook w:val="04A0" w:firstRow="1" w:lastRow="0" w:firstColumn="1" w:lastColumn="0" w:noHBand="0" w:noVBand="1"/>
      </w:tblPr>
      <w:tblGrid>
        <w:gridCol w:w="1482"/>
        <w:gridCol w:w="1212"/>
        <w:gridCol w:w="1134"/>
        <w:gridCol w:w="1701"/>
        <w:gridCol w:w="1637"/>
        <w:gridCol w:w="1906"/>
      </w:tblGrid>
      <w:tr w:rsidR="00125304" w:rsidRPr="00125304" w14:paraId="0E0DED5D" w14:textId="77777777" w:rsidTr="004F3C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5D05137" w14:textId="77777777" w:rsidR="00125304" w:rsidRPr="00125304" w:rsidRDefault="00125304" w:rsidP="00125304">
            <w:pPr>
              <w:spacing w:after="160" w:line="278" w:lineRule="auto"/>
              <w:jc w:val="center"/>
            </w:pPr>
            <w:r w:rsidRPr="00125304">
              <w:t>Nemovitost</w:t>
            </w:r>
          </w:p>
        </w:tc>
        <w:tc>
          <w:tcPr>
            <w:tcW w:w="234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3C870BE" w14:textId="731BC516" w:rsidR="00125304" w:rsidRPr="00125304" w:rsidRDefault="00125304" w:rsidP="00125304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5304">
              <w:t>Starší byt</w:t>
            </w:r>
            <w:r w:rsidR="004C0C0C">
              <w:t>y</w:t>
            </w:r>
            <w:r w:rsidRPr="00125304">
              <w:t xml:space="preserve"> (Kč/m</w:t>
            </w:r>
            <w:r w:rsidRPr="00125304">
              <w:rPr>
                <w:vertAlign w:val="superscript"/>
              </w:rPr>
              <w:t>2</w:t>
            </w:r>
            <w:r w:rsidRPr="00125304">
              <w:t>)</w:t>
            </w:r>
          </w:p>
        </w:tc>
        <w:tc>
          <w:tcPr>
            <w:tcW w:w="333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B99E09E" w14:textId="50B1C245" w:rsidR="00125304" w:rsidRPr="00125304" w:rsidRDefault="004C0C0C" w:rsidP="00125304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Byty v n</w:t>
            </w:r>
            <w:r w:rsidRPr="00125304">
              <w:t>ovostavb</w:t>
            </w:r>
            <w:r>
              <w:t>ách</w:t>
            </w:r>
            <w:r w:rsidRPr="00125304">
              <w:t xml:space="preserve"> </w:t>
            </w:r>
            <w:r w:rsidR="00125304" w:rsidRPr="00125304">
              <w:t>(Kč/m</w:t>
            </w:r>
            <w:r w:rsidR="00125304" w:rsidRPr="00125304">
              <w:rPr>
                <w:vertAlign w:val="superscript"/>
              </w:rPr>
              <w:t>2</w:t>
            </w:r>
            <w:r w:rsidR="00125304" w:rsidRPr="00125304">
              <w:t>)</w:t>
            </w:r>
          </w:p>
        </w:tc>
        <w:tc>
          <w:tcPr>
            <w:tcW w:w="1906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94B050F" w14:textId="77777777" w:rsidR="00125304" w:rsidRPr="00125304" w:rsidRDefault="00125304" w:rsidP="00125304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5304">
              <w:t>Rodinný dům (mil. Kč)</w:t>
            </w:r>
          </w:p>
        </w:tc>
      </w:tr>
      <w:tr w:rsidR="003B2127" w:rsidRPr="00125304" w14:paraId="50E3ED53" w14:textId="77777777" w:rsidTr="004F3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757C541" w14:textId="77777777" w:rsidR="00125304" w:rsidRPr="00125304" w:rsidRDefault="00125304" w:rsidP="00125304">
            <w:pPr>
              <w:spacing w:after="160" w:line="278" w:lineRule="auto"/>
              <w:jc w:val="center"/>
            </w:pPr>
          </w:p>
        </w:tc>
        <w:tc>
          <w:tcPr>
            <w:tcW w:w="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D37187F" w14:textId="77777777" w:rsidR="00125304" w:rsidRPr="00125304" w:rsidRDefault="00125304" w:rsidP="00125304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5304">
              <w:t>cihla</w:t>
            </w:r>
          </w:p>
        </w:tc>
        <w:tc>
          <w:tcPr>
            <w:tcW w:w="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5B3775D" w14:textId="77777777" w:rsidR="00125304" w:rsidRPr="00125304" w:rsidRDefault="00125304" w:rsidP="00125304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5304">
              <w:t>panel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0F6D93E" w14:textId="3CF9D040" w:rsidR="00125304" w:rsidRPr="00125304" w:rsidRDefault="004C0C0C" w:rsidP="00125304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Prvoprodeje od developera</w:t>
            </w:r>
          </w:p>
        </w:tc>
        <w:tc>
          <w:tcPr>
            <w:tcW w:w="16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8F8EAAD" w14:textId="7E785145" w:rsidR="00125304" w:rsidRPr="00125304" w:rsidRDefault="004C0C0C" w:rsidP="00DB05B3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5304">
              <w:t>P</w:t>
            </w:r>
            <w:r w:rsidR="00125304" w:rsidRPr="00125304">
              <w:t>řeprodej</w:t>
            </w:r>
            <w:r w:rsidR="00DB05B3">
              <w:t xml:space="preserve"> </w:t>
            </w:r>
            <w:r>
              <w:t xml:space="preserve">zánovních bytů </w:t>
            </w: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04FCFCE" w14:textId="77777777" w:rsidR="00125304" w:rsidRPr="00125304" w:rsidRDefault="00125304" w:rsidP="00125304">
            <w:pPr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B2127" w:rsidRPr="00125304" w14:paraId="5135C1FB" w14:textId="77777777" w:rsidTr="004F3C10">
        <w:trPr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3145AAC" w14:textId="77777777" w:rsidR="00125304" w:rsidRPr="00125304" w:rsidRDefault="00125304" w:rsidP="00125304">
            <w:pPr>
              <w:spacing w:after="160" w:line="278" w:lineRule="auto"/>
              <w:jc w:val="center"/>
            </w:pPr>
            <w:r w:rsidRPr="00125304">
              <w:t>Průměrná cena</w:t>
            </w:r>
          </w:p>
        </w:tc>
        <w:tc>
          <w:tcPr>
            <w:tcW w:w="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EE76A4D" w14:textId="3D48F07A" w:rsidR="00125304" w:rsidRPr="00125304" w:rsidRDefault="00125304" w:rsidP="00125304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61BD">
              <w:t>80 613</w:t>
            </w:r>
          </w:p>
        </w:tc>
        <w:tc>
          <w:tcPr>
            <w:tcW w:w="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EE5E271" w14:textId="1B134417" w:rsidR="00125304" w:rsidRPr="00125304" w:rsidRDefault="00125304" w:rsidP="00125304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61BD">
              <w:t>70 987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42CD40D" w14:textId="128BA098" w:rsidR="00125304" w:rsidRPr="00125304" w:rsidRDefault="00125304" w:rsidP="00125304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5304">
              <w:t>1</w:t>
            </w:r>
            <w:r w:rsidRPr="000E61BD">
              <w:t>39 820</w:t>
            </w:r>
          </w:p>
        </w:tc>
        <w:tc>
          <w:tcPr>
            <w:tcW w:w="16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6CFF01A" w14:textId="431130A7" w:rsidR="00125304" w:rsidRPr="00125304" w:rsidRDefault="00125304" w:rsidP="00125304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5304">
              <w:t>1</w:t>
            </w:r>
            <w:r w:rsidRPr="000E61BD">
              <w:t>31 608</w:t>
            </w:r>
          </w:p>
        </w:tc>
        <w:tc>
          <w:tcPr>
            <w:tcW w:w="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23B1F8A" w14:textId="7BB63680" w:rsidR="00125304" w:rsidRPr="00125304" w:rsidRDefault="00125304" w:rsidP="00125304">
            <w:pPr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61BD">
              <w:t>6,2</w:t>
            </w:r>
          </w:p>
        </w:tc>
      </w:tr>
      <w:tr w:rsidR="003B2127" w:rsidRPr="00125304" w14:paraId="2BF96F83" w14:textId="77777777" w:rsidTr="003B2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C2DFE8C" w14:textId="26D32195" w:rsidR="004C0C0C" w:rsidRPr="00125304" w:rsidRDefault="004C0C0C" w:rsidP="00125304">
            <w:pPr>
              <w:jc w:val="center"/>
            </w:pPr>
            <w:r>
              <w:t>Nárůst ceny</w:t>
            </w:r>
          </w:p>
        </w:tc>
        <w:tc>
          <w:tcPr>
            <w:tcW w:w="12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8B1F31" w14:textId="74D6779A" w:rsidR="004C0C0C" w:rsidRPr="000E61BD" w:rsidRDefault="003B2127" w:rsidP="001253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+ 8 454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388EF0" w14:textId="1264A0FB" w:rsidR="004C0C0C" w:rsidRPr="000E61BD" w:rsidRDefault="003B2127" w:rsidP="001253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+ 11 335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D07C02" w14:textId="1B697275" w:rsidR="004C0C0C" w:rsidRPr="00125304" w:rsidRDefault="003B2127" w:rsidP="001253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+ 11 294</w:t>
            </w:r>
          </w:p>
        </w:tc>
        <w:tc>
          <w:tcPr>
            <w:tcW w:w="16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322501" w14:textId="128E782E" w:rsidR="004C0C0C" w:rsidRPr="00125304" w:rsidRDefault="003B2127" w:rsidP="001253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+ 15 092</w:t>
            </w:r>
          </w:p>
        </w:tc>
        <w:tc>
          <w:tcPr>
            <w:tcW w:w="19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C26DC1" w14:textId="78268A37" w:rsidR="004C0C0C" w:rsidRPr="000E61BD" w:rsidRDefault="003B2127" w:rsidP="001253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+ 0,9</w:t>
            </w:r>
          </w:p>
        </w:tc>
      </w:tr>
    </w:tbl>
    <w:p w14:paraId="7657626A" w14:textId="77777777" w:rsidR="00864008" w:rsidRPr="000E61BD" w:rsidRDefault="00864008"/>
    <w:p w14:paraId="4496E846" w14:textId="0CC50E27" w:rsidR="00864008" w:rsidRDefault="00DE1011">
      <w:pPr>
        <w:rPr>
          <w:b/>
          <w:bCs/>
        </w:rPr>
      </w:pPr>
      <w:r w:rsidRPr="00DE1011">
        <w:rPr>
          <w:b/>
          <w:bCs/>
        </w:rPr>
        <w:t>Rostou také ceny nájemního bydlení</w:t>
      </w:r>
    </w:p>
    <w:p w14:paraId="113DD946" w14:textId="27F2BA6E" w:rsidR="00DE1011" w:rsidRPr="00DE1011" w:rsidRDefault="00DE1011">
      <w:r>
        <w:t xml:space="preserve">Nájemní bydlení </w:t>
      </w:r>
      <w:r w:rsidR="00435892">
        <w:t>zdraž</w:t>
      </w:r>
      <w:r w:rsidR="003B2127">
        <w:t>ovalo v loňském roce nejčastěji tempem mezi 4 – 6%,</w:t>
      </w:r>
      <w:r w:rsidR="00435892">
        <w:t xml:space="preserve"> v některých regionech </w:t>
      </w:r>
      <w:r w:rsidR="003B2127">
        <w:t>ale</w:t>
      </w:r>
      <w:r w:rsidR="00435892">
        <w:t xml:space="preserve"> až o 10 procent, nejvíce v </w:t>
      </w:r>
      <w:r w:rsidR="003B2127">
        <w:t>Moravskoslezském</w:t>
      </w:r>
      <w:r w:rsidR="00435892">
        <w:t xml:space="preserve"> kraji. V regionech, bez Prahy, je k dlouhodobému pronájmu k dispozici přes 18 a půl tisíce bytů, </w:t>
      </w:r>
      <w:r w:rsidR="009A1922">
        <w:t xml:space="preserve">to je </w:t>
      </w:r>
      <w:r w:rsidR="00435892">
        <w:t xml:space="preserve">nárůst </w:t>
      </w:r>
      <w:r w:rsidR="003B2127">
        <w:t xml:space="preserve">nabídky </w:t>
      </w:r>
      <w:r w:rsidR="00435892">
        <w:t xml:space="preserve">téměř </w:t>
      </w:r>
      <w:r w:rsidR="009A1922">
        <w:t xml:space="preserve">o </w:t>
      </w:r>
      <w:r w:rsidR="00435892">
        <w:t xml:space="preserve">7 tisíc bytů. Situace v hlavním městě je složitější, k dispozici je přes 5 tisíc bytů, </w:t>
      </w:r>
      <w:r w:rsidR="003B2127">
        <w:t xml:space="preserve">což je </w:t>
      </w:r>
      <w:r w:rsidR="00435892">
        <w:t>zhruba</w:t>
      </w:r>
      <w:r w:rsidR="005F1285">
        <w:t xml:space="preserve"> o</w:t>
      </w:r>
      <w:r w:rsidR="00435892">
        <w:t xml:space="preserve"> 500 méně než v roce 2024. Ceny nájmů v Praze rostly o 4 až 12 procent s ohledem na lokalitu</w:t>
      </w:r>
      <w:r w:rsidR="003B2127">
        <w:t xml:space="preserve"> a podílu novostaveb nabízených k pronájmu.</w:t>
      </w:r>
      <w:r w:rsidR="00435892">
        <w:t xml:space="preserve"> </w:t>
      </w:r>
      <w:r w:rsidR="003B2127">
        <w:t>N</w:t>
      </w:r>
      <w:r w:rsidR="00435892">
        <w:t xml:space="preserve">ejdražší </w:t>
      </w:r>
      <w:r w:rsidR="003B2127">
        <w:t xml:space="preserve">nájmy </w:t>
      </w:r>
      <w:r w:rsidR="00435892">
        <w:t xml:space="preserve">jsou </w:t>
      </w:r>
      <w:r w:rsidR="003B2127">
        <w:t xml:space="preserve">tradičně </w:t>
      </w:r>
      <w:r w:rsidR="00435892">
        <w:t xml:space="preserve">v centru a blízkém okolí. </w:t>
      </w:r>
    </w:p>
    <w:p w14:paraId="4DEE1045" w14:textId="77777777" w:rsidR="00864008" w:rsidRPr="000E61BD" w:rsidRDefault="00864008"/>
    <w:p w14:paraId="2C50D886" w14:textId="6C7BB0D3" w:rsidR="000F2245" w:rsidRDefault="00E63CFD">
      <w:pPr>
        <w:rPr>
          <w:b/>
          <w:bCs/>
        </w:rPr>
      </w:pPr>
      <w:r w:rsidRPr="00E63CFD">
        <w:rPr>
          <w:b/>
          <w:bCs/>
        </w:rPr>
        <w:t>Prodeje nemovitostí podpořil silný růst hypotečního trh</w:t>
      </w:r>
      <w:r w:rsidR="00D719CD">
        <w:rPr>
          <w:b/>
          <w:bCs/>
        </w:rPr>
        <w:t>u</w:t>
      </w:r>
      <w:r w:rsidRPr="00E63CFD">
        <w:rPr>
          <w:b/>
          <w:bCs/>
        </w:rPr>
        <w:t xml:space="preserve"> </w:t>
      </w:r>
    </w:p>
    <w:p w14:paraId="1C6F1CBB" w14:textId="25E6CF00" w:rsidR="00E63CFD" w:rsidRDefault="00E63CFD">
      <w:r>
        <w:t>Celkový objem nových hypoték v roce 2025 dosáhl 321 miliard korun, meziročně narost</w:t>
      </w:r>
      <w:r w:rsidR="005762ED">
        <w:t>l</w:t>
      </w:r>
      <w:r>
        <w:t xml:space="preserve"> o 41 procent a stal</w:t>
      </w:r>
      <w:r w:rsidR="005762ED">
        <w:t xml:space="preserve"> se</w:t>
      </w:r>
      <w:r>
        <w:t xml:space="preserve"> objemově druhým nejsilnějším rokem v třicetileté historii</w:t>
      </w:r>
      <w:r w:rsidR="00534ED3">
        <w:t xml:space="preserve"> hypotečního trhu. </w:t>
      </w:r>
      <w:r w:rsidR="00534ED3" w:rsidRPr="00534ED3">
        <w:t>Spolu s refinancovanými úvěry za 85 miliard dosáhl celkový objem hypotečního trhu 406 miliard</w:t>
      </w:r>
      <w:r w:rsidR="00534ED3">
        <w:t xml:space="preserve"> korun. </w:t>
      </w:r>
      <w:r w:rsidR="00534ED3" w:rsidRPr="00534ED3">
        <w:t xml:space="preserve">I po zohlednění růstu cen nemovitostí byl reálný růst trhu nových hypoték stále velmi silný, například z pohledu navýšení na 3,8 </w:t>
      </w:r>
      <w:r w:rsidR="00534ED3">
        <w:t>procenta</w:t>
      </w:r>
      <w:r w:rsidR="00534ED3" w:rsidRPr="00534ED3">
        <w:t xml:space="preserve"> HDP z 2,</w:t>
      </w:r>
      <w:r w:rsidR="004A4AD5">
        <w:t>6</w:t>
      </w:r>
      <w:r w:rsidR="004A4AD5" w:rsidRPr="00534ED3">
        <w:t xml:space="preserve"> </w:t>
      </w:r>
      <w:r w:rsidR="00534ED3">
        <w:t xml:space="preserve">procenta </w:t>
      </w:r>
      <w:r w:rsidR="00534ED3" w:rsidRPr="00534ED3">
        <w:t>v roce 2024</w:t>
      </w:r>
      <w:r w:rsidR="00534ED3">
        <w:t xml:space="preserve">. </w:t>
      </w:r>
      <w:r w:rsidR="00534ED3" w:rsidRPr="00534ED3">
        <w:t>Narativ silného oživení dokládá i zvýšení počtu nových hypoték v roce 2025 o necelou čtvrtinu na 76 tisíc, doprovázený téměř 15</w:t>
      </w:r>
      <w:r w:rsidR="005762ED">
        <w:t>procentním</w:t>
      </w:r>
      <w:r w:rsidR="00534ED3" w:rsidRPr="00534ED3">
        <w:t xml:space="preserve"> nárůstem průměrné výše hypotéky na 4,21 milionu </w:t>
      </w:r>
      <w:r w:rsidR="005762ED">
        <w:t>korun</w:t>
      </w:r>
      <w:r w:rsidR="00534ED3" w:rsidRPr="00534ED3">
        <w:t xml:space="preserve"> v roce 2025</w:t>
      </w:r>
      <w:r w:rsidR="00534ED3">
        <w:t>.</w:t>
      </w:r>
      <w:r w:rsidR="004A4AD5">
        <w:t xml:space="preserve"> </w:t>
      </w:r>
    </w:p>
    <w:p w14:paraId="2C2AF1D0" w14:textId="77777777" w:rsidR="008D6134" w:rsidRDefault="008D6134"/>
    <w:p w14:paraId="023038B8" w14:textId="110CBF99" w:rsidR="007A25A5" w:rsidRPr="007A25A5" w:rsidRDefault="007A25A5" w:rsidP="007A25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7A25A5">
        <w:rPr>
          <w:i/>
          <w:iCs/>
        </w:rPr>
        <w:t>„Dostupnost bydlení v Česku brzdí vysoké ceny nemovitostí a s tím spojená výše hypotéky, která závěrem loňského roku dosáhla nového</w:t>
      </w:r>
      <w:r w:rsidR="005762ED">
        <w:rPr>
          <w:i/>
          <w:iCs/>
        </w:rPr>
        <w:t xml:space="preserve"> průměrného</w:t>
      </w:r>
      <w:r w:rsidRPr="007A25A5">
        <w:rPr>
          <w:i/>
          <w:iCs/>
        </w:rPr>
        <w:t xml:space="preserve"> maxima téměř 4</w:t>
      </w:r>
      <w:r w:rsidR="005762ED">
        <w:rPr>
          <w:i/>
          <w:iCs/>
        </w:rPr>
        <w:t>,5</w:t>
      </w:r>
      <w:r w:rsidRPr="007A25A5">
        <w:rPr>
          <w:i/>
          <w:iCs/>
        </w:rPr>
        <w:t xml:space="preserve"> </w:t>
      </w:r>
      <w:r w:rsidR="005762ED">
        <w:rPr>
          <w:i/>
          <w:iCs/>
        </w:rPr>
        <w:t>mil</w:t>
      </w:r>
      <w:r w:rsidRPr="007A25A5">
        <w:rPr>
          <w:i/>
          <w:iCs/>
        </w:rPr>
        <w:t>ionu korun. S tím souvisí i výše průměrné měsíční splátky, kte</w:t>
      </w:r>
      <w:r w:rsidR="005762ED">
        <w:rPr>
          <w:i/>
          <w:iCs/>
        </w:rPr>
        <w:t>rá</w:t>
      </w:r>
      <w:r w:rsidRPr="007A25A5">
        <w:rPr>
          <w:i/>
          <w:iCs/>
        </w:rPr>
        <w:t xml:space="preserve"> je necelých 22,8 tisíce korun. Oproti roku 2024 je to zhruba o 8,6 procenta více a překonává to tedy i</w:t>
      </w:r>
      <w:r w:rsidR="00873757">
        <w:rPr>
          <w:i/>
          <w:iCs/>
        </w:rPr>
        <w:t> </w:t>
      </w:r>
      <w:r w:rsidRPr="007A25A5">
        <w:rPr>
          <w:i/>
          <w:iCs/>
        </w:rPr>
        <w:t>loňský nárůst průměrné nominální mzdy,</w:t>
      </w:r>
      <w:r>
        <w:rPr>
          <w:i/>
          <w:iCs/>
        </w:rPr>
        <w:t xml:space="preserve">“ </w:t>
      </w:r>
      <w:r>
        <w:t>uvádí</w:t>
      </w:r>
      <w:r w:rsidRPr="007A25A5">
        <w:t> </w:t>
      </w:r>
      <w:r w:rsidRPr="007A25A5">
        <w:rPr>
          <w:b/>
          <w:bCs/>
        </w:rPr>
        <w:t>Jaromír Šindel, hlavní ekonom České bankovní asociace.</w:t>
      </w:r>
    </w:p>
    <w:p w14:paraId="4A75BA76" w14:textId="13977562" w:rsidR="00814600" w:rsidRDefault="00814600" w:rsidP="00814600">
      <w:r>
        <w:t xml:space="preserve">Závěr loňského a začátek letošního roku poukazují </w:t>
      </w:r>
      <w:r w:rsidRPr="00D719CD">
        <w:rPr>
          <w:color w:val="000000" w:themeColor="text1"/>
        </w:rPr>
        <w:t>na další silný</w:t>
      </w:r>
      <w:r w:rsidR="00D719CD">
        <w:rPr>
          <w:color w:val="000000" w:themeColor="text1"/>
        </w:rPr>
        <w:t xml:space="preserve"> vývoj</w:t>
      </w:r>
      <w:r w:rsidRPr="00D719CD">
        <w:rPr>
          <w:color w:val="000000" w:themeColor="text1"/>
        </w:rPr>
        <w:t xml:space="preserve"> hypoteční</w:t>
      </w:r>
      <w:r w:rsidR="00D719CD">
        <w:rPr>
          <w:color w:val="000000" w:themeColor="text1"/>
        </w:rPr>
        <w:t>ho</w:t>
      </w:r>
      <w:r w:rsidRPr="00D719CD">
        <w:rPr>
          <w:color w:val="000000" w:themeColor="text1"/>
        </w:rPr>
        <w:t xml:space="preserve"> trh</w:t>
      </w:r>
      <w:r w:rsidR="00D719CD">
        <w:rPr>
          <w:color w:val="000000" w:themeColor="text1"/>
        </w:rPr>
        <w:t>u</w:t>
      </w:r>
      <w:r w:rsidRPr="00D719CD">
        <w:rPr>
          <w:color w:val="000000" w:themeColor="text1"/>
        </w:rPr>
        <w:t xml:space="preserve"> i</w:t>
      </w:r>
      <w:r w:rsidR="00D719CD">
        <w:rPr>
          <w:color w:val="000000" w:themeColor="text1"/>
        </w:rPr>
        <w:t> </w:t>
      </w:r>
      <w:r w:rsidRPr="00D719CD">
        <w:rPr>
          <w:color w:val="000000" w:themeColor="text1"/>
        </w:rPr>
        <w:t>v letošním roce</w:t>
      </w:r>
      <w:r w:rsidR="00B14720" w:rsidRPr="00D719CD">
        <w:rPr>
          <w:color w:val="000000" w:themeColor="text1"/>
        </w:rPr>
        <w:t>,</w:t>
      </w:r>
      <w:r w:rsidR="00092CA6" w:rsidRPr="00D719CD">
        <w:rPr>
          <w:color w:val="000000" w:themeColor="text1"/>
        </w:rPr>
        <w:t xml:space="preserve"> </w:t>
      </w:r>
      <w:r w:rsidR="00B14720">
        <w:t>i když</w:t>
      </w:r>
      <w:r w:rsidR="004F618A">
        <w:t xml:space="preserve"> síla oživení bude narážet na opětovné zhoršení poměru ceny a</w:t>
      </w:r>
      <w:r w:rsidR="00D719CD">
        <w:t> </w:t>
      </w:r>
      <w:r w:rsidR="004F618A">
        <w:t>přijmu domácností, jakož i na přísnější vybraná kritéria ČNB</w:t>
      </w:r>
      <w:r w:rsidR="00092CA6">
        <w:t xml:space="preserve">, zatímco její </w:t>
      </w:r>
      <w:r w:rsidR="00D719CD">
        <w:t>ú</w:t>
      </w:r>
      <w:r w:rsidR="00092CA6">
        <w:t xml:space="preserve">roková politika asi zůstane podpůrná. </w:t>
      </w:r>
      <w:r>
        <w:t>Regionální srovnání poukazuje na relativně mírnější</w:t>
      </w:r>
      <w:r w:rsidR="00530C90">
        <w:t xml:space="preserve"> </w:t>
      </w:r>
      <w:r w:rsidR="00C974ED">
        <w:t>vliv</w:t>
      </w:r>
      <w:r>
        <w:t xml:space="preserve"> oživení </w:t>
      </w:r>
      <w:r w:rsidR="00B14720">
        <w:t xml:space="preserve">českého </w:t>
      </w:r>
      <w:r>
        <w:t>hypotečního trhu na ce</w:t>
      </w:r>
      <w:r w:rsidR="00C974ED">
        <w:t xml:space="preserve">ny nemovitostí. </w:t>
      </w:r>
    </w:p>
    <w:p w14:paraId="150556D1" w14:textId="77777777" w:rsidR="00451110" w:rsidRDefault="00451110" w:rsidP="00C62B34">
      <w:pPr>
        <w:rPr>
          <w:b/>
          <w:bCs/>
        </w:rPr>
      </w:pPr>
    </w:p>
    <w:p w14:paraId="347BDD4A" w14:textId="70D0CAEA" w:rsidR="00C62B34" w:rsidRDefault="00C62B34" w:rsidP="00C62B34">
      <w:pPr>
        <w:rPr>
          <w:b/>
          <w:bCs/>
        </w:rPr>
      </w:pPr>
      <w:r>
        <w:rPr>
          <w:b/>
          <w:bCs/>
        </w:rPr>
        <w:t>Rozevřené cenové nůžky mezi metropolemi a venkovem</w:t>
      </w:r>
    </w:p>
    <w:p w14:paraId="4569DE1E" w14:textId="6C56C757" w:rsidR="00C62B34" w:rsidRDefault="006C05BE">
      <w:r w:rsidRPr="006C05BE">
        <w:t>Dostupnost bydlení v Česku se výrazně liší podle regionu. Z nejnovější analýzy společnosti Flat Zone vyplývá, že například starší byty v obou největších aglomeracích — Praze a Brně — jsou v průměru třikrát dražší než v malých městech s méně než 10 000 obyvateli a přibližně dvojnásobně dražší než v ostatních větších městech. Podobný trend je patrný i u rodinných domů, kde rozdíl mezi metropolemi a venkovem dosahuje v průměru téměř čtyřnásobku.</w:t>
      </w:r>
    </w:p>
    <w:p w14:paraId="71BDDD95" w14:textId="77777777" w:rsidR="00E66E1D" w:rsidRDefault="00E66E1D"/>
    <w:p w14:paraId="04F4E641" w14:textId="4483B90C" w:rsidR="007A25A5" w:rsidRDefault="00AE0F98">
      <w:pPr>
        <w:rPr>
          <w:b/>
          <w:bCs/>
        </w:rPr>
      </w:pPr>
      <w:r w:rsidRPr="00AE0F98">
        <w:rPr>
          <w:b/>
          <w:bCs/>
        </w:rPr>
        <w:t xml:space="preserve">Nemovitostní fond v Česku </w:t>
      </w:r>
    </w:p>
    <w:p w14:paraId="6D3AA98D" w14:textId="358E8294" w:rsidR="008061A9" w:rsidRDefault="00AE0F98">
      <w:r>
        <w:t xml:space="preserve">V Česku </w:t>
      </w:r>
      <w:r w:rsidR="005762ED">
        <w:t xml:space="preserve">jsou téměř 2 miliony bytů </w:t>
      </w:r>
      <w:r w:rsidR="00C62B34">
        <w:t xml:space="preserve">v osobním vlastnictví </w:t>
      </w:r>
      <w:r w:rsidR="005762ED">
        <w:t>a přes 2,1 milionu rodinných domů. Přes 614 tisíc bytů je v </w:t>
      </w:r>
      <w:r>
        <w:t>cihlových</w:t>
      </w:r>
      <w:r w:rsidR="005762ED">
        <w:t xml:space="preserve"> domech</w:t>
      </w:r>
      <w:r>
        <w:t>, kter</w:t>
      </w:r>
      <w:r w:rsidR="005762ED">
        <w:t>ých je</w:t>
      </w:r>
      <w:r>
        <w:t xml:space="preserve"> </w:t>
      </w:r>
      <w:r w:rsidR="005762ED">
        <w:t>kolem</w:t>
      </w:r>
      <w:r>
        <w:t xml:space="preserve"> 133 tisíc.</w:t>
      </w:r>
      <w:r w:rsidR="005762ED">
        <w:t xml:space="preserve"> Více než milion bytů </w:t>
      </w:r>
      <w:r w:rsidR="00C62B34">
        <w:t xml:space="preserve">v osobním vlastnictví </w:t>
      </w:r>
      <w:r w:rsidR="005762ED">
        <w:t xml:space="preserve">je ve zhruba 70 tisících panelových domů, které </w:t>
      </w:r>
      <w:r>
        <w:t>se nachází především ve velkých městech.</w:t>
      </w:r>
      <w:r w:rsidR="005762ED">
        <w:t xml:space="preserve"> </w:t>
      </w:r>
      <w:r w:rsidR="00C62B34">
        <w:t xml:space="preserve">Bytové projekty vystavěné po skončení „panelové éry“ od poloviny 90tých let minulého století  reprezentují nejmenší podíl českého bytového fondu. Jedná se o přibližně </w:t>
      </w:r>
      <w:r>
        <w:t>18 tisíc</w:t>
      </w:r>
      <w:r w:rsidR="00C62B34">
        <w:t xml:space="preserve"> budov</w:t>
      </w:r>
      <w:r>
        <w:t xml:space="preserve">, </w:t>
      </w:r>
      <w:r w:rsidR="00C62B34">
        <w:t xml:space="preserve">ve kterých </w:t>
      </w:r>
      <w:r>
        <w:t>je přes 305 tisíc bytů. Jsou hlavně v největších městech, skoro 80 procent jich je v Praze a krajských měs</w:t>
      </w:r>
      <w:r w:rsidR="00794A7C">
        <w:t>t</w:t>
      </w:r>
      <w:r>
        <w:t xml:space="preserve">ech. </w:t>
      </w:r>
    </w:p>
    <w:p w14:paraId="23B28451" w14:textId="77777777" w:rsidR="001755F4" w:rsidRPr="00AE0F98" w:rsidRDefault="001755F4" w:rsidP="00F11CDD"/>
    <w:sectPr w:rsidR="001755F4" w:rsidRPr="00AE0F9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0C20F" w14:textId="77777777" w:rsidR="00165F2B" w:rsidRDefault="00165F2B" w:rsidP="001755F4">
      <w:pPr>
        <w:spacing w:after="0" w:line="240" w:lineRule="auto"/>
      </w:pPr>
      <w:r>
        <w:separator/>
      </w:r>
    </w:p>
  </w:endnote>
  <w:endnote w:type="continuationSeparator" w:id="0">
    <w:p w14:paraId="430A6431" w14:textId="77777777" w:rsidR="00165F2B" w:rsidRDefault="00165F2B" w:rsidP="00175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5C068" w14:textId="77777777" w:rsidR="00165F2B" w:rsidRDefault="00165F2B" w:rsidP="001755F4">
      <w:pPr>
        <w:spacing w:after="0" w:line="240" w:lineRule="auto"/>
      </w:pPr>
      <w:r>
        <w:separator/>
      </w:r>
    </w:p>
  </w:footnote>
  <w:footnote w:type="continuationSeparator" w:id="0">
    <w:p w14:paraId="423336D3" w14:textId="77777777" w:rsidR="00165F2B" w:rsidRDefault="00165F2B" w:rsidP="00175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0C26D" w14:textId="413E1285" w:rsidR="001755F4" w:rsidRDefault="001755F4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5947BF" wp14:editId="7EA1810E">
          <wp:simplePos x="0" y="0"/>
          <wp:positionH relativeFrom="page">
            <wp:posOffset>6985</wp:posOffset>
          </wp:positionH>
          <wp:positionV relativeFrom="paragraph">
            <wp:posOffset>-448310</wp:posOffset>
          </wp:positionV>
          <wp:extent cx="7542530" cy="1609725"/>
          <wp:effectExtent l="0" t="0" r="1270" b="9525"/>
          <wp:wrapSquare wrapText="bothSides"/>
          <wp:docPr id="6" name="Obrázek 1" descr="Obsah obrázku text, Písmo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 descr="Obsah obrázku text, Písmo, snímek obrazovky, Grafika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530" cy="1609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245"/>
    <w:rsid w:val="00092CA6"/>
    <w:rsid w:val="000C6895"/>
    <w:rsid w:val="000E61BD"/>
    <w:rsid w:val="000F2245"/>
    <w:rsid w:val="000F7C66"/>
    <w:rsid w:val="00113515"/>
    <w:rsid w:val="00125304"/>
    <w:rsid w:val="0015076E"/>
    <w:rsid w:val="00165F2B"/>
    <w:rsid w:val="001755F4"/>
    <w:rsid w:val="001934E1"/>
    <w:rsid w:val="001E72A1"/>
    <w:rsid w:val="0025391A"/>
    <w:rsid w:val="00281C9F"/>
    <w:rsid w:val="002919B1"/>
    <w:rsid w:val="002C744C"/>
    <w:rsid w:val="002F034D"/>
    <w:rsid w:val="0033502C"/>
    <w:rsid w:val="003B2127"/>
    <w:rsid w:val="003D109C"/>
    <w:rsid w:val="004232A8"/>
    <w:rsid w:val="00435892"/>
    <w:rsid w:val="0044354D"/>
    <w:rsid w:val="00451110"/>
    <w:rsid w:val="004A4AD5"/>
    <w:rsid w:val="004B2573"/>
    <w:rsid w:val="004C0C0C"/>
    <w:rsid w:val="004F3C10"/>
    <w:rsid w:val="004F618A"/>
    <w:rsid w:val="00502FFE"/>
    <w:rsid w:val="00530C90"/>
    <w:rsid w:val="00534ED3"/>
    <w:rsid w:val="00546464"/>
    <w:rsid w:val="00560D50"/>
    <w:rsid w:val="0057061C"/>
    <w:rsid w:val="005762ED"/>
    <w:rsid w:val="00586C57"/>
    <w:rsid w:val="005F1285"/>
    <w:rsid w:val="006224AB"/>
    <w:rsid w:val="006435FA"/>
    <w:rsid w:val="00660F32"/>
    <w:rsid w:val="006C05BE"/>
    <w:rsid w:val="0075634E"/>
    <w:rsid w:val="00794A7C"/>
    <w:rsid w:val="007A25A5"/>
    <w:rsid w:val="007B0FB3"/>
    <w:rsid w:val="008061A9"/>
    <w:rsid w:val="00814600"/>
    <w:rsid w:val="0082316D"/>
    <w:rsid w:val="00864008"/>
    <w:rsid w:val="008708CB"/>
    <w:rsid w:val="00873757"/>
    <w:rsid w:val="008833A6"/>
    <w:rsid w:val="00897936"/>
    <w:rsid w:val="008D1BC8"/>
    <w:rsid w:val="008D3203"/>
    <w:rsid w:val="008D6134"/>
    <w:rsid w:val="009050FC"/>
    <w:rsid w:val="00913BB1"/>
    <w:rsid w:val="00921474"/>
    <w:rsid w:val="0098020A"/>
    <w:rsid w:val="009A1922"/>
    <w:rsid w:val="009F7AEF"/>
    <w:rsid w:val="00AA73F3"/>
    <w:rsid w:val="00AB47FD"/>
    <w:rsid w:val="00AE0F98"/>
    <w:rsid w:val="00B14720"/>
    <w:rsid w:val="00C04EE0"/>
    <w:rsid w:val="00C44516"/>
    <w:rsid w:val="00C55E22"/>
    <w:rsid w:val="00C61CE8"/>
    <w:rsid w:val="00C62B34"/>
    <w:rsid w:val="00C974ED"/>
    <w:rsid w:val="00CD235B"/>
    <w:rsid w:val="00D03BF1"/>
    <w:rsid w:val="00D279B4"/>
    <w:rsid w:val="00D5638E"/>
    <w:rsid w:val="00D719CD"/>
    <w:rsid w:val="00D7274A"/>
    <w:rsid w:val="00D90A4A"/>
    <w:rsid w:val="00DB05B3"/>
    <w:rsid w:val="00DB5C67"/>
    <w:rsid w:val="00DE1011"/>
    <w:rsid w:val="00E63CFD"/>
    <w:rsid w:val="00E66E1D"/>
    <w:rsid w:val="00E9219C"/>
    <w:rsid w:val="00EB596A"/>
    <w:rsid w:val="00F11CDD"/>
    <w:rsid w:val="00F7088B"/>
    <w:rsid w:val="00FD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B0DB1"/>
  <w15:chartTrackingRefBased/>
  <w15:docId w15:val="{FDF48B5C-BECF-4234-831E-ECB82544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F22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2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F22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F22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F22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F22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F22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F22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F22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22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22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22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F22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F22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F22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F22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F22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F22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F22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F2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F22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F2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F2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F224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F22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F224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F22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F224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F2245"/>
    <w:rPr>
      <w:b/>
      <w:bCs/>
      <w:smallCaps/>
      <w:color w:val="0F4761" w:themeColor="accent1" w:themeShade="BF"/>
      <w:spacing w:val="5"/>
    </w:rPr>
  </w:style>
  <w:style w:type="table" w:styleId="Prosttabulka1">
    <w:name w:val="Plain Table 1"/>
    <w:basedOn w:val="Normlntabulka"/>
    <w:uiPriority w:val="41"/>
    <w:rsid w:val="0012530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4435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35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435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35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354D"/>
    <w:rPr>
      <w:b/>
      <w:bCs/>
      <w:sz w:val="20"/>
      <w:szCs w:val="20"/>
    </w:rPr>
  </w:style>
  <w:style w:type="paragraph" w:customStyle="1" w:styleId="CBANadpisvTABULCE">
    <w:name w:val="CBA Nadpis v TABULCE"/>
    <w:basedOn w:val="Normln"/>
    <w:qFormat/>
    <w:rsid w:val="001755F4"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Arial" w:eastAsia="Times New Roman" w:hAnsi="Arial" w:cs="Times New Roman"/>
      <w:b/>
      <w:bCs/>
      <w:color w:val="13576B"/>
      <w:kern w:val="0"/>
      <w:sz w:val="18"/>
      <w:szCs w:val="20"/>
      <w:lang w:eastAsia="cs-CZ"/>
      <w14:ligatures w14:val="none"/>
    </w:rPr>
  </w:style>
  <w:style w:type="paragraph" w:customStyle="1" w:styleId="CBAodstavecvTABULCE">
    <w:name w:val="CBA odstavec v TABULCE"/>
    <w:basedOn w:val="Normln"/>
    <w:qFormat/>
    <w:rsid w:val="001755F4"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Arial" w:eastAsia="Times New Roman" w:hAnsi="Arial" w:cs="Times New Roman"/>
      <w:color w:val="13576B"/>
      <w:kern w:val="0"/>
      <w:sz w:val="18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175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55F4"/>
  </w:style>
  <w:style w:type="paragraph" w:styleId="Zpat">
    <w:name w:val="footer"/>
    <w:basedOn w:val="Normln"/>
    <w:link w:val="ZpatChar"/>
    <w:uiPriority w:val="99"/>
    <w:unhideWhenUsed/>
    <w:rsid w:val="00175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55F4"/>
  </w:style>
  <w:style w:type="table" w:styleId="Mkatabulky">
    <w:name w:val="Table Grid"/>
    <w:basedOn w:val="Normlntabulka"/>
    <w:uiPriority w:val="39"/>
    <w:rsid w:val="00175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5391A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5E2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5E2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5E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d8c4d7-45ba-4d00-93d0-69a09126baf1" xsi:nil="true"/>
    <lcf76f155ced4ddcb4097134ff3c332f xmlns="322270df-8b5b-4ec2-b099-61147df9c77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5F44ECE058C34E912D15124DB52A72" ma:contentTypeVersion="13" ma:contentTypeDescription="Vytvoří nový dokument" ma:contentTypeScope="" ma:versionID="501e88b817c4eff61d0b42a1b431dacf">
  <xsd:schema xmlns:xsd="http://www.w3.org/2001/XMLSchema" xmlns:xs="http://www.w3.org/2001/XMLSchema" xmlns:p="http://schemas.microsoft.com/office/2006/metadata/properties" xmlns:ns2="322270df-8b5b-4ec2-b099-61147df9c77a" xmlns:ns3="f8d8c4d7-45ba-4d00-93d0-69a09126baf1" targetNamespace="http://schemas.microsoft.com/office/2006/metadata/properties" ma:root="true" ma:fieldsID="75980571b4388651725853525d4834c4" ns2:_="" ns3:_="">
    <xsd:import namespace="322270df-8b5b-4ec2-b099-61147df9c77a"/>
    <xsd:import namespace="f8d8c4d7-45ba-4d00-93d0-69a09126b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270df-8b5b-4ec2-b099-61147df9c7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b9633174-c9ad-4794-b226-b9d3860ac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8c4d7-45ba-4d00-93d0-69a09126baf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e4e2b43-a9eb-4839-9117-f0588e89188a}" ma:internalName="TaxCatchAll" ma:showField="CatchAllData" ma:web="f8d8c4d7-45ba-4d00-93d0-69a09126ba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4A392-4C7C-42EC-9C37-DE3B1D2A0D79}">
  <ds:schemaRefs>
    <ds:schemaRef ds:uri="http://schemas.microsoft.com/office/2006/metadata/properties"/>
    <ds:schemaRef ds:uri="http://schemas.microsoft.com/office/infopath/2007/PartnerControls"/>
    <ds:schemaRef ds:uri="f8d8c4d7-45ba-4d00-93d0-69a09126baf1"/>
    <ds:schemaRef ds:uri="322270df-8b5b-4ec2-b099-61147df9c77a"/>
  </ds:schemaRefs>
</ds:datastoreItem>
</file>

<file path=customXml/itemProps2.xml><?xml version="1.0" encoding="utf-8"?>
<ds:datastoreItem xmlns:ds="http://schemas.openxmlformats.org/officeDocument/2006/customXml" ds:itemID="{0A6FA69C-D4BB-46FA-A7EC-A7ADC30AC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2270df-8b5b-4ec2-b099-61147df9c77a"/>
    <ds:schemaRef ds:uri="f8d8c4d7-45ba-4d00-93d0-69a09126b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C49B7F-2E6B-44F6-A286-8A8473D36F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87AB96-7AE0-4E59-8876-5EB592AE1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840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Duffek, Adam (ČBA)</dc:creator>
  <cp:keywords/>
  <dc:description/>
  <cp:lastModifiedBy>Šalša, Radek (ČBA)</cp:lastModifiedBy>
  <cp:revision>30</cp:revision>
  <dcterms:created xsi:type="dcterms:W3CDTF">2026-02-24T15:16:00Z</dcterms:created>
  <dcterms:modified xsi:type="dcterms:W3CDTF">2026-02-25T08:14:00Z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0x010100DB5F44ECE058C34E912D15124DB52A72</vt:lpwstr>
  </property>
</Properties>
</file>