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7D51CC" w14:textId="4DCE022E" w:rsidR="006A0A19" w:rsidRPr="002F43DE" w:rsidRDefault="003D3759" w:rsidP="00F20F27">
      <w:pPr>
        <w:rPr>
          <w:rFonts w:ascii="Calibri" w:hAnsi="Calibri" w:cs="Calibri"/>
          <w:b/>
          <w:color w:val="EE0000"/>
          <w:sz w:val="32"/>
          <w:szCs w:val="32"/>
        </w:rPr>
      </w:pPr>
      <w:bookmarkStart w:id="0" w:name="_Hlk221885432"/>
      <w:bookmarkStart w:id="1" w:name="_Hlk111121205"/>
      <w:bookmarkStart w:id="2" w:name="_Hlk116472656"/>
      <w:bookmarkEnd w:id="0"/>
      <w:r w:rsidRPr="00616069">
        <w:rPr>
          <w:rFonts w:ascii="Calibri" w:hAnsi="Calibri" w:cs="Calibri"/>
          <w:b/>
          <w:color w:val="13576B"/>
          <w:sz w:val="32"/>
          <w:szCs w:val="32"/>
        </w:rPr>
        <w:t xml:space="preserve">ČBA </w:t>
      </w:r>
      <w:proofErr w:type="spellStart"/>
      <w:r w:rsidRPr="00616069">
        <w:rPr>
          <w:rFonts w:ascii="Calibri" w:hAnsi="Calibri" w:cs="Calibri"/>
          <w:b/>
          <w:color w:val="13576B"/>
          <w:sz w:val="32"/>
          <w:szCs w:val="32"/>
        </w:rPr>
        <w:t>Hypomonito</w:t>
      </w:r>
      <w:r w:rsidR="007C0E2D">
        <w:rPr>
          <w:rFonts w:ascii="Calibri" w:hAnsi="Calibri" w:cs="Calibri"/>
          <w:b/>
          <w:color w:val="13576B"/>
          <w:sz w:val="32"/>
          <w:szCs w:val="32"/>
        </w:rPr>
        <w:t>r</w:t>
      </w:r>
      <w:proofErr w:type="spellEnd"/>
      <w:r w:rsidRPr="00616069">
        <w:rPr>
          <w:rFonts w:ascii="Calibri" w:hAnsi="Calibri" w:cs="Calibri"/>
          <w:b/>
          <w:color w:val="13576B"/>
          <w:sz w:val="32"/>
          <w:szCs w:val="32"/>
        </w:rPr>
        <w:t>:</w:t>
      </w:r>
      <w:r w:rsidR="00025805">
        <w:rPr>
          <w:rFonts w:ascii="Calibri" w:hAnsi="Calibri" w:cs="Calibri"/>
          <w:b/>
          <w:color w:val="13576B"/>
          <w:sz w:val="32"/>
          <w:szCs w:val="32"/>
        </w:rPr>
        <w:t xml:space="preserve"> </w:t>
      </w:r>
      <w:r w:rsidR="00F20F27">
        <w:rPr>
          <w:rFonts w:ascii="Calibri" w:hAnsi="Calibri" w:cs="Calibri"/>
          <w:b/>
          <w:color w:val="13576B"/>
          <w:sz w:val="32"/>
          <w:szCs w:val="32"/>
        </w:rPr>
        <w:t xml:space="preserve">Začátek roku 2026 přinesl </w:t>
      </w:r>
      <w:r w:rsidR="00A16B96">
        <w:rPr>
          <w:rFonts w:ascii="Calibri" w:hAnsi="Calibri" w:cs="Calibri"/>
          <w:b/>
          <w:color w:val="13576B"/>
          <w:sz w:val="32"/>
          <w:szCs w:val="32"/>
        </w:rPr>
        <w:t>silný objem hypoték</w:t>
      </w:r>
    </w:p>
    <w:bookmarkEnd w:id="1"/>
    <w:p w14:paraId="43DB9678" w14:textId="0BE13DB7" w:rsidR="005F4D52" w:rsidRDefault="007967E6" w:rsidP="00A16B96">
      <w:pPr>
        <w:overflowPunct/>
        <w:autoSpaceDE/>
        <w:autoSpaceDN/>
        <w:adjustRightInd/>
        <w:spacing w:before="120" w:after="120"/>
        <w:textAlignment w:val="auto"/>
        <w:rPr>
          <w:rFonts w:ascii="Calibri" w:hAnsi="Calibri" w:cs="Calibri"/>
          <w:b/>
          <w:bCs/>
          <w:color w:val="13576B"/>
          <w:sz w:val="22"/>
          <w:szCs w:val="22"/>
        </w:rPr>
      </w:pPr>
      <w:r w:rsidRPr="00FB492C">
        <w:rPr>
          <w:rFonts w:ascii="Calibri" w:hAnsi="Calibri" w:cs="Calibri"/>
          <w:color w:val="13576B"/>
          <w:sz w:val="22"/>
          <w:szCs w:val="22"/>
        </w:rPr>
        <w:t>Praha, 1</w:t>
      </w:r>
      <w:r w:rsidR="00D17F2A">
        <w:rPr>
          <w:rFonts w:ascii="Calibri" w:hAnsi="Calibri" w:cs="Calibri"/>
          <w:color w:val="13576B"/>
          <w:sz w:val="22"/>
          <w:szCs w:val="22"/>
        </w:rPr>
        <w:t>6</w:t>
      </w:r>
      <w:r w:rsidRPr="00FB492C">
        <w:rPr>
          <w:rFonts w:ascii="Calibri" w:hAnsi="Calibri" w:cs="Calibri"/>
          <w:color w:val="13576B"/>
          <w:sz w:val="22"/>
          <w:szCs w:val="22"/>
        </w:rPr>
        <w:t>.</w:t>
      </w:r>
      <w:r w:rsidR="00D17F2A">
        <w:rPr>
          <w:rFonts w:ascii="Calibri" w:hAnsi="Calibri" w:cs="Calibri"/>
          <w:color w:val="13576B"/>
          <w:sz w:val="22"/>
          <w:szCs w:val="22"/>
        </w:rPr>
        <w:t xml:space="preserve"> </w:t>
      </w:r>
      <w:r w:rsidR="004D6F30">
        <w:rPr>
          <w:rFonts w:ascii="Calibri" w:hAnsi="Calibri" w:cs="Calibri"/>
          <w:color w:val="13576B"/>
          <w:sz w:val="22"/>
          <w:szCs w:val="22"/>
        </w:rPr>
        <w:t>únor</w:t>
      </w:r>
      <w:r w:rsidRPr="00FB492C">
        <w:rPr>
          <w:rFonts w:ascii="Calibri" w:hAnsi="Calibri" w:cs="Calibri"/>
          <w:color w:val="13576B"/>
          <w:sz w:val="22"/>
          <w:szCs w:val="22"/>
        </w:rPr>
        <w:t xml:space="preserve"> </w:t>
      </w:r>
      <w:proofErr w:type="gramStart"/>
      <w:r w:rsidR="003C392F" w:rsidRPr="00FB492C">
        <w:rPr>
          <w:rFonts w:ascii="Calibri" w:hAnsi="Calibri" w:cs="Calibri"/>
          <w:color w:val="13576B"/>
          <w:sz w:val="22"/>
          <w:szCs w:val="22"/>
        </w:rPr>
        <w:t>2025</w:t>
      </w:r>
      <w:r w:rsidR="003C392F">
        <w:rPr>
          <w:rFonts w:ascii="Calibri" w:hAnsi="Calibri" w:cs="Calibri"/>
          <w:color w:val="13576B"/>
          <w:sz w:val="22"/>
          <w:szCs w:val="22"/>
        </w:rPr>
        <w:t xml:space="preserve"> – </w:t>
      </w:r>
      <w:r w:rsidR="003C392F" w:rsidRPr="003C392F">
        <w:rPr>
          <w:rFonts w:ascii="Calibri" w:hAnsi="Calibri" w:cs="Calibri"/>
          <w:b/>
          <w:bCs/>
          <w:color w:val="13576B"/>
          <w:sz w:val="22"/>
          <w:szCs w:val="22"/>
        </w:rPr>
        <w:t>V</w:t>
      </w:r>
      <w:proofErr w:type="gramEnd"/>
      <w:r w:rsidR="001B59D5" w:rsidRPr="001B59D5">
        <w:rPr>
          <w:rFonts w:ascii="Calibri" w:hAnsi="Calibri" w:cs="Calibri"/>
          <w:b/>
          <w:bCs/>
          <w:color w:val="13576B"/>
          <w:sz w:val="22"/>
          <w:szCs w:val="22"/>
        </w:rPr>
        <w:t xml:space="preserve"> lednu 2026 poskytly banky a stavební spořitelny skutečně nové hypotéky bez refinancování za 27,2 miliardy Kč. Oproti prosinci aktivita objemově zeslábla o 5 %</w:t>
      </w:r>
      <w:r w:rsidR="00A16B96">
        <w:rPr>
          <w:rFonts w:ascii="Calibri" w:hAnsi="Calibri" w:cs="Calibri"/>
          <w:b/>
          <w:bCs/>
          <w:color w:val="13576B"/>
          <w:sz w:val="22"/>
          <w:szCs w:val="22"/>
        </w:rPr>
        <w:t xml:space="preserve">. Ovšem </w:t>
      </w:r>
      <w:r w:rsidR="001B59D5">
        <w:rPr>
          <w:rFonts w:ascii="Calibri" w:hAnsi="Calibri" w:cs="Calibri"/>
          <w:b/>
          <w:bCs/>
          <w:color w:val="13576B"/>
          <w:sz w:val="22"/>
          <w:szCs w:val="22"/>
        </w:rPr>
        <w:t xml:space="preserve">sezónně očištěná čísla ukazují </w:t>
      </w:r>
      <w:r w:rsidR="00A16B96">
        <w:rPr>
          <w:rFonts w:ascii="Calibri" w:hAnsi="Calibri" w:cs="Calibri"/>
          <w:b/>
          <w:bCs/>
          <w:color w:val="13576B"/>
          <w:sz w:val="22"/>
          <w:szCs w:val="22"/>
        </w:rPr>
        <w:t xml:space="preserve">velmi silný objem </w:t>
      </w:r>
      <w:r w:rsidR="00DC46D1">
        <w:rPr>
          <w:rFonts w:ascii="Calibri" w:hAnsi="Calibri" w:cs="Calibri"/>
          <w:b/>
          <w:bCs/>
          <w:color w:val="13576B"/>
          <w:sz w:val="22"/>
          <w:szCs w:val="22"/>
        </w:rPr>
        <w:t xml:space="preserve">okolo 35 </w:t>
      </w:r>
      <w:r w:rsidR="00A16B96">
        <w:rPr>
          <w:rFonts w:ascii="Calibri" w:hAnsi="Calibri" w:cs="Calibri"/>
          <w:b/>
          <w:bCs/>
          <w:color w:val="13576B"/>
          <w:sz w:val="22"/>
          <w:szCs w:val="22"/>
        </w:rPr>
        <w:t>miliard korun</w:t>
      </w:r>
      <w:r w:rsidR="0026268C">
        <w:rPr>
          <w:rFonts w:ascii="Calibri" w:hAnsi="Calibri" w:cs="Calibri"/>
          <w:b/>
          <w:bCs/>
          <w:color w:val="13576B"/>
          <w:sz w:val="22"/>
          <w:szCs w:val="22"/>
        </w:rPr>
        <w:t>, což</w:t>
      </w:r>
      <w:r w:rsidR="00A16B96">
        <w:rPr>
          <w:rFonts w:ascii="Calibri" w:hAnsi="Calibri" w:cs="Calibri"/>
          <w:b/>
          <w:bCs/>
          <w:color w:val="13576B"/>
          <w:sz w:val="22"/>
          <w:szCs w:val="22"/>
        </w:rPr>
        <w:t xml:space="preserve"> </w:t>
      </w:r>
      <w:r w:rsidR="00DC46D1">
        <w:rPr>
          <w:rFonts w:ascii="Calibri" w:hAnsi="Calibri" w:cs="Calibri"/>
          <w:b/>
          <w:bCs/>
          <w:color w:val="13576B"/>
          <w:sz w:val="22"/>
          <w:szCs w:val="22"/>
        </w:rPr>
        <w:t>se přiblížilo k</w:t>
      </w:r>
      <w:r w:rsidR="00A16B96">
        <w:rPr>
          <w:rFonts w:ascii="Calibri" w:hAnsi="Calibri" w:cs="Calibri"/>
          <w:b/>
          <w:bCs/>
          <w:color w:val="13576B"/>
          <w:sz w:val="22"/>
          <w:szCs w:val="22"/>
        </w:rPr>
        <w:t xml:space="preserve"> předchozí</w:t>
      </w:r>
      <w:r w:rsidR="00DC46D1">
        <w:rPr>
          <w:rFonts w:ascii="Calibri" w:hAnsi="Calibri" w:cs="Calibri"/>
          <w:b/>
          <w:bCs/>
          <w:color w:val="13576B"/>
          <w:sz w:val="22"/>
          <w:szCs w:val="22"/>
        </w:rPr>
        <w:t>mu</w:t>
      </w:r>
      <w:r w:rsidR="00A16B96">
        <w:rPr>
          <w:rFonts w:ascii="Calibri" w:hAnsi="Calibri" w:cs="Calibri"/>
          <w:b/>
          <w:bCs/>
          <w:color w:val="13576B"/>
          <w:sz w:val="22"/>
          <w:szCs w:val="22"/>
        </w:rPr>
        <w:t xml:space="preserve"> maximu </w:t>
      </w:r>
      <w:r w:rsidR="0026268C">
        <w:rPr>
          <w:rFonts w:ascii="Calibri" w:hAnsi="Calibri" w:cs="Calibri"/>
          <w:b/>
          <w:bCs/>
          <w:color w:val="13576B"/>
          <w:sz w:val="22"/>
          <w:szCs w:val="22"/>
        </w:rPr>
        <w:t>ze závěru</w:t>
      </w:r>
      <w:r w:rsidR="00A16B96">
        <w:rPr>
          <w:rFonts w:ascii="Calibri" w:hAnsi="Calibri" w:cs="Calibri"/>
          <w:b/>
          <w:bCs/>
          <w:color w:val="13576B"/>
          <w:sz w:val="22"/>
          <w:szCs w:val="22"/>
        </w:rPr>
        <w:t xml:space="preserve"> roku 2021. Ovšem to neplatí o počtech nových hypoték. Ty se po sezónním očištění v lednu pohybovaly okolo hodnot zaznamenaných v letech 2016-2018, </w:t>
      </w:r>
      <w:r w:rsidR="00DC46D1">
        <w:rPr>
          <w:rFonts w:ascii="Calibri" w:hAnsi="Calibri" w:cs="Calibri"/>
          <w:b/>
          <w:bCs/>
          <w:color w:val="13576B"/>
          <w:sz w:val="22"/>
          <w:szCs w:val="22"/>
        </w:rPr>
        <w:t>ale</w:t>
      </w:r>
      <w:r w:rsidR="00A16B96">
        <w:rPr>
          <w:rFonts w:ascii="Calibri" w:hAnsi="Calibri" w:cs="Calibri"/>
          <w:b/>
          <w:bCs/>
          <w:color w:val="13576B"/>
          <w:sz w:val="22"/>
          <w:szCs w:val="22"/>
        </w:rPr>
        <w:t xml:space="preserve"> zůstaly dalece od historického roku 2021. </w:t>
      </w:r>
      <w:r w:rsidR="001B59D5" w:rsidRPr="001B59D5">
        <w:rPr>
          <w:rFonts w:ascii="Calibri" w:hAnsi="Calibri" w:cs="Calibri"/>
          <w:b/>
          <w:bCs/>
          <w:color w:val="13576B"/>
          <w:sz w:val="22"/>
          <w:szCs w:val="22"/>
        </w:rPr>
        <w:t>Průměrná realizovaná úroková sazba u nových hypoték nepatrně dále klesla na 4,48 % z prosincových 4,49 %</w:t>
      </w:r>
      <w:r w:rsidR="00A16B96">
        <w:rPr>
          <w:rFonts w:ascii="Calibri" w:hAnsi="Calibri" w:cs="Calibri"/>
          <w:b/>
          <w:bCs/>
          <w:color w:val="13576B"/>
          <w:sz w:val="22"/>
          <w:szCs w:val="22"/>
        </w:rPr>
        <w:t>, ale v podstatě zůstává stabilní od října loňského roku</w:t>
      </w:r>
      <w:r w:rsidR="001B59D5" w:rsidRPr="001B59D5">
        <w:rPr>
          <w:rFonts w:ascii="Calibri" w:hAnsi="Calibri" w:cs="Calibri"/>
          <w:b/>
          <w:bCs/>
          <w:color w:val="13576B"/>
          <w:sz w:val="22"/>
          <w:szCs w:val="22"/>
        </w:rPr>
        <w:t xml:space="preserve">. </w:t>
      </w:r>
      <w:r w:rsidR="0026268C">
        <w:rPr>
          <w:rFonts w:ascii="Calibri" w:hAnsi="Calibri" w:cs="Calibri"/>
          <w:b/>
          <w:bCs/>
          <w:color w:val="13576B"/>
          <w:sz w:val="22"/>
          <w:szCs w:val="22"/>
        </w:rPr>
        <w:t xml:space="preserve">Podíl refinancovaných hypoték se v lednu vrátil výše přes 23 %.  </w:t>
      </w:r>
    </w:p>
    <w:p w14:paraId="78630C9D" w14:textId="6EA83F89" w:rsidR="00A16B96" w:rsidRDefault="00A16B96" w:rsidP="001B59D5">
      <w:pPr>
        <w:overflowPunct/>
        <w:autoSpaceDE/>
        <w:autoSpaceDN/>
        <w:adjustRightInd/>
        <w:spacing w:before="120" w:after="120"/>
        <w:textAlignment w:val="auto"/>
        <w:rPr>
          <w:rFonts w:ascii="Calibri" w:hAnsi="Calibri" w:cs="Calibri"/>
          <w:b/>
          <w:bCs/>
          <w:color w:val="13576B"/>
          <w:sz w:val="22"/>
          <w:szCs w:val="22"/>
        </w:rPr>
      </w:pPr>
      <w:r>
        <w:rPr>
          <w:rFonts w:ascii="Calibri" w:hAnsi="Calibri" w:cs="Calibri"/>
          <w:b/>
          <w:bCs/>
          <w:color w:val="13576B"/>
          <w:sz w:val="22"/>
          <w:szCs w:val="22"/>
        </w:rPr>
        <w:t>Silné objemy hypoték tak</w:t>
      </w:r>
      <w:r w:rsidR="0026268C">
        <w:rPr>
          <w:rFonts w:ascii="Calibri" w:hAnsi="Calibri" w:cs="Calibri"/>
          <w:b/>
          <w:bCs/>
          <w:color w:val="13576B"/>
          <w:sz w:val="22"/>
          <w:szCs w:val="22"/>
        </w:rPr>
        <w:t xml:space="preserve">é </w:t>
      </w:r>
      <w:r>
        <w:rPr>
          <w:rFonts w:ascii="Calibri" w:hAnsi="Calibri" w:cs="Calibri"/>
          <w:b/>
          <w:bCs/>
          <w:color w:val="13576B"/>
          <w:sz w:val="22"/>
          <w:szCs w:val="22"/>
        </w:rPr>
        <w:t>reflektují pokračující nárůst průměrné výše hypotéky na 4,51 mil. korun</w:t>
      </w:r>
      <w:r w:rsidR="0026268C">
        <w:rPr>
          <w:rFonts w:ascii="Calibri" w:hAnsi="Calibri" w:cs="Calibri"/>
          <w:b/>
          <w:bCs/>
          <w:color w:val="13576B"/>
          <w:sz w:val="22"/>
          <w:szCs w:val="22"/>
        </w:rPr>
        <w:t>. Ovšem</w:t>
      </w:r>
      <w:r>
        <w:rPr>
          <w:rFonts w:ascii="Calibri" w:hAnsi="Calibri" w:cs="Calibri"/>
          <w:b/>
          <w:bCs/>
          <w:color w:val="13576B"/>
          <w:sz w:val="22"/>
          <w:szCs w:val="22"/>
        </w:rPr>
        <w:t xml:space="preserve"> lednový silný </w:t>
      </w:r>
      <w:r w:rsidR="0026268C">
        <w:rPr>
          <w:rFonts w:ascii="Calibri" w:hAnsi="Calibri" w:cs="Calibri"/>
          <w:b/>
          <w:bCs/>
          <w:color w:val="13576B"/>
          <w:sz w:val="22"/>
          <w:szCs w:val="22"/>
        </w:rPr>
        <w:t>výsledek</w:t>
      </w:r>
      <w:r>
        <w:rPr>
          <w:rFonts w:ascii="Calibri" w:hAnsi="Calibri" w:cs="Calibri"/>
          <w:b/>
          <w:bCs/>
          <w:color w:val="13576B"/>
          <w:sz w:val="22"/>
          <w:szCs w:val="22"/>
        </w:rPr>
        <w:t xml:space="preserve"> odráží jak sílu hypotečního trhu ze závěru loňského roku, tak i pravděpodobně plán ČNB z listopadu zpřísnit kritéria pro tzv. investiční hypotéky od dubna letošního roku. </w:t>
      </w:r>
      <w:r w:rsidR="00DC46D1">
        <w:rPr>
          <w:rFonts w:ascii="Calibri" w:hAnsi="Calibri" w:cs="Calibri"/>
          <w:b/>
          <w:bCs/>
          <w:color w:val="13576B"/>
          <w:sz w:val="22"/>
          <w:szCs w:val="22"/>
        </w:rPr>
        <w:t xml:space="preserve">Ten by měl společně s pokračujícím růstem cen nemovitostí nad příjmy domácností spíše tlumit hypoteční trh, zatímco hypoteční úroková sazba optikou růstu příjmů zůstane pro něj spíše podpůrná. </w:t>
      </w:r>
      <w:r w:rsidR="005F4D52" w:rsidRPr="001B59D5">
        <w:rPr>
          <w:rFonts w:ascii="Calibri" w:hAnsi="Calibri" w:cs="Calibri"/>
          <w:b/>
          <w:bCs/>
          <w:color w:val="13576B"/>
          <w:sz w:val="22"/>
          <w:szCs w:val="22"/>
        </w:rPr>
        <w:t xml:space="preserve">Další zasedání ČNB spojené s nastavením </w:t>
      </w:r>
      <w:proofErr w:type="spellStart"/>
      <w:r w:rsidR="005F4D52" w:rsidRPr="001B59D5">
        <w:rPr>
          <w:rFonts w:ascii="Calibri" w:hAnsi="Calibri" w:cs="Calibri"/>
          <w:b/>
          <w:bCs/>
          <w:color w:val="13576B"/>
          <w:sz w:val="22"/>
          <w:szCs w:val="22"/>
        </w:rPr>
        <w:t>makroobezřetnostní</w:t>
      </w:r>
      <w:proofErr w:type="spellEnd"/>
      <w:r w:rsidR="005F4D52" w:rsidRPr="001B59D5">
        <w:rPr>
          <w:rFonts w:ascii="Calibri" w:hAnsi="Calibri" w:cs="Calibri"/>
          <w:b/>
          <w:bCs/>
          <w:color w:val="13576B"/>
          <w:sz w:val="22"/>
          <w:szCs w:val="22"/>
        </w:rPr>
        <w:t xml:space="preserve"> politiky hypoték proběhne 4. června a ještě předtím 5. března ČNB rozhodne o proticyklické kapitálové rezervě (následná jednání budou 10. září a 26. listopadu).</w:t>
      </w:r>
    </w:p>
    <w:p w14:paraId="38ED1B08" w14:textId="479A62F4" w:rsidR="005F4D52" w:rsidRDefault="005F4D52" w:rsidP="005F4D52">
      <w:pPr>
        <w:overflowPunct/>
        <w:autoSpaceDE/>
        <w:autoSpaceDN/>
        <w:adjustRightInd/>
        <w:spacing w:before="120" w:after="120"/>
        <w:textAlignment w:val="auto"/>
        <w:rPr>
          <w:rFonts w:ascii="Calibri" w:hAnsi="Calibri" w:cs="Calibri"/>
          <w:b/>
          <w:bCs/>
          <w:color w:val="13576B"/>
          <w:sz w:val="22"/>
          <w:szCs w:val="22"/>
        </w:rPr>
      </w:pPr>
      <w:r w:rsidRPr="001B59D5">
        <w:rPr>
          <w:rFonts w:ascii="Calibri" w:hAnsi="Calibri" w:cs="Calibri"/>
          <w:b/>
          <w:bCs/>
          <w:color w:val="13576B"/>
          <w:sz w:val="22"/>
          <w:szCs w:val="22"/>
        </w:rPr>
        <w:t xml:space="preserve">Meziroční pokles hypoteční sazby o </w:t>
      </w:r>
      <w:proofErr w:type="gramStart"/>
      <w:r w:rsidRPr="001B59D5">
        <w:rPr>
          <w:rFonts w:ascii="Calibri" w:hAnsi="Calibri" w:cs="Calibri"/>
          <w:b/>
          <w:bCs/>
          <w:color w:val="13576B"/>
          <w:sz w:val="22"/>
          <w:szCs w:val="22"/>
        </w:rPr>
        <w:t>0,3 procentního</w:t>
      </w:r>
      <w:proofErr w:type="gramEnd"/>
      <w:r w:rsidRPr="001B59D5">
        <w:rPr>
          <w:rFonts w:ascii="Calibri" w:hAnsi="Calibri" w:cs="Calibri"/>
          <w:b/>
          <w:bCs/>
          <w:color w:val="13576B"/>
          <w:sz w:val="22"/>
          <w:szCs w:val="22"/>
        </w:rPr>
        <w:t xml:space="preserve"> bodu snižuje průměrnou výši měsíční splátky přibližně o téměř </w:t>
      </w:r>
      <w:r>
        <w:rPr>
          <w:rFonts w:ascii="Calibri" w:hAnsi="Calibri" w:cs="Calibri"/>
          <w:b/>
          <w:bCs/>
          <w:color w:val="13576B"/>
          <w:sz w:val="22"/>
          <w:szCs w:val="22"/>
        </w:rPr>
        <w:t>osm set korun</w:t>
      </w:r>
      <w:r w:rsidRPr="001B59D5">
        <w:rPr>
          <w:rFonts w:ascii="Calibri" w:hAnsi="Calibri" w:cs="Calibri"/>
          <w:b/>
          <w:bCs/>
          <w:color w:val="13576B"/>
          <w:sz w:val="22"/>
          <w:szCs w:val="22"/>
        </w:rPr>
        <w:t xml:space="preserve">, tedy o 0,8 % čistého příjmu žadatele o hypotéku. </w:t>
      </w:r>
      <w:r>
        <w:rPr>
          <w:rFonts w:ascii="Calibri" w:hAnsi="Calibri" w:cs="Calibri"/>
          <w:b/>
          <w:bCs/>
          <w:color w:val="13576B"/>
          <w:sz w:val="22"/>
          <w:szCs w:val="22"/>
        </w:rPr>
        <w:t>Ovšem zvýšení p</w:t>
      </w:r>
      <w:r w:rsidRPr="001B59D5">
        <w:rPr>
          <w:rFonts w:ascii="Calibri" w:hAnsi="Calibri" w:cs="Calibri"/>
          <w:b/>
          <w:bCs/>
          <w:color w:val="13576B"/>
          <w:sz w:val="22"/>
          <w:szCs w:val="22"/>
        </w:rPr>
        <w:t>růměrn</w:t>
      </w:r>
      <w:r>
        <w:rPr>
          <w:rFonts w:ascii="Calibri" w:hAnsi="Calibri" w:cs="Calibri"/>
          <w:b/>
          <w:bCs/>
          <w:color w:val="13576B"/>
          <w:sz w:val="22"/>
          <w:szCs w:val="22"/>
        </w:rPr>
        <w:t>é výše</w:t>
      </w:r>
      <w:r w:rsidRPr="001B59D5">
        <w:rPr>
          <w:rFonts w:ascii="Calibri" w:hAnsi="Calibri" w:cs="Calibri"/>
          <w:b/>
          <w:bCs/>
          <w:color w:val="13576B"/>
          <w:sz w:val="22"/>
          <w:szCs w:val="22"/>
        </w:rPr>
        <w:t xml:space="preserve"> nově poskytnuté hypotéky </w:t>
      </w:r>
      <w:r>
        <w:rPr>
          <w:rFonts w:ascii="Calibri" w:hAnsi="Calibri" w:cs="Calibri"/>
          <w:b/>
          <w:bCs/>
          <w:color w:val="13576B"/>
          <w:sz w:val="22"/>
          <w:szCs w:val="22"/>
        </w:rPr>
        <w:t xml:space="preserve">zvedlo meziročně </w:t>
      </w:r>
      <w:r w:rsidRPr="001B59D5">
        <w:rPr>
          <w:rFonts w:ascii="Calibri" w:hAnsi="Calibri" w:cs="Calibri"/>
          <w:b/>
          <w:bCs/>
          <w:color w:val="13576B"/>
          <w:sz w:val="22"/>
          <w:szCs w:val="22"/>
        </w:rPr>
        <w:t xml:space="preserve">průměrnou splátku téměř o 3,2 tis. Kč, tedy přibližně o 3,3 % příjmu. </w:t>
      </w:r>
      <w:r>
        <w:rPr>
          <w:rFonts w:ascii="Calibri" w:hAnsi="Calibri" w:cs="Calibri"/>
          <w:b/>
          <w:bCs/>
          <w:color w:val="13576B"/>
          <w:sz w:val="22"/>
          <w:szCs w:val="22"/>
        </w:rPr>
        <w:t>Průměrná výše hypoteční splátky v lednu pravděpodobně překonala 24 tisíc korun, ovšem odhadujeme její mediánovou výši na 19 tisících korunách</w:t>
      </w:r>
      <w:r w:rsidR="00DC46D1">
        <w:rPr>
          <w:rFonts w:ascii="Calibri" w:hAnsi="Calibri" w:cs="Calibri"/>
          <w:b/>
          <w:bCs/>
          <w:color w:val="13576B"/>
          <w:sz w:val="22"/>
          <w:szCs w:val="22"/>
        </w:rPr>
        <w:t>.</w:t>
      </w:r>
    </w:p>
    <w:p w14:paraId="1F81AC9F" w14:textId="1A31825E" w:rsidR="001B59D5" w:rsidRPr="001B59D5" w:rsidRDefault="001B59D5" w:rsidP="001B59D5">
      <w:pPr>
        <w:overflowPunct/>
        <w:autoSpaceDE/>
        <w:autoSpaceDN/>
        <w:adjustRightInd/>
        <w:spacing w:before="120" w:after="120"/>
        <w:textAlignment w:val="auto"/>
        <w:rPr>
          <w:rFonts w:ascii="Calibri" w:hAnsi="Calibri" w:cs="Calibri"/>
          <w:b/>
          <w:bCs/>
          <w:color w:val="13576B"/>
          <w:sz w:val="22"/>
          <w:szCs w:val="22"/>
        </w:rPr>
      </w:pPr>
      <w:r w:rsidRPr="001B59D5">
        <w:rPr>
          <w:rFonts w:ascii="Calibri" w:hAnsi="Calibri" w:cs="Calibri"/>
          <w:b/>
          <w:bCs/>
          <w:color w:val="13576B"/>
          <w:sz w:val="22"/>
          <w:szCs w:val="22"/>
        </w:rPr>
        <w:t xml:space="preserve">Uvedené informace plynou z údajů ČBA </w:t>
      </w:r>
      <w:proofErr w:type="spellStart"/>
      <w:r w:rsidRPr="001B59D5">
        <w:rPr>
          <w:rFonts w:ascii="Calibri" w:hAnsi="Calibri" w:cs="Calibri"/>
          <w:b/>
          <w:bCs/>
          <w:color w:val="13576B"/>
          <w:sz w:val="22"/>
          <w:szCs w:val="22"/>
        </w:rPr>
        <w:t>Hypomonitoru</w:t>
      </w:r>
      <w:proofErr w:type="spellEnd"/>
      <w:r w:rsidRPr="001B59D5">
        <w:rPr>
          <w:rFonts w:ascii="Calibri" w:hAnsi="Calibri" w:cs="Calibri"/>
          <w:b/>
          <w:bCs/>
          <w:color w:val="13576B"/>
          <w:sz w:val="22"/>
          <w:szCs w:val="22"/>
        </w:rPr>
        <w:t xml:space="preserve">, který zachycuje data všech tuzemských bank a stavebních spořitelen poskytujících hypoteční úvěry. </w:t>
      </w:r>
    </w:p>
    <w:p w14:paraId="4A7C2A28" w14:textId="1CB97A0D" w:rsidR="00425883" w:rsidRPr="002B35B7" w:rsidRDefault="00425883" w:rsidP="0009562F">
      <w:pPr>
        <w:overflowPunct/>
        <w:autoSpaceDE/>
        <w:autoSpaceDN/>
        <w:adjustRightInd/>
        <w:spacing w:before="120" w:after="120"/>
        <w:textAlignment w:val="auto"/>
        <w:rPr>
          <w:rFonts w:ascii="Calibri" w:hAnsi="Calibri" w:cs="Calibri"/>
          <w:b/>
          <w:color w:val="13576B"/>
          <w:sz w:val="23"/>
          <w:szCs w:val="23"/>
        </w:rPr>
      </w:pPr>
      <w:r w:rsidRPr="003F159E">
        <w:rPr>
          <w:rFonts w:ascii="Calibri" w:hAnsi="Calibri" w:cs="Calibri"/>
          <w:b/>
          <w:color w:val="13576B"/>
          <w:sz w:val="23"/>
          <w:szCs w:val="23"/>
        </w:rPr>
        <w:t xml:space="preserve">Tabulka č. 1: Shrnutí objemu poskytnutých hypoték a průměrných úrokových sazeb za </w:t>
      </w:r>
      <w:r w:rsidR="00BA3140">
        <w:rPr>
          <w:rFonts w:ascii="Calibri" w:hAnsi="Calibri" w:cs="Calibri"/>
          <w:b/>
          <w:color w:val="13576B"/>
          <w:sz w:val="23"/>
          <w:szCs w:val="23"/>
        </w:rPr>
        <w:t>leden</w:t>
      </w:r>
      <w:r>
        <w:rPr>
          <w:rFonts w:ascii="Calibri" w:hAnsi="Calibri" w:cs="Calibri"/>
          <w:b/>
          <w:color w:val="13576B"/>
          <w:sz w:val="23"/>
          <w:szCs w:val="23"/>
        </w:rPr>
        <w:t xml:space="preserve"> 202</w:t>
      </w:r>
      <w:r w:rsidR="00BA3140">
        <w:rPr>
          <w:rFonts w:ascii="Calibri" w:hAnsi="Calibri" w:cs="Calibri"/>
          <w:b/>
          <w:color w:val="13576B"/>
          <w:sz w:val="23"/>
          <w:szCs w:val="23"/>
        </w:rPr>
        <w:t>6</w:t>
      </w:r>
    </w:p>
    <w:tbl>
      <w:tblPr>
        <w:tblW w:w="956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0"/>
        <w:gridCol w:w="1102"/>
        <w:gridCol w:w="960"/>
        <w:gridCol w:w="960"/>
        <w:gridCol w:w="242"/>
        <w:gridCol w:w="993"/>
        <w:gridCol w:w="992"/>
        <w:gridCol w:w="774"/>
      </w:tblGrid>
      <w:tr w:rsidR="00425883" w:rsidRPr="002138C0" w14:paraId="02897C33" w14:textId="77777777" w:rsidTr="00BA3140">
        <w:trPr>
          <w:trHeight w:val="300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86A0B8A" w14:textId="77777777" w:rsidR="00425883" w:rsidRPr="00072DB9" w:rsidRDefault="00425883" w:rsidP="003E009F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022" w:type="dxa"/>
            <w:gridSpan w:val="3"/>
            <w:tcBorders>
              <w:top w:val="nil"/>
              <w:left w:val="nil"/>
            </w:tcBorders>
            <w:shd w:val="clear" w:color="000000" w:fill="FFFFFF"/>
            <w:vAlign w:val="bottom"/>
          </w:tcPr>
          <w:p w14:paraId="374959CA" w14:textId="77777777" w:rsidR="00425883" w:rsidRPr="00072DB9" w:rsidRDefault="00425883" w:rsidP="003E009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  <w:t>měsíční hodnoty</w:t>
            </w:r>
          </w:p>
        </w:tc>
        <w:tc>
          <w:tcPr>
            <w:tcW w:w="242" w:type="dxa"/>
            <w:tcBorders>
              <w:top w:val="nil"/>
              <w:right w:val="nil"/>
            </w:tcBorders>
            <w:vAlign w:val="bottom"/>
          </w:tcPr>
          <w:p w14:paraId="14067E1E" w14:textId="77777777" w:rsidR="00425883" w:rsidRPr="00072DB9" w:rsidRDefault="00425883" w:rsidP="003E009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</w:pPr>
          </w:p>
        </w:tc>
        <w:tc>
          <w:tcPr>
            <w:tcW w:w="2759" w:type="dxa"/>
            <w:gridSpan w:val="3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</w:tcPr>
          <w:p w14:paraId="5820EF4F" w14:textId="77777777" w:rsidR="00425883" w:rsidRPr="00BA3140" w:rsidRDefault="00425883" w:rsidP="003E009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FFFFFF" w:themeColor="background1"/>
                <w:sz w:val="22"/>
                <w:szCs w:val="22"/>
              </w:rPr>
            </w:pPr>
            <w:r w:rsidRPr="00BA3140">
              <w:rPr>
                <w:rFonts w:ascii="Calibri Light" w:hAnsi="Calibri Light" w:cs="Calibri Light"/>
                <w:i/>
                <w:iCs/>
                <w:color w:val="FFFFFF" w:themeColor="background1"/>
                <w:sz w:val="22"/>
                <w:szCs w:val="22"/>
              </w:rPr>
              <w:t>hodnoty od začátku roku</w:t>
            </w:r>
          </w:p>
        </w:tc>
      </w:tr>
      <w:tr w:rsidR="00425883" w:rsidRPr="002138C0" w14:paraId="4890C229" w14:textId="77777777" w:rsidTr="00BA3140">
        <w:trPr>
          <w:trHeight w:val="300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6E637A" w14:textId="77777777" w:rsidR="00425883" w:rsidRPr="00072DB9" w:rsidRDefault="00425883" w:rsidP="003E009F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72D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2" w:type="dxa"/>
            <w:vMerge w:val="restart"/>
            <w:tcBorders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8EB2CF1" w14:textId="77777777" w:rsidR="00425883" w:rsidRPr="00072DB9" w:rsidRDefault="00425883" w:rsidP="003E009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</w:pPr>
            <w:r w:rsidRPr="00072DB9"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  <w:t>Objem</w:t>
            </w:r>
            <w:r w:rsidRPr="00072DB9"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  <w:br/>
              <w:t>(mld. Kč)</w:t>
            </w:r>
          </w:p>
        </w:tc>
        <w:tc>
          <w:tcPr>
            <w:tcW w:w="960" w:type="dxa"/>
            <w:vMerge w:val="restar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28006D" w14:textId="77777777" w:rsidR="00425883" w:rsidRPr="00072DB9" w:rsidRDefault="00425883" w:rsidP="003E009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</w:pPr>
            <w:r w:rsidRPr="00072DB9"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  <w:t>Počet</w:t>
            </w:r>
          </w:p>
        </w:tc>
        <w:tc>
          <w:tcPr>
            <w:tcW w:w="960" w:type="dxa"/>
            <w:vMerge w:val="restart"/>
            <w:tcBorders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14:paraId="26A53E93" w14:textId="77777777" w:rsidR="00425883" w:rsidRPr="00072DB9" w:rsidRDefault="00425883" w:rsidP="003E009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</w:pPr>
            <w:r w:rsidRPr="00072DB9"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  <w:t>Sazba</w:t>
            </w:r>
            <w:r w:rsidRPr="00072DB9"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  <w:br/>
              <w:t xml:space="preserve"> (%)</w:t>
            </w:r>
          </w:p>
        </w:tc>
        <w:tc>
          <w:tcPr>
            <w:tcW w:w="242" w:type="dxa"/>
            <w:tcBorders>
              <w:left w:val="nil"/>
              <w:right w:val="nil"/>
            </w:tcBorders>
            <w:vAlign w:val="bottom"/>
          </w:tcPr>
          <w:p w14:paraId="2C5E5350" w14:textId="77777777" w:rsidR="00425883" w:rsidRPr="00072DB9" w:rsidRDefault="00425883" w:rsidP="003E009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</w:pPr>
          </w:p>
        </w:tc>
        <w:tc>
          <w:tcPr>
            <w:tcW w:w="993" w:type="dxa"/>
            <w:vMerge w:val="restart"/>
            <w:tcBorders>
              <w:top w:val="nil"/>
              <w:left w:val="nil"/>
            </w:tcBorders>
            <w:vAlign w:val="bottom"/>
          </w:tcPr>
          <w:p w14:paraId="39AEE999" w14:textId="77777777" w:rsidR="00425883" w:rsidRPr="00BA3140" w:rsidRDefault="00425883" w:rsidP="003E009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FFFFFF" w:themeColor="background1"/>
                <w:sz w:val="22"/>
                <w:szCs w:val="22"/>
              </w:rPr>
            </w:pPr>
            <w:r w:rsidRPr="00BA3140">
              <w:rPr>
                <w:rFonts w:ascii="Calibri Light" w:hAnsi="Calibri Light" w:cs="Calibri Light"/>
                <w:i/>
                <w:iCs/>
                <w:color w:val="FFFFFF" w:themeColor="background1"/>
                <w:sz w:val="22"/>
                <w:szCs w:val="22"/>
              </w:rPr>
              <w:t>Objem</w:t>
            </w:r>
            <w:r w:rsidRPr="00BA3140">
              <w:rPr>
                <w:rFonts w:ascii="Calibri Light" w:hAnsi="Calibri Light" w:cs="Calibri Light"/>
                <w:i/>
                <w:iCs/>
                <w:color w:val="FFFFFF" w:themeColor="background1"/>
                <w:sz w:val="22"/>
                <w:szCs w:val="22"/>
              </w:rPr>
              <w:br/>
              <w:t>(mld. Kč)</w:t>
            </w:r>
          </w:p>
        </w:tc>
        <w:tc>
          <w:tcPr>
            <w:tcW w:w="992" w:type="dxa"/>
            <w:vMerge w:val="restart"/>
            <w:tcBorders>
              <w:top w:val="nil"/>
            </w:tcBorders>
            <w:vAlign w:val="center"/>
          </w:tcPr>
          <w:p w14:paraId="06445BA4" w14:textId="77777777" w:rsidR="00425883" w:rsidRPr="00BA3140" w:rsidRDefault="00425883" w:rsidP="003E009F">
            <w:pPr>
              <w:overflowPunct/>
              <w:autoSpaceDE/>
              <w:autoSpaceDN/>
              <w:adjustRightInd/>
              <w:ind w:left="-73" w:firstLine="73"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FFFFFF" w:themeColor="background1"/>
                <w:sz w:val="22"/>
                <w:szCs w:val="22"/>
              </w:rPr>
            </w:pPr>
            <w:r w:rsidRPr="00BA3140">
              <w:rPr>
                <w:rFonts w:ascii="Calibri Light" w:hAnsi="Calibri Light" w:cs="Calibri Light"/>
                <w:i/>
                <w:iCs/>
                <w:color w:val="FFFFFF" w:themeColor="background1"/>
                <w:sz w:val="22"/>
                <w:szCs w:val="22"/>
              </w:rPr>
              <w:t>Počet</w:t>
            </w:r>
          </w:p>
        </w:tc>
        <w:tc>
          <w:tcPr>
            <w:tcW w:w="774" w:type="dxa"/>
            <w:vMerge w:val="restart"/>
            <w:tcBorders>
              <w:top w:val="nil"/>
              <w:right w:val="nil"/>
            </w:tcBorders>
            <w:vAlign w:val="bottom"/>
          </w:tcPr>
          <w:p w14:paraId="077C59E1" w14:textId="77777777" w:rsidR="00425883" w:rsidRPr="00BA3140" w:rsidRDefault="00425883" w:rsidP="003E009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FFFFFF" w:themeColor="background1"/>
                <w:sz w:val="22"/>
                <w:szCs w:val="22"/>
              </w:rPr>
            </w:pPr>
            <w:r w:rsidRPr="00BA3140">
              <w:rPr>
                <w:rFonts w:ascii="Calibri Light" w:hAnsi="Calibri Light" w:cs="Calibri Light"/>
                <w:i/>
                <w:iCs/>
                <w:color w:val="FFFFFF" w:themeColor="background1"/>
                <w:sz w:val="22"/>
                <w:szCs w:val="22"/>
              </w:rPr>
              <w:t>Sazba</w:t>
            </w:r>
            <w:r w:rsidRPr="00BA3140">
              <w:rPr>
                <w:rFonts w:ascii="Calibri Light" w:hAnsi="Calibri Light" w:cs="Calibri Light"/>
                <w:i/>
                <w:iCs/>
                <w:color w:val="FFFFFF" w:themeColor="background1"/>
                <w:sz w:val="22"/>
                <w:szCs w:val="22"/>
              </w:rPr>
              <w:br/>
              <w:t xml:space="preserve"> (%)</w:t>
            </w:r>
          </w:p>
        </w:tc>
      </w:tr>
      <w:tr w:rsidR="00425883" w:rsidRPr="002138C0" w14:paraId="58F15C0C" w14:textId="77777777" w:rsidTr="00BA3140">
        <w:trPr>
          <w:trHeight w:val="300"/>
        </w:trPr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4758C49" w14:textId="77777777" w:rsidR="00425883" w:rsidRPr="00072DB9" w:rsidRDefault="00425883" w:rsidP="003E009F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072DB9">
              <w:rPr>
                <w:rFonts w:ascii="Calibri Light" w:hAnsi="Calibri Light" w:cs="Calibri Light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93D437" w14:textId="77777777" w:rsidR="00425883" w:rsidRPr="00072DB9" w:rsidRDefault="00425883" w:rsidP="003E009F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411A06" w14:textId="77777777" w:rsidR="00425883" w:rsidRPr="00072DB9" w:rsidRDefault="00425883" w:rsidP="003E009F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2901C11" w14:textId="77777777" w:rsidR="00425883" w:rsidRPr="00072DB9" w:rsidRDefault="00425883" w:rsidP="003E009F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</w:pPr>
          </w:p>
        </w:tc>
        <w:tc>
          <w:tcPr>
            <w:tcW w:w="242" w:type="dxa"/>
            <w:tcBorders>
              <w:top w:val="nil"/>
              <w:left w:val="nil"/>
              <w:right w:val="nil"/>
            </w:tcBorders>
            <w:vAlign w:val="center"/>
          </w:tcPr>
          <w:p w14:paraId="3D918162" w14:textId="77777777" w:rsidR="00425883" w:rsidRPr="00072DB9" w:rsidRDefault="00425883" w:rsidP="003E009F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left w:val="nil"/>
            </w:tcBorders>
            <w:vAlign w:val="center"/>
          </w:tcPr>
          <w:p w14:paraId="121D51D7" w14:textId="77777777" w:rsidR="00425883" w:rsidRPr="00A06A94" w:rsidRDefault="00425883" w:rsidP="003E009F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i/>
                <w:iCs/>
                <w:color w:val="13576B"/>
                <w:sz w:val="22"/>
                <w:szCs w:val="22"/>
              </w:rPr>
            </w:pPr>
          </w:p>
        </w:tc>
        <w:tc>
          <w:tcPr>
            <w:tcW w:w="992" w:type="dxa"/>
            <w:vMerge/>
            <w:vAlign w:val="center"/>
          </w:tcPr>
          <w:p w14:paraId="09D9524A" w14:textId="77777777" w:rsidR="00425883" w:rsidRPr="00A06A94" w:rsidRDefault="00425883" w:rsidP="003E009F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i/>
                <w:iCs/>
                <w:color w:val="13576B"/>
                <w:sz w:val="22"/>
                <w:szCs w:val="22"/>
              </w:rPr>
            </w:pPr>
          </w:p>
        </w:tc>
        <w:tc>
          <w:tcPr>
            <w:tcW w:w="774" w:type="dxa"/>
            <w:vMerge/>
            <w:tcBorders>
              <w:right w:val="nil"/>
            </w:tcBorders>
            <w:vAlign w:val="center"/>
          </w:tcPr>
          <w:p w14:paraId="7136A8A9" w14:textId="77777777" w:rsidR="00425883" w:rsidRPr="00A06A94" w:rsidRDefault="00425883" w:rsidP="003E009F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i/>
                <w:iCs/>
                <w:color w:val="13576B"/>
                <w:sz w:val="22"/>
                <w:szCs w:val="22"/>
              </w:rPr>
            </w:pPr>
          </w:p>
        </w:tc>
      </w:tr>
      <w:tr w:rsidR="00BA3140" w:rsidRPr="002138C0" w14:paraId="0D319709" w14:textId="77777777" w:rsidTr="00BA3140">
        <w:trPr>
          <w:trHeight w:val="300"/>
        </w:trPr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E650D8E" w14:textId="77777777" w:rsidR="00BA3140" w:rsidRPr="00072DB9" w:rsidRDefault="00BA3140" w:rsidP="00BA3140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072DB9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Celkem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C5C838" w14:textId="0611DDDC" w:rsidR="00BA3140" w:rsidRPr="00072DB9" w:rsidRDefault="00BA3140" w:rsidP="00BA314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35,5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9ED8B2" w14:textId="1B4A2773" w:rsidR="00BA3140" w:rsidRPr="00072DB9" w:rsidRDefault="00BA3140" w:rsidP="00BA314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8 154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BEC0207" w14:textId="2F39D5D5" w:rsidR="00BA3140" w:rsidRPr="00072DB9" w:rsidRDefault="00BA3140" w:rsidP="00BA314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4,48</w:t>
            </w:r>
          </w:p>
        </w:tc>
        <w:tc>
          <w:tcPr>
            <w:tcW w:w="242" w:type="dxa"/>
            <w:tcBorders>
              <w:top w:val="nil"/>
              <w:left w:val="nil"/>
              <w:right w:val="nil"/>
            </w:tcBorders>
            <w:vAlign w:val="bottom"/>
          </w:tcPr>
          <w:p w14:paraId="48168675" w14:textId="547A8728" w:rsidR="00BA3140" w:rsidRDefault="00BA3140" w:rsidP="00BA314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</w:tcBorders>
            <w:vAlign w:val="center"/>
          </w:tcPr>
          <w:p w14:paraId="23310E06" w14:textId="1584FFB1" w:rsidR="00BA3140" w:rsidRPr="00A06A94" w:rsidRDefault="00BA3140" w:rsidP="00BA314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</w:tcBorders>
            <w:vAlign w:val="center"/>
          </w:tcPr>
          <w:p w14:paraId="2BF3B5A7" w14:textId="770BA9FB" w:rsidR="00BA3140" w:rsidRPr="00A06A94" w:rsidRDefault="00BA3140" w:rsidP="00BA314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774" w:type="dxa"/>
            <w:tcBorders>
              <w:top w:val="nil"/>
              <w:right w:val="nil"/>
            </w:tcBorders>
            <w:vAlign w:val="center"/>
          </w:tcPr>
          <w:p w14:paraId="3F8C875B" w14:textId="7B07D88E" w:rsidR="00BA3140" w:rsidRPr="00A06A94" w:rsidRDefault="00BA3140" w:rsidP="00BA314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000000"/>
                <w:sz w:val="22"/>
                <w:szCs w:val="22"/>
              </w:rPr>
            </w:pPr>
          </w:p>
        </w:tc>
      </w:tr>
      <w:tr w:rsidR="00BA3140" w:rsidRPr="002138C0" w14:paraId="4CCF9803" w14:textId="77777777" w:rsidTr="00BA3140">
        <w:trPr>
          <w:trHeight w:val="300"/>
        </w:trPr>
        <w:tc>
          <w:tcPr>
            <w:tcW w:w="3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solid" w:color="DAF3EA" w:fill="C1F7E9"/>
            <w:noWrap/>
            <w:vAlign w:val="bottom"/>
            <w:hideMark/>
          </w:tcPr>
          <w:p w14:paraId="427BFA1A" w14:textId="77777777" w:rsidR="00BA3140" w:rsidRPr="00072DB9" w:rsidRDefault="00BA3140" w:rsidP="00BA3140">
            <w:pPr>
              <w:overflowPunct/>
              <w:autoSpaceDE/>
              <w:autoSpaceDN/>
              <w:adjustRightInd/>
              <w:ind w:firstLineChars="100" w:firstLine="221"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072DB9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 xml:space="preserve">Nové úvěry 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solid" w:color="DAF3EA" w:fill="C1F7E9"/>
            <w:noWrap/>
            <w:vAlign w:val="center"/>
            <w:hideMark/>
          </w:tcPr>
          <w:p w14:paraId="29369C60" w14:textId="50A4CB00" w:rsidR="00BA3140" w:rsidRPr="00072DB9" w:rsidRDefault="00BA3140" w:rsidP="00BA314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27,2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solid" w:color="DAF3EA" w:fill="C1F7E9"/>
            <w:noWrap/>
            <w:vAlign w:val="center"/>
            <w:hideMark/>
          </w:tcPr>
          <w:p w14:paraId="2F19DC0D" w14:textId="4619CFBF" w:rsidR="00BA3140" w:rsidRPr="00072DB9" w:rsidRDefault="00BA3140" w:rsidP="00BA314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6 015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solid" w:color="DAF3EA" w:fill="C1F7E9"/>
            <w:noWrap/>
            <w:vAlign w:val="center"/>
            <w:hideMark/>
          </w:tcPr>
          <w:p w14:paraId="0E1BBC03" w14:textId="27D759E7" w:rsidR="00BA3140" w:rsidRPr="00072DB9" w:rsidRDefault="00BA3140" w:rsidP="00BA314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4,48</w:t>
            </w:r>
          </w:p>
        </w:tc>
        <w:tc>
          <w:tcPr>
            <w:tcW w:w="242" w:type="dxa"/>
            <w:tcBorders>
              <w:left w:val="nil"/>
              <w:bottom w:val="nil"/>
              <w:right w:val="nil"/>
            </w:tcBorders>
            <w:vAlign w:val="bottom"/>
          </w:tcPr>
          <w:p w14:paraId="59087809" w14:textId="759A0375" w:rsidR="00BA3140" w:rsidRDefault="00BA3140" w:rsidP="00BA314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left w:val="nil"/>
              <w:bottom w:val="nil"/>
            </w:tcBorders>
            <w:vAlign w:val="center"/>
          </w:tcPr>
          <w:p w14:paraId="34F1CCE8" w14:textId="3EC7C220" w:rsidR="00BA3140" w:rsidRPr="00A06A94" w:rsidRDefault="00BA3140" w:rsidP="00BA314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14:paraId="3B4EBFBE" w14:textId="22FF7F6A" w:rsidR="00BA3140" w:rsidRPr="00A06A94" w:rsidRDefault="00BA3140" w:rsidP="00BA314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774" w:type="dxa"/>
            <w:tcBorders>
              <w:bottom w:val="nil"/>
              <w:right w:val="nil"/>
            </w:tcBorders>
            <w:vAlign w:val="center"/>
          </w:tcPr>
          <w:p w14:paraId="571E9F3C" w14:textId="2A51E65E" w:rsidR="00BA3140" w:rsidRPr="00A06A94" w:rsidRDefault="00BA3140" w:rsidP="00BA314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000000"/>
                <w:sz w:val="22"/>
                <w:szCs w:val="22"/>
              </w:rPr>
            </w:pPr>
          </w:p>
        </w:tc>
      </w:tr>
      <w:tr w:rsidR="00BA3140" w:rsidRPr="002138C0" w14:paraId="7681A9A0" w14:textId="77777777" w:rsidTr="00BA3140">
        <w:trPr>
          <w:trHeight w:val="300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07956A" w14:textId="77777777" w:rsidR="00BA3140" w:rsidRPr="00072DB9" w:rsidRDefault="00BA3140" w:rsidP="00BA3140">
            <w:pPr>
              <w:overflowPunct/>
              <w:autoSpaceDE/>
              <w:autoSpaceDN/>
              <w:adjustRightInd/>
              <w:ind w:firstLineChars="200" w:firstLine="440"/>
              <w:jc w:val="left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072DB9">
              <w:rPr>
                <w:rFonts w:ascii="Calibri Light" w:hAnsi="Calibri Light" w:cs="Calibri Light"/>
                <w:color w:val="000000"/>
                <w:sz w:val="22"/>
                <w:szCs w:val="22"/>
              </w:rPr>
              <w:t xml:space="preserve">z toho: 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FBD3AE" w14:textId="30411E27" w:rsidR="00BA3140" w:rsidRPr="00072DB9" w:rsidRDefault="00BA3140" w:rsidP="00BA314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F4A1B0" w14:textId="0F061C5A" w:rsidR="00BA3140" w:rsidRPr="00072DB9" w:rsidRDefault="00BA3140" w:rsidP="00BA314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EBB0DB" w14:textId="08C75A51" w:rsidR="00BA3140" w:rsidRPr="00072DB9" w:rsidRDefault="00BA3140" w:rsidP="00BA314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ECAC2F" w14:textId="58E3432E" w:rsidR="00BA3140" w:rsidRDefault="00BA3140" w:rsidP="00BA314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</w:tcBorders>
            <w:vAlign w:val="center"/>
          </w:tcPr>
          <w:p w14:paraId="40964CC2" w14:textId="72AAF142" w:rsidR="00BA3140" w:rsidRPr="00A06A94" w:rsidRDefault="00BA3140" w:rsidP="00BA314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610B8577" w14:textId="11C94D66" w:rsidR="00BA3140" w:rsidRPr="00A06A94" w:rsidRDefault="00BA3140" w:rsidP="00BA314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774" w:type="dxa"/>
            <w:tcBorders>
              <w:top w:val="nil"/>
              <w:bottom w:val="nil"/>
              <w:right w:val="nil"/>
            </w:tcBorders>
            <w:vAlign w:val="center"/>
          </w:tcPr>
          <w:p w14:paraId="120C2204" w14:textId="106F1D72" w:rsidR="00BA3140" w:rsidRPr="00A06A94" w:rsidRDefault="00BA3140" w:rsidP="00BA314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000000"/>
                <w:sz w:val="22"/>
                <w:szCs w:val="22"/>
              </w:rPr>
            </w:pPr>
          </w:p>
        </w:tc>
      </w:tr>
      <w:tr w:rsidR="00BA3140" w:rsidRPr="002138C0" w14:paraId="044C41DA" w14:textId="77777777" w:rsidTr="00BA3140">
        <w:trPr>
          <w:trHeight w:val="300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55457A" w14:textId="77777777" w:rsidR="00BA3140" w:rsidRPr="00072DB9" w:rsidRDefault="00BA3140" w:rsidP="00BA3140">
            <w:pPr>
              <w:overflowPunct/>
              <w:autoSpaceDE/>
              <w:autoSpaceDN/>
              <w:adjustRightInd/>
              <w:ind w:firstLineChars="300" w:firstLine="660"/>
              <w:jc w:val="left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072DB9">
              <w:rPr>
                <w:rFonts w:ascii="Calibri Light" w:hAnsi="Calibri Light" w:cs="Calibri Light"/>
                <w:color w:val="000000"/>
                <w:sz w:val="22"/>
                <w:szCs w:val="22"/>
              </w:rPr>
              <w:t>na koupi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5737F4" w14:textId="5A21E0E6" w:rsidR="00BA3140" w:rsidRPr="00072DB9" w:rsidRDefault="00BA3140" w:rsidP="00BA314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21,4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0A754B" w14:textId="6C72D183" w:rsidR="00BA3140" w:rsidRPr="00072DB9" w:rsidRDefault="00BA3140" w:rsidP="00BA314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4 717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427610" w14:textId="230385AC" w:rsidR="00BA3140" w:rsidRPr="00072DB9" w:rsidRDefault="00BA3140" w:rsidP="00BA314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4,48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B85060" w14:textId="5EE501A9" w:rsidR="00BA3140" w:rsidRDefault="00BA3140" w:rsidP="00BA314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</w:tcBorders>
            <w:vAlign w:val="center"/>
          </w:tcPr>
          <w:p w14:paraId="53F069C9" w14:textId="26734B92" w:rsidR="00BA3140" w:rsidRPr="00A06A94" w:rsidRDefault="00BA3140" w:rsidP="00BA314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491727F9" w14:textId="601F28F6" w:rsidR="00BA3140" w:rsidRPr="00A06A94" w:rsidRDefault="00BA3140" w:rsidP="00BA314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774" w:type="dxa"/>
            <w:tcBorders>
              <w:top w:val="nil"/>
              <w:bottom w:val="nil"/>
              <w:right w:val="nil"/>
            </w:tcBorders>
            <w:vAlign w:val="center"/>
          </w:tcPr>
          <w:p w14:paraId="18656123" w14:textId="22F65B74" w:rsidR="00BA3140" w:rsidRPr="00A06A94" w:rsidRDefault="00BA3140" w:rsidP="00BA314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000000"/>
                <w:sz w:val="22"/>
                <w:szCs w:val="22"/>
              </w:rPr>
            </w:pPr>
          </w:p>
        </w:tc>
      </w:tr>
      <w:tr w:rsidR="00BA3140" w:rsidRPr="002138C0" w14:paraId="2F24DA4A" w14:textId="77777777" w:rsidTr="00BA3140">
        <w:trPr>
          <w:trHeight w:val="300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86FC44" w14:textId="77777777" w:rsidR="00BA3140" w:rsidRPr="00072DB9" w:rsidRDefault="00BA3140" w:rsidP="00BA3140">
            <w:pPr>
              <w:overflowPunct/>
              <w:autoSpaceDE/>
              <w:autoSpaceDN/>
              <w:adjustRightInd/>
              <w:ind w:firstLineChars="300" w:firstLine="660"/>
              <w:jc w:val="left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072DB9">
              <w:rPr>
                <w:rFonts w:ascii="Calibri Light" w:hAnsi="Calibri Light" w:cs="Calibri Light"/>
                <w:color w:val="000000"/>
                <w:sz w:val="22"/>
                <w:szCs w:val="22"/>
              </w:rPr>
              <w:t>na výstavbu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88C61F" w14:textId="04F878C9" w:rsidR="00BA3140" w:rsidRPr="00072DB9" w:rsidRDefault="00BA3140" w:rsidP="00BA314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3,8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257232" w14:textId="3606AA9C" w:rsidR="00BA3140" w:rsidRPr="00072DB9" w:rsidRDefault="00BA3140" w:rsidP="00BA314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831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9AC752" w14:textId="02EB330D" w:rsidR="00BA3140" w:rsidRPr="00072DB9" w:rsidRDefault="00BA3140" w:rsidP="00BA314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4,44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DD88DB" w14:textId="0DE5AB7B" w:rsidR="00BA3140" w:rsidRDefault="00BA3140" w:rsidP="00BA314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</w:tcBorders>
            <w:vAlign w:val="center"/>
          </w:tcPr>
          <w:p w14:paraId="4BD7FAE5" w14:textId="54AD9117" w:rsidR="00BA3140" w:rsidRPr="00A06A94" w:rsidRDefault="00BA3140" w:rsidP="00BA314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37C10C04" w14:textId="60E88E72" w:rsidR="00BA3140" w:rsidRPr="00A06A94" w:rsidRDefault="00BA3140" w:rsidP="00BA314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774" w:type="dxa"/>
            <w:tcBorders>
              <w:top w:val="nil"/>
              <w:bottom w:val="nil"/>
              <w:right w:val="nil"/>
            </w:tcBorders>
            <w:vAlign w:val="center"/>
          </w:tcPr>
          <w:p w14:paraId="03F6D3B8" w14:textId="3026F097" w:rsidR="00BA3140" w:rsidRPr="00A06A94" w:rsidRDefault="00BA3140" w:rsidP="00BA314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000000"/>
                <w:sz w:val="22"/>
                <w:szCs w:val="22"/>
              </w:rPr>
            </w:pPr>
          </w:p>
        </w:tc>
      </w:tr>
      <w:tr w:rsidR="00BA3140" w:rsidRPr="002138C0" w14:paraId="6C466F00" w14:textId="77777777" w:rsidTr="00BA3140">
        <w:trPr>
          <w:trHeight w:val="300"/>
        </w:trPr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3D71550" w14:textId="77777777" w:rsidR="00BA3140" w:rsidRPr="00072DB9" w:rsidRDefault="00BA3140" w:rsidP="00BA3140">
            <w:pPr>
              <w:overflowPunct/>
              <w:autoSpaceDE/>
              <w:autoSpaceDN/>
              <w:adjustRightInd/>
              <w:ind w:firstLineChars="300" w:firstLine="660"/>
              <w:jc w:val="left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072DB9">
              <w:rPr>
                <w:rFonts w:ascii="Calibri Light" w:hAnsi="Calibri Light" w:cs="Calibri Light"/>
                <w:color w:val="000000"/>
                <w:sz w:val="22"/>
                <w:szCs w:val="22"/>
              </w:rPr>
              <w:t>ostatní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595C07" w14:textId="1ACC9324" w:rsidR="00BA3140" w:rsidRPr="00072DB9" w:rsidRDefault="00BA3140" w:rsidP="00BA314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2C5AB3" w14:textId="620369E4" w:rsidR="00BA3140" w:rsidRPr="00072DB9" w:rsidRDefault="00BA3140" w:rsidP="00BA314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467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8A05CEB" w14:textId="4A3E262B" w:rsidR="00BA3140" w:rsidRPr="00072DB9" w:rsidRDefault="00BA3140" w:rsidP="00BA314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4,57</w:t>
            </w:r>
          </w:p>
        </w:tc>
        <w:tc>
          <w:tcPr>
            <w:tcW w:w="242" w:type="dxa"/>
            <w:tcBorders>
              <w:top w:val="nil"/>
              <w:left w:val="nil"/>
              <w:right w:val="nil"/>
            </w:tcBorders>
            <w:vAlign w:val="bottom"/>
          </w:tcPr>
          <w:p w14:paraId="6B197FAE" w14:textId="2C8BF09B" w:rsidR="00BA3140" w:rsidRDefault="00BA3140" w:rsidP="00BA314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</w:tcBorders>
            <w:vAlign w:val="center"/>
          </w:tcPr>
          <w:p w14:paraId="4C442E05" w14:textId="77581DE7" w:rsidR="00BA3140" w:rsidRPr="00A06A94" w:rsidRDefault="00BA3140" w:rsidP="00BA314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</w:tcBorders>
            <w:vAlign w:val="center"/>
          </w:tcPr>
          <w:p w14:paraId="6EA660BD" w14:textId="2D6784A3" w:rsidR="00BA3140" w:rsidRPr="00A06A94" w:rsidRDefault="00BA3140" w:rsidP="00BA314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774" w:type="dxa"/>
            <w:tcBorders>
              <w:top w:val="nil"/>
              <w:right w:val="nil"/>
            </w:tcBorders>
            <w:vAlign w:val="center"/>
          </w:tcPr>
          <w:p w14:paraId="7FDA1437" w14:textId="21A40BDB" w:rsidR="00BA3140" w:rsidRPr="00A06A94" w:rsidRDefault="00BA3140" w:rsidP="00BA314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000000"/>
                <w:sz w:val="22"/>
                <w:szCs w:val="22"/>
              </w:rPr>
            </w:pPr>
          </w:p>
        </w:tc>
      </w:tr>
      <w:tr w:rsidR="00BA3140" w:rsidRPr="002138C0" w14:paraId="12035089" w14:textId="77777777" w:rsidTr="00BA3140">
        <w:trPr>
          <w:trHeight w:val="300"/>
        </w:trPr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51D37ED" w14:textId="77777777" w:rsidR="00BA3140" w:rsidRPr="00072DB9" w:rsidRDefault="00BA3140" w:rsidP="00BA3140">
            <w:pPr>
              <w:overflowPunct/>
              <w:autoSpaceDE/>
              <w:autoSpaceDN/>
              <w:adjustRightInd/>
              <w:ind w:firstLineChars="100" w:firstLine="221"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072DB9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Refinancované z jiné instituce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F772B7" w14:textId="52CC702E" w:rsidR="00BA3140" w:rsidRPr="00072DB9" w:rsidRDefault="00BA3140" w:rsidP="00BA314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6,9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F8945F" w14:textId="61626122" w:rsidR="00BA3140" w:rsidRPr="00072DB9" w:rsidRDefault="00BA3140" w:rsidP="00BA314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1 792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A60DBB2" w14:textId="147F5886" w:rsidR="00BA3140" w:rsidRPr="00072DB9" w:rsidRDefault="00BA3140" w:rsidP="00BA314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4,46</w:t>
            </w:r>
          </w:p>
        </w:tc>
        <w:tc>
          <w:tcPr>
            <w:tcW w:w="242" w:type="dxa"/>
            <w:tcBorders>
              <w:top w:val="nil"/>
              <w:left w:val="nil"/>
              <w:right w:val="nil"/>
            </w:tcBorders>
            <w:vAlign w:val="bottom"/>
          </w:tcPr>
          <w:p w14:paraId="70D93E09" w14:textId="40D13442" w:rsidR="00BA3140" w:rsidRDefault="00BA3140" w:rsidP="00BA314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</w:tcBorders>
            <w:vAlign w:val="center"/>
          </w:tcPr>
          <w:p w14:paraId="592DE192" w14:textId="6AA053DE" w:rsidR="00BA3140" w:rsidRPr="00A06A94" w:rsidRDefault="00BA3140" w:rsidP="00BA314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</w:tcBorders>
            <w:vAlign w:val="center"/>
          </w:tcPr>
          <w:p w14:paraId="50337315" w14:textId="72275978" w:rsidR="00BA3140" w:rsidRPr="00A06A94" w:rsidRDefault="00BA3140" w:rsidP="00BA314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774" w:type="dxa"/>
            <w:tcBorders>
              <w:top w:val="nil"/>
              <w:right w:val="nil"/>
            </w:tcBorders>
            <w:vAlign w:val="center"/>
          </w:tcPr>
          <w:p w14:paraId="60D2CCAF" w14:textId="0A802C12" w:rsidR="00BA3140" w:rsidRPr="00A06A94" w:rsidRDefault="00BA3140" w:rsidP="00BA314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000000"/>
                <w:sz w:val="22"/>
                <w:szCs w:val="22"/>
              </w:rPr>
            </w:pPr>
          </w:p>
        </w:tc>
      </w:tr>
      <w:tr w:rsidR="00BA3140" w:rsidRPr="002138C0" w14:paraId="01014CF0" w14:textId="77777777" w:rsidTr="00BA3140">
        <w:trPr>
          <w:trHeight w:val="300"/>
        </w:trPr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4354E05" w14:textId="77777777" w:rsidR="00BA3140" w:rsidRPr="00072DB9" w:rsidRDefault="00BA3140" w:rsidP="00BA3140">
            <w:pPr>
              <w:overflowPunct/>
              <w:autoSpaceDE/>
              <w:autoSpaceDN/>
              <w:adjustRightInd/>
              <w:ind w:firstLineChars="100" w:firstLine="221"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072DB9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Refinancované interně</w:t>
            </w:r>
            <w:r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, navýšené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FEDCC6" w14:textId="185787EE" w:rsidR="00BA3140" w:rsidRPr="00072DB9" w:rsidRDefault="00BA3140" w:rsidP="00BA314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1,4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68724A" w14:textId="1EA1091A" w:rsidR="00BA3140" w:rsidRPr="00072DB9" w:rsidRDefault="00BA3140" w:rsidP="00BA314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347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0F58356" w14:textId="11015433" w:rsidR="00BA3140" w:rsidRPr="00072DB9" w:rsidRDefault="00BA3140" w:rsidP="00BA314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4,43</w:t>
            </w:r>
          </w:p>
        </w:tc>
        <w:tc>
          <w:tcPr>
            <w:tcW w:w="242" w:type="dxa"/>
            <w:tcBorders>
              <w:top w:val="nil"/>
              <w:left w:val="nil"/>
              <w:right w:val="nil"/>
            </w:tcBorders>
            <w:vAlign w:val="bottom"/>
          </w:tcPr>
          <w:p w14:paraId="05BC36DD" w14:textId="54C8B729" w:rsidR="00BA3140" w:rsidRDefault="00BA3140" w:rsidP="00BA314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</w:tcBorders>
            <w:vAlign w:val="center"/>
          </w:tcPr>
          <w:p w14:paraId="20916DBD" w14:textId="59CB07E6" w:rsidR="00BA3140" w:rsidRPr="00A06A94" w:rsidRDefault="00BA3140" w:rsidP="00BA314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</w:tcBorders>
            <w:vAlign w:val="center"/>
          </w:tcPr>
          <w:p w14:paraId="062BC102" w14:textId="56D58E90" w:rsidR="00BA3140" w:rsidRPr="00A06A94" w:rsidRDefault="00BA3140" w:rsidP="00BA314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774" w:type="dxa"/>
            <w:tcBorders>
              <w:top w:val="nil"/>
              <w:right w:val="nil"/>
            </w:tcBorders>
            <w:vAlign w:val="center"/>
          </w:tcPr>
          <w:p w14:paraId="579818EE" w14:textId="23BE4E7B" w:rsidR="00BA3140" w:rsidRPr="00A06A94" w:rsidRDefault="00BA3140" w:rsidP="00BA314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000000"/>
                <w:sz w:val="22"/>
                <w:szCs w:val="22"/>
              </w:rPr>
            </w:pPr>
          </w:p>
        </w:tc>
      </w:tr>
      <w:tr w:rsidR="00425883" w:rsidRPr="002138C0" w14:paraId="6F1DAD0F" w14:textId="77777777" w:rsidTr="00BA3140">
        <w:trPr>
          <w:trHeight w:val="300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F14AF0" w14:textId="77777777" w:rsidR="00425883" w:rsidRDefault="00425883" w:rsidP="003E009F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color w:val="13576B"/>
                <w:sz w:val="20"/>
              </w:rPr>
            </w:pPr>
            <w:r w:rsidRPr="00072DB9">
              <w:rPr>
                <w:rFonts w:ascii="Calibri Light" w:hAnsi="Calibri Light" w:cs="Calibri Light"/>
                <w:color w:val="13576B"/>
                <w:sz w:val="20"/>
              </w:rPr>
              <w:t xml:space="preserve">Pramen: ČBA </w:t>
            </w:r>
            <w:proofErr w:type="spellStart"/>
            <w:r w:rsidRPr="00072DB9">
              <w:rPr>
                <w:rFonts w:ascii="Calibri Light" w:hAnsi="Calibri Light" w:cs="Calibri Light"/>
                <w:color w:val="13576B"/>
                <w:sz w:val="20"/>
              </w:rPr>
              <w:t>Hypomonitor</w:t>
            </w:r>
            <w:proofErr w:type="spellEnd"/>
          </w:p>
          <w:p w14:paraId="28D49210" w14:textId="77777777" w:rsidR="00425883" w:rsidRDefault="00425883" w:rsidP="003E009F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color w:val="13576B"/>
                <w:sz w:val="20"/>
              </w:rPr>
            </w:pPr>
          </w:p>
          <w:p w14:paraId="5F3D6C0E" w14:textId="77777777" w:rsidR="00D17F2A" w:rsidRDefault="00D17F2A" w:rsidP="003E009F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color w:val="13576B"/>
                <w:sz w:val="20"/>
              </w:rPr>
            </w:pPr>
          </w:p>
          <w:p w14:paraId="7DF4299E" w14:textId="77777777" w:rsidR="00425883" w:rsidRPr="00072DB9" w:rsidRDefault="00425883" w:rsidP="003E009F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color w:val="13576B"/>
                <w:sz w:val="20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ED84A1" w14:textId="77777777" w:rsidR="00425883" w:rsidRPr="00072DB9" w:rsidRDefault="00425883" w:rsidP="003E009F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072DB9">
              <w:rPr>
                <w:rFonts w:ascii="Calibri Light" w:hAnsi="Calibri Light" w:cs="Calibri Light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9899A2" w14:textId="79BFB737" w:rsidR="00425883" w:rsidRPr="00072DB9" w:rsidRDefault="00425883" w:rsidP="003E009F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072DB9">
              <w:rPr>
                <w:rFonts w:ascii="Calibri Light" w:hAnsi="Calibri Light" w:cs="Calibri Light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4A867D" w14:textId="77777777" w:rsidR="00425883" w:rsidRPr="00072DB9" w:rsidRDefault="00425883" w:rsidP="003E009F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072DB9">
              <w:rPr>
                <w:rFonts w:ascii="Calibri Light" w:hAnsi="Calibri Light" w:cs="Calibri Light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2" w:type="dxa"/>
            <w:tcBorders>
              <w:left w:val="nil"/>
              <w:bottom w:val="nil"/>
              <w:right w:val="nil"/>
            </w:tcBorders>
            <w:shd w:val="clear" w:color="000000" w:fill="FFFFFF"/>
          </w:tcPr>
          <w:p w14:paraId="4D162A73" w14:textId="77777777" w:rsidR="00425883" w:rsidRPr="00072DB9" w:rsidRDefault="00425883" w:rsidP="003E009F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left w:val="nil"/>
              <w:bottom w:val="nil"/>
              <w:right w:val="nil"/>
            </w:tcBorders>
            <w:shd w:val="clear" w:color="000000" w:fill="FFFFFF"/>
          </w:tcPr>
          <w:p w14:paraId="666761BB" w14:textId="77777777" w:rsidR="00425883" w:rsidRPr="00072DB9" w:rsidRDefault="00425883" w:rsidP="003E009F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shd w:val="clear" w:color="000000" w:fill="FFFFFF"/>
          </w:tcPr>
          <w:p w14:paraId="271D289D" w14:textId="77777777" w:rsidR="00425883" w:rsidRPr="00072DB9" w:rsidRDefault="00425883" w:rsidP="003E009F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</w:p>
        </w:tc>
        <w:tc>
          <w:tcPr>
            <w:tcW w:w="774" w:type="dxa"/>
            <w:tcBorders>
              <w:left w:val="nil"/>
              <w:bottom w:val="nil"/>
              <w:right w:val="nil"/>
            </w:tcBorders>
            <w:shd w:val="clear" w:color="000000" w:fill="FFFFFF"/>
          </w:tcPr>
          <w:p w14:paraId="24ABD52C" w14:textId="77777777" w:rsidR="00425883" w:rsidRPr="00072DB9" w:rsidRDefault="00425883" w:rsidP="003E009F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</w:p>
        </w:tc>
      </w:tr>
    </w:tbl>
    <w:p w14:paraId="0A5C07AA" w14:textId="1B648AB1" w:rsidR="006A4CF3" w:rsidRPr="00882EFB" w:rsidRDefault="00D16FB5" w:rsidP="006A4C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Calibri" w:hAnsi="Calibri" w:cs="Calibri"/>
          <w:color w:val="EE0000"/>
          <w:sz w:val="22"/>
          <w:szCs w:val="22"/>
        </w:rPr>
      </w:pPr>
      <w:bookmarkStart w:id="3" w:name="_Hlk111121228"/>
      <w:bookmarkStart w:id="4" w:name="_Hlk119308742"/>
      <w:r w:rsidRPr="0026268C">
        <w:rPr>
          <w:rFonts w:ascii="Calibri" w:hAnsi="Calibri" w:cs="Calibri"/>
          <w:i/>
          <w:iCs/>
          <w:color w:val="000000" w:themeColor="text1"/>
          <w:sz w:val="22"/>
          <w:szCs w:val="22"/>
        </w:rPr>
        <w:t>„</w:t>
      </w:r>
      <w:r w:rsidR="001B59D5" w:rsidRPr="0026268C">
        <w:rPr>
          <w:rFonts w:ascii="Calibri" w:hAnsi="Calibri" w:cs="Calibri"/>
          <w:i/>
          <w:iCs/>
          <w:color w:val="000000" w:themeColor="text1"/>
          <w:sz w:val="22"/>
          <w:szCs w:val="22"/>
        </w:rPr>
        <w:t>Lednová čísla</w:t>
      </w:r>
      <w:r w:rsidR="005F4D52" w:rsidRPr="0026268C">
        <w:rPr>
          <w:rFonts w:ascii="Calibri" w:hAnsi="Calibri" w:cs="Calibri"/>
          <w:i/>
          <w:iCs/>
          <w:color w:val="000000" w:themeColor="text1"/>
          <w:sz w:val="22"/>
          <w:szCs w:val="22"/>
        </w:rPr>
        <w:t xml:space="preserve"> nových hypoték sice poklesla k 27 miliardám korun, ale sezónně očištění odhad poukazuje na velmi silný měsíc s nově sjednanými hypotékami přes 35 miliard</w:t>
      </w:r>
      <w:r w:rsidR="0026268C" w:rsidRPr="0026268C">
        <w:rPr>
          <w:rFonts w:ascii="Calibri" w:hAnsi="Calibri" w:cs="Calibri"/>
          <w:i/>
          <w:iCs/>
          <w:color w:val="000000" w:themeColor="text1"/>
          <w:sz w:val="22"/>
          <w:szCs w:val="22"/>
        </w:rPr>
        <w:t>, což by bylo nové měsíční maximum. To ovšem neplatí od počtu nových hypoték, který se v lednu pohyboval kolem obvyklých hodnot z let 2016-2018</w:t>
      </w:r>
      <w:r w:rsidR="007C1E59" w:rsidRPr="0026268C">
        <w:rPr>
          <w:rFonts w:ascii="Calibri" w:hAnsi="Calibri" w:cs="Calibri"/>
          <w:i/>
          <w:iCs/>
          <w:color w:val="000000" w:themeColor="text1"/>
          <w:sz w:val="22"/>
          <w:szCs w:val="22"/>
        </w:rPr>
        <w:t>,</w:t>
      </w:r>
      <w:r w:rsidRPr="0026268C">
        <w:rPr>
          <w:rFonts w:ascii="Calibri" w:hAnsi="Calibri" w:cs="Calibri"/>
          <w:i/>
          <w:iCs/>
          <w:color w:val="000000" w:themeColor="text1"/>
          <w:sz w:val="22"/>
          <w:szCs w:val="22"/>
        </w:rPr>
        <w:t>“</w:t>
      </w:r>
      <w:r w:rsidR="006A4CF3" w:rsidRPr="0026268C">
        <w:rPr>
          <w:rFonts w:ascii="Calibri" w:hAnsi="Calibri" w:cs="Calibri"/>
          <w:i/>
          <w:iCs/>
          <w:color w:val="000000" w:themeColor="text1"/>
          <w:sz w:val="22"/>
          <w:szCs w:val="22"/>
        </w:rPr>
        <w:t xml:space="preserve"> </w:t>
      </w:r>
      <w:r w:rsidR="0026268C">
        <w:rPr>
          <w:rFonts w:ascii="Calibri" w:hAnsi="Calibri" w:cs="Calibri"/>
          <w:sz w:val="22"/>
          <w:szCs w:val="22"/>
        </w:rPr>
        <w:t>odhaduje</w:t>
      </w:r>
      <w:r w:rsidR="006A4CF3" w:rsidRPr="00882EFB">
        <w:rPr>
          <w:rFonts w:ascii="Calibri" w:hAnsi="Calibri" w:cs="Calibri"/>
          <w:sz w:val="22"/>
          <w:szCs w:val="22"/>
        </w:rPr>
        <w:t xml:space="preserve"> </w:t>
      </w:r>
      <w:r w:rsidR="006A4CF3">
        <w:rPr>
          <w:rFonts w:ascii="Calibri" w:hAnsi="Calibri" w:cs="Calibri"/>
          <w:b/>
          <w:bCs/>
          <w:sz w:val="22"/>
          <w:szCs w:val="22"/>
        </w:rPr>
        <w:t xml:space="preserve">Jaromír Šindel, hlavní ekonom České bankovní asociace. </w:t>
      </w:r>
    </w:p>
    <w:p w14:paraId="5C0445D2" w14:textId="77777777" w:rsidR="00D17F2A" w:rsidRDefault="00D17F2A" w:rsidP="007E1421">
      <w:pPr>
        <w:rPr>
          <w:rFonts w:ascii="Calibri" w:hAnsi="Calibri" w:cs="Calibri"/>
          <w:b/>
          <w:color w:val="13576B"/>
          <w:sz w:val="23"/>
          <w:szCs w:val="23"/>
        </w:rPr>
      </w:pPr>
    </w:p>
    <w:p w14:paraId="6FE7B78E" w14:textId="77777777" w:rsidR="00D17F2A" w:rsidRDefault="00D17F2A" w:rsidP="007E1421">
      <w:pPr>
        <w:rPr>
          <w:rFonts w:ascii="Calibri" w:hAnsi="Calibri" w:cs="Calibri"/>
          <w:b/>
          <w:color w:val="13576B"/>
          <w:sz w:val="23"/>
          <w:szCs w:val="23"/>
        </w:rPr>
      </w:pPr>
    </w:p>
    <w:p w14:paraId="01CE7831" w14:textId="77777777" w:rsidR="00D17F2A" w:rsidRDefault="00D17F2A" w:rsidP="007E1421">
      <w:pPr>
        <w:rPr>
          <w:rFonts w:ascii="Calibri" w:hAnsi="Calibri" w:cs="Calibri"/>
          <w:b/>
          <w:color w:val="13576B"/>
          <w:sz w:val="23"/>
          <w:szCs w:val="23"/>
        </w:rPr>
      </w:pPr>
    </w:p>
    <w:p w14:paraId="6B7D1662" w14:textId="4B68F24A" w:rsidR="00677FE7" w:rsidRDefault="00F463BF" w:rsidP="007E1421">
      <w:pPr>
        <w:rPr>
          <w:rFonts w:ascii="Calibri" w:hAnsi="Calibri" w:cs="Calibri"/>
          <w:b/>
          <w:color w:val="13576B"/>
          <w:sz w:val="23"/>
          <w:szCs w:val="23"/>
        </w:rPr>
      </w:pPr>
      <w:r>
        <w:rPr>
          <w:rFonts w:ascii="Calibri" w:hAnsi="Calibri" w:cs="Calibri"/>
          <w:b/>
          <w:noProof/>
          <w:color w:val="13576B"/>
          <w:sz w:val="23"/>
          <w:szCs w:val="23"/>
        </w:rPr>
        <w:drawing>
          <wp:inline distT="0" distB="0" distL="0" distR="0" wp14:anchorId="0E019EB2" wp14:editId="66DE4B3E">
            <wp:extent cx="5734050" cy="4683359"/>
            <wp:effectExtent l="0" t="0" r="0" b="0"/>
            <wp:docPr id="209003969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46833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8EAB26B" w14:textId="005DBD00" w:rsidR="0026268C" w:rsidRDefault="0026268C" w:rsidP="007E1421">
      <w:pPr>
        <w:rPr>
          <w:rFonts w:ascii="Calibri" w:hAnsi="Calibri" w:cs="Calibri"/>
          <w:b/>
          <w:color w:val="13576B"/>
          <w:sz w:val="23"/>
          <w:szCs w:val="23"/>
        </w:rPr>
      </w:pPr>
    </w:p>
    <w:p w14:paraId="6C652A9F" w14:textId="77777777" w:rsidR="007E1421" w:rsidRDefault="00E16BD3" w:rsidP="007E1421">
      <w:pPr>
        <w:overflowPunct/>
        <w:autoSpaceDE/>
        <w:autoSpaceDN/>
        <w:adjustRightInd/>
        <w:spacing w:after="120"/>
        <w:jc w:val="left"/>
        <w:textAlignment w:val="auto"/>
        <w:rPr>
          <w:rFonts w:ascii="Calibri Light" w:hAnsi="Calibri Light" w:cs="Calibri Light"/>
          <w:color w:val="13576B"/>
          <w:sz w:val="20"/>
        </w:rPr>
      </w:pPr>
      <w:r w:rsidRPr="00E16BD3">
        <w:rPr>
          <w:rFonts w:ascii="Calibri Light" w:hAnsi="Calibri Light" w:cs="Calibri Light"/>
          <w:color w:val="13576B"/>
          <w:sz w:val="20"/>
        </w:rPr>
        <w:t>Poznámka: výhled do konce roku je momentový – vychází z aktuálního trendu, nikoli z modelové predikce.</w:t>
      </w:r>
    </w:p>
    <w:p w14:paraId="268C0530" w14:textId="7C2A05AE" w:rsidR="00105BE4" w:rsidRDefault="00D1522E" w:rsidP="00E16BD3">
      <w:pPr>
        <w:overflowPunct/>
        <w:autoSpaceDE/>
        <w:autoSpaceDN/>
        <w:adjustRightInd/>
        <w:jc w:val="left"/>
        <w:textAlignment w:val="auto"/>
        <w:rPr>
          <w:rFonts w:ascii="Calibri Light" w:hAnsi="Calibri Light" w:cs="Calibri Light"/>
          <w:color w:val="13576B"/>
          <w:sz w:val="20"/>
        </w:rPr>
      </w:pPr>
      <w:r w:rsidRPr="00D1522E">
        <w:rPr>
          <w:noProof/>
        </w:rPr>
        <w:lastRenderedPageBreak/>
        <w:drawing>
          <wp:inline distT="0" distB="0" distL="0" distR="0" wp14:anchorId="5521E914" wp14:editId="6C5C3800">
            <wp:extent cx="6480810" cy="3938270"/>
            <wp:effectExtent l="0" t="0" r="0" b="5080"/>
            <wp:docPr id="46007403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3938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CC1CDE" w14:textId="6795C934" w:rsidR="0026268C" w:rsidRPr="00E16BD3" w:rsidRDefault="0026268C" w:rsidP="00E16BD3">
      <w:pPr>
        <w:overflowPunct/>
        <w:autoSpaceDE/>
        <w:autoSpaceDN/>
        <w:adjustRightInd/>
        <w:jc w:val="left"/>
        <w:textAlignment w:val="auto"/>
        <w:rPr>
          <w:rFonts w:ascii="Calibri Light" w:hAnsi="Calibri Light" w:cs="Calibri Light"/>
          <w:color w:val="13576B"/>
          <w:sz w:val="20"/>
        </w:rPr>
      </w:pPr>
      <w:r w:rsidRPr="0026268C">
        <w:rPr>
          <w:noProof/>
        </w:rPr>
        <w:drawing>
          <wp:inline distT="0" distB="0" distL="0" distR="0" wp14:anchorId="11D9E255" wp14:editId="534FC986">
            <wp:extent cx="6480810" cy="3938270"/>
            <wp:effectExtent l="0" t="0" r="0" b="5080"/>
            <wp:docPr id="28455577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3938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5074D4" w14:textId="77777777" w:rsidR="003C392F" w:rsidRDefault="003C392F" w:rsidP="0009562F">
      <w:pPr>
        <w:overflowPunct/>
        <w:autoSpaceDE/>
        <w:autoSpaceDN/>
        <w:adjustRightInd/>
        <w:textAlignment w:val="auto"/>
        <w:rPr>
          <w:rFonts w:ascii="Calibri" w:hAnsi="Calibri" w:cs="Calibri"/>
          <w:b/>
          <w:color w:val="13576B"/>
          <w:sz w:val="23"/>
          <w:szCs w:val="23"/>
        </w:rPr>
      </w:pPr>
    </w:p>
    <w:p w14:paraId="656E850E" w14:textId="7B296D3B" w:rsidR="0009562F" w:rsidRDefault="00D1522E" w:rsidP="0009562F">
      <w:pPr>
        <w:overflowPunct/>
        <w:autoSpaceDE/>
        <w:autoSpaceDN/>
        <w:adjustRightInd/>
        <w:textAlignment w:val="auto"/>
        <w:rPr>
          <w:rFonts w:ascii="Calibri" w:hAnsi="Calibri" w:cs="Calibri"/>
          <w:b/>
          <w:color w:val="13576B"/>
          <w:sz w:val="23"/>
          <w:szCs w:val="23"/>
        </w:rPr>
      </w:pPr>
      <w:r>
        <w:rPr>
          <w:rFonts w:ascii="Calibri" w:hAnsi="Calibri" w:cs="Calibri"/>
          <w:b/>
          <w:color w:val="13576B"/>
          <w:sz w:val="23"/>
          <w:szCs w:val="23"/>
        </w:rPr>
        <w:lastRenderedPageBreak/>
        <w:t>Leden sice mírně zvolnil, ovšem sezónní očištění přineslo velmi silná čísla, ovšem pravděpodobně dočasná</w:t>
      </w:r>
    </w:p>
    <w:p w14:paraId="0EEDAD3F" w14:textId="77777777" w:rsidR="00D1522E" w:rsidRPr="00FC623B" w:rsidRDefault="00D1522E" w:rsidP="00D1522E">
      <w:pPr>
        <w:overflowPunct/>
        <w:autoSpaceDE/>
        <w:autoSpaceDN/>
        <w:adjustRightInd/>
        <w:textAlignment w:val="auto"/>
        <w:rPr>
          <w:rFonts w:ascii="Calibri" w:hAnsi="Calibri" w:cs="Calibri"/>
          <w:color w:val="000000"/>
          <w:sz w:val="22"/>
          <w:szCs w:val="22"/>
        </w:rPr>
      </w:pPr>
    </w:p>
    <w:p w14:paraId="4F1C05D4" w14:textId="4C9EE7B8" w:rsidR="00D1522E" w:rsidRPr="004E3F0C" w:rsidRDefault="00D1522E" w:rsidP="00D152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b/>
          <w:bCs/>
          <w:color w:val="000000" w:themeColor="text1"/>
        </w:rPr>
      </w:pPr>
      <w:r w:rsidRPr="006337E7">
        <w:rPr>
          <w:rFonts w:ascii="Calibri" w:hAnsi="Calibri" w:cs="Calibri"/>
          <w:i/>
          <w:iCs/>
          <w:color w:val="000000" w:themeColor="text1"/>
          <w:sz w:val="22"/>
          <w:szCs w:val="22"/>
        </w:rPr>
        <w:t>„</w:t>
      </w:r>
      <w:r w:rsidRPr="005448A4">
        <w:rPr>
          <w:rFonts w:ascii="Calibri" w:hAnsi="Calibri" w:cs="Calibri"/>
          <w:i/>
          <w:iCs/>
          <w:color w:val="000000" w:themeColor="text1"/>
          <w:sz w:val="22"/>
          <w:szCs w:val="22"/>
        </w:rPr>
        <w:t>Lednová čísla ukazují více než padesátiprocentní meziroční růst a hypoteční trh tak pokračuje v pozitivním trendu z minulého roku, který byl druhým nejúspěšnějším v celé jeho historii. Úrokové sazby se již čtvrtý měsíc po sobě drží na stejné úrovni lehce pod 4,5</w:t>
      </w:r>
      <w:r w:rsidR="003C392F">
        <w:rPr>
          <w:rFonts w:ascii="Calibri" w:hAnsi="Calibri" w:cs="Calibri"/>
          <w:i/>
          <w:iCs/>
          <w:color w:val="000000" w:themeColor="text1"/>
          <w:sz w:val="22"/>
          <w:szCs w:val="22"/>
        </w:rPr>
        <w:t xml:space="preserve"> </w:t>
      </w:r>
      <w:r w:rsidRPr="005448A4">
        <w:rPr>
          <w:rFonts w:ascii="Calibri" w:hAnsi="Calibri" w:cs="Calibri"/>
          <w:i/>
          <w:iCs/>
          <w:color w:val="000000" w:themeColor="text1"/>
          <w:sz w:val="22"/>
          <w:szCs w:val="22"/>
        </w:rPr>
        <w:t>% a výraznou změnu neočekáváme ani v únoru</w:t>
      </w:r>
      <w:r w:rsidRPr="006337E7">
        <w:rPr>
          <w:rFonts w:ascii="Calibri" w:hAnsi="Calibri" w:cs="Calibri"/>
          <w:i/>
          <w:iCs/>
          <w:color w:val="000000" w:themeColor="text1"/>
          <w:sz w:val="22"/>
          <w:szCs w:val="22"/>
        </w:rPr>
        <w:t xml:space="preserve">,“ </w:t>
      </w:r>
      <w:r>
        <w:rPr>
          <w:rFonts w:ascii="Calibri" w:hAnsi="Calibri" w:cs="Calibri"/>
          <w:color w:val="000000" w:themeColor="text1"/>
          <w:sz w:val="22"/>
          <w:szCs w:val="22"/>
        </w:rPr>
        <w:t>říká</w:t>
      </w:r>
      <w:r w:rsidRPr="006337E7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Ondřej </w:t>
      </w:r>
      <w:proofErr w:type="spellStart"/>
      <w:r>
        <w:rPr>
          <w:rFonts w:ascii="Calibri" w:hAnsi="Calibri" w:cs="Calibri"/>
          <w:b/>
          <w:bCs/>
          <w:color w:val="000000" w:themeColor="text1"/>
          <w:sz w:val="22"/>
          <w:szCs w:val="22"/>
        </w:rPr>
        <w:t>Šuchman</w:t>
      </w:r>
      <w:proofErr w:type="spellEnd"/>
      <w:r w:rsidRPr="007D77FB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, </w:t>
      </w:r>
      <w:r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produktový manažer hypoték Komerční banky.  </w:t>
      </w:r>
    </w:p>
    <w:p w14:paraId="01187BD9" w14:textId="77777777" w:rsidR="00D1522E" w:rsidRDefault="00D1522E" w:rsidP="00D1522E">
      <w:pPr>
        <w:overflowPunct/>
        <w:autoSpaceDE/>
        <w:autoSpaceDN/>
        <w:adjustRightInd/>
        <w:textAlignment w:val="auto"/>
        <w:rPr>
          <w:rFonts w:ascii="Calibri" w:hAnsi="Calibri" w:cs="Calibri"/>
          <w:i/>
          <w:iCs/>
          <w:sz w:val="22"/>
          <w:szCs w:val="22"/>
        </w:rPr>
      </w:pPr>
    </w:p>
    <w:p w14:paraId="7A8F0093" w14:textId="608610D7" w:rsidR="00FF3215" w:rsidRDefault="0056253E" w:rsidP="00FF3215">
      <w:pPr>
        <w:overflowPunct/>
        <w:autoSpaceDE/>
        <w:autoSpaceDN/>
        <w:adjustRightInd/>
        <w:textAlignment w:val="auto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56253E">
        <w:rPr>
          <w:rFonts w:ascii="Calibri" w:hAnsi="Calibri" w:cs="Calibri"/>
          <w:b/>
          <w:bCs/>
          <w:color w:val="000000"/>
          <w:sz w:val="22"/>
          <w:szCs w:val="22"/>
        </w:rPr>
        <w:t xml:space="preserve">V lednu poskytly banky a stavební spořitelny skutečně nové hypoteční úvěry bez refinancování za 27,2 mld. Kč. </w:t>
      </w:r>
      <w:r w:rsidRPr="0056253E">
        <w:rPr>
          <w:rFonts w:ascii="Calibri" w:hAnsi="Calibri" w:cs="Calibri"/>
          <w:color w:val="000000"/>
          <w:sz w:val="22"/>
          <w:szCs w:val="22"/>
        </w:rPr>
        <w:t>Oproti prosinci tak nová hypoteční aktivita</w:t>
      </w:r>
      <w:r>
        <w:rPr>
          <w:rFonts w:ascii="Calibri" w:hAnsi="Calibri" w:cs="Calibri"/>
          <w:color w:val="000000"/>
          <w:sz w:val="22"/>
          <w:szCs w:val="22"/>
        </w:rPr>
        <w:t xml:space="preserve"> sice</w:t>
      </w:r>
      <w:r w:rsidRPr="0056253E">
        <w:rPr>
          <w:rFonts w:ascii="Calibri" w:hAnsi="Calibri" w:cs="Calibri"/>
          <w:color w:val="000000"/>
          <w:sz w:val="22"/>
          <w:szCs w:val="22"/>
        </w:rPr>
        <w:t xml:space="preserve"> objemově klesla přibližně o 5 %, </w:t>
      </w:r>
      <w:r>
        <w:rPr>
          <w:rFonts w:ascii="Calibri" w:hAnsi="Calibri" w:cs="Calibri"/>
          <w:color w:val="000000"/>
          <w:sz w:val="22"/>
          <w:szCs w:val="22"/>
        </w:rPr>
        <w:t xml:space="preserve">ale méně, než je v lednu obvyklé. </w:t>
      </w:r>
      <w:r w:rsidRPr="0056253E">
        <w:rPr>
          <w:rFonts w:ascii="Calibri" w:hAnsi="Calibri" w:cs="Calibri"/>
          <w:color w:val="000000"/>
          <w:sz w:val="22"/>
          <w:szCs w:val="22"/>
        </w:rPr>
        <w:t xml:space="preserve">Po sezónní úpravě přinesla lednová čísla nových hypoték </w:t>
      </w:r>
      <w:r>
        <w:rPr>
          <w:rFonts w:ascii="Calibri" w:hAnsi="Calibri" w:cs="Calibri"/>
          <w:color w:val="000000"/>
          <w:sz w:val="22"/>
          <w:szCs w:val="22"/>
        </w:rPr>
        <w:t xml:space="preserve">výrazné </w:t>
      </w:r>
      <w:r w:rsidRPr="0056253E">
        <w:rPr>
          <w:rFonts w:ascii="Calibri" w:hAnsi="Calibri" w:cs="Calibri"/>
          <w:color w:val="000000"/>
          <w:sz w:val="22"/>
          <w:szCs w:val="22"/>
        </w:rPr>
        <w:t>zlepšení</w:t>
      </w:r>
      <w:r>
        <w:rPr>
          <w:rFonts w:ascii="Calibri" w:hAnsi="Calibri" w:cs="Calibri"/>
          <w:color w:val="000000"/>
          <w:sz w:val="22"/>
          <w:szCs w:val="22"/>
        </w:rPr>
        <w:t>, a to</w:t>
      </w:r>
      <w:r w:rsidRPr="0056253E">
        <w:rPr>
          <w:rFonts w:ascii="Calibri" w:hAnsi="Calibri" w:cs="Calibri"/>
          <w:color w:val="000000"/>
          <w:sz w:val="22"/>
          <w:szCs w:val="22"/>
        </w:rPr>
        <w:t xml:space="preserve"> na 35,5 mld. Kč ve srovnání s prosincovými 29,6 mld.</w:t>
      </w:r>
      <w:r>
        <w:rPr>
          <w:rFonts w:ascii="Calibri" w:hAnsi="Calibri" w:cs="Calibri"/>
          <w:color w:val="000000"/>
          <w:sz w:val="22"/>
          <w:szCs w:val="22"/>
        </w:rPr>
        <w:t xml:space="preserve"> Nejen, že se </w:t>
      </w:r>
      <w:r w:rsidRPr="0056253E">
        <w:rPr>
          <w:rFonts w:ascii="Calibri" w:hAnsi="Calibri" w:cs="Calibri"/>
          <w:color w:val="000000"/>
          <w:sz w:val="22"/>
          <w:szCs w:val="22"/>
        </w:rPr>
        <w:t xml:space="preserve">nachází </w:t>
      </w:r>
      <w:r>
        <w:rPr>
          <w:rFonts w:ascii="Calibri" w:hAnsi="Calibri" w:cs="Calibri"/>
          <w:color w:val="000000"/>
          <w:sz w:val="22"/>
          <w:szCs w:val="22"/>
        </w:rPr>
        <w:t xml:space="preserve">i </w:t>
      </w:r>
      <w:r w:rsidRPr="0056253E">
        <w:rPr>
          <w:rFonts w:ascii="Calibri" w:hAnsi="Calibri" w:cs="Calibri"/>
          <w:color w:val="000000"/>
          <w:sz w:val="22"/>
          <w:szCs w:val="22"/>
        </w:rPr>
        <w:t>nad průměrným objemem z předchozích tří měsíců (29,7 mld. Kč)</w:t>
      </w:r>
      <w:r>
        <w:rPr>
          <w:rFonts w:ascii="Calibri" w:hAnsi="Calibri" w:cs="Calibri"/>
          <w:color w:val="000000"/>
          <w:sz w:val="22"/>
          <w:szCs w:val="22"/>
        </w:rPr>
        <w:t>, ale v podstatě dorovnal vrchol z konce roku 2022, kdy nárůst hypoték táhla snaha vyhnout se vyšším úrokovým sazbám</w:t>
      </w:r>
      <w:r w:rsidRPr="0056253E">
        <w:rPr>
          <w:rFonts w:ascii="Calibri" w:hAnsi="Calibri" w:cs="Calibri"/>
          <w:color w:val="000000"/>
          <w:sz w:val="22"/>
          <w:szCs w:val="22"/>
        </w:rPr>
        <w:t xml:space="preserve">. </w:t>
      </w:r>
      <w:r>
        <w:rPr>
          <w:rFonts w:ascii="Calibri" w:hAnsi="Calibri" w:cs="Calibri"/>
          <w:color w:val="000000"/>
          <w:sz w:val="22"/>
          <w:szCs w:val="22"/>
        </w:rPr>
        <w:t xml:space="preserve">Nyní se zdá, že současný nárůst objemu hypotéky spíše odrážejí snahu vyhnout se </w:t>
      </w:r>
      <w:hyperlink r:id="rId14" w:history="1">
        <w:r w:rsidR="00980AFA" w:rsidRPr="00DA47F0">
          <w:rPr>
            <w:rStyle w:val="Hypertextovodkaz"/>
            <w:rFonts w:ascii="Calibri" w:hAnsi="Calibri" w:cs="Calibri"/>
            <w:sz w:val="22"/>
            <w:szCs w:val="22"/>
          </w:rPr>
          <w:t>zpřísněn</w:t>
        </w:r>
        <w:r>
          <w:rPr>
            <w:rStyle w:val="Hypertextovodkaz"/>
            <w:rFonts w:ascii="Calibri" w:hAnsi="Calibri" w:cs="Calibri"/>
            <w:sz w:val="22"/>
            <w:szCs w:val="22"/>
          </w:rPr>
          <w:t>ým</w:t>
        </w:r>
        <w:r w:rsidR="00980AFA" w:rsidRPr="00DA47F0">
          <w:rPr>
            <w:rStyle w:val="Hypertextovodkaz"/>
            <w:rFonts w:ascii="Calibri" w:hAnsi="Calibri" w:cs="Calibri"/>
            <w:sz w:val="22"/>
            <w:szCs w:val="22"/>
          </w:rPr>
          <w:t xml:space="preserve"> požadavk</w:t>
        </w:r>
        <w:r w:rsidR="003C392F">
          <w:rPr>
            <w:rStyle w:val="Hypertextovodkaz"/>
            <w:rFonts w:ascii="Calibri" w:hAnsi="Calibri" w:cs="Calibri"/>
            <w:sz w:val="22"/>
            <w:szCs w:val="22"/>
          </w:rPr>
          <w:t>ům</w:t>
        </w:r>
      </w:hyperlink>
      <w:r w:rsidR="00DA47F0" w:rsidRPr="00DA47F0">
        <w:rPr>
          <w:rFonts w:ascii="Calibri" w:hAnsi="Calibri" w:cs="Calibri"/>
          <w:color w:val="000000"/>
          <w:sz w:val="22"/>
          <w:szCs w:val="22"/>
        </w:rPr>
        <w:t xml:space="preserve"> centrální banky</w:t>
      </w:r>
      <w:r w:rsidR="00980AFA" w:rsidRPr="00DA47F0">
        <w:rPr>
          <w:rFonts w:ascii="Calibri" w:hAnsi="Calibri" w:cs="Calibri"/>
          <w:color w:val="000000"/>
          <w:sz w:val="22"/>
          <w:szCs w:val="22"/>
        </w:rPr>
        <w:t xml:space="preserve"> na tzv. investiční hypotéky z konce listopadu</w:t>
      </w:r>
      <w:r w:rsidR="00E27948">
        <w:rPr>
          <w:rFonts w:ascii="Calibri" w:hAnsi="Calibri" w:cs="Calibri"/>
          <w:color w:val="000000"/>
          <w:sz w:val="22"/>
          <w:szCs w:val="22"/>
        </w:rPr>
        <w:t xml:space="preserve"> s platností od letošního dubna</w:t>
      </w:r>
      <w:r w:rsidR="00980AFA" w:rsidRPr="00DA47F0">
        <w:rPr>
          <w:rFonts w:ascii="Calibri" w:hAnsi="Calibri" w:cs="Calibri"/>
          <w:color w:val="000000"/>
          <w:sz w:val="22"/>
          <w:szCs w:val="22"/>
        </w:rPr>
        <w:t xml:space="preserve">. </w:t>
      </w:r>
    </w:p>
    <w:p w14:paraId="4913EB61" w14:textId="77777777" w:rsidR="00DA47F0" w:rsidRPr="00FF3215" w:rsidRDefault="00DA47F0" w:rsidP="00FF3215">
      <w:pPr>
        <w:overflowPunct/>
        <w:autoSpaceDE/>
        <w:autoSpaceDN/>
        <w:adjustRightInd/>
        <w:textAlignment w:val="auto"/>
        <w:rPr>
          <w:rFonts w:ascii="Calibri" w:hAnsi="Calibri" w:cs="Calibri"/>
          <w:b/>
          <w:bCs/>
          <w:color w:val="000000"/>
          <w:sz w:val="22"/>
          <w:szCs w:val="22"/>
        </w:rPr>
      </w:pPr>
    </w:p>
    <w:p w14:paraId="5A4D3C88" w14:textId="408A319C" w:rsidR="00BC63D5" w:rsidRPr="0056253E" w:rsidRDefault="0056253E" w:rsidP="00FF3215">
      <w:pPr>
        <w:overflowPunct/>
        <w:autoSpaceDE/>
        <w:autoSpaceDN/>
        <w:adjustRightInd/>
        <w:textAlignment w:val="auto"/>
        <w:rPr>
          <w:rFonts w:ascii="Calibri" w:hAnsi="Calibri" w:cs="Calibri"/>
          <w:color w:val="000000"/>
          <w:sz w:val="22"/>
          <w:szCs w:val="22"/>
        </w:rPr>
      </w:pPr>
      <w:r w:rsidRPr="0056253E">
        <w:rPr>
          <w:rFonts w:ascii="Calibri" w:hAnsi="Calibri" w:cs="Calibri"/>
          <w:b/>
          <w:bCs/>
          <w:color w:val="000000"/>
          <w:sz w:val="22"/>
          <w:szCs w:val="22"/>
        </w:rPr>
        <w:t xml:space="preserve">Počet nových hypoték v lednu poklesl o 5,5 % meziměsíčně na 6 015 kusů, což je o 26 % více než před rokem. </w:t>
      </w:r>
      <w:r w:rsidRPr="0056253E">
        <w:rPr>
          <w:rFonts w:ascii="Calibri" w:hAnsi="Calibri" w:cs="Calibri"/>
          <w:color w:val="000000"/>
          <w:sz w:val="22"/>
          <w:szCs w:val="22"/>
        </w:rPr>
        <w:t>Odhadujeme, že po sezónním očištění se jejich počet pohybuje okolo 7 637, přibližně 15 % nad průměrným počtem (6 653) v předchozích třech měsících. Dynamika počtu nových hypoték z</w:t>
      </w:r>
      <w:r>
        <w:rPr>
          <w:rFonts w:ascii="Calibri" w:hAnsi="Calibri" w:cs="Calibri"/>
          <w:color w:val="000000"/>
          <w:sz w:val="22"/>
          <w:szCs w:val="22"/>
        </w:rPr>
        <w:t> posledních tř</w:t>
      </w:r>
      <w:r w:rsidR="00097716">
        <w:rPr>
          <w:rFonts w:ascii="Calibri" w:hAnsi="Calibri" w:cs="Calibri"/>
          <w:color w:val="000000"/>
          <w:sz w:val="22"/>
          <w:szCs w:val="22"/>
        </w:rPr>
        <w:t>í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56253E">
        <w:rPr>
          <w:rFonts w:ascii="Calibri" w:hAnsi="Calibri" w:cs="Calibri"/>
          <w:color w:val="000000"/>
          <w:sz w:val="22"/>
          <w:szCs w:val="22"/>
        </w:rPr>
        <w:t>měsíc</w:t>
      </w:r>
      <w:r>
        <w:rPr>
          <w:rFonts w:ascii="Calibri" w:hAnsi="Calibri" w:cs="Calibri"/>
          <w:color w:val="000000"/>
          <w:sz w:val="22"/>
          <w:szCs w:val="22"/>
        </w:rPr>
        <w:t xml:space="preserve">ů sice implikuje jejich celkový letošní počet na 84 tisících, tedy o 10 % více, ale lze předpokládat, že počty od druhého čtvrtletí budou spíše zvolňovat, což by při 7% zvolnění přineslo letošní počet nových hypoték okolo 79 tisíc, asi o 4 % méně než před rokem. Oba scénáře zůstávají </w:t>
      </w:r>
      <w:r w:rsidRPr="0056253E">
        <w:rPr>
          <w:rFonts w:ascii="Calibri" w:hAnsi="Calibri" w:cs="Calibri"/>
          <w:color w:val="000000"/>
          <w:sz w:val="22"/>
          <w:szCs w:val="22"/>
        </w:rPr>
        <w:t>pod průměrnými počty okolo 95 tisíc z let 2016 až 2018 či pod 114 tisíci z roku 2021.</w:t>
      </w:r>
    </w:p>
    <w:p w14:paraId="4AD141EA" w14:textId="77777777" w:rsidR="00D43642" w:rsidRDefault="00D43642" w:rsidP="00D43642">
      <w:pPr>
        <w:rPr>
          <w:rFonts w:ascii="Calibri" w:hAnsi="Calibri" w:cs="Calibri"/>
          <w:color w:val="000000"/>
          <w:sz w:val="22"/>
          <w:szCs w:val="22"/>
        </w:rPr>
      </w:pPr>
    </w:p>
    <w:p w14:paraId="58DA8898" w14:textId="5EB8DE6D" w:rsidR="00D43642" w:rsidRPr="00CC5202" w:rsidRDefault="00D43642" w:rsidP="00751D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Calibri" w:eastAsia="Calibri" w:hAnsi="Calibri" w:cs="Calibri"/>
          <w:i/>
          <w:iCs/>
          <w:sz w:val="22"/>
          <w:szCs w:val="22"/>
        </w:rPr>
      </w:pPr>
      <w:r w:rsidRPr="002F6A6D">
        <w:rPr>
          <w:rFonts w:ascii="Calibri" w:hAnsi="Calibri" w:cs="Calibri"/>
          <w:i/>
          <w:iCs/>
          <w:color w:val="000000" w:themeColor="text1"/>
          <w:sz w:val="22"/>
          <w:szCs w:val="22"/>
        </w:rPr>
        <w:t>„</w:t>
      </w:r>
      <w:bookmarkStart w:id="5" w:name="_Hlk221872562"/>
      <w:r w:rsidR="00751D79" w:rsidRPr="00751D79">
        <w:rPr>
          <w:rFonts w:ascii="Calibri" w:hAnsi="Calibri" w:cs="Calibri"/>
          <w:i/>
          <w:iCs/>
          <w:color w:val="000000" w:themeColor="text1"/>
          <w:sz w:val="22"/>
          <w:szCs w:val="22"/>
        </w:rPr>
        <w:t>Lednová čísla jen potvrzují trend, který sledujeme už od konce loňska – refinancování nabírá na síle. Ve srovnání s loňským lednem evidujeme až dvojnásobný zájem o refinancování. Do období změny fixace teď vstupuje silná vlna hypoték.</w:t>
      </w:r>
      <w:r w:rsidR="00751D79">
        <w:rPr>
          <w:rFonts w:ascii="Calibri" w:hAnsi="Calibri" w:cs="Calibri"/>
          <w:i/>
          <w:iCs/>
          <w:color w:val="000000" w:themeColor="text1"/>
          <w:sz w:val="22"/>
          <w:szCs w:val="22"/>
        </w:rPr>
        <w:t xml:space="preserve"> </w:t>
      </w:r>
      <w:r w:rsidR="00751D79" w:rsidRPr="00751D79">
        <w:rPr>
          <w:rFonts w:ascii="Calibri" w:hAnsi="Calibri" w:cs="Calibri"/>
          <w:i/>
          <w:iCs/>
          <w:color w:val="000000" w:themeColor="text1"/>
          <w:sz w:val="22"/>
          <w:szCs w:val="22"/>
        </w:rPr>
        <w:t>Více než polovina těchto klientů přitom odchází ze sazeb kolem 3 %, takže při dnešních podmínkách musí počítat s citelným nárůstem úroků. A zajímavý detail navíc? Roste i průměrná výše refinancované hypotéky</w:t>
      </w:r>
      <w:bookmarkEnd w:id="5"/>
      <w:r>
        <w:rPr>
          <w:rFonts w:ascii="Calibri" w:hAnsi="Calibri" w:cs="Calibri"/>
          <w:i/>
          <w:iCs/>
          <w:color w:val="000000" w:themeColor="text1"/>
          <w:sz w:val="22"/>
          <w:szCs w:val="22"/>
        </w:rPr>
        <w:t>,“</w:t>
      </w:r>
      <w:r w:rsidRPr="008B2D3F">
        <w:rPr>
          <w:rFonts w:ascii="Calibri" w:hAnsi="Calibri" w:cs="Calibri"/>
          <w:i/>
          <w:iCs/>
          <w:color w:val="000000" w:themeColor="text1"/>
          <w:sz w:val="22"/>
          <w:szCs w:val="22"/>
        </w:rPr>
        <w:t xml:space="preserve"> </w:t>
      </w:r>
      <w:r>
        <w:rPr>
          <w:rFonts w:ascii="Calibri" w:hAnsi="Calibri" w:cs="Calibri"/>
          <w:color w:val="000000" w:themeColor="text1"/>
          <w:sz w:val="22"/>
          <w:szCs w:val="22"/>
        </w:rPr>
        <w:t>očekává</w:t>
      </w:r>
      <w:r w:rsidRPr="002F6A6D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BA3140">
        <w:rPr>
          <w:rFonts w:ascii="Calibri" w:hAnsi="Calibri" w:cs="Calibri"/>
          <w:b/>
          <w:bCs/>
          <w:color w:val="000000" w:themeColor="text1"/>
          <w:sz w:val="22"/>
          <w:szCs w:val="22"/>
        </w:rPr>
        <w:t>Marek Richter</w:t>
      </w:r>
      <w:r w:rsidRPr="001E3B01">
        <w:rPr>
          <w:rFonts w:ascii="Calibri" w:hAnsi="Calibri" w:cs="Calibri"/>
          <w:b/>
          <w:bCs/>
          <w:color w:val="000000" w:themeColor="text1"/>
          <w:sz w:val="22"/>
          <w:szCs w:val="22"/>
        </w:rPr>
        <w:t>, hypot</w:t>
      </w:r>
      <w:r w:rsidR="00751D79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eční expert </w:t>
      </w:r>
      <w:r w:rsidR="00BA3140">
        <w:rPr>
          <w:rFonts w:ascii="Calibri" w:hAnsi="Calibri" w:cs="Calibri"/>
          <w:b/>
          <w:bCs/>
          <w:color w:val="000000" w:themeColor="text1"/>
          <w:sz w:val="22"/>
          <w:szCs w:val="22"/>
        </w:rPr>
        <w:t>Air</w:t>
      </w:r>
      <w:r w:rsidR="00BB1A9F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 </w:t>
      </w:r>
      <w:r w:rsidRPr="001E3B01">
        <w:rPr>
          <w:rFonts w:ascii="Calibri" w:hAnsi="Calibri" w:cs="Calibri"/>
          <w:b/>
          <w:bCs/>
          <w:color w:val="000000" w:themeColor="text1"/>
          <w:sz w:val="22"/>
          <w:szCs w:val="22"/>
        </w:rPr>
        <w:t>Bank</w:t>
      </w:r>
      <w:r w:rsidRPr="00882EFB">
        <w:rPr>
          <w:rFonts w:ascii="Calibri" w:eastAsia="Calibri" w:hAnsi="Calibri" w:cs="Calibri"/>
          <w:i/>
          <w:iCs/>
          <w:sz w:val="22"/>
          <w:szCs w:val="22"/>
        </w:rPr>
        <w:t>.</w:t>
      </w:r>
      <w:r>
        <w:rPr>
          <w:rFonts w:ascii="Calibri" w:eastAsia="Calibri" w:hAnsi="Calibri" w:cs="Calibri"/>
          <w:sz w:val="22"/>
          <w:szCs w:val="22"/>
        </w:rPr>
        <w:t xml:space="preserve"> </w:t>
      </w:r>
    </w:p>
    <w:p w14:paraId="772649ED" w14:textId="77777777" w:rsidR="00D43642" w:rsidRDefault="00D43642" w:rsidP="00F0147C">
      <w:pPr>
        <w:overflowPunct/>
        <w:autoSpaceDE/>
        <w:autoSpaceDN/>
        <w:adjustRightInd/>
        <w:textAlignment w:val="auto"/>
        <w:rPr>
          <w:rFonts w:ascii="Calibri" w:hAnsi="Calibri" w:cs="Calibri"/>
          <w:b/>
          <w:bCs/>
          <w:color w:val="000000"/>
          <w:sz w:val="22"/>
          <w:szCs w:val="22"/>
        </w:rPr>
      </w:pPr>
    </w:p>
    <w:p w14:paraId="052A87A6" w14:textId="6AE676DD" w:rsidR="00D1522E" w:rsidRPr="00D1522E" w:rsidRDefault="00D1522E" w:rsidP="00D1522E">
      <w:pPr>
        <w:overflowPunct/>
        <w:autoSpaceDE/>
        <w:autoSpaceDN/>
        <w:adjustRightInd/>
        <w:textAlignment w:val="auto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b/>
          <w:bCs/>
          <w:color w:val="000000"/>
          <w:sz w:val="22"/>
          <w:szCs w:val="22"/>
        </w:rPr>
        <w:t xml:space="preserve">Podíl refinancovaných a navýšených úvěrů roste. </w:t>
      </w:r>
      <w:r w:rsidRPr="00D1522E">
        <w:rPr>
          <w:rFonts w:ascii="Calibri" w:hAnsi="Calibri" w:cs="Calibri"/>
          <w:color w:val="000000"/>
          <w:sz w:val="22"/>
          <w:szCs w:val="22"/>
        </w:rPr>
        <w:t xml:space="preserve">Objem refinancovaných a navýšených úvěrů (interně či z jiné instituce) v lednu poklesl na 8,3 mld. Kč. To je ovšem stále o 17 % více než průměrných 7,1 miliardy refinancovaných v loňském roce a o 112 % nad 3,9 miliardami refinancovanými v roce 2024. Podíl refinancovaných úvěrů na celkovém objemu poskytnutých hypoték pak vzrostl na 23,4 %, což je nad loňským průměrem 20,6 %. Nachází se tak nad 17,2% podílem z let 2022-2023, ovšem stále pod téměř 29% podílem z let 2020-2021, kdy domácnosti refinancovaly za hypoteční sazbu 2,14 %. V lednu 2026 se domácnosti refinancovaly za úrokovou sazbu 4,45 %, což je ovšem stále o </w:t>
      </w:r>
      <w:proofErr w:type="gramStart"/>
      <w:r w:rsidRPr="00D1522E">
        <w:rPr>
          <w:rFonts w:ascii="Calibri" w:hAnsi="Calibri" w:cs="Calibri"/>
          <w:color w:val="000000"/>
          <w:sz w:val="22"/>
          <w:szCs w:val="22"/>
        </w:rPr>
        <w:t>0,28 procentního</w:t>
      </w:r>
      <w:proofErr w:type="gramEnd"/>
      <w:r w:rsidRPr="00D1522E">
        <w:rPr>
          <w:rFonts w:ascii="Calibri" w:hAnsi="Calibri" w:cs="Calibri"/>
          <w:color w:val="000000"/>
          <w:sz w:val="22"/>
          <w:szCs w:val="22"/>
        </w:rPr>
        <w:t xml:space="preserve"> bodu méně než 4,73 % před rokem. Vyšší objemy refinancování odrážejí souběh končících delších fixací z období nízkých úrokových sazeb a kratších fixací z nedávného období vyšších úrokových sazeb. </w:t>
      </w:r>
    </w:p>
    <w:p w14:paraId="4BA2AD77" w14:textId="77777777" w:rsidR="00D1522E" w:rsidRPr="00D1522E" w:rsidRDefault="00D1522E" w:rsidP="00D1522E">
      <w:pPr>
        <w:overflowPunct/>
        <w:autoSpaceDE/>
        <w:autoSpaceDN/>
        <w:adjustRightInd/>
        <w:textAlignment w:val="auto"/>
        <w:rPr>
          <w:rFonts w:ascii="Calibri" w:hAnsi="Calibri" w:cs="Calibri"/>
          <w:color w:val="000000"/>
          <w:sz w:val="22"/>
          <w:szCs w:val="22"/>
        </w:rPr>
      </w:pPr>
    </w:p>
    <w:p w14:paraId="716894A3" w14:textId="3AE596FB" w:rsidR="00D1522E" w:rsidRPr="00FF3215" w:rsidRDefault="00D1522E" w:rsidP="00D1522E">
      <w:pPr>
        <w:overflowPunct/>
        <w:autoSpaceDE/>
        <w:autoSpaceDN/>
        <w:adjustRightInd/>
        <w:textAlignment w:val="auto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D1522E">
        <w:rPr>
          <w:rFonts w:ascii="Calibri" w:hAnsi="Calibri" w:cs="Calibri"/>
          <w:b/>
          <w:bCs/>
          <w:color w:val="000000"/>
          <w:sz w:val="22"/>
          <w:szCs w:val="22"/>
        </w:rPr>
        <w:t>Celkově tak banky a stavební spořitelny v lednu poskytly nové a refinancované hypotéky v objemu 35,5 mld. Kč, což je o 4,4 % méně než před měsícem. Jejich celkový objem tak v letošním roce prozatím dosáhl 35 mld. Kč, což představuje 57% nárůst ve srovnání s lednem až lednem předcházejícího roku.</w:t>
      </w:r>
    </w:p>
    <w:p w14:paraId="509CEE83" w14:textId="77777777" w:rsidR="00F0147C" w:rsidRPr="00FF3215" w:rsidRDefault="00F0147C" w:rsidP="00F0147C">
      <w:pPr>
        <w:overflowPunct/>
        <w:autoSpaceDE/>
        <w:autoSpaceDN/>
        <w:adjustRightInd/>
        <w:textAlignment w:val="auto"/>
        <w:rPr>
          <w:rFonts w:ascii="Calibri" w:hAnsi="Calibri" w:cs="Calibri"/>
          <w:b/>
          <w:bCs/>
          <w:color w:val="000000"/>
          <w:sz w:val="22"/>
          <w:szCs w:val="22"/>
        </w:rPr>
      </w:pPr>
    </w:p>
    <w:p w14:paraId="4296189D" w14:textId="77777777" w:rsidR="00F0147C" w:rsidRDefault="00F0147C" w:rsidP="001B2E5E">
      <w:pPr>
        <w:rPr>
          <w:rFonts w:ascii="Calibri" w:hAnsi="Calibri" w:cs="Calibri"/>
          <w:b/>
          <w:color w:val="13576B"/>
          <w:sz w:val="23"/>
          <w:szCs w:val="23"/>
        </w:rPr>
        <w:sectPr w:rsidR="00F0147C" w:rsidSect="00A06A94">
          <w:headerReference w:type="default" r:id="rId15"/>
          <w:footerReference w:type="default" r:id="rId16"/>
          <w:pgSz w:w="11906" w:h="16838"/>
          <w:pgMar w:top="2552" w:right="849" w:bottom="1560" w:left="851" w:header="709" w:footer="283" w:gutter="0"/>
          <w:cols w:space="708"/>
          <w:docGrid w:linePitch="360"/>
        </w:sectPr>
      </w:pPr>
    </w:p>
    <w:p w14:paraId="0F8D55F3" w14:textId="0B5A8459" w:rsidR="00BA3140" w:rsidRDefault="00616F34" w:rsidP="00F0147C">
      <w:pPr>
        <w:rPr>
          <w:rFonts w:ascii="Calibri" w:hAnsi="Calibri" w:cs="Calibri"/>
          <w:bCs/>
          <w:i/>
          <w:iCs/>
          <w:color w:val="13576B"/>
          <w:sz w:val="23"/>
          <w:szCs w:val="23"/>
        </w:rPr>
      </w:pPr>
      <w:r w:rsidRPr="00F463BF">
        <w:rPr>
          <w:rFonts w:ascii="Calibri" w:hAnsi="Calibri" w:cs="Calibri"/>
          <w:b/>
          <w:color w:val="13576B"/>
          <w:sz w:val="23"/>
          <w:szCs w:val="23"/>
        </w:rPr>
        <w:t xml:space="preserve">Graf </w:t>
      </w:r>
      <w:r w:rsidR="001B2E5E" w:rsidRPr="00F463BF">
        <w:rPr>
          <w:rFonts w:ascii="Calibri" w:hAnsi="Calibri" w:cs="Calibri"/>
          <w:b/>
          <w:color w:val="13576B"/>
          <w:sz w:val="23"/>
          <w:szCs w:val="23"/>
        </w:rPr>
        <w:t xml:space="preserve">č. </w:t>
      </w:r>
      <w:r w:rsidR="00E27948" w:rsidRPr="00F463BF">
        <w:rPr>
          <w:rFonts w:ascii="Calibri" w:hAnsi="Calibri" w:cs="Calibri"/>
          <w:b/>
          <w:color w:val="13576B"/>
          <w:sz w:val="23"/>
          <w:szCs w:val="23"/>
        </w:rPr>
        <w:t>2</w:t>
      </w:r>
      <w:r w:rsidR="001B2E5E" w:rsidRPr="00F463BF">
        <w:rPr>
          <w:rFonts w:ascii="Calibri" w:hAnsi="Calibri" w:cs="Calibri"/>
          <w:b/>
          <w:color w:val="13576B"/>
          <w:sz w:val="23"/>
          <w:szCs w:val="23"/>
        </w:rPr>
        <w:t>: Nově poskytnuté hypotéky bez refinancování</w:t>
      </w:r>
      <w:r w:rsidR="00BC63D5" w:rsidRPr="00F463BF">
        <w:rPr>
          <w:rFonts w:ascii="Calibri" w:hAnsi="Calibri" w:cs="Calibri"/>
          <w:b/>
          <w:color w:val="13576B"/>
          <w:sz w:val="23"/>
          <w:szCs w:val="23"/>
        </w:rPr>
        <w:br/>
      </w:r>
      <w:r w:rsidR="00F0147C" w:rsidRPr="00F463BF">
        <w:rPr>
          <w:rFonts w:ascii="Calibri" w:hAnsi="Calibri" w:cs="Calibri"/>
          <w:bCs/>
          <w:i/>
          <w:iCs/>
          <w:color w:val="13576B"/>
          <w:sz w:val="23"/>
          <w:szCs w:val="23"/>
        </w:rPr>
        <w:t xml:space="preserve">V </w:t>
      </w:r>
      <w:r w:rsidR="00F463BF" w:rsidRPr="00F463BF">
        <w:rPr>
          <w:rFonts w:ascii="Calibri" w:hAnsi="Calibri" w:cs="Calibri"/>
          <w:bCs/>
          <w:i/>
          <w:iCs/>
          <w:color w:val="13576B"/>
          <w:sz w:val="23"/>
          <w:szCs w:val="23"/>
        </w:rPr>
        <w:t xml:space="preserve">lednu sice poklesly nové hypotéky na k 27 </w:t>
      </w:r>
      <w:r w:rsidR="00F463BF" w:rsidRPr="00F463BF">
        <w:rPr>
          <w:rFonts w:ascii="Calibri" w:hAnsi="Calibri" w:cs="Calibri"/>
          <w:bCs/>
          <w:i/>
          <w:iCs/>
          <w:color w:val="13576B"/>
          <w:sz w:val="23"/>
          <w:szCs w:val="23"/>
        </w:rPr>
        <w:t>miliardám korun, ale sezónní očištění ukazuje silný měsíc</w:t>
      </w:r>
      <w:r w:rsidR="00F0147C" w:rsidRPr="00F463BF">
        <w:rPr>
          <w:rFonts w:ascii="Calibri" w:hAnsi="Calibri" w:cs="Calibri"/>
          <w:bCs/>
          <w:i/>
          <w:iCs/>
          <w:color w:val="13576B"/>
          <w:sz w:val="23"/>
          <w:szCs w:val="23"/>
        </w:rPr>
        <w:t xml:space="preserve"> </w:t>
      </w:r>
    </w:p>
    <w:p w14:paraId="4191A68F" w14:textId="77777777" w:rsidR="00BA3140" w:rsidRPr="00F0147C" w:rsidRDefault="00BA3140" w:rsidP="00F0147C">
      <w:pPr>
        <w:rPr>
          <w:rFonts w:ascii="Calibri" w:hAnsi="Calibri" w:cs="Calibri"/>
          <w:bCs/>
          <w:i/>
          <w:iCs/>
          <w:color w:val="13576B"/>
          <w:sz w:val="23"/>
          <w:szCs w:val="23"/>
        </w:rPr>
      </w:pPr>
    </w:p>
    <w:p w14:paraId="593F8D50" w14:textId="5C04C420" w:rsidR="001B2E5E" w:rsidRDefault="001B2E5E" w:rsidP="00F0147C">
      <w:pPr>
        <w:rPr>
          <w:rFonts w:ascii="Calibri" w:hAnsi="Calibri" w:cs="Calibri"/>
          <w:b/>
          <w:color w:val="13576B"/>
          <w:sz w:val="23"/>
          <w:szCs w:val="23"/>
        </w:rPr>
      </w:pPr>
      <w:r w:rsidRPr="00C42E87">
        <w:rPr>
          <w:rFonts w:ascii="Calibri" w:hAnsi="Calibri" w:cs="Calibri"/>
          <w:b/>
          <w:color w:val="13576B"/>
          <w:sz w:val="23"/>
          <w:szCs w:val="23"/>
        </w:rPr>
        <w:t xml:space="preserve">Graf č. </w:t>
      </w:r>
      <w:r w:rsidR="00E27948">
        <w:rPr>
          <w:rFonts w:ascii="Calibri" w:hAnsi="Calibri" w:cs="Calibri"/>
          <w:b/>
          <w:color w:val="13576B"/>
          <w:sz w:val="23"/>
          <w:szCs w:val="23"/>
        </w:rPr>
        <w:t>3:</w:t>
      </w:r>
      <w:r w:rsidRPr="00C42E87">
        <w:rPr>
          <w:rFonts w:ascii="Calibri" w:hAnsi="Calibri" w:cs="Calibri"/>
          <w:b/>
          <w:color w:val="13576B"/>
          <w:sz w:val="23"/>
          <w:szCs w:val="23"/>
        </w:rPr>
        <w:t xml:space="preserve"> Průměrná výše hypotéky podle účelu</w:t>
      </w:r>
      <w:r>
        <w:rPr>
          <w:rFonts w:ascii="Calibri" w:hAnsi="Calibri" w:cs="Calibri"/>
          <w:b/>
          <w:color w:val="13576B"/>
          <w:sz w:val="23"/>
          <w:szCs w:val="23"/>
        </w:rPr>
        <w:t xml:space="preserve"> </w:t>
      </w:r>
    </w:p>
    <w:p w14:paraId="169F70AA" w14:textId="1B9FB21D" w:rsidR="001B2E5E" w:rsidRPr="00CB3460" w:rsidRDefault="00BA3140" w:rsidP="00BA3140">
      <w:pPr>
        <w:spacing w:after="120"/>
        <w:rPr>
          <w:rFonts w:ascii="Calibri" w:hAnsi="Calibri" w:cs="Calibri"/>
          <w:bCs/>
          <w:i/>
          <w:iCs/>
          <w:color w:val="13576B"/>
          <w:sz w:val="23"/>
          <w:szCs w:val="23"/>
        </w:rPr>
      </w:pPr>
      <w:r w:rsidRPr="00BA3140">
        <w:rPr>
          <w:rFonts w:ascii="Calibri" w:hAnsi="Calibri" w:cs="Calibri"/>
          <w:bCs/>
          <w:i/>
          <w:iCs/>
          <w:color w:val="13576B"/>
          <w:sz w:val="23"/>
          <w:szCs w:val="23"/>
        </w:rPr>
        <w:lastRenderedPageBreak/>
        <w:t xml:space="preserve">Průměrná velikost nově poskytnuté hypotéky v lednu mírně stoupla </w:t>
      </w:r>
      <w:r>
        <w:rPr>
          <w:rFonts w:ascii="Calibri" w:hAnsi="Calibri" w:cs="Calibri"/>
          <w:bCs/>
          <w:i/>
          <w:iCs/>
          <w:color w:val="13576B"/>
          <w:sz w:val="23"/>
          <w:szCs w:val="23"/>
        </w:rPr>
        <w:t xml:space="preserve">o </w:t>
      </w:r>
      <w:r w:rsidRPr="00BA3140">
        <w:rPr>
          <w:rFonts w:ascii="Calibri" w:hAnsi="Calibri" w:cs="Calibri"/>
          <w:bCs/>
          <w:i/>
          <w:iCs/>
          <w:color w:val="13576B"/>
          <w:sz w:val="23"/>
          <w:szCs w:val="23"/>
        </w:rPr>
        <w:t>téměř 1 % meziměsíčně</w:t>
      </w:r>
      <w:r>
        <w:rPr>
          <w:rFonts w:ascii="Calibri" w:hAnsi="Calibri" w:cs="Calibri"/>
          <w:bCs/>
          <w:i/>
          <w:iCs/>
          <w:color w:val="13576B"/>
          <w:sz w:val="23"/>
          <w:szCs w:val="23"/>
        </w:rPr>
        <w:t xml:space="preserve"> a je</w:t>
      </w:r>
      <w:r w:rsidRPr="00BA3140">
        <w:rPr>
          <w:rFonts w:ascii="Calibri" w:hAnsi="Calibri" w:cs="Calibri"/>
          <w:bCs/>
          <w:i/>
          <w:iCs/>
          <w:color w:val="13576B"/>
          <w:sz w:val="23"/>
          <w:szCs w:val="23"/>
        </w:rPr>
        <w:t xml:space="preserve"> </w:t>
      </w:r>
      <w:r w:rsidRPr="00BA3140">
        <w:rPr>
          <w:rFonts w:ascii="Calibri" w:hAnsi="Calibri" w:cs="Calibri"/>
          <w:bCs/>
          <w:i/>
          <w:iCs/>
          <w:color w:val="13576B"/>
          <w:sz w:val="23"/>
          <w:szCs w:val="23"/>
        </w:rPr>
        <w:t>tak o 15 % vyšší než 3,92 mil. Kč před rokem.</w:t>
      </w:r>
      <w:r w:rsidRPr="00BA3140">
        <w:rPr>
          <w:rFonts w:ascii="Calibri" w:hAnsi="Calibri" w:cs="Calibri"/>
          <w:bCs/>
          <w:i/>
          <w:iCs/>
          <w:color w:val="13576B"/>
          <w:sz w:val="23"/>
          <w:szCs w:val="23"/>
        </w:rPr>
        <w:tab/>
      </w:r>
      <w:r w:rsidRPr="00BA3140">
        <w:rPr>
          <w:rFonts w:ascii="Calibri" w:hAnsi="Calibri" w:cs="Calibri"/>
          <w:bCs/>
          <w:i/>
          <w:iCs/>
          <w:color w:val="13576B"/>
          <w:sz w:val="23"/>
          <w:szCs w:val="23"/>
        </w:rPr>
        <w:tab/>
      </w:r>
      <w:r w:rsidRPr="00BA3140">
        <w:rPr>
          <w:rFonts w:ascii="Calibri" w:hAnsi="Calibri" w:cs="Calibri"/>
          <w:bCs/>
          <w:i/>
          <w:iCs/>
          <w:color w:val="13576B"/>
          <w:sz w:val="23"/>
          <w:szCs w:val="23"/>
        </w:rPr>
        <w:tab/>
      </w:r>
      <w:r w:rsidRPr="00BA3140">
        <w:rPr>
          <w:rFonts w:ascii="Calibri" w:hAnsi="Calibri" w:cs="Calibri"/>
          <w:bCs/>
          <w:i/>
          <w:iCs/>
          <w:color w:val="13576B"/>
          <w:sz w:val="23"/>
          <w:szCs w:val="23"/>
        </w:rPr>
        <w:tab/>
      </w:r>
      <w:r w:rsidRPr="00BA3140">
        <w:rPr>
          <w:rFonts w:ascii="Calibri" w:hAnsi="Calibri" w:cs="Calibri"/>
          <w:bCs/>
          <w:i/>
          <w:iCs/>
          <w:color w:val="13576B"/>
          <w:sz w:val="23"/>
          <w:szCs w:val="23"/>
        </w:rPr>
        <w:tab/>
      </w:r>
      <w:r w:rsidRPr="00BA3140">
        <w:rPr>
          <w:rFonts w:ascii="Calibri" w:hAnsi="Calibri" w:cs="Calibri"/>
          <w:bCs/>
          <w:i/>
          <w:iCs/>
          <w:color w:val="13576B"/>
          <w:sz w:val="23"/>
          <w:szCs w:val="23"/>
        </w:rPr>
        <w:tab/>
      </w:r>
    </w:p>
    <w:p w14:paraId="133B2338" w14:textId="77777777" w:rsidR="001B2E5E" w:rsidRDefault="001B2E5E" w:rsidP="00B40FEB">
      <w:pPr>
        <w:overflowPunct/>
        <w:autoSpaceDE/>
        <w:autoSpaceDN/>
        <w:adjustRightInd/>
        <w:textAlignment w:val="auto"/>
        <w:rPr>
          <w:rFonts w:ascii="Calibri" w:hAnsi="Calibri" w:cs="Calibri"/>
          <w:color w:val="000000"/>
          <w:sz w:val="22"/>
          <w:szCs w:val="22"/>
        </w:rPr>
        <w:sectPr w:rsidR="001B2E5E" w:rsidSect="001B2E5E">
          <w:type w:val="continuous"/>
          <w:pgSz w:w="11906" w:h="16838"/>
          <w:pgMar w:top="2552" w:right="849" w:bottom="1560" w:left="851" w:header="709" w:footer="283" w:gutter="0"/>
          <w:cols w:num="2" w:space="708"/>
          <w:docGrid w:linePitch="360"/>
        </w:sectPr>
      </w:pPr>
    </w:p>
    <w:p w14:paraId="52456E65" w14:textId="21B81E68" w:rsidR="00893E0C" w:rsidRPr="00606031" w:rsidRDefault="00F0147C" w:rsidP="00606031">
      <w:pPr>
        <w:rPr>
          <w:rFonts w:ascii="Calibri" w:hAnsi="Calibri" w:cs="Calibri"/>
          <w:bCs/>
          <w:i/>
          <w:iCs/>
          <w:color w:val="EE0000"/>
          <w:sz w:val="23"/>
          <w:szCs w:val="23"/>
        </w:rPr>
      </w:pPr>
      <w:r>
        <w:rPr>
          <w:rFonts w:ascii="Calibri Light" w:hAnsi="Calibri Light" w:cs="Calibri Light"/>
          <w:noProof/>
          <w:color w:val="13576B"/>
          <w:sz w:val="20"/>
        </w:rPr>
        <w:drawing>
          <wp:inline distT="0" distB="0" distL="0" distR="0" wp14:anchorId="0D4C0D73" wp14:editId="5F1DF899">
            <wp:extent cx="3162300" cy="1991360"/>
            <wp:effectExtent l="0" t="0" r="0" b="8890"/>
            <wp:docPr id="95224821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2248211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96DAC541-7B7A-43D3-8B79-37D633B846F1}">
                          <asvg:svgBlip xmlns:asvg="http://schemas.microsoft.com/office/drawing/2016/SVG/main" r:embed="rId1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902" cy="1991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77397" w:rsidRPr="00277397">
        <w:rPr>
          <w:rFonts w:ascii="Calibri Light" w:hAnsi="Calibri Light" w:cs="Calibri Light"/>
          <w:color w:val="13576B"/>
          <w:sz w:val="20"/>
        </w:rPr>
        <w:t xml:space="preserve">Pramen: ČNB, ČBA </w:t>
      </w:r>
      <w:proofErr w:type="spellStart"/>
      <w:r w:rsidR="00277397" w:rsidRPr="00277397">
        <w:rPr>
          <w:rFonts w:ascii="Calibri Light" w:hAnsi="Calibri Light" w:cs="Calibri Light"/>
          <w:color w:val="13576B"/>
          <w:sz w:val="20"/>
        </w:rPr>
        <w:t>Hypomonitor</w:t>
      </w:r>
      <w:proofErr w:type="spellEnd"/>
      <w:r w:rsidR="00277397" w:rsidRPr="00277397">
        <w:rPr>
          <w:rFonts w:ascii="Calibri Light" w:hAnsi="Calibri Light" w:cs="Calibri Light"/>
          <w:color w:val="13576B"/>
          <w:sz w:val="20"/>
        </w:rPr>
        <w:t xml:space="preserve"> (před rokem 2020 jsou objemy ze statistiky ČNB).</w:t>
      </w:r>
    </w:p>
    <w:p w14:paraId="4DD0766A" w14:textId="41927687" w:rsidR="00D2301A" w:rsidRPr="00D24B00" w:rsidRDefault="00E27948" w:rsidP="004A5428">
      <w:pPr>
        <w:rPr>
          <w:rFonts w:ascii="Calibri" w:hAnsi="Calibri" w:cs="Calibri"/>
          <w:b/>
          <w:bCs/>
          <w:sz w:val="22"/>
          <w:szCs w:val="22"/>
          <w:highlight w:val="yellow"/>
        </w:rPr>
      </w:pPr>
      <w:r>
        <w:rPr>
          <w:rFonts w:ascii="Calibri" w:hAnsi="Calibri" w:cs="Calibri"/>
          <w:b/>
          <w:bCs/>
          <w:noProof/>
          <w:sz w:val="22"/>
          <w:szCs w:val="22"/>
          <w:highlight w:val="yellow"/>
        </w:rPr>
        <w:drawing>
          <wp:inline distT="0" distB="0" distL="0" distR="0" wp14:anchorId="52D0FC11" wp14:editId="772E92D1">
            <wp:extent cx="3114675" cy="1963420"/>
            <wp:effectExtent l="0" t="0" r="9525" b="0"/>
            <wp:docPr id="12973457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73457" name="Picture 1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826" cy="1963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2F9ABC" w14:textId="77777777" w:rsidR="00606031" w:rsidRDefault="004A5428" w:rsidP="004A5428">
      <w:pPr>
        <w:overflowPunct/>
        <w:autoSpaceDE/>
        <w:adjustRightInd/>
        <w:rPr>
          <w:rFonts w:ascii="Calibri Light" w:hAnsi="Calibri Light" w:cs="Calibri Light"/>
          <w:color w:val="13576B"/>
          <w:sz w:val="20"/>
        </w:rPr>
        <w:sectPr w:rsidR="00606031" w:rsidSect="00606031">
          <w:type w:val="continuous"/>
          <w:pgSz w:w="11906" w:h="16838"/>
          <w:pgMar w:top="2552" w:right="849" w:bottom="1560" w:left="851" w:header="709" w:footer="283" w:gutter="0"/>
          <w:cols w:num="2" w:space="708"/>
          <w:docGrid w:linePitch="360"/>
        </w:sectPr>
      </w:pPr>
      <w:r w:rsidRPr="002F4CBD">
        <w:rPr>
          <w:rFonts w:ascii="Calibri Light" w:hAnsi="Calibri Light" w:cs="Calibri Light"/>
          <w:color w:val="13576B"/>
          <w:sz w:val="20"/>
        </w:rPr>
        <w:t xml:space="preserve">Pramen: </w:t>
      </w:r>
      <w:r>
        <w:rPr>
          <w:rFonts w:ascii="Calibri Light" w:hAnsi="Calibri Light" w:cs="Calibri Light"/>
          <w:color w:val="13576B"/>
          <w:sz w:val="20"/>
        </w:rPr>
        <w:t xml:space="preserve">ČNB, </w:t>
      </w:r>
      <w:r w:rsidRPr="002F4CBD">
        <w:rPr>
          <w:rFonts w:ascii="Calibri Light" w:hAnsi="Calibri Light" w:cs="Calibri Light"/>
          <w:color w:val="13576B"/>
          <w:sz w:val="20"/>
        </w:rPr>
        <w:t xml:space="preserve">ČBA </w:t>
      </w:r>
      <w:proofErr w:type="spellStart"/>
      <w:r w:rsidRPr="002F4CBD">
        <w:rPr>
          <w:rFonts w:ascii="Calibri Light" w:hAnsi="Calibri Light" w:cs="Calibri Light"/>
          <w:color w:val="13576B"/>
          <w:sz w:val="20"/>
        </w:rPr>
        <w:t>Hypomonitor</w:t>
      </w:r>
      <w:proofErr w:type="spellEnd"/>
    </w:p>
    <w:bookmarkEnd w:id="2"/>
    <w:bookmarkEnd w:id="3"/>
    <w:bookmarkEnd w:id="4"/>
    <w:p w14:paraId="38EB67FA" w14:textId="77777777" w:rsidR="00CB3460" w:rsidRDefault="00CB3460" w:rsidP="0020488B">
      <w:pPr>
        <w:rPr>
          <w:rFonts w:ascii="Calibri" w:hAnsi="Calibri" w:cs="Calibri"/>
          <w:b/>
          <w:bCs/>
          <w:color w:val="000000"/>
          <w:sz w:val="22"/>
          <w:szCs w:val="22"/>
        </w:rPr>
      </w:pPr>
    </w:p>
    <w:p w14:paraId="5A1704D2" w14:textId="14763FAF" w:rsidR="009A044E" w:rsidRDefault="008E3BA7" w:rsidP="009A044E">
      <w:pPr>
        <w:rPr>
          <w:rFonts w:ascii="Calibri" w:hAnsi="Calibri" w:cs="Calibri"/>
          <w:b/>
          <w:color w:val="13576B"/>
          <w:sz w:val="23"/>
          <w:szCs w:val="23"/>
        </w:rPr>
      </w:pPr>
      <w:r>
        <w:rPr>
          <w:rFonts w:ascii="Calibri" w:hAnsi="Calibri" w:cs="Calibri"/>
          <w:b/>
          <w:color w:val="13576B"/>
          <w:sz w:val="23"/>
          <w:szCs w:val="23"/>
        </w:rPr>
        <w:t>P</w:t>
      </w:r>
      <w:r w:rsidR="009A044E" w:rsidRPr="008B048B">
        <w:rPr>
          <w:rFonts w:ascii="Calibri" w:hAnsi="Calibri" w:cs="Calibri"/>
          <w:b/>
          <w:color w:val="13576B"/>
          <w:sz w:val="23"/>
          <w:szCs w:val="23"/>
        </w:rPr>
        <w:t xml:space="preserve">růměrná hypoteční sazba </w:t>
      </w:r>
      <w:r w:rsidR="0009562F">
        <w:rPr>
          <w:rFonts w:ascii="Calibri" w:hAnsi="Calibri" w:cs="Calibri"/>
          <w:b/>
          <w:color w:val="13576B"/>
          <w:sz w:val="23"/>
          <w:szCs w:val="23"/>
        </w:rPr>
        <w:t>v</w:t>
      </w:r>
      <w:r w:rsidR="00356A6D">
        <w:rPr>
          <w:rFonts w:ascii="Calibri" w:hAnsi="Calibri" w:cs="Calibri"/>
          <w:b/>
          <w:color w:val="13576B"/>
          <w:sz w:val="23"/>
          <w:szCs w:val="23"/>
        </w:rPr>
        <w:t xml:space="preserve"> lednu mírně klesla </w:t>
      </w:r>
      <w:r w:rsidR="00BC63D5">
        <w:rPr>
          <w:rFonts w:ascii="Calibri" w:hAnsi="Calibri" w:cs="Calibri"/>
          <w:b/>
          <w:color w:val="13576B"/>
          <w:sz w:val="23"/>
          <w:szCs w:val="23"/>
        </w:rPr>
        <w:t>na</w:t>
      </w:r>
      <w:r>
        <w:rPr>
          <w:rFonts w:ascii="Calibri" w:hAnsi="Calibri" w:cs="Calibri"/>
          <w:b/>
          <w:color w:val="13576B"/>
          <w:sz w:val="23"/>
          <w:szCs w:val="23"/>
        </w:rPr>
        <w:t xml:space="preserve"> </w:t>
      </w:r>
      <w:r w:rsidR="004803D6">
        <w:rPr>
          <w:rFonts w:ascii="Calibri" w:hAnsi="Calibri" w:cs="Calibri"/>
          <w:b/>
          <w:color w:val="13576B"/>
          <w:sz w:val="23"/>
          <w:szCs w:val="23"/>
        </w:rPr>
        <w:t>4,4</w:t>
      </w:r>
      <w:r w:rsidR="00356A6D">
        <w:rPr>
          <w:rFonts w:ascii="Calibri" w:hAnsi="Calibri" w:cs="Calibri"/>
          <w:b/>
          <w:color w:val="13576B"/>
          <w:sz w:val="23"/>
          <w:szCs w:val="23"/>
        </w:rPr>
        <w:t>8</w:t>
      </w:r>
      <w:r w:rsidR="004803D6">
        <w:rPr>
          <w:rFonts w:ascii="Calibri" w:hAnsi="Calibri" w:cs="Calibri"/>
          <w:b/>
          <w:color w:val="13576B"/>
          <w:sz w:val="23"/>
          <w:szCs w:val="23"/>
        </w:rPr>
        <w:t xml:space="preserve"> %</w:t>
      </w:r>
      <w:r w:rsidR="00E84E21">
        <w:rPr>
          <w:rFonts w:ascii="Calibri" w:hAnsi="Calibri" w:cs="Calibri"/>
          <w:b/>
          <w:color w:val="13576B"/>
          <w:sz w:val="23"/>
          <w:szCs w:val="23"/>
        </w:rPr>
        <w:t xml:space="preserve"> </w:t>
      </w:r>
      <w:r w:rsidR="00356A6D">
        <w:rPr>
          <w:rFonts w:ascii="Calibri" w:hAnsi="Calibri" w:cs="Calibri"/>
          <w:b/>
          <w:color w:val="13576B"/>
          <w:sz w:val="23"/>
          <w:szCs w:val="23"/>
        </w:rPr>
        <w:t xml:space="preserve">při poklesu </w:t>
      </w:r>
      <w:r w:rsidR="00E84E21">
        <w:rPr>
          <w:rFonts w:ascii="Calibri" w:hAnsi="Calibri" w:cs="Calibri"/>
          <w:b/>
          <w:color w:val="13576B"/>
          <w:sz w:val="23"/>
          <w:szCs w:val="23"/>
        </w:rPr>
        <w:t>tržní</w:t>
      </w:r>
      <w:r w:rsidR="00356A6D">
        <w:rPr>
          <w:rFonts w:ascii="Calibri" w:hAnsi="Calibri" w:cs="Calibri"/>
          <w:b/>
          <w:color w:val="13576B"/>
          <w:sz w:val="23"/>
          <w:szCs w:val="23"/>
        </w:rPr>
        <w:t xml:space="preserve">ch </w:t>
      </w:r>
      <w:r w:rsidR="00E84E21">
        <w:rPr>
          <w:rFonts w:ascii="Calibri" w:hAnsi="Calibri" w:cs="Calibri"/>
          <w:b/>
          <w:color w:val="13576B"/>
          <w:sz w:val="23"/>
          <w:szCs w:val="23"/>
        </w:rPr>
        <w:t>úrokov</w:t>
      </w:r>
      <w:r w:rsidR="00356A6D">
        <w:rPr>
          <w:rFonts w:ascii="Calibri" w:hAnsi="Calibri" w:cs="Calibri"/>
          <w:b/>
          <w:color w:val="13576B"/>
          <w:sz w:val="23"/>
          <w:szCs w:val="23"/>
        </w:rPr>
        <w:t xml:space="preserve">ých </w:t>
      </w:r>
      <w:r w:rsidR="00E84E21">
        <w:rPr>
          <w:rFonts w:ascii="Calibri" w:hAnsi="Calibri" w:cs="Calibri"/>
          <w:b/>
          <w:color w:val="13576B"/>
          <w:sz w:val="23"/>
          <w:szCs w:val="23"/>
        </w:rPr>
        <w:t>saz</w:t>
      </w:r>
      <w:r w:rsidR="00356A6D">
        <w:rPr>
          <w:rFonts w:ascii="Calibri" w:hAnsi="Calibri" w:cs="Calibri"/>
          <w:b/>
          <w:color w:val="13576B"/>
          <w:sz w:val="23"/>
          <w:szCs w:val="23"/>
        </w:rPr>
        <w:t>e</w:t>
      </w:r>
      <w:r w:rsidR="00E84E21">
        <w:rPr>
          <w:rFonts w:ascii="Calibri" w:hAnsi="Calibri" w:cs="Calibri"/>
          <w:b/>
          <w:color w:val="13576B"/>
          <w:sz w:val="23"/>
          <w:szCs w:val="23"/>
        </w:rPr>
        <w:t>b</w:t>
      </w:r>
      <w:r w:rsidR="00356A6D">
        <w:rPr>
          <w:rFonts w:ascii="Calibri" w:hAnsi="Calibri" w:cs="Calibri"/>
          <w:b/>
          <w:color w:val="13576B"/>
          <w:sz w:val="23"/>
          <w:szCs w:val="23"/>
        </w:rPr>
        <w:t xml:space="preserve"> </w:t>
      </w:r>
    </w:p>
    <w:p w14:paraId="565B8E29" w14:textId="77777777" w:rsidR="00D43642" w:rsidRDefault="00D43642" w:rsidP="009A044E">
      <w:pPr>
        <w:rPr>
          <w:rFonts w:ascii="Calibri" w:hAnsi="Calibri" w:cs="Calibri"/>
          <w:b/>
          <w:color w:val="13576B"/>
          <w:sz w:val="23"/>
          <w:szCs w:val="23"/>
        </w:rPr>
      </w:pPr>
    </w:p>
    <w:p w14:paraId="7413BC65" w14:textId="07B91399" w:rsidR="00356A6D" w:rsidRDefault="00356A6D" w:rsidP="00356A6D">
      <w:pPr>
        <w:rPr>
          <w:rFonts w:ascii="Calibri" w:hAnsi="Calibri" w:cs="Calibri"/>
          <w:bCs/>
          <w:color w:val="000000" w:themeColor="text1"/>
          <w:sz w:val="23"/>
          <w:szCs w:val="23"/>
        </w:rPr>
      </w:pPr>
      <w:r w:rsidRPr="00882F4A">
        <w:rPr>
          <w:rFonts w:ascii="Calibri" w:hAnsi="Calibri" w:cs="Calibri"/>
          <w:b/>
          <w:color w:val="000000" w:themeColor="text1"/>
          <w:sz w:val="23"/>
          <w:szCs w:val="23"/>
        </w:rPr>
        <w:t xml:space="preserve">Průměrná realizovaná úroková sazba u nových hypoték v lednu nepatrně dále klesla na 4,48 % z prosincových 4,49 % a zůstává tak víceméně stabilní od </w:t>
      </w:r>
      <w:r w:rsidR="00882F4A" w:rsidRPr="00882F4A">
        <w:rPr>
          <w:rFonts w:ascii="Calibri" w:hAnsi="Calibri" w:cs="Calibri"/>
          <w:b/>
          <w:color w:val="000000" w:themeColor="text1"/>
          <w:sz w:val="23"/>
          <w:szCs w:val="23"/>
        </w:rPr>
        <w:t>října loňského roku.</w:t>
      </w:r>
      <w:r w:rsidR="00882F4A">
        <w:rPr>
          <w:rFonts w:ascii="Calibri" w:hAnsi="Calibri" w:cs="Calibri"/>
          <w:bCs/>
          <w:color w:val="000000" w:themeColor="text1"/>
          <w:sz w:val="23"/>
          <w:szCs w:val="23"/>
        </w:rPr>
        <w:t xml:space="preserve"> </w:t>
      </w:r>
      <w:r w:rsidRPr="00356A6D">
        <w:rPr>
          <w:rFonts w:ascii="Calibri" w:hAnsi="Calibri" w:cs="Calibri"/>
          <w:bCs/>
          <w:color w:val="000000" w:themeColor="text1"/>
          <w:sz w:val="23"/>
          <w:szCs w:val="23"/>
        </w:rPr>
        <w:t xml:space="preserve">Její lednová úroveň je tak o </w:t>
      </w:r>
      <w:proofErr w:type="gramStart"/>
      <w:r w:rsidRPr="00356A6D">
        <w:rPr>
          <w:rFonts w:ascii="Calibri" w:hAnsi="Calibri" w:cs="Calibri"/>
          <w:bCs/>
          <w:color w:val="000000" w:themeColor="text1"/>
          <w:sz w:val="23"/>
          <w:szCs w:val="23"/>
        </w:rPr>
        <w:t>0,3 procentního</w:t>
      </w:r>
      <w:proofErr w:type="gramEnd"/>
      <w:r w:rsidRPr="00356A6D">
        <w:rPr>
          <w:rFonts w:ascii="Calibri" w:hAnsi="Calibri" w:cs="Calibri"/>
          <w:bCs/>
          <w:color w:val="000000" w:themeColor="text1"/>
          <w:sz w:val="23"/>
          <w:szCs w:val="23"/>
        </w:rPr>
        <w:t xml:space="preserve"> bodu níže než 4,78% sazba před rokem, což snižuje měsíční splátky hypotéky přibližně o 0,8 % čistého příjmu žadatele, tedy o 0,8 tis. Kč. Pro srovnání průměrná hodnota hypoteční sazby v roce 2025 dosáhla 4,58 % v porovnání se sazbou 5,07 % v roce 2024. Lednová úroková hypoteční sazba se se 4,48 % nacházela </w:t>
      </w:r>
      <w:proofErr w:type="gramStart"/>
      <w:r w:rsidRPr="00356A6D">
        <w:rPr>
          <w:rFonts w:ascii="Calibri" w:hAnsi="Calibri" w:cs="Calibri"/>
          <w:bCs/>
          <w:color w:val="000000" w:themeColor="text1"/>
          <w:sz w:val="23"/>
          <w:szCs w:val="23"/>
        </w:rPr>
        <w:t>1,02</w:t>
      </w:r>
      <w:r w:rsidR="00097716">
        <w:rPr>
          <w:rFonts w:ascii="Calibri" w:hAnsi="Calibri" w:cs="Calibri"/>
          <w:bCs/>
          <w:color w:val="000000" w:themeColor="text1"/>
          <w:sz w:val="23"/>
          <w:szCs w:val="23"/>
        </w:rPr>
        <w:t xml:space="preserve"> </w:t>
      </w:r>
      <w:r w:rsidRPr="00356A6D">
        <w:rPr>
          <w:rFonts w:ascii="Calibri" w:hAnsi="Calibri" w:cs="Calibri"/>
          <w:bCs/>
          <w:color w:val="000000" w:themeColor="text1"/>
          <w:sz w:val="23"/>
          <w:szCs w:val="23"/>
        </w:rPr>
        <w:t>procentního</w:t>
      </w:r>
      <w:proofErr w:type="gramEnd"/>
      <w:r w:rsidRPr="00356A6D">
        <w:rPr>
          <w:rFonts w:ascii="Calibri" w:hAnsi="Calibri" w:cs="Calibri"/>
          <w:bCs/>
          <w:color w:val="000000" w:themeColor="text1"/>
          <w:sz w:val="23"/>
          <w:szCs w:val="23"/>
        </w:rPr>
        <w:t xml:space="preserve"> bodu nad průměrnými tržními swapovými sazbami. To je přibližně 0,04 p. b. pod dlouhodobým průměrem od roku 2014 (1,06 p. b.), zatímco v předešlých třech měsících tento spread vůči dlouhodobému průměru činil -0,25 p. b.</w:t>
      </w:r>
      <w:r w:rsidR="00882F4A">
        <w:rPr>
          <w:rFonts w:ascii="Calibri" w:hAnsi="Calibri" w:cs="Calibri"/>
          <w:bCs/>
          <w:color w:val="000000" w:themeColor="text1"/>
          <w:sz w:val="23"/>
          <w:szCs w:val="23"/>
        </w:rPr>
        <w:t xml:space="preserve"> </w:t>
      </w:r>
    </w:p>
    <w:p w14:paraId="604AED8E" w14:textId="77777777" w:rsidR="00882F4A" w:rsidRPr="00356A6D" w:rsidRDefault="00882F4A" w:rsidP="00356A6D">
      <w:pPr>
        <w:rPr>
          <w:rFonts w:ascii="Calibri" w:hAnsi="Calibri" w:cs="Calibri"/>
          <w:bCs/>
          <w:color w:val="000000" w:themeColor="text1"/>
          <w:sz w:val="23"/>
          <w:szCs w:val="23"/>
        </w:rPr>
      </w:pPr>
    </w:p>
    <w:p w14:paraId="2F7E82CB" w14:textId="495A5EBF" w:rsidR="00882F4A" w:rsidRDefault="00BD6018" w:rsidP="00356A6D">
      <w:pPr>
        <w:rPr>
          <w:rFonts w:ascii="Calibri" w:hAnsi="Calibri" w:cs="Calibri"/>
          <w:bCs/>
          <w:color w:val="000000" w:themeColor="text1"/>
          <w:sz w:val="23"/>
          <w:szCs w:val="23"/>
        </w:rPr>
      </w:pPr>
      <w:r w:rsidRPr="00DE43B5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České tržní </w:t>
      </w:r>
      <w:r w:rsidR="00B52A2C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delší </w:t>
      </w:r>
      <w:r w:rsidRPr="00DE43B5">
        <w:rPr>
          <w:rFonts w:ascii="Calibri" w:hAnsi="Calibri" w:cs="Calibri"/>
          <w:b/>
          <w:bCs/>
          <w:color w:val="000000" w:themeColor="text1"/>
          <w:sz w:val="22"/>
          <w:szCs w:val="22"/>
        </w:rPr>
        <w:t>úrokové sazby,</w:t>
      </w:r>
      <w:r w:rsidRPr="00DE43B5">
        <w:rPr>
          <w:rStyle w:val="Znakapoznpodarou"/>
          <w:rFonts w:ascii="Calibri" w:hAnsi="Calibri" w:cs="Calibri"/>
          <w:b/>
          <w:bCs/>
          <w:i/>
          <w:iCs/>
          <w:color w:val="000000" w:themeColor="text1"/>
          <w:sz w:val="22"/>
          <w:szCs w:val="22"/>
        </w:rPr>
        <w:footnoteReference w:id="1"/>
      </w:r>
      <w:r w:rsidRPr="00DE43B5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 </w:t>
      </w:r>
      <w:r w:rsidRPr="00DE43B5">
        <w:rPr>
          <w:rFonts w:ascii="Calibri" w:hAnsi="Calibri" w:cs="Calibri"/>
          <w:b/>
          <w:bCs/>
          <w:color w:val="000000" w:themeColor="text1"/>
          <w:sz w:val="23"/>
          <w:szCs w:val="23"/>
        </w:rPr>
        <w:t xml:space="preserve">které mají klíčový vliv na hypoteční sazby, </w:t>
      </w:r>
      <w:r w:rsidR="00356A6D" w:rsidRPr="00356A6D">
        <w:rPr>
          <w:rFonts w:ascii="Calibri" w:hAnsi="Calibri" w:cs="Calibri"/>
          <w:bCs/>
          <w:color w:val="000000" w:themeColor="text1"/>
          <w:sz w:val="23"/>
          <w:szCs w:val="23"/>
        </w:rPr>
        <w:t xml:space="preserve">v lednu </w:t>
      </w:r>
      <w:r w:rsidR="00B52A2C">
        <w:rPr>
          <w:rFonts w:ascii="Calibri" w:hAnsi="Calibri" w:cs="Calibri"/>
          <w:bCs/>
          <w:color w:val="000000" w:themeColor="text1"/>
          <w:sz w:val="23"/>
          <w:szCs w:val="23"/>
        </w:rPr>
        <w:t xml:space="preserve">v případě pětiletých sazeb </w:t>
      </w:r>
      <w:r w:rsidR="00356A6D" w:rsidRPr="00356A6D">
        <w:rPr>
          <w:rFonts w:ascii="Calibri" w:hAnsi="Calibri" w:cs="Calibri"/>
          <w:bCs/>
          <w:color w:val="000000" w:themeColor="text1"/>
          <w:sz w:val="23"/>
          <w:szCs w:val="23"/>
        </w:rPr>
        <w:t>klesly o -</w:t>
      </w:r>
      <w:proofErr w:type="gramStart"/>
      <w:r w:rsidR="00356A6D" w:rsidRPr="00356A6D">
        <w:rPr>
          <w:rFonts w:ascii="Calibri" w:hAnsi="Calibri" w:cs="Calibri"/>
          <w:bCs/>
          <w:color w:val="000000" w:themeColor="text1"/>
          <w:sz w:val="23"/>
          <w:szCs w:val="23"/>
        </w:rPr>
        <w:t>0,21 procentního</w:t>
      </w:r>
      <w:proofErr w:type="gramEnd"/>
      <w:r w:rsidR="00356A6D" w:rsidRPr="00356A6D">
        <w:rPr>
          <w:rFonts w:ascii="Calibri" w:hAnsi="Calibri" w:cs="Calibri"/>
          <w:bCs/>
          <w:color w:val="000000" w:themeColor="text1"/>
          <w:sz w:val="23"/>
          <w:szCs w:val="23"/>
        </w:rPr>
        <w:t xml:space="preserve"> bodu na 3,72 % z prosincových 3,93 % a nacházely se </w:t>
      </w:r>
      <w:r w:rsidR="00B52A2C">
        <w:rPr>
          <w:rFonts w:ascii="Calibri" w:hAnsi="Calibri" w:cs="Calibri"/>
          <w:bCs/>
          <w:color w:val="000000" w:themeColor="text1"/>
          <w:sz w:val="23"/>
          <w:szCs w:val="23"/>
        </w:rPr>
        <w:t xml:space="preserve">tak </w:t>
      </w:r>
      <w:r w:rsidR="00356A6D" w:rsidRPr="00356A6D">
        <w:rPr>
          <w:rFonts w:ascii="Calibri" w:hAnsi="Calibri" w:cs="Calibri"/>
          <w:bCs/>
          <w:color w:val="000000" w:themeColor="text1"/>
          <w:sz w:val="23"/>
          <w:szCs w:val="23"/>
        </w:rPr>
        <w:t xml:space="preserve">pod listopadovými 3,95 %. V posledních dvanácti měsících se české pětileté swapy pohybovaly v rozmezí měsíčních průměrů 3,29 % (v dubnu 2025) a 3,95 % (z listopadu 2025). V porovnání s průměrnou úrovní pětiletých swapů v roce 2024 byly lednové úroky </w:t>
      </w:r>
      <w:r w:rsidR="00B52A2C">
        <w:rPr>
          <w:rFonts w:ascii="Calibri" w:hAnsi="Calibri" w:cs="Calibri"/>
          <w:bCs/>
          <w:color w:val="000000" w:themeColor="text1"/>
          <w:sz w:val="23"/>
          <w:szCs w:val="23"/>
        </w:rPr>
        <w:t>nepatrně vyšší</w:t>
      </w:r>
      <w:r w:rsidR="00B52A2C" w:rsidRPr="0026268C">
        <w:rPr>
          <w:rFonts w:ascii="Calibri" w:hAnsi="Calibri" w:cs="Calibri"/>
          <w:b/>
          <w:color w:val="000000" w:themeColor="text1"/>
          <w:sz w:val="23"/>
          <w:szCs w:val="23"/>
        </w:rPr>
        <w:t xml:space="preserve">. </w:t>
      </w:r>
      <w:r w:rsidR="00882F4A" w:rsidRPr="0026268C">
        <w:rPr>
          <w:rFonts w:ascii="Calibri" w:hAnsi="Calibri" w:cs="Calibri"/>
          <w:bCs/>
          <w:color w:val="000000" w:themeColor="text1"/>
          <w:sz w:val="23"/>
          <w:szCs w:val="23"/>
        </w:rPr>
        <w:t xml:space="preserve">Tržní sazby po únorovém zasedání centrální banky částečně korigovaly svůj předchozí pokles, ale v druhý únorový týden je vrátil níže. </w:t>
      </w:r>
      <w:r w:rsidR="00882F4A" w:rsidRPr="00882F4A">
        <w:rPr>
          <w:rFonts w:ascii="Calibri" w:hAnsi="Calibri" w:cs="Calibri"/>
          <w:bCs/>
          <w:color w:val="000000" w:themeColor="text1"/>
          <w:sz w:val="23"/>
          <w:szCs w:val="23"/>
        </w:rPr>
        <w:t xml:space="preserve">Před únorovým zasedáním centrální banky </w:t>
      </w:r>
      <w:proofErr w:type="spellStart"/>
      <w:r w:rsidR="00882F4A" w:rsidRPr="00882F4A">
        <w:rPr>
          <w:rFonts w:ascii="Calibri" w:hAnsi="Calibri" w:cs="Calibri"/>
          <w:bCs/>
          <w:color w:val="000000" w:themeColor="text1"/>
          <w:sz w:val="23"/>
          <w:szCs w:val="23"/>
        </w:rPr>
        <w:t>zaceňovaly</w:t>
      </w:r>
      <w:proofErr w:type="spellEnd"/>
      <w:r w:rsidR="00882F4A" w:rsidRPr="00882F4A">
        <w:rPr>
          <w:rFonts w:ascii="Calibri" w:hAnsi="Calibri" w:cs="Calibri"/>
          <w:bCs/>
          <w:color w:val="000000" w:themeColor="text1"/>
          <w:sz w:val="23"/>
          <w:szCs w:val="23"/>
        </w:rPr>
        <w:t xml:space="preserve"> FRA trhy pokles úrokové sazby ČNB přibližně k 3,15 % na přelomu léta a podzimu. Zasedání však nepotvrdilo očekávání nástupu holubičí komunikace. </w:t>
      </w:r>
      <w:r w:rsidR="00882F4A" w:rsidRPr="00097716">
        <w:rPr>
          <w:rFonts w:ascii="Calibri" w:hAnsi="Calibri" w:cs="Calibri"/>
          <w:bCs/>
          <w:color w:val="000000" w:themeColor="text1"/>
          <w:sz w:val="23"/>
          <w:szCs w:val="23"/>
        </w:rPr>
        <w:t xml:space="preserve">Nicméně výhled na snížení úrokové sazby se začal promítat i do konsensu ekonomů. Ačkoliv </w:t>
      </w:r>
      <w:hyperlink r:id="rId21" w:history="1">
        <w:r w:rsidR="00B52A2C" w:rsidRPr="00097716">
          <w:rPr>
            <w:rStyle w:val="Hypertextovodkaz"/>
            <w:rFonts w:ascii="Calibri" w:hAnsi="Calibri" w:cs="Calibri"/>
            <w:sz w:val="23"/>
            <w:szCs w:val="23"/>
          </w:rPr>
          <w:t>nová makroekonomická predikce ČBA</w:t>
        </w:r>
      </w:hyperlink>
      <w:r w:rsidR="00882F4A" w:rsidRPr="00097716">
        <w:rPr>
          <w:rFonts w:ascii="Calibri" w:hAnsi="Calibri" w:cs="Calibri"/>
          <w:bCs/>
          <w:color w:val="000000" w:themeColor="text1"/>
          <w:sz w:val="23"/>
          <w:szCs w:val="23"/>
        </w:rPr>
        <w:t xml:space="preserve"> vyhlíží stabilitu úrokové sazby na 3,5 % během letošního a příštího roku, a to kvůli zvýšené jádrové inflaci a uvolněnější fiskální politice, polovina </w:t>
      </w:r>
      <w:proofErr w:type="spellStart"/>
      <w:r w:rsidR="00882F4A" w:rsidRPr="00097716">
        <w:rPr>
          <w:rFonts w:ascii="Calibri" w:hAnsi="Calibri" w:cs="Calibri"/>
          <w:bCs/>
          <w:color w:val="000000" w:themeColor="text1"/>
          <w:sz w:val="23"/>
          <w:szCs w:val="23"/>
        </w:rPr>
        <w:t>panelistů</w:t>
      </w:r>
      <w:proofErr w:type="spellEnd"/>
      <w:r w:rsidR="00882F4A" w:rsidRPr="00097716">
        <w:rPr>
          <w:rFonts w:ascii="Calibri" w:hAnsi="Calibri" w:cs="Calibri"/>
          <w:bCs/>
          <w:color w:val="000000" w:themeColor="text1"/>
          <w:sz w:val="23"/>
          <w:szCs w:val="23"/>
        </w:rPr>
        <w:t xml:space="preserve"> prognózy ČBA očekává v tomto období jedno snížení na 3,25 %.</w:t>
      </w:r>
      <w:r>
        <w:rPr>
          <w:rFonts w:ascii="Calibri" w:hAnsi="Calibri" w:cs="Calibri"/>
          <w:bCs/>
          <w:color w:val="000000" w:themeColor="text1"/>
          <w:sz w:val="23"/>
          <w:szCs w:val="23"/>
        </w:rPr>
        <w:t xml:space="preserve"> </w:t>
      </w:r>
    </w:p>
    <w:p w14:paraId="4924551B" w14:textId="77777777" w:rsidR="00616F34" w:rsidRDefault="00616F34" w:rsidP="00616F34">
      <w:pPr>
        <w:rPr>
          <w:rFonts w:ascii="Calibri" w:hAnsi="Calibri" w:cs="Calibri"/>
          <w:color w:val="000000" w:themeColor="text1"/>
          <w:sz w:val="22"/>
          <w:szCs w:val="22"/>
        </w:rPr>
      </w:pPr>
    </w:p>
    <w:p w14:paraId="479EF412" w14:textId="4D40C121" w:rsidR="00616F34" w:rsidRPr="00616F34" w:rsidRDefault="00616F34" w:rsidP="00616F34">
      <w:pPr>
        <w:rPr>
          <w:rFonts w:ascii="Calibri" w:hAnsi="Calibri" w:cs="Calibri"/>
          <w:color w:val="000000" w:themeColor="text1"/>
          <w:sz w:val="22"/>
          <w:szCs w:val="22"/>
        </w:rPr>
        <w:sectPr w:rsidR="00616F34" w:rsidRPr="00616F34" w:rsidSect="00606031">
          <w:type w:val="continuous"/>
          <w:pgSz w:w="11906" w:h="16838"/>
          <w:pgMar w:top="2552" w:right="849" w:bottom="1560" w:left="851" w:header="709" w:footer="283" w:gutter="0"/>
          <w:cols w:space="708"/>
          <w:docGrid w:linePitch="360"/>
        </w:sectPr>
      </w:pPr>
    </w:p>
    <w:p w14:paraId="636F55D4" w14:textId="535B8789" w:rsidR="001B2E5E" w:rsidRDefault="001B2E5E" w:rsidP="001B2E5E">
      <w:pPr>
        <w:spacing w:after="120"/>
        <w:rPr>
          <w:rFonts w:ascii="Calibri" w:hAnsi="Calibri" w:cs="Calibri"/>
          <w:b/>
          <w:color w:val="13576B"/>
          <w:sz w:val="23"/>
          <w:szCs w:val="23"/>
        </w:rPr>
      </w:pPr>
      <w:r>
        <w:rPr>
          <w:rFonts w:ascii="Calibri" w:hAnsi="Calibri" w:cs="Calibri"/>
          <w:b/>
          <w:color w:val="13576B"/>
          <w:sz w:val="23"/>
          <w:szCs w:val="23"/>
        </w:rPr>
        <w:t xml:space="preserve">Graf </w:t>
      </w:r>
      <w:r w:rsidRPr="005B4653">
        <w:rPr>
          <w:rFonts w:ascii="Calibri" w:hAnsi="Calibri" w:cs="Calibri"/>
          <w:b/>
          <w:color w:val="13576B"/>
          <w:sz w:val="23"/>
          <w:szCs w:val="23"/>
        </w:rPr>
        <w:t xml:space="preserve">č. </w:t>
      </w:r>
      <w:r w:rsidR="00E27948">
        <w:rPr>
          <w:rFonts w:ascii="Calibri" w:hAnsi="Calibri" w:cs="Calibri"/>
          <w:b/>
          <w:color w:val="13576B"/>
          <w:sz w:val="23"/>
          <w:szCs w:val="23"/>
        </w:rPr>
        <w:t>4</w:t>
      </w:r>
      <w:r>
        <w:rPr>
          <w:rFonts w:ascii="Calibri" w:hAnsi="Calibri" w:cs="Calibri"/>
          <w:b/>
          <w:color w:val="13576B"/>
          <w:sz w:val="23"/>
          <w:szCs w:val="23"/>
        </w:rPr>
        <w:t>:</w:t>
      </w:r>
      <w:r w:rsidRPr="005B4653">
        <w:rPr>
          <w:rFonts w:ascii="Calibri" w:hAnsi="Calibri" w:cs="Calibri"/>
          <w:b/>
          <w:color w:val="13576B"/>
          <w:sz w:val="23"/>
          <w:szCs w:val="23"/>
        </w:rPr>
        <w:t xml:space="preserve"> Průměrná hypoteční </w:t>
      </w:r>
      <w:r>
        <w:rPr>
          <w:rFonts w:ascii="Calibri" w:hAnsi="Calibri" w:cs="Calibri"/>
          <w:b/>
          <w:color w:val="13576B"/>
          <w:sz w:val="23"/>
          <w:szCs w:val="23"/>
        </w:rPr>
        <w:t xml:space="preserve">úroková </w:t>
      </w:r>
      <w:r w:rsidRPr="005B4653">
        <w:rPr>
          <w:rFonts w:ascii="Calibri" w:hAnsi="Calibri" w:cs="Calibri"/>
          <w:b/>
          <w:color w:val="13576B"/>
          <w:sz w:val="23"/>
          <w:szCs w:val="23"/>
        </w:rPr>
        <w:t>sazba – nové obchody</w:t>
      </w:r>
    </w:p>
    <w:p w14:paraId="1AAB3FAB" w14:textId="680DFCED" w:rsidR="008E3BA7" w:rsidRPr="008E3BA7" w:rsidRDefault="00F463BF" w:rsidP="008E3BA7">
      <w:pPr>
        <w:rPr>
          <w:rFonts w:ascii="Calibri" w:hAnsi="Calibri" w:cs="Calibri"/>
          <w:bCs/>
          <w:i/>
          <w:iCs/>
          <w:color w:val="13576B"/>
          <w:sz w:val="23"/>
          <w:szCs w:val="23"/>
        </w:rPr>
      </w:pPr>
      <w:r>
        <w:rPr>
          <w:rFonts w:ascii="Calibri" w:hAnsi="Calibri" w:cs="Calibri"/>
          <w:bCs/>
          <w:i/>
          <w:iCs/>
          <w:color w:val="13576B"/>
          <w:sz w:val="23"/>
          <w:szCs w:val="23"/>
        </w:rPr>
        <w:t>Lednové hypoteční sazby nepatrně poklesly na úroveň z října loňského roku</w:t>
      </w:r>
      <w:r w:rsidR="008E3BA7" w:rsidRPr="008E3BA7">
        <w:rPr>
          <w:rFonts w:ascii="Calibri" w:hAnsi="Calibri" w:cs="Calibri"/>
          <w:bCs/>
          <w:i/>
          <w:iCs/>
          <w:color w:val="13576B"/>
          <w:sz w:val="23"/>
          <w:szCs w:val="23"/>
        </w:rPr>
        <w:t xml:space="preserve"> </w:t>
      </w:r>
      <w:r w:rsidR="008E3BA7" w:rsidRPr="008E3BA7">
        <w:rPr>
          <w:rFonts w:ascii="Calibri" w:hAnsi="Calibri" w:cs="Calibri"/>
          <w:bCs/>
          <w:i/>
          <w:iCs/>
          <w:color w:val="13576B"/>
          <w:sz w:val="23"/>
          <w:szCs w:val="23"/>
        </w:rPr>
        <w:tab/>
      </w:r>
    </w:p>
    <w:p w14:paraId="413C82DA" w14:textId="09CC1BC7" w:rsidR="001B2E5E" w:rsidRPr="002138C0" w:rsidRDefault="008E3BA7" w:rsidP="008E3BA7">
      <w:pPr>
        <w:rPr>
          <w:rFonts w:ascii="Calibri" w:hAnsi="Calibri" w:cs="Calibri"/>
          <w:sz w:val="22"/>
          <w:szCs w:val="22"/>
          <w:highlight w:val="yellow"/>
        </w:rPr>
      </w:pPr>
      <w:r w:rsidRPr="008E3BA7">
        <w:rPr>
          <w:rFonts w:ascii="Calibri" w:hAnsi="Calibri" w:cs="Calibri"/>
          <w:bCs/>
          <w:i/>
          <w:iCs/>
          <w:color w:val="13576B"/>
          <w:sz w:val="23"/>
          <w:szCs w:val="23"/>
        </w:rPr>
        <w:tab/>
      </w:r>
      <w:r w:rsidRPr="008E3BA7">
        <w:rPr>
          <w:rFonts w:ascii="Calibri" w:hAnsi="Calibri" w:cs="Calibri"/>
          <w:bCs/>
          <w:i/>
          <w:iCs/>
          <w:color w:val="13576B"/>
          <w:sz w:val="23"/>
          <w:szCs w:val="23"/>
        </w:rPr>
        <w:tab/>
      </w:r>
      <w:r w:rsidRPr="008E3BA7">
        <w:rPr>
          <w:rFonts w:ascii="Calibri" w:hAnsi="Calibri" w:cs="Calibri"/>
          <w:bCs/>
          <w:i/>
          <w:iCs/>
          <w:color w:val="13576B"/>
          <w:sz w:val="23"/>
          <w:szCs w:val="23"/>
        </w:rPr>
        <w:tab/>
      </w:r>
      <w:r w:rsidRPr="008E3BA7">
        <w:rPr>
          <w:rFonts w:ascii="Calibri" w:hAnsi="Calibri" w:cs="Calibri"/>
          <w:bCs/>
          <w:i/>
          <w:iCs/>
          <w:color w:val="13576B"/>
          <w:sz w:val="23"/>
          <w:szCs w:val="23"/>
        </w:rPr>
        <w:tab/>
      </w:r>
      <w:r w:rsidRPr="008E3BA7">
        <w:rPr>
          <w:rFonts w:ascii="Calibri" w:hAnsi="Calibri" w:cs="Calibri"/>
          <w:bCs/>
          <w:i/>
          <w:iCs/>
          <w:color w:val="13576B"/>
          <w:sz w:val="23"/>
          <w:szCs w:val="23"/>
        </w:rPr>
        <w:tab/>
      </w:r>
      <w:r w:rsidRPr="008E3BA7">
        <w:rPr>
          <w:rFonts w:ascii="Calibri" w:hAnsi="Calibri" w:cs="Calibri"/>
          <w:bCs/>
          <w:i/>
          <w:iCs/>
          <w:color w:val="13576B"/>
          <w:sz w:val="23"/>
          <w:szCs w:val="23"/>
        </w:rPr>
        <w:tab/>
      </w:r>
      <w:r w:rsidRPr="008E3BA7">
        <w:rPr>
          <w:rFonts w:ascii="Calibri" w:hAnsi="Calibri" w:cs="Calibri"/>
          <w:bCs/>
          <w:i/>
          <w:iCs/>
          <w:color w:val="13576B"/>
          <w:sz w:val="23"/>
          <w:szCs w:val="23"/>
        </w:rPr>
        <w:tab/>
      </w:r>
    </w:p>
    <w:p w14:paraId="380635EC" w14:textId="04AFD1CE" w:rsidR="001B2E5E" w:rsidRPr="006D5361" w:rsidRDefault="001B2E5E" w:rsidP="006D5361">
      <w:pPr>
        <w:overflowPunct/>
        <w:autoSpaceDE/>
        <w:adjustRightInd/>
        <w:rPr>
          <w:rFonts w:ascii="Calibri" w:hAnsi="Calibri" w:cs="Calibri"/>
          <w:b/>
          <w:color w:val="13576B"/>
          <w:sz w:val="23"/>
          <w:szCs w:val="23"/>
        </w:rPr>
        <w:sectPr w:rsidR="001B2E5E" w:rsidRPr="006D5361" w:rsidSect="001B2E5E">
          <w:type w:val="continuous"/>
          <w:pgSz w:w="11906" w:h="16838"/>
          <w:pgMar w:top="2552" w:right="849" w:bottom="1560" w:left="851" w:header="709" w:footer="283" w:gutter="0"/>
          <w:cols w:num="2" w:space="708"/>
          <w:docGrid w:linePitch="360"/>
        </w:sectPr>
      </w:pPr>
      <w:r w:rsidRPr="005B4653">
        <w:rPr>
          <w:rFonts w:ascii="Calibri" w:hAnsi="Calibri" w:cs="Calibri"/>
          <w:b/>
          <w:color w:val="13576B"/>
          <w:sz w:val="23"/>
          <w:szCs w:val="23"/>
        </w:rPr>
        <w:t xml:space="preserve">Graf č. </w:t>
      </w:r>
      <w:r w:rsidR="00E27948">
        <w:rPr>
          <w:rFonts w:ascii="Calibri" w:hAnsi="Calibri" w:cs="Calibri"/>
          <w:b/>
          <w:color w:val="13576B"/>
          <w:sz w:val="23"/>
          <w:szCs w:val="23"/>
        </w:rPr>
        <w:t>5</w:t>
      </w:r>
      <w:r>
        <w:rPr>
          <w:rFonts w:ascii="Calibri" w:hAnsi="Calibri" w:cs="Calibri"/>
          <w:b/>
          <w:color w:val="13576B"/>
          <w:sz w:val="23"/>
          <w:szCs w:val="23"/>
        </w:rPr>
        <w:t>:</w:t>
      </w:r>
      <w:r w:rsidRPr="005B4653">
        <w:rPr>
          <w:rFonts w:ascii="Calibri" w:hAnsi="Calibri" w:cs="Calibri"/>
          <w:b/>
          <w:color w:val="13576B"/>
          <w:sz w:val="23"/>
          <w:szCs w:val="23"/>
        </w:rPr>
        <w:t xml:space="preserve"> </w:t>
      </w:r>
      <w:r w:rsidR="008E3BA7">
        <w:rPr>
          <w:rFonts w:ascii="Calibri" w:hAnsi="Calibri" w:cs="Calibri"/>
          <w:b/>
          <w:color w:val="13576B"/>
          <w:sz w:val="23"/>
          <w:szCs w:val="23"/>
        </w:rPr>
        <w:t>Zmírnění prosincové</w:t>
      </w:r>
      <w:r w:rsidR="00B52A2C">
        <w:rPr>
          <w:rFonts w:ascii="Calibri" w:hAnsi="Calibri" w:cs="Calibri"/>
          <w:b/>
          <w:color w:val="13576B"/>
          <w:sz w:val="23"/>
          <w:szCs w:val="23"/>
        </w:rPr>
        <w:t xml:space="preserve"> a lednové</w:t>
      </w:r>
      <w:r w:rsidR="008E3BA7">
        <w:rPr>
          <w:rFonts w:ascii="Calibri" w:hAnsi="Calibri" w:cs="Calibri"/>
          <w:b/>
          <w:color w:val="13576B"/>
          <w:sz w:val="23"/>
          <w:szCs w:val="23"/>
        </w:rPr>
        <w:t xml:space="preserve"> inflace </w:t>
      </w:r>
      <w:r w:rsidR="00B52A2C">
        <w:rPr>
          <w:rFonts w:ascii="Calibri" w:hAnsi="Calibri" w:cs="Calibri"/>
          <w:b/>
          <w:color w:val="13576B"/>
          <w:sz w:val="23"/>
          <w:szCs w:val="23"/>
        </w:rPr>
        <w:t xml:space="preserve">srazilo </w:t>
      </w:r>
      <w:r w:rsidR="008E3BA7">
        <w:rPr>
          <w:rFonts w:ascii="Calibri" w:hAnsi="Calibri" w:cs="Calibri"/>
          <w:b/>
          <w:color w:val="13576B"/>
          <w:sz w:val="23"/>
          <w:szCs w:val="23"/>
        </w:rPr>
        <w:t>inflační výhled na rok 2026</w:t>
      </w:r>
      <w:r w:rsidR="00B52A2C">
        <w:rPr>
          <w:rFonts w:ascii="Calibri" w:hAnsi="Calibri" w:cs="Calibri"/>
          <w:b/>
          <w:color w:val="13576B"/>
          <w:sz w:val="23"/>
          <w:szCs w:val="23"/>
        </w:rPr>
        <w:t xml:space="preserve">, což se projevilo </w:t>
      </w:r>
      <w:r w:rsidR="00B52A2C">
        <w:rPr>
          <w:rFonts w:ascii="Calibri" w:hAnsi="Calibri" w:cs="Calibri"/>
          <w:b/>
          <w:color w:val="13576B"/>
          <w:sz w:val="23"/>
          <w:szCs w:val="23"/>
        </w:rPr>
        <w:lastRenderedPageBreak/>
        <w:t xml:space="preserve">v poklesu </w:t>
      </w:r>
      <w:r w:rsidR="008E3BA7">
        <w:rPr>
          <w:rFonts w:ascii="Calibri" w:hAnsi="Calibri" w:cs="Calibri"/>
          <w:b/>
          <w:color w:val="13576B"/>
          <w:sz w:val="23"/>
          <w:szCs w:val="23"/>
        </w:rPr>
        <w:t>tržní</w:t>
      </w:r>
      <w:r w:rsidR="00B52A2C">
        <w:rPr>
          <w:rFonts w:ascii="Calibri" w:hAnsi="Calibri" w:cs="Calibri"/>
          <w:b/>
          <w:color w:val="13576B"/>
          <w:sz w:val="23"/>
          <w:szCs w:val="23"/>
        </w:rPr>
        <w:t>ch</w:t>
      </w:r>
      <w:r w:rsidR="008E3BA7">
        <w:rPr>
          <w:rFonts w:ascii="Calibri" w:hAnsi="Calibri" w:cs="Calibri"/>
          <w:b/>
          <w:color w:val="13576B"/>
          <w:sz w:val="23"/>
          <w:szCs w:val="23"/>
        </w:rPr>
        <w:t xml:space="preserve"> úrokov</w:t>
      </w:r>
      <w:r w:rsidR="00B52A2C">
        <w:rPr>
          <w:rFonts w:ascii="Calibri" w:hAnsi="Calibri" w:cs="Calibri"/>
          <w:b/>
          <w:color w:val="13576B"/>
          <w:sz w:val="23"/>
          <w:szCs w:val="23"/>
        </w:rPr>
        <w:t>ých</w:t>
      </w:r>
      <w:r w:rsidR="008E3BA7">
        <w:rPr>
          <w:rFonts w:ascii="Calibri" w:hAnsi="Calibri" w:cs="Calibri"/>
          <w:b/>
          <w:color w:val="13576B"/>
          <w:sz w:val="23"/>
          <w:szCs w:val="23"/>
        </w:rPr>
        <w:t xml:space="preserve"> saz</w:t>
      </w:r>
      <w:r w:rsidR="00B52A2C">
        <w:rPr>
          <w:rFonts w:ascii="Calibri" w:hAnsi="Calibri" w:cs="Calibri"/>
          <w:b/>
          <w:color w:val="13576B"/>
          <w:sz w:val="23"/>
          <w:szCs w:val="23"/>
        </w:rPr>
        <w:t xml:space="preserve">eb a ulevilo tlaku </w:t>
      </w:r>
      <w:r w:rsidR="008E3BA7">
        <w:rPr>
          <w:rFonts w:ascii="Calibri" w:hAnsi="Calibri" w:cs="Calibri"/>
          <w:b/>
          <w:color w:val="13576B"/>
          <w:sz w:val="23"/>
          <w:szCs w:val="23"/>
        </w:rPr>
        <w:t xml:space="preserve">na růst </w:t>
      </w:r>
      <w:r w:rsidR="00F844DC">
        <w:rPr>
          <w:rFonts w:ascii="Calibri" w:hAnsi="Calibri" w:cs="Calibri"/>
          <w:b/>
          <w:color w:val="13576B"/>
          <w:sz w:val="23"/>
          <w:szCs w:val="23"/>
        </w:rPr>
        <w:t xml:space="preserve">hypotečních </w:t>
      </w:r>
      <w:proofErr w:type="gramStart"/>
      <w:r w:rsidR="00F844DC">
        <w:rPr>
          <w:rFonts w:ascii="Calibri" w:hAnsi="Calibri" w:cs="Calibri"/>
          <w:b/>
          <w:color w:val="13576B"/>
          <w:sz w:val="23"/>
          <w:szCs w:val="23"/>
        </w:rPr>
        <w:t>sazeb</w:t>
      </w:r>
      <w:r w:rsidR="00BA3140">
        <w:rPr>
          <w:rFonts w:ascii="Calibri" w:hAnsi="Calibri" w:cs="Calibri"/>
          <w:b/>
          <w:color w:val="13576B"/>
          <w:sz w:val="23"/>
          <w:szCs w:val="23"/>
        </w:rPr>
        <w:t xml:space="preserve"> </w:t>
      </w:r>
      <w:r w:rsidR="00B52A2C">
        <w:rPr>
          <w:rFonts w:ascii="Calibri" w:hAnsi="Calibri" w:cs="Calibri"/>
          <w:b/>
          <w:color w:val="13576B"/>
          <w:sz w:val="23"/>
          <w:szCs w:val="23"/>
        </w:rPr>
        <w:t xml:space="preserve"> z</w:t>
      </w:r>
      <w:proofErr w:type="gramEnd"/>
      <w:r w:rsidR="00B52A2C">
        <w:rPr>
          <w:rFonts w:ascii="Calibri" w:hAnsi="Calibri" w:cs="Calibri"/>
          <w:b/>
          <w:color w:val="13576B"/>
          <w:sz w:val="23"/>
          <w:szCs w:val="23"/>
        </w:rPr>
        <w:t> konce roku 2025</w:t>
      </w:r>
    </w:p>
    <w:p w14:paraId="7CBC6B5A" w14:textId="77777777" w:rsidR="001B2E5E" w:rsidRPr="004803D6" w:rsidRDefault="001B2E5E" w:rsidP="00F625CA">
      <w:pPr>
        <w:rPr>
          <w:rFonts w:ascii="Calibri" w:hAnsi="Calibri" w:cs="Calibri"/>
          <w:color w:val="000000"/>
          <w:sz w:val="22"/>
          <w:szCs w:val="22"/>
        </w:rPr>
      </w:pPr>
    </w:p>
    <w:p w14:paraId="0230887A" w14:textId="77777777" w:rsidR="00606031" w:rsidRDefault="00606031" w:rsidP="005874B8">
      <w:pPr>
        <w:spacing w:after="120"/>
        <w:rPr>
          <w:rFonts w:ascii="Calibri" w:hAnsi="Calibri" w:cs="Calibri"/>
          <w:b/>
          <w:color w:val="13576B"/>
          <w:sz w:val="23"/>
          <w:szCs w:val="23"/>
        </w:rPr>
        <w:sectPr w:rsidR="00606031" w:rsidSect="00606031">
          <w:type w:val="continuous"/>
          <w:pgSz w:w="11906" w:h="16838"/>
          <w:pgMar w:top="2552" w:right="849" w:bottom="1560" w:left="851" w:header="709" w:footer="283" w:gutter="0"/>
          <w:cols w:space="708"/>
          <w:docGrid w:linePitch="360"/>
        </w:sectPr>
      </w:pPr>
    </w:p>
    <w:p w14:paraId="5C054A6D" w14:textId="7AC35766" w:rsidR="00D2301A" w:rsidRPr="002138C0" w:rsidRDefault="008E3BA7" w:rsidP="005874B8">
      <w:pPr>
        <w:rPr>
          <w:rFonts w:ascii="Calibri" w:hAnsi="Calibri" w:cs="Calibri"/>
          <w:sz w:val="22"/>
          <w:szCs w:val="22"/>
          <w:highlight w:val="yellow"/>
        </w:rPr>
      </w:pPr>
      <w:r>
        <w:rPr>
          <w:rFonts w:ascii="Calibri" w:hAnsi="Calibri" w:cs="Calibri"/>
          <w:noProof/>
          <w:sz w:val="22"/>
          <w:szCs w:val="22"/>
          <w:highlight w:val="yellow"/>
        </w:rPr>
        <w:drawing>
          <wp:inline distT="0" distB="0" distL="0" distR="0" wp14:anchorId="4056AAF6" wp14:editId="706A01F3">
            <wp:extent cx="3305175" cy="1901190"/>
            <wp:effectExtent l="0" t="0" r="9525" b="3810"/>
            <wp:docPr id="28153138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1531383" name="Picture 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96DAC541-7B7A-43D3-8B79-37D633B846F1}">
                          <asvg:svgBlip xmlns:asvg="http://schemas.microsoft.com/office/drawing/2016/SVG/main" r:embed="rId23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6230" cy="19017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B88724" w14:textId="17255E86" w:rsidR="001B2E5E" w:rsidRDefault="00691287" w:rsidP="001B2E5E">
      <w:pPr>
        <w:overflowPunct/>
        <w:autoSpaceDE/>
        <w:adjustRightInd/>
        <w:rPr>
          <w:rFonts w:ascii="Calibri" w:hAnsi="Calibri" w:cs="Calibri"/>
          <w:b/>
          <w:color w:val="13576B"/>
          <w:sz w:val="23"/>
          <w:szCs w:val="23"/>
        </w:rPr>
      </w:pPr>
      <w:r w:rsidRPr="002F4CBD">
        <w:rPr>
          <w:rFonts w:ascii="Calibri Light" w:hAnsi="Calibri Light" w:cs="Calibri Light"/>
          <w:color w:val="13576B"/>
          <w:sz w:val="20"/>
        </w:rPr>
        <w:t xml:space="preserve">Pramen: </w:t>
      </w:r>
      <w:r w:rsidR="006F74BF">
        <w:rPr>
          <w:rFonts w:ascii="Calibri Light" w:hAnsi="Calibri Light" w:cs="Calibri Light"/>
          <w:color w:val="13576B"/>
          <w:sz w:val="20"/>
        </w:rPr>
        <w:t xml:space="preserve">ČNB, </w:t>
      </w:r>
      <w:r w:rsidRPr="002F4CBD">
        <w:rPr>
          <w:rFonts w:ascii="Calibri Light" w:hAnsi="Calibri Light" w:cs="Calibri Light"/>
          <w:color w:val="13576B"/>
          <w:sz w:val="20"/>
        </w:rPr>
        <w:t xml:space="preserve">ČBA </w:t>
      </w:r>
      <w:proofErr w:type="spellStart"/>
      <w:r w:rsidRPr="002F4CBD">
        <w:rPr>
          <w:rFonts w:ascii="Calibri Light" w:hAnsi="Calibri Light" w:cs="Calibri Light"/>
          <w:color w:val="13576B"/>
          <w:sz w:val="20"/>
        </w:rPr>
        <w:t>Hypomonitor</w:t>
      </w:r>
      <w:bookmarkStart w:id="6" w:name="_Hlk137652102"/>
      <w:proofErr w:type="spellEnd"/>
    </w:p>
    <w:p w14:paraId="53F00851" w14:textId="7997E1E3" w:rsidR="006337E7" w:rsidRDefault="008E3BA7" w:rsidP="006337E7">
      <w:pPr>
        <w:rPr>
          <w:rFonts w:ascii="Calibri" w:hAnsi="Calibri" w:cs="Calibri"/>
          <w:color w:val="000000" w:themeColor="text1"/>
          <w:sz w:val="22"/>
          <w:szCs w:val="22"/>
        </w:rPr>
      </w:pPr>
      <w:r>
        <w:rPr>
          <w:rFonts w:ascii="Calibri" w:hAnsi="Calibri" w:cs="Calibri"/>
          <w:noProof/>
          <w:color w:val="000000" w:themeColor="text1"/>
          <w:sz w:val="22"/>
          <w:szCs w:val="22"/>
        </w:rPr>
        <w:drawing>
          <wp:inline distT="0" distB="0" distL="0" distR="0" wp14:anchorId="3F9E6C4C" wp14:editId="444DF7C7">
            <wp:extent cx="3024784" cy="1907450"/>
            <wp:effectExtent l="0" t="0" r="4445" b="0"/>
            <wp:docPr id="1076173695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6173695" name="Picture 8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96DAC541-7B7A-43D3-8B79-37D633B846F1}">
                          <asvg:svgBlip xmlns:asvg="http://schemas.microsoft.com/office/drawing/2016/SVG/main" r:embed="rId25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4784" cy="190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B50194" w14:textId="277C6608" w:rsidR="00F20967" w:rsidRDefault="006337E7" w:rsidP="00DD1BFF">
      <w:pPr>
        <w:rPr>
          <w:rFonts w:asciiTheme="minorHAnsi" w:hAnsiTheme="minorHAnsi" w:cstheme="minorHAnsi"/>
          <w:color w:val="13576B"/>
          <w:sz w:val="20"/>
        </w:rPr>
      </w:pPr>
      <w:r w:rsidRPr="00AA62A7">
        <w:rPr>
          <w:rFonts w:asciiTheme="minorHAnsi" w:hAnsiTheme="minorHAnsi" w:cstheme="minorHAnsi"/>
          <w:color w:val="2F5496" w:themeColor="accent5" w:themeShade="BF"/>
          <w:sz w:val="20"/>
        </w:rPr>
        <w:t>Pramen</w:t>
      </w:r>
      <w:r w:rsidRPr="00AA62A7">
        <w:rPr>
          <w:rFonts w:asciiTheme="minorHAnsi" w:hAnsiTheme="minorHAnsi" w:cstheme="minorHAnsi"/>
          <w:color w:val="13576B"/>
          <w:sz w:val="20"/>
        </w:rPr>
        <w:t xml:space="preserve">: </w:t>
      </w:r>
      <w:r>
        <w:rPr>
          <w:rFonts w:asciiTheme="minorHAnsi" w:hAnsiTheme="minorHAnsi" w:cstheme="minorHAnsi"/>
          <w:color w:val="13576B"/>
          <w:sz w:val="20"/>
        </w:rPr>
        <w:t xml:space="preserve">LSEG, </w:t>
      </w:r>
      <w:proofErr w:type="spellStart"/>
      <w:r>
        <w:rPr>
          <w:rFonts w:asciiTheme="minorHAnsi" w:hAnsiTheme="minorHAnsi" w:cstheme="minorHAnsi"/>
          <w:color w:val="13576B"/>
          <w:sz w:val="20"/>
        </w:rPr>
        <w:t>Macrobond</w:t>
      </w:r>
      <w:proofErr w:type="spellEnd"/>
      <w:r>
        <w:rPr>
          <w:rFonts w:asciiTheme="minorHAnsi" w:hAnsiTheme="minorHAnsi" w:cstheme="minorHAnsi"/>
          <w:color w:val="13576B"/>
          <w:sz w:val="20"/>
        </w:rPr>
        <w:t xml:space="preserve"> (</w:t>
      </w:r>
      <w:r w:rsidR="00BA3140">
        <w:rPr>
          <w:rFonts w:asciiTheme="minorHAnsi" w:hAnsiTheme="minorHAnsi" w:cstheme="minorHAnsi"/>
          <w:color w:val="13576B"/>
          <w:sz w:val="20"/>
        </w:rPr>
        <w:t>12</w:t>
      </w:r>
      <w:r>
        <w:rPr>
          <w:rFonts w:asciiTheme="minorHAnsi" w:hAnsiTheme="minorHAnsi" w:cstheme="minorHAnsi"/>
          <w:color w:val="13576B"/>
          <w:sz w:val="20"/>
        </w:rPr>
        <w:t xml:space="preserve">. </w:t>
      </w:r>
      <w:r w:rsidR="00BA3140">
        <w:rPr>
          <w:rFonts w:asciiTheme="minorHAnsi" w:hAnsiTheme="minorHAnsi" w:cstheme="minorHAnsi"/>
          <w:color w:val="13576B"/>
          <w:sz w:val="20"/>
        </w:rPr>
        <w:t>února</w:t>
      </w:r>
      <w:r w:rsidR="00055000">
        <w:rPr>
          <w:rFonts w:asciiTheme="minorHAnsi" w:hAnsiTheme="minorHAnsi" w:cstheme="minorHAnsi"/>
          <w:color w:val="13576B"/>
          <w:sz w:val="20"/>
        </w:rPr>
        <w:t xml:space="preserve"> </w:t>
      </w:r>
      <w:r>
        <w:rPr>
          <w:rFonts w:asciiTheme="minorHAnsi" w:hAnsiTheme="minorHAnsi" w:cstheme="minorHAnsi"/>
          <w:color w:val="13576B"/>
          <w:sz w:val="20"/>
        </w:rPr>
        <w:t>202</w:t>
      </w:r>
      <w:r w:rsidR="00BA3140">
        <w:rPr>
          <w:rFonts w:asciiTheme="minorHAnsi" w:hAnsiTheme="minorHAnsi" w:cstheme="minorHAnsi"/>
          <w:color w:val="13576B"/>
          <w:sz w:val="20"/>
        </w:rPr>
        <w:t>6</w:t>
      </w:r>
      <w:r>
        <w:rPr>
          <w:rFonts w:asciiTheme="minorHAnsi" w:hAnsiTheme="minorHAnsi" w:cstheme="minorHAnsi"/>
          <w:color w:val="13576B"/>
          <w:sz w:val="20"/>
        </w:rPr>
        <w:t xml:space="preserve">), </w:t>
      </w:r>
      <w:r w:rsidRPr="00AA62A7">
        <w:rPr>
          <w:rFonts w:asciiTheme="minorHAnsi" w:hAnsiTheme="minorHAnsi" w:cstheme="minorHAnsi"/>
          <w:color w:val="13576B"/>
          <w:sz w:val="20"/>
        </w:rPr>
        <w:t>ČB</w:t>
      </w:r>
      <w:r w:rsidR="00F20967">
        <w:rPr>
          <w:rFonts w:asciiTheme="minorHAnsi" w:hAnsiTheme="minorHAnsi" w:cstheme="minorHAnsi"/>
          <w:color w:val="13576B"/>
          <w:sz w:val="20"/>
        </w:rPr>
        <w:t>A</w:t>
      </w:r>
    </w:p>
    <w:p w14:paraId="1AF065D2" w14:textId="464EA7CD" w:rsidR="00F20967" w:rsidRPr="00606031" w:rsidRDefault="00F20967" w:rsidP="00DD1BFF">
      <w:pPr>
        <w:rPr>
          <w:rFonts w:ascii="Calibri" w:hAnsi="Calibri" w:cs="Calibri"/>
          <w:color w:val="000000" w:themeColor="text1"/>
          <w:sz w:val="22"/>
          <w:szCs w:val="22"/>
        </w:rPr>
        <w:sectPr w:rsidR="00F20967" w:rsidRPr="00606031" w:rsidSect="00606031">
          <w:type w:val="continuous"/>
          <w:pgSz w:w="11906" w:h="16838"/>
          <w:pgMar w:top="2552" w:right="849" w:bottom="1560" w:left="851" w:header="709" w:footer="283" w:gutter="0"/>
          <w:cols w:num="2" w:space="708"/>
          <w:docGrid w:linePitch="360"/>
        </w:sectPr>
      </w:pPr>
    </w:p>
    <w:p w14:paraId="602A8F07" w14:textId="77777777" w:rsidR="001B2E5E" w:rsidRDefault="001B2E5E" w:rsidP="00055000">
      <w:pPr>
        <w:overflowPunct/>
        <w:autoSpaceDE/>
        <w:autoSpaceDN/>
        <w:adjustRightInd/>
        <w:textAlignment w:val="auto"/>
        <w:rPr>
          <w:rFonts w:ascii="Calibri" w:hAnsi="Calibri" w:cs="Calibri"/>
          <w:b/>
          <w:bCs/>
          <w:color w:val="000000" w:themeColor="text1"/>
          <w:sz w:val="22"/>
          <w:szCs w:val="22"/>
        </w:rPr>
      </w:pPr>
    </w:p>
    <w:p w14:paraId="077932C6" w14:textId="77777777" w:rsidR="00D1522E" w:rsidRPr="00D1522E" w:rsidRDefault="00D1522E" w:rsidP="009C5D66">
      <w:pPr>
        <w:rPr>
          <w:rFonts w:ascii="Calibri" w:hAnsi="Calibri" w:cs="Calibri"/>
          <w:b/>
          <w:color w:val="13576B"/>
          <w:sz w:val="24"/>
          <w:szCs w:val="24"/>
        </w:rPr>
      </w:pPr>
      <w:bookmarkStart w:id="7" w:name="_Hlk100672905"/>
      <w:bookmarkEnd w:id="6"/>
      <w:r w:rsidRPr="00D1522E">
        <w:rPr>
          <w:rFonts w:ascii="Calibri" w:hAnsi="Calibri" w:cs="Calibri"/>
          <w:b/>
          <w:color w:val="13576B"/>
          <w:sz w:val="24"/>
          <w:szCs w:val="24"/>
        </w:rPr>
        <w:t>Dopady na průměrnou lednovou hypoteční splátku okolo 24,2 tisíc Kč, ovšem s mediánem u 19 tisíc</w:t>
      </w:r>
    </w:p>
    <w:p w14:paraId="21211815" w14:textId="77777777" w:rsidR="00D1522E" w:rsidRDefault="00D1522E" w:rsidP="009C5D66">
      <w:pPr>
        <w:rPr>
          <w:rFonts w:ascii="Calibri" w:hAnsi="Calibri" w:cs="Calibri"/>
          <w:color w:val="000000" w:themeColor="text1"/>
          <w:sz w:val="22"/>
          <w:szCs w:val="22"/>
        </w:rPr>
      </w:pPr>
    </w:p>
    <w:p w14:paraId="29239900" w14:textId="02BB784F" w:rsidR="00D1522E" w:rsidRDefault="00D1522E" w:rsidP="009C5D66">
      <w:pPr>
        <w:rPr>
          <w:rFonts w:ascii="Calibri" w:hAnsi="Calibri" w:cs="Calibri"/>
          <w:color w:val="000000" w:themeColor="text1"/>
          <w:sz w:val="22"/>
          <w:szCs w:val="22"/>
        </w:rPr>
      </w:pPr>
      <w:r w:rsidRPr="00356A6D">
        <w:rPr>
          <w:rFonts w:ascii="Calibri" w:hAnsi="Calibri" w:cs="Calibri"/>
          <w:b/>
          <w:bCs/>
          <w:color w:val="000000" w:themeColor="text1"/>
          <w:sz w:val="22"/>
          <w:szCs w:val="22"/>
        </w:rPr>
        <w:t>Kombinace poklesu úrokové sazby a vyšší průměrné výše hypotéky v lednu 2026 ve srovnání s průměrnými hodnotami z roku 2025 zvýšily průměrnou měsíční splátku hypotéky o 1,4 tis. Kč.</w:t>
      </w:r>
      <w:r w:rsidRPr="00D1522E">
        <w:rPr>
          <w:rFonts w:ascii="Calibri" w:hAnsi="Calibri" w:cs="Calibri"/>
          <w:color w:val="000000" w:themeColor="text1"/>
          <w:sz w:val="22"/>
          <w:szCs w:val="22"/>
        </w:rPr>
        <w:t xml:space="preserve"> Scénáře vývoje měsíční splátky pro různé délky splatnosti hypotéky znázorňuje tabulka č. 2. Ta napovídá, že pokles hypotečních sazeb přes </w:t>
      </w:r>
      <w:proofErr w:type="gramStart"/>
      <w:r w:rsidRPr="00D1522E">
        <w:rPr>
          <w:rFonts w:ascii="Calibri" w:hAnsi="Calibri" w:cs="Calibri"/>
          <w:color w:val="000000" w:themeColor="text1"/>
          <w:sz w:val="22"/>
          <w:szCs w:val="22"/>
        </w:rPr>
        <w:t>0,1 procentního</w:t>
      </w:r>
      <w:proofErr w:type="gramEnd"/>
      <w:r w:rsidRPr="00D1522E">
        <w:rPr>
          <w:rFonts w:ascii="Calibri" w:hAnsi="Calibri" w:cs="Calibri"/>
          <w:color w:val="000000" w:themeColor="text1"/>
          <w:sz w:val="22"/>
          <w:szCs w:val="22"/>
        </w:rPr>
        <w:t xml:space="preserve"> bodu vůči jejich průměrné výši 4,58 % v roce 2025 </w:t>
      </w:r>
      <w:r>
        <w:rPr>
          <w:rFonts w:ascii="Calibri" w:hAnsi="Calibri" w:cs="Calibri"/>
          <w:color w:val="000000" w:themeColor="text1"/>
          <w:sz w:val="22"/>
          <w:szCs w:val="22"/>
        </w:rPr>
        <w:t xml:space="preserve">přinesl mírnější snížení </w:t>
      </w:r>
      <w:r w:rsidRPr="00D1522E">
        <w:rPr>
          <w:rFonts w:ascii="Calibri" w:hAnsi="Calibri" w:cs="Calibri"/>
          <w:color w:val="000000" w:themeColor="text1"/>
          <w:sz w:val="22"/>
          <w:szCs w:val="22"/>
        </w:rPr>
        <w:t xml:space="preserve">měsíční splátky o necelých 300 Kč na přibližně 24,2 tis. Kč, tedy o 0,3 % čistého příjmu žadatele v porovnání s průměrnou splátkou v minulém roce. Ve srovnání s průměrnou hypoteční sazbou 5,07 % v roce 2024 dosáhla úspora kvůli úrokové sazbě necelých 1 600 Kč pro hypotéku v její aktuální průměrné hodnotě. Ovšem současná průměrná výše hypotéky je o 7 % vyšší než její průměrná výše v roce 2024, což přispívá k navýšení měsíční splátky o 1,6 tis. Kč ve srovnání s průměrnou měsíční splátkou v minulém roce navázanou na loňskou průměrnou výši hypotéky ovšem při současné úrokové sazbě.  </w:t>
      </w:r>
    </w:p>
    <w:p w14:paraId="5C5A891F" w14:textId="77777777" w:rsidR="00D1522E" w:rsidRDefault="00D1522E" w:rsidP="009C5D66">
      <w:pPr>
        <w:rPr>
          <w:rFonts w:ascii="Calibri" w:hAnsi="Calibri" w:cs="Calibri"/>
          <w:color w:val="000000" w:themeColor="text1"/>
          <w:sz w:val="22"/>
          <w:szCs w:val="22"/>
        </w:rPr>
      </w:pPr>
    </w:p>
    <w:p w14:paraId="1AE7E677" w14:textId="7F5C1D9D" w:rsidR="00D1522E" w:rsidRPr="00D1522E" w:rsidRDefault="00D1522E" w:rsidP="009C5D66">
      <w:pPr>
        <w:rPr>
          <w:rFonts w:ascii="Calibri" w:hAnsi="Calibri" w:cs="Calibri"/>
          <w:color w:val="000000" w:themeColor="text1"/>
          <w:sz w:val="22"/>
          <w:szCs w:val="22"/>
        </w:rPr>
      </w:pPr>
      <w:r w:rsidRPr="00356A6D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Naopak, ve srovnání s průměrnou </w:t>
      </w:r>
      <w:proofErr w:type="gramStart"/>
      <w:r w:rsidRPr="00356A6D">
        <w:rPr>
          <w:rFonts w:ascii="Calibri" w:hAnsi="Calibri" w:cs="Calibri"/>
          <w:b/>
          <w:bCs/>
          <w:color w:val="000000" w:themeColor="text1"/>
          <w:sz w:val="22"/>
          <w:szCs w:val="22"/>
        </w:rPr>
        <w:t>2,8%</w:t>
      </w:r>
      <w:proofErr w:type="gramEnd"/>
      <w:r w:rsidRPr="00356A6D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 úrokovou hypoteční sazbou pro nové hypotéky v roce 2019</w:t>
      </w:r>
      <w:r w:rsidRPr="00D1522E">
        <w:rPr>
          <w:rFonts w:ascii="Calibri" w:hAnsi="Calibri" w:cs="Calibri"/>
          <w:color w:val="000000" w:themeColor="text1"/>
          <w:sz w:val="22"/>
          <w:szCs w:val="22"/>
        </w:rPr>
        <w:t>, tak současná hypoteční sazba pro refinancování ve výši 4,45 % při zkrácení splatnosti úvěru zvedá měsíční splátky u průměrné hypotéky více než 1600 Kč, tedy asi o 3,3 % současné hrubé průměrné mzdy.</w:t>
      </w:r>
    </w:p>
    <w:p w14:paraId="127D4536" w14:textId="77777777" w:rsidR="00D1522E" w:rsidRDefault="00D1522E" w:rsidP="009C5D66">
      <w:pPr>
        <w:rPr>
          <w:rFonts w:ascii="Calibri" w:hAnsi="Calibri" w:cs="Calibri"/>
          <w:b/>
          <w:bCs/>
          <w:color w:val="000000" w:themeColor="text1"/>
          <w:sz w:val="22"/>
          <w:szCs w:val="22"/>
        </w:rPr>
      </w:pPr>
    </w:p>
    <w:p w14:paraId="1A267256" w14:textId="4D53EFB8" w:rsidR="009D3067" w:rsidRPr="00515ECA" w:rsidRDefault="009D3067" w:rsidP="008569DC">
      <w:pPr>
        <w:overflowPunct/>
        <w:autoSpaceDE/>
        <w:autoSpaceDN/>
        <w:adjustRightInd/>
        <w:spacing w:line="259" w:lineRule="auto"/>
        <w:textAlignment w:val="auto"/>
        <w:rPr>
          <w:rFonts w:ascii="Calibri" w:hAnsi="Calibri" w:cs="Calibri"/>
          <w:b/>
          <w:color w:val="13576B"/>
          <w:sz w:val="23"/>
          <w:szCs w:val="23"/>
        </w:rPr>
      </w:pPr>
      <w:bookmarkStart w:id="8" w:name="_Hlk190458144"/>
      <w:bookmarkEnd w:id="7"/>
      <w:r w:rsidRPr="00515ECA">
        <w:rPr>
          <w:rFonts w:ascii="Calibri" w:hAnsi="Calibri" w:cs="Calibri"/>
          <w:b/>
          <w:color w:val="13576B"/>
          <w:sz w:val="23"/>
          <w:szCs w:val="23"/>
        </w:rPr>
        <w:t xml:space="preserve">Tabulka č. 2: </w:t>
      </w:r>
      <w:r w:rsidR="004B441B">
        <w:rPr>
          <w:rFonts w:ascii="Calibri" w:hAnsi="Calibri" w:cs="Calibri"/>
          <w:b/>
          <w:color w:val="13576B"/>
          <w:sz w:val="23"/>
          <w:szCs w:val="23"/>
        </w:rPr>
        <w:t>Ilustrace</w:t>
      </w:r>
      <w:r w:rsidR="00EB1892">
        <w:rPr>
          <w:rFonts w:ascii="Calibri" w:hAnsi="Calibri" w:cs="Calibri"/>
          <w:b/>
          <w:color w:val="13576B"/>
          <w:sz w:val="23"/>
          <w:szCs w:val="23"/>
        </w:rPr>
        <w:t xml:space="preserve"> m</w:t>
      </w:r>
      <w:r w:rsidRPr="00515ECA">
        <w:rPr>
          <w:rFonts w:ascii="Calibri" w:hAnsi="Calibri" w:cs="Calibri"/>
          <w:b/>
          <w:color w:val="13576B"/>
          <w:sz w:val="23"/>
          <w:szCs w:val="23"/>
        </w:rPr>
        <w:t>ěsíční splátk</w:t>
      </w:r>
      <w:r w:rsidR="004B441B">
        <w:rPr>
          <w:rFonts w:ascii="Calibri" w:hAnsi="Calibri" w:cs="Calibri"/>
          <w:b/>
          <w:color w:val="13576B"/>
          <w:sz w:val="23"/>
          <w:szCs w:val="23"/>
        </w:rPr>
        <w:t>y</w:t>
      </w:r>
      <w:r w:rsidRPr="00515ECA">
        <w:rPr>
          <w:rFonts w:ascii="Calibri" w:hAnsi="Calibri" w:cs="Calibri"/>
          <w:b/>
          <w:color w:val="13576B"/>
          <w:sz w:val="23"/>
          <w:szCs w:val="23"/>
        </w:rPr>
        <w:t xml:space="preserve"> průměrné</w:t>
      </w:r>
      <w:r w:rsidR="00D1522E">
        <w:rPr>
          <w:rFonts w:ascii="Calibri" w:hAnsi="Calibri" w:cs="Calibri"/>
          <w:b/>
          <w:color w:val="13576B"/>
          <w:sz w:val="23"/>
          <w:szCs w:val="23"/>
        </w:rPr>
        <w:t xml:space="preserve"> a mediánové</w:t>
      </w:r>
      <w:r w:rsidRPr="00515ECA">
        <w:rPr>
          <w:rFonts w:ascii="Calibri" w:hAnsi="Calibri" w:cs="Calibri"/>
          <w:b/>
          <w:color w:val="13576B"/>
          <w:sz w:val="23"/>
          <w:szCs w:val="23"/>
        </w:rPr>
        <w:t xml:space="preserve"> hypotéky v závislosti na délce splatnosti a úrokové sazbě</w:t>
      </w:r>
    </w:p>
    <w:tbl>
      <w:tblPr>
        <w:tblW w:w="1041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"/>
        <w:gridCol w:w="821"/>
        <w:gridCol w:w="880"/>
        <w:gridCol w:w="850"/>
        <w:gridCol w:w="284"/>
        <w:gridCol w:w="567"/>
        <w:gridCol w:w="81"/>
        <w:gridCol w:w="770"/>
        <w:gridCol w:w="75"/>
        <w:gridCol w:w="776"/>
        <w:gridCol w:w="65"/>
        <w:gridCol w:w="95"/>
        <w:gridCol w:w="785"/>
        <w:gridCol w:w="737"/>
        <w:gridCol w:w="84"/>
        <w:gridCol w:w="694"/>
        <w:gridCol w:w="157"/>
        <w:gridCol w:w="647"/>
        <w:gridCol w:w="203"/>
        <w:gridCol w:w="784"/>
        <w:gridCol w:w="71"/>
      </w:tblGrid>
      <w:tr w:rsidR="004D6F30" w:rsidRPr="004D6F30" w14:paraId="21173EF6" w14:textId="77777777" w:rsidTr="00923A02">
        <w:trPr>
          <w:trHeight w:val="555"/>
        </w:trPr>
        <w:tc>
          <w:tcPr>
            <w:tcW w:w="439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8CFC4DD" w14:textId="724EBC0F" w:rsidR="004D6F30" w:rsidRPr="004D6F30" w:rsidRDefault="004D6F30" w:rsidP="004D6F30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4D6F30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 xml:space="preserve">Průměrná </w:t>
            </w:r>
            <w:r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výše</w:t>
            </w:r>
            <w:r w:rsidRPr="004D6F30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 xml:space="preserve"> nové hypotéky v Kč:</w:t>
            </w:r>
          </w:p>
        </w:tc>
        <w:tc>
          <w:tcPr>
            <w:tcW w:w="170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7211628" w14:textId="5FEC7813" w:rsidR="004D6F30" w:rsidRPr="004D6F30" w:rsidRDefault="004D6F30" w:rsidP="004D6F3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4D6F30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4 513 7</w:t>
            </w:r>
            <w:r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90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5BC8E3" w14:textId="77777777" w:rsidR="004D6F30" w:rsidRPr="004D6F30" w:rsidRDefault="004D6F30" w:rsidP="004D6F3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5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B366376" w14:textId="4967C257" w:rsidR="004D6F30" w:rsidRPr="004D6F30" w:rsidRDefault="004D6F30" w:rsidP="004D6F30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4D6F30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 xml:space="preserve">Mediánová </w:t>
            </w:r>
            <w:r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výše</w:t>
            </w:r>
            <w:r w:rsidRPr="004D6F30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 xml:space="preserve"> v Kč:</w:t>
            </w:r>
          </w:p>
        </w:tc>
        <w:tc>
          <w:tcPr>
            <w:tcW w:w="170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0928C25" w14:textId="357EFF2C" w:rsidR="004D6F30" w:rsidRPr="004D6F30" w:rsidRDefault="004D6F30" w:rsidP="004D6F3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4D6F30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3 761 49</w:t>
            </w:r>
            <w:r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4D6F30" w:rsidRPr="004D6F30" w14:paraId="503E020F" w14:textId="77777777" w:rsidTr="004D6F30">
        <w:trPr>
          <w:trHeight w:val="300"/>
        </w:trPr>
        <w:tc>
          <w:tcPr>
            <w:tcW w:w="181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3D71CD7" w14:textId="77777777" w:rsidR="004D6F30" w:rsidRPr="004D6F30" w:rsidRDefault="004D6F30" w:rsidP="004D6F30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4D6F30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Průměrná úroková sazba v %: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E7A23CC" w14:textId="77777777" w:rsidR="004D6F30" w:rsidRPr="004D6F30" w:rsidRDefault="004D6F30" w:rsidP="004D6F3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4D6F30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2,0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EBC0BB8" w14:textId="77777777" w:rsidR="004D6F30" w:rsidRPr="004D6F30" w:rsidRDefault="004D6F30" w:rsidP="004D6F3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4D6F30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4,0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AF3EA"/>
            <w:noWrap/>
            <w:vAlign w:val="center"/>
            <w:hideMark/>
          </w:tcPr>
          <w:p w14:paraId="3F1A7E0A" w14:textId="77777777" w:rsidR="004D6F30" w:rsidRPr="004D6F30" w:rsidRDefault="004D6F30" w:rsidP="004D6F3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4D6F30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4,48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6622A8F" w14:textId="77777777" w:rsidR="004D6F30" w:rsidRPr="004D6F30" w:rsidRDefault="004D6F30" w:rsidP="004D6F3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4D6F30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5,0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F07A37D" w14:textId="77777777" w:rsidR="004D6F30" w:rsidRPr="004D6F30" w:rsidRDefault="004D6F30" w:rsidP="004D6F3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4D6F30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6,0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7CFD8" w14:textId="77777777" w:rsidR="004D6F30" w:rsidRPr="004D6F30" w:rsidRDefault="004D6F30" w:rsidP="004D6F3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38D7EB7" w14:textId="77777777" w:rsidR="004D6F30" w:rsidRPr="004D6F30" w:rsidRDefault="004D6F30" w:rsidP="004D6F3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4D6F30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2,0</w:t>
            </w:r>
          </w:p>
        </w:tc>
        <w:tc>
          <w:tcPr>
            <w:tcW w:w="82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64305DF" w14:textId="77777777" w:rsidR="004D6F30" w:rsidRPr="004D6F30" w:rsidRDefault="004D6F30" w:rsidP="004D6F3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4D6F30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4,0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AF3EA"/>
            <w:noWrap/>
            <w:vAlign w:val="center"/>
            <w:hideMark/>
          </w:tcPr>
          <w:p w14:paraId="04454296" w14:textId="77777777" w:rsidR="004D6F30" w:rsidRPr="004D6F30" w:rsidRDefault="004D6F30" w:rsidP="004D6F3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4D6F30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4,48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01830A8" w14:textId="77777777" w:rsidR="004D6F30" w:rsidRPr="004D6F30" w:rsidRDefault="004D6F30" w:rsidP="004D6F3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4D6F30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5,0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B0F97C3" w14:textId="77777777" w:rsidR="004D6F30" w:rsidRPr="004D6F30" w:rsidRDefault="004D6F30" w:rsidP="004D6F3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4D6F30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6,0</w:t>
            </w:r>
          </w:p>
        </w:tc>
      </w:tr>
      <w:tr w:rsidR="004D6F30" w:rsidRPr="004D6F30" w14:paraId="79B41599" w14:textId="77777777" w:rsidTr="004D6F30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E1DAC7" w14:textId="77777777" w:rsidR="004D6F30" w:rsidRPr="004D6F30" w:rsidRDefault="004D6F30" w:rsidP="004D6F30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6F3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3029F" w14:textId="77777777" w:rsidR="004D6F30" w:rsidRPr="004D6F30" w:rsidRDefault="004D6F30" w:rsidP="004D6F30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6F3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8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6D87131" w14:textId="77777777" w:rsidR="004D6F30" w:rsidRPr="004D6F30" w:rsidRDefault="004D6F30" w:rsidP="004D6F3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4D6F30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Průměrná měsíční splátka: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B4023" w14:textId="77777777" w:rsidR="004D6F30" w:rsidRPr="004D6F30" w:rsidRDefault="004D6F30" w:rsidP="004D6F3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16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B5868AA" w14:textId="77777777" w:rsidR="004D6F30" w:rsidRPr="004D6F30" w:rsidRDefault="004D6F30" w:rsidP="004D6F3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4D6F30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Mediánová měsíční splátka:</w:t>
            </w:r>
          </w:p>
        </w:tc>
      </w:tr>
      <w:tr w:rsidR="004D6F30" w:rsidRPr="004D6F30" w14:paraId="200FE846" w14:textId="77777777" w:rsidTr="004D6F30">
        <w:trPr>
          <w:trHeight w:val="300"/>
        </w:trPr>
        <w:tc>
          <w:tcPr>
            <w:tcW w:w="99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CAD989A" w14:textId="77777777" w:rsidR="004D6F30" w:rsidRPr="004D6F30" w:rsidRDefault="004D6F30" w:rsidP="004D6F3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4D6F30">
              <w:rPr>
                <w:rFonts w:ascii="Calibri Light" w:hAnsi="Calibri Light" w:cs="Calibri Light"/>
                <w:color w:val="000000"/>
                <w:sz w:val="22"/>
                <w:szCs w:val="22"/>
              </w:rPr>
              <w:t>Splatnost hypotéky v letech: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415E5" w14:textId="77777777" w:rsidR="004D6F30" w:rsidRPr="004D6F30" w:rsidRDefault="004D6F30" w:rsidP="004D6F3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4D6F30">
              <w:rPr>
                <w:rFonts w:ascii="Calibri Light" w:hAnsi="Calibri Light" w:cs="Calibri Light"/>
                <w:color w:val="000000"/>
                <w:sz w:val="22"/>
                <w:szCs w:val="22"/>
              </w:rPr>
              <w:t>15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88FD1C" w14:textId="77777777" w:rsidR="004D6F30" w:rsidRPr="004D6F30" w:rsidRDefault="004D6F30" w:rsidP="004D6F3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4D6F30">
              <w:rPr>
                <w:rFonts w:ascii="Calibri Light" w:hAnsi="Calibri Light" w:cs="Calibri Light"/>
                <w:color w:val="000000"/>
                <w:sz w:val="22"/>
                <w:szCs w:val="22"/>
              </w:rPr>
              <w:t>29 050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62EC05" w14:textId="77777777" w:rsidR="004D6F30" w:rsidRPr="004D6F30" w:rsidRDefault="004D6F30" w:rsidP="004D6F3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4D6F30">
              <w:rPr>
                <w:rFonts w:ascii="Calibri Light" w:hAnsi="Calibri Light" w:cs="Calibri Light"/>
                <w:color w:val="000000"/>
                <w:sz w:val="22"/>
                <w:szCs w:val="22"/>
              </w:rPr>
              <w:t>33 390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AF3EA"/>
            <w:noWrap/>
            <w:vAlign w:val="center"/>
            <w:hideMark/>
          </w:tcPr>
          <w:p w14:paraId="4F055548" w14:textId="77777777" w:rsidR="004D6F30" w:rsidRPr="004D6F30" w:rsidRDefault="004D6F30" w:rsidP="004D6F3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4D6F30">
              <w:rPr>
                <w:rFonts w:ascii="Calibri Light" w:hAnsi="Calibri Light" w:cs="Calibri Light"/>
                <w:color w:val="000000"/>
                <w:sz w:val="22"/>
                <w:szCs w:val="22"/>
              </w:rPr>
              <w:t>34 490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A5805A" w14:textId="77777777" w:rsidR="004D6F30" w:rsidRPr="004D6F30" w:rsidRDefault="004D6F30" w:rsidP="004D6F3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4D6F30">
              <w:rPr>
                <w:rFonts w:ascii="Calibri Light" w:hAnsi="Calibri Light" w:cs="Calibri Light"/>
                <w:color w:val="000000"/>
                <w:sz w:val="22"/>
                <w:szCs w:val="22"/>
              </w:rPr>
              <w:t>35 690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39C453" w14:textId="77777777" w:rsidR="004D6F30" w:rsidRPr="004D6F30" w:rsidRDefault="004D6F30" w:rsidP="004D6F3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4D6F30">
              <w:rPr>
                <w:rFonts w:ascii="Calibri Light" w:hAnsi="Calibri Light" w:cs="Calibri Light"/>
                <w:color w:val="000000"/>
                <w:sz w:val="22"/>
                <w:szCs w:val="22"/>
              </w:rPr>
              <w:t>38 090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D96DD" w14:textId="77777777" w:rsidR="004D6F30" w:rsidRPr="004D6F30" w:rsidRDefault="004D6F30" w:rsidP="004D6F3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01A002" w14:textId="77777777" w:rsidR="004D6F30" w:rsidRPr="004D6F30" w:rsidRDefault="004D6F30" w:rsidP="004D6F3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4D6F30">
              <w:rPr>
                <w:rFonts w:ascii="Calibri Light" w:hAnsi="Calibri Light" w:cs="Calibri Light"/>
                <w:color w:val="000000"/>
                <w:sz w:val="22"/>
                <w:szCs w:val="22"/>
              </w:rPr>
              <w:t>24 210</w:t>
            </w:r>
          </w:p>
        </w:tc>
        <w:tc>
          <w:tcPr>
            <w:tcW w:w="82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645327" w14:textId="77777777" w:rsidR="004D6F30" w:rsidRPr="004D6F30" w:rsidRDefault="004D6F30" w:rsidP="004D6F3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4D6F30">
              <w:rPr>
                <w:rFonts w:ascii="Calibri Light" w:hAnsi="Calibri Light" w:cs="Calibri Light"/>
                <w:color w:val="000000"/>
                <w:sz w:val="22"/>
                <w:szCs w:val="22"/>
              </w:rPr>
              <w:t>27 820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AF3EA"/>
            <w:noWrap/>
            <w:vAlign w:val="center"/>
            <w:hideMark/>
          </w:tcPr>
          <w:p w14:paraId="31D6E4B2" w14:textId="77777777" w:rsidR="004D6F30" w:rsidRPr="004D6F30" w:rsidRDefault="004D6F30" w:rsidP="004D6F3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4D6F30">
              <w:rPr>
                <w:rFonts w:ascii="Calibri Light" w:hAnsi="Calibri Light" w:cs="Calibri Light"/>
                <w:color w:val="000000"/>
                <w:sz w:val="22"/>
                <w:szCs w:val="22"/>
              </w:rPr>
              <w:t>28 740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105F3A" w14:textId="77777777" w:rsidR="004D6F30" w:rsidRPr="004D6F30" w:rsidRDefault="004D6F30" w:rsidP="004D6F3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4D6F30">
              <w:rPr>
                <w:rFonts w:ascii="Calibri Light" w:hAnsi="Calibri Light" w:cs="Calibri Light"/>
                <w:color w:val="000000"/>
                <w:sz w:val="22"/>
                <w:szCs w:val="22"/>
              </w:rPr>
              <w:t>29 750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21F063" w14:textId="77777777" w:rsidR="004D6F30" w:rsidRPr="004D6F30" w:rsidRDefault="004D6F30" w:rsidP="004D6F3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4D6F30">
              <w:rPr>
                <w:rFonts w:ascii="Calibri Light" w:hAnsi="Calibri Light" w:cs="Calibri Light"/>
                <w:color w:val="000000"/>
                <w:sz w:val="22"/>
                <w:szCs w:val="22"/>
              </w:rPr>
              <w:t>31 740</w:t>
            </w:r>
          </w:p>
        </w:tc>
      </w:tr>
      <w:tr w:rsidR="004D6F30" w:rsidRPr="004D6F30" w14:paraId="3CABF4E3" w14:textId="77777777" w:rsidTr="004D6F30">
        <w:trPr>
          <w:trHeight w:val="300"/>
        </w:trPr>
        <w:tc>
          <w:tcPr>
            <w:tcW w:w="99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D4E84E5" w14:textId="77777777" w:rsidR="004D6F30" w:rsidRPr="004D6F30" w:rsidRDefault="004D6F30" w:rsidP="004D6F30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D1942" w14:textId="77777777" w:rsidR="004D6F30" w:rsidRPr="004D6F30" w:rsidRDefault="004D6F30" w:rsidP="004D6F3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4D6F30">
              <w:rPr>
                <w:rFonts w:ascii="Calibri Light" w:hAnsi="Calibri Light" w:cs="Calibri Light"/>
                <w:color w:val="000000"/>
                <w:sz w:val="22"/>
                <w:szCs w:val="22"/>
              </w:rPr>
              <w:t>20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CEF189" w14:textId="77777777" w:rsidR="004D6F30" w:rsidRPr="004D6F30" w:rsidRDefault="004D6F30" w:rsidP="004D6F3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4D6F30">
              <w:rPr>
                <w:rFonts w:ascii="Calibri Light" w:hAnsi="Calibri Light" w:cs="Calibri Light"/>
                <w:color w:val="000000"/>
                <w:sz w:val="22"/>
                <w:szCs w:val="22"/>
              </w:rPr>
              <w:t>22 830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14F893" w14:textId="77777777" w:rsidR="004D6F30" w:rsidRPr="004D6F30" w:rsidRDefault="004D6F30" w:rsidP="004D6F3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4D6F30">
              <w:rPr>
                <w:rFonts w:ascii="Calibri Light" w:hAnsi="Calibri Light" w:cs="Calibri Light"/>
                <w:color w:val="000000"/>
                <w:sz w:val="22"/>
                <w:szCs w:val="22"/>
              </w:rPr>
              <w:t>27 350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AF3EA"/>
            <w:noWrap/>
            <w:vAlign w:val="center"/>
            <w:hideMark/>
          </w:tcPr>
          <w:p w14:paraId="1590F725" w14:textId="77777777" w:rsidR="004D6F30" w:rsidRPr="004D6F30" w:rsidRDefault="004D6F30" w:rsidP="004D6F3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4D6F30">
              <w:rPr>
                <w:rFonts w:ascii="Calibri Light" w:hAnsi="Calibri Light" w:cs="Calibri Light"/>
                <w:color w:val="000000"/>
                <w:sz w:val="22"/>
                <w:szCs w:val="22"/>
              </w:rPr>
              <w:t>28 520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6614D0" w14:textId="77777777" w:rsidR="004D6F30" w:rsidRPr="004D6F30" w:rsidRDefault="004D6F30" w:rsidP="004D6F3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4D6F30">
              <w:rPr>
                <w:rFonts w:ascii="Calibri Light" w:hAnsi="Calibri Light" w:cs="Calibri Light"/>
                <w:color w:val="000000"/>
                <w:sz w:val="22"/>
                <w:szCs w:val="22"/>
              </w:rPr>
              <w:t>29 790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396F9D" w14:textId="77777777" w:rsidR="004D6F30" w:rsidRPr="004D6F30" w:rsidRDefault="004D6F30" w:rsidP="004D6F3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4D6F30">
              <w:rPr>
                <w:rFonts w:ascii="Calibri Light" w:hAnsi="Calibri Light" w:cs="Calibri Light"/>
                <w:color w:val="000000"/>
                <w:sz w:val="22"/>
                <w:szCs w:val="22"/>
              </w:rPr>
              <w:t>32 340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BC434" w14:textId="77777777" w:rsidR="004D6F30" w:rsidRPr="004D6F30" w:rsidRDefault="004D6F30" w:rsidP="004D6F3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230DDA" w14:textId="77777777" w:rsidR="004D6F30" w:rsidRPr="004D6F30" w:rsidRDefault="004D6F30" w:rsidP="004D6F3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4D6F30">
              <w:rPr>
                <w:rFonts w:ascii="Calibri Light" w:hAnsi="Calibri Light" w:cs="Calibri Light"/>
                <w:color w:val="000000"/>
                <w:sz w:val="22"/>
                <w:szCs w:val="22"/>
              </w:rPr>
              <w:t>19 030</w:t>
            </w:r>
          </w:p>
        </w:tc>
        <w:tc>
          <w:tcPr>
            <w:tcW w:w="82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D753E9" w14:textId="77777777" w:rsidR="004D6F30" w:rsidRPr="004D6F30" w:rsidRDefault="004D6F30" w:rsidP="004D6F3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4D6F30">
              <w:rPr>
                <w:rFonts w:ascii="Calibri Light" w:hAnsi="Calibri Light" w:cs="Calibri Light"/>
                <w:color w:val="000000"/>
                <w:sz w:val="22"/>
                <w:szCs w:val="22"/>
              </w:rPr>
              <w:t>22 790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AF3EA"/>
            <w:noWrap/>
            <w:vAlign w:val="center"/>
            <w:hideMark/>
          </w:tcPr>
          <w:p w14:paraId="03BB0B42" w14:textId="77777777" w:rsidR="004D6F30" w:rsidRPr="004D6F30" w:rsidRDefault="004D6F30" w:rsidP="004D6F3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4D6F30">
              <w:rPr>
                <w:rFonts w:ascii="Calibri Light" w:hAnsi="Calibri Light" w:cs="Calibri Light"/>
                <w:color w:val="000000"/>
                <w:sz w:val="22"/>
                <w:szCs w:val="22"/>
              </w:rPr>
              <w:t>23 760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AB8EF6" w14:textId="77777777" w:rsidR="004D6F30" w:rsidRPr="004D6F30" w:rsidRDefault="004D6F30" w:rsidP="004D6F3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4D6F30">
              <w:rPr>
                <w:rFonts w:ascii="Calibri Light" w:hAnsi="Calibri Light" w:cs="Calibri Light"/>
                <w:color w:val="000000"/>
                <w:sz w:val="22"/>
                <w:szCs w:val="22"/>
              </w:rPr>
              <w:t>24 820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983EC0" w14:textId="77777777" w:rsidR="004D6F30" w:rsidRPr="004D6F30" w:rsidRDefault="004D6F30" w:rsidP="004D6F3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4D6F30">
              <w:rPr>
                <w:rFonts w:ascii="Calibri Light" w:hAnsi="Calibri Light" w:cs="Calibri Light"/>
                <w:color w:val="000000"/>
                <w:sz w:val="22"/>
                <w:szCs w:val="22"/>
              </w:rPr>
              <w:t>26 950</w:t>
            </w:r>
          </w:p>
        </w:tc>
      </w:tr>
      <w:tr w:rsidR="004D6F30" w:rsidRPr="004D6F30" w14:paraId="0CC676B8" w14:textId="77777777" w:rsidTr="004D6F30">
        <w:trPr>
          <w:trHeight w:val="300"/>
        </w:trPr>
        <w:tc>
          <w:tcPr>
            <w:tcW w:w="99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BDE7797" w14:textId="77777777" w:rsidR="004D6F30" w:rsidRPr="004D6F30" w:rsidRDefault="004D6F30" w:rsidP="004D6F30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9EAE81" w14:textId="77777777" w:rsidR="004D6F30" w:rsidRPr="004D6F30" w:rsidRDefault="004D6F30" w:rsidP="004D6F3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4D6F30">
              <w:rPr>
                <w:rFonts w:ascii="Calibri Light" w:hAnsi="Calibri Light" w:cs="Calibri Light"/>
                <w:color w:val="000000"/>
                <w:sz w:val="22"/>
                <w:szCs w:val="22"/>
              </w:rPr>
              <w:t>25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994BC1" w14:textId="77777777" w:rsidR="004D6F30" w:rsidRPr="004D6F30" w:rsidRDefault="004D6F30" w:rsidP="004D6F3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4D6F30">
              <w:rPr>
                <w:rFonts w:ascii="Calibri Light" w:hAnsi="Calibri Light" w:cs="Calibri Light"/>
                <w:color w:val="000000"/>
                <w:sz w:val="22"/>
                <w:szCs w:val="22"/>
              </w:rPr>
              <w:t>19 130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FBEA21" w14:textId="77777777" w:rsidR="004D6F30" w:rsidRPr="004D6F30" w:rsidRDefault="004D6F30" w:rsidP="004D6F3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4D6F30">
              <w:rPr>
                <w:rFonts w:ascii="Calibri Light" w:hAnsi="Calibri Light" w:cs="Calibri Light"/>
                <w:color w:val="000000"/>
                <w:sz w:val="22"/>
                <w:szCs w:val="22"/>
              </w:rPr>
              <w:t>23 830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AF3EA"/>
            <w:noWrap/>
            <w:vAlign w:val="center"/>
            <w:hideMark/>
          </w:tcPr>
          <w:p w14:paraId="0451C49D" w14:textId="77777777" w:rsidR="004D6F30" w:rsidRPr="004D6F30" w:rsidRDefault="004D6F30" w:rsidP="004D6F3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4D6F30">
              <w:rPr>
                <w:rFonts w:ascii="Calibri Light" w:hAnsi="Calibri Light" w:cs="Calibri Light"/>
                <w:color w:val="000000"/>
                <w:sz w:val="22"/>
                <w:szCs w:val="22"/>
              </w:rPr>
              <w:t>25 050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F07F98" w14:textId="77777777" w:rsidR="004D6F30" w:rsidRPr="004D6F30" w:rsidRDefault="004D6F30" w:rsidP="004D6F3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4D6F30">
              <w:rPr>
                <w:rFonts w:ascii="Calibri Light" w:hAnsi="Calibri Light" w:cs="Calibri Light"/>
                <w:color w:val="000000"/>
                <w:sz w:val="22"/>
                <w:szCs w:val="22"/>
              </w:rPr>
              <w:t>26 390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5BCBC6" w14:textId="77777777" w:rsidR="004D6F30" w:rsidRPr="004D6F30" w:rsidRDefault="004D6F30" w:rsidP="004D6F3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4D6F30">
              <w:rPr>
                <w:rFonts w:ascii="Calibri Light" w:hAnsi="Calibri Light" w:cs="Calibri Light"/>
                <w:color w:val="000000"/>
                <w:sz w:val="22"/>
                <w:szCs w:val="22"/>
              </w:rPr>
              <w:t>29 080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557CD" w14:textId="77777777" w:rsidR="004D6F30" w:rsidRPr="004D6F30" w:rsidRDefault="004D6F30" w:rsidP="004D6F3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262A63" w14:textId="77777777" w:rsidR="004D6F30" w:rsidRPr="004D6F30" w:rsidRDefault="004D6F30" w:rsidP="004D6F3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4D6F30">
              <w:rPr>
                <w:rFonts w:ascii="Calibri Light" w:hAnsi="Calibri Light" w:cs="Calibri Light"/>
                <w:color w:val="000000"/>
                <w:sz w:val="22"/>
                <w:szCs w:val="22"/>
              </w:rPr>
              <w:t>15 940</w:t>
            </w:r>
          </w:p>
        </w:tc>
        <w:tc>
          <w:tcPr>
            <w:tcW w:w="82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350CC7" w14:textId="77777777" w:rsidR="004D6F30" w:rsidRPr="004D6F30" w:rsidRDefault="004D6F30" w:rsidP="004D6F3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4D6F30">
              <w:rPr>
                <w:rFonts w:ascii="Calibri Light" w:hAnsi="Calibri Light" w:cs="Calibri Light"/>
                <w:color w:val="000000"/>
                <w:sz w:val="22"/>
                <w:szCs w:val="22"/>
              </w:rPr>
              <w:t>19 850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AF3EA"/>
            <w:noWrap/>
            <w:vAlign w:val="center"/>
            <w:hideMark/>
          </w:tcPr>
          <w:p w14:paraId="4B380EF3" w14:textId="77777777" w:rsidR="004D6F30" w:rsidRPr="004D6F30" w:rsidRDefault="004D6F30" w:rsidP="004D6F3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4D6F30">
              <w:rPr>
                <w:rFonts w:ascii="Calibri Light" w:hAnsi="Calibri Light" w:cs="Calibri Light"/>
                <w:color w:val="000000"/>
                <w:sz w:val="22"/>
                <w:szCs w:val="22"/>
              </w:rPr>
              <w:t>20 870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A26641" w14:textId="77777777" w:rsidR="004D6F30" w:rsidRPr="004D6F30" w:rsidRDefault="004D6F30" w:rsidP="004D6F3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4D6F30">
              <w:rPr>
                <w:rFonts w:ascii="Calibri Light" w:hAnsi="Calibri Light" w:cs="Calibri Light"/>
                <w:color w:val="000000"/>
                <w:sz w:val="22"/>
                <w:szCs w:val="22"/>
              </w:rPr>
              <w:t>21 990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39AD9F" w14:textId="77777777" w:rsidR="004D6F30" w:rsidRPr="004D6F30" w:rsidRDefault="004D6F30" w:rsidP="004D6F3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4D6F30">
              <w:rPr>
                <w:rFonts w:ascii="Calibri Light" w:hAnsi="Calibri Light" w:cs="Calibri Light"/>
                <w:color w:val="000000"/>
                <w:sz w:val="22"/>
                <w:szCs w:val="22"/>
              </w:rPr>
              <w:t>24 240</w:t>
            </w:r>
          </w:p>
        </w:tc>
      </w:tr>
      <w:tr w:rsidR="004D6F30" w:rsidRPr="004D6F30" w14:paraId="509314FA" w14:textId="77777777" w:rsidTr="004D6F30">
        <w:trPr>
          <w:trHeight w:val="300"/>
        </w:trPr>
        <w:tc>
          <w:tcPr>
            <w:tcW w:w="99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4C52F09" w14:textId="77777777" w:rsidR="004D6F30" w:rsidRPr="004D6F30" w:rsidRDefault="004D6F30" w:rsidP="004D6F30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A3CF9" w14:textId="77777777" w:rsidR="004D6F30" w:rsidRPr="004D6F30" w:rsidRDefault="004D6F30" w:rsidP="004D6F3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4D6F30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26,75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DAF3EA"/>
            <w:noWrap/>
            <w:vAlign w:val="center"/>
            <w:hideMark/>
          </w:tcPr>
          <w:p w14:paraId="1CF1C1A0" w14:textId="77777777" w:rsidR="004D6F30" w:rsidRPr="004D6F30" w:rsidRDefault="004D6F30" w:rsidP="004D6F3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4D6F30">
              <w:rPr>
                <w:rFonts w:ascii="Calibri Light" w:hAnsi="Calibri Light" w:cs="Calibri Light"/>
                <w:color w:val="000000"/>
                <w:sz w:val="22"/>
                <w:szCs w:val="22"/>
              </w:rPr>
              <w:t>18 170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DAF3EA"/>
            <w:noWrap/>
            <w:vAlign w:val="center"/>
            <w:hideMark/>
          </w:tcPr>
          <w:p w14:paraId="019DCE34" w14:textId="77777777" w:rsidR="004D6F30" w:rsidRPr="004D6F30" w:rsidRDefault="004D6F30" w:rsidP="004D6F3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4D6F30">
              <w:rPr>
                <w:rFonts w:ascii="Calibri Light" w:hAnsi="Calibri Light" w:cs="Calibri Light"/>
                <w:color w:val="000000"/>
                <w:sz w:val="22"/>
                <w:szCs w:val="22"/>
              </w:rPr>
              <w:t>22 920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AF3EA"/>
            <w:noWrap/>
            <w:vAlign w:val="center"/>
            <w:hideMark/>
          </w:tcPr>
          <w:p w14:paraId="1DFC4169" w14:textId="77777777" w:rsidR="004D6F30" w:rsidRPr="004D6F30" w:rsidRDefault="004D6F30" w:rsidP="004D6F3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4D6F30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24 160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AF3EA"/>
            <w:noWrap/>
            <w:vAlign w:val="center"/>
            <w:hideMark/>
          </w:tcPr>
          <w:p w14:paraId="71662C8A" w14:textId="77777777" w:rsidR="004D6F30" w:rsidRPr="004D6F30" w:rsidRDefault="004D6F30" w:rsidP="004D6F3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4D6F30">
              <w:rPr>
                <w:rFonts w:ascii="Calibri Light" w:hAnsi="Calibri Light" w:cs="Calibri Light"/>
                <w:color w:val="000000"/>
                <w:sz w:val="22"/>
                <w:szCs w:val="22"/>
              </w:rPr>
              <w:t>25 530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AF3EA"/>
            <w:noWrap/>
            <w:vAlign w:val="center"/>
            <w:hideMark/>
          </w:tcPr>
          <w:p w14:paraId="77C795D7" w14:textId="77777777" w:rsidR="004D6F30" w:rsidRPr="004D6F30" w:rsidRDefault="004D6F30" w:rsidP="004D6F3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4D6F30">
              <w:rPr>
                <w:rFonts w:ascii="Calibri Light" w:hAnsi="Calibri Light" w:cs="Calibri Light"/>
                <w:color w:val="000000"/>
                <w:sz w:val="22"/>
                <w:szCs w:val="22"/>
              </w:rPr>
              <w:t>28 270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C4A53" w14:textId="77777777" w:rsidR="004D6F30" w:rsidRPr="004D6F30" w:rsidRDefault="004D6F30" w:rsidP="004D6F3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4C1750" w14:textId="77777777" w:rsidR="004D6F30" w:rsidRPr="004D6F30" w:rsidRDefault="004D6F30" w:rsidP="004D6F3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4D6F30">
              <w:rPr>
                <w:rFonts w:ascii="Calibri Light" w:hAnsi="Calibri Light" w:cs="Calibri Light"/>
                <w:color w:val="000000"/>
                <w:sz w:val="22"/>
                <w:szCs w:val="22"/>
              </w:rPr>
              <w:t>15 140</w:t>
            </w:r>
          </w:p>
        </w:tc>
        <w:tc>
          <w:tcPr>
            <w:tcW w:w="82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2724A5" w14:textId="77777777" w:rsidR="004D6F30" w:rsidRPr="004D6F30" w:rsidRDefault="004D6F30" w:rsidP="004D6F3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4D6F30">
              <w:rPr>
                <w:rFonts w:ascii="Calibri Light" w:hAnsi="Calibri Light" w:cs="Calibri Light"/>
                <w:color w:val="000000"/>
                <w:sz w:val="22"/>
                <w:szCs w:val="22"/>
              </w:rPr>
              <w:t>19 100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AF3EA"/>
            <w:noWrap/>
            <w:vAlign w:val="center"/>
            <w:hideMark/>
          </w:tcPr>
          <w:p w14:paraId="60B5737B" w14:textId="77777777" w:rsidR="004D6F30" w:rsidRPr="004D6F30" w:rsidRDefault="004D6F30" w:rsidP="004D6F3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4D6F30">
              <w:rPr>
                <w:rFonts w:ascii="Calibri Light" w:hAnsi="Calibri Light" w:cs="Calibri Light"/>
                <w:color w:val="000000"/>
                <w:sz w:val="22"/>
                <w:szCs w:val="22"/>
              </w:rPr>
              <w:t>20 140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1C0F99" w14:textId="77777777" w:rsidR="004D6F30" w:rsidRPr="004D6F30" w:rsidRDefault="004D6F30" w:rsidP="004D6F3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4D6F30">
              <w:rPr>
                <w:rFonts w:ascii="Calibri Light" w:hAnsi="Calibri Light" w:cs="Calibri Light"/>
                <w:color w:val="000000"/>
                <w:sz w:val="22"/>
                <w:szCs w:val="22"/>
              </w:rPr>
              <w:t>21 270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8F3939" w14:textId="77777777" w:rsidR="004D6F30" w:rsidRPr="004D6F30" w:rsidRDefault="004D6F30" w:rsidP="004D6F3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4D6F30">
              <w:rPr>
                <w:rFonts w:ascii="Calibri Light" w:hAnsi="Calibri Light" w:cs="Calibri Light"/>
                <w:color w:val="000000"/>
                <w:sz w:val="22"/>
                <w:szCs w:val="22"/>
              </w:rPr>
              <w:t>23 560</w:t>
            </w:r>
          </w:p>
        </w:tc>
      </w:tr>
      <w:tr w:rsidR="004D6F30" w:rsidRPr="004D6F30" w14:paraId="482A4157" w14:textId="77777777" w:rsidTr="004D6F30">
        <w:trPr>
          <w:trHeight w:val="300"/>
        </w:trPr>
        <w:tc>
          <w:tcPr>
            <w:tcW w:w="99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598896C" w14:textId="77777777" w:rsidR="004D6F30" w:rsidRPr="004D6F30" w:rsidRDefault="004D6F30" w:rsidP="004D6F30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7DCBC77" w14:textId="77777777" w:rsidR="004D6F30" w:rsidRPr="004D6F30" w:rsidRDefault="004D6F30" w:rsidP="004D6F3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4D6F30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30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A36FEF8" w14:textId="77777777" w:rsidR="004D6F30" w:rsidRPr="004D6F30" w:rsidRDefault="004D6F30" w:rsidP="004D6F3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4D6F30">
              <w:rPr>
                <w:rFonts w:ascii="Calibri Light" w:hAnsi="Calibri Light" w:cs="Calibri Light"/>
                <w:color w:val="000000"/>
                <w:sz w:val="22"/>
                <w:szCs w:val="22"/>
              </w:rPr>
              <w:t>16 680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AE02C7D" w14:textId="77777777" w:rsidR="004D6F30" w:rsidRPr="004D6F30" w:rsidRDefault="004D6F30" w:rsidP="004D6F3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4D6F30">
              <w:rPr>
                <w:rFonts w:ascii="Calibri Light" w:hAnsi="Calibri Light" w:cs="Calibri Light"/>
                <w:color w:val="000000"/>
                <w:sz w:val="22"/>
                <w:szCs w:val="22"/>
              </w:rPr>
              <w:t>21 550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AF3EA"/>
            <w:noWrap/>
            <w:vAlign w:val="center"/>
            <w:hideMark/>
          </w:tcPr>
          <w:p w14:paraId="25177A53" w14:textId="77777777" w:rsidR="004D6F30" w:rsidRPr="004D6F30" w:rsidRDefault="004D6F30" w:rsidP="004D6F3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4D6F30">
              <w:rPr>
                <w:rFonts w:ascii="Calibri Light" w:hAnsi="Calibri Light" w:cs="Calibri Light"/>
                <w:color w:val="000000"/>
                <w:sz w:val="22"/>
                <w:szCs w:val="22"/>
              </w:rPr>
              <w:t>22 830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0BC7D80" w14:textId="77777777" w:rsidR="004D6F30" w:rsidRPr="004D6F30" w:rsidRDefault="004D6F30" w:rsidP="004D6F3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4D6F30">
              <w:rPr>
                <w:rFonts w:ascii="Calibri Light" w:hAnsi="Calibri Light" w:cs="Calibri Light"/>
                <w:color w:val="000000"/>
                <w:sz w:val="22"/>
                <w:szCs w:val="22"/>
              </w:rPr>
              <w:t>24 230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A274595" w14:textId="77777777" w:rsidR="004D6F30" w:rsidRPr="004D6F30" w:rsidRDefault="004D6F30" w:rsidP="004D6F3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4D6F30">
              <w:rPr>
                <w:rFonts w:ascii="Calibri Light" w:hAnsi="Calibri Light" w:cs="Calibri Light"/>
                <w:color w:val="000000"/>
                <w:sz w:val="22"/>
                <w:szCs w:val="22"/>
              </w:rPr>
              <w:t>27 060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533CE" w14:textId="77777777" w:rsidR="004D6F30" w:rsidRPr="004D6F30" w:rsidRDefault="004D6F30" w:rsidP="004D6F3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AF3EA"/>
            <w:noWrap/>
            <w:vAlign w:val="center"/>
            <w:hideMark/>
          </w:tcPr>
          <w:p w14:paraId="3FC13509" w14:textId="77777777" w:rsidR="004D6F30" w:rsidRPr="004D6F30" w:rsidRDefault="004D6F30" w:rsidP="004D6F3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4D6F30">
              <w:rPr>
                <w:rFonts w:ascii="Calibri Light" w:hAnsi="Calibri Light" w:cs="Calibri Light"/>
                <w:color w:val="000000"/>
                <w:sz w:val="22"/>
                <w:szCs w:val="22"/>
              </w:rPr>
              <w:t>13 900</w:t>
            </w:r>
          </w:p>
        </w:tc>
        <w:tc>
          <w:tcPr>
            <w:tcW w:w="82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AF3EA"/>
            <w:noWrap/>
            <w:vAlign w:val="center"/>
            <w:hideMark/>
          </w:tcPr>
          <w:p w14:paraId="721C73E2" w14:textId="77777777" w:rsidR="004D6F30" w:rsidRPr="004D6F30" w:rsidRDefault="004D6F30" w:rsidP="004D6F3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4D6F30">
              <w:rPr>
                <w:rFonts w:ascii="Calibri Light" w:hAnsi="Calibri Light" w:cs="Calibri Light"/>
                <w:color w:val="000000"/>
                <w:sz w:val="22"/>
                <w:szCs w:val="22"/>
              </w:rPr>
              <w:t>17 960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AF3EA"/>
            <w:noWrap/>
            <w:vAlign w:val="center"/>
            <w:hideMark/>
          </w:tcPr>
          <w:p w14:paraId="4896883B" w14:textId="77777777" w:rsidR="004D6F30" w:rsidRPr="004D6F30" w:rsidRDefault="004D6F30" w:rsidP="004D6F3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4D6F30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19 020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AF3EA"/>
            <w:noWrap/>
            <w:vAlign w:val="center"/>
            <w:hideMark/>
          </w:tcPr>
          <w:p w14:paraId="51F52543" w14:textId="77777777" w:rsidR="004D6F30" w:rsidRPr="004D6F30" w:rsidRDefault="004D6F30" w:rsidP="004D6F3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4D6F30">
              <w:rPr>
                <w:rFonts w:ascii="Calibri Light" w:hAnsi="Calibri Light" w:cs="Calibri Light"/>
                <w:color w:val="000000"/>
                <w:sz w:val="22"/>
                <w:szCs w:val="22"/>
              </w:rPr>
              <w:t>20 190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AF3EA"/>
            <w:noWrap/>
            <w:vAlign w:val="center"/>
            <w:hideMark/>
          </w:tcPr>
          <w:p w14:paraId="44A34F69" w14:textId="77777777" w:rsidR="004D6F30" w:rsidRPr="004D6F30" w:rsidRDefault="004D6F30" w:rsidP="004D6F3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4D6F30">
              <w:rPr>
                <w:rFonts w:ascii="Calibri Light" w:hAnsi="Calibri Light" w:cs="Calibri Light"/>
                <w:color w:val="000000"/>
                <w:sz w:val="22"/>
                <w:szCs w:val="22"/>
              </w:rPr>
              <w:t>22 550</w:t>
            </w:r>
          </w:p>
        </w:tc>
      </w:tr>
      <w:tr w:rsidR="004D6F30" w:rsidRPr="00AA62A7" w14:paraId="70AEADF6" w14:textId="77777777" w:rsidTr="004D6F30">
        <w:trPr>
          <w:gridAfter w:val="3"/>
          <w:wAfter w:w="1058" w:type="dxa"/>
          <w:trHeight w:val="300"/>
        </w:trPr>
        <w:tc>
          <w:tcPr>
            <w:tcW w:w="3828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5F759" w14:textId="77777777" w:rsidR="004D6F30" w:rsidRPr="00AA62A7" w:rsidRDefault="004D6F30" w:rsidP="004D6F30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Theme="minorHAnsi" w:hAnsiTheme="minorHAnsi" w:cstheme="minorHAnsi"/>
                <w:color w:val="13576B"/>
                <w:sz w:val="20"/>
              </w:rPr>
            </w:pPr>
            <w:r w:rsidRPr="00AA62A7">
              <w:rPr>
                <w:rFonts w:asciiTheme="minorHAnsi" w:hAnsiTheme="minorHAnsi" w:cstheme="minorHAnsi"/>
                <w:color w:val="2F5496" w:themeColor="accent5" w:themeShade="BF"/>
                <w:sz w:val="20"/>
              </w:rPr>
              <w:lastRenderedPageBreak/>
              <w:t>Pramen</w:t>
            </w:r>
            <w:r w:rsidRPr="00AA62A7">
              <w:rPr>
                <w:rFonts w:asciiTheme="minorHAnsi" w:hAnsiTheme="minorHAnsi" w:cstheme="minorHAnsi"/>
                <w:color w:val="13576B"/>
                <w:sz w:val="20"/>
              </w:rPr>
              <w:t xml:space="preserve">: ČBA </w:t>
            </w:r>
            <w:r w:rsidRPr="00AA62A7">
              <w:rPr>
                <w:rStyle w:val="Znakapoznpodarou"/>
                <w:rFonts w:asciiTheme="minorHAnsi" w:hAnsiTheme="minorHAnsi" w:cstheme="minorHAnsi"/>
                <w:color w:val="2F5496" w:themeColor="accent5" w:themeShade="BF"/>
                <w:sz w:val="20"/>
              </w:rPr>
              <w:footnoteReference w:id="2"/>
            </w:r>
          </w:p>
        </w:tc>
        <w:tc>
          <w:tcPr>
            <w:tcW w:w="64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EF238" w14:textId="77777777" w:rsidR="004D6F30" w:rsidRPr="00AA62A7" w:rsidRDefault="004D6F30" w:rsidP="004D6F30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Theme="minorHAnsi" w:hAnsiTheme="minorHAnsi" w:cstheme="minorHAnsi"/>
                <w:color w:val="13576B"/>
                <w:sz w:val="22"/>
                <w:szCs w:val="22"/>
              </w:rPr>
            </w:pPr>
          </w:p>
        </w:tc>
        <w:tc>
          <w:tcPr>
            <w:tcW w:w="84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EFC81" w14:textId="77777777" w:rsidR="004D6F30" w:rsidRPr="00AA62A7" w:rsidRDefault="004D6F30" w:rsidP="004D6F30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84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99026" w14:textId="77777777" w:rsidR="004D6F30" w:rsidRPr="00AA62A7" w:rsidRDefault="004D6F30" w:rsidP="004D6F30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BB206" w14:textId="77777777" w:rsidR="004D6F30" w:rsidRPr="00AA62A7" w:rsidRDefault="004D6F30" w:rsidP="004D6F30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95275" w14:textId="77777777" w:rsidR="004D6F30" w:rsidRPr="00AA62A7" w:rsidRDefault="004D6F30" w:rsidP="004D6F3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D0C29" w14:textId="77777777" w:rsidR="004D6F30" w:rsidRPr="00AA62A7" w:rsidRDefault="004D6F30" w:rsidP="004D6F30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Theme="minorHAnsi" w:hAnsiTheme="minorHAnsi" w:cstheme="minorHAnsi"/>
                <w:sz w:val="20"/>
                <w:highlight w:val="yellow"/>
              </w:rPr>
            </w:pPr>
          </w:p>
        </w:tc>
        <w:tc>
          <w:tcPr>
            <w:tcW w:w="80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86531" w14:textId="77777777" w:rsidR="004D6F30" w:rsidRPr="00AA62A7" w:rsidRDefault="004D6F30" w:rsidP="004D6F30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Theme="minorHAnsi" w:hAnsiTheme="minorHAnsi" w:cstheme="minorHAnsi"/>
                <w:sz w:val="20"/>
                <w:highlight w:val="yellow"/>
              </w:rPr>
            </w:pPr>
          </w:p>
        </w:tc>
      </w:tr>
      <w:tr w:rsidR="004D6F30" w:rsidRPr="00AA62A7" w14:paraId="6576CA94" w14:textId="77777777" w:rsidTr="004D6F30">
        <w:trPr>
          <w:gridAfter w:val="1"/>
          <w:wAfter w:w="71" w:type="dxa"/>
          <w:trHeight w:val="300"/>
        </w:trPr>
        <w:tc>
          <w:tcPr>
            <w:tcW w:w="10348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54BA2A" w14:textId="1C9730B4" w:rsidR="004D6F30" w:rsidRPr="00AA62A7" w:rsidRDefault="004D6F30" w:rsidP="004D6F30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Theme="minorHAnsi" w:hAnsiTheme="minorHAnsi" w:cstheme="minorHAnsi"/>
                <w:color w:val="13576B"/>
                <w:sz w:val="20"/>
              </w:rPr>
            </w:pPr>
            <w:r w:rsidRPr="004D6F30">
              <w:rPr>
                <w:rFonts w:asciiTheme="minorHAnsi" w:hAnsiTheme="minorHAnsi" w:cstheme="minorHAnsi"/>
                <w:color w:val="13576B"/>
                <w:sz w:val="20"/>
              </w:rPr>
              <w:t xml:space="preserve">Pozn.: Barevný sloupec odpovídá úrokové sazbě posledního ČBA </w:t>
            </w:r>
            <w:proofErr w:type="spellStart"/>
            <w:r w:rsidRPr="004D6F30">
              <w:rPr>
                <w:rFonts w:asciiTheme="minorHAnsi" w:hAnsiTheme="minorHAnsi" w:cstheme="minorHAnsi"/>
                <w:color w:val="13576B"/>
                <w:sz w:val="20"/>
              </w:rPr>
              <w:t>Hypomonitoru</w:t>
            </w:r>
            <w:proofErr w:type="spellEnd"/>
            <w:r w:rsidRPr="004D6F30">
              <w:rPr>
                <w:rFonts w:asciiTheme="minorHAnsi" w:hAnsiTheme="minorHAnsi" w:cstheme="minorHAnsi"/>
                <w:color w:val="13576B"/>
                <w:sz w:val="20"/>
              </w:rPr>
              <w:t xml:space="preserve"> v kombinaci s obvyklou splatností, ostatní sazby jsou ilustrační. Barevný řádek odpovídá průměrné a mediánové splatnosti nových hypoték podle dat ČNB; částky jsou zaokrouhleny na desítky korun. Mediánová výše splátky vychází z mediánové velikosti hypotéky. Ta je dopočtena na základě poměru průměrné a mediánové výše nových hypotečních úvěrů za poslední tři čtvrtletí podle statistik ČNB. Výpočet zároveň předpokládá průměrnou splatnost 30 let (odpovídající mediánu) a průměrnou úrokovou sazbu, protože rozdíl mezi průměrnou a mediánovou sazbou je dlouhodobě zanedbatelný (přibližně </w:t>
            </w:r>
            <w:proofErr w:type="gramStart"/>
            <w:r w:rsidRPr="004D6F30">
              <w:rPr>
                <w:rFonts w:asciiTheme="minorHAnsi" w:hAnsiTheme="minorHAnsi" w:cstheme="minorHAnsi"/>
                <w:color w:val="13576B"/>
                <w:sz w:val="20"/>
              </w:rPr>
              <w:t>0,045 procentního</w:t>
            </w:r>
            <w:proofErr w:type="gramEnd"/>
            <w:r w:rsidRPr="004D6F30">
              <w:rPr>
                <w:rFonts w:asciiTheme="minorHAnsi" w:hAnsiTheme="minorHAnsi" w:cstheme="minorHAnsi"/>
                <w:color w:val="13576B"/>
                <w:sz w:val="20"/>
              </w:rPr>
              <w:t xml:space="preserve"> bodu). Medián na rozdíl od průměru představuje „typickou“ hodnotu – polovina úvěrů je nižší a polovina vyšší – a není ovlivněn extrémními hodnotami.</w:t>
            </w:r>
          </w:p>
        </w:tc>
      </w:tr>
    </w:tbl>
    <w:p w14:paraId="20FEA2C8" w14:textId="77777777" w:rsidR="00DB746B" w:rsidRDefault="00DB746B" w:rsidP="00573D34">
      <w:pPr>
        <w:spacing w:after="120"/>
        <w:rPr>
          <w:rFonts w:ascii="Calibri" w:hAnsi="Calibri" w:cs="Calibri"/>
          <w:b/>
          <w:color w:val="13576B"/>
          <w:sz w:val="23"/>
          <w:szCs w:val="23"/>
        </w:rPr>
      </w:pPr>
    </w:p>
    <w:p w14:paraId="3F1ACB94" w14:textId="4D7B7DEA" w:rsidR="00D1522E" w:rsidRDefault="00D1522E" w:rsidP="00D1522E">
      <w:pPr>
        <w:rPr>
          <w:rFonts w:ascii="Calibri" w:hAnsi="Calibri" w:cs="Calibri"/>
          <w:b/>
          <w:color w:val="13576B"/>
          <w:sz w:val="24"/>
          <w:szCs w:val="24"/>
        </w:rPr>
      </w:pPr>
      <w:r w:rsidRPr="00D03B38">
        <w:rPr>
          <w:rFonts w:ascii="Calibri" w:hAnsi="Calibri" w:cs="Calibri"/>
          <w:b/>
          <w:color w:val="13576B"/>
          <w:sz w:val="24"/>
          <w:szCs w:val="24"/>
        </w:rPr>
        <w:t xml:space="preserve">Průměrná velikost nově poskytnuté hypotéky </w:t>
      </w:r>
      <w:r>
        <w:rPr>
          <w:rFonts w:ascii="Calibri" w:hAnsi="Calibri" w:cs="Calibri"/>
          <w:b/>
          <w:color w:val="13576B"/>
          <w:sz w:val="24"/>
          <w:szCs w:val="24"/>
        </w:rPr>
        <w:t>se s </w:t>
      </w:r>
      <w:r w:rsidR="00356A6D">
        <w:rPr>
          <w:rFonts w:ascii="Calibri" w:hAnsi="Calibri" w:cs="Calibri"/>
          <w:b/>
          <w:color w:val="13576B"/>
          <w:sz w:val="24"/>
          <w:szCs w:val="24"/>
        </w:rPr>
        <w:t>lednovými</w:t>
      </w:r>
      <w:r>
        <w:rPr>
          <w:rFonts w:ascii="Calibri" w:hAnsi="Calibri" w:cs="Calibri"/>
          <w:b/>
          <w:color w:val="13576B"/>
          <w:sz w:val="24"/>
          <w:szCs w:val="24"/>
        </w:rPr>
        <w:t xml:space="preserve"> </w:t>
      </w:r>
      <w:r w:rsidRPr="00D03B38">
        <w:rPr>
          <w:rFonts w:ascii="Calibri" w:hAnsi="Calibri" w:cs="Calibri"/>
          <w:b/>
          <w:color w:val="13576B"/>
          <w:sz w:val="24"/>
          <w:szCs w:val="24"/>
        </w:rPr>
        <w:t>4,</w:t>
      </w:r>
      <w:r w:rsidR="00356A6D">
        <w:rPr>
          <w:rFonts w:ascii="Calibri" w:hAnsi="Calibri" w:cs="Calibri"/>
          <w:b/>
          <w:color w:val="13576B"/>
          <w:sz w:val="24"/>
          <w:szCs w:val="24"/>
        </w:rPr>
        <w:t>51</w:t>
      </w:r>
      <w:r w:rsidRPr="00D03B38">
        <w:rPr>
          <w:rFonts w:ascii="Calibri" w:hAnsi="Calibri" w:cs="Calibri"/>
          <w:b/>
          <w:color w:val="13576B"/>
          <w:sz w:val="24"/>
          <w:szCs w:val="24"/>
        </w:rPr>
        <w:t xml:space="preserve"> mil. Kč</w:t>
      </w:r>
      <w:r>
        <w:rPr>
          <w:rFonts w:ascii="Calibri" w:hAnsi="Calibri" w:cs="Calibri"/>
          <w:b/>
          <w:color w:val="13576B"/>
          <w:sz w:val="24"/>
          <w:szCs w:val="24"/>
        </w:rPr>
        <w:t xml:space="preserve"> udržuje na růstové trajektorii </w:t>
      </w:r>
    </w:p>
    <w:p w14:paraId="0200B3F4" w14:textId="77777777" w:rsidR="00D1522E" w:rsidRDefault="00D1522E" w:rsidP="00D1522E">
      <w:pPr>
        <w:overflowPunct/>
        <w:autoSpaceDE/>
        <w:autoSpaceDN/>
        <w:adjustRightInd/>
        <w:textAlignment w:val="auto"/>
        <w:rPr>
          <w:rFonts w:ascii="Calibri" w:hAnsi="Calibri" w:cs="Calibri"/>
          <w:color w:val="000000"/>
          <w:sz w:val="22"/>
          <w:szCs w:val="22"/>
        </w:rPr>
      </w:pPr>
    </w:p>
    <w:p w14:paraId="4ABA841D" w14:textId="6E3CC7B7" w:rsidR="00356A6D" w:rsidRDefault="00D1522E" w:rsidP="00356A6D">
      <w:pPr>
        <w:overflowPunct/>
        <w:autoSpaceDE/>
        <w:autoSpaceDN/>
        <w:adjustRightInd/>
        <w:textAlignment w:val="auto"/>
        <w:rPr>
          <w:rFonts w:ascii="Calibri" w:hAnsi="Calibri" w:cs="Calibri"/>
          <w:color w:val="000000"/>
          <w:sz w:val="22"/>
          <w:szCs w:val="22"/>
        </w:rPr>
      </w:pPr>
      <w:r w:rsidRPr="00D1522E">
        <w:rPr>
          <w:rFonts w:ascii="Calibri" w:hAnsi="Calibri" w:cs="Calibri"/>
          <w:color w:val="000000"/>
          <w:sz w:val="22"/>
          <w:szCs w:val="22"/>
        </w:rPr>
        <w:t xml:space="preserve">Průměrná velikost skutečně nově poskytnuté hypotéky v lednu mírně stoupla na 4,51 mil. Kč, tedy téměř o 1 % meziměsíčně. Její velikost je tak o 15 % vyšší než 3,92 mil. Kč před rokem. </w:t>
      </w:r>
      <w:r w:rsidR="00356A6D" w:rsidRPr="00650088">
        <w:rPr>
          <w:rFonts w:ascii="Calibri" w:hAnsi="Calibri" w:cs="Calibri"/>
          <w:color w:val="000000"/>
          <w:sz w:val="22"/>
          <w:szCs w:val="22"/>
        </w:rPr>
        <w:t xml:space="preserve">Dosáhnout na vyšší hypotéku umožňuje postupný pokles hypotečních sazeb, či postupný růst reálných </w:t>
      </w:r>
      <w:r w:rsidR="00356A6D">
        <w:rPr>
          <w:rFonts w:ascii="Calibri" w:hAnsi="Calibri" w:cs="Calibri"/>
          <w:color w:val="000000"/>
          <w:sz w:val="22"/>
          <w:szCs w:val="22"/>
        </w:rPr>
        <w:t>mezd</w:t>
      </w:r>
      <w:r w:rsidR="00356A6D" w:rsidRPr="00650088">
        <w:rPr>
          <w:rFonts w:ascii="Calibri" w:hAnsi="Calibri" w:cs="Calibri"/>
          <w:color w:val="000000"/>
          <w:sz w:val="22"/>
          <w:szCs w:val="22"/>
        </w:rPr>
        <w:t xml:space="preserve"> domácností (</w:t>
      </w:r>
      <w:r w:rsidR="00356A6D">
        <w:rPr>
          <w:rFonts w:ascii="Calibri" w:hAnsi="Calibri" w:cs="Calibri"/>
          <w:color w:val="000000" w:themeColor="text1"/>
          <w:sz w:val="22"/>
          <w:szCs w:val="22"/>
        </w:rPr>
        <w:t>4,5</w:t>
      </w:r>
      <w:r w:rsidR="00356A6D" w:rsidRPr="00055000">
        <w:rPr>
          <w:rFonts w:ascii="Calibri" w:hAnsi="Calibri" w:cs="Calibri"/>
          <w:color w:val="000000" w:themeColor="text1"/>
          <w:sz w:val="22"/>
          <w:szCs w:val="22"/>
        </w:rPr>
        <w:t xml:space="preserve"> % meziročně </w:t>
      </w:r>
      <w:r w:rsidR="00356A6D">
        <w:rPr>
          <w:rFonts w:ascii="Calibri" w:hAnsi="Calibri" w:cs="Calibri"/>
          <w:color w:val="000000"/>
          <w:sz w:val="22"/>
          <w:szCs w:val="22"/>
        </w:rPr>
        <w:t>v </w:t>
      </w:r>
      <w:hyperlink r:id="rId26" w:history="1">
        <w:r w:rsidR="00356A6D" w:rsidRPr="00E96618">
          <w:rPr>
            <w:rStyle w:val="Hypertextovodkaz"/>
            <w:rFonts w:ascii="Calibri" w:hAnsi="Calibri" w:cs="Calibri"/>
            <w:sz w:val="22"/>
            <w:szCs w:val="22"/>
          </w:rPr>
          <w:t>Q</w:t>
        </w:r>
        <w:r w:rsidR="00356A6D">
          <w:rPr>
            <w:rStyle w:val="Hypertextovodkaz"/>
            <w:rFonts w:ascii="Calibri" w:hAnsi="Calibri" w:cs="Calibri"/>
            <w:sz w:val="22"/>
            <w:szCs w:val="22"/>
          </w:rPr>
          <w:t>3</w:t>
        </w:r>
        <w:r w:rsidR="00356A6D" w:rsidRPr="00E96618">
          <w:rPr>
            <w:rStyle w:val="Hypertextovodkaz"/>
            <w:rFonts w:ascii="Calibri" w:hAnsi="Calibri" w:cs="Calibri"/>
            <w:sz w:val="22"/>
            <w:szCs w:val="22"/>
          </w:rPr>
          <w:t>-2025</w:t>
        </w:r>
      </w:hyperlink>
      <w:r w:rsidR="00356A6D">
        <w:t xml:space="preserve"> </w:t>
      </w:r>
      <w:r w:rsidR="00356A6D" w:rsidRPr="009C040E">
        <w:rPr>
          <w:rFonts w:ascii="Calibri" w:hAnsi="Calibri" w:cs="Calibri"/>
          <w:sz w:val="22"/>
          <w:szCs w:val="22"/>
        </w:rPr>
        <w:t xml:space="preserve">či graficky </w:t>
      </w:r>
      <w:hyperlink r:id="rId27" w:history="1">
        <w:r w:rsidR="00356A6D" w:rsidRPr="009C040E">
          <w:rPr>
            <w:rStyle w:val="Hypertextovodkaz"/>
            <w:rFonts w:ascii="Calibri" w:hAnsi="Calibri" w:cs="Calibri"/>
            <w:sz w:val="22"/>
            <w:szCs w:val="22"/>
          </w:rPr>
          <w:t>zde</w:t>
        </w:r>
      </w:hyperlink>
      <w:r w:rsidR="00356A6D" w:rsidRPr="00650088">
        <w:rPr>
          <w:rFonts w:ascii="Calibri" w:hAnsi="Calibri" w:cs="Calibri"/>
          <w:color w:val="000000"/>
          <w:sz w:val="22"/>
          <w:szCs w:val="22"/>
        </w:rPr>
        <w:t>)</w:t>
      </w:r>
      <w:r w:rsidR="00356A6D">
        <w:rPr>
          <w:rFonts w:ascii="Calibri" w:hAnsi="Calibri" w:cs="Calibri"/>
          <w:color w:val="000000"/>
          <w:sz w:val="22"/>
          <w:szCs w:val="22"/>
        </w:rPr>
        <w:t xml:space="preserve"> ovšem při pomalejším růstu disponibilního důchodu. Rovněž se zde promítají doposud </w:t>
      </w:r>
      <w:r w:rsidR="00356A6D" w:rsidRPr="00650088">
        <w:rPr>
          <w:rFonts w:ascii="Calibri" w:hAnsi="Calibri" w:cs="Calibri"/>
          <w:color w:val="000000"/>
          <w:sz w:val="22"/>
          <w:szCs w:val="22"/>
        </w:rPr>
        <w:t>pokračující uvolněn</w:t>
      </w:r>
      <w:r w:rsidR="00356A6D">
        <w:rPr>
          <w:rFonts w:ascii="Calibri" w:hAnsi="Calibri" w:cs="Calibri"/>
          <w:color w:val="000000"/>
          <w:sz w:val="22"/>
          <w:szCs w:val="22"/>
        </w:rPr>
        <w:t xml:space="preserve">é </w:t>
      </w:r>
      <w:proofErr w:type="spellStart"/>
      <w:r w:rsidR="00356A6D" w:rsidRPr="00650088">
        <w:rPr>
          <w:rFonts w:ascii="Calibri" w:hAnsi="Calibri" w:cs="Calibri"/>
          <w:color w:val="000000"/>
          <w:sz w:val="22"/>
          <w:szCs w:val="22"/>
        </w:rPr>
        <w:t>makroobezřetnostními</w:t>
      </w:r>
      <w:proofErr w:type="spellEnd"/>
      <w:r w:rsidR="00356A6D" w:rsidRPr="00650088">
        <w:rPr>
          <w:rFonts w:ascii="Calibri" w:hAnsi="Calibri" w:cs="Calibri"/>
          <w:color w:val="000000"/>
          <w:sz w:val="22"/>
          <w:szCs w:val="22"/>
        </w:rPr>
        <w:t xml:space="preserve"> limity ohledně příjmů</w:t>
      </w:r>
      <w:r w:rsidR="00356A6D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356A6D" w:rsidRPr="00650088">
        <w:rPr>
          <w:rFonts w:ascii="Calibri" w:hAnsi="Calibri" w:cs="Calibri"/>
          <w:color w:val="000000"/>
          <w:sz w:val="22"/>
          <w:szCs w:val="22"/>
        </w:rPr>
        <w:t>ze strany ČNB (</w:t>
      </w:r>
      <w:r w:rsidR="00356A6D">
        <w:rPr>
          <w:rFonts w:ascii="Calibri" w:hAnsi="Calibri" w:cs="Calibri"/>
          <w:color w:val="000000"/>
          <w:sz w:val="22"/>
          <w:szCs w:val="22"/>
        </w:rPr>
        <w:t xml:space="preserve">platí </w:t>
      </w:r>
      <w:r w:rsidR="00356A6D" w:rsidRPr="00650088">
        <w:rPr>
          <w:rFonts w:ascii="Calibri" w:hAnsi="Calibri" w:cs="Calibri"/>
          <w:color w:val="000000"/>
          <w:sz w:val="22"/>
          <w:szCs w:val="22"/>
        </w:rPr>
        <w:t xml:space="preserve">pouze 80% limit LTV či </w:t>
      </w:r>
      <w:proofErr w:type="gramStart"/>
      <w:r w:rsidR="00356A6D" w:rsidRPr="00650088">
        <w:rPr>
          <w:rFonts w:ascii="Calibri" w:hAnsi="Calibri" w:cs="Calibri"/>
          <w:color w:val="000000"/>
          <w:sz w:val="22"/>
          <w:szCs w:val="22"/>
        </w:rPr>
        <w:t>90%</w:t>
      </w:r>
      <w:proofErr w:type="gramEnd"/>
      <w:r w:rsidR="00356A6D" w:rsidRPr="00650088">
        <w:rPr>
          <w:rFonts w:ascii="Calibri" w:hAnsi="Calibri" w:cs="Calibri"/>
          <w:color w:val="000000"/>
          <w:sz w:val="22"/>
          <w:szCs w:val="22"/>
        </w:rPr>
        <w:t xml:space="preserve"> v případě žadatelů mladších 36 let).</w:t>
      </w:r>
      <w:r w:rsidR="00356A6D">
        <w:rPr>
          <w:rFonts w:ascii="Calibri" w:hAnsi="Calibri" w:cs="Calibri"/>
          <w:color w:val="000000"/>
          <w:sz w:val="22"/>
          <w:szCs w:val="22"/>
        </w:rPr>
        <w:t xml:space="preserve"> Ty budou od dubna 2026 zpřísněny v případě </w:t>
      </w:r>
      <w:hyperlink r:id="rId28" w:history="1">
        <w:r w:rsidR="00356A6D" w:rsidRPr="00616F34">
          <w:rPr>
            <w:rStyle w:val="Hypertextovodkaz"/>
            <w:rFonts w:ascii="Calibri" w:hAnsi="Calibri" w:cs="Calibri"/>
            <w:sz w:val="22"/>
            <w:szCs w:val="22"/>
          </w:rPr>
          <w:t>tzv. investičních hypoték</w:t>
        </w:r>
      </w:hyperlink>
      <w:r w:rsidR="00356A6D">
        <w:t xml:space="preserve"> na 70 % LTV a 7x DTI</w:t>
      </w:r>
      <w:r w:rsidR="00356A6D">
        <w:rPr>
          <w:rFonts w:ascii="Calibri" w:hAnsi="Calibri" w:cs="Calibri"/>
          <w:color w:val="000000"/>
          <w:sz w:val="22"/>
          <w:szCs w:val="22"/>
        </w:rPr>
        <w:t>.</w:t>
      </w:r>
    </w:p>
    <w:p w14:paraId="6D38ECCC" w14:textId="77777777" w:rsidR="00D1522E" w:rsidRDefault="00D1522E" w:rsidP="00D1522E">
      <w:pPr>
        <w:overflowPunct/>
        <w:autoSpaceDE/>
        <w:autoSpaceDN/>
        <w:adjustRightInd/>
        <w:textAlignment w:val="auto"/>
        <w:rPr>
          <w:rFonts w:ascii="Calibri" w:hAnsi="Calibri" w:cs="Calibri"/>
          <w:color w:val="000000"/>
          <w:sz w:val="22"/>
          <w:szCs w:val="22"/>
        </w:rPr>
      </w:pPr>
    </w:p>
    <w:p w14:paraId="638AD8FD" w14:textId="1AE33B18" w:rsidR="00D1522E" w:rsidRDefault="00D1522E" w:rsidP="00D1522E">
      <w:pPr>
        <w:overflowPunct/>
        <w:autoSpaceDE/>
        <w:autoSpaceDN/>
        <w:adjustRightInd/>
        <w:textAlignment w:val="auto"/>
        <w:rPr>
          <w:rFonts w:ascii="Calibri" w:hAnsi="Calibri" w:cs="Calibri"/>
          <w:color w:val="000000"/>
          <w:sz w:val="22"/>
          <w:szCs w:val="22"/>
        </w:rPr>
      </w:pPr>
      <w:r w:rsidRPr="00616F34">
        <w:rPr>
          <w:rFonts w:ascii="Calibri" w:hAnsi="Calibri" w:cs="Calibri"/>
          <w:b/>
          <w:bCs/>
          <w:color w:val="000000"/>
          <w:sz w:val="22"/>
          <w:szCs w:val="22"/>
        </w:rPr>
        <w:t>Výše hypotéky pak souvisí také s vývojem cen nemovitostí,</w:t>
      </w:r>
      <w:r w:rsidRPr="004803D6">
        <w:rPr>
          <w:rFonts w:ascii="Calibri" w:hAnsi="Calibri" w:cs="Calibri"/>
          <w:color w:val="000000"/>
          <w:sz w:val="22"/>
          <w:szCs w:val="22"/>
        </w:rPr>
        <w:t xml:space="preserve"> které </w:t>
      </w:r>
      <w:r>
        <w:rPr>
          <w:rFonts w:ascii="Calibri" w:hAnsi="Calibri" w:cs="Calibri"/>
          <w:color w:val="000000"/>
          <w:sz w:val="22"/>
          <w:szCs w:val="22"/>
        </w:rPr>
        <w:t xml:space="preserve">se ve třetím čtvrtletí roku 2025 pokračovaly silným téměř </w:t>
      </w:r>
      <w:hyperlink r:id="rId29" w:history="1">
        <w:proofErr w:type="gramStart"/>
        <w:r w:rsidRPr="00356A6D">
          <w:rPr>
            <w:rStyle w:val="Hypertextovodkaz"/>
            <w:rFonts w:ascii="Calibri" w:hAnsi="Calibri" w:cs="Calibri"/>
            <w:sz w:val="22"/>
            <w:szCs w:val="22"/>
          </w:rPr>
          <w:t>11%</w:t>
        </w:r>
        <w:proofErr w:type="gramEnd"/>
        <w:r w:rsidRPr="00356A6D">
          <w:rPr>
            <w:rStyle w:val="Hypertextovodkaz"/>
            <w:rFonts w:ascii="Calibri" w:hAnsi="Calibri" w:cs="Calibri"/>
            <w:sz w:val="22"/>
            <w:szCs w:val="22"/>
          </w:rPr>
          <w:t xml:space="preserve"> meziročním růstem</w:t>
        </w:r>
      </w:hyperlink>
      <w:r>
        <w:rPr>
          <w:rFonts w:ascii="Calibri" w:hAnsi="Calibri" w:cs="Calibri"/>
          <w:color w:val="000000"/>
          <w:sz w:val="22"/>
          <w:szCs w:val="22"/>
        </w:rPr>
        <w:t xml:space="preserve"> či </w:t>
      </w:r>
      <w:hyperlink r:id="rId30" w:history="1">
        <w:proofErr w:type="gramStart"/>
        <w:r w:rsidRPr="00356A6D">
          <w:rPr>
            <w:rStyle w:val="Hypertextovodkaz"/>
            <w:rFonts w:ascii="Calibri" w:hAnsi="Calibri" w:cs="Calibri"/>
            <w:sz w:val="22"/>
            <w:szCs w:val="22"/>
          </w:rPr>
          <w:t>16%</w:t>
        </w:r>
        <w:proofErr w:type="gramEnd"/>
        <w:r w:rsidRPr="00356A6D">
          <w:rPr>
            <w:rStyle w:val="Hypertextovodkaz"/>
            <w:rFonts w:ascii="Calibri" w:hAnsi="Calibri" w:cs="Calibri"/>
            <w:sz w:val="22"/>
            <w:szCs w:val="22"/>
          </w:rPr>
          <w:t xml:space="preserve"> v případě cen bytů</w:t>
        </w:r>
      </w:hyperlink>
      <w:r>
        <w:rPr>
          <w:rFonts w:ascii="Calibri" w:hAnsi="Calibri" w:cs="Calibri"/>
          <w:color w:val="000000"/>
          <w:sz w:val="22"/>
          <w:szCs w:val="22"/>
        </w:rPr>
        <w:t xml:space="preserve">. </w:t>
      </w:r>
      <w:r w:rsidRPr="00D43642">
        <w:rPr>
          <w:rFonts w:ascii="Calibri" w:hAnsi="Calibri" w:cs="Calibri"/>
          <w:color w:val="000000"/>
          <w:sz w:val="22"/>
          <w:szCs w:val="22"/>
        </w:rPr>
        <w:t>Nabídkové ceny v poslední</w:t>
      </w:r>
      <w:r>
        <w:rPr>
          <w:rFonts w:ascii="Calibri" w:hAnsi="Calibri" w:cs="Calibri"/>
          <w:color w:val="000000"/>
          <w:sz w:val="22"/>
          <w:szCs w:val="22"/>
        </w:rPr>
        <w:t>m</w:t>
      </w:r>
      <w:r w:rsidRPr="00D43642">
        <w:rPr>
          <w:rFonts w:ascii="Calibri" w:hAnsi="Calibri" w:cs="Calibri"/>
          <w:color w:val="000000"/>
          <w:sz w:val="22"/>
          <w:szCs w:val="22"/>
        </w:rPr>
        <w:t xml:space="preserve"> čtvrtletí 2025 zpomalily mezičtvrtletní růst na 2,4 %, což je nejnižší nárůst od poloviny roku 2024. Ovšem tempo zůstává nad dlouhodobým průměrem 1,8 %. </w:t>
      </w:r>
      <w:r w:rsidR="00BA1D00" w:rsidRPr="00BA1D00">
        <w:rPr>
          <w:rFonts w:ascii="Calibri" w:hAnsi="Calibri" w:cs="Calibri"/>
          <w:color w:val="000000"/>
          <w:sz w:val="22"/>
          <w:szCs w:val="22"/>
        </w:rPr>
        <w:t xml:space="preserve">Podle dat od společnosti </w:t>
      </w:r>
      <w:proofErr w:type="spellStart"/>
      <w:r w:rsidR="00BA1D00" w:rsidRPr="00BA1D00">
        <w:rPr>
          <w:rFonts w:ascii="Calibri" w:hAnsi="Calibri" w:cs="Calibri"/>
          <w:color w:val="000000"/>
          <w:sz w:val="22"/>
          <w:szCs w:val="22"/>
        </w:rPr>
        <w:t>Flat</w:t>
      </w:r>
      <w:proofErr w:type="spellEnd"/>
      <w:r w:rsidR="00BA1D00" w:rsidRPr="00BA1D00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="00BA1D00" w:rsidRPr="00BA1D00">
        <w:rPr>
          <w:rFonts w:ascii="Calibri" w:hAnsi="Calibri" w:cs="Calibri"/>
          <w:color w:val="000000"/>
          <w:sz w:val="22"/>
          <w:szCs w:val="22"/>
        </w:rPr>
        <w:t>Zone</w:t>
      </w:r>
      <w:proofErr w:type="spellEnd"/>
      <w:r w:rsidR="00BA1D00" w:rsidRPr="00BA1D00">
        <w:rPr>
          <w:rFonts w:ascii="Calibri" w:hAnsi="Calibri" w:cs="Calibri"/>
          <w:color w:val="000000"/>
          <w:sz w:val="22"/>
          <w:szCs w:val="22"/>
        </w:rPr>
        <w:t xml:space="preserve"> se průměrná transakční cena bytů, jak nových, tak starších v ČR ve čtvrtém čtvrtletí dostala na 97,5 tis. Kč/m2 (viz grafy na </w:t>
      </w:r>
      <w:hyperlink r:id="rId31" w:history="1">
        <w:r w:rsidR="00BA1D00" w:rsidRPr="00BA1D00">
          <w:rPr>
            <w:rStyle w:val="Hypertextovodkaz"/>
            <w:rFonts w:ascii="Calibri" w:hAnsi="Calibri" w:cs="Calibri"/>
            <w:sz w:val="22"/>
            <w:szCs w:val="22"/>
          </w:rPr>
          <w:t>ČBA Monitor</w:t>
        </w:r>
      </w:hyperlink>
      <w:r w:rsidR="00BA1D00" w:rsidRPr="00BA1D00">
        <w:rPr>
          <w:rFonts w:ascii="Calibri" w:hAnsi="Calibri" w:cs="Calibri"/>
          <w:color w:val="000000"/>
          <w:sz w:val="22"/>
          <w:szCs w:val="22"/>
        </w:rPr>
        <w:t xml:space="preserve">), což odráží </w:t>
      </w:r>
      <w:proofErr w:type="gramStart"/>
      <w:r w:rsidR="00BA1D00" w:rsidRPr="00BA1D00">
        <w:rPr>
          <w:rFonts w:ascii="Calibri" w:hAnsi="Calibri" w:cs="Calibri"/>
          <w:color w:val="000000"/>
          <w:sz w:val="22"/>
          <w:szCs w:val="22"/>
        </w:rPr>
        <w:t>2%</w:t>
      </w:r>
      <w:proofErr w:type="gramEnd"/>
      <w:r w:rsidR="00BA1D00" w:rsidRPr="00BA1D00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="00BA1D00" w:rsidRPr="00BA1D00">
        <w:rPr>
          <w:rFonts w:ascii="Calibri" w:hAnsi="Calibri" w:cs="Calibri"/>
          <w:color w:val="000000"/>
          <w:sz w:val="22"/>
          <w:szCs w:val="22"/>
        </w:rPr>
        <w:t>mezikvartální</w:t>
      </w:r>
      <w:proofErr w:type="spellEnd"/>
      <w:r w:rsidR="00BA1D00" w:rsidRPr="00BA1D00">
        <w:rPr>
          <w:rFonts w:ascii="Calibri" w:hAnsi="Calibri" w:cs="Calibri"/>
          <w:color w:val="000000"/>
          <w:sz w:val="22"/>
          <w:szCs w:val="22"/>
        </w:rPr>
        <w:t xml:space="preserve"> a 11,3% meziroční nárůst.</w:t>
      </w:r>
    </w:p>
    <w:p w14:paraId="1725240A" w14:textId="77777777" w:rsidR="00DB746B" w:rsidRDefault="00DB746B" w:rsidP="00573D34">
      <w:pPr>
        <w:spacing w:after="120"/>
        <w:rPr>
          <w:rFonts w:ascii="Calibri" w:hAnsi="Calibri" w:cs="Calibri"/>
          <w:b/>
          <w:color w:val="13576B"/>
          <w:sz w:val="23"/>
          <w:szCs w:val="23"/>
        </w:rPr>
      </w:pPr>
    </w:p>
    <w:p w14:paraId="37433820" w14:textId="16955C1F" w:rsidR="00573D34" w:rsidRDefault="00EB1892" w:rsidP="00573D34">
      <w:pPr>
        <w:spacing w:after="120"/>
        <w:rPr>
          <w:rFonts w:ascii="Calibri" w:hAnsi="Calibri" w:cs="Calibri"/>
          <w:b/>
          <w:color w:val="13576B"/>
          <w:sz w:val="23"/>
          <w:szCs w:val="23"/>
        </w:rPr>
      </w:pPr>
      <w:r w:rsidRPr="005B4653">
        <w:rPr>
          <w:rFonts w:ascii="Calibri" w:hAnsi="Calibri" w:cs="Calibri"/>
          <w:b/>
          <w:color w:val="13576B"/>
          <w:sz w:val="23"/>
          <w:szCs w:val="23"/>
        </w:rPr>
        <w:t xml:space="preserve">Graf č. </w:t>
      </w:r>
      <w:r w:rsidR="00506126">
        <w:rPr>
          <w:rFonts w:ascii="Calibri" w:hAnsi="Calibri" w:cs="Calibri"/>
          <w:b/>
          <w:color w:val="13576B"/>
          <w:sz w:val="23"/>
          <w:szCs w:val="23"/>
        </w:rPr>
        <w:t>5</w:t>
      </w:r>
      <w:r w:rsidRPr="005B4653">
        <w:rPr>
          <w:rFonts w:ascii="Calibri" w:hAnsi="Calibri" w:cs="Calibri"/>
          <w:b/>
          <w:color w:val="13576B"/>
          <w:sz w:val="23"/>
          <w:szCs w:val="23"/>
        </w:rPr>
        <w:t xml:space="preserve">: </w:t>
      </w:r>
      <w:r w:rsidR="009D5F35">
        <w:rPr>
          <w:rFonts w:ascii="Calibri" w:hAnsi="Calibri" w:cs="Calibri"/>
          <w:b/>
          <w:color w:val="13576B"/>
          <w:sz w:val="23"/>
          <w:szCs w:val="23"/>
        </w:rPr>
        <w:t>Ilustrativní srovnání výše měsíční splátky průměrné hypotéky s obdobím před rokem v závislosti na výši úroku, velikosti hypotéky a její splatnosti v</w:t>
      </w:r>
      <w:r w:rsidR="00573D34">
        <w:rPr>
          <w:rFonts w:ascii="Calibri" w:hAnsi="Calibri" w:cs="Calibri"/>
          <w:b/>
          <w:color w:val="13576B"/>
          <w:sz w:val="23"/>
          <w:szCs w:val="23"/>
        </w:rPr>
        <w:t> </w:t>
      </w:r>
      <w:r w:rsidR="009D5F35">
        <w:rPr>
          <w:rFonts w:ascii="Calibri" w:hAnsi="Calibri" w:cs="Calibri"/>
          <w:b/>
          <w:color w:val="13576B"/>
          <w:sz w:val="23"/>
          <w:szCs w:val="23"/>
        </w:rPr>
        <w:t>letech</w:t>
      </w:r>
    </w:p>
    <w:p w14:paraId="53476FC3" w14:textId="746A1A61" w:rsidR="00BA3140" w:rsidRDefault="00BA3140" w:rsidP="00AA62A7">
      <w:pPr>
        <w:overflowPunct/>
        <w:autoSpaceDE/>
        <w:autoSpaceDN/>
        <w:adjustRightInd/>
        <w:spacing w:line="259" w:lineRule="auto"/>
        <w:jc w:val="left"/>
        <w:textAlignment w:val="auto"/>
        <w:rPr>
          <w:rFonts w:ascii="Calibri" w:hAnsi="Calibri" w:cs="Calibri"/>
          <w:bCs/>
          <w:i/>
          <w:iCs/>
          <w:noProof/>
          <w:color w:val="13576B"/>
          <w:sz w:val="23"/>
          <w:szCs w:val="23"/>
        </w:rPr>
      </w:pPr>
      <w:r w:rsidRPr="00BA3140">
        <w:rPr>
          <w:rFonts w:ascii="Calibri" w:hAnsi="Calibri" w:cs="Calibri"/>
          <w:bCs/>
          <w:i/>
          <w:iCs/>
          <w:color w:val="13576B"/>
          <w:sz w:val="23"/>
          <w:szCs w:val="23"/>
        </w:rPr>
        <w:lastRenderedPageBreak/>
        <w:t xml:space="preserve">V meziročním srovnání přinesl pokles hypoteční sazby úsporu průměrné měsíční splátky o 770 Kč, ovšem růst průměrné výše hypotéky způsobil její navýšení o 3 150 Kč. </w:t>
      </w:r>
      <w:r>
        <w:rPr>
          <w:rFonts w:ascii="Calibri" w:hAnsi="Calibri" w:cs="Calibri"/>
          <w:bCs/>
          <w:i/>
          <w:iCs/>
          <w:noProof/>
          <w:color w:val="13576B"/>
          <w:sz w:val="23"/>
          <w:szCs w:val="23"/>
        </w:rPr>
        <w:drawing>
          <wp:inline distT="0" distB="0" distL="0" distR="0" wp14:anchorId="3ECF07CE" wp14:editId="5D663187">
            <wp:extent cx="4067175" cy="2701460"/>
            <wp:effectExtent l="0" t="0" r="0" b="3810"/>
            <wp:docPr id="60273839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0243" cy="27034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DADE1A7" w14:textId="4B9EF024" w:rsidR="009D5F35" w:rsidRDefault="009D5F35" w:rsidP="009D5F35">
      <w:pPr>
        <w:overflowPunct/>
        <w:autoSpaceDE/>
        <w:adjustRightInd/>
        <w:rPr>
          <w:rFonts w:ascii="Calibri Light" w:hAnsi="Calibri Light" w:cs="Calibri Light"/>
          <w:color w:val="13576B"/>
          <w:sz w:val="20"/>
        </w:rPr>
      </w:pPr>
      <w:r w:rsidRPr="002F4CBD">
        <w:rPr>
          <w:rFonts w:ascii="Calibri Light" w:hAnsi="Calibri Light" w:cs="Calibri Light"/>
          <w:color w:val="13576B"/>
          <w:sz w:val="20"/>
        </w:rPr>
        <w:t>Pramen:</w:t>
      </w:r>
      <w:r>
        <w:rPr>
          <w:rFonts w:ascii="Calibri Light" w:hAnsi="Calibri Light" w:cs="Calibri Light"/>
          <w:color w:val="13576B"/>
          <w:sz w:val="20"/>
        </w:rPr>
        <w:t xml:space="preserve"> </w:t>
      </w:r>
      <w:r w:rsidRPr="002F4CBD">
        <w:rPr>
          <w:rFonts w:ascii="Calibri Light" w:hAnsi="Calibri Light" w:cs="Calibri Light"/>
          <w:color w:val="13576B"/>
          <w:sz w:val="20"/>
        </w:rPr>
        <w:t>ČBA</w:t>
      </w:r>
      <w:r w:rsidR="00AA62A7">
        <w:rPr>
          <w:rFonts w:ascii="Calibri Light" w:hAnsi="Calibri Light" w:cs="Calibri Light"/>
          <w:color w:val="13576B"/>
          <w:sz w:val="20"/>
        </w:rPr>
        <w:t xml:space="preserve">. Pozn.: </w:t>
      </w:r>
      <w:r w:rsidR="00AA62A7" w:rsidRPr="00AA62A7">
        <w:rPr>
          <w:rFonts w:ascii="Calibri Light" w:hAnsi="Calibri Light" w:cs="Calibri Light"/>
          <w:color w:val="13576B"/>
          <w:sz w:val="20"/>
        </w:rPr>
        <w:t>částky jsou zaokrouhleny na desítky korun.</w:t>
      </w:r>
    </w:p>
    <w:p w14:paraId="7ECA69B5" w14:textId="77777777" w:rsidR="00173D31" w:rsidRDefault="00173D31" w:rsidP="009D5F35">
      <w:pPr>
        <w:overflowPunct/>
        <w:autoSpaceDE/>
        <w:adjustRightInd/>
        <w:rPr>
          <w:rFonts w:ascii="Calibri Light" w:hAnsi="Calibri Light" w:cs="Calibri Light"/>
          <w:color w:val="13576B"/>
          <w:sz w:val="20"/>
        </w:rPr>
      </w:pPr>
    </w:p>
    <w:p w14:paraId="620D9ACD" w14:textId="77777777" w:rsidR="00BA3140" w:rsidRDefault="00BA3140" w:rsidP="002E4EFD">
      <w:pPr>
        <w:rPr>
          <w:rFonts w:ascii="Calibri" w:hAnsi="Calibri" w:cs="Calibri"/>
          <w:b/>
          <w:color w:val="13576B"/>
          <w:sz w:val="24"/>
          <w:szCs w:val="24"/>
        </w:rPr>
      </w:pPr>
    </w:p>
    <w:p w14:paraId="5A72B105" w14:textId="31FA153D" w:rsidR="002E4EFD" w:rsidRDefault="008723A8" w:rsidP="002E4EFD">
      <w:pPr>
        <w:rPr>
          <w:rFonts w:ascii="Calibri" w:hAnsi="Calibri" w:cs="Calibri"/>
          <w:b/>
          <w:color w:val="13576B"/>
          <w:sz w:val="24"/>
          <w:szCs w:val="24"/>
        </w:rPr>
      </w:pPr>
      <w:r>
        <w:rPr>
          <w:rFonts w:ascii="Calibri" w:hAnsi="Calibri" w:cs="Calibri"/>
          <w:b/>
          <w:color w:val="13576B"/>
          <w:sz w:val="24"/>
          <w:szCs w:val="24"/>
        </w:rPr>
        <w:t>Statistická příloha</w:t>
      </w:r>
    </w:p>
    <w:p w14:paraId="7D8CD8E4" w14:textId="77777777" w:rsidR="00582221" w:rsidRDefault="00582221" w:rsidP="002E4EFD">
      <w:pPr>
        <w:rPr>
          <w:rFonts w:ascii="Calibri" w:hAnsi="Calibri" w:cs="Calibri"/>
          <w:b/>
          <w:color w:val="13576B"/>
          <w:sz w:val="24"/>
          <w:szCs w:val="24"/>
        </w:rPr>
      </w:pPr>
    </w:p>
    <w:p w14:paraId="2FA0BE1C" w14:textId="24706C40" w:rsidR="00582221" w:rsidRPr="00D24B00" w:rsidRDefault="00582221" w:rsidP="002E4EFD">
      <w:pPr>
        <w:rPr>
          <w:rFonts w:ascii="Calibri" w:hAnsi="Calibri" w:cs="Calibri"/>
          <w:b/>
          <w:color w:val="EE0000"/>
          <w:sz w:val="24"/>
          <w:szCs w:val="24"/>
        </w:rPr>
      </w:pPr>
      <w:r w:rsidRPr="005B4653">
        <w:rPr>
          <w:rFonts w:ascii="Calibri" w:hAnsi="Calibri" w:cs="Calibri"/>
          <w:b/>
          <w:color w:val="13576B"/>
          <w:sz w:val="23"/>
          <w:szCs w:val="23"/>
        </w:rPr>
        <w:t xml:space="preserve">Graf č. </w:t>
      </w:r>
      <w:r w:rsidR="00506126">
        <w:rPr>
          <w:rFonts w:ascii="Calibri" w:hAnsi="Calibri" w:cs="Calibri"/>
          <w:b/>
          <w:color w:val="13576B"/>
          <w:sz w:val="23"/>
          <w:szCs w:val="23"/>
        </w:rPr>
        <w:t>6</w:t>
      </w:r>
      <w:r w:rsidRPr="005B4653">
        <w:rPr>
          <w:rFonts w:ascii="Calibri" w:hAnsi="Calibri" w:cs="Calibri"/>
          <w:b/>
          <w:color w:val="13576B"/>
          <w:sz w:val="23"/>
          <w:szCs w:val="23"/>
        </w:rPr>
        <w:t xml:space="preserve">: </w:t>
      </w:r>
      <w:r>
        <w:rPr>
          <w:rFonts w:ascii="Calibri" w:hAnsi="Calibri" w:cs="Calibri"/>
          <w:b/>
          <w:color w:val="13576B"/>
          <w:sz w:val="23"/>
          <w:szCs w:val="23"/>
        </w:rPr>
        <w:t>Sezónnost nových hypotečních úvěrů</w:t>
      </w:r>
    </w:p>
    <w:p w14:paraId="384BA2E5" w14:textId="5663017E" w:rsidR="0033440C" w:rsidRDefault="00A16B96" w:rsidP="009D5F35">
      <w:pPr>
        <w:overflowPunct/>
        <w:autoSpaceDE/>
        <w:adjustRightInd/>
        <w:rPr>
          <w:rFonts w:ascii="Calibri Light" w:hAnsi="Calibri Light" w:cs="Calibri Light"/>
          <w:color w:val="13576B"/>
          <w:sz w:val="20"/>
        </w:rPr>
      </w:pPr>
      <w:r>
        <w:rPr>
          <w:rFonts w:ascii="Calibri Light" w:hAnsi="Calibri Light" w:cs="Calibri Light"/>
          <w:noProof/>
          <w:color w:val="13576B"/>
          <w:sz w:val="20"/>
        </w:rPr>
        <w:lastRenderedPageBreak/>
        <w:drawing>
          <wp:inline distT="0" distB="0" distL="0" distR="0" wp14:anchorId="31047720" wp14:editId="7EB5BAAA">
            <wp:extent cx="6438925" cy="4147185"/>
            <wp:effectExtent l="0" t="0" r="0" b="5715"/>
            <wp:docPr id="133745635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4096" cy="41505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543E5F5" w14:textId="68A6E96C" w:rsidR="0033440C" w:rsidRDefault="008723A8" w:rsidP="009D5F35">
      <w:pPr>
        <w:overflowPunct/>
        <w:autoSpaceDE/>
        <w:adjustRightInd/>
        <w:rPr>
          <w:rFonts w:ascii="Calibri Light" w:hAnsi="Calibri Light" w:cs="Calibri Light"/>
          <w:color w:val="13576B"/>
          <w:sz w:val="20"/>
        </w:rPr>
      </w:pPr>
      <w:r w:rsidRPr="002F4CBD">
        <w:rPr>
          <w:rFonts w:ascii="Calibri Light" w:hAnsi="Calibri Light" w:cs="Calibri Light"/>
          <w:color w:val="13576B"/>
          <w:sz w:val="20"/>
        </w:rPr>
        <w:t>Pramen:</w:t>
      </w:r>
      <w:r>
        <w:rPr>
          <w:rFonts w:ascii="Calibri Light" w:hAnsi="Calibri Light" w:cs="Calibri Light"/>
          <w:color w:val="13576B"/>
          <w:sz w:val="20"/>
        </w:rPr>
        <w:t xml:space="preserve"> </w:t>
      </w:r>
      <w:r w:rsidRPr="002F4CBD">
        <w:rPr>
          <w:rFonts w:ascii="Calibri Light" w:hAnsi="Calibri Light" w:cs="Calibri Light"/>
          <w:color w:val="13576B"/>
          <w:sz w:val="20"/>
        </w:rPr>
        <w:t>ČBA</w:t>
      </w:r>
      <w:r>
        <w:rPr>
          <w:rFonts w:ascii="Calibri Light" w:hAnsi="Calibri Light" w:cs="Calibri Light"/>
          <w:color w:val="13576B"/>
          <w:sz w:val="20"/>
        </w:rPr>
        <w:t xml:space="preserve"> </w:t>
      </w:r>
      <w:proofErr w:type="spellStart"/>
      <w:r>
        <w:rPr>
          <w:rFonts w:ascii="Calibri Light" w:hAnsi="Calibri Light" w:cs="Calibri Light"/>
          <w:color w:val="13576B"/>
          <w:sz w:val="20"/>
        </w:rPr>
        <w:t>Hypomonitor</w:t>
      </w:r>
      <w:proofErr w:type="spellEnd"/>
    </w:p>
    <w:p w14:paraId="03530238" w14:textId="378A1F3A" w:rsidR="008723A8" w:rsidRDefault="008723A8" w:rsidP="009D5F35">
      <w:pPr>
        <w:overflowPunct/>
        <w:autoSpaceDE/>
        <w:adjustRightInd/>
        <w:rPr>
          <w:rFonts w:ascii="Calibri Light" w:hAnsi="Calibri Light" w:cs="Calibri Light"/>
          <w:color w:val="13576B"/>
          <w:sz w:val="20"/>
        </w:rPr>
      </w:pPr>
      <w:r>
        <w:rPr>
          <w:rFonts w:ascii="Calibri Light" w:hAnsi="Calibri Light" w:cs="Calibri Light"/>
          <w:color w:val="13576B"/>
          <w:sz w:val="20"/>
        </w:rPr>
        <w:t xml:space="preserve">Poznámka: </w:t>
      </w:r>
      <w:r w:rsidR="006E2E7E">
        <w:rPr>
          <w:rFonts w:ascii="Calibri Light" w:hAnsi="Calibri Light" w:cs="Calibri Light"/>
          <w:color w:val="13576B"/>
          <w:sz w:val="20"/>
        </w:rPr>
        <w:t xml:space="preserve">Jedná se o skutečně nové hypotéky (tedy </w:t>
      </w:r>
      <w:r w:rsidR="00F50DD0">
        <w:rPr>
          <w:rFonts w:ascii="Calibri Light" w:hAnsi="Calibri Light" w:cs="Calibri Light"/>
          <w:color w:val="13576B"/>
          <w:sz w:val="20"/>
        </w:rPr>
        <w:t xml:space="preserve">bez </w:t>
      </w:r>
      <w:r w:rsidR="006E2E7E">
        <w:rPr>
          <w:rFonts w:ascii="Calibri Light" w:hAnsi="Calibri Light" w:cs="Calibri Light"/>
          <w:color w:val="13576B"/>
          <w:sz w:val="20"/>
        </w:rPr>
        <w:t xml:space="preserve">refinancování a navýšeni). </w:t>
      </w:r>
      <w:r>
        <w:rPr>
          <w:rFonts w:ascii="Calibri Light" w:hAnsi="Calibri Light" w:cs="Calibri Light"/>
          <w:color w:val="13576B"/>
          <w:sz w:val="20"/>
        </w:rPr>
        <w:t xml:space="preserve">Podkladová data jsou </w:t>
      </w:r>
      <w:r w:rsidRPr="008723A8">
        <w:rPr>
          <w:rFonts w:ascii="Calibri Light" w:hAnsi="Calibri Light" w:cs="Calibri Light"/>
          <w:color w:val="13576B"/>
          <w:sz w:val="20"/>
        </w:rPr>
        <w:t xml:space="preserve">k dispozici v souboru </w:t>
      </w:r>
      <w:proofErr w:type="spellStart"/>
      <w:r w:rsidRPr="008723A8">
        <w:rPr>
          <w:rFonts w:ascii="Calibri Light" w:hAnsi="Calibri Light" w:cs="Calibri Light"/>
          <w:color w:val="13576B"/>
          <w:sz w:val="20"/>
        </w:rPr>
        <w:t>xls</w:t>
      </w:r>
      <w:proofErr w:type="spellEnd"/>
      <w:r w:rsidRPr="008723A8">
        <w:rPr>
          <w:rFonts w:ascii="Calibri Light" w:hAnsi="Calibri Light" w:cs="Calibri Light"/>
          <w:color w:val="13576B"/>
          <w:sz w:val="20"/>
        </w:rPr>
        <w:t xml:space="preserve"> přiloženém na webových stránkách ČBA </w:t>
      </w:r>
      <w:proofErr w:type="spellStart"/>
      <w:r w:rsidRPr="008723A8">
        <w:rPr>
          <w:rFonts w:ascii="Calibri Light" w:hAnsi="Calibri Light" w:cs="Calibri Light"/>
          <w:color w:val="13576B"/>
          <w:sz w:val="20"/>
        </w:rPr>
        <w:t>Hypomonitoru</w:t>
      </w:r>
      <w:proofErr w:type="spellEnd"/>
      <w:r w:rsidR="00E16BD3">
        <w:rPr>
          <w:rFonts w:ascii="Calibri Light" w:hAnsi="Calibri Light" w:cs="Calibri Light"/>
          <w:color w:val="13576B"/>
          <w:sz w:val="20"/>
        </w:rPr>
        <w:t>. V</w:t>
      </w:r>
      <w:r w:rsidR="00E16BD3" w:rsidRPr="00E16BD3">
        <w:rPr>
          <w:rFonts w:ascii="Calibri Light" w:hAnsi="Calibri Light" w:cs="Calibri Light"/>
          <w:color w:val="13576B"/>
          <w:sz w:val="20"/>
        </w:rPr>
        <w:t>ýhled do konce roku</w:t>
      </w:r>
      <w:r w:rsidR="00E16BD3">
        <w:rPr>
          <w:rFonts w:ascii="Calibri Light" w:hAnsi="Calibri Light" w:cs="Calibri Light"/>
          <w:color w:val="13576B"/>
          <w:sz w:val="20"/>
        </w:rPr>
        <w:t xml:space="preserve"> (</w:t>
      </w:r>
      <w:proofErr w:type="spellStart"/>
      <w:r w:rsidR="00E16BD3">
        <w:rPr>
          <w:rFonts w:ascii="Calibri Light" w:hAnsi="Calibri Light" w:cs="Calibri Light"/>
          <w:color w:val="13576B"/>
          <w:sz w:val="20"/>
        </w:rPr>
        <w:t>fcst</w:t>
      </w:r>
      <w:proofErr w:type="spellEnd"/>
      <w:r w:rsidR="00E16BD3">
        <w:rPr>
          <w:rFonts w:ascii="Calibri Light" w:hAnsi="Calibri Light" w:cs="Calibri Light"/>
          <w:color w:val="13576B"/>
          <w:sz w:val="20"/>
        </w:rPr>
        <w:t>)</w:t>
      </w:r>
      <w:r w:rsidR="00E16BD3" w:rsidRPr="00E16BD3">
        <w:rPr>
          <w:rFonts w:ascii="Calibri Light" w:hAnsi="Calibri Light" w:cs="Calibri Light"/>
          <w:color w:val="13576B"/>
          <w:sz w:val="20"/>
        </w:rPr>
        <w:t xml:space="preserve"> je momentový – vychází z aktuálního trendu, nikoli z modelové predikce.</w:t>
      </w:r>
    </w:p>
    <w:p w14:paraId="50F3BD64" w14:textId="77777777" w:rsidR="0033440C" w:rsidRDefault="0033440C" w:rsidP="009D5F35">
      <w:pPr>
        <w:overflowPunct/>
        <w:autoSpaceDE/>
        <w:adjustRightInd/>
        <w:rPr>
          <w:rFonts w:ascii="Calibri Light" w:hAnsi="Calibri Light" w:cs="Calibri Light"/>
          <w:color w:val="13576B"/>
          <w:sz w:val="20"/>
        </w:rPr>
      </w:pPr>
    </w:p>
    <w:p w14:paraId="67028DE4" w14:textId="753DB133" w:rsidR="00582221" w:rsidRDefault="00582221" w:rsidP="009D5F35">
      <w:pPr>
        <w:overflowPunct/>
        <w:autoSpaceDE/>
        <w:adjustRightInd/>
        <w:rPr>
          <w:rFonts w:ascii="Calibri Light" w:hAnsi="Calibri Light" w:cs="Calibri Light"/>
          <w:color w:val="13576B"/>
          <w:sz w:val="20"/>
        </w:rPr>
      </w:pPr>
      <w:r w:rsidRPr="005B4653">
        <w:rPr>
          <w:rFonts w:ascii="Calibri" w:hAnsi="Calibri" w:cs="Calibri"/>
          <w:b/>
          <w:color w:val="13576B"/>
          <w:sz w:val="23"/>
          <w:szCs w:val="23"/>
        </w:rPr>
        <w:t xml:space="preserve">Graf č. </w:t>
      </w:r>
      <w:r w:rsidR="00506126">
        <w:rPr>
          <w:rFonts w:ascii="Calibri" w:hAnsi="Calibri" w:cs="Calibri"/>
          <w:b/>
          <w:color w:val="13576B"/>
          <w:sz w:val="23"/>
          <w:szCs w:val="23"/>
        </w:rPr>
        <w:t>7</w:t>
      </w:r>
      <w:r w:rsidRPr="005B4653">
        <w:rPr>
          <w:rFonts w:ascii="Calibri" w:hAnsi="Calibri" w:cs="Calibri"/>
          <w:b/>
          <w:color w:val="13576B"/>
          <w:sz w:val="23"/>
          <w:szCs w:val="23"/>
        </w:rPr>
        <w:t xml:space="preserve">: </w:t>
      </w:r>
      <w:r>
        <w:rPr>
          <w:rFonts w:ascii="Calibri" w:hAnsi="Calibri" w:cs="Calibri"/>
          <w:b/>
          <w:color w:val="13576B"/>
          <w:sz w:val="23"/>
          <w:szCs w:val="23"/>
        </w:rPr>
        <w:t>Rozložení nových hypotečních úvěrů podle účelu</w:t>
      </w:r>
    </w:p>
    <w:p w14:paraId="6D87A84C" w14:textId="421440F0" w:rsidR="00582221" w:rsidRDefault="0026268C" w:rsidP="009D5F35">
      <w:pPr>
        <w:overflowPunct/>
        <w:autoSpaceDE/>
        <w:adjustRightInd/>
        <w:rPr>
          <w:rFonts w:ascii="Calibri Light" w:hAnsi="Calibri Light" w:cs="Calibri Light"/>
          <w:color w:val="13576B"/>
          <w:sz w:val="20"/>
        </w:rPr>
      </w:pPr>
      <w:r>
        <w:rPr>
          <w:rFonts w:ascii="Calibri Light" w:hAnsi="Calibri Light" w:cs="Calibri Light"/>
          <w:noProof/>
          <w:color w:val="13576B"/>
          <w:sz w:val="20"/>
        </w:rPr>
        <w:drawing>
          <wp:inline distT="0" distB="0" distL="0" distR="0" wp14:anchorId="03B873B3" wp14:editId="1240E7DE">
            <wp:extent cx="6556375" cy="2064278"/>
            <wp:effectExtent l="0" t="0" r="0" b="0"/>
            <wp:docPr id="198141409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7350" cy="2074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6D7AF75" w14:textId="77777777" w:rsidR="00582221" w:rsidRDefault="00582221" w:rsidP="00582221">
      <w:pPr>
        <w:overflowPunct/>
        <w:autoSpaceDE/>
        <w:adjustRightInd/>
        <w:rPr>
          <w:rFonts w:ascii="Calibri Light" w:hAnsi="Calibri Light" w:cs="Calibri Light"/>
          <w:color w:val="13576B"/>
          <w:sz w:val="20"/>
        </w:rPr>
      </w:pPr>
      <w:r w:rsidRPr="002F4CBD">
        <w:rPr>
          <w:rFonts w:ascii="Calibri Light" w:hAnsi="Calibri Light" w:cs="Calibri Light"/>
          <w:color w:val="13576B"/>
          <w:sz w:val="20"/>
        </w:rPr>
        <w:t>Pramen:</w:t>
      </w:r>
      <w:r>
        <w:rPr>
          <w:rFonts w:ascii="Calibri Light" w:hAnsi="Calibri Light" w:cs="Calibri Light"/>
          <w:color w:val="13576B"/>
          <w:sz w:val="20"/>
        </w:rPr>
        <w:t xml:space="preserve"> </w:t>
      </w:r>
      <w:r w:rsidRPr="002F4CBD">
        <w:rPr>
          <w:rFonts w:ascii="Calibri Light" w:hAnsi="Calibri Light" w:cs="Calibri Light"/>
          <w:color w:val="13576B"/>
          <w:sz w:val="20"/>
        </w:rPr>
        <w:t>ČBA</w:t>
      </w:r>
      <w:r>
        <w:rPr>
          <w:rFonts w:ascii="Calibri Light" w:hAnsi="Calibri Light" w:cs="Calibri Light"/>
          <w:color w:val="13576B"/>
          <w:sz w:val="20"/>
        </w:rPr>
        <w:t xml:space="preserve"> </w:t>
      </w:r>
      <w:proofErr w:type="spellStart"/>
      <w:r>
        <w:rPr>
          <w:rFonts w:ascii="Calibri Light" w:hAnsi="Calibri Light" w:cs="Calibri Light"/>
          <w:color w:val="13576B"/>
          <w:sz w:val="20"/>
        </w:rPr>
        <w:t>Hypomonitor</w:t>
      </w:r>
      <w:proofErr w:type="spellEnd"/>
    </w:p>
    <w:p w14:paraId="5303965F" w14:textId="4D0A9CAE" w:rsidR="0033440C" w:rsidRPr="00616069" w:rsidRDefault="00582221" w:rsidP="00582221">
      <w:pPr>
        <w:overflowPunct/>
        <w:autoSpaceDE/>
        <w:adjustRightInd/>
        <w:rPr>
          <w:rFonts w:ascii="Calibri Light" w:hAnsi="Calibri Light" w:cs="Calibri Light"/>
          <w:color w:val="13576B"/>
          <w:sz w:val="20"/>
        </w:rPr>
      </w:pPr>
      <w:r>
        <w:rPr>
          <w:rFonts w:ascii="Calibri Light" w:hAnsi="Calibri Light" w:cs="Calibri Light"/>
          <w:color w:val="13576B"/>
          <w:sz w:val="20"/>
        </w:rPr>
        <w:t xml:space="preserve">Poznámka: Poslední údaj představuje průměr za posledních 12 měsíců. </w:t>
      </w:r>
    </w:p>
    <w:bookmarkEnd w:id="8"/>
    <w:p w14:paraId="045825E8" w14:textId="77777777" w:rsidR="00801B60" w:rsidRDefault="00801B60" w:rsidP="002A5D11">
      <w:pPr>
        <w:rPr>
          <w:rFonts w:ascii="Calibri" w:hAnsi="Calibri" w:cs="Calibri"/>
          <w:b/>
          <w:color w:val="13576B"/>
          <w:sz w:val="24"/>
          <w:szCs w:val="24"/>
        </w:rPr>
      </w:pPr>
    </w:p>
    <w:p w14:paraId="38F7CB3F" w14:textId="2FEEAD4C" w:rsidR="00BA3140" w:rsidRPr="002A5D11" w:rsidRDefault="00BA3140" w:rsidP="00BA3140">
      <w:pPr>
        <w:rPr>
          <w:rFonts w:ascii="Calibri" w:hAnsi="Calibri" w:cs="Calibri"/>
          <w:b/>
          <w:color w:val="13576B"/>
          <w:sz w:val="24"/>
          <w:szCs w:val="24"/>
        </w:rPr>
      </w:pPr>
      <w:r w:rsidRPr="002A5D11">
        <w:rPr>
          <w:rFonts w:ascii="Calibri" w:hAnsi="Calibri" w:cs="Calibri"/>
          <w:b/>
          <w:color w:val="13576B"/>
          <w:sz w:val="24"/>
          <w:szCs w:val="24"/>
        </w:rPr>
        <w:t>Hypoteční trh v roce 202</w:t>
      </w:r>
      <w:r>
        <w:rPr>
          <w:rFonts w:ascii="Calibri" w:hAnsi="Calibri" w:cs="Calibri"/>
          <w:b/>
          <w:color w:val="13576B"/>
          <w:sz w:val="24"/>
          <w:szCs w:val="24"/>
        </w:rPr>
        <w:t>5</w:t>
      </w:r>
      <w:r w:rsidR="00356A6D">
        <w:rPr>
          <w:rFonts w:ascii="Calibri" w:hAnsi="Calibri" w:cs="Calibri"/>
          <w:b/>
          <w:color w:val="13576B"/>
          <w:sz w:val="24"/>
          <w:szCs w:val="24"/>
        </w:rPr>
        <w:t xml:space="preserve"> přinesl </w:t>
      </w:r>
      <w:r>
        <w:rPr>
          <w:rFonts w:ascii="Calibri" w:hAnsi="Calibri" w:cs="Calibri"/>
          <w:b/>
          <w:color w:val="13576B"/>
          <w:sz w:val="24"/>
          <w:szCs w:val="24"/>
        </w:rPr>
        <w:t>silný</w:t>
      </w:r>
      <w:r w:rsidRPr="002A5D11">
        <w:rPr>
          <w:rFonts w:ascii="Calibri" w:hAnsi="Calibri" w:cs="Calibri"/>
          <w:b/>
          <w:color w:val="13576B"/>
          <w:sz w:val="24"/>
          <w:szCs w:val="24"/>
        </w:rPr>
        <w:t xml:space="preserve"> </w:t>
      </w:r>
      <w:r>
        <w:rPr>
          <w:rFonts w:ascii="Calibri" w:hAnsi="Calibri" w:cs="Calibri"/>
          <w:b/>
          <w:color w:val="13576B"/>
          <w:sz w:val="24"/>
          <w:szCs w:val="24"/>
        </w:rPr>
        <w:t xml:space="preserve">objemový </w:t>
      </w:r>
      <w:r w:rsidRPr="002A5D11">
        <w:rPr>
          <w:rFonts w:ascii="Calibri" w:hAnsi="Calibri" w:cs="Calibri"/>
          <w:b/>
          <w:color w:val="13576B"/>
          <w:sz w:val="24"/>
          <w:szCs w:val="24"/>
        </w:rPr>
        <w:t xml:space="preserve">růst o </w:t>
      </w:r>
      <w:r>
        <w:rPr>
          <w:rFonts w:ascii="Calibri" w:hAnsi="Calibri" w:cs="Calibri"/>
          <w:b/>
          <w:color w:val="13576B"/>
          <w:sz w:val="24"/>
          <w:szCs w:val="24"/>
        </w:rPr>
        <w:t>41</w:t>
      </w:r>
      <w:r w:rsidRPr="002A5D11">
        <w:rPr>
          <w:rFonts w:ascii="Calibri" w:hAnsi="Calibri" w:cs="Calibri"/>
          <w:b/>
          <w:color w:val="13576B"/>
          <w:sz w:val="24"/>
          <w:szCs w:val="24"/>
        </w:rPr>
        <w:t xml:space="preserve"> %</w:t>
      </w:r>
      <w:r>
        <w:rPr>
          <w:rFonts w:ascii="Calibri" w:hAnsi="Calibri" w:cs="Calibri"/>
          <w:b/>
          <w:color w:val="13576B"/>
          <w:sz w:val="24"/>
          <w:szCs w:val="24"/>
        </w:rPr>
        <w:t xml:space="preserve"> a o téměř čtvrtinu v počtech</w:t>
      </w:r>
    </w:p>
    <w:p w14:paraId="153D0109" w14:textId="77777777" w:rsidR="00BA3140" w:rsidRPr="00840F7C" w:rsidRDefault="00BA3140" w:rsidP="00BA3140">
      <w:pPr>
        <w:rPr>
          <w:rFonts w:ascii="Calibri" w:hAnsi="Calibri" w:cs="Calibri"/>
          <w:b/>
          <w:bCs/>
          <w:sz w:val="22"/>
          <w:szCs w:val="22"/>
        </w:rPr>
      </w:pPr>
    </w:p>
    <w:p w14:paraId="605D853E" w14:textId="77777777" w:rsidR="00BA3140" w:rsidRDefault="00BA3140" w:rsidP="00BA3140">
      <w:pPr>
        <w:rPr>
          <w:rFonts w:ascii="Calibri" w:hAnsi="Calibri" w:cs="Calibri"/>
          <w:color w:val="000000" w:themeColor="text1"/>
          <w:sz w:val="22"/>
          <w:szCs w:val="22"/>
        </w:rPr>
      </w:pPr>
      <w:r w:rsidRPr="00840F7C">
        <w:rPr>
          <w:rFonts w:ascii="Calibri" w:hAnsi="Calibri" w:cs="Calibri"/>
          <w:b/>
          <w:bCs/>
          <w:color w:val="000000" w:themeColor="text1"/>
          <w:sz w:val="22"/>
          <w:szCs w:val="22"/>
        </w:rPr>
        <w:lastRenderedPageBreak/>
        <w:t>Za celý rok 202</w:t>
      </w:r>
      <w:r>
        <w:rPr>
          <w:rFonts w:ascii="Calibri" w:hAnsi="Calibri" w:cs="Calibri"/>
          <w:b/>
          <w:bCs/>
          <w:color w:val="000000" w:themeColor="text1"/>
          <w:sz w:val="22"/>
          <w:szCs w:val="22"/>
        </w:rPr>
        <w:t>5</w:t>
      </w:r>
      <w:r w:rsidRPr="00840F7C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 poskytly banky a stavební spořitelny nové hypoteční úvěry v objemu </w:t>
      </w:r>
      <w:r>
        <w:rPr>
          <w:rFonts w:ascii="Calibri" w:hAnsi="Calibri" w:cs="Calibri"/>
          <w:b/>
          <w:bCs/>
          <w:color w:val="000000" w:themeColor="text1"/>
          <w:sz w:val="22"/>
          <w:szCs w:val="22"/>
        </w:rPr>
        <w:t>321</w:t>
      </w:r>
      <w:r w:rsidRPr="00840F7C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 miliard Kč.</w:t>
      </w:r>
      <w:r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 </w:t>
      </w:r>
      <w:r w:rsidRPr="00840F7C">
        <w:rPr>
          <w:rFonts w:ascii="Calibri" w:hAnsi="Calibri" w:cs="Calibri"/>
          <w:color w:val="000000" w:themeColor="text1"/>
          <w:sz w:val="22"/>
          <w:szCs w:val="22"/>
        </w:rPr>
        <w:t>To je</w:t>
      </w:r>
      <w:r>
        <w:rPr>
          <w:rFonts w:ascii="Calibri" w:hAnsi="Calibri" w:cs="Calibri"/>
          <w:color w:val="000000" w:themeColor="text1"/>
          <w:sz w:val="22"/>
          <w:szCs w:val="22"/>
        </w:rPr>
        <w:t xml:space="preserve"> o</w:t>
      </w:r>
      <w:r w:rsidRPr="00840F7C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>
        <w:rPr>
          <w:rFonts w:ascii="Calibri" w:hAnsi="Calibri" w:cs="Calibri"/>
          <w:color w:val="000000" w:themeColor="text1"/>
          <w:sz w:val="22"/>
          <w:szCs w:val="22"/>
        </w:rPr>
        <w:t>93 miliard korun</w:t>
      </w:r>
      <w:r w:rsidRPr="00840F7C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>
        <w:rPr>
          <w:rFonts w:ascii="Calibri" w:hAnsi="Calibri" w:cs="Calibri"/>
          <w:color w:val="000000" w:themeColor="text1"/>
          <w:sz w:val="22"/>
          <w:szCs w:val="22"/>
        </w:rPr>
        <w:t xml:space="preserve">více než 228 miliard vytvořených v roce 2024. Tento meziroční skok odpovídá 41% nárůstu. </w:t>
      </w:r>
      <w:r w:rsidRPr="00840F7C">
        <w:rPr>
          <w:rFonts w:ascii="Calibri" w:hAnsi="Calibri" w:cs="Calibri"/>
          <w:color w:val="000000" w:themeColor="text1"/>
          <w:sz w:val="22"/>
          <w:szCs w:val="22"/>
        </w:rPr>
        <w:t xml:space="preserve">K tomu se navíc refinancovaly hypotéky v rozsahu </w:t>
      </w:r>
      <w:r>
        <w:rPr>
          <w:rFonts w:ascii="Calibri" w:hAnsi="Calibri" w:cs="Calibri"/>
          <w:color w:val="000000" w:themeColor="text1"/>
          <w:sz w:val="22"/>
          <w:szCs w:val="22"/>
        </w:rPr>
        <w:t xml:space="preserve">85 </w:t>
      </w:r>
      <w:r w:rsidRPr="00840F7C">
        <w:rPr>
          <w:rFonts w:ascii="Calibri" w:hAnsi="Calibri" w:cs="Calibri"/>
          <w:color w:val="000000" w:themeColor="text1"/>
          <w:sz w:val="22"/>
          <w:szCs w:val="22"/>
        </w:rPr>
        <w:t>miliard Kč a celý hypoteční trh tak v roce 202</w:t>
      </w:r>
      <w:r>
        <w:rPr>
          <w:rFonts w:ascii="Calibri" w:hAnsi="Calibri" w:cs="Calibri"/>
          <w:color w:val="000000" w:themeColor="text1"/>
          <w:sz w:val="22"/>
          <w:szCs w:val="22"/>
        </w:rPr>
        <w:t>5</w:t>
      </w:r>
      <w:r w:rsidRPr="00840F7C">
        <w:rPr>
          <w:rFonts w:ascii="Calibri" w:hAnsi="Calibri" w:cs="Calibri"/>
          <w:color w:val="000000" w:themeColor="text1"/>
          <w:sz w:val="22"/>
          <w:szCs w:val="22"/>
        </w:rPr>
        <w:t xml:space="preserve"> narostl na </w:t>
      </w:r>
      <w:r>
        <w:rPr>
          <w:rFonts w:ascii="Calibri" w:hAnsi="Calibri" w:cs="Calibri"/>
          <w:color w:val="000000" w:themeColor="text1"/>
          <w:sz w:val="22"/>
          <w:szCs w:val="22"/>
        </w:rPr>
        <w:t>406</w:t>
      </w:r>
      <w:r w:rsidRPr="00840F7C">
        <w:rPr>
          <w:rFonts w:ascii="Calibri" w:hAnsi="Calibri" w:cs="Calibri"/>
          <w:color w:val="000000" w:themeColor="text1"/>
          <w:sz w:val="22"/>
          <w:szCs w:val="22"/>
        </w:rPr>
        <w:t xml:space="preserve"> miliard Kč z</w:t>
      </w:r>
      <w:r>
        <w:rPr>
          <w:rFonts w:ascii="Calibri" w:hAnsi="Calibri" w:cs="Calibri"/>
          <w:color w:val="000000" w:themeColor="text1"/>
          <w:sz w:val="22"/>
          <w:szCs w:val="22"/>
        </w:rPr>
        <w:t xml:space="preserve"> 275 </w:t>
      </w:r>
      <w:r w:rsidRPr="00840F7C">
        <w:rPr>
          <w:rFonts w:ascii="Calibri" w:hAnsi="Calibri" w:cs="Calibri"/>
          <w:color w:val="000000" w:themeColor="text1"/>
          <w:sz w:val="22"/>
          <w:szCs w:val="22"/>
        </w:rPr>
        <w:t>miliard v roce 202</w:t>
      </w:r>
      <w:r>
        <w:rPr>
          <w:rFonts w:ascii="Calibri" w:hAnsi="Calibri" w:cs="Calibri"/>
          <w:color w:val="000000" w:themeColor="text1"/>
          <w:sz w:val="22"/>
          <w:szCs w:val="22"/>
        </w:rPr>
        <w:t>4</w:t>
      </w:r>
      <w:r w:rsidRPr="00840F7C">
        <w:rPr>
          <w:rFonts w:ascii="Calibri" w:hAnsi="Calibri" w:cs="Calibri"/>
          <w:color w:val="000000" w:themeColor="text1"/>
          <w:sz w:val="22"/>
          <w:szCs w:val="22"/>
        </w:rPr>
        <w:t xml:space="preserve">. Pokud upravíme objemy o nárůst cen </w:t>
      </w:r>
      <w:r>
        <w:rPr>
          <w:rFonts w:ascii="Calibri" w:hAnsi="Calibri" w:cs="Calibri"/>
          <w:color w:val="000000" w:themeColor="text1"/>
          <w:sz w:val="22"/>
          <w:szCs w:val="22"/>
        </w:rPr>
        <w:t>bytů okolo 15-16</w:t>
      </w:r>
      <w:r w:rsidRPr="00840F7C">
        <w:rPr>
          <w:rFonts w:ascii="Calibri" w:hAnsi="Calibri" w:cs="Calibri"/>
          <w:color w:val="000000" w:themeColor="text1"/>
          <w:sz w:val="22"/>
          <w:szCs w:val="22"/>
        </w:rPr>
        <w:t xml:space="preserve"> % (dle různých statistik), objem nových hypoték vzrostl reálně o něco méně. To odpovídá i mírnějšímu nárůstu počtu nových hypoték v roce 202</w:t>
      </w:r>
      <w:r>
        <w:rPr>
          <w:rFonts w:ascii="Calibri" w:hAnsi="Calibri" w:cs="Calibri"/>
          <w:color w:val="000000" w:themeColor="text1"/>
          <w:sz w:val="22"/>
          <w:szCs w:val="22"/>
        </w:rPr>
        <w:t>5, o necelou čtvrtinu na více než 76,11</w:t>
      </w:r>
      <w:r w:rsidRPr="00872E78">
        <w:rPr>
          <w:rFonts w:ascii="Calibri" w:hAnsi="Calibri" w:cs="Calibri"/>
          <w:color w:val="000000" w:themeColor="text1"/>
          <w:sz w:val="22"/>
          <w:szCs w:val="22"/>
        </w:rPr>
        <w:t xml:space="preserve"> tisíc</w:t>
      </w:r>
      <w:r>
        <w:rPr>
          <w:rFonts w:ascii="Calibri" w:hAnsi="Calibri" w:cs="Calibri"/>
          <w:color w:val="000000" w:themeColor="text1"/>
          <w:sz w:val="22"/>
          <w:szCs w:val="22"/>
        </w:rPr>
        <w:t>,</w:t>
      </w:r>
      <w:r w:rsidRPr="00872E78">
        <w:rPr>
          <w:rFonts w:ascii="Calibri" w:hAnsi="Calibri" w:cs="Calibri"/>
          <w:color w:val="000000" w:themeColor="text1"/>
          <w:sz w:val="22"/>
          <w:szCs w:val="22"/>
        </w:rPr>
        <w:t xml:space="preserve"> a téměř </w:t>
      </w:r>
      <w:r>
        <w:rPr>
          <w:rFonts w:ascii="Calibri" w:hAnsi="Calibri" w:cs="Calibri"/>
          <w:color w:val="000000" w:themeColor="text1"/>
          <w:sz w:val="22"/>
          <w:szCs w:val="22"/>
        </w:rPr>
        <w:t>15</w:t>
      </w:r>
      <w:r w:rsidRPr="00872E78">
        <w:rPr>
          <w:rFonts w:ascii="Calibri" w:hAnsi="Calibri" w:cs="Calibri"/>
          <w:color w:val="000000" w:themeColor="text1"/>
          <w:sz w:val="22"/>
          <w:szCs w:val="22"/>
        </w:rPr>
        <w:t>% nárůstu průměrné výše poskytnuté nové hypotéky na</w:t>
      </w:r>
      <w:r>
        <w:rPr>
          <w:rFonts w:ascii="Calibri" w:hAnsi="Calibri" w:cs="Calibri"/>
          <w:color w:val="000000" w:themeColor="text1"/>
          <w:sz w:val="22"/>
          <w:szCs w:val="22"/>
        </w:rPr>
        <w:t xml:space="preserve"> 4,21</w:t>
      </w:r>
      <w:r w:rsidRPr="00872E78">
        <w:rPr>
          <w:rFonts w:ascii="Calibri" w:hAnsi="Calibri" w:cs="Calibri"/>
          <w:color w:val="000000" w:themeColor="text1"/>
          <w:sz w:val="22"/>
          <w:szCs w:val="22"/>
        </w:rPr>
        <w:t xml:space="preserve"> milion</w:t>
      </w:r>
      <w:r>
        <w:rPr>
          <w:rFonts w:ascii="Calibri" w:hAnsi="Calibri" w:cs="Calibri"/>
          <w:color w:val="000000" w:themeColor="text1"/>
          <w:sz w:val="22"/>
          <w:szCs w:val="22"/>
        </w:rPr>
        <w:t>u</w:t>
      </w:r>
      <w:r w:rsidRPr="00872E78">
        <w:rPr>
          <w:rFonts w:ascii="Calibri" w:hAnsi="Calibri" w:cs="Calibri"/>
          <w:color w:val="000000" w:themeColor="text1"/>
          <w:sz w:val="22"/>
          <w:szCs w:val="22"/>
        </w:rPr>
        <w:t xml:space="preserve"> Kč. </w:t>
      </w:r>
    </w:p>
    <w:p w14:paraId="7ECD8698" w14:textId="77777777" w:rsidR="00BA3140" w:rsidRDefault="00BA3140" w:rsidP="00BA3140">
      <w:pPr>
        <w:rPr>
          <w:rFonts w:ascii="Calibri" w:hAnsi="Calibri" w:cs="Calibri"/>
          <w:color w:val="000000" w:themeColor="text1"/>
          <w:sz w:val="22"/>
          <w:szCs w:val="22"/>
        </w:rPr>
      </w:pPr>
    </w:p>
    <w:p w14:paraId="2DB164B7" w14:textId="77777777" w:rsidR="00BA3140" w:rsidRPr="009C5D66" w:rsidRDefault="00BA3140" w:rsidP="00BA3140">
      <w:pPr>
        <w:rPr>
          <w:rFonts w:ascii="Calibri" w:hAnsi="Calibri" w:cs="Calibri"/>
          <w:color w:val="000000" w:themeColor="text1"/>
          <w:sz w:val="22"/>
          <w:szCs w:val="22"/>
        </w:rPr>
      </w:pPr>
      <w:r w:rsidRPr="009C5D66">
        <w:rPr>
          <w:rFonts w:ascii="Calibri" w:hAnsi="Calibri" w:cs="Calibri"/>
          <w:color w:val="000000" w:themeColor="text1"/>
          <w:sz w:val="22"/>
          <w:szCs w:val="22"/>
        </w:rPr>
        <w:t xml:space="preserve">Nové hypotéky se v roce 2025 financovaly průměrnou úrokovou sazbu 4,58 %, což bylo o půl procentního bodu méně než v roce 2024, přičemž spread vůči tržní swapové </w:t>
      </w:r>
      <w:r>
        <w:rPr>
          <w:rFonts w:ascii="Calibri" w:hAnsi="Calibri" w:cs="Calibri"/>
          <w:color w:val="000000" w:themeColor="text1"/>
          <w:sz w:val="22"/>
          <w:szCs w:val="22"/>
        </w:rPr>
        <w:t xml:space="preserve">úrokové </w:t>
      </w:r>
      <w:r w:rsidRPr="009C5D66">
        <w:rPr>
          <w:rFonts w:ascii="Calibri" w:hAnsi="Calibri" w:cs="Calibri"/>
          <w:color w:val="000000" w:themeColor="text1"/>
          <w:sz w:val="22"/>
          <w:szCs w:val="22"/>
        </w:rPr>
        <w:t>křivce dosáhl necelého jednoho procentního bodu, což je mírně pod dlouhodobým průměrem. Průměrná měsíční výše hypoteční splátky v roce 2025 dosáhla necelých 22,8 tisíc</w:t>
      </w:r>
      <w:r>
        <w:rPr>
          <w:rFonts w:ascii="Calibri" w:hAnsi="Calibri" w:cs="Calibri"/>
          <w:color w:val="000000" w:themeColor="text1"/>
          <w:sz w:val="22"/>
          <w:szCs w:val="22"/>
        </w:rPr>
        <w:t>e</w:t>
      </w:r>
      <w:r w:rsidRPr="009C5D66">
        <w:rPr>
          <w:rFonts w:ascii="Calibri" w:hAnsi="Calibri" w:cs="Calibri"/>
          <w:color w:val="000000" w:themeColor="text1"/>
          <w:sz w:val="22"/>
          <w:szCs w:val="22"/>
        </w:rPr>
        <w:t xml:space="preserve"> Kč, což je o 8,6</w:t>
      </w:r>
      <w:r>
        <w:rPr>
          <w:rFonts w:ascii="Calibri" w:hAnsi="Calibri" w:cs="Calibri"/>
          <w:color w:val="000000" w:themeColor="text1"/>
          <w:sz w:val="22"/>
          <w:szCs w:val="22"/>
        </w:rPr>
        <w:t xml:space="preserve"> %</w:t>
      </w:r>
      <w:r w:rsidRPr="009C5D66">
        <w:rPr>
          <w:rFonts w:ascii="Calibri" w:hAnsi="Calibri" w:cs="Calibri"/>
          <w:color w:val="000000" w:themeColor="text1"/>
          <w:sz w:val="22"/>
          <w:szCs w:val="22"/>
        </w:rPr>
        <w:t xml:space="preserve"> více než v roce 2024, </w:t>
      </w:r>
      <w:r>
        <w:rPr>
          <w:rFonts w:ascii="Calibri" w:hAnsi="Calibri" w:cs="Calibri"/>
          <w:color w:val="000000" w:themeColor="text1"/>
          <w:sz w:val="22"/>
          <w:szCs w:val="22"/>
        </w:rPr>
        <w:t>a mírně překonalo pravděpodobně více než 7% loňský nárůst</w:t>
      </w:r>
      <w:r w:rsidRPr="009C5D6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hyperlink r:id="rId35" w:history="1">
        <w:r w:rsidRPr="009C5D66">
          <w:rPr>
            <w:rStyle w:val="Hypertextovodkaz"/>
            <w:rFonts w:ascii="Calibri" w:hAnsi="Calibri" w:cs="Calibri"/>
            <w:sz w:val="22"/>
            <w:szCs w:val="22"/>
          </w:rPr>
          <w:t>průměrn</w:t>
        </w:r>
        <w:r>
          <w:rPr>
            <w:rStyle w:val="Hypertextovodkaz"/>
            <w:rFonts w:ascii="Calibri" w:hAnsi="Calibri" w:cs="Calibri"/>
            <w:sz w:val="22"/>
            <w:szCs w:val="22"/>
          </w:rPr>
          <w:t>é</w:t>
        </w:r>
        <w:r w:rsidRPr="009C5D66">
          <w:rPr>
            <w:rStyle w:val="Hypertextovodkaz"/>
            <w:rFonts w:ascii="Calibri" w:hAnsi="Calibri" w:cs="Calibri"/>
            <w:sz w:val="22"/>
            <w:szCs w:val="22"/>
          </w:rPr>
          <w:t xml:space="preserve"> nominální mzdy</w:t>
        </w:r>
      </w:hyperlink>
      <w:r w:rsidRPr="009C5D66">
        <w:rPr>
          <w:rFonts w:ascii="Calibri" w:hAnsi="Calibri" w:cs="Calibri"/>
          <w:color w:val="000000" w:themeColor="text1"/>
          <w:sz w:val="22"/>
          <w:szCs w:val="22"/>
        </w:rPr>
        <w:t xml:space="preserve">. </w:t>
      </w:r>
      <w:r>
        <w:rPr>
          <w:rFonts w:ascii="Calibri" w:hAnsi="Calibri" w:cs="Calibri"/>
          <w:color w:val="000000" w:themeColor="text1"/>
          <w:sz w:val="22"/>
          <w:szCs w:val="22"/>
        </w:rPr>
        <w:t>P</w:t>
      </w:r>
      <w:r w:rsidRPr="009C5D66">
        <w:rPr>
          <w:rFonts w:ascii="Calibri" w:hAnsi="Calibri" w:cs="Calibri"/>
          <w:color w:val="000000" w:themeColor="text1"/>
          <w:sz w:val="22"/>
          <w:szCs w:val="22"/>
        </w:rPr>
        <w:t xml:space="preserve">růměrný meziroční nárůst měsíční </w:t>
      </w:r>
      <w:r>
        <w:rPr>
          <w:rFonts w:ascii="Calibri" w:hAnsi="Calibri" w:cs="Calibri"/>
          <w:color w:val="000000" w:themeColor="text1"/>
          <w:sz w:val="22"/>
          <w:szCs w:val="22"/>
        </w:rPr>
        <w:t xml:space="preserve">hypoteční </w:t>
      </w:r>
      <w:r w:rsidRPr="009C5D66">
        <w:rPr>
          <w:rFonts w:ascii="Calibri" w:hAnsi="Calibri" w:cs="Calibri"/>
          <w:color w:val="000000" w:themeColor="text1"/>
          <w:sz w:val="22"/>
          <w:szCs w:val="22"/>
        </w:rPr>
        <w:t>splátky přibližně o 1 800 korun</w:t>
      </w:r>
      <w:r>
        <w:rPr>
          <w:rFonts w:ascii="Calibri" w:hAnsi="Calibri" w:cs="Calibri"/>
          <w:color w:val="000000" w:themeColor="text1"/>
          <w:sz w:val="22"/>
          <w:szCs w:val="22"/>
        </w:rPr>
        <w:t xml:space="preserve"> v roce 2025</w:t>
      </w:r>
      <w:r w:rsidRPr="009C5D66">
        <w:rPr>
          <w:rFonts w:ascii="Calibri" w:hAnsi="Calibri" w:cs="Calibri"/>
          <w:color w:val="000000" w:themeColor="text1"/>
          <w:sz w:val="22"/>
          <w:szCs w:val="22"/>
        </w:rPr>
        <w:t xml:space="preserve"> především odrážel vyšší průměrnou </w:t>
      </w:r>
      <w:r>
        <w:rPr>
          <w:rFonts w:ascii="Calibri" w:hAnsi="Calibri" w:cs="Calibri"/>
          <w:color w:val="000000" w:themeColor="text1"/>
          <w:sz w:val="22"/>
          <w:szCs w:val="22"/>
        </w:rPr>
        <w:t>úroveň</w:t>
      </w:r>
      <w:r w:rsidRPr="009C5D66">
        <w:rPr>
          <w:rFonts w:ascii="Calibri" w:hAnsi="Calibri" w:cs="Calibri"/>
          <w:color w:val="000000" w:themeColor="text1"/>
          <w:sz w:val="22"/>
          <w:szCs w:val="22"/>
        </w:rPr>
        <w:t xml:space="preserve"> hypotéky s navýšením splátky téměř o 2,9 tis. Kč, zatímco nižší hypoteční úroková sazba snížila průměrnou měsíční splátku o více než 1,2 tis. Kč. </w:t>
      </w:r>
    </w:p>
    <w:p w14:paraId="09717EC0" w14:textId="77777777" w:rsidR="00BA3140" w:rsidRDefault="00BA3140" w:rsidP="00BA3140">
      <w:pPr>
        <w:rPr>
          <w:rFonts w:ascii="Calibri" w:hAnsi="Calibri" w:cs="Calibri"/>
          <w:b/>
          <w:color w:val="13576B"/>
          <w:sz w:val="23"/>
          <w:szCs w:val="23"/>
          <w:highlight w:val="yellow"/>
        </w:rPr>
      </w:pPr>
    </w:p>
    <w:p w14:paraId="62183D0D" w14:textId="77777777" w:rsidR="00BA3140" w:rsidRPr="002F4CBD" w:rsidRDefault="00BA3140" w:rsidP="00BA3140">
      <w:pPr>
        <w:rPr>
          <w:rFonts w:ascii="Calibri" w:hAnsi="Calibri" w:cs="Calibri"/>
          <w:sz w:val="22"/>
          <w:szCs w:val="22"/>
        </w:rPr>
      </w:pPr>
      <w:r w:rsidRPr="002F4CBD">
        <w:rPr>
          <w:rFonts w:ascii="Calibri" w:hAnsi="Calibri" w:cs="Calibri"/>
          <w:b/>
          <w:color w:val="13576B"/>
          <w:sz w:val="23"/>
          <w:szCs w:val="23"/>
        </w:rPr>
        <w:t xml:space="preserve">Graf č. </w:t>
      </w:r>
      <w:r>
        <w:rPr>
          <w:rFonts w:ascii="Calibri" w:hAnsi="Calibri" w:cs="Calibri"/>
          <w:b/>
          <w:color w:val="13576B"/>
          <w:sz w:val="23"/>
          <w:szCs w:val="23"/>
        </w:rPr>
        <w:t>1</w:t>
      </w:r>
      <w:r w:rsidRPr="002F4CBD">
        <w:rPr>
          <w:rFonts w:ascii="Calibri" w:hAnsi="Calibri" w:cs="Calibri"/>
          <w:b/>
          <w:color w:val="13576B"/>
          <w:sz w:val="23"/>
          <w:szCs w:val="23"/>
        </w:rPr>
        <w:t>: Celoroční objem</w:t>
      </w:r>
      <w:r>
        <w:rPr>
          <w:rFonts w:ascii="Calibri" w:hAnsi="Calibri" w:cs="Calibri"/>
          <w:b/>
          <w:color w:val="13576B"/>
          <w:sz w:val="23"/>
          <w:szCs w:val="23"/>
        </w:rPr>
        <w:t xml:space="preserve">, </w:t>
      </w:r>
      <w:r w:rsidRPr="002F4CBD">
        <w:rPr>
          <w:rFonts w:ascii="Calibri" w:hAnsi="Calibri" w:cs="Calibri"/>
          <w:b/>
          <w:color w:val="13576B"/>
          <w:sz w:val="23"/>
          <w:szCs w:val="23"/>
        </w:rPr>
        <w:t xml:space="preserve">počet </w:t>
      </w:r>
      <w:r>
        <w:rPr>
          <w:rFonts w:ascii="Calibri" w:hAnsi="Calibri" w:cs="Calibri"/>
          <w:b/>
          <w:color w:val="13576B"/>
          <w:sz w:val="23"/>
          <w:szCs w:val="23"/>
        </w:rPr>
        <w:t xml:space="preserve">a průměrná výše </w:t>
      </w:r>
      <w:r w:rsidRPr="002F4CBD">
        <w:rPr>
          <w:rFonts w:ascii="Calibri" w:hAnsi="Calibri" w:cs="Calibri"/>
          <w:b/>
          <w:color w:val="13576B"/>
          <w:sz w:val="23"/>
          <w:szCs w:val="23"/>
        </w:rPr>
        <w:t>poskytnutých hypoték v letech 202</w:t>
      </w:r>
      <w:r>
        <w:rPr>
          <w:rFonts w:ascii="Calibri" w:hAnsi="Calibri" w:cs="Calibri"/>
          <w:b/>
          <w:color w:val="13576B"/>
          <w:sz w:val="23"/>
          <w:szCs w:val="23"/>
        </w:rPr>
        <w:t>0</w:t>
      </w:r>
      <w:r w:rsidRPr="002F4CBD">
        <w:rPr>
          <w:rFonts w:ascii="Calibri" w:hAnsi="Calibri" w:cs="Calibri"/>
          <w:b/>
          <w:color w:val="13576B"/>
          <w:sz w:val="23"/>
          <w:szCs w:val="23"/>
        </w:rPr>
        <w:t xml:space="preserve"> až 202</w:t>
      </w:r>
      <w:r>
        <w:rPr>
          <w:rFonts w:ascii="Calibri" w:hAnsi="Calibri" w:cs="Calibri"/>
          <w:b/>
          <w:color w:val="13576B"/>
          <w:sz w:val="23"/>
          <w:szCs w:val="23"/>
        </w:rPr>
        <w:t>5</w:t>
      </w:r>
    </w:p>
    <w:p w14:paraId="56EB097E" w14:textId="77777777" w:rsidR="00BA3140" w:rsidRPr="002F4CBD" w:rsidRDefault="00BA3140" w:rsidP="00BA3140">
      <w:pPr>
        <w:rPr>
          <w:rFonts w:ascii="Calibri" w:hAnsi="Calibri" w:cs="Calibri"/>
          <w:sz w:val="22"/>
          <w:szCs w:val="22"/>
        </w:rPr>
      </w:pPr>
    </w:p>
    <w:p w14:paraId="11D80496" w14:textId="77777777" w:rsidR="00BA3140" w:rsidRPr="002F4CBD" w:rsidRDefault="00BA3140" w:rsidP="00BA3140">
      <w:pPr>
        <w:rPr>
          <w:rFonts w:ascii="Calibri" w:hAnsi="Calibri" w:cs="Calibri"/>
          <w:sz w:val="22"/>
          <w:szCs w:val="22"/>
        </w:rPr>
      </w:pPr>
      <w:r w:rsidRPr="00E77326">
        <w:rPr>
          <w:noProof/>
        </w:rPr>
        <w:drawing>
          <wp:inline distT="0" distB="0" distL="0" distR="0" wp14:anchorId="2B97DD5A" wp14:editId="7C138169">
            <wp:extent cx="6480810" cy="2125345"/>
            <wp:effectExtent l="0" t="0" r="0" b="8255"/>
            <wp:docPr id="39175904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2125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34B1DB" w14:textId="77777777" w:rsidR="00BA3140" w:rsidRPr="00616069" w:rsidRDefault="00BA3140" w:rsidP="00BA3140">
      <w:pPr>
        <w:overflowPunct/>
        <w:autoSpaceDE/>
        <w:adjustRightInd/>
        <w:rPr>
          <w:rFonts w:ascii="Calibri Light" w:hAnsi="Calibri Light" w:cs="Calibri Light"/>
          <w:color w:val="13576B"/>
          <w:sz w:val="20"/>
        </w:rPr>
      </w:pPr>
      <w:r w:rsidRPr="002F4CBD">
        <w:rPr>
          <w:rFonts w:ascii="Calibri Light" w:hAnsi="Calibri Light" w:cs="Calibri Light"/>
          <w:color w:val="13576B"/>
          <w:sz w:val="20"/>
        </w:rPr>
        <w:t xml:space="preserve">Pramen: ČBA </w:t>
      </w:r>
      <w:proofErr w:type="spellStart"/>
      <w:r w:rsidRPr="002F4CBD">
        <w:rPr>
          <w:rFonts w:ascii="Calibri Light" w:hAnsi="Calibri Light" w:cs="Calibri Light"/>
          <w:color w:val="13576B"/>
          <w:sz w:val="20"/>
        </w:rPr>
        <w:t>Hypomonitor</w:t>
      </w:r>
      <w:proofErr w:type="spellEnd"/>
    </w:p>
    <w:p w14:paraId="22ED378A" w14:textId="017879D6" w:rsidR="006C53A0" w:rsidRDefault="006C53A0" w:rsidP="007F41A0">
      <w:pPr>
        <w:rPr>
          <w:rFonts w:ascii="Calibri" w:hAnsi="Calibri" w:cs="Calibri"/>
          <w:b/>
          <w:color w:val="13576B"/>
          <w:sz w:val="23"/>
          <w:szCs w:val="23"/>
        </w:rPr>
      </w:pPr>
    </w:p>
    <w:p w14:paraId="628239FF" w14:textId="77777777" w:rsidR="00BA3140" w:rsidRPr="00616069" w:rsidRDefault="00BA3140" w:rsidP="007F41A0">
      <w:pPr>
        <w:rPr>
          <w:rFonts w:ascii="Calibri" w:hAnsi="Calibri" w:cs="Calibri"/>
          <w:b/>
          <w:color w:val="13576B"/>
          <w:sz w:val="23"/>
          <w:szCs w:val="23"/>
        </w:rPr>
      </w:pPr>
    </w:p>
    <w:p w14:paraId="1117B780" w14:textId="3B9498AC" w:rsidR="007F41A0" w:rsidRPr="00616069" w:rsidRDefault="007F41A0" w:rsidP="007F41A0">
      <w:pPr>
        <w:rPr>
          <w:rFonts w:ascii="Calibri" w:hAnsi="Calibri" w:cs="Calibri"/>
          <w:b/>
          <w:color w:val="13576B"/>
          <w:sz w:val="23"/>
          <w:szCs w:val="23"/>
        </w:rPr>
      </w:pPr>
      <w:r w:rsidRPr="00616069">
        <w:rPr>
          <w:rFonts w:ascii="Calibri" w:hAnsi="Calibri" w:cs="Calibri"/>
          <w:b/>
          <w:color w:val="13576B"/>
          <w:sz w:val="23"/>
          <w:szCs w:val="23"/>
        </w:rPr>
        <w:t>ČBA zveřejňuje souhrnné statistiky za celý bankovní trh</w:t>
      </w:r>
    </w:p>
    <w:p w14:paraId="55E76E82" w14:textId="019F3D7D" w:rsidR="007F41A0" w:rsidRPr="00616069" w:rsidRDefault="007F41A0" w:rsidP="007F41A0">
      <w:pPr>
        <w:rPr>
          <w:rFonts w:ascii="Calibri" w:hAnsi="Calibri" w:cs="Calibri"/>
          <w:b/>
          <w:bCs/>
          <w:sz w:val="22"/>
          <w:szCs w:val="22"/>
        </w:rPr>
      </w:pPr>
      <w:r w:rsidRPr="00616069">
        <w:rPr>
          <w:rFonts w:ascii="Calibri" w:hAnsi="Calibri" w:cs="Calibri"/>
          <w:sz w:val="22"/>
          <w:szCs w:val="22"/>
        </w:rPr>
        <w:t xml:space="preserve">Česká bankovní asociace zveřejňuje ve spolupráci s členskými bankami nové souhrnné statistiky z trhu bydlení. Jde především o objemy a počty nově poskytnutých a refinancovaných hypoték a příslušnou úrokovou sazbu. Tyto statistiky publikuje ČBA v agregované podobě za celý bankovní sektor na pravidelné bázi vždy zhruba v polovině měsíce. Šetření se účastní všechny tuzemské banky a stavební spořitelny poskytující v ČR hypotéky. Data jsou dostupná od ledna roku 2020 v přiloženém souboru na stránkách </w:t>
      </w:r>
      <w:hyperlink r:id="rId37" w:history="1">
        <w:r w:rsidR="004674AA" w:rsidRPr="00616069">
          <w:rPr>
            <w:rStyle w:val="Hypertextovodkaz"/>
            <w:rFonts w:ascii="Calibri" w:hAnsi="Calibri" w:cs="Calibri"/>
            <w:b/>
            <w:bCs/>
            <w:sz w:val="22"/>
            <w:szCs w:val="22"/>
          </w:rPr>
          <w:t>www.cbaonline.cz</w:t>
        </w:r>
      </w:hyperlink>
      <w:r w:rsidR="004674AA" w:rsidRPr="00616069">
        <w:rPr>
          <w:rFonts w:ascii="Calibri" w:hAnsi="Calibri" w:cs="Calibri"/>
          <w:b/>
          <w:bCs/>
          <w:sz w:val="22"/>
          <w:szCs w:val="22"/>
        </w:rPr>
        <w:t xml:space="preserve">, </w:t>
      </w:r>
      <w:r w:rsidRPr="00616069">
        <w:rPr>
          <w:rFonts w:ascii="Calibri" w:hAnsi="Calibri" w:cs="Calibri"/>
          <w:sz w:val="22"/>
          <w:szCs w:val="22"/>
        </w:rPr>
        <w:t>kde lze také příslušné statistiky najít zvlášť pro banky a stavební spořitelny. Výše uvedené hodnoty jsou pro sektor jako celek</w:t>
      </w:r>
      <w:r w:rsidR="004674AA" w:rsidRPr="00616069">
        <w:rPr>
          <w:rFonts w:ascii="Calibri" w:hAnsi="Calibri" w:cs="Calibri"/>
          <w:sz w:val="22"/>
          <w:szCs w:val="22"/>
        </w:rPr>
        <w:t>, které lze v jednoduch</w:t>
      </w:r>
      <w:r w:rsidR="004C593C">
        <w:rPr>
          <w:rFonts w:ascii="Calibri" w:hAnsi="Calibri" w:cs="Calibri"/>
          <w:sz w:val="22"/>
          <w:szCs w:val="22"/>
        </w:rPr>
        <w:t>é</w:t>
      </w:r>
      <w:r w:rsidR="004674AA" w:rsidRPr="00616069">
        <w:rPr>
          <w:rFonts w:ascii="Calibri" w:hAnsi="Calibri" w:cs="Calibri"/>
          <w:sz w:val="22"/>
          <w:szCs w:val="22"/>
        </w:rPr>
        <w:t xml:space="preserve"> grafické podobě sledovat také na stránkách </w:t>
      </w:r>
      <w:hyperlink r:id="rId38" w:history="1">
        <w:r w:rsidR="004674AA" w:rsidRPr="00616069">
          <w:rPr>
            <w:rStyle w:val="Hypertextovodkaz"/>
            <w:rFonts w:ascii="Calibri" w:hAnsi="Calibri" w:cs="Calibri"/>
            <w:b/>
            <w:bCs/>
            <w:sz w:val="22"/>
            <w:szCs w:val="22"/>
          </w:rPr>
          <w:t>cbamonitor.cz</w:t>
        </w:r>
      </w:hyperlink>
      <w:r w:rsidRPr="00616069">
        <w:rPr>
          <w:rFonts w:ascii="Calibri" w:hAnsi="Calibri" w:cs="Calibri"/>
          <w:sz w:val="22"/>
          <w:szCs w:val="22"/>
        </w:rPr>
        <w:t>.</w:t>
      </w:r>
      <w:r w:rsidRPr="00616069">
        <w:rPr>
          <w:rFonts w:ascii="Calibri" w:hAnsi="Calibri" w:cs="Calibri"/>
          <w:i/>
          <w:iCs/>
          <w:sz w:val="20"/>
        </w:rPr>
        <w:t xml:space="preserve"> </w:t>
      </w:r>
    </w:p>
    <w:p w14:paraId="3F99F9FA" w14:textId="6DA0884C" w:rsidR="007F41A0" w:rsidRPr="00616069" w:rsidRDefault="007F41A0" w:rsidP="003417B4">
      <w:pPr>
        <w:rPr>
          <w:rFonts w:ascii="Calibri" w:hAnsi="Calibri" w:cs="Calibri"/>
          <w:sz w:val="22"/>
          <w:szCs w:val="22"/>
        </w:rPr>
      </w:pPr>
    </w:p>
    <w:p w14:paraId="4AE26056" w14:textId="77777777" w:rsidR="00137560" w:rsidRPr="00616069" w:rsidRDefault="00137560" w:rsidP="00CA3B41">
      <w:pPr>
        <w:rPr>
          <w:rFonts w:ascii="Calibri" w:hAnsi="Calibri" w:cs="Calibri"/>
          <w:sz w:val="22"/>
          <w:szCs w:val="22"/>
        </w:rPr>
      </w:pPr>
    </w:p>
    <w:p w14:paraId="146C6D89" w14:textId="77777777" w:rsidR="0028530F" w:rsidRPr="00B04FE2" w:rsidRDefault="004975FD" w:rsidP="00CA3B41">
      <w:pPr>
        <w:rPr>
          <w:rFonts w:ascii="Calibri" w:hAnsi="Calibri" w:cs="Calibri"/>
          <w:sz w:val="22"/>
          <w:szCs w:val="22"/>
        </w:rPr>
      </w:pPr>
      <w:r w:rsidRPr="00616069">
        <w:rPr>
          <w:rFonts w:ascii="Calibri" w:hAnsi="Calibri" w:cs="Calibri"/>
          <w:i/>
          <w:iCs/>
          <w:noProof/>
          <w:sz w:val="20"/>
        </w:rPr>
        <w:lastRenderedPageBreak/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025DA650" wp14:editId="15515F89">
                <wp:simplePos x="0" y="0"/>
                <wp:positionH relativeFrom="margin">
                  <wp:align>center</wp:align>
                </wp:positionH>
                <wp:positionV relativeFrom="paragraph">
                  <wp:posOffset>282527</wp:posOffset>
                </wp:positionV>
                <wp:extent cx="6574790" cy="4675505"/>
                <wp:effectExtent l="0" t="0" r="0" b="0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4790" cy="4675505"/>
                        </a:xfrm>
                        <a:prstGeom prst="rect">
                          <a:avLst/>
                        </a:prstGeom>
                        <a:solidFill>
                          <a:srgbClr val="13576B">
                            <a:alpha val="83922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3681E4" w14:textId="20B4FCBA" w:rsidR="0001227F" w:rsidRPr="00616069" w:rsidRDefault="0001227F" w:rsidP="0001227F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Metodika ČBA </w:t>
                            </w:r>
                            <w:proofErr w:type="spellStart"/>
                            <w:r w:rsidRPr="00616069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>Hypomonitoru</w:t>
                            </w:r>
                            <w:proofErr w:type="spellEnd"/>
                          </w:p>
                          <w:p w14:paraId="7401467C" w14:textId="77777777" w:rsidR="00414AD4" w:rsidRPr="00616069" w:rsidRDefault="00414AD4" w:rsidP="0001227F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</w:pPr>
                          </w:p>
                          <w:p w14:paraId="1021EABD" w14:textId="16015784" w:rsidR="0001227F" w:rsidRPr="00616069" w:rsidRDefault="00414AD4" w:rsidP="0001227F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 xml:space="preserve">ČBA </w:t>
                            </w:r>
                            <w:proofErr w:type="spellStart"/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Hypomonitor</w:t>
                            </w:r>
                            <w:proofErr w:type="spellEnd"/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 xml:space="preserve"> </w:t>
                            </w:r>
                            <w:r w:rsidR="00FB47DE"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 xml:space="preserve">rozděluje poskytnuté hypoteční úvěry </w:t>
                            </w:r>
                            <w:r w:rsidR="00810DCF"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bank a stavebních spořitelen</w:t>
                            </w:r>
                            <w:r w:rsidR="00B426A2"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 xml:space="preserve"> domácnostem</w:t>
                            </w:r>
                            <w:r w:rsidR="00810DCF"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 xml:space="preserve"> 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do několika kategorií tak, aby byly rozlišeny nové úvěry od refinancovaných či interních refixací</w:t>
                            </w:r>
                            <w:r w:rsidR="000B70C8"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.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 xml:space="preserve"> Nové úvěry jsou </w:t>
                            </w:r>
                            <w:r w:rsidR="00581CC1"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pak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 xml:space="preserve"> vykazovány v</w:t>
                            </w:r>
                            <w:r w:rsidR="00581CC1"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 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kategoriích</w:t>
                            </w:r>
                            <w:r w:rsidR="00581CC1"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 xml:space="preserve"> dle účelu úvěru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:</w:t>
                            </w:r>
                          </w:p>
                          <w:p w14:paraId="58E707E8" w14:textId="77777777" w:rsidR="0001227F" w:rsidRPr="00616069" w:rsidRDefault="0001227F" w:rsidP="0001227F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</w:p>
                          <w:p w14:paraId="3227247A" w14:textId="11714118" w:rsidR="0001227F" w:rsidRPr="00616069" w:rsidRDefault="00E818C3" w:rsidP="00E818C3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  <w:t xml:space="preserve">1. </w:t>
                            </w:r>
                            <w:r w:rsidR="0001227F" w:rsidRPr="00616069"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  <w:t>Nové úvěry</w:t>
                            </w:r>
                          </w:p>
                          <w:p w14:paraId="22AF3257" w14:textId="77777777" w:rsidR="0001227F" w:rsidRPr="00616069" w:rsidRDefault="0001227F" w:rsidP="0001227F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Jsou úvěry, jejichž celý objem poprvé vstupuje do ekonomiky. Do této kategorie nepatří konsolidace úvěrů anebo refinancování úvěrů. Dělí se do tří kategorií:</w:t>
                            </w:r>
                          </w:p>
                          <w:p w14:paraId="362AFB2A" w14:textId="77777777" w:rsidR="0001227F" w:rsidRPr="00616069" w:rsidRDefault="0001227F" w:rsidP="00E818C3">
                            <w:pPr>
                              <w:pStyle w:val="Odstavecseseznamem"/>
                              <w:numPr>
                                <w:ilvl w:val="0"/>
                                <w:numId w:val="30"/>
                              </w:numPr>
                              <w:spacing w:line="276" w:lineRule="auto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  <w:t>Nákup nemovitosti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 </w:t>
                            </w:r>
                          </w:p>
                          <w:p w14:paraId="29F23FA5" w14:textId="6EE96893" w:rsidR="0001227F" w:rsidRPr="00616069" w:rsidRDefault="0001227F" w:rsidP="00E818C3">
                            <w:pPr>
                              <w:pStyle w:val="Odstavecseseznamem"/>
                              <w:numPr>
                                <w:ilvl w:val="0"/>
                                <w:numId w:val="30"/>
                              </w:numPr>
                              <w:spacing w:line="276" w:lineRule="auto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  <w:t>Výstavba nemovitosti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 – včetně rekonstrukce nemovitosti </w:t>
                            </w:r>
                          </w:p>
                          <w:p w14:paraId="4D80580F" w14:textId="11E0715F" w:rsidR="0001227F" w:rsidRPr="00616069" w:rsidRDefault="0001227F" w:rsidP="00E818C3">
                            <w:pPr>
                              <w:pStyle w:val="Odstavecseseznamem"/>
                              <w:numPr>
                                <w:ilvl w:val="0"/>
                                <w:numId w:val="30"/>
                              </w:numPr>
                              <w:spacing w:line="276" w:lineRule="auto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  <w:t>Ostatní nová ujednání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 – pouze nové úvěry, které nijak nesouvisí s koupí nebo výstavbou nemovitosti, např. tzv. americké hypotéky, vypořádání SJM, zpětná úhrada kupní ceny, vypořádání dědického podílu, vypořádání družstevního </w:t>
                            </w:r>
                            <w:proofErr w:type="gramStart"/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podílu,</w:t>
                            </w:r>
                            <w:proofErr w:type="gramEnd"/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 atp.</w:t>
                            </w:r>
                          </w:p>
                          <w:p w14:paraId="4FBF1D5A" w14:textId="77777777" w:rsidR="0001227F" w:rsidRPr="00616069" w:rsidRDefault="0001227F" w:rsidP="0001227F">
                            <w:pPr>
                              <w:spacing w:line="276" w:lineRule="auto"/>
                              <w:ind w:left="708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</w:p>
                          <w:p w14:paraId="71D5E0BB" w14:textId="7D112C27" w:rsidR="0001227F" w:rsidRPr="00616069" w:rsidRDefault="00E818C3" w:rsidP="0001227F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  <w:t xml:space="preserve">2. </w:t>
                            </w:r>
                            <w:r w:rsidR="0001227F" w:rsidRPr="00616069"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  <w:t>Refinancované úvěry z jiné finanční instituce</w:t>
                            </w:r>
                          </w:p>
                          <w:p w14:paraId="351B5A60" w14:textId="0B5DCBB6" w:rsidR="0001227F" w:rsidRPr="00616069" w:rsidRDefault="0001227F" w:rsidP="0001227F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Jsou úvěry, které vznikly refinancováním jednoho nebo více úvěrů z jiné finanční instituce než </w:t>
                            </w:r>
                            <w:r w:rsidR="00973197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té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 vykazující. Bez ohledu na výši refinancované částky a bez ohledu na výši případného navýšení se celková výše nově vzniklého úvěru vykazuje do této kategorie. </w:t>
                            </w:r>
                          </w:p>
                          <w:p w14:paraId="7566D2D6" w14:textId="77777777" w:rsidR="0001227F" w:rsidRPr="00616069" w:rsidRDefault="0001227F" w:rsidP="0001227F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</w:p>
                          <w:p w14:paraId="04B36444" w14:textId="4F20B25F" w:rsidR="0001227F" w:rsidRPr="00616069" w:rsidRDefault="00E818C3" w:rsidP="0001227F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  <w:t xml:space="preserve">3. </w:t>
                            </w:r>
                            <w:r w:rsidR="0001227F" w:rsidRPr="00616069"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  <w:t>Navýšené anebo interně refinancované úvěry</w:t>
                            </w:r>
                          </w:p>
                          <w:p w14:paraId="711A3661" w14:textId="2A271010" w:rsidR="0001227F" w:rsidRPr="00616069" w:rsidRDefault="0001227F" w:rsidP="0001227F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Jsou úvěry, které již byly </w:t>
                            </w:r>
                            <w:r w:rsidR="00647A7A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v 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předchozí</w:t>
                            </w:r>
                            <w:r w:rsidR="0079039B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m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 vykazované</w:t>
                            </w:r>
                            <w:r w:rsidR="0079039B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m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 období součástí portfolia vykazujícího subjektu, a ve vykazovaném období u nich došlo k některé z následujících změn:</w:t>
                            </w:r>
                          </w:p>
                          <w:p w14:paraId="4A6B00C0" w14:textId="77777777" w:rsidR="00E818C3" w:rsidRPr="00616069" w:rsidRDefault="0001227F" w:rsidP="0001227F">
                            <w:pPr>
                              <w:pStyle w:val="Odstavecseseznamem"/>
                              <w:numPr>
                                <w:ilvl w:val="0"/>
                                <w:numId w:val="28"/>
                              </w:numPr>
                              <w:overflowPunct/>
                              <w:autoSpaceDE/>
                              <w:autoSpaceDN/>
                              <w:adjustRightInd/>
                              <w:spacing w:line="276" w:lineRule="auto"/>
                              <w:jc w:val="left"/>
                              <w:textAlignment w:val="auto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navýšení sjednané částky </w:t>
                            </w:r>
                          </w:p>
                          <w:p w14:paraId="44682079" w14:textId="72C23671" w:rsidR="0001227F" w:rsidRPr="00616069" w:rsidRDefault="0001227F" w:rsidP="0001227F">
                            <w:pPr>
                              <w:pStyle w:val="Odstavecseseznamem"/>
                              <w:numPr>
                                <w:ilvl w:val="0"/>
                                <w:numId w:val="28"/>
                              </w:numPr>
                              <w:overflowPunct/>
                              <w:autoSpaceDE/>
                              <w:autoSpaceDN/>
                              <w:adjustRightInd/>
                              <w:spacing w:line="276" w:lineRule="auto"/>
                              <w:jc w:val="left"/>
                              <w:textAlignment w:val="auto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došlo k takovým změnám, že původní úvěr byl v rámci vykazujícího subjektu refinancován/převeden na nový úvěr. </w:t>
                            </w:r>
                            <w:r w:rsidR="00E74228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J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de</w:t>
                            </w:r>
                            <w:r w:rsidR="00CD28EC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 tak o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 skutečně </w:t>
                            </w:r>
                            <w:r w:rsidR="00E74228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novou smlouvu</w:t>
                            </w:r>
                            <w:r w:rsidR="00132EE9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, nikoli např. jen </w:t>
                            </w:r>
                            <w:r w:rsidR="007B79F6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nové ujednání v rámci refi</w:t>
                            </w:r>
                            <w:r w:rsidR="000F02C1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xace </w:t>
                            </w:r>
                            <w:r w:rsidR="00132EE9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stávající smlouvy. Proto je objem takových úvěru ve statistice ČBA nižší oproti „ostatním novým ujednáním“ ve statistice České </w:t>
                            </w:r>
                            <w:r w:rsidR="002D3F94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n</w:t>
                            </w:r>
                            <w:r w:rsidR="00132EE9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árodní </w:t>
                            </w:r>
                            <w:r w:rsidR="002D3F94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b</w:t>
                            </w:r>
                            <w:r w:rsidR="00132EE9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anky.</w:t>
                            </w:r>
                          </w:p>
                          <w:p w14:paraId="1FAF8B9B" w14:textId="4C474A58" w:rsidR="006F08E1" w:rsidRPr="00616069" w:rsidRDefault="006F08E1" w:rsidP="006F08E1">
                            <w:pPr>
                              <w:overflowPunct/>
                              <w:autoSpaceDE/>
                              <w:autoSpaceDN/>
                              <w:adjustRightInd/>
                              <w:spacing w:line="276" w:lineRule="auto"/>
                              <w:jc w:val="left"/>
                              <w:textAlignment w:val="auto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</w:p>
                          <w:p w14:paraId="65FC0189" w14:textId="1B58C64B" w:rsidR="006F08E1" w:rsidRPr="00616069" w:rsidRDefault="001F49EA" w:rsidP="006F08E1">
                            <w:pPr>
                              <w:overflowPunct/>
                              <w:autoSpaceDE/>
                              <w:autoSpaceDN/>
                              <w:adjustRightInd/>
                              <w:spacing w:line="276" w:lineRule="auto"/>
                              <w:jc w:val="left"/>
                              <w:textAlignment w:val="auto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Data pro ČBA </w:t>
                            </w:r>
                            <w:proofErr w:type="spellStart"/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Hypomonitor</w:t>
                            </w:r>
                            <w:proofErr w:type="spellEnd"/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 poskytují následující banky a stavební spořitelny: Air Bank, Česká spořitelna, ČSOB, ČSOB Stavební spořitelna, Fio banka, Hypoteční banka, Komerční banka, mBank, Modrá pyramida, MONETA Money Bank, MONETA Stavební spořitelna, </w:t>
                            </w:r>
                            <w:proofErr w:type="spellStart"/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Oberbank</w:t>
                            </w:r>
                            <w:proofErr w:type="spellEnd"/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, </w:t>
                            </w:r>
                            <w:proofErr w:type="spellStart"/>
                            <w:r w:rsidR="003E1AAB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Partners</w:t>
                            </w:r>
                            <w:proofErr w:type="spellEnd"/>
                            <w:r w:rsidR="003E1AAB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 Banka, </w:t>
                            </w:r>
                            <w:proofErr w:type="spellStart"/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Raiffeisen</w:t>
                            </w:r>
                            <w:proofErr w:type="spellEnd"/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 stavební spořitelna, Raiffeisenbank, Stavební spořitelna České spořitelny, UniCredit Bank.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5DA650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0;margin-top:22.25pt;width:517.7pt;height:368.15pt;z-index:25166848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" fillcolor="#13576b" stroked="f">
                <v:fill opacity="54998f"/>
                <v:textbox>
                  <w:txbxContent>
                    <w:p w14:paraId="523681E4" w14:textId="20B4FCBA" w:rsidR="0001227F" w:rsidRPr="00616069" w:rsidRDefault="0001227F" w:rsidP="0001227F">
                      <w:pPr>
                        <w:spacing w:line="276" w:lineRule="auto"/>
                        <w:rPr>
                          <w:rFonts w:ascii="Calibri" w:hAnsi="Calibri" w:cs="Calibri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  <w:r w:rsidRPr="00616069">
                        <w:rPr>
                          <w:rFonts w:ascii="Calibri" w:hAnsi="Calibri" w:cs="Calibri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Metodika ČBA </w:t>
                      </w:r>
                      <w:proofErr w:type="spellStart"/>
                      <w:r w:rsidRPr="00616069">
                        <w:rPr>
                          <w:rFonts w:ascii="Calibri" w:hAnsi="Calibri" w:cs="Calibri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>Hypomonitoru</w:t>
                      </w:r>
                      <w:proofErr w:type="spellEnd"/>
                    </w:p>
                    <w:p w14:paraId="7401467C" w14:textId="77777777" w:rsidR="00414AD4" w:rsidRPr="00616069" w:rsidRDefault="00414AD4" w:rsidP="0001227F">
                      <w:pPr>
                        <w:spacing w:line="276" w:lineRule="auto"/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</w:pPr>
                    </w:p>
                    <w:p w14:paraId="1021EABD" w14:textId="16015784" w:rsidR="0001227F" w:rsidRPr="00616069" w:rsidRDefault="00414AD4" w:rsidP="0001227F">
                      <w:pPr>
                        <w:spacing w:line="276" w:lineRule="auto"/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</w:pPr>
                      <w:r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 xml:space="preserve">ČBA </w:t>
                      </w:r>
                      <w:proofErr w:type="spellStart"/>
                      <w:r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Hypomonitor</w:t>
                      </w:r>
                      <w:proofErr w:type="spellEnd"/>
                      <w:r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 xml:space="preserve"> </w:t>
                      </w:r>
                      <w:r w:rsidR="00FB47DE"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 xml:space="preserve">rozděluje poskytnuté hypoteční úvěry </w:t>
                      </w:r>
                      <w:r w:rsidR="00810DCF"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bank a stavebních spořitelen</w:t>
                      </w:r>
                      <w:r w:rsidR="00B426A2"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 xml:space="preserve"> domácnostem</w:t>
                      </w:r>
                      <w:r w:rsidR="00810DCF"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 xml:space="preserve"> 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do několika kategorií tak, aby byly rozlišeny nové úvěry od refinancovaných či interních refixací</w:t>
                      </w:r>
                      <w:r w:rsidR="000B70C8"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.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 xml:space="preserve"> Nové úvěry jsou </w:t>
                      </w:r>
                      <w:r w:rsidR="00581CC1"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pak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 xml:space="preserve"> vykazovány v</w:t>
                      </w:r>
                      <w:r w:rsidR="00581CC1"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 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kategoriích</w:t>
                      </w:r>
                      <w:r w:rsidR="00581CC1"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 xml:space="preserve"> dle účelu úvěru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:</w:t>
                      </w:r>
                    </w:p>
                    <w:p w14:paraId="58E707E8" w14:textId="77777777" w:rsidR="0001227F" w:rsidRPr="00616069" w:rsidRDefault="0001227F" w:rsidP="0001227F">
                      <w:pPr>
                        <w:spacing w:line="276" w:lineRule="auto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</w:p>
                    <w:p w14:paraId="3227247A" w14:textId="11714118" w:rsidR="0001227F" w:rsidRPr="00616069" w:rsidRDefault="00E818C3" w:rsidP="00E818C3">
                      <w:pPr>
                        <w:spacing w:line="276" w:lineRule="auto"/>
                        <w:rPr>
                          <w:rFonts w:ascii="Calibri" w:hAnsi="Calibri" w:cs="Calibri"/>
                          <w:b/>
                          <w:color w:val="FFFFFF" w:themeColor="background1"/>
                        </w:rPr>
                      </w:pPr>
                      <w:r w:rsidRPr="00616069">
                        <w:rPr>
                          <w:rFonts w:ascii="Calibri" w:hAnsi="Calibri" w:cs="Calibri"/>
                          <w:b/>
                          <w:color w:val="FFFFFF" w:themeColor="background1"/>
                        </w:rPr>
                        <w:t xml:space="preserve">1. </w:t>
                      </w:r>
                      <w:r w:rsidR="0001227F" w:rsidRPr="00616069">
                        <w:rPr>
                          <w:rFonts w:ascii="Calibri" w:hAnsi="Calibri" w:cs="Calibri"/>
                          <w:b/>
                          <w:color w:val="FFFFFF" w:themeColor="background1"/>
                        </w:rPr>
                        <w:t>Nové úvěry</w:t>
                      </w:r>
                    </w:p>
                    <w:p w14:paraId="22AF3257" w14:textId="77777777" w:rsidR="0001227F" w:rsidRPr="00616069" w:rsidRDefault="0001227F" w:rsidP="0001227F">
                      <w:pPr>
                        <w:spacing w:line="276" w:lineRule="auto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Jsou úvěry, jejichž celý objem poprvé vstupuje do ekonomiky. Do této kategorie nepatří konsolidace úvěrů anebo refinancování úvěrů. Dělí se do tří kategorií:</w:t>
                      </w:r>
                    </w:p>
                    <w:p w14:paraId="362AFB2A" w14:textId="77777777" w:rsidR="0001227F" w:rsidRPr="00616069" w:rsidRDefault="0001227F" w:rsidP="00E818C3">
                      <w:pPr>
                        <w:pStyle w:val="Odstavecseseznamem"/>
                        <w:numPr>
                          <w:ilvl w:val="0"/>
                          <w:numId w:val="30"/>
                        </w:numPr>
                        <w:spacing w:line="276" w:lineRule="auto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  <w:r w:rsidRPr="00616069">
                        <w:rPr>
                          <w:rFonts w:ascii="Calibri" w:hAnsi="Calibri" w:cs="Calibri"/>
                          <w:b/>
                          <w:color w:val="FFFFFF" w:themeColor="background1"/>
                        </w:rPr>
                        <w:t>Nákup nemovitosti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 </w:t>
                      </w:r>
                    </w:p>
                    <w:p w14:paraId="29F23FA5" w14:textId="6EE96893" w:rsidR="0001227F" w:rsidRPr="00616069" w:rsidRDefault="0001227F" w:rsidP="00E818C3">
                      <w:pPr>
                        <w:pStyle w:val="Odstavecseseznamem"/>
                        <w:numPr>
                          <w:ilvl w:val="0"/>
                          <w:numId w:val="30"/>
                        </w:numPr>
                        <w:spacing w:line="276" w:lineRule="auto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  <w:r w:rsidRPr="00616069">
                        <w:rPr>
                          <w:rFonts w:ascii="Calibri" w:hAnsi="Calibri" w:cs="Calibri"/>
                          <w:b/>
                          <w:color w:val="FFFFFF" w:themeColor="background1"/>
                        </w:rPr>
                        <w:t>Výstavba nemovitosti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 – včetně rekonstrukce nemovitosti </w:t>
                      </w:r>
                    </w:p>
                    <w:p w14:paraId="4D80580F" w14:textId="11E0715F" w:rsidR="0001227F" w:rsidRPr="00616069" w:rsidRDefault="0001227F" w:rsidP="00E818C3">
                      <w:pPr>
                        <w:pStyle w:val="Odstavecseseznamem"/>
                        <w:numPr>
                          <w:ilvl w:val="0"/>
                          <w:numId w:val="30"/>
                        </w:numPr>
                        <w:spacing w:line="276" w:lineRule="auto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  <w:r w:rsidRPr="00616069">
                        <w:rPr>
                          <w:rFonts w:ascii="Calibri" w:hAnsi="Calibri" w:cs="Calibri"/>
                          <w:b/>
                          <w:color w:val="FFFFFF" w:themeColor="background1"/>
                        </w:rPr>
                        <w:t>Ostatní nová ujednání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 – pouze nové úvěry, které nijak nesouvisí s koupí nebo výstavbou nemovitosti, např. tzv. americké hypotéky, vypořádání SJM, zpětná úhrada kupní ceny, vypořádání dědického podílu, vypořádání družstevního </w:t>
                      </w:r>
                      <w:proofErr w:type="gramStart"/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podílu,</w:t>
                      </w:r>
                      <w:proofErr w:type="gramEnd"/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 atp.</w:t>
                      </w:r>
                    </w:p>
                    <w:p w14:paraId="4FBF1D5A" w14:textId="77777777" w:rsidR="0001227F" w:rsidRPr="00616069" w:rsidRDefault="0001227F" w:rsidP="0001227F">
                      <w:pPr>
                        <w:spacing w:line="276" w:lineRule="auto"/>
                        <w:ind w:left="708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</w:p>
                    <w:p w14:paraId="71D5E0BB" w14:textId="7D112C27" w:rsidR="0001227F" w:rsidRPr="00616069" w:rsidRDefault="00E818C3" w:rsidP="0001227F">
                      <w:pPr>
                        <w:spacing w:line="276" w:lineRule="auto"/>
                        <w:rPr>
                          <w:rFonts w:ascii="Calibri" w:hAnsi="Calibri" w:cs="Calibri"/>
                          <w:b/>
                          <w:color w:val="FFFFFF" w:themeColor="background1"/>
                        </w:rPr>
                      </w:pPr>
                      <w:r w:rsidRPr="00616069">
                        <w:rPr>
                          <w:rFonts w:ascii="Calibri" w:hAnsi="Calibri" w:cs="Calibri"/>
                          <w:b/>
                          <w:color w:val="FFFFFF" w:themeColor="background1"/>
                        </w:rPr>
                        <w:t xml:space="preserve">2. </w:t>
                      </w:r>
                      <w:r w:rsidR="0001227F" w:rsidRPr="00616069">
                        <w:rPr>
                          <w:rFonts w:ascii="Calibri" w:hAnsi="Calibri" w:cs="Calibri"/>
                          <w:b/>
                          <w:color w:val="FFFFFF" w:themeColor="background1"/>
                        </w:rPr>
                        <w:t>Refinancované úvěry z jiné finanční instituce</w:t>
                      </w:r>
                    </w:p>
                    <w:p w14:paraId="351B5A60" w14:textId="0B5DCBB6" w:rsidR="0001227F" w:rsidRPr="00616069" w:rsidRDefault="0001227F" w:rsidP="0001227F">
                      <w:pPr>
                        <w:spacing w:line="276" w:lineRule="auto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Jsou úvěry, které vznikly refinancováním jednoho nebo více úvěrů z jiné finanční instituce než </w:t>
                      </w:r>
                      <w:r w:rsidR="00973197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té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 vykazující. Bez ohledu na výši refinancované částky a bez ohledu na výši případného navýšení se celková výše nově vzniklého úvěru vykazuje do této kategorie. </w:t>
                      </w:r>
                    </w:p>
                    <w:p w14:paraId="7566D2D6" w14:textId="77777777" w:rsidR="0001227F" w:rsidRPr="00616069" w:rsidRDefault="0001227F" w:rsidP="0001227F">
                      <w:pPr>
                        <w:spacing w:line="276" w:lineRule="auto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</w:p>
                    <w:p w14:paraId="04B36444" w14:textId="4F20B25F" w:rsidR="0001227F" w:rsidRPr="00616069" w:rsidRDefault="00E818C3" w:rsidP="0001227F">
                      <w:pPr>
                        <w:spacing w:line="276" w:lineRule="auto"/>
                        <w:rPr>
                          <w:rFonts w:ascii="Calibri" w:hAnsi="Calibri" w:cs="Calibri"/>
                          <w:b/>
                          <w:color w:val="FFFFFF" w:themeColor="background1"/>
                        </w:rPr>
                      </w:pPr>
                      <w:r w:rsidRPr="00616069">
                        <w:rPr>
                          <w:rFonts w:ascii="Calibri" w:hAnsi="Calibri" w:cs="Calibri"/>
                          <w:b/>
                          <w:color w:val="FFFFFF" w:themeColor="background1"/>
                        </w:rPr>
                        <w:t xml:space="preserve">3. </w:t>
                      </w:r>
                      <w:r w:rsidR="0001227F" w:rsidRPr="00616069">
                        <w:rPr>
                          <w:rFonts w:ascii="Calibri" w:hAnsi="Calibri" w:cs="Calibri"/>
                          <w:b/>
                          <w:color w:val="FFFFFF" w:themeColor="background1"/>
                        </w:rPr>
                        <w:t>Navýšené anebo interně refinancované úvěry</w:t>
                      </w:r>
                    </w:p>
                    <w:p w14:paraId="711A3661" w14:textId="2A271010" w:rsidR="0001227F" w:rsidRPr="00616069" w:rsidRDefault="0001227F" w:rsidP="0001227F">
                      <w:pPr>
                        <w:spacing w:line="276" w:lineRule="auto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Jsou úvěry, které již byly </w:t>
                      </w:r>
                      <w:r w:rsidR="00647A7A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v 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předchozí</w:t>
                      </w:r>
                      <w:r w:rsidR="0079039B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m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 vykazované</w:t>
                      </w:r>
                      <w:r w:rsidR="0079039B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m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 období součástí portfolia vykazujícího subjektu, a ve vykazovaném období u nich došlo k některé z následujících změn:</w:t>
                      </w:r>
                    </w:p>
                    <w:p w14:paraId="4A6B00C0" w14:textId="77777777" w:rsidR="00E818C3" w:rsidRPr="00616069" w:rsidRDefault="0001227F" w:rsidP="0001227F">
                      <w:pPr>
                        <w:pStyle w:val="Odstavecseseznamem"/>
                        <w:numPr>
                          <w:ilvl w:val="0"/>
                          <w:numId w:val="28"/>
                        </w:numPr>
                        <w:overflowPunct/>
                        <w:autoSpaceDE/>
                        <w:autoSpaceDN/>
                        <w:adjustRightInd/>
                        <w:spacing w:line="276" w:lineRule="auto"/>
                        <w:jc w:val="left"/>
                        <w:textAlignment w:val="auto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navýšení sjednané částky </w:t>
                      </w:r>
                    </w:p>
                    <w:p w14:paraId="44682079" w14:textId="72C23671" w:rsidR="0001227F" w:rsidRPr="00616069" w:rsidRDefault="0001227F" w:rsidP="0001227F">
                      <w:pPr>
                        <w:pStyle w:val="Odstavecseseznamem"/>
                        <w:numPr>
                          <w:ilvl w:val="0"/>
                          <w:numId w:val="28"/>
                        </w:numPr>
                        <w:overflowPunct/>
                        <w:autoSpaceDE/>
                        <w:autoSpaceDN/>
                        <w:adjustRightInd/>
                        <w:spacing w:line="276" w:lineRule="auto"/>
                        <w:jc w:val="left"/>
                        <w:textAlignment w:val="auto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došlo k takovým změnám, že původní úvěr byl v rámci vykazujícího subjektu refinancován/převeden na nový úvěr. </w:t>
                      </w:r>
                      <w:r w:rsidR="00E74228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J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de</w:t>
                      </w:r>
                      <w:r w:rsidR="00CD28EC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 tak o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 skutečně </w:t>
                      </w:r>
                      <w:r w:rsidR="00E74228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novou smlouvu</w:t>
                      </w:r>
                      <w:r w:rsidR="00132EE9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, nikoli např. jen </w:t>
                      </w:r>
                      <w:r w:rsidR="007B79F6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nové ujednání v rámci refi</w:t>
                      </w:r>
                      <w:r w:rsidR="000F02C1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xace </w:t>
                      </w:r>
                      <w:r w:rsidR="00132EE9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stávající smlouvy. Proto je objem takových úvěru ve statistice ČBA nižší oproti „ostatním novým ujednáním“ ve statistice České </w:t>
                      </w:r>
                      <w:r w:rsidR="002D3F94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n</w:t>
                      </w:r>
                      <w:r w:rsidR="00132EE9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árodní </w:t>
                      </w:r>
                      <w:r w:rsidR="002D3F94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b</w:t>
                      </w:r>
                      <w:r w:rsidR="00132EE9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anky.</w:t>
                      </w:r>
                    </w:p>
                    <w:p w14:paraId="1FAF8B9B" w14:textId="4C474A58" w:rsidR="006F08E1" w:rsidRPr="00616069" w:rsidRDefault="006F08E1" w:rsidP="006F08E1">
                      <w:pPr>
                        <w:overflowPunct/>
                        <w:autoSpaceDE/>
                        <w:autoSpaceDN/>
                        <w:adjustRightInd/>
                        <w:spacing w:line="276" w:lineRule="auto"/>
                        <w:jc w:val="left"/>
                        <w:textAlignment w:val="auto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</w:p>
                    <w:p w14:paraId="65FC0189" w14:textId="1B58C64B" w:rsidR="006F08E1" w:rsidRPr="00616069" w:rsidRDefault="001F49EA" w:rsidP="006F08E1">
                      <w:pPr>
                        <w:overflowPunct/>
                        <w:autoSpaceDE/>
                        <w:autoSpaceDN/>
                        <w:adjustRightInd/>
                        <w:spacing w:line="276" w:lineRule="auto"/>
                        <w:jc w:val="left"/>
                        <w:textAlignment w:val="auto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Data pro ČBA </w:t>
                      </w:r>
                      <w:proofErr w:type="spellStart"/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Hypomonitor</w:t>
                      </w:r>
                      <w:proofErr w:type="spellEnd"/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 poskytují následující banky a stavební spořitelny: Air Bank, Česká spořitelna, ČSOB, ČSOB Stavební spořitelna, Fio banka, Hypoteční banka, Komerční banka, mBank, Modrá pyramida, MONETA Money Bank, MONETA Stavební spořitelna, </w:t>
                      </w:r>
                      <w:proofErr w:type="spellStart"/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Oberbank</w:t>
                      </w:r>
                      <w:proofErr w:type="spellEnd"/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, </w:t>
                      </w:r>
                      <w:proofErr w:type="spellStart"/>
                      <w:r w:rsidR="003E1AAB">
                        <w:rPr>
                          <w:rFonts w:ascii="Calibri" w:hAnsi="Calibri" w:cs="Calibri"/>
                          <w:color w:val="FFFFFF" w:themeColor="background1"/>
                        </w:rPr>
                        <w:t>Partners</w:t>
                      </w:r>
                      <w:proofErr w:type="spellEnd"/>
                      <w:r w:rsidR="003E1AAB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 Banka, </w:t>
                      </w:r>
                      <w:proofErr w:type="spellStart"/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Raiffeisen</w:t>
                      </w:r>
                      <w:proofErr w:type="spellEnd"/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 stavební spořitelna, Raiffeisenbank, Stavební spořitelna České spořitelny, UniCredit Bank.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Style w:val="Mkatabulky"/>
        <w:tblW w:w="102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17"/>
        <w:gridCol w:w="3384"/>
      </w:tblGrid>
      <w:tr w:rsidR="0028530F" w:rsidRPr="00D80B55" w14:paraId="4825E599" w14:textId="77777777" w:rsidTr="001B1140">
        <w:trPr>
          <w:trHeight w:val="1364"/>
        </w:trPr>
        <w:tc>
          <w:tcPr>
            <w:tcW w:w="6817" w:type="dxa"/>
            <w:shd w:val="clear" w:color="auto" w:fill="13576B"/>
          </w:tcPr>
          <w:p w14:paraId="1EB2DC0A" w14:textId="77777777" w:rsidR="0028530F" w:rsidRPr="00D80B55" w:rsidRDefault="0028530F" w:rsidP="001B1140">
            <w:pPr>
              <w:pStyle w:val="CBANadpisvTABULCE"/>
              <w:jc w:val="both"/>
              <w:rPr>
                <w:rFonts w:cs="Arial"/>
                <w:color w:val="FFFFFF" w:themeColor="background1"/>
                <w:szCs w:val="18"/>
              </w:rPr>
            </w:pPr>
            <w:r w:rsidRPr="00D80B55">
              <w:rPr>
                <w:rFonts w:cs="Arial"/>
                <w:color w:val="FFFFFF" w:themeColor="background1"/>
                <w:szCs w:val="18"/>
              </w:rPr>
              <w:t>O České bankovní asociaci</w:t>
            </w:r>
          </w:p>
          <w:p w14:paraId="4EB0391C" w14:textId="423A1391" w:rsidR="0028530F" w:rsidRPr="00D80B55" w:rsidRDefault="0028530F" w:rsidP="001B1140">
            <w:pPr>
              <w:rPr>
                <w:rFonts w:cs="Arial"/>
                <w:color w:val="FFFFFF" w:themeColor="background1"/>
                <w:sz w:val="22"/>
              </w:rPr>
            </w:pPr>
            <w:r w:rsidRPr="00D80B55">
              <w:rPr>
                <w:rFonts w:cs="Arial"/>
                <w:color w:val="FFFFFF" w:themeColor="background1"/>
              </w:rPr>
              <w:t>Česká bankovní asociace (ČBA) je dobrovolné sdružení 3</w:t>
            </w:r>
            <w:r w:rsidR="00BA1D00">
              <w:rPr>
                <w:rFonts w:cs="Arial"/>
                <w:color w:val="FFFFFF" w:themeColor="background1"/>
              </w:rPr>
              <w:t>4</w:t>
            </w:r>
            <w:r w:rsidRPr="00D80B55">
              <w:rPr>
                <w:rFonts w:cs="Arial"/>
                <w:color w:val="FFFFFF" w:themeColor="background1"/>
              </w:rPr>
              <w:t xml:space="preserve"> bank, které v ČR působí a reprezentuje tak 99 % trhu. </w:t>
            </w:r>
            <w:r>
              <w:rPr>
                <w:rFonts w:cs="Arial"/>
                <w:color w:val="FFFFFF" w:themeColor="background1"/>
              </w:rPr>
              <w:t>Více než</w:t>
            </w:r>
            <w:r w:rsidRPr="00D80B55">
              <w:rPr>
                <w:rFonts w:cs="Arial"/>
                <w:color w:val="FFFFFF" w:themeColor="background1"/>
              </w:rPr>
              <w:t xml:space="preserve"> 30 let podporuje nejen rozvoj bankovního sektoru, ale i celé ekonomiky a všeobecné finanční gramotnosti. ČBA je členem Evropské bankovní federace (EBF).</w:t>
            </w:r>
          </w:p>
          <w:p w14:paraId="598BB9F7" w14:textId="77777777" w:rsidR="0028530F" w:rsidRPr="00D80B55" w:rsidRDefault="0028530F" w:rsidP="001B1140">
            <w:pPr>
              <w:pStyle w:val="CBAodstavecvTABULCE"/>
              <w:jc w:val="both"/>
              <w:rPr>
                <w:rFonts w:cs="Arial"/>
                <w:color w:val="FFFFFF" w:themeColor="background1"/>
                <w:szCs w:val="18"/>
              </w:rPr>
            </w:pPr>
            <w:r w:rsidRPr="00D80B55">
              <w:rPr>
                <w:rFonts w:cs="Arial"/>
                <w:color w:val="FFFFFF" w:themeColor="background1"/>
                <w:szCs w:val="18"/>
              </w:rPr>
              <w:t xml:space="preserve">Více informací na </w:t>
            </w:r>
            <w:r w:rsidRPr="00D80B55">
              <w:rPr>
                <w:rFonts w:cs="Arial"/>
                <w:color w:val="FFFFFF" w:themeColor="background1"/>
                <w:szCs w:val="18"/>
                <w:u w:val="single"/>
              </w:rPr>
              <w:t>www.cbaonline.cz.</w:t>
            </w:r>
            <w:r w:rsidRPr="00D80B55">
              <w:rPr>
                <w:rFonts w:cs="Arial"/>
                <w:color w:val="A9936D"/>
                <w:szCs w:val="18"/>
              </w:rPr>
              <w:t xml:space="preserve"> </w:t>
            </w:r>
          </w:p>
        </w:tc>
        <w:tc>
          <w:tcPr>
            <w:tcW w:w="3384" w:type="dxa"/>
            <w:shd w:val="clear" w:color="auto" w:fill="A9936D"/>
            <w:vAlign w:val="center"/>
          </w:tcPr>
          <w:p w14:paraId="606A2DEB" w14:textId="77777777" w:rsidR="0028530F" w:rsidRPr="00D80B55" w:rsidRDefault="0028530F" w:rsidP="001B1140">
            <w:pPr>
              <w:pStyle w:val="CBAodstavecvTABULCE"/>
              <w:rPr>
                <w:rFonts w:cs="Arial"/>
                <w:b/>
                <w:bCs/>
                <w:color w:val="FFFFFF" w:themeColor="background1"/>
                <w:szCs w:val="18"/>
              </w:rPr>
            </w:pPr>
            <w:r w:rsidRPr="00D80B55">
              <w:rPr>
                <w:rFonts w:cs="Arial"/>
                <w:b/>
                <w:bCs/>
                <w:color w:val="FFFFFF" w:themeColor="background1"/>
                <w:szCs w:val="18"/>
              </w:rPr>
              <w:t xml:space="preserve">                Dotazy posílejte na</w:t>
            </w:r>
          </w:p>
          <w:p w14:paraId="64706D81" w14:textId="77777777" w:rsidR="0028530F" w:rsidRPr="00D80B55" w:rsidRDefault="0028530F" w:rsidP="001B1140">
            <w:pPr>
              <w:pStyle w:val="CBAodstavecvTABULCE"/>
              <w:jc w:val="center"/>
              <w:rPr>
                <w:rFonts w:cs="Arial"/>
                <w:color w:val="FFFFFF" w:themeColor="background1"/>
                <w:szCs w:val="18"/>
              </w:rPr>
            </w:pPr>
            <w:r w:rsidRPr="00D80B55">
              <w:rPr>
                <w:rFonts w:cs="Arial"/>
                <w:b/>
                <w:bCs/>
                <w:color w:val="FFFFFF" w:themeColor="background1"/>
                <w:szCs w:val="18"/>
              </w:rPr>
              <w:t>radek.salsa@cbaonline.cz</w:t>
            </w:r>
          </w:p>
        </w:tc>
      </w:tr>
    </w:tbl>
    <w:p w14:paraId="79952D08" w14:textId="7B44AB4C" w:rsidR="00C42F00" w:rsidRPr="00B04FE2" w:rsidRDefault="00C42F00" w:rsidP="00CA3B41">
      <w:pPr>
        <w:rPr>
          <w:rFonts w:ascii="Calibri" w:hAnsi="Calibri" w:cs="Calibri"/>
          <w:sz w:val="22"/>
          <w:szCs w:val="22"/>
        </w:rPr>
      </w:pPr>
    </w:p>
    <w:sectPr w:rsidR="00C42F00" w:rsidRPr="00B04FE2" w:rsidSect="00606031">
      <w:type w:val="continuous"/>
      <w:pgSz w:w="11906" w:h="16838"/>
      <w:pgMar w:top="2552" w:right="849" w:bottom="1560" w:left="851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D68CA3" w14:textId="77777777" w:rsidR="00F7492D" w:rsidRPr="00616069" w:rsidRDefault="00F7492D" w:rsidP="00F573F1">
      <w:r w:rsidRPr="00616069">
        <w:separator/>
      </w:r>
    </w:p>
  </w:endnote>
  <w:endnote w:type="continuationSeparator" w:id="0">
    <w:p w14:paraId="1D74D06E" w14:textId="77777777" w:rsidR="00F7492D" w:rsidRPr="00616069" w:rsidRDefault="00F7492D" w:rsidP="00F573F1">
      <w:r w:rsidRPr="0061606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70690799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E2EB97C" w14:textId="697C5AC2" w:rsidR="001E31AB" w:rsidRPr="00616069" w:rsidRDefault="001E31AB">
            <w:pPr>
              <w:pStyle w:val="Zpat"/>
              <w:jc w:val="right"/>
            </w:pPr>
            <w:r w:rsidRPr="00616069">
              <w:rPr>
                <w:rFonts w:ascii="Calibri" w:hAnsi="Calibri"/>
                <w:noProof/>
                <w:szCs w:val="18"/>
                <w:lang w:eastAsia="en-GB"/>
              </w:rPr>
              <w:drawing>
                <wp:anchor distT="0" distB="0" distL="114300" distR="114300" simplePos="0" relativeHeight="251655680" behindDoc="0" locked="0" layoutInCell="1" allowOverlap="1" wp14:anchorId="7B2A8544" wp14:editId="09B386F6">
                  <wp:simplePos x="0" y="0"/>
                  <wp:positionH relativeFrom="column">
                    <wp:posOffset>-540385</wp:posOffset>
                  </wp:positionH>
                  <wp:positionV relativeFrom="paragraph">
                    <wp:posOffset>-365760</wp:posOffset>
                  </wp:positionV>
                  <wp:extent cx="3042285" cy="701040"/>
                  <wp:effectExtent l="0" t="0" r="5715" b="0"/>
                  <wp:wrapNone/>
                  <wp:docPr id="436663486" name="Obrázek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nnamed.jpg"/>
                          <pic:cNvPicPr/>
                        </pic:nvPicPr>
                        <pic:blipFill rotWithShape="1"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309" t="94992" r="61095" b="-1544"/>
                          <a:stretch/>
                        </pic:blipFill>
                        <pic:spPr bwMode="auto">
                          <a:xfrm>
                            <a:off x="0" y="0"/>
                            <a:ext cx="3042285" cy="7010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16069">
              <w:rPr>
                <w:rFonts w:ascii="Calibri" w:hAnsi="Calibri"/>
                <w:szCs w:val="18"/>
              </w:rPr>
              <w:t xml:space="preserve">Stránka </w:t>
            </w:r>
            <w:r w:rsidRPr="00616069">
              <w:rPr>
                <w:rFonts w:ascii="Calibri" w:hAnsi="Calibri"/>
                <w:b/>
                <w:bCs/>
                <w:szCs w:val="18"/>
              </w:rPr>
              <w:fldChar w:fldCharType="begin"/>
            </w:r>
            <w:r w:rsidRPr="00616069">
              <w:rPr>
                <w:rFonts w:ascii="Calibri" w:hAnsi="Calibri"/>
                <w:b/>
                <w:bCs/>
                <w:szCs w:val="18"/>
              </w:rPr>
              <w:instrText>PAGE</w:instrText>
            </w:r>
            <w:r w:rsidRPr="00616069">
              <w:rPr>
                <w:rFonts w:ascii="Calibri" w:hAnsi="Calibri"/>
                <w:b/>
                <w:bCs/>
                <w:szCs w:val="18"/>
              </w:rPr>
              <w:fldChar w:fldCharType="separate"/>
            </w:r>
            <w:r w:rsidR="005F4B41" w:rsidRPr="00616069">
              <w:rPr>
                <w:rFonts w:ascii="Calibri" w:hAnsi="Calibri"/>
                <w:b/>
                <w:bCs/>
                <w:szCs w:val="18"/>
              </w:rPr>
              <w:t>1</w:t>
            </w:r>
            <w:r w:rsidRPr="00616069">
              <w:rPr>
                <w:rFonts w:ascii="Calibri" w:hAnsi="Calibri"/>
                <w:b/>
                <w:bCs/>
                <w:szCs w:val="18"/>
              </w:rPr>
              <w:fldChar w:fldCharType="end"/>
            </w:r>
            <w:r w:rsidRPr="00616069">
              <w:rPr>
                <w:rFonts w:ascii="Calibri" w:hAnsi="Calibri"/>
                <w:szCs w:val="18"/>
              </w:rPr>
              <w:t xml:space="preserve"> z </w:t>
            </w:r>
            <w:r w:rsidRPr="00616069">
              <w:rPr>
                <w:rFonts w:ascii="Calibri" w:hAnsi="Calibri"/>
                <w:b/>
                <w:bCs/>
                <w:szCs w:val="18"/>
              </w:rPr>
              <w:fldChar w:fldCharType="begin"/>
            </w:r>
            <w:r w:rsidRPr="00616069">
              <w:rPr>
                <w:rFonts w:ascii="Calibri" w:hAnsi="Calibri"/>
                <w:b/>
                <w:bCs/>
                <w:szCs w:val="18"/>
              </w:rPr>
              <w:instrText>NUMPAGES</w:instrText>
            </w:r>
            <w:r w:rsidRPr="00616069">
              <w:rPr>
                <w:rFonts w:ascii="Calibri" w:hAnsi="Calibri"/>
                <w:b/>
                <w:bCs/>
                <w:szCs w:val="18"/>
              </w:rPr>
              <w:fldChar w:fldCharType="separate"/>
            </w:r>
            <w:r w:rsidR="005F4B41" w:rsidRPr="00616069">
              <w:rPr>
                <w:rFonts w:ascii="Calibri" w:hAnsi="Calibri"/>
                <w:b/>
                <w:bCs/>
                <w:szCs w:val="18"/>
              </w:rPr>
              <w:t>2</w:t>
            </w:r>
            <w:r w:rsidRPr="00616069">
              <w:rPr>
                <w:rFonts w:ascii="Calibri" w:hAnsi="Calibri"/>
                <w:b/>
                <w:bCs/>
                <w:szCs w:val="18"/>
              </w:rPr>
              <w:fldChar w:fldCharType="end"/>
            </w:r>
          </w:p>
        </w:sdtContent>
      </w:sdt>
    </w:sdtContent>
  </w:sdt>
  <w:p w14:paraId="300EB588" w14:textId="24FF51AB" w:rsidR="0065124E" w:rsidRPr="00616069" w:rsidRDefault="0065124E" w:rsidP="00FB4A1C">
    <w:pPr>
      <w:pStyle w:val="Zpat"/>
      <w:tabs>
        <w:tab w:val="clear" w:pos="4536"/>
        <w:tab w:val="clear" w:pos="9072"/>
        <w:tab w:val="left" w:pos="6080"/>
      </w:tabs>
      <w:rPr>
        <w:color w:val="A6A6A6" w:themeColor="background1" w:themeShade="A6"/>
        <w:sz w:val="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B1411A" w14:textId="77777777" w:rsidR="00F7492D" w:rsidRPr="00616069" w:rsidRDefault="00F7492D" w:rsidP="00F573F1">
      <w:r w:rsidRPr="00616069">
        <w:separator/>
      </w:r>
    </w:p>
  </w:footnote>
  <w:footnote w:type="continuationSeparator" w:id="0">
    <w:p w14:paraId="3CEA59A5" w14:textId="77777777" w:rsidR="00F7492D" w:rsidRPr="00616069" w:rsidRDefault="00F7492D" w:rsidP="00F573F1">
      <w:r w:rsidRPr="00616069">
        <w:continuationSeparator/>
      </w:r>
    </w:p>
  </w:footnote>
  <w:footnote w:id="1">
    <w:p w14:paraId="077D225E" w14:textId="77777777" w:rsidR="00BD6018" w:rsidRPr="00616069" w:rsidRDefault="00BD6018" w:rsidP="00BD6018">
      <w:pPr>
        <w:pStyle w:val="Textpoznpodarou"/>
        <w:rPr>
          <w:rFonts w:ascii="Calibri" w:hAnsi="Calibri" w:cs="Calibri"/>
          <w:sz w:val="17"/>
          <w:szCs w:val="17"/>
        </w:rPr>
      </w:pPr>
      <w:r w:rsidRPr="00616069">
        <w:rPr>
          <w:rStyle w:val="Znakapoznpodarou"/>
          <w:rFonts w:ascii="Calibri" w:hAnsi="Calibri" w:cs="Calibri"/>
          <w:sz w:val="17"/>
          <w:szCs w:val="17"/>
        </w:rPr>
        <w:footnoteRef/>
      </w:r>
      <w:r w:rsidRPr="00616069">
        <w:rPr>
          <w:rFonts w:ascii="Calibri" w:hAnsi="Calibri" w:cs="Calibri"/>
          <w:sz w:val="17"/>
          <w:szCs w:val="17"/>
        </w:rPr>
        <w:t xml:space="preserve"> </w:t>
      </w:r>
      <w:r w:rsidRPr="00616069">
        <w:rPr>
          <w:rFonts w:asciiTheme="majorHAnsi" w:hAnsiTheme="majorHAnsi" w:cstheme="majorHAnsi"/>
          <w:sz w:val="17"/>
          <w:szCs w:val="17"/>
        </w:rPr>
        <w:t>Jedná se především o dlouholeté úrokové swapy (</w:t>
      </w:r>
      <w:proofErr w:type="spellStart"/>
      <w:r w:rsidRPr="00616069">
        <w:rPr>
          <w:rFonts w:asciiTheme="majorHAnsi" w:hAnsiTheme="majorHAnsi" w:cstheme="majorHAnsi"/>
          <w:sz w:val="17"/>
          <w:szCs w:val="17"/>
        </w:rPr>
        <w:t>interest</w:t>
      </w:r>
      <w:proofErr w:type="spellEnd"/>
      <w:r w:rsidRPr="00616069">
        <w:rPr>
          <w:rFonts w:asciiTheme="majorHAnsi" w:hAnsiTheme="majorHAnsi" w:cstheme="majorHAnsi"/>
          <w:sz w:val="17"/>
          <w:szCs w:val="17"/>
        </w:rPr>
        <w:t xml:space="preserve"> </w:t>
      </w:r>
      <w:proofErr w:type="spellStart"/>
      <w:r w:rsidRPr="00616069">
        <w:rPr>
          <w:rFonts w:asciiTheme="majorHAnsi" w:hAnsiTheme="majorHAnsi" w:cstheme="majorHAnsi"/>
          <w:sz w:val="17"/>
          <w:szCs w:val="17"/>
        </w:rPr>
        <w:t>rate</w:t>
      </w:r>
      <w:proofErr w:type="spellEnd"/>
      <w:r w:rsidRPr="00616069">
        <w:rPr>
          <w:rFonts w:asciiTheme="majorHAnsi" w:hAnsiTheme="majorHAnsi" w:cstheme="majorHAnsi"/>
          <w:sz w:val="17"/>
          <w:szCs w:val="17"/>
        </w:rPr>
        <w:t xml:space="preserve"> swap, IRS), které odráží cenu peněz v delších splatnostech, například </w:t>
      </w:r>
      <w:r>
        <w:rPr>
          <w:rFonts w:asciiTheme="majorHAnsi" w:hAnsiTheme="majorHAnsi" w:cstheme="majorHAnsi"/>
          <w:sz w:val="17"/>
          <w:szCs w:val="17"/>
        </w:rPr>
        <w:t>2</w:t>
      </w:r>
      <w:r w:rsidRPr="00616069">
        <w:rPr>
          <w:rFonts w:asciiTheme="majorHAnsi" w:hAnsiTheme="majorHAnsi" w:cstheme="majorHAnsi"/>
          <w:sz w:val="17"/>
          <w:szCs w:val="17"/>
        </w:rPr>
        <w:t xml:space="preserve"> až 10 let.</w:t>
      </w:r>
    </w:p>
  </w:footnote>
  <w:footnote w:id="2">
    <w:p w14:paraId="19466A35" w14:textId="77777777" w:rsidR="004D6F30" w:rsidRPr="00952AEF" w:rsidRDefault="004D6F30" w:rsidP="004D6F30">
      <w:pPr>
        <w:pStyle w:val="Textpoznpodarou"/>
        <w:rPr>
          <w:rFonts w:asciiTheme="majorHAnsi" w:hAnsiTheme="majorHAnsi" w:cstheme="majorHAnsi"/>
          <w:sz w:val="17"/>
          <w:szCs w:val="17"/>
        </w:rPr>
      </w:pPr>
      <w:r w:rsidRPr="00616069">
        <w:rPr>
          <w:rStyle w:val="Znakapoznpodarou"/>
        </w:rPr>
        <w:footnoteRef/>
      </w:r>
      <w:r w:rsidRPr="00616069">
        <w:t xml:space="preserve"> </w:t>
      </w:r>
      <w:r w:rsidRPr="00616069">
        <w:rPr>
          <w:rFonts w:asciiTheme="majorHAnsi" w:hAnsiTheme="majorHAnsi" w:cstheme="majorHAnsi"/>
          <w:sz w:val="17"/>
          <w:szCs w:val="17"/>
        </w:rPr>
        <w:t xml:space="preserve">Tabulka je k dispozici v souboru </w:t>
      </w:r>
      <w:proofErr w:type="spellStart"/>
      <w:r w:rsidRPr="00616069">
        <w:rPr>
          <w:rFonts w:asciiTheme="majorHAnsi" w:hAnsiTheme="majorHAnsi" w:cstheme="majorHAnsi"/>
          <w:sz w:val="17"/>
          <w:szCs w:val="17"/>
        </w:rPr>
        <w:t>xls</w:t>
      </w:r>
      <w:proofErr w:type="spellEnd"/>
      <w:r w:rsidRPr="00616069">
        <w:rPr>
          <w:rFonts w:asciiTheme="majorHAnsi" w:hAnsiTheme="majorHAnsi" w:cstheme="majorHAnsi"/>
          <w:sz w:val="17"/>
          <w:szCs w:val="17"/>
        </w:rPr>
        <w:t xml:space="preserve"> přiloženém na webových stránkách ČBA </w:t>
      </w:r>
      <w:proofErr w:type="spellStart"/>
      <w:r w:rsidRPr="00616069">
        <w:rPr>
          <w:rFonts w:asciiTheme="majorHAnsi" w:hAnsiTheme="majorHAnsi" w:cstheme="majorHAnsi"/>
          <w:sz w:val="17"/>
          <w:szCs w:val="17"/>
        </w:rPr>
        <w:t>Hypomonitoru</w:t>
      </w:r>
      <w:proofErr w:type="spellEnd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CA4485" w14:textId="25969B31" w:rsidR="0065124E" w:rsidRPr="00616069" w:rsidRDefault="00A86552">
    <w:pPr>
      <w:pStyle w:val="Zhlav"/>
    </w:pPr>
    <w:r w:rsidRPr="00616069">
      <w:rPr>
        <w:rFonts w:cs="Arial"/>
        <w:noProof/>
        <w:lang w:eastAsia="en-GB"/>
      </w:rPr>
      <mc:AlternateContent>
        <mc:Choice Requires="wps">
          <w:drawing>
            <wp:anchor distT="45720" distB="45720" distL="114300" distR="114300" simplePos="0" relativeHeight="251668480" behindDoc="0" locked="0" layoutInCell="1" allowOverlap="1" wp14:anchorId="1DCC7344" wp14:editId="2F0B41DB">
              <wp:simplePos x="0" y="0"/>
              <wp:positionH relativeFrom="margin">
                <wp:posOffset>2228694</wp:posOffset>
              </wp:positionH>
              <wp:positionV relativeFrom="paragraph">
                <wp:posOffset>214019</wp:posOffset>
              </wp:positionV>
              <wp:extent cx="2941608" cy="1404620"/>
              <wp:effectExtent l="0" t="0" r="0" b="0"/>
              <wp:wrapNone/>
              <wp:docPr id="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41608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4986907" w14:textId="1DE8A063" w:rsidR="00A86552" w:rsidRPr="00616069" w:rsidRDefault="00A86552" w:rsidP="00095055">
                          <w:pPr>
                            <w:spacing w:line="276" w:lineRule="auto"/>
                            <w:jc w:val="right"/>
                            <w:rPr>
                              <w:rFonts w:ascii="Calibri" w:hAnsi="Calibri" w:cs="Calibri"/>
                              <w:b/>
                              <w:color w:val="FF0000"/>
                              <w:sz w:val="40"/>
                              <w:szCs w:val="4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DCC7344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175.5pt;margin-top:16.85pt;width:231.6pt;height:110.6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" filled="f" stroked="f">
              <v:textbox style="mso-fit-shape-to-text:t">
                <w:txbxContent>
                  <w:p w14:paraId="24986907" w14:textId="1DE8A063" w:rsidR="00A86552" w:rsidRPr="00616069" w:rsidRDefault="00A86552" w:rsidP="00095055">
                    <w:pPr>
                      <w:spacing w:line="276" w:lineRule="auto"/>
                      <w:jc w:val="right"/>
                      <w:rPr>
                        <w:rFonts w:ascii="Calibri" w:hAnsi="Calibri" w:cs="Calibri"/>
                        <w:b/>
                        <w:color w:val="FF0000"/>
                        <w:sz w:val="40"/>
                        <w:szCs w:val="4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744C66" w:rsidRPr="00616069">
      <w:rPr>
        <w:noProof/>
        <w:lang w:eastAsia="en-GB"/>
      </w:rPr>
      <w:drawing>
        <wp:anchor distT="0" distB="0" distL="114300" distR="114300" simplePos="0" relativeHeight="251660288" behindDoc="0" locked="0" layoutInCell="1" allowOverlap="1" wp14:anchorId="197D896D" wp14:editId="7A6FB449">
          <wp:simplePos x="0" y="0"/>
          <wp:positionH relativeFrom="column">
            <wp:posOffset>-52705</wp:posOffset>
          </wp:positionH>
          <wp:positionV relativeFrom="paragraph">
            <wp:posOffset>29845</wp:posOffset>
          </wp:positionV>
          <wp:extent cx="2209800" cy="778510"/>
          <wp:effectExtent l="0" t="0" r="0" b="2540"/>
          <wp:wrapNone/>
          <wp:docPr id="896842970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9800" cy="778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2D4720" w:rsidRPr="00616069">
      <w:rPr>
        <w:noProof/>
        <w:lang w:eastAsia="en-GB"/>
      </w:rPr>
      <w:drawing>
        <wp:anchor distT="0" distB="0" distL="114300" distR="114300" simplePos="0" relativeHeight="251664384" behindDoc="1" locked="0" layoutInCell="1" allowOverlap="1" wp14:anchorId="2A1D7AA9" wp14:editId="7A7B0A01">
          <wp:simplePos x="0" y="0"/>
          <wp:positionH relativeFrom="column">
            <wp:posOffset>3985895</wp:posOffset>
          </wp:positionH>
          <wp:positionV relativeFrom="paragraph">
            <wp:posOffset>-8255</wp:posOffset>
          </wp:positionV>
          <wp:extent cx="2943225" cy="243840"/>
          <wp:effectExtent l="0" t="0" r="9525" b="3810"/>
          <wp:wrapNone/>
          <wp:docPr id="610959977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nnamed.jp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4992" r="61096" b="2729"/>
                  <a:stretch/>
                </pic:blipFill>
                <pic:spPr bwMode="auto">
                  <a:xfrm>
                    <a:off x="0" y="0"/>
                    <a:ext cx="2943225" cy="2438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D4720" w:rsidRPr="00616069">
      <w:rPr>
        <w:rFonts w:cs="Arial"/>
        <w:noProof/>
        <w:lang w:eastAsia="en-GB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126DE097" wp14:editId="755E40ED">
              <wp:simplePos x="0" y="0"/>
              <wp:positionH relativeFrom="margin">
                <wp:posOffset>5238115</wp:posOffset>
              </wp:positionH>
              <wp:positionV relativeFrom="paragraph">
                <wp:posOffset>153035</wp:posOffset>
              </wp:positionV>
              <wp:extent cx="1239520" cy="1404620"/>
              <wp:effectExtent l="0" t="0" r="0" b="0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952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DE40D2" w14:textId="77777777" w:rsidR="002D4720" w:rsidRPr="00616069" w:rsidRDefault="002D4720" w:rsidP="002D4720">
                          <w:pPr>
                            <w:spacing w:line="276" w:lineRule="auto"/>
                            <w:jc w:val="right"/>
                            <w:rPr>
                              <w:rFonts w:ascii="Calibri" w:hAnsi="Calibri" w:cs="Calibri"/>
                              <w:b/>
                              <w:color w:val="13576B"/>
                              <w:sz w:val="20"/>
                              <w:szCs w:val="22"/>
                            </w:rPr>
                          </w:pPr>
                          <w:r w:rsidRPr="00616069">
                            <w:rPr>
                              <w:rFonts w:ascii="Calibri" w:hAnsi="Calibri" w:cs="Calibri"/>
                              <w:b/>
                              <w:color w:val="13576B"/>
                              <w:sz w:val="20"/>
                              <w:szCs w:val="22"/>
                            </w:rPr>
                            <w:t>KOMENTÁŘ</w:t>
                          </w:r>
                        </w:p>
                        <w:p w14:paraId="0A69756F" w14:textId="69B4F4F6" w:rsidR="002D4720" w:rsidRPr="00616069" w:rsidRDefault="007F41A0" w:rsidP="002138C0">
                          <w:pPr>
                            <w:spacing w:line="276" w:lineRule="auto"/>
                            <w:jc w:val="right"/>
                            <w:rPr>
                              <w:rFonts w:ascii="Calibri" w:hAnsi="Calibri" w:cs="Calibri"/>
                              <w:b/>
                              <w:color w:val="13576B"/>
                              <w:sz w:val="20"/>
                              <w:szCs w:val="22"/>
                            </w:rPr>
                          </w:pPr>
                          <w:r w:rsidRPr="00616069">
                            <w:rPr>
                              <w:rFonts w:ascii="Calibri" w:hAnsi="Calibri" w:cs="Calibri"/>
                              <w:color w:val="13576B"/>
                              <w:sz w:val="20"/>
                              <w:szCs w:val="22"/>
                            </w:rPr>
                            <w:t xml:space="preserve">            </w:t>
                          </w:r>
                          <w:r w:rsidR="00095055">
                            <w:rPr>
                              <w:rFonts w:ascii="Calibri" w:hAnsi="Calibri" w:cs="Calibri"/>
                              <w:color w:val="13576B"/>
                              <w:sz w:val="20"/>
                              <w:szCs w:val="22"/>
                            </w:rPr>
                            <w:t>16</w:t>
                          </w:r>
                          <w:r w:rsidR="00105BE4">
                            <w:rPr>
                              <w:rFonts w:ascii="Calibri" w:hAnsi="Calibri" w:cs="Calibri"/>
                              <w:color w:val="13576B"/>
                              <w:sz w:val="20"/>
                              <w:szCs w:val="22"/>
                            </w:rPr>
                            <w:t>.</w:t>
                          </w:r>
                          <w:r w:rsidR="004D6F30">
                            <w:rPr>
                              <w:rFonts w:ascii="Calibri" w:hAnsi="Calibri" w:cs="Calibri"/>
                              <w:color w:val="13576B"/>
                              <w:sz w:val="20"/>
                              <w:szCs w:val="22"/>
                            </w:rPr>
                            <w:t>2</w:t>
                          </w:r>
                          <w:r w:rsidR="002D4720" w:rsidRPr="00616069">
                            <w:rPr>
                              <w:rFonts w:ascii="Calibri" w:hAnsi="Calibri" w:cs="Calibri"/>
                              <w:color w:val="13576B"/>
                              <w:sz w:val="20"/>
                              <w:szCs w:val="22"/>
                            </w:rPr>
                            <w:t>.202</w:t>
                          </w:r>
                          <w:r w:rsidR="00095055">
                            <w:rPr>
                              <w:rFonts w:ascii="Calibri" w:hAnsi="Calibri" w:cs="Calibri"/>
                              <w:color w:val="13576B"/>
                              <w:sz w:val="20"/>
                              <w:szCs w:val="22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26DE097" id="_x0000_s1028" type="#_x0000_t202" style="position:absolute;left:0;text-align:left;margin-left:412.45pt;margin-top:12.05pt;width:97.6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" filled="f" stroked="f">
              <v:textbox style="mso-fit-shape-to-text:t">
                <w:txbxContent>
                  <w:p w14:paraId="15DE40D2" w14:textId="77777777" w:rsidR="002D4720" w:rsidRPr="00616069" w:rsidRDefault="002D4720" w:rsidP="002D4720">
                    <w:pPr>
                      <w:spacing w:line="276" w:lineRule="auto"/>
                      <w:jc w:val="right"/>
                      <w:rPr>
                        <w:rFonts w:ascii="Calibri" w:hAnsi="Calibri" w:cs="Calibri"/>
                        <w:b/>
                        <w:color w:val="13576B"/>
                        <w:sz w:val="20"/>
                        <w:szCs w:val="22"/>
                      </w:rPr>
                    </w:pPr>
                    <w:r w:rsidRPr="00616069">
                      <w:rPr>
                        <w:rFonts w:ascii="Calibri" w:hAnsi="Calibri" w:cs="Calibri"/>
                        <w:b/>
                        <w:color w:val="13576B"/>
                        <w:sz w:val="20"/>
                        <w:szCs w:val="22"/>
                      </w:rPr>
                      <w:t>KOMENTÁŘ</w:t>
                    </w:r>
                  </w:p>
                  <w:p w14:paraId="0A69756F" w14:textId="69B4F4F6" w:rsidR="002D4720" w:rsidRPr="00616069" w:rsidRDefault="007F41A0" w:rsidP="002138C0">
                    <w:pPr>
                      <w:spacing w:line="276" w:lineRule="auto"/>
                      <w:jc w:val="right"/>
                      <w:rPr>
                        <w:rFonts w:ascii="Calibri" w:hAnsi="Calibri" w:cs="Calibri"/>
                        <w:b/>
                        <w:color w:val="13576B"/>
                        <w:sz w:val="20"/>
                        <w:szCs w:val="22"/>
                      </w:rPr>
                    </w:pPr>
                    <w:r w:rsidRPr="00616069">
                      <w:rPr>
                        <w:rFonts w:ascii="Calibri" w:hAnsi="Calibri" w:cs="Calibri"/>
                        <w:color w:val="13576B"/>
                        <w:sz w:val="20"/>
                        <w:szCs w:val="22"/>
                      </w:rPr>
                      <w:t xml:space="preserve">            </w:t>
                    </w:r>
                    <w:r w:rsidR="00095055">
                      <w:rPr>
                        <w:rFonts w:ascii="Calibri" w:hAnsi="Calibri" w:cs="Calibri"/>
                        <w:color w:val="13576B"/>
                        <w:sz w:val="20"/>
                        <w:szCs w:val="22"/>
                      </w:rPr>
                      <w:t>16</w:t>
                    </w:r>
                    <w:r w:rsidR="00105BE4">
                      <w:rPr>
                        <w:rFonts w:ascii="Calibri" w:hAnsi="Calibri" w:cs="Calibri"/>
                        <w:color w:val="13576B"/>
                        <w:sz w:val="20"/>
                        <w:szCs w:val="22"/>
                      </w:rPr>
                      <w:t>.</w:t>
                    </w:r>
                    <w:r w:rsidR="004D6F30">
                      <w:rPr>
                        <w:rFonts w:ascii="Calibri" w:hAnsi="Calibri" w:cs="Calibri"/>
                        <w:color w:val="13576B"/>
                        <w:sz w:val="20"/>
                        <w:szCs w:val="22"/>
                      </w:rPr>
                      <w:t>2</w:t>
                    </w:r>
                    <w:r w:rsidR="002D4720" w:rsidRPr="00616069">
                      <w:rPr>
                        <w:rFonts w:ascii="Calibri" w:hAnsi="Calibri" w:cs="Calibri"/>
                        <w:color w:val="13576B"/>
                        <w:sz w:val="20"/>
                        <w:szCs w:val="22"/>
                      </w:rPr>
                      <w:t>.202</w:t>
                    </w:r>
                    <w:r w:rsidR="00095055">
                      <w:rPr>
                        <w:rFonts w:ascii="Calibri" w:hAnsi="Calibri" w:cs="Calibri"/>
                        <w:color w:val="13576B"/>
                        <w:sz w:val="20"/>
                        <w:szCs w:val="22"/>
                      </w:rPr>
                      <w:t>6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669A1"/>
    <w:multiLevelType w:val="hybridMultilevel"/>
    <w:tmpl w:val="28EA1BD4"/>
    <w:lvl w:ilvl="0" w:tplc="F8600A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954B5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2304C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CA221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31CD5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83A2E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A1254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47E40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8E09F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13A48A1"/>
    <w:multiLevelType w:val="hybridMultilevel"/>
    <w:tmpl w:val="6E121294"/>
    <w:lvl w:ilvl="0" w:tplc="BEC0709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5843AD"/>
    <w:multiLevelType w:val="hybridMultilevel"/>
    <w:tmpl w:val="EB828C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615A72"/>
    <w:multiLevelType w:val="hybridMultilevel"/>
    <w:tmpl w:val="4222A8D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7B1D76"/>
    <w:multiLevelType w:val="hybridMultilevel"/>
    <w:tmpl w:val="6D52776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72C3C"/>
    <w:multiLevelType w:val="hybridMultilevel"/>
    <w:tmpl w:val="163C6E86"/>
    <w:lvl w:ilvl="0" w:tplc="040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6" w15:restartNumberingAfterBreak="0">
    <w:nsid w:val="1206309C"/>
    <w:multiLevelType w:val="hybridMultilevel"/>
    <w:tmpl w:val="855E01C6"/>
    <w:lvl w:ilvl="0" w:tplc="9F3AF1EC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B92919"/>
    <w:multiLevelType w:val="hybridMultilevel"/>
    <w:tmpl w:val="2B56FAFE"/>
    <w:lvl w:ilvl="0" w:tplc="6988173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0A4083"/>
    <w:multiLevelType w:val="hybridMultilevel"/>
    <w:tmpl w:val="3C58468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E42FC1"/>
    <w:multiLevelType w:val="hybridMultilevel"/>
    <w:tmpl w:val="C296AEE6"/>
    <w:lvl w:ilvl="0" w:tplc="B25606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0FA4577"/>
    <w:multiLevelType w:val="hybridMultilevel"/>
    <w:tmpl w:val="553EAC9E"/>
    <w:lvl w:ilvl="0" w:tplc="8B20C2B0">
      <w:start w:val="3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3343A30"/>
    <w:multiLevelType w:val="hybridMultilevel"/>
    <w:tmpl w:val="26BEA028"/>
    <w:lvl w:ilvl="0" w:tplc="886E46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24078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B82BD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94E0B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282AF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D02FB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1CE20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8245F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3A85D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2ABB14DD"/>
    <w:multiLevelType w:val="hybridMultilevel"/>
    <w:tmpl w:val="17628C18"/>
    <w:lvl w:ilvl="0" w:tplc="E50CA2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9C6437B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CCB6EF00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89EEF10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42ECDBEA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A6A64DA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785E48AA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15F0E15A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D38AD36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13" w15:restartNumberingAfterBreak="0">
    <w:nsid w:val="2C5A2A51"/>
    <w:multiLevelType w:val="hybridMultilevel"/>
    <w:tmpl w:val="633C88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647CE5"/>
    <w:multiLevelType w:val="hybridMultilevel"/>
    <w:tmpl w:val="F91C69CC"/>
    <w:lvl w:ilvl="0" w:tplc="AA8891D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5B2B28"/>
    <w:multiLevelType w:val="hybridMultilevel"/>
    <w:tmpl w:val="A77CBF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170A7D"/>
    <w:multiLevelType w:val="hybridMultilevel"/>
    <w:tmpl w:val="E76A65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1A024A"/>
    <w:multiLevelType w:val="hybridMultilevel"/>
    <w:tmpl w:val="123AA014"/>
    <w:lvl w:ilvl="0" w:tplc="A1E66C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3A39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D120F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F847E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AC0A5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8F887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B8863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A545B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FFEB4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4D8A7633"/>
    <w:multiLevelType w:val="hybridMultilevel"/>
    <w:tmpl w:val="A68019BE"/>
    <w:lvl w:ilvl="0" w:tplc="D6BA4E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B7C91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F5E82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E66A9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92238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C7666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DCED4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DB482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BF0AF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509105EB"/>
    <w:multiLevelType w:val="hybridMultilevel"/>
    <w:tmpl w:val="25882682"/>
    <w:lvl w:ilvl="0" w:tplc="E586E02A">
      <w:start w:val="1"/>
      <w:numFmt w:val="decimal"/>
      <w:lvlText w:val="%1."/>
      <w:lvlJc w:val="left"/>
      <w:pPr>
        <w:ind w:left="410" w:hanging="360"/>
      </w:pPr>
    </w:lvl>
    <w:lvl w:ilvl="1" w:tplc="08090019">
      <w:start w:val="1"/>
      <w:numFmt w:val="lowerLetter"/>
      <w:lvlText w:val="%2."/>
      <w:lvlJc w:val="left"/>
      <w:pPr>
        <w:ind w:left="1130" w:hanging="360"/>
      </w:pPr>
    </w:lvl>
    <w:lvl w:ilvl="2" w:tplc="0809001B">
      <w:start w:val="1"/>
      <w:numFmt w:val="lowerRoman"/>
      <w:lvlText w:val="%3."/>
      <w:lvlJc w:val="right"/>
      <w:pPr>
        <w:ind w:left="1850" w:hanging="180"/>
      </w:pPr>
    </w:lvl>
    <w:lvl w:ilvl="3" w:tplc="0809000F">
      <w:start w:val="1"/>
      <w:numFmt w:val="decimal"/>
      <w:lvlText w:val="%4."/>
      <w:lvlJc w:val="left"/>
      <w:pPr>
        <w:ind w:left="2570" w:hanging="360"/>
      </w:pPr>
    </w:lvl>
    <w:lvl w:ilvl="4" w:tplc="08090019">
      <w:start w:val="1"/>
      <w:numFmt w:val="lowerLetter"/>
      <w:lvlText w:val="%5."/>
      <w:lvlJc w:val="left"/>
      <w:pPr>
        <w:ind w:left="3290" w:hanging="360"/>
      </w:pPr>
    </w:lvl>
    <w:lvl w:ilvl="5" w:tplc="0809001B">
      <w:start w:val="1"/>
      <w:numFmt w:val="lowerRoman"/>
      <w:lvlText w:val="%6."/>
      <w:lvlJc w:val="right"/>
      <w:pPr>
        <w:ind w:left="4010" w:hanging="180"/>
      </w:pPr>
    </w:lvl>
    <w:lvl w:ilvl="6" w:tplc="0809000F">
      <w:start w:val="1"/>
      <w:numFmt w:val="decimal"/>
      <w:lvlText w:val="%7."/>
      <w:lvlJc w:val="left"/>
      <w:pPr>
        <w:ind w:left="4730" w:hanging="360"/>
      </w:pPr>
    </w:lvl>
    <w:lvl w:ilvl="7" w:tplc="08090019">
      <w:start w:val="1"/>
      <w:numFmt w:val="lowerLetter"/>
      <w:lvlText w:val="%8."/>
      <w:lvlJc w:val="left"/>
      <w:pPr>
        <w:ind w:left="5450" w:hanging="360"/>
      </w:pPr>
    </w:lvl>
    <w:lvl w:ilvl="8" w:tplc="0809001B">
      <w:start w:val="1"/>
      <w:numFmt w:val="lowerRoman"/>
      <w:lvlText w:val="%9."/>
      <w:lvlJc w:val="right"/>
      <w:pPr>
        <w:ind w:left="6170" w:hanging="180"/>
      </w:pPr>
    </w:lvl>
  </w:abstractNum>
  <w:abstractNum w:abstractNumId="20" w15:restartNumberingAfterBreak="0">
    <w:nsid w:val="606843DC"/>
    <w:multiLevelType w:val="hybridMultilevel"/>
    <w:tmpl w:val="3E42DD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E1214D"/>
    <w:multiLevelType w:val="hybridMultilevel"/>
    <w:tmpl w:val="9F34024E"/>
    <w:lvl w:ilvl="0" w:tplc="ADB0AA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4B290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F848D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77AB6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08623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81EBA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29A9B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1AC96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88235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67613CD2"/>
    <w:multiLevelType w:val="hybridMultilevel"/>
    <w:tmpl w:val="0CF0BB3A"/>
    <w:lvl w:ilvl="0" w:tplc="150827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166CD3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590C27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AEABB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43CC31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620587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1AE11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3FCFD3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21EA8F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765577F"/>
    <w:multiLevelType w:val="hybridMultilevel"/>
    <w:tmpl w:val="BBB23B48"/>
    <w:lvl w:ilvl="0" w:tplc="AC68AD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55AC0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6873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92084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46B4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2EA0F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D860D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A8628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674DC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68FD055A"/>
    <w:multiLevelType w:val="hybridMultilevel"/>
    <w:tmpl w:val="F490C338"/>
    <w:lvl w:ilvl="0" w:tplc="040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5" w15:restartNumberingAfterBreak="0">
    <w:nsid w:val="6EA509EA"/>
    <w:multiLevelType w:val="hybridMultilevel"/>
    <w:tmpl w:val="14E0161E"/>
    <w:lvl w:ilvl="0" w:tplc="9F3AF1EC">
      <w:numFmt w:val="bullet"/>
      <w:lvlText w:val="-"/>
      <w:lvlJc w:val="left"/>
      <w:pPr>
        <w:ind w:left="360" w:hanging="360"/>
      </w:pPr>
      <w:rPr>
        <w:rFonts w:ascii="Calibri Light" w:eastAsia="Times New Roman" w:hAnsi="Calibri Light" w:cs="Calibri Light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F137D7D"/>
    <w:multiLevelType w:val="hybridMultilevel"/>
    <w:tmpl w:val="F856C146"/>
    <w:lvl w:ilvl="0" w:tplc="F37A31CE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0DE4F03"/>
    <w:multiLevelType w:val="hybridMultilevel"/>
    <w:tmpl w:val="D458DCC2"/>
    <w:lvl w:ilvl="0" w:tplc="ABAA372A">
      <w:start w:val="3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5767A3"/>
    <w:multiLevelType w:val="hybridMultilevel"/>
    <w:tmpl w:val="50648AEA"/>
    <w:lvl w:ilvl="0" w:tplc="A25066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35E90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14C93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1BC9A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DC8C3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32496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FFACD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2AE4B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FF2D8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 w15:restartNumberingAfterBreak="0">
    <w:nsid w:val="79FB636A"/>
    <w:multiLevelType w:val="hybridMultilevel"/>
    <w:tmpl w:val="4454BAA0"/>
    <w:lvl w:ilvl="0" w:tplc="3A1A42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692F1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2446C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E4AC4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6124D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42272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5648C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126DD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C16C1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0" w15:restartNumberingAfterBreak="0">
    <w:nsid w:val="7C2B4724"/>
    <w:multiLevelType w:val="hybridMultilevel"/>
    <w:tmpl w:val="A274A7E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65382314">
    <w:abstractNumId w:val="3"/>
  </w:num>
  <w:num w:numId="2" w16cid:durableId="1910113698">
    <w:abstractNumId w:val="9"/>
  </w:num>
  <w:num w:numId="3" w16cid:durableId="405613309">
    <w:abstractNumId w:val="26"/>
  </w:num>
  <w:num w:numId="4" w16cid:durableId="240213499">
    <w:abstractNumId w:val="15"/>
  </w:num>
  <w:num w:numId="5" w16cid:durableId="740492638">
    <w:abstractNumId w:val="5"/>
  </w:num>
  <w:num w:numId="6" w16cid:durableId="211576891">
    <w:abstractNumId w:val="24"/>
  </w:num>
  <w:num w:numId="7" w16cid:durableId="1918248069">
    <w:abstractNumId w:val="7"/>
  </w:num>
  <w:num w:numId="8" w16cid:durableId="1159419045">
    <w:abstractNumId w:val="29"/>
  </w:num>
  <w:num w:numId="9" w16cid:durableId="1798374138">
    <w:abstractNumId w:val="6"/>
  </w:num>
  <w:num w:numId="10" w16cid:durableId="1530677457">
    <w:abstractNumId w:val="25"/>
  </w:num>
  <w:num w:numId="11" w16cid:durableId="984315201">
    <w:abstractNumId w:val="2"/>
  </w:num>
  <w:num w:numId="12" w16cid:durableId="77621982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1551030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569389165">
    <w:abstractNumId w:val="16"/>
  </w:num>
  <w:num w:numId="15" w16cid:durableId="1323195451">
    <w:abstractNumId w:val="13"/>
  </w:num>
  <w:num w:numId="16" w16cid:durableId="467165265">
    <w:abstractNumId w:val="10"/>
  </w:num>
  <w:num w:numId="17" w16cid:durableId="676033370">
    <w:abstractNumId w:val="12"/>
  </w:num>
  <w:num w:numId="18" w16cid:durableId="1742554342">
    <w:abstractNumId w:val="18"/>
  </w:num>
  <w:num w:numId="19" w16cid:durableId="613287013">
    <w:abstractNumId w:val="21"/>
  </w:num>
  <w:num w:numId="20" w16cid:durableId="8067070">
    <w:abstractNumId w:val="11"/>
  </w:num>
  <w:num w:numId="21" w16cid:durableId="825434180">
    <w:abstractNumId w:val="0"/>
  </w:num>
  <w:num w:numId="22" w16cid:durableId="1082681076">
    <w:abstractNumId w:val="23"/>
  </w:num>
  <w:num w:numId="23" w16cid:durableId="1901165520">
    <w:abstractNumId w:val="28"/>
  </w:num>
  <w:num w:numId="24" w16cid:durableId="1991010767">
    <w:abstractNumId w:val="22"/>
  </w:num>
  <w:num w:numId="25" w16cid:durableId="1542282676">
    <w:abstractNumId w:val="17"/>
  </w:num>
  <w:num w:numId="26" w16cid:durableId="986973659">
    <w:abstractNumId w:val="14"/>
  </w:num>
  <w:num w:numId="27" w16cid:durableId="815336034">
    <w:abstractNumId w:val="27"/>
  </w:num>
  <w:num w:numId="28" w16cid:durableId="1895651473">
    <w:abstractNumId w:val="8"/>
  </w:num>
  <w:num w:numId="29" w16cid:durableId="1858687908">
    <w:abstractNumId w:val="4"/>
  </w:num>
  <w:num w:numId="30" w16cid:durableId="1758164458">
    <w:abstractNumId w:val="20"/>
  </w:num>
  <w:num w:numId="31" w16cid:durableId="14255411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1943"/>
    <w:rsid w:val="00000954"/>
    <w:rsid w:val="00001C42"/>
    <w:rsid w:val="00001E72"/>
    <w:rsid w:val="0000226C"/>
    <w:rsid w:val="0000363D"/>
    <w:rsid w:val="00004596"/>
    <w:rsid w:val="00004B72"/>
    <w:rsid w:val="00005419"/>
    <w:rsid w:val="000054D2"/>
    <w:rsid w:val="00005B3F"/>
    <w:rsid w:val="00005DB1"/>
    <w:rsid w:val="00006511"/>
    <w:rsid w:val="00006C79"/>
    <w:rsid w:val="000070E2"/>
    <w:rsid w:val="00010564"/>
    <w:rsid w:val="000118C2"/>
    <w:rsid w:val="00011AF5"/>
    <w:rsid w:val="0001227F"/>
    <w:rsid w:val="00012832"/>
    <w:rsid w:val="00015933"/>
    <w:rsid w:val="000159E5"/>
    <w:rsid w:val="0001656C"/>
    <w:rsid w:val="000175B3"/>
    <w:rsid w:val="000176E6"/>
    <w:rsid w:val="000202BA"/>
    <w:rsid w:val="00020581"/>
    <w:rsid w:val="00020ED0"/>
    <w:rsid w:val="00020FE5"/>
    <w:rsid w:val="000213CC"/>
    <w:rsid w:val="000221E0"/>
    <w:rsid w:val="00023E9F"/>
    <w:rsid w:val="00024480"/>
    <w:rsid w:val="0002473E"/>
    <w:rsid w:val="00025805"/>
    <w:rsid w:val="000264B4"/>
    <w:rsid w:val="000265A3"/>
    <w:rsid w:val="00027099"/>
    <w:rsid w:val="00027B22"/>
    <w:rsid w:val="00027BAD"/>
    <w:rsid w:val="00031418"/>
    <w:rsid w:val="00031478"/>
    <w:rsid w:val="00035040"/>
    <w:rsid w:val="00036FAB"/>
    <w:rsid w:val="00037707"/>
    <w:rsid w:val="00037C17"/>
    <w:rsid w:val="00040FA4"/>
    <w:rsid w:val="00041985"/>
    <w:rsid w:val="000427B8"/>
    <w:rsid w:val="00043889"/>
    <w:rsid w:val="00043DB1"/>
    <w:rsid w:val="00044002"/>
    <w:rsid w:val="000444EA"/>
    <w:rsid w:val="000458CD"/>
    <w:rsid w:val="0004612A"/>
    <w:rsid w:val="00047DF1"/>
    <w:rsid w:val="000509DD"/>
    <w:rsid w:val="00050AF7"/>
    <w:rsid w:val="00051022"/>
    <w:rsid w:val="00051A5B"/>
    <w:rsid w:val="00052C6A"/>
    <w:rsid w:val="00053780"/>
    <w:rsid w:val="00053EE4"/>
    <w:rsid w:val="00055000"/>
    <w:rsid w:val="000559DE"/>
    <w:rsid w:val="00055CBC"/>
    <w:rsid w:val="000563EB"/>
    <w:rsid w:val="00056A4F"/>
    <w:rsid w:val="00057396"/>
    <w:rsid w:val="000606C6"/>
    <w:rsid w:val="00060D7F"/>
    <w:rsid w:val="00063DEB"/>
    <w:rsid w:val="00066F52"/>
    <w:rsid w:val="0006711A"/>
    <w:rsid w:val="00072447"/>
    <w:rsid w:val="00072DB9"/>
    <w:rsid w:val="000733AD"/>
    <w:rsid w:val="0007445A"/>
    <w:rsid w:val="00074C45"/>
    <w:rsid w:val="000752D6"/>
    <w:rsid w:val="00075932"/>
    <w:rsid w:val="0007638A"/>
    <w:rsid w:val="00076C37"/>
    <w:rsid w:val="000770D8"/>
    <w:rsid w:val="00080102"/>
    <w:rsid w:val="00081E35"/>
    <w:rsid w:val="00083D1A"/>
    <w:rsid w:val="000841C2"/>
    <w:rsid w:val="000842AE"/>
    <w:rsid w:val="00084CF9"/>
    <w:rsid w:val="00086094"/>
    <w:rsid w:val="00086BE0"/>
    <w:rsid w:val="0008743D"/>
    <w:rsid w:val="000900C9"/>
    <w:rsid w:val="0009101B"/>
    <w:rsid w:val="00091B3B"/>
    <w:rsid w:val="00093324"/>
    <w:rsid w:val="0009491E"/>
    <w:rsid w:val="00095055"/>
    <w:rsid w:val="0009562F"/>
    <w:rsid w:val="00097293"/>
    <w:rsid w:val="000976B9"/>
    <w:rsid w:val="00097716"/>
    <w:rsid w:val="00097B42"/>
    <w:rsid w:val="000A019A"/>
    <w:rsid w:val="000A0285"/>
    <w:rsid w:val="000A0ECE"/>
    <w:rsid w:val="000A16EA"/>
    <w:rsid w:val="000A2779"/>
    <w:rsid w:val="000A29DE"/>
    <w:rsid w:val="000A2C3B"/>
    <w:rsid w:val="000A3ECF"/>
    <w:rsid w:val="000A4D59"/>
    <w:rsid w:val="000A5220"/>
    <w:rsid w:val="000A549A"/>
    <w:rsid w:val="000A6481"/>
    <w:rsid w:val="000A664C"/>
    <w:rsid w:val="000B064D"/>
    <w:rsid w:val="000B083D"/>
    <w:rsid w:val="000B0992"/>
    <w:rsid w:val="000B2005"/>
    <w:rsid w:val="000B32E2"/>
    <w:rsid w:val="000B3BFA"/>
    <w:rsid w:val="000B4C8F"/>
    <w:rsid w:val="000B510F"/>
    <w:rsid w:val="000B51A4"/>
    <w:rsid w:val="000B70C8"/>
    <w:rsid w:val="000B79A4"/>
    <w:rsid w:val="000C045B"/>
    <w:rsid w:val="000C11CC"/>
    <w:rsid w:val="000C12D3"/>
    <w:rsid w:val="000C12F1"/>
    <w:rsid w:val="000C1E4E"/>
    <w:rsid w:val="000C234E"/>
    <w:rsid w:val="000C3211"/>
    <w:rsid w:val="000C4910"/>
    <w:rsid w:val="000C502F"/>
    <w:rsid w:val="000C5651"/>
    <w:rsid w:val="000C6349"/>
    <w:rsid w:val="000C6834"/>
    <w:rsid w:val="000C78A3"/>
    <w:rsid w:val="000D011A"/>
    <w:rsid w:val="000D02A4"/>
    <w:rsid w:val="000D0E54"/>
    <w:rsid w:val="000D1749"/>
    <w:rsid w:val="000D1D61"/>
    <w:rsid w:val="000D32BB"/>
    <w:rsid w:val="000D49D0"/>
    <w:rsid w:val="000D4F26"/>
    <w:rsid w:val="000D56F1"/>
    <w:rsid w:val="000D5D2B"/>
    <w:rsid w:val="000D684D"/>
    <w:rsid w:val="000D6EF9"/>
    <w:rsid w:val="000E087A"/>
    <w:rsid w:val="000E0B50"/>
    <w:rsid w:val="000E0C43"/>
    <w:rsid w:val="000E1975"/>
    <w:rsid w:val="000E2B4E"/>
    <w:rsid w:val="000E2FCE"/>
    <w:rsid w:val="000E3B1C"/>
    <w:rsid w:val="000E42A4"/>
    <w:rsid w:val="000E4810"/>
    <w:rsid w:val="000E4ABC"/>
    <w:rsid w:val="000E563F"/>
    <w:rsid w:val="000E59CE"/>
    <w:rsid w:val="000E5F43"/>
    <w:rsid w:val="000E7D75"/>
    <w:rsid w:val="000F02C1"/>
    <w:rsid w:val="000F02FD"/>
    <w:rsid w:val="000F0342"/>
    <w:rsid w:val="000F0636"/>
    <w:rsid w:val="000F0A03"/>
    <w:rsid w:val="000F0B04"/>
    <w:rsid w:val="000F30E9"/>
    <w:rsid w:val="000F3195"/>
    <w:rsid w:val="000F426C"/>
    <w:rsid w:val="000F4318"/>
    <w:rsid w:val="000F617D"/>
    <w:rsid w:val="000F61F5"/>
    <w:rsid w:val="000F680C"/>
    <w:rsid w:val="000F70CA"/>
    <w:rsid w:val="00100269"/>
    <w:rsid w:val="001002CD"/>
    <w:rsid w:val="00100394"/>
    <w:rsid w:val="0010159F"/>
    <w:rsid w:val="00102262"/>
    <w:rsid w:val="0010268F"/>
    <w:rsid w:val="0010277A"/>
    <w:rsid w:val="00102D9A"/>
    <w:rsid w:val="00103662"/>
    <w:rsid w:val="0010371D"/>
    <w:rsid w:val="00105514"/>
    <w:rsid w:val="00105918"/>
    <w:rsid w:val="00105ACC"/>
    <w:rsid w:val="00105BE4"/>
    <w:rsid w:val="00105DB5"/>
    <w:rsid w:val="00106451"/>
    <w:rsid w:val="00106D78"/>
    <w:rsid w:val="00106F70"/>
    <w:rsid w:val="00107915"/>
    <w:rsid w:val="001102C6"/>
    <w:rsid w:val="001104C5"/>
    <w:rsid w:val="001106DD"/>
    <w:rsid w:val="00110C31"/>
    <w:rsid w:val="00110E3B"/>
    <w:rsid w:val="0011113B"/>
    <w:rsid w:val="001126B2"/>
    <w:rsid w:val="00112AA1"/>
    <w:rsid w:val="00112C5A"/>
    <w:rsid w:val="00112D3E"/>
    <w:rsid w:val="00112E70"/>
    <w:rsid w:val="0011443F"/>
    <w:rsid w:val="0011553C"/>
    <w:rsid w:val="00115D53"/>
    <w:rsid w:val="00115DDC"/>
    <w:rsid w:val="00116003"/>
    <w:rsid w:val="00116F4B"/>
    <w:rsid w:val="001177C9"/>
    <w:rsid w:val="00117860"/>
    <w:rsid w:val="001209DC"/>
    <w:rsid w:val="00120FB7"/>
    <w:rsid w:val="001226BC"/>
    <w:rsid w:val="00122810"/>
    <w:rsid w:val="00122CC4"/>
    <w:rsid w:val="0012351B"/>
    <w:rsid w:val="00123FF9"/>
    <w:rsid w:val="00124EF9"/>
    <w:rsid w:val="001253CC"/>
    <w:rsid w:val="001259D2"/>
    <w:rsid w:val="00126A7F"/>
    <w:rsid w:val="001271C2"/>
    <w:rsid w:val="00130063"/>
    <w:rsid w:val="00130359"/>
    <w:rsid w:val="001306A2"/>
    <w:rsid w:val="00131D36"/>
    <w:rsid w:val="00131E94"/>
    <w:rsid w:val="00132EE9"/>
    <w:rsid w:val="0013407D"/>
    <w:rsid w:val="001348D9"/>
    <w:rsid w:val="00134A41"/>
    <w:rsid w:val="00134F6E"/>
    <w:rsid w:val="001361CA"/>
    <w:rsid w:val="00136519"/>
    <w:rsid w:val="0013679D"/>
    <w:rsid w:val="00136825"/>
    <w:rsid w:val="00136D3A"/>
    <w:rsid w:val="00136EC9"/>
    <w:rsid w:val="00136FC5"/>
    <w:rsid w:val="00136FC7"/>
    <w:rsid w:val="00137050"/>
    <w:rsid w:val="0013716D"/>
    <w:rsid w:val="00137560"/>
    <w:rsid w:val="00140854"/>
    <w:rsid w:val="00140E10"/>
    <w:rsid w:val="001438F4"/>
    <w:rsid w:val="00143BF5"/>
    <w:rsid w:val="00143DCC"/>
    <w:rsid w:val="00144794"/>
    <w:rsid w:val="00144D53"/>
    <w:rsid w:val="00144D9A"/>
    <w:rsid w:val="00145506"/>
    <w:rsid w:val="001457AA"/>
    <w:rsid w:val="00145E7A"/>
    <w:rsid w:val="00146F46"/>
    <w:rsid w:val="0015125A"/>
    <w:rsid w:val="00151A74"/>
    <w:rsid w:val="001526EE"/>
    <w:rsid w:val="0015278B"/>
    <w:rsid w:val="0015295E"/>
    <w:rsid w:val="00152A73"/>
    <w:rsid w:val="001534F6"/>
    <w:rsid w:val="00153692"/>
    <w:rsid w:val="00154B70"/>
    <w:rsid w:val="00154EE2"/>
    <w:rsid w:val="001553F8"/>
    <w:rsid w:val="00155A3F"/>
    <w:rsid w:val="00157080"/>
    <w:rsid w:val="001570E1"/>
    <w:rsid w:val="00157C6A"/>
    <w:rsid w:val="001605B3"/>
    <w:rsid w:val="001622C2"/>
    <w:rsid w:val="00162D23"/>
    <w:rsid w:val="001633ED"/>
    <w:rsid w:val="00163F5F"/>
    <w:rsid w:val="00165DDC"/>
    <w:rsid w:val="0016769F"/>
    <w:rsid w:val="00170298"/>
    <w:rsid w:val="00170CF6"/>
    <w:rsid w:val="001715A2"/>
    <w:rsid w:val="0017388B"/>
    <w:rsid w:val="00173D31"/>
    <w:rsid w:val="0017441E"/>
    <w:rsid w:val="0017486D"/>
    <w:rsid w:val="00175839"/>
    <w:rsid w:val="00175A85"/>
    <w:rsid w:val="00175E6C"/>
    <w:rsid w:val="00175FBC"/>
    <w:rsid w:val="00176669"/>
    <w:rsid w:val="001766FF"/>
    <w:rsid w:val="00176C20"/>
    <w:rsid w:val="00176DFC"/>
    <w:rsid w:val="00177598"/>
    <w:rsid w:val="00180856"/>
    <w:rsid w:val="001808FE"/>
    <w:rsid w:val="0018097B"/>
    <w:rsid w:val="00180A13"/>
    <w:rsid w:val="00182C97"/>
    <w:rsid w:val="00183066"/>
    <w:rsid w:val="001833C7"/>
    <w:rsid w:val="00183FB4"/>
    <w:rsid w:val="00184412"/>
    <w:rsid w:val="00186A72"/>
    <w:rsid w:val="001903B2"/>
    <w:rsid w:val="001906F3"/>
    <w:rsid w:val="00192933"/>
    <w:rsid w:val="001929FC"/>
    <w:rsid w:val="00195C6D"/>
    <w:rsid w:val="001961C5"/>
    <w:rsid w:val="00196F95"/>
    <w:rsid w:val="00197315"/>
    <w:rsid w:val="0019772B"/>
    <w:rsid w:val="001A05A9"/>
    <w:rsid w:val="001A2614"/>
    <w:rsid w:val="001A2623"/>
    <w:rsid w:val="001A463E"/>
    <w:rsid w:val="001A46CC"/>
    <w:rsid w:val="001A6304"/>
    <w:rsid w:val="001B1060"/>
    <w:rsid w:val="001B11F1"/>
    <w:rsid w:val="001B1467"/>
    <w:rsid w:val="001B1C5E"/>
    <w:rsid w:val="001B2B23"/>
    <w:rsid w:val="001B2E5E"/>
    <w:rsid w:val="001B3197"/>
    <w:rsid w:val="001B39D3"/>
    <w:rsid w:val="001B4DA8"/>
    <w:rsid w:val="001B59D5"/>
    <w:rsid w:val="001B59D9"/>
    <w:rsid w:val="001B5F14"/>
    <w:rsid w:val="001B6935"/>
    <w:rsid w:val="001B7154"/>
    <w:rsid w:val="001C091C"/>
    <w:rsid w:val="001C121C"/>
    <w:rsid w:val="001C150C"/>
    <w:rsid w:val="001C1FAA"/>
    <w:rsid w:val="001C2261"/>
    <w:rsid w:val="001C266E"/>
    <w:rsid w:val="001C280D"/>
    <w:rsid w:val="001C306A"/>
    <w:rsid w:val="001C49DC"/>
    <w:rsid w:val="001C6945"/>
    <w:rsid w:val="001C698F"/>
    <w:rsid w:val="001C7200"/>
    <w:rsid w:val="001C7CD3"/>
    <w:rsid w:val="001C7F88"/>
    <w:rsid w:val="001D12D6"/>
    <w:rsid w:val="001D169B"/>
    <w:rsid w:val="001D1B1C"/>
    <w:rsid w:val="001D2B76"/>
    <w:rsid w:val="001D2C14"/>
    <w:rsid w:val="001D2ECE"/>
    <w:rsid w:val="001D3292"/>
    <w:rsid w:val="001D39E5"/>
    <w:rsid w:val="001D3C90"/>
    <w:rsid w:val="001D43DB"/>
    <w:rsid w:val="001D474C"/>
    <w:rsid w:val="001D4A3B"/>
    <w:rsid w:val="001D5BB9"/>
    <w:rsid w:val="001D6B1A"/>
    <w:rsid w:val="001D7365"/>
    <w:rsid w:val="001D7DA5"/>
    <w:rsid w:val="001E15FD"/>
    <w:rsid w:val="001E1AED"/>
    <w:rsid w:val="001E27B8"/>
    <w:rsid w:val="001E31AB"/>
    <w:rsid w:val="001E3706"/>
    <w:rsid w:val="001E3B01"/>
    <w:rsid w:val="001E4032"/>
    <w:rsid w:val="001E432A"/>
    <w:rsid w:val="001E4370"/>
    <w:rsid w:val="001E4D27"/>
    <w:rsid w:val="001E5169"/>
    <w:rsid w:val="001E5571"/>
    <w:rsid w:val="001E60C5"/>
    <w:rsid w:val="001E6F5D"/>
    <w:rsid w:val="001E71FE"/>
    <w:rsid w:val="001F0819"/>
    <w:rsid w:val="001F1677"/>
    <w:rsid w:val="001F1C52"/>
    <w:rsid w:val="001F2A1F"/>
    <w:rsid w:val="001F3DF4"/>
    <w:rsid w:val="001F49EA"/>
    <w:rsid w:val="001F5CF7"/>
    <w:rsid w:val="001F64C3"/>
    <w:rsid w:val="001F6A78"/>
    <w:rsid w:val="001F6E8A"/>
    <w:rsid w:val="001F72D8"/>
    <w:rsid w:val="001F7B28"/>
    <w:rsid w:val="002010C8"/>
    <w:rsid w:val="0020111C"/>
    <w:rsid w:val="0020121A"/>
    <w:rsid w:val="00201DDA"/>
    <w:rsid w:val="002027D4"/>
    <w:rsid w:val="0020296D"/>
    <w:rsid w:val="00203021"/>
    <w:rsid w:val="00203302"/>
    <w:rsid w:val="00203A7B"/>
    <w:rsid w:val="00203F87"/>
    <w:rsid w:val="002045A5"/>
    <w:rsid w:val="0020488B"/>
    <w:rsid w:val="00204F09"/>
    <w:rsid w:val="0020667A"/>
    <w:rsid w:val="0020698C"/>
    <w:rsid w:val="00206F7E"/>
    <w:rsid w:val="00207AE7"/>
    <w:rsid w:val="00207BE5"/>
    <w:rsid w:val="00207CB1"/>
    <w:rsid w:val="002105A2"/>
    <w:rsid w:val="00210A9C"/>
    <w:rsid w:val="00211E6F"/>
    <w:rsid w:val="002128AF"/>
    <w:rsid w:val="002137B0"/>
    <w:rsid w:val="002138C0"/>
    <w:rsid w:val="002150BF"/>
    <w:rsid w:val="00215481"/>
    <w:rsid w:val="00216187"/>
    <w:rsid w:val="00216A54"/>
    <w:rsid w:val="00217881"/>
    <w:rsid w:val="0022075B"/>
    <w:rsid w:val="00221F77"/>
    <w:rsid w:val="00221FF5"/>
    <w:rsid w:val="002226C1"/>
    <w:rsid w:val="00222917"/>
    <w:rsid w:val="00222DB9"/>
    <w:rsid w:val="002244BA"/>
    <w:rsid w:val="00224E2B"/>
    <w:rsid w:val="0022581B"/>
    <w:rsid w:val="00225F51"/>
    <w:rsid w:val="0022648E"/>
    <w:rsid w:val="00226AB8"/>
    <w:rsid w:val="00226F32"/>
    <w:rsid w:val="00227ACD"/>
    <w:rsid w:val="00227C82"/>
    <w:rsid w:val="002307C1"/>
    <w:rsid w:val="0023165F"/>
    <w:rsid w:val="00231F3A"/>
    <w:rsid w:val="002328F4"/>
    <w:rsid w:val="0023390F"/>
    <w:rsid w:val="0023393E"/>
    <w:rsid w:val="0023493E"/>
    <w:rsid w:val="00235942"/>
    <w:rsid w:val="00236538"/>
    <w:rsid w:val="0023703D"/>
    <w:rsid w:val="002375B2"/>
    <w:rsid w:val="00237A71"/>
    <w:rsid w:val="00237E0B"/>
    <w:rsid w:val="00242D73"/>
    <w:rsid w:val="002443DF"/>
    <w:rsid w:val="002446E1"/>
    <w:rsid w:val="00244923"/>
    <w:rsid w:val="002472A6"/>
    <w:rsid w:val="00247512"/>
    <w:rsid w:val="00247A4D"/>
    <w:rsid w:val="00250212"/>
    <w:rsid w:val="002507F2"/>
    <w:rsid w:val="00250C73"/>
    <w:rsid w:val="00251163"/>
    <w:rsid w:val="00251393"/>
    <w:rsid w:val="0025241A"/>
    <w:rsid w:val="0025305E"/>
    <w:rsid w:val="00253D09"/>
    <w:rsid w:val="00254CA2"/>
    <w:rsid w:val="002556C2"/>
    <w:rsid w:val="00256268"/>
    <w:rsid w:val="002567A3"/>
    <w:rsid w:val="00260219"/>
    <w:rsid w:val="00260B2C"/>
    <w:rsid w:val="0026106F"/>
    <w:rsid w:val="0026210C"/>
    <w:rsid w:val="0026268C"/>
    <w:rsid w:val="00262B7F"/>
    <w:rsid w:val="00263207"/>
    <w:rsid w:val="00264741"/>
    <w:rsid w:val="00264C92"/>
    <w:rsid w:val="0026639E"/>
    <w:rsid w:val="00266980"/>
    <w:rsid w:val="00266ACC"/>
    <w:rsid w:val="00267ACA"/>
    <w:rsid w:val="002707C5"/>
    <w:rsid w:val="00270A4E"/>
    <w:rsid w:val="00270E60"/>
    <w:rsid w:val="00270F52"/>
    <w:rsid w:val="00271563"/>
    <w:rsid w:val="00271569"/>
    <w:rsid w:val="00272177"/>
    <w:rsid w:val="002725DA"/>
    <w:rsid w:val="00274645"/>
    <w:rsid w:val="00274844"/>
    <w:rsid w:val="002748F6"/>
    <w:rsid w:val="00274D15"/>
    <w:rsid w:val="00275209"/>
    <w:rsid w:val="00277397"/>
    <w:rsid w:val="00277D90"/>
    <w:rsid w:val="0028055F"/>
    <w:rsid w:val="002808DB"/>
    <w:rsid w:val="00280AB4"/>
    <w:rsid w:val="00280D31"/>
    <w:rsid w:val="00280F92"/>
    <w:rsid w:val="002817B5"/>
    <w:rsid w:val="00282BE6"/>
    <w:rsid w:val="00283681"/>
    <w:rsid w:val="00284721"/>
    <w:rsid w:val="0028530F"/>
    <w:rsid w:val="002853A9"/>
    <w:rsid w:val="00285A75"/>
    <w:rsid w:val="00287580"/>
    <w:rsid w:val="00290498"/>
    <w:rsid w:val="0029071C"/>
    <w:rsid w:val="00291656"/>
    <w:rsid w:val="0029179B"/>
    <w:rsid w:val="00291BE8"/>
    <w:rsid w:val="00293122"/>
    <w:rsid w:val="0029502E"/>
    <w:rsid w:val="00296021"/>
    <w:rsid w:val="0029774E"/>
    <w:rsid w:val="00297B85"/>
    <w:rsid w:val="002A0002"/>
    <w:rsid w:val="002A02A1"/>
    <w:rsid w:val="002A04EB"/>
    <w:rsid w:val="002A07F7"/>
    <w:rsid w:val="002A1748"/>
    <w:rsid w:val="002A23FA"/>
    <w:rsid w:val="002A266C"/>
    <w:rsid w:val="002A2CE3"/>
    <w:rsid w:val="002A31A1"/>
    <w:rsid w:val="002A3CF3"/>
    <w:rsid w:val="002A3F7E"/>
    <w:rsid w:val="002A4191"/>
    <w:rsid w:val="002A5D11"/>
    <w:rsid w:val="002A6290"/>
    <w:rsid w:val="002A6A60"/>
    <w:rsid w:val="002B1743"/>
    <w:rsid w:val="002B1996"/>
    <w:rsid w:val="002B35B7"/>
    <w:rsid w:val="002B3AB2"/>
    <w:rsid w:val="002B4617"/>
    <w:rsid w:val="002B4641"/>
    <w:rsid w:val="002B5069"/>
    <w:rsid w:val="002B58A5"/>
    <w:rsid w:val="002B724C"/>
    <w:rsid w:val="002C02A9"/>
    <w:rsid w:val="002C0719"/>
    <w:rsid w:val="002C179D"/>
    <w:rsid w:val="002C18CD"/>
    <w:rsid w:val="002C2C2B"/>
    <w:rsid w:val="002C30D4"/>
    <w:rsid w:val="002C47FE"/>
    <w:rsid w:val="002C513E"/>
    <w:rsid w:val="002C5B51"/>
    <w:rsid w:val="002D1376"/>
    <w:rsid w:val="002D238E"/>
    <w:rsid w:val="002D2A30"/>
    <w:rsid w:val="002D2DC7"/>
    <w:rsid w:val="002D3F94"/>
    <w:rsid w:val="002D4720"/>
    <w:rsid w:val="002D49FB"/>
    <w:rsid w:val="002D4A25"/>
    <w:rsid w:val="002D4DF8"/>
    <w:rsid w:val="002D6038"/>
    <w:rsid w:val="002E0041"/>
    <w:rsid w:val="002E1390"/>
    <w:rsid w:val="002E1AEB"/>
    <w:rsid w:val="002E1DBF"/>
    <w:rsid w:val="002E2498"/>
    <w:rsid w:val="002E3105"/>
    <w:rsid w:val="002E320D"/>
    <w:rsid w:val="002E3E1D"/>
    <w:rsid w:val="002E4CA1"/>
    <w:rsid w:val="002E4EFD"/>
    <w:rsid w:val="002E5E57"/>
    <w:rsid w:val="002E6192"/>
    <w:rsid w:val="002E6312"/>
    <w:rsid w:val="002E6C7C"/>
    <w:rsid w:val="002F0118"/>
    <w:rsid w:val="002F0F08"/>
    <w:rsid w:val="002F1752"/>
    <w:rsid w:val="002F1AFD"/>
    <w:rsid w:val="002F20C7"/>
    <w:rsid w:val="002F2F90"/>
    <w:rsid w:val="002F2FAA"/>
    <w:rsid w:val="002F4373"/>
    <w:rsid w:val="002F43DE"/>
    <w:rsid w:val="002F477C"/>
    <w:rsid w:val="002F4A74"/>
    <w:rsid w:val="002F4CBD"/>
    <w:rsid w:val="002F4CDA"/>
    <w:rsid w:val="002F506A"/>
    <w:rsid w:val="002F52DA"/>
    <w:rsid w:val="002F557F"/>
    <w:rsid w:val="002F58FE"/>
    <w:rsid w:val="002F6432"/>
    <w:rsid w:val="002F6A6D"/>
    <w:rsid w:val="003012B9"/>
    <w:rsid w:val="0030161E"/>
    <w:rsid w:val="00301915"/>
    <w:rsid w:val="003028DC"/>
    <w:rsid w:val="003029D1"/>
    <w:rsid w:val="0030348A"/>
    <w:rsid w:val="00303B0E"/>
    <w:rsid w:val="003045DD"/>
    <w:rsid w:val="00304727"/>
    <w:rsid w:val="0030613B"/>
    <w:rsid w:val="00306844"/>
    <w:rsid w:val="003077DD"/>
    <w:rsid w:val="003111F3"/>
    <w:rsid w:val="003131EC"/>
    <w:rsid w:val="003134AE"/>
    <w:rsid w:val="00313DD8"/>
    <w:rsid w:val="003142AD"/>
    <w:rsid w:val="003143A4"/>
    <w:rsid w:val="00314AB6"/>
    <w:rsid w:val="00314CF6"/>
    <w:rsid w:val="00315F32"/>
    <w:rsid w:val="00316BAA"/>
    <w:rsid w:val="00317242"/>
    <w:rsid w:val="00320811"/>
    <w:rsid w:val="00322BF9"/>
    <w:rsid w:val="00324743"/>
    <w:rsid w:val="00324769"/>
    <w:rsid w:val="00324B27"/>
    <w:rsid w:val="003253AF"/>
    <w:rsid w:val="003258C4"/>
    <w:rsid w:val="00327407"/>
    <w:rsid w:val="00327CB6"/>
    <w:rsid w:val="00330A92"/>
    <w:rsid w:val="003315E9"/>
    <w:rsid w:val="0033298A"/>
    <w:rsid w:val="00333B31"/>
    <w:rsid w:val="00334257"/>
    <w:rsid w:val="0033440C"/>
    <w:rsid w:val="00335341"/>
    <w:rsid w:val="00335B88"/>
    <w:rsid w:val="00336412"/>
    <w:rsid w:val="00336CA6"/>
    <w:rsid w:val="00337157"/>
    <w:rsid w:val="003373BE"/>
    <w:rsid w:val="00340F22"/>
    <w:rsid w:val="003411DB"/>
    <w:rsid w:val="003417B4"/>
    <w:rsid w:val="00341D86"/>
    <w:rsid w:val="003423A7"/>
    <w:rsid w:val="003426EE"/>
    <w:rsid w:val="0034310E"/>
    <w:rsid w:val="00344213"/>
    <w:rsid w:val="003444F4"/>
    <w:rsid w:val="00344B88"/>
    <w:rsid w:val="00344EBB"/>
    <w:rsid w:val="00345842"/>
    <w:rsid w:val="0034612F"/>
    <w:rsid w:val="00346684"/>
    <w:rsid w:val="003472AF"/>
    <w:rsid w:val="00347FD9"/>
    <w:rsid w:val="003508FE"/>
    <w:rsid w:val="00351369"/>
    <w:rsid w:val="0035167B"/>
    <w:rsid w:val="003522BD"/>
    <w:rsid w:val="00352D4E"/>
    <w:rsid w:val="003543D2"/>
    <w:rsid w:val="0035493D"/>
    <w:rsid w:val="00356528"/>
    <w:rsid w:val="00356A6D"/>
    <w:rsid w:val="00356C7A"/>
    <w:rsid w:val="00356FF7"/>
    <w:rsid w:val="0035718C"/>
    <w:rsid w:val="003600A2"/>
    <w:rsid w:val="003608A1"/>
    <w:rsid w:val="003608FD"/>
    <w:rsid w:val="0036420C"/>
    <w:rsid w:val="00364A11"/>
    <w:rsid w:val="00366057"/>
    <w:rsid w:val="00366A68"/>
    <w:rsid w:val="003677E2"/>
    <w:rsid w:val="0037051F"/>
    <w:rsid w:val="003707E0"/>
    <w:rsid w:val="00370F35"/>
    <w:rsid w:val="003725F0"/>
    <w:rsid w:val="003732C7"/>
    <w:rsid w:val="0037346E"/>
    <w:rsid w:val="003739F0"/>
    <w:rsid w:val="00373FC2"/>
    <w:rsid w:val="003742A8"/>
    <w:rsid w:val="003749A5"/>
    <w:rsid w:val="00375CF8"/>
    <w:rsid w:val="00376918"/>
    <w:rsid w:val="00376F07"/>
    <w:rsid w:val="003775A3"/>
    <w:rsid w:val="00380502"/>
    <w:rsid w:val="00380788"/>
    <w:rsid w:val="003809CD"/>
    <w:rsid w:val="00381524"/>
    <w:rsid w:val="00381FAF"/>
    <w:rsid w:val="00383D10"/>
    <w:rsid w:val="00384170"/>
    <w:rsid w:val="003847A3"/>
    <w:rsid w:val="00385683"/>
    <w:rsid w:val="00386E7F"/>
    <w:rsid w:val="00387749"/>
    <w:rsid w:val="00387CB8"/>
    <w:rsid w:val="0039010C"/>
    <w:rsid w:val="00390C7F"/>
    <w:rsid w:val="00390E5C"/>
    <w:rsid w:val="00391AED"/>
    <w:rsid w:val="00391C4B"/>
    <w:rsid w:val="00391FA6"/>
    <w:rsid w:val="00393046"/>
    <w:rsid w:val="00394F6F"/>
    <w:rsid w:val="00395026"/>
    <w:rsid w:val="003952ED"/>
    <w:rsid w:val="00395549"/>
    <w:rsid w:val="00395F29"/>
    <w:rsid w:val="00396610"/>
    <w:rsid w:val="00396DEC"/>
    <w:rsid w:val="00396F9D"/>
    <w:rsid w:val="00397430"/>
    <w:rsid w:val="003A0443"/>
    <w:rsid w:val="003A0F5E"/>
    <w:rsid w:val="003A1E08"/>
    <w:rsid w:val="003A1F79"/>
    <w:rsid w:val="003A39B8"/>
    <w:rsid w:val="003A424B"/>
    <w:rsid w:val="003A46D3"/>
    <w:rsid w:val="003A542D"/>
    <w:rsid w:val="003A5636"/>
    <w:rsid w:val="003A5765"/>
    <w:rsid w:val="003A623D"/>
    <w:rsid w:val="003A68A3"/>
    <w:rsid w:val="003A76ED"/>
    <w:rsid w:val="003B0281"/>
    <w:rsid w:val="003B0433"/>
    <w:rsid w:val="003B04C1"/>
    <w:rsid w:val="003B2C84"/>
    <w:rsid w:val="003B4E23"/>
    <w:rsid w:val="003B4F01"/>
    <w:rsid w:val="003B505C"/>
    <w:rsid w:val="003B519E"/>
    <w:rsid w:val="003B5E6F"/>
    <w:rsid w:val="003B7AE1"/>
    <w:rsid w:val="003C0B1B"/>
    <w:rsid w:val="003C1195"/>
    <w:rsid w:val="003C12B6"/>
    <w:rsid w:val="003C185F"/>
    <w:rsid w:val="003C2D27"/>
    <w:rsid w:val="003C373E"/>
    <w:rsid w:val="003C392F"/>
    <w:rsid w:val="003C3D7F"/>
    <w:rsid w:val="003C41DD"/>
    <w:rsid w:val="003C4DE7"/>
    <w:rsid w:val="003C5F2E"/>
    <w:rsid w:val="003C6326"/>
    <w:rsid w:val="003C6710"/>
    <w:rsid w:val="003C6D87"/>
    <w:rsid w:val="003C7600"/>
    <w:rsid w:val="003D079C"/>
    <w:rsid w:val="003D0D7D"/>
    <w:rsid w:val="003D164F"/>
    <w:rsid w:val="003D18F0"/>
    <w:rsid w:val="003D224C"/>
    <w:rsid w:val="003D2390"/>
    <w:rsid w:val="003D2EFA"/>
    <w:rsid w:val="003D3759"/>
    <w:rsid w:val="003D45D4"/>
    <w:rsid w:val="003D57E2"/>
    <w:rsid w:val="003D613B"/>
    <w:rsid w:val="003D684B"/>
    <w:rsid w:val="003D749F"/>
    <w:rsid w:val="003D7D9E"/>
    <w:rsid w:val="003E0FC6"/>
    <w:rsid w:val="003E14DF"/>
    <w:rsid w:val="003E1AAB"/>
    <w:rsid w:val="003E1F42"/>
    <w:rsid w:val="003E3584"/>
    <w:rsid w:val="003E382B"/>
    <w:rsid w:val="003E393C"/>
    <w:rsid w:val="003E3ACA"/>
    <w:rsid w:val="003E3DCB"/>
    <w:rsid w:val="003E4312"/>
    <w:rsid w:val="003E4820"/>
    <w:rsid w:val="003E48FA"/>
    <w:rsid w:val="003E4ADE"/>
    <w:rsid w:val="003E5891"/>
    <w:rsid w:val="003E7ED0"/>
    <w:rsid w:val="003F021E"/>
    <w:rsid w:val="003F03DF"/>
    <w:rsid w:val="003F1189"/>
    <w:rsid w:val="003F12BC"/>
    <w:rsid w:val="003F12D5"/>
    <w:rsid w:val="003F159E"/>
    <w:rsid w:val="003F1CB9"/>
    <w:rsid w:val="003F2050"/>
    <w:rsid w:val="003F37CA"/>
    <w:rsid w:val="003F3922"/>
    <w:rsid w:val="003F470D"/>
    <w:rsid w:val="003F512D"/>
    <w:rsid w:val="003F56AD"/>
    <w:rsid w:val="003F6A8D"/>
    <w:rsid w:val="003F6E69"/>
    <w:rsid w:val="003F7F31"/>
    <w:rsid w:val="004009B6"/>
    <w:rsid w:val="00400E23"/>
    <w:rsid w:val="004015AF"/>
    <w:rsid w:val="00401CD3"/>
    <w:rsid w:val="00401F79"/>
    <w:rsid w:val="00402778"/>
    <w:rsid w:val="00402D75"/>
    <w:rsid w:val="00402FA1"/>
    <w:rsid w:val="00403744"/>
    <w:rsid w:val="0040474A"/>
    <w:rsid w:val="00404E84"/>
    <w:rsid w:val="00405D7E"/>
    <w:rsid w:val="00406F40"/>
    <w:rsid w:val="00407FB6"/>
    <w:rsid w:val="00410561"/>
    <w:rsid w:val="004120D6"/>
    <w:rsid w:val="00412186"/>
    <w:rsid w:val="00412763"/>
    <w:rsid w:val="00412A2D"/>
    <w:rsid w:val="00413258"/>
    <w:rsid w:val="0041355F"/>
    <w:rsid w:val="00414181"/>
    <w:rsid w:val="0041427D"/>
    <w:rsid w:val="00414AD4"/>
    <w:rsid w:val="0041521E"/>
    <w:rsid w:val="004164DD"/>
    <w:rsid w:val="00416763"/>
    <w:rsid w:val="0041745A"/>
    <w:rsid w:val="004179B3"/>
    <w:rsid w:val="004207D5"/>
    <w:rsid w:val="00422B81"/>
    <w:rsid w:val="00422E44"/>
    <w:rsid w:val="004231FB"/>
    <w:rsid w:val="00423374"/>
    <w:rsid w:val="00423E0D"/>
    <w:rsid w:val="004257BB"/>
    <w:rsid w:val="00425883"/>
    <w:rsid w:val="00425A84"/>
    <w:rsid w:val="00425B3B"/>
    <w:rsid w:val="0042602B"/>
    <w:rsid w:val="004279BD"/>
    <w:rsid w:val="00430F3C"/>
    <w:rsid w:val="004325D3"/>
    <w:rsid w:val="00435176"/>
    <w:rsid w:val="00436F5C"/>
    <w:rsid w:val="004371EE"/>
    <w:rsid w:val="00437589"/>
    <w:rsid w:val="0043780A"/>
    <w:rsid w:val="00440A53"/>
    <w:rsid w:val="00442170"/>
    <w:rsid w:val="0044352D"/>
    <w:rsid w:val="004444EE"/>
    <w:rsid w:val="004445E7"/>
    <w:rsid w:val="0044491F"/>
    <w:rsid w:val="00444BDA"/>
    <w:rsid w:val="00445609"/>
    <w:rsid w:val="004464CF"/>
    <w:rsid w:val="00446AAD"/>
    <w:rsid w:val="004476C2"/>
    <w:rsid w:val="00451368"/>
    <w:rsid w:val="004522D4"/>
    <w:rsid w:val="00452B0E"/>
    <w:rsid w:val="00453473"/>
    <w:rsid w:val="004555E6"/>
    <w:rsid w:val="00456A9B"/>
    <w:rsid w:val="00460772"/>
    <w:rsid w:val="00461E79"/>
    <w:rsid w:val="00462717"/>
    <w:rsid w:val="004641CC"/>
    <w:rsid w:val="00464E64"/>
    <w:rsid w:val="00465403"/>
    <w:rsid w:val="00465526"/>
    <w:rsid w:val="0046651A"/>
    <w:rsid w:val="004674AA"/>
    <w:rsid w:val="004714FB"/>
    <w:rsid w:val="004718BD"/>
    <w:rsid w:val="00471B86"/>
    <w:rsid w:val="00471D6F"/>
    <w:rsid w:val="00472210"/>
    <w:rsid w:val="00473C52"/>
    <w:rsid w:val="00474524"/>
    <w:rsid w:val="00475D5E"/>
    <w:rsid w:val="00475F13"/>
    <w:rsid w:val="0047661B"/>
    <w:rsid w:val="00476A2A"/>
    <w:rsid w:val="00477094"/>
    <w:rsid w:val="0047757F"/>
    <w:rsid w:val="00477AF5"/>
    <w:rsid w:val="00477CEB"/>
    <w:rsid w:val="004803D6"/>
    <w:rsid w:val="00480B75"/>
    <w:rsid w:val="00483136"/>
    <w:rsid w:val="0048354D"/>
    <w:rsid w:val="00483FA6"/>
    <w:rsid w:val="0048489E"/>
    <w:rsid w:val="004852E3"/>
    <w:rsid w:val="00485ADC"/>
    <w:rsid w:val="00486858"/>
    <w:rsid w:val="00486C1D"/>
    <w:rsid w:val="004904F6"/>
    <w:rsid w:val="00490505"/>
    <w:rsid w:val="004908DB"/>
    <w:rsid w:val="00490E1A"/>
    <w:rsid w:val="00491DB6"/>
    <w:rsid w:val="00492636"/>
    <w:rsid w:val="004935C1"/>
    <w:rsid w:val="00493A20"/>
    <w:rsid w:val="00493C14"/>
    <w:rsid w:val="004951FE"/>
    <w:rsid w:val="00495C6A"/>
    <w:rsid w:val="004969D8"/>
    <w:rsid w:val="00496A0D"/>
    <w:rsid w:val="0049704E"/>
    <w:rsid w:val="004975FD"/>
    <w:rsid w:val="004979BF"/>
    <w:rsid w:val="004A1724"/>
    <w:rsid w:val="004A2349"/>
    <w:rsid w:val="004A31A7"/>
    <w:rsid w:val="004A435C"/>
    <w:rsid w:val="004A44DB"/>
    <w:rsid w:val="004A4D8B"/>
    <w:rsid w:val="004A4E6A"/>
    <w:rsid w:val="004A53BB"/>
    <w:rsid w:val="004A5428"/>
    <w:rsid w:val="004A5819"/>
    <w:rsid w:val="004A5C0E"/>
    <w:rsid w:val="004A5D84"/>
    <w:rsid w:val="004A6CE0"/>
    <w:rsid w:val="004A724B"/>
    <w:rsid w:val="004A74F4"/>
    <w:rsid w:val="004B1175"/>
    <w:rsid w:val="004B1442"/>
    <w:rsid w:val="004B1766"/>
    <w:rsid w:val="004B19DD"/>
    <w:rsid w:val="004B2E1A"/>
    <w:rsid w:val="004B3889"/>
    <w:rsid w:val="004B3E0D"/>
    <w:rsid w:val="004B3F04"/>
    <w:rsid w:val="004B441B"/>
    <w:rsid w:val="004B4571"/>
    <w:rsid w:val="004B4DE5"/>
    <w:rsid w:val="004B51F9"/>
    <w:rsid w:val="004B564F"/>
    <w:rsid w:val="004B6A7C"/>
    <w:rsid w:val="004B7ECE"/>
    <w:rsid w:val="004C04EA"/>
    <w:rsid w:val="004C0763"/>
    <w:rsid w:val="004C0A56"/>
    <w:rsid w:val="004C0AC1"/>
    <w:rsid w:val="004C10E7"/>
    <w:rsid w:val="004C23FB"/>
    <w:rsid w:val="004C3997"/>
    <w:rsid w:val="004C423D"/>
    <w:rsid w:val="004C4C1F"/>
    <w:rsid w:val="004C50BF"/>
    <w:rsid w:val="004C53CB"/>
    <w:rsid w:val="004C593C"/>
    <w:rsid w:val="004C629B"/>
    <w:rsid w:val="004C693B"/>
    <w:rsid w:val="004C751A"/>
    <w:rsid w:val="004C7E8B"/>
    <w:rsid w:val="004D0B15"/>
    <w:rsid w:val="004D0EBA"/>
    <w:rsid w:val="004D114D"/>
    <w:rsid w:val="004D14D3"/>
    <w:rsid w:val="004D18AC"/>
    <w:rsid w:val="004D23AD"/>
    <w:rsid w:val="004D3347"/>
    <w:rsid w:val="004D3E58"/>
    <w:rsid w:val="004D4156"/>
    <w:rsid w:val="004D4333"/>
    <w:rsid w:val="004D6531"/>
    <w:rsid w:val="004D6F30"/>
    <w:rsid w:val="004E011D"/>
    <w:rsid w:val="004E0D15"/>
    <w:rsid w:val="004E1AC6"/>
    <w:rsid w:val="004E2434"/>
    <w:rsid w:val="004E26E2"/>
    <w:rsid w:val="004E3070"/>
    <w:rsid w:val="004E32FB"/>
    <w:rsid w:val="004E3F0C"/>
    <w:rsid w:val="004E4B5B"/>
    <w:rsid w:val="004E5779"/>
    <w:rsid w:val="004E5E51"/>
    <w:rsid w:val="004E642B"/>
    <w:rsid w:val="004E668A"/>
    <w:rsid w:val="004E7E07"/>
    <w:rsid w:val="004F32E1"/>
    <w:rsid w:val="004F34F2"/>
    <w:rsid w:val="004F3D9B"/>
    <w:rsid w:val="004F4632"/>
    <w:rsid w:val="004F46CE"/>
    <w:rsid w:val="004F46D6"/>
    <w:rsid w:val="004F5C1C"/>
    <w:rsid w:val="004F62FF"/>
    <w:rsid w:val="004F69E2"/>
    <w:rsid w:val="004F6CFB"/>
    <w:rsid w:val="004F6EA8"/>
    <w:rsid w:val="004F70A7"/>
    <w:rsid w:val="005019FE"/>
    <w:rsid w:val="00502072"/>
    <w:rsid w:val="005027C2"/>
    <w:rsid w:val="00502C28"/>
    <w:rsid w:val="00503D06"/>
    <w:rsid w:val="00504229"/>
    <w:rsid w:val="00504370"/>
    <w:rsid w:val="00505434"/>
    <w:rsid w:val="00506126"/>
    <w:rsid w:val="005063FD"/>
    <w:rsid w:val="0050674F"/>
    <w:rsid w:val="005069C2"/>
    <w:rsid w:val="005070EC"/>
    <w:rsid w:val="00507747"/>
    <w:rsid w:val="00510452"/>
    <w:rsid w:val="00510AD7"/>
    <w:rsid w:val="00510EB1"/>
    <w:rsid w:val="0051164C"/>
    <w:rsid w:val="00512176"/>
    <w:rsid w:val="005122E9"/>
    <w:rsid w:val="005137DB"/>
    <w:rsid w:val="005142AC"/>
    <w:rsid w:val="0051437A"/>
    <w:rsid w:val="0051449F"/>
    <w:rsid w:val="00514960"/>
    <w:rsid w:val="0051508B"/>
    <w:rsid w:val="0051570C"/>
    <w:rsid w:val="00515A05"/>
    <w:rsid w:val="00515ECA"/>
    <w:rsid w:val="00516007"/>
    <w:rsid w:val="00517111"/>
    <w:rsid w:val="005203B7"/>
    <w:rsid w:val="005208BD"/>
    <w:rsid w:val="0052161C"/>
    <w:rsid w:val="00521FF6"/>
    <w:rsid w:val="0052347F"/>
    <w:rsid w:val="00527260"/>
    <w:rsid w:val="00527681"/>
    <w:rsid w:val="0052771A"/>
    <w:rsid w:val="00527FC5"/>
    <w:rsid w:val="00530245"/>
    <w:rsid w:val="00530967"/>
    <w:rsid w:val="00530DE6"/>
    <w:rsid w:val="00531FAE"/>
    <w:rsid w:val="00532041"/>
    <w:rsid w:val="005343BA"/>
    <w:rsid w:val="0053589B"/>
    <w:rsid w:val="00535CDB"/>
    <w:rsid w:val="00535E49"/>
    <w:rsid w:val="0053659F"/>
    <w:rsid w:val="00537D18"/>
    <w:rsid w:val="00537D95"/>
    <w:rsid w:val="005417AF"/>
    <w:rsid w:val="00541D7D"/>
    <w:rsid w:val="00543780"/>
    <w:rsid w:val="005442D1"/>
    <w:rsid w:val="005448A4"/>
    <w:rsid w:val="005450EB"/>
    <w:rsid w:val="0054574A"/>
    <w:rsid w:val="00545AC2"/>
    <w:rsid w:val="00546646"/>
    <w:rsid w:val="0054665C"/>
    <w:rsid w:val="00547A43"/>
    <w:rsid w:val="00550C47"/>
    <w:rsid w:val="00552694"/>
    <w:rsid w:val="00552D45"/>
    <w:rsid w:val="0055337B"/>
    <w:rsid w:val="0055377C"/>
    <w:rsid w:val="00553860"/>
    <w:rsid w:val="005541F4"/>
    <w:rsid w:val="005545FE"/>
    <w:rsid w:val="00554717"/>
    <w:rsid w:val="00554741"/>
    <w:rsid w:val="00554FF2"/>
    <w:rsid w:val="00555261"/>
    <w:rsid w:val="00556DE6"/>
    <w:rsid w:val="005574AF"/>
    <w:rsid w:val="0055785D"/>
    <w:rsid w:val="005578C6"/>
    <w:rsid w:val="00557A53"/>
    <w:rsid w:val="0056090E"/>
    <w:rsid w:val="005613B3"/>
    <w:rsid w:val="00561ED7"/>
    <w:rsid w:val="00562166"/>
    <w:rsid w:val="0056253E"/>
    <w:rsid w:val="00562995"/>
    <w:rsid w:val="00563855"/>
    <w:rsid w:val="005642DD"/>
    <w:rsid w:val="00564453"/>
    <w:rsid w:val="00566025"/>
    <w:rsid w:val="0056611F"/>
    <w:rsid w:val="005666D7"/>
    <w:rsid w:val="0056769C"/>
    <w:rsid w:val="005676A0"/>
    <w:rsid w:val="00567ADA"/>
    <w:rsid w:val="005718D7"/>
    <w:rsid w:val="00571AFD"/>
    <w:rsid w:val="00571BEE"/>
    <w:rsid w:val="00571C08"/>
    <w:rsid w:val="00571C69"/>
    <w:rsid w:val="00572232"/>
    <w:rsid w:val="005722E9"/>
    <w:rsid w:val="00572D52"/>
    <w:rsid w:val="00573D34"/>
    <w:rsid w:val="00573F62"/>
    <w:rsid w:val="00574588"/>
    <w:rsid w:val="00574592"/>
    <w:rsid w:val="00574619"/>
    <w:rsid w:val="005746F6"/>
    <w:rsid w:val="00574E26"/>
    <w:rsid w:val="00575D36"/>
    <w:rsid w:val="005761EE"/>
    <w:rsid w:val="00576C13"/>
    <w:rsid w:val="00576CB6"/>
    <w:rsid w:val="00576CF4"/>
    <w:rsid w:val="00577164"/>
    <w:rsid w:val="00577D9F"/>
    <w:rsid w:val="00580391"/>
    <w:rsid w:val="0058086E"/>
    <w:rsid w:val="005818DE"/>
    <w:rsid w:val="00581AC8"/>
    <w:rsid w:val="00581CC1"/>
    <w:rsid w:val="00582221"/>
    <w:rsid w:val="00584718"/>
    <w:rsid w:val="00584D4C"/>
    <w:rsid w:val="005861DC"/>
    <w:rsid w:val="0058622F"/>
    <w:rsid w:val="00586418"/>
    <w:rsid w:val="00587350"/>
    <w:rsid w:val="005874B8"/>
    <w:rsid w:val="00587BA9"/>
    <w:rsid w:val="0059007C"/>
    <w:rsid w:val="00590699"/>
    <w:rsid w:val="00591A31"/>
    <w:rsid w:val="00591E29"/>
    <w:rsid w:val="00592318"/>
    <w:rsid w:val="00594C44"/>
    <w:rsid w:val="0059556C"/>
    <w:rsid w:val="00596B76"/>
    <w:rsid w:val="00597DD9"/>
    <w:rsid w:val="005A0ACF"/>
    <w:rsid w:val="005A0C34"/>
    <w:rsid w:val="005A2501"/>
    <w:rsid w:val="005A292F"/>
    <w:rsid w:val="005A2FF8"/>
    <w:rsid w:val="005A34B6"/>
    <w:rsid w:val="005A390E"/>
    <w:rsid w:val="005A3E34"/>
    <w:rsid w:val="005A44FF"/>
    <w:rsid w:val="005A4BD9"/>
    <w:rsid w:val="005A4D8E"/>
    <w:rsid w:val="005A51C6"/>
    <w:rsid w:val="005A576D"/>
    <w:rsid w:val="005A5BAB"/>
    <w:rsid w:val="005A5CB3"/>
    <w:rsid w:val="005A6604"/>
    <w:rsid w:val="005A78DE"/>
    <w:rsid w:val="005A7E09"/>
    <w:rsid w:val="005B08A6"/>
    <w:rsid w:val="005B0F22"/>
    <w:rsid w:val="005B0F27"/>
    <w:rsid w:val="005B1A31"/>
    <w:rsid w:val="005B1B6C"/>
    <w:rsid w:val="005B2B4F"/>
    <w:rsid w:val="005B2CB5"/>
    <w:rsid w:val="005B2CDC"/>
    <w:rsid w:val="005B3439"/>
    <w:rsid w:val="005B4653"/>
    <w:rsid w:val="005B4E45"/>
    <w:rsid w:val="005B4E85"/>
    <w:rsid w:val="005B5E17"/>
    <w:rsid w:val="005B6419"/>
    <w:rsid w:val="005B6CC1"/>
    <w:rsid w:val="005C1943"/>
    <w:rsid w:val="005C22C2"/>
    <w:rsid w:val="005C2322"/>
    <w:rsid w:val="005C501A"/>
    <w:rsid w:val="005C5673"/>
    <w:rsid w:val="005C6D52"/>
    <w:rsid w:val="005C6F67"/>
    <w:rsid w:val="005C7858"/>
    <w:rsid w:val="005C7A9A"/>
    <w:rsid w:val="005C7FCE"/>
    <w:rsid w:val="005D05FD"/>
    <w:rsid w:val="005D11A5"/>
    <w:rsid w:val="005D1A7D"/>
    <w:rsid w:val="005D3508"/>
    <w:rsid w:val="005D48E0"/>
    <w:rsid w:val="005D4BC8"/>
    <w:rsid w:val="005D55D6"/>
    <w:rsid w:val="005D593D"/>
    <w:rsid w:val="005D65FF"/>
    <w:rsid w:val="005D6E43"/>
    <w:rsid w:val="005D717B"/>
    <w:rsid w:val="005D769A"/>
    <w:rsid w:val="005D7FC2"/>
    <w:rsid w:val="005E092E"/>
    <w:rsid w:val="005E1DD8"/>
    <w:rsid w:val="005E1EA0"/>
    <w:rsid w:val="005E1F6F"/>
    <w:rsid w:val="005E4132"/>
    <w:rsid w:val="005E58E1"/>
    <w:rsid w:val="005E5F8B"/>
    <w:rsid w:val="005E7C7D"/>
    <w:rsid w:val="005F0A09"/>
    <w:rsid w:val="005F0EC7"/>
    <w:rsid w:val="005F105B"/>
    <w:rsid w:val="005F1295"/>
    <w:rsid w:val="005F2075"/>
    <w:rsid w:val="005F2341"/>
    <w:rsid w:val="005F2B48"/>
    <w:rsid w:val="005F3ADE"/>
    <w:rsid w:val="005F432C"/>
    <w:rsid w:val="005F4B41"/>
    <w:rsid w:val="005F4D52"/>
    <w:rsid w:val="005F4F2A"/>
    <w:rsid w:val="005F5099"/>
    <w:rsid w:val="005F73A6"/>
    <w:rsid w:val="006002FC"/>
    <w:rsid w:val="00600D9B"/>
    <w:rsid w:val="0060128D"/>
    <w:rsid w:val="006015EB"/>
    <w:rsid w:val="006021B4"/>
    <w:rsid w:val="00602BDA"/>
    <w:rsid w:val="0060305B"/>
    <w:rsid w:val="0060308F"/>
    <w:rsid w:val="0060552B"/>
    <w:rsid w:val="00606031"/>
    <w:rsid w:val="00606E04"/>
    <w:rsid w:val="00607B8A"/>
    <w:rsid w:val="006102C4"/>
    <w:rsid w:val="00611A97"/>
    <w:rsid w:val="00611B3C"/>
    <w:rsid w:val="00611C5C"/>
    <w:rsid w:val="00612686"/>
    <w:rsid w:val="006131E9"/>
    <w:rsid w:val="0061392C"/>
    <w:rsid w:val="00613C92"/>
    <w:rsid w:val="00615685"/>
    <w:rsid w:val="00615849"/>
    <w:rsid w:val="00616069"/>
    <w:rsid w:val="00616F34"/>
    <w:rsid w:val="00616FDD"/>
    <w:rsid w:val="00617E42"/>
    <w:rsid w:val="00617E6C"/>
    <w:rsid w:val="006203EC"/>
    <w:rsid w:val="00622015"/>
    <w:rsid w:val="00622191"/>
    <w:rsid w:val="006228C3"/>
    <w:rsid w:val="00622D62"/>
    <w:rsid w:val="00622D80"/>
    <w:rsid w:val="0062336F"/>
    <w:rsid w:val="00623D41"/>
    <w:rsid w:val="00624A28"/>
    <w:rsid w:val="00624E5B"/>
    <w:rsid w:val="006264F1"/>
    <w:rsid w:val="00626A29"/>
    <w:rsid w:val="00626AF4"/>
    <w:rsid w:val="00626CB1"/>
    <w:rsid w:val="00626CBB"/>
    <w:rsid w:val="00627894"/>
    <w:rsid w:val="00627FF6"/>
    <w:rsid w:val="00630506"/>
    <w:rsid w:val="00630BC9"/>
    <w:rsid w:val="006320CB"/>
    <w:rsid w:val="0063314F"/>
    <w:rsid w:val="006337E7"/>
    <w:rsid w:val="0063422F"/>
    <w:rsid w:val="006354FF"/>
    <w:rsid w:val="00635832"/>
    <w:rsid w:val="00635AB6"/>
    <w:rsid w:val="006361B1"/>
    <w:rsid w:val="006365E9"/>
    <w:rsid w:val="00636E18"/>
    <w:rsid w:val="0063705B"/>
    <w:rsid w:val="00637228"/>
    <w:rsid w:val="006406FA"/>
    <w:rsid w:val="00641532"/>
    <w:rsid w:val="00641E0B"/>
    <w:rsid w:val="0064225E"/>
    <w:rsid w:val="0064298D"/>
    <w:rsid w:val="0064364F"/>
    <w:rsid w:val="006445A3"/>
    <w:rsid w:val="00645115"/>
    <w:rsid w:val="006462F1"/>
    <w:rsid w:val="006464CF"/>
    <w:rsid w:val="00646CB6"/>
    <w:rsid w:val="00647A7A"/>
    <w:rsid w:val="00650088"/>
    <w:rsid w:val="00650724"/>
    <w:rsid w:val="0065124E"/>
    <w:rsid w:val="006513A0"/>
    <w:rsid w:val="00652C4F"/>
    <w:rsid w:val="0065308E"/>
    <w:rsid w:val="006534DC"/>
    <w:rsid w:val="006541D1"/>
    <w:rsid w:val="00654860"/>
    <w:rsid w:val="00654F37"/>
    <w:rsid w:val="00655662"/>
    <w:rsid w:val="00656ABE"/>
    <w:rsid w:val="00657521"/>
    <w:rsid w:val="0066000B"/>
    <w:rsid w:val="0066030A"/>
    <w:rsid w:val="00660931"/>
    <w:rsid w:val="00660DB9"/>
    <w:rsid w:val="00661956"/>
    <w:rsid w:val="00661C43"/>
    <w:rsid w:val="00662C23"/>
    <w:rsid w:val="00663A53"/>
    <w:rsid w:val="0066473E"/>
    <w:rsid w:val="00664F66"/>
    <w:rsid w:val="00665069"/>
    <w:rsid w:val="0066537B"/>
    <w:rsid w:val="00665718"/>
    <w:rsid w:val="00665E8C"/>
    <w:rsid w:val="00665F6E"/>
    <w:rsid w:val="0066692E"/>
    <w:rsid w:val="00666CC6"/>
    <w:rsid w:val="006677D7"/>
    <w:rsid w:val="00667828"/>
    <w:rsid w:val="00667AF6"/>
    <w:rsid w:val="00670CDD"/>
    <w:rsid w:val="00670F37"/>
    <w:rsid w:val="00672277"/>
    <w:rsid w:val="00674930"/>
    <w:rsid w:val="00676079"/>
    <w:rsid w:val="00676326"/>
    <w:rsid w:val="006777C7"/>
    <w:rsid w:val="00677FE7"/>
    <w:rsid w:val="006830CE"/>
    <w:rsid w:val="006839E8"/>
    <w:rsid w:val="00683D65"/>
    <w:rsid w:val="00684AB4"/>
    <w:rsid w:val="00684FDE"/>
    <w:rsid w:val="006851CB"/>
    <w:rsid w:val="00685F12"/>
    <w:rsid w:val="00687672"/>
    <w:rsid w:val="00690239"/>
    <w:rsid w:val="00690FB6"/>
    <w:rsid w:val="00691287"/>
    <w:rsid w:val="006919FC"/>
    <w:rsid w:val="00693034"/>
    <w:rsid w:val="0069373F"/>
    <w:rsid w:val="00693FDC"/>
    <w:rsid w:val="006963D2"/>
    <w:rsid w:val="00696748"/>
    <w:rsid w:val="00697FEB"/>
    <w:rsid w:val="006A02C9"/>
    <w:rsid w:val="006A0A19"/>
    <w:rsid w:val="006A0B4A"/>
    <w:rsid w:val="006A0D71"/>
    <w:rsid w:val="006A0E7E"/>
    <w:rsid w:val="006A0F4A"/>
    <w:rsid w:val="006A1D16"/>
    <w:rsid w:val="006A1EA8"/>
    <w:rsid w:val="006A4300"/>
    <w:rsid w:val="006A4428"/>
    <w:rsid w:val="006A4CF3"/>
    <w:rsid w:val="006A7BEA"/>
    <w:rsid w:val="006A7D62"/>
    <w:rsid w:val="006B120F"/>
    <w:rsid w:val="006B1FE2"/>
    <w:rsid w:val="006B2EBD"/>
    <w:rsid w:val="006B2F86"/>
    <w:rsid w:val="006B3690"/>
    <w:rsid w:val="006B37A6"/>
    <w:rsid w:val="006B3C0D"/>
    <w:rsid w:val="006B4649"/>
    <w:rsid w:val="006C0355"/>
    <w:rsid w:val="006C090C"/>
    <w:rsid w:val="006C13D5"/>
    <w:rsid w:val="006C3A40"/>
    <w:rsid w:val="006C3F79"/>
    <w:rsid w:val="006C4E8E"/>
    <w:rsid w:val="006C53A0"/>
    <w:rsid w:val="006C5E9B"/>
    <w:rsid w:val="006C6628"/>
    <w:rsid w:val="006C6D77"/>
    <w:rsid w:val="006C7240"/>
    <w:rsid w:val="006C74D6"/>
    <w:rsid w:val="006C7663"/>
    <w:rsid w:val="006D0EE8"/>
    <w:rsid w:val="006D12C7"/>
    <w:rsid w:val="006D175B"/>
    <w:rsid w:val="006D1BF7"/>
    <w:rsid w:val="006D23EF"/>
    <w:rsid w:val="006D457D"/>
    <w:rsid w:val="006D5361"/>
    <w:rsid w:val="006D59F8"/>
    <w:rsid w:val="006D61DA"/>
    <w:rsid w:val="006D6AF7"/>
    <w:rsid w:val="006D6EBB"/>
    <w:rsid w:val="006D781E"/>
    <w:rsid w:val="006D7F80"/>
    <w:rsid w:val="006D7FC7"/>
    <w:rsid w:val="006E00DA"/>
    <w:rsid w:val="006E04F7"/>
    <w:rsid w:val="006E0941"/>
    <w:rsid w:val="006E0B68"/>
    <w:rsid w:val="006E0EAD"/>
    <w:rsid w:val="006E1DC5"/>
    <w:rsid w:val="006E2E7E"/>
    <w:rsid w:val="006E2EFD"/>
    <w:rsid w:val="006E3420"/>
    <w:rsid w:val="006E381D"/>
    <w:rsid w:val="006E39D7"/>
    <w:rsid w:val="006E3BD0"/>
    <w:rsid w:val="006E3FA9"/>
    <w:rsid w:val="006E4444"/>
    <w:rsid w:val="006E4D14"/>
    <w:rsid w:val="006E6866"/>
    <w:rsid w:val="006E702B"/>
    <w:rsid w:val="006E7DC6"/>
    <w:rsid w:val="006F01FC"/>
    <w:rsid w:val="006F0349"/>
    <w:rsid w:val="006F08E1"/>
    <w:rsid w:val="006F0E10"/>
    <w:rsid w:val="006F13D2"/>
    <w:rsid w:val="006F1A53"/>
    <w:rsid w:val="006F2196"/>
    <w:rsid w:val="006F2B29"/>
    <w:rsid w:val="006F3240"/>
    <w:rsid w:val="006F3620"/>
    <w:rsid w:val="006F3D73"/>
    <w:rsid w:val="006F5A87"/>
    <w:rsid w:val="006F747C"/>
    <w:rsid w:val="006F74BF"/>
    <w:rsid w:val="006F7BDA"/>
    <w:rsid w:val="00700C93"/>
    <w:rsid w:val="00701FC8"/>
    <w:rsid w:val="0070288A"/>
    <w:rsid w:val="00702D07"/>
    <w:rsid w:val="00703676"/>
    <w:rsid w:val="00706655"/>
    <w:rsid w:val="007078D6"/>
    <w:rsid w:val="007106DD"/>
    <w:rsid w:val="00710F87"/>
    <w:rsid w:val="00711217"/>
    <w:rsid w:val="007116F8"/>
    <w:rsid w:val="00712900"/>
    <w:rsid w:val="007133E9"/>
    <w:rsid w:val="007137B3"/>
    <w:rsid w:val="00713BD4"/>
    <w:rsid w:val="00714542"/>
    <w:rsid w:val="007146AA"/>
    <w:rsid w:val="00714837"/>
    <w:rsid w:val="007149B8"/>
    <w:rsid w:val="00714EF0"/>
    <w:rsid w:val="00714F04"/>
    <w:rsid w:val="00715087"/>
    <w:rsid w:val="00715712"/>
    <w:rsid w:val="007158C7"/>
    <w:rsid w:val="00715D0C"/>
    <w:rsid w:val="0071628B"/>
    <w:rsid w:val="00716F27"/>
    <w:rsid w:val="00717727"/>
    <w:rsid w:val="00717B00"/>
    <w:rsid w:val="007208AB"/>
    <w:rsid w:val="00720B68"/>
    <w:rsid w:val="00720DE3"/>
    <w:rsid w:val="00721C6A"/>
    <w:rsid w:val="007222B0"/>
    <w:rsid w:val="007227EC"/>
    <w:rsid w:val="00722F2C"/>
    <w:rsid w:val="00723293"/>
    <w:rsid w:val="00723439"/>
    <w:rsid w:val="00723CB3"/>
    <w:rsid w:val="00724D46"/>
    <w:rsid w:val="007252D4"/>
    <w:rsid w:val="007263EF"/>
    <w:rsid w:val="00727012"/>
    <w:rsid w:val="0072723A"/>
    <w:rsid w:val="007279EC"/>
    <w:rsid w:val="00727D29"/>
    <w:rsid w:val="00730818"/>
    <w:rsid w:val="00730E2D"/>
    <w:rsid w:val="0073142D"/>
    <w:rsid w:val="0073237F"/>
    <w:rsid w:val="007323B9"/>
    <w:rsid w:val="007330A4"/>
    <w:rsid w:val="00733C05"/>
    <w:rsid w:val="00734568"/>
    <w:rsid w:val="0073460E"/>
    <w:rsid w:val="007349F9"/>
    <w:rsid w:val="00734A12"/>
    <w:rsid w:val="00735CDE"/>
    <w:rsid w:val="00736EAE"/>
    <w:rsid w:val="00737F9B"/>
    <w:rsid w:val="007402C2"/>
    <w:rsid w:val="0074044C"/>
    <w:rsid w:val="007405B1"/>
    <w:rsid w:val="00740AF0"/>
    <w:rsid w:val="007419ED"/>
    <w:rsid w:val="00742174"/>
    <w:rsid w:val="00742C4C"/>
    <w:rsid w:val="007431F0"/>
    <w:rsid w:val="00743577"/>
    <w:rsid w:val="007435D3"/>
    <w:rsid w:val="00744220"/>
    <w:rsid w:val="00744C66"/>
    <w:rsid w:val="007464CC"/>
    <w:rsid w:val="00747238"/>
    <w:rsid w:val="00747B4B"/>
    <w:rsid w:val="00747D5E"/>
    <w:rsid w:val="00750679"/>
    <w:rsid w:val="00751D79"/>
    <w:rsid w:val="00751EDA"/>
    <w:rsid w:val="00754003"/>
    <w:rsid w:val="00754851"/>
    <w:rsid w:val="007575D0"/>
    <w:rsid w:val="00757649"/>
    <w:rsid w:val="00760944"/>
    <w:rsid w:val="007609D5"/>
    <w:rsid w:val="00760C75"/>
    <w:rsid w:val="007611AD"/>
    <w:rsid w:val="0076126B"/>
    <w:rsid w:val="007613B3"/>
    <w:rsid w:val="00762FBA"/>
    <w:rsid w:val="0076316D"/>
    <w:rsid w:val="00763FB6"/>
    <w:rsid w:val="0076473F"/>
    <w:rsid w:val="00764748"/>
    <w:rsid w:val="00765515"/>
    <w:rsid w:val="00765F2A"/>
    <w:rsid w:val="00766F28"/>
    <w:rsid w:val="007713E8"/>
    <w:rsid w:val="00771967"/>
    <w:rsid w:val="00771AA1"/>
    <w:rsid w:val="00772FC8"/>
    <w:rsid w:val="0077322C"/>
    <w:rsid w:val="00774715"/>
    <w:rsid w:val="007747EE"/>
    <w:rsid w:val="00774999"/>
    <w:rsid w:val="00774F98"/>
    <w:rsid w:val="00776623"/>
    <w:rsid w:val="007768F5"/>
    <w:rsid w:val="0077735A"/>
    <w:rsid w:val="0078095B"/>
    <w:rsid w:val="00780D10"/>
    <w:rsid w:val="007813D1"/>
    <w:rsid w:val="00782158"/>
    <w:rsid w:val="007821BC"/>
    <w:rsid w:val="007826E0"/>
    <w:rsid w:val="0078271A"/>
    <w:rsid w:val="00783194"/>
    <w:rsid w:val="00783455"/>
    <w:rsid w:val="007835D5"/>
    <w:rsid w:val="0078383A"/>
    <w:rsid w:val="00783BA7"/>
    <w:rsid w:val="007853F8"/>
    <w:rsid w:val="0078687A"/>
    <w:rsid w:val="00786AA2"/>
    <w:rsid w:val="00786BB9"/>
    <w:rsid w:val="00786FE5"/>
    <w:rsid w:val="007870B3"/>
    <w:rsid w:val="00787297"/>
    <w:rsid w:val="007877DC"/>
    <w:rsid w:val="0079039B"/>
    <w:rsid w:val="007908E2"/>
    <w:rsid w:val="00792C45"/>
    <w:rsid w:val="00793842"/>
    <w:rsid w:val="00794379"/>
    <w:rsid w:val="007953B5"/>
    <w:rsid w:val="00795F3C"/>
    <w:rsid w:val="00796271"/>
    <w:rsid w:val="00796431"/>
    <w:rsid w:val="007964DC"/>
    <w:rsid w:val="007967E6"/>
    <w:rsid w:val="00797D07"/>
    <w:rsid w:val="00797EC1"/>
    <w:rsid w:val="007A03B9"/>
    <w:rsid w:val="007A06C5"/>
    <w:rsid w:val="007A0B4E"/>
    <w:rsid w:val="007A117C"/>
    <w:rsid w:val="007A19E3"/>
    <w:rsid w:val="007A2635"/>
    <w:rsid w:val="007A3BFB"/>
    <w:rsid w:val="007A4230"/>
    <w:rsid w:val="007A5DE7"/>
    <w:rsid w:val="007A69A5"/>
    <w:rsid w:val="007A6B52"/>
    <w:rsid w:val="007A6C81"/>
    <w:rsid w:val="007A7B10"/>
    <w:rsid w:val="007B02A8"/>
    <w:rsid w:val="007B0B30"/>
    <w:rsid w:val="007B129D"/>
    <w:rsid w:val="007B219A"/>
    <w:rsid w:val="007B31A6"/>
    <w:rsid w:val="007B4508"/>
    <w:rsid w:val="007B5E3D"/>
    <w:rsid w:val="007B6B28"/>
    <w:rsid w:val="007B79F6"/>
    <w:rsid w:val="007B7B44"/>
    <w:rsid w:val="007C0E2D"/>
    <w:rsid w:val="007C1271"/>
    <w:rsid w:val="007C12F0"/>
    <w:rsid w:val="007C15B2"/>
    <w:rsid w:val="007C1E59"/>
    <w:rsid w:val="007C4747"/>
    <w:rsid w:val="007C4C83"/>
    <w:rsid w:val="007C525A"/>
    <w:rsid w:val="007C533A"/>
    <w:rsid w:val="007C591A"/>
    <w:rsid w:val="007C6206"/>
    <w:rsid w:val="007C6225"/>
    <w:rsid w:val="007C64E2"/>
    <w:rsid w:val="007C7C72"/>
    <w:rsid w:val="007D065D"/>
    <w:rsid w:val="007D1196"/>
    <w:rsid w:val="007D1E88"/>
    <w:rsid w:val="007D275E"/>
    <w:rsid w:val="007D2928"/>
    <w:rsid w:val="007D37BA"/>
    <w:rsid w:val="007D3850"/>
    <w:rsid w:val="007D3F75"/>
    <w:rsid w:val="007D4025"/>
    <w:rsid w:val="007D66F0"/>
    <w:rsid w:val="007D73E5"/>
    <w:rsid w:val="007D750A"/>
    <w:rsid w:val="007D7523"/>
    <w:rsid w:val="007D77FB"/>
    <w:rsid w:val="007E0084"/>
    <w:rsid w:val="007E0678"/>
    <w:rsid w:val="007E0A18"/>
    <w:rsid w:val="007E0EF4"/>
    <w:rsid w:val="007E1035"/>
    <w:rsid w:val="007E1421"/>
    <w:rsid w:val="007E18D1"/>
    <w:rsid w:val="007E199C"/>
    <w:rsid w:val="007E2A76"/>
    <w:rsid w:val="007E4D07"/>
    <w:rsid w:val="007E581F"/>
    <w:rsid w:val="007E722A"/>
    <w:rsid w:val="007E72EF"/>
    <w:rsid w:val="007E770A"/>
    <w:rsid w:val="007E7968"/>
    <w:rsid w:val="007E7C0D"/>
    <w:rsid w:val="007F0CB0"/>
    <w:rsid w:val="007F1600"/>
    <w:rsid w:val="007F166D"/>
    <w:rsid w:val="007F1EDF"/>
    <w:rsid w:val="007F2054"/>
    <w:rsid w:val="007F299B"/>
    <w:rsid w:val="007F365B"/>
    <w:rsid w:val="007F3B50"/>
    <w:rsid w:val="007F4023"/>
    <w:rsid w:val="007F40D6"/>
    <w:rsid w:val="007F41A0"/>
    <w:rsid w:val="007F5346"/>
    <w:rsid w:val="007F690B"/>
    <w:rsid w:val="007F6FBE"/>
    <w:rsid w:val="007F742B"/>
    <w:rsid w:val="007F7CBC"/>
    <w:rsid w:val="00800C45"/>
    <w:rsid w:val="0080130F"/>
    <w:rsid w:val="00801B60"/>
    <w:rsid w:val="008026FE"/>
    <w:rsid w:val="00802F9F"/>
    <w:rsid w:val="0080372E"/>
    <w:rsid w:val="00803E55"/>
    <w:rsid w:val="00804358"/>
    <w:rsid w:val="00804F92"/>
    <w:rsid w:val="00807F19"/>
    <w:rsid w:val="00807F85"/>
    <w:rsid w:val="0081060D"/>
    <w:rsid w:val="00810A52"/>
    <w:rsid w:val="00810DCF"/>
    <w:rsid w:val="008110C4"/>
    <w:rsid w:val="00811527"/>
    <w:rsid w:val="00811F2C"/>
    <w:rsid w:val="00811FE2"/>
    <w:rsid w:val="008134F5"/>
    <w:rsid w:val="00813D03"/>
    <w:rsid w:val="00814399"/>
    <w:rsid w:val="00815A51"/>
    <w:rsid w:val="00817CF6"/>
    <w:rsid w:val="008208F2"/>
    <w:rsid w:val="00820A66"/>
    <w:rsid w:val="00820F38"/>
    <w:rsid w:val="00822D27"/>
    <w:rsid w:val="008242DA"/>
    <w:rsid w:val="00824A84"/>
    <w:rsid w:val="00826371"/>
    <w:rsid w:val="0082668B"/>
    <w:rsid w:val="0082687A"/>
    <w:rsid w:val="008272AC"/>
    <w:rsid w:val="00830214"/>
    <w:rsid w:val="00830902"/>
    <w:rsid w:val="00832118"/>
    <w:rsid w:val="00832C2F"/>
    <w:rsid w:val="00833EC7"/>
    <w:rsid w:val="00834366"/>
    <w:rsid w:val="008358AE"/>
    <w:rsid w:val="008363D1"/>
    <w:rsid w:val="00836C3B"/>
    <w:rsid w:val="008404FF"/>
    <w:rsid w:val="00840749"/>
    <w:rsid w:val="00840F7C"/>
    <w:rsid w:val="008412E1"/>
    <w:rsid w:val="008413A8"/>
    <w:rsid w:val="00842443"/>
    <w:rsid w:val="00843285"/>
    <w:rsid w:val="00843286"/>
    <w:rsid w:val="00843386"/>
    <w:rsid w:val="00844479"/>
    <w:rsid w:val="00844C79"/>
    <w:rsid w:val="00846122"/>
    <w:rsid w:val="008466C4"/>
    <w:rsid w:val="00850FDB"/>
    <w:rsid w:val="008510D6"/>
    <w:rsid w:val="008522B5"/>
    <w:rsid w:val="0085346F"/>
    <w:rsid w:val="00853C4A"/>
    <w:rsid w:val="00854190"/>
    <w:rsid w:val="00854682"/>
    <w:rsid w:val="00855DA1"/>
    <w:rsid w:val="00856359"/>
    <w:rsid w:val="0085657D"/>
    <w:rsid w:val="008569DC"/>
    <w:rsid w:val="00856DA4"/>
    <w:rsid w:val="00857078"/>
    <w:rsid w:val="00857A3C"/>
    <w:rsid w:val="00860613"/>
    <w:rsid w:val="00861279"/>
    <w:rsid w:val="008612B4"/>
    <w:rsid w:val="00862A90"/>
    <w:rsid w:val="00863D31"/>
    <w:rsid w:val="00863D50"/>
    <w:rsid w:val="0086454A"/>
    <w:rsid w:val="00866E95"/>
    <w:rsid w:val="00867E88"/>
    <w:rsid w:val="00870102"/>
    <w:rsid w:val="00870456"/>
    <w:rsid w:val="008721A5"/>
    <w:rsid w:val="008723A8"/>
    <w:rsid w:val="00872847"/>
    <w:rsid w:val="00872C9B"/>
    <w:rsid w:val="00872E78"/>
    <w:rsid w:val="00872FDB"/>
    <w:rsid w:val="00873451"/>
    <w:rsid w:val="00873471"/>
    <w:rsid w:val="00873C14"/>
    <w:rsid w:val="0087619E"/>
    <w:rsid w:val="00877706"/>
    <w:rsid w:val="00877F7D"/>
    <w:rsid w:val="008811FC"/>
    <w:rsid w:val="00881D54"/>
    <w:rsid w:val="008825CE"/>
    <w:rsid w:val="00882EFB"/>
    <w:rsid w:val="00882F4A"/>
    <w:rsid w:val="0088366A"/>
    <w:rsid w:val="00883A3C"/>
    <w:rsid w:val="0088460D"/>
    <w:rsid w:val="008857AA"/>
    <w:rsid w:val="00885FA2"/>
    <w:rsid w:val="0088688E"/>
    <w:rsid w:val="00887608"/>
    <w:rsid w:val="00887ABB"/>
    <w:rsid w:val="00887FD1"/>
    <w:rsid w:val="008900AF"/>
    <w:rsid w:val="008906E6"/>
    <w:rsid w:val="00890AD0"/>
    <w:rsid w:val="00890B66"/>
    <w:rsid w:val="00891109"/>
    <w:rsid w:val="00891BA0"/>
    <w:rsid w:val="00891BF0"/>
    <w:rsid w:val="00891F38"/>
    <w:rsid w:val="00893E0C"/>
    <w:rsid w:val="00893E72"/>
    <w:rsid w:val="00896BC2"/>
    <w:rsid w:val="00896C06"/>
    <w:rsid w:val="008A072D"/>
    <w:rsid w:val="008A1815"/>
    <w:rsid w:val="008A1C42"/>
    <w:rsid w:val="008A2D63"/>
    <w:rsid w:val="008A2FA0"/>
    <w:rsid w:val="008A3348"/>
    <w:rsid w:val="008A3666"/>
    <w:rsid w:val="008A3889"/>
    <w:rsid w:val="008A4BAF"/>
    <w:rsid w:val="008A56CE"/>
    <w:rsid w:val="008A5CE1"/>
    <w:rsid w:val="008A5EE6"/>
    <w:rsid w:val="008A6398"/>
    <w:rsid w:val="008B048B"/>
    <w:rsid w:val="008B08D3"/>
    <w:rsid w:val="008B19B7"/>
    <w:rsid w:val="008B19E5"/>
    <w:rsid w:val="008B1C16"/>
    <w:rsid w:val="008B2AC1"/>
    <w:rsid w:val="008B2D32"/>
    <w:rsid w:val="008B2D3F"/>
    <w:rsid w:val="008B2E9A"/>
    <w:rsid w:val="008B2EB5"/>
    <w:rsid w:val="008B3ADE"/>
    <w:rsid w:val="008B44C3"/>
    <w:rsid w:val="008B5255"/>
    <w:rsid w:val="008B5613"/>
    <w:rsid w:val="008B62E9"/>
    <w:rsid w:val="008B7050"/>
    <w:rsid w:val="008B7162"/>
    <w:rsid w:val="008C1507"/>
    <w:rsid w:val="008C19A3"/>
    <w:rsid w:val="008C2501"/>
    <w:rsid w:val="008C383B"/>
    <w:rsid w:val="008C3A5F"/>
    <w:rsid w:val="008C44A7"/>
    <w:rsid w:val="008C5671"/>
    <w:rsid w:val="008C59BA"/>
    <w:rsid w:val="008C5D4D"/>
    <w:rsid w:val="008C6671"/>
    <w:rsid w:val="008C739D"/>
    <w:rsid w:val="008C7707"/>
    <w:rsid w:val="008D1695"/>
    <w:rsid w:val="008D22DA"/>
    <w:rsid w:val="008D3273"/>
    <w:rsid w:val="008D3CA0"/>
    <w:rsid w:val="008D4696"/>
    <w:rsid w:val="008D6805"/>
    <w:rsid w:val="008D6CA8"/>
    <w:rsid w:val="008D733D"/>
    <w:rsid w:val="008E0A95"/>
    <w:rsid w:val="008E136A"/>
    <w:rsid w:val="008E14A5"/>
    <w:rsid w:val="008E2336"/>
    <w:rsid w:val="008E27A7"/>
    <w:rsid w:val="008E33F9"/>
    <w:rsid w:val="008E34A2"/>
    <w:rsid w:val="008E34AE"/>
    <w:rsid w:val="008E3BA7"/>
    <w:rsid w:val="008E3D1C"/>
    <w:rsid w:val="008E4D1F"/>
    <w:rsid w:val="008E694D"/>
    <w:rsid w:val="008E78B4"/>
    <w:rsid w:val="008F047E"/>
    <w:rsid w:val="008F2841"/>
    <w:rsid w:val="008F2959"/>
    <w:rsid w:val="008F399F"/>
    <w:rsid w:val="008F39F1"/>
    <w:rsid w:val="008F432C"/>
    <w:rsid w:val="008F4916"/>
    <w:rsid w:val="008F6034"/>
    <w:rsid w:val="008F7859"/>
    <w:rsid w:val="008F7ADB"/>
    <w:rsid w:val="008F7CC9"/>
    <w:rsid w:val="009001B0"/>
    <w:rsid w:val="00900940"/>
    <w:rsid w:val="00900CC0"/>
    <w:rsid w:val="0090288E"/>
    <w:rsid w:val="009038F9"/>
    <w:rsid w:val="00905028"/>
    <w:rsid w:val="009055D6"/>
    <w:rsid w:val="00905AAB"/>
    <w:rsid w:val="009068C3"/>
    <w:rsid w:val="00906F53"/>
    <w:rsid w:val="0090775D"/>
    <w:rsid w:val="00910432"/>
    <w:rsid w:val="0091050C"/>
    <w:rsid w:val="00911865"/>
    <w:rsid w:val="00911A8D"/>
    <w:rsid w:val="00912D34"/>
    <w:rsid w:val="009139AF"/>
    <w:rsid w:val="009148EC"/>
    <w:rsid w:val="00914BFD"/>
    <w:rsid w:val="00914CD2"/>
    <w:rsid w:val="00915EF9"/>
    <w:rsid w:val="009174DB"/>
    <w:rsid w:val="009174F6"/>
    <w:rsid w:val="00917A99"/>
    <w:rsid w:val="00920831"/>
    <w:rsid w:val="00921BFB"/>
    <w:rsid w:val="00921EF9"/>
    <w:rsid w:val="00922AFA"/>
    <w:rsid w:val="00922BF2"/>
    <w:rsid w:val="009234FD"/>
    <w:rsid w:val="00923665"/>
    <w:rsid w:val="00924258"/>
    <w:rsid w:val="00924973"/>
    <w:rsid w:val="00924ED5"/>
    <w:rsid w:val="0092631A"/>
    <w:rsid w:val="009272E3"/>
    <w:rsid w:val="009311DF"/>
    <w:rsid w:val="009314B6"/>
    <w:rsid w:val="0093152E"/>
    <w:rsid w:val="009315A3"/>
    <w:rsid w:val="00931779"/>
    <w:rsid w:val="00931E42"/>
    <w:rsid w:val="0093252C"/>
    <w:rsid w:val="0093283A"/>
    <w:rsid w:val="0093430F"/>
    <w:rsid w:val="009356B3"/>
    <w:rsid w:val="00935AC3"/>
    <w:rsid w:val="00935EAC"/>
    <w:rsid w:val="00937529"/>
    <w:rsid w:val="00940DF7"/>
    <w:rsid w:val="00940F2E"/>
    <w:rsid w:val="00942405"/>
    <w:rsid w:val="00942818"/>
    <w:rsid w:val="00942AD5"/>
    <w:rsid w:val="00942F66"/>
    <w:rsid w:val="00943510"/>
    <w:rsid w:val="00943A66"/>
    <w:rsid w:val="00944371"/>
    <w:rsid w:val="00944529"/>
    <w:rsid w:val="00944CB3"/>
    <w:rsid w:val="00944D10"/>
    <w:rsid w:val="009450BA"/>
    <w:rsid w:val="009454B6"/>
    <w:rsid w:val="009460DF"/>
    <w:rsid w:val="00946929"/>
    <w:rsid w:val="00946D29"/>
    <w:rsid w:val="009474F2"/>
    <w:rsid w:val="00950E7E"/>
    <w:rsid w:val="00952AEF"/>
    <w:rsid w:val="00955C33"/>
    <w:rsid w:val="0095625A"/>
    <w:rsid w:val="00956446"/>
    <w:rsid w:val="00957B4C"/>
    <w:rsid w:val="009603BF"/>
    <w:rsid w:val="00960B5B"/>
    <w:rsid w:val="00960F24"/>
    <w:rsid w:val="00960FAF"/>
    <w:rsid w:val="00960FBE"/>
    <w:rsid w:val="0096172B"/>
    <w:rsid w:val="00961C91"/>
    <w:rsid w:val="009628F6"/>
    <w:rsid w:val="00962AB8"/>
    <w:rsid w:val="00962CB7"/>
    <w:rsid w:val="00962E64"/>
    <w:rsid w:val="00963AA3"/>
    <w:rsid w:val="00963B80"/>
    <w:rsid w:val="00964478"/>
    <w:rsid w:val="009651FA"/>
    <w:rsid w:val="00966080"/>
    <w:rsid w:val="0096628F"/>
    <w:rsid w:val="009664DD"/>
    <w:rsid w:val="00966F48"/>
    <w:rsid w:val="0096744E"/>
    <w:rsid w:val="009704A0"/>
    <w:rsid w:val="00970792"/>
    <w:rsid w:val="00970EB5"/>
    <w:rsid w:val="00971E1A"/>
    <w:rsid w:val="00971EE1"/>
    <w:rsid w:val="00973197"/>
    <w:rsid w:val="00973E14"/>
    <w:rsid w:val="009753FB"/>
    <w:rsid w:val="00975439"/>
    <w:rsid w:val="009756E8"/>
    <w:rsid w:val="00976F97"/>
    <w:rsid w:val="00977317"/>
    <w:rsid w:val="009802E6"/>
    <w:rsid w:val="009804C2"/>
    <w:rsid w:val="00980AFA"/>
    <w:rsid w:val="00980C11"/>
    <w:rsid w:val="00981086"/>
    <w:rsid w:val="0098257D"/>
    <w:rsid w:val="0098302F"/>
    <w:rsid w:val="009831C8"/>
    <w:rsid w:val="00983D28"/>
    <w:rsid w:val="0098474E"/>
    <w:rsid w:val="009857EB"/>
    <w:rsid w:val="00986110"/>
    <w:rsid w:val="009869D5"/>
    <w:rsid w:val="00987232"/>
    <w:rsid w:val="009877E3"/>
    <w:rsid w:val="0099047A"/>
    <w:rsid w:val="009905A0"/>
    <w:rsid w:val="00990EC7"/>
    <w:rsid w:val="00991B95"/>
    <w:rsid w:val="00991D3E"/>
    <w:rsid w:val="00992630"/>
    <w:rsid w:val="00992840"/>
    <w:rsid w:val="00993064"/>
    <w:rsid w:val="00994C6F"/>
    <w:rsid w:val="00994CC4"/>
    <w:rsid w:val="00995379"/>
    <w:rsid w:val="009968AC"/>
    <w:rsid w:val="00996911"/>
    <w:rsid w:val="00996DB9"/>
    <w:rsid w:val="009976E7"/>
    <w:rsid w:val="009A044E"/>
    <w:rsid w:val="009A10AD"/>
    <w:rsid w:val="009A10DD"/>
    <w:rsid w:val="009A11ED"/>
    <w:rsid w:val="009A1795"/>
    <w:rsid w:val="009A1CB0"/>
    <w:rsid w:val="009A2547"/>
    <w:rsid w:val="009A4D66"/>
    <w:rsid w:val="009A5821"/>
    <w:rsid w:val="009A63A6"/>
    <w:rsid w:val="009A65F0"/>
    <w:rsid w:val="009A67A1"/>
    <w:rsid w:val="009A7026"/>
    <w:rsid w:val="009A702B"/>
    <w:rsid w:val="009A7D0C"/>
    <w:rsid w:val="009A7F30"/>
    <w:rsid w:val="009B069B"/>
    <w:rsid w:val="009B097A"/>
    <w:rsid w:val="009B10E0"/>
    <w:rsid w:val="009B18EB"/>
    <w:rsid w:val="009B27DF"/>
    <w:rsid w:val="009B36AF"/>
    <w:rsid w:val="009B393A"/>
    <w:rsid w:val="009B5A7A"/>
    <w:rsid w:val="009B7972"/>
    <w:rsid w:val="009B7A5A"/>
    <w:rsid w:val="009C040E"/>
    <w:rsid w:val="009C0544"/>
    <w:rsid w:val="009C0DD6"/>
    <w:rsid w:val="009C1B29"/>
    <w:rsid w:val="009C1C07"/>
    <w:rsid w:val="009C1F84"/>
    <w:rsid w:val="009C38A8"/>
    <w:rsid w:val="009C38DF"/>
    <w:rsid w:val="009C40F8"/>
    <w:rsid w:val="009C5A3E"/>
    <w:rsid w:val="009C5D66"/>
    <w:rsid w:val="009C6CC1"/>
    <w:rsid w:val="009D05F1"/>
    <w:rsid w:val="009D089E"/>
    <w:rsid w:val="009D094F"/>
    <w:rsid w:val="009D0BF3"/>
    <w:rsid w:val="009D0E88"/>
    <w:rsid w:val="009D0EB6"/>
    <w:rsid w:val="009D1003"/>
    <w:rsid w:val="009D24D7"/>
    <w:rsid w:val="009D256E"/>
    <w:rsid w:val="009D2DB6"/>
    <w:rsid w:val="009D2EAF"/>
    <w:rsid w:val="009D2F47"/>
    <w:rsid w:val="009D2FB9"/>
    <w:rsid w:val="009D3067"/>
    <w:rsid w:val="009D39EE"/>
    <w:rsid w:val="009D3B45"/>
    <w:rsid w:val="009D4E78"/>
    <w:rsid w:val="009D5487"/>
    <w:rsid w:val="009D55B8"/>
    <w:rsid w:val="009D5F35"/>
    <w:rsid w:val="009D674E"/>
    <w:rsid w:val="009D6791"/>
    <w:rsid w:val="009D7835"/>
    <w:rsid w:val="009D7CDF"/>
    <w:rsid w:val="009D7EFC"/>
    <w:rsid w:val="009E05AC"/>
    <w:rsid w:val="009E1548"/>
    <w:rsid w:val="009E1649"/>
    <w:rsid w:val="009E172B"/>
    <w:rsid w:val="009E1B55"/>
    <w:rsid w:val="009E204D"/>
    <w:rsid w:val="009E253A"/>
    <w:rsid w:val="009E25F5"/>
    <w:rsid w:val="009E39C0"/>
    <w:rsid w:val="009E4CE0"/>
    <w:rsid w:val="009E523E"/>
    <w:rsid w:val="009E5367"/>
    <w:rsid w:val="009E7B93"/>
    <w:rsid w:val="009F0062"/>
    <w:rsid w:val="009F0349"/>
    <w:rsid w:val="009F1CE1"/>
    <w:rsid w:val="009F1E76"/>
    <w:rsid w:val="009F2D48"/>
    <w:rsid w:val="009F2FEB"/>
    <w:rsid w:val="009F3268"/>
    <w:rsid w:val="009F4230"/>
    <w:rsid w:val="009F4860"/>
    <w:rsid w:val="009F58F4"/>
    <w:rsid w:val="009F5F2C"/>
    <w:rsid w:val="009F6749"/>
    <w:rsid w:val="009F6A7F"/>
    <w:rsid w:val="009F6C56"/>
    <w:rsid w:val="00A0021A"/>
    <w:rsid w:val="00A0178C"/>
    <w:rsid w:val="00A01D67"/>
    <w:rsid w:val="00A01EAA"/>
    <w:rsid w:val="00A0206E"/>
    <w:rsid w:val="00A02A33"/>
    <w:rsid w:val="00A02F5D"/>
    <w:rsid w:val="00A031CC"/>
    <w:rsid w:val="00A0323B"/>
    <w:rsid w:val="00A04192"/>
    <w:rsid w:val="00A04474"/>
    <w:rsid w:val="00A0482C"/>
    <w:rsid w:val="00A06A94"/>
    <w:rsid w:val="00A0762A"/>
    <w:rsid w:val="00A0776D"/>
    <w:rsid w:val="00A0778F"/>
    <w:rsid w:val="00A1004D"/>
    <w:rsid w:val="00A1182A"/>
    <w:rsid w:val="00A13922"/>
    <w:rsid w:val="00A13DB8"/>
    <w:rsid w:val="00A13F1D"/>
    <w:rsid w:val="00A1482D"/>
    <w:rsid w:val="00A14AA1"/>
    <w:rsid w:val="00A155ED"/>
    <w:rsid w:val="00A15F37"/>
    <w:rsid w:val="00A16191"/>
    <w:rsid w:val="00A163E3"/>
    <w:rsid w:val="00A16B96"/>
    <w:rsid w:val="00A220C0"/>
    <w:rsid w:val="00A22229"/>
    <w:rsid w:val="00A2239A"/>
    <w:rsid w:val="00A2295F"/>
    <w:rsid w:val="00A22A52"/>
    <w:rsid w:val="00A23246"/>
    <w:rsid w:val="00A24A2E"/>
    <w:rsid w:val="00A25215"/>
    <w:rsid w:val="00A25889"/>
    <w:rsid w:val="00A2710F"/>
    <w:rsid w:val="00A3034C"/>
    <w:rsid w:val="00A30764"/>
    <w:rsid w:val="00A325EE"/>
    <w:rsid w:val="00A338A1"/>
    <w:rsid w:val="00A349CB"/>
    <w:rsid w:val="00A34E5A"/>
    <w:rsid w:val="00A3508F"/>
    <w:rsid w:val="00A35D8A"/>
    <w:rsid w:val="00A364F7"/>
    <w:rsid w:val="00A36CE8"/>
    <w:rsid w:val="00A36DDD"/>
    <w:rsid w:val="00A378ED"/>
    <w:rsid w:val="00A37C13"/>
    <w:rsid w:val="00A425BA"/>
    <w:rsid w:val="00A42D6B"/>
    <w:rsid w:val="00A42EEB"/>
    <w:rsid w:val="00A430E2"/>
    <w:rsid w:val="00A4316F"/>
    <w:rsid w:val="00A447E7"/>
    <w:rsid w:val="00A44A0C"/>
    <w:rsid w:val="00A454B6"/>
    <w:rsid w:val="00A4559F"/>
    <w:rsid w:val="00A45FC0"/>
    <w:rsid w:val="00A46558"/>
    <w:rsid w:val="00A472F8"/>
    <w:rsid w:val="00A50571"/>
    <w:rsid w:val="00A50AEA"/>
    <w:rsid w:val="00A5314F"/>
    <w:rsid w:val="00A53F81"/>
    <w:rsid w:val="00A54055"/>
    <w:rsid w:val="00A54B25"/>
    <w:rsid w:val="00A54D53"/>
    <w:rsid w:val="00A55882"/>
    <w:rsid w:val="00A5590F"/>
    <w:rsid w:val="00A569E0"/>
    <w:rsid w:val="00A56B6B"/>
    <w:rsid w:val="00A60311"/>
    <w:rsid w:val="00A60546"/>
    <w:rsid w:val="00A61107"/>
    <w:rsid w:val="00A63272"/>
    <w:rsid w:val="00A63EEE"/>
    <w:rsid w:val="00A6445C"/>
    <w:rsid w:val="00A66054"/>
    <w:rsid w:val="00A66F1E"/>
    <w:rsid w:val="00A6760A"/>
    <w:rsid w:val="00A676D3"/>
    <w:rsid w:val="00A679AD"/>
    <w:rsid w:val="00A71142"/>
    <w:rsid w:val="00A711B7"/>
    <w:rsid w:val="00A7149F"/>
    <w:rsid w:val="00A72C93"/>
    <w:rsid w:val="00A72DB7"/>
    <w:rsid w:val="00A72FF3"/>
    <w:rsid w:val="00A7410C"/>
    <w:rsid w:val="00A754A0"/>
    <w:rsid w:val="00A76082"/>
    <w:rsid w:val="00A7784F"/>
    <w:rsid w:val="00A80A07"/>
    <w:rsid w:val="00A811D6"/>
    <w:rsid w:val="00A81F02"/>
    <w:rsid w:val="00A82860"/>
    <w:rsid w:val="00A82B36"/>
    <w:rsid w:val="00A82F07"/>
    <w:rsid w:val="00A832BA"/>
    <w:rsid w:val="00A8331B"/>
    <w:rsid w:val="00A83BF6"/>
    <w:rsid w:val="00A84963"/>
    <w:rsid w:val="00A84D9C"/>
    <w:rsid w:val="00A85048"/>
    <w:rsid w:val="00A86552"/>
    <w:rsid w:val="00A86CD7"/>
    <w:rsid w:val="00A86D7C"/>
    <w:rsid w:val="00A8750A"/>
    <w:rsid w:val="00A9017B"/>
    <w:rsid w:val="00A90878"/>
    <w:rsid w:val="00A91266"/>
    <w:rsid w:val="00A9266A"/>
    <w:rsid w:val="00A9310D"/>
    <w:rsid w:val="00A9367D"/>
    <w:rsid w:val="00A950F4"/>
    <w:rsid w:val="00A9567A"/>
    <w:rsid w:val="00A96783"/>
    <w:rsid w:val="00A97098"/>
    <w:rsid w:val="00A97337"/>
    <w:rsid w:val="00A97B08"/>
    <w:rsid w:val="00A97D41"/>
    <w:rsid w:val="00A97F5A"/>
    <w:rsid w:val="00A97F92"/>
    <w:rsid w:val="00AA0D5A"/>
    <w:rsid w:val="00AA17F7"/>
    <w:rsid w:val="00AA253F"/>
    <w:rsid w:val="00AA25AC"/>
    <w:rsid w:val="00AA28D2"/>
    <w:rsid w:val="00AA2D58"/>
    <w:rsid w:val="00AA4A27"/>
    <w:rsid w:val="00AA4C06"/>
    <w:rsid w:val="00AA5C1F"/>
    <w:rsid w:val="00AA62A7"/>
    <w:rsid w:val="00AA7E5F"/>
    <w:rsid w:val="00AB0ED1"/>
    <w:rsid w:val="00AB16F3"/>
    <w:rsid w:val="00AB1ED1"/>
    <w:rsid w:val="00AB23B0"/>
    <w:rsid w:val="00AB2567"/>
    <w:rsid w:val="00AB3273"/>
    <w:rsid w:val="00AB3537"/>
    <w:rsid w:val="00AB365A"/>
    <w:rsid w:val="00AB3A63"/>
    <w:rsid w:val="00AB4201"/>
    <w:rsid w:val="00AB453D"/>
    <w:rsid w:val="00AB48D1"/>
    <w:rsid w:val="00AB4CFC"/>
    <w:rsid w:val="00AB5363"/>
    <w:rsid w:val="00AB58F2"/>
    <w:rsid w:val="00AB5E9F"/>
    <w:rsid w:val="00AB61EF"/>
    <w:rsid w:val="00AB689B"/>
    <w:rsid w:val="00AB7541"/>
    <w:rsid w:val="00AB7CDE"/>
    <w:rsid w:val="00AC0AAA"/>
    <w:rsid w:val="00AC0D62"/>
    <w:rsid w:val="00AC1771"/>
    <w:rsid w:val="00AC1934"/>
    <w:rsid w:val="00AC277A"/>
    <w:rsid w:val="00AC41F9"/>
    <w:rsid w:val="00AC4EEC"/>
    <w:rsid w:val="00AC5B51"/>
    <w:rsid w:val="00AC6C46"/>
    <w:rsid w:val="00AC6D5D"/>
    <w:rsid w:val="00AC6F64"/>
    <w:rsid w:val="00AC706B"/>
    <w:rsid w:val="00AC7487"/>
    <w:rsid w:val="00AC7B00"/>
    <w:rsid w:val="00AD03D9"/>
    <w:rsid w:val="00AD20AF"/>
    <w:rsid w:val="00AD25AD"/>
    <w:rsid w:val="00AD3A59"/>
    <w:rsid w:val="00AD3BBF"/>
    <w:rsid w:val="00AD485D"/>
    <w:rsid w:val="00AD613B"/>
    <w:rsid w:val="00AE079E"/>
    <w:rsid w:val="00AE0D0C"/>
    <w:rsid w:val="00AE1BA9"/>
    <w:rsid w:val="00AE2387"/>
    <w:rsid w:val="00AE4002"/>
    <w:rsid w:val="00AE6E19"/>
    <w:rsid w:val="00AE724E"/>
    <w:rsid w:val="00AE76A8"/>
    <w:rsid w:val="00AF09A0"/>
    <w:rsid w:val="00AF1091"/>
    <w:rsid w:val="00AF153A"/>
    <w:rsid w:val="00AF18A6"/>
    <w:rsid w:val="00AF18CA"/>
    <w:rsid w:val="00AF1CFD"/>
    <w:rsid w:val="00AF2306"/>
    <w:rsid w:val="00AF2617"/>
    <w:rsid w:val="00AF2AE5"/>
    <w:rsid w:val="00AF2B00"/>
    <w:rsid w:val="00AF3AD9"/>
    <w:rsid w:val="00AF4640"/>
    <w:rsid w:val="00AF5145"/>
    <w:rsid w:val="00AF52CD"/>
    <w:rsid w:val="00AF58F3"/>
    <w:rsid w:val="00AF5ABA"/>
    <w:rsid w:val="00AF6D5C"/>
    <w:rsid w:val="00AF6D94"/>
    <w:rsid w:val="00B00317"/>
    <w:rsid w:val="00B0149D"/>
    <w:rsid w:val="00B014EC"/>
    <w:rsid w:val="00B04FE2"/>
    <w:rsid w:val="00B05126"/>
    <w:rsid w:val="00B05277"/>
    <w:rsid w:val="00B05777"/>
    <w:rsid w:val="00B05B5E"/>
    <w:rsid w:val="00B06527"/>
    <w:rsid w:val="00B07EE5"/>
    <w:rsid w:val="00B10C3C"/>
    <w:rsid w:val="00B11271"/>
    <w:rsid w:val="00B112A5"/>
    <w:rsid w:val="00B116FF"/>
    <w:rsid w:val="00B118CF"/>
    <w:rsid w:val="00B12833"/>
    <w:rsid w:val="00B12D4B"/>
    <w:rsid w:val="00B140E9"/>
    <w:rsid w:val="00B14557"/>
    <w:rsid w:val="00B1471D"/>
    <w:rsid w:val="00B15438"/>
    <w:rsid w:val="00B17281"/>
    <w:rsid w:val="00B2131B"/>
    <w:rsid w:val="00B21BF3"/>
    <w:rsid w:val="00B222E2"/>
    <w:rsid w:val="00B230A8"/>
    <w:rsid w:val="00B2310C"/>
    <w:rsid w:val="00B23328"/>
    <w:rsid w:val="00B233EC"/>
    <w:rsid w:val="00B23B81"/>
    <w:rsid w:val="00B242B1"/>
    <w:rsid w:val="00B24E54"/>
    <w:rsid w:val="00B25994"/>
    <w:rsid w:val="00B27646"/>
    <w:rsid w:val="00B30A4E"/>
    <w:rsid w:val="00B31A01"/>
    <w:rsid w:val="00B31E3C"/>
    <w:rsid w:val="00B32C18"/>
    <w:rsid w:val="00B33037"/>
    <w:rsid w:val="00B33732"/>
    <w:rsid w:val="00B3483B"/>
    <w:rsid w:val="00B35C7E"/>
    <w:rsid w:val="00B35D32"/>
    <w:rsid w:val="00B36448"/>
    <w:rsid w:val="00B377F6"/>
    <w:rsid w:val="00B40FEB"/>
    <w:rsid w:val="00B416B1"/>
    <w:rsid w:val="00B418F4"/>
    <w:rsid w:val="00B426A2"/>
    <w:rsid w:val="00B42D4E"/>
    <w:rsid w:val="00B43376"/>
    <w:rsid w:val="00B43E68"/>
    <w:rsid w:val="00B44209"/>
    <w:rsid w:val="00B44CCC"/>
    <w:rsid w:val="00B44EAC"/>
    <w:rsid w:val="00B465C8"/>
    <w:rsid w:val="00B472C9"/>
    <w:rsid w:val="00B47636"/>
    <w:rsid w:val="00B47C1C"/>
    <w:rsid w:val="00B47F43"/>
    <w:rsid w:val="00B506AC"/>
    <w:rsid w:val="00B50773"/>
    <w:rsid w:val="00B50D1B"/>
    <w:rsid w:val="00B50E2C"/>
    <w:rsid w:val="00B51364"/>
    <w:rsid w:val="00B517ED"/>
    <w:rsid w:val="00B52041"/>
    <w:rsid w:val="00B52A2C"/>
    <w:rsid w:val="00B52F1D"/>
    <w:rsid w:val="00B53170"/>
    <w:rsid w:val="00B536A8"/>
    <w:rsid w:val="00B53B00"/>
    <w:rsid w:val="00B54AE6"/>
    <w:rsid w:val="00B54F8C"/>
    <w:rsid w:val="00B551CF"/>
    <w:rsid w:val="00B56D06"/>
    <w:rsid w:val="00B5765A"/>
    <w:rsid w:val="00B60C22"/>
    <w:rsid w:val="00B616A0"/>
    <w:rsid w:val="00B620CA"/>
    <w:rsid w:val="00B6232A"/>
    <w:rsid w:val="00B62B8F"/>
    <w:rsid w:val="00B62D75"/>
    <w:rsid w:val="00B63850"/>
    <w:rsid w:val="00B6475C"/>
    <w:rsid w:val="00B649F7"/>
    <w:rsid w:val="00B667C6"/>
    <w:rsid w:val="00B66DB7"/>
    <w:rsid w:val="00B67ADB"/>
    <w:rsid w:val="00B70A7F"/>
    <w:rsid w:val="00B716B3"/>
    <w:rsid w:val="00B719C9"/>
    <w:rsid w:val="00B71C25"/>
    <w:rsid w:val="00B71D4B"/>
    <w:rsid w:val="00B7214B"/>
    <w:rsid w:val="00B72A9B"/>
    <w:rsid w:val="00B73636"/>
    <w:rsid w:val="00B7370E"/>
    <w:rsid w:val="00B7381A"/>
    <w:rsid w:val="00B73C08"/>
    <w:rsid w:val="00B7439C"/>
    <w:rsid w:val="00B743D7"/>
    <w:rsid w:val="00B7534C"/>
    <w:rsid w:val="00B7657E"/>
    <w:rsid w:val="00B76793"/>
    <w:rsid w:val="00B76C42"/>
    <w:rsid w:val="00B76CBC"/>
    <w:rsid w:val="00B770C9"/>
    <w:rsid w:val="00B80C63"/>
    <w:rsid w:val="00B819ED"/>
    <w:rsid w:val="00B8390E"/>
    <w:rsid w:val="00B83CA3"/>
    <w:rsid w:val="00B84219"/>
    <w:rsid w:val="00B84275"/>
    <w:rsid w:val="00B84382"/>
    <w:rsid w:val="00B85068"/>
    <w:rsid w:val="00B85154"/>
    <w:rsid w:val="00B85546"/>
    <w:rsid w:val="00B85D8E"/>
    <w:rsid w:val="00B87377"/>
    <w:rsid w:val="00B87EA2"/>
    <w:rsid w:val="00B90139"/>
    <w:rsid w:val="00B913AA"/>
    <w:rsid w:val="00B91481"/>
    <w:rsid w:val="00B91B01"/>
    <w:rsid w:val="00B9205C"/>
    <w:rsid w:val="00B925BA"/>
    <w:rsid w:val="00B93031"/>
    <w:rsid w:val="00B9335D"/>
    <w:rsid w:val="00B94400"/>
    <w:rsid w:val="00B95673"/>
    <w:rsid w:val="00B961C8"/>
    <w:rsid w:val="00B96C2A"/>
    <w:rsid w:val="00B96FD4"/>
    <w:rsid w:val="00B97971"/>
    <w:rsid w:val="00B97D8D"/>
    <w:rsid w:val="00BA04E1"/>
    <w:rsid w:val="00BA18D1"/>
    <w:rsid w:val="00BA19E0"/>
    <w:rsid w:val="00BA1D00"/>
    <w:rsid w:val="00BA1F8A"/>
    <w:rsid w:val="00BA258C"/>
    <w:rsid w:val="00BA280D"/>
    <w:rsid w:val="00BA3140"/>
    <w:rsid w:val="00BA321E"/>
    <w:rsid w:val="00BA3EDB"/>
    <w:rsid w:val="00BA4441"/>
    <w:rsid w:val="00BA46B0"/>
    <w:rsid w:val="00BA47DA"/>
    <w:rsid w:val="00BA4E91"/>
    <w:rsid w:val="00BA5E59"/>
    <w:rsid w:val="00BA6D0B"/>
    <w:rsid w:val="00BA75F2"/>
    <w:rsid w:val="00BB0F17"/>
    <w:rsid w:val="00BB1A4D"/>
    <w:rsid w:val="00BB1A9F"/>
    <w:rsid w:val="00BB228F"/>
    <w:rsid w:val="00BB304B"/>
    <w:rsid w:val="00BB347F"/>
    <w:rsid w:val="00BB36ED"/>
    <w:rsid w:val="00BB50DE"/>
    <w:rsid w:val="00BB641A"/>
    <w:rsid w:val="00BB6DED"/>
    <w:rsid w:val="00BB79A4"/>
    <w:rsid w:val="00BB7A89"/>
    <w:rsid w:val="00BB7CBB"/>
    <w:rsid w:val="00BC08D4"/>
    <w:rsid w:val="00BC0CB8"/>
    <w:rsid w:val="00BC0EE4"/>
    <w:rsid w:val="00BC1B82"/>
    <w:rsid w:val="00BC1D46"/>
    <w:rsid w:val="00BC21D7"/>
    <w:rsid w:val="00BC4A61"/>
    <w:rsid w:val="00BC52EB"/>
    <w:rsid w:val="00BC5978"/>
    <w:rsid w:val="00BC5A14"/>
    <w:rsid w:val="00BC63D5"/>
    <w:rsid w:val="00BC6876"/>
    <w:rsid w:val="00BD0100"/>
    <w:rsid w:val="00BD297C"/>
    <w:rsid w:val="00BD2BB6"/>
    <w:rsid w:val="00BD4509"/>
    <w:rsid w:val="00BD483C"/>
    <w:rsid w:val="00BD4931"/>
    <w:rsid w:val="00BD499A"/>
    <w:rsid w:val="00BD532D"/>
    <w:rsid w:val="00BD6018"/>
    <w:rsid w:val="00BD6F03"/>
    <w:rsid w:val="00BD6FDA"/>
    <w:rsid w:val="00BD77B5"/>
    <w:rsid w:val="00BD7A55"/>
    <w:rsid w:val="00BE00E4"/>
    <w:rsid w:val="00BE0270"/>
    <w:rsid w:val="00BE0809"/>
    <w:rsid w:val="00BE0965"/>
    <w:rsid w:val="00BE0D73"/>
    <w:rsid w:val="00BE0DD9"/>
    <w:rsid w:val="00BE180E"/>
    <w:rsid w:val="00BE19CD"/>
    <w:rsid w:val="00BE21A8"/>
    <w:rsid w:val="00BE2827"/>
    <w:rsid w:val="00BE2CB6"/>
    <w:rsid w:val="00BE331A"/>
    <w:rsid w:val="00BE391E"/>
    <w:rsid w:val="00BE4444"/>
    <w:rsid w:val="00BE48B7"/>
    <w:rsid w:val="00BE4C20"/>
    <w:rsid w:val="00BE53BC"/>
    <w:rsid w:val="00BE5574"/>
    <w:rsid w:val="00BE5CDB"/>
    <w:rsid w:val="00BE5DF3"/>
    <w:rsid w:val="00BE61B0"/>
    <w:rsid w:val="00BE6BFF"/>
    <w:rsid w:val="00BE74B4"/>
    <w:rsid w:val="00BE74D9"/>
    <w:rsid w:val="00BF01E3"/>
    <w:rsid w:val="00BF0B84"/>
    <w:rsid w:val="00BF19A0"/>
    <w:rsid w:val="00BF2280"/>
    <w:rsid w:val="00BF4843"/>
    <w:rsid w:val="00BF4B69"/>
    <w:rsid w:val="00BF5F81"/>
    <w:rsid w:val="00BF6456"/>
    <w:rsid w:val="00BF6462"/>
    <w:rsid w:val="00BF6F8D"/>
    <w:rsid w:val="00BF7738"/>
    <w:rsid w:val="00BF77A4"/>
    <w:rsid w:val="00C00471"/>
    <w:rsid w:val="00C011B3"/>
    <w:rsid w:val="00C014C6"/>
    <w:rsid w:val="00C01839"/>
    <w:rsid w:val="00C01BF8"/>
    <w:rsid w:val="00C02043"/>
    <w:rsid w:val="00C04A40"/>
    <w:rsid w:val="00C04F50"/>
    <w:rsid w:val="00C05E06"/>
    <w:rsid w:val="00C06FED"/>
    <w:rsid w:val="00C0702F"/>
    <w:rsid w:val="00C076D3"/>
    <w:rsid w:val="00C1041E"/>
    <w:rsid w:val="00C1044E"/>
    <w:rsid w:val="00C10EB9"/>
    <w:rsid w:val="00C11E3B"/>
    <w:rsid w:val="00C1233D"/>
    <w:rsid w:val="00C12AFA"/>
    <w:rsid w:val="00C12E9A"/>
    <w:rsid w:val="00C1412B"/>
    <w:rsid w:val="00C15578"/>
    <w:rsid w:val="00C15648"/>
    <w:rsid w:val="00C16E21"/>
    <w:rsid w:val="00C17244"/>
    <w:rsid w:val="00C2000C"/>
    <w:rsid w:val="00C2020E"/>
    <w:rsid w:val="00C20265"/>
    <w:rsid w:val="00C2049A"/>
    <w:rsid w:val="00C20ECB"/>
    <w:rsid w:val="00C2112F"/>
    <w:rsid w:val="00C21CA1"/>
    <w:rsid w:val="00C21D7D"/>
    <w:rsid w:val="00C21FB0"/>
    <w:rsid w:val="00C24142"/>
    <w:rsid w:val="00C257EC"/>
    <w:rsid w:val="00C25B6F"/>
    <w:rsid w:val="00C25CA5"/>
    <w:rsid w:val="00C2605E"/>
    <w:rsid w:val="00C2648E"/>
    <w:rsid w:val="00C26B97"/>
    <w:rsid w:val="00C27BE2"/>
    <w:rsid w:val="00C30194"/>
    <w:rsid w:val="00C30973"/>
    <w:rsid w:val="00C30F85"/>
    <w:rsid w:val="00C31129"/>
    <w:rsid w:val="00C313E7"/>
    <w:rsid w:val="00C3210B"/>
    <w:rsid w:val="00C326A9"/>
    <w:rsid w:val="00C34EEE"/>
    <w:rsid w:val="00C3561D"/>
    <w:rsid w:val="00C3654D"/>
    <w:rsid w:val="00C369FE"/>
    <w:rsid w:val="00C410EB"/>
    <w:rsid w:val="00C4196A"/>
    <w:rsid w:val="00C41CF2"/>
    <w:rsid w:val="00C41E47"/>
    <w:rsid w:val="00C42E87"/>
    <w:rsid w:val="00C42F00"/>
    <w:rsid w:val="00C43453"/>
    <w:rsid w:val="00C44924"/>
    <w:rsid w:val="00C45097"/>
    <w:rsid w:val="00C45C93"/>
    <w:rsid w:val="00C461EB"/>
    <w:rsid w:val="00C50077"/>
    <w:rsid w:val="00C51720"/>
    <w:rsid w:val="00C51E03"/>
    <w:rsid w:val="00C520D7"/>
    <w:rsid w:val="00C52B35"/>
    <w:rsid w:val="00C5372C"/>
    <w:rsid w:val="00C53769"/>
    <w:rsid w:val="00C53EEF"/>
    <w:rsid w:val="00C55CD2"/>
    <w:rsid w:val="00C55E91"/>
    <w:rsid w:val="00C562B4"/>
    <w:rsid w:val="00C56832"/>
    <w:rsid w:val="00C56C08"/>
    <w:rsid w:val="00C57869"/>
    <w:rsid w:val="00C60DF5"/>
    <w:rsid w:val="00C60FED"/>
    <w:rsid w:val="00C627A3"/>
    <w:rsid w:val="00C64C2F"/>
    <w:rsid w:val="00C6528A"/>
    <w:rsid w:val="00C6546A"/>
    <w:rsid w:val="00C66586"/>
    <w:rsid w:val="00C665F2"/>
    <w:rsid w:val="00C672BF"/>
    <w:rsid w:val="00C6749F"/>
    <w:rsid w:val="00C676D3"/>
    <w:rsid w:val="00C7054B"/>
    <w:rsid w:val="00C70598"/>
    <w:rsid w:val="00C71439"/>
    <w:rsid w:val="00C72AE9"/>
    <w:rsid w:val="00C7375A"/>
    <w:rsid w:val="00C74048"/>
    <w:rsid w:val="00C74654"/>
    <w:rsid w:val="00C74775"/>
    <w:rsid w:val="00C74F0F"/>
    <w:rsid w:val="00C754A8"/>
    <w:rsid w:val="00C7556D"/>
    <w:rsid w:val="00C75F55"/>
    <w:rsid w:val="00C76725"/>
    <w:rsid w:val="00C77FDD"/>
    <w:rsid w:val="00C81867"/>
    <w:rsid w:val="00C81AAE"/>
    <w:rsid w:val="00C81EBC"/>
    <w:rsid w:val="00C82FE1"/>
    <w:rsid w:val="00C847AA"/>
    <w:rsid w:val="00C84C3A"/>
    <w:rsid w:val="00C86300"/>
    <w:rsid w:val="00C8679C"/>
    <w:rsid w:val="00C8685C"/>
    <w:rsid w:val="00C873BE"/>
    <w:rsid w:val="00C87645"/>
    <w:rsid w:val="00C87795"/>
    <w:rsid w:val="00C8788F"/>
    <w:rsid w:val="00C878A2"/>
    <w:rsid w:val="00C93936"/>
    <w:rsid w:val="00C948E7"/>
    <w:rsid w:val="00C963E5"/>
    <w:rsid w:val="00C967BE"/>
    <w:rsid w:val="00C96E4A"/>
    <w:rsid w:val="00C97546"/>
    <w:rsid w:val="00C975A8"/>
    <w:rsid w:val="00C97688"/>
    <w:rsid w:val="00C97773"/>
    <w:rsid w:val="00C9786B"/>
    <w:rsid w:val="00C97D39"/>
    <w:rsid w:val="00CA1482"/>
    <w:rsid w:val="00CA1957"/>
    <w:rsid w:val="00CA2159"/>
    <w:rsid w:val="00CA21E3"/>
    <w:rsid w:val="00CA2ACE"/>
    <w:rsid w:val="00CA3B1F"/>
    <w:rsid w:val="00CA3B41"/>
    <w:rsid w:val="00CA3BA7"/>
    <w:rsid w:val="00CA3D0C"/>
    <w:rsid w:val="00CA7866"/>
    <w:rsid w:val="00CA7F24"/>
    <w:rsid w:val="00CB0C31"/>
    <w:rsid w:val="00CB0D84"/>
    <w:rsid w:val="00CB1580"/>
    <w:rsid w:val="00CB1A38"/>
    <w:rsid w:val="00CB21B3"/>
    <w:rsid w:val="00CB2E9C"/>
    <w:rsid w:val="00CB3460"/>
    <w:rsid w:val="00CB4072"/>
    <w:rsid w:val="00CB484D"/>
    <w:rsid w:val="00CB517A"/>
    <w:rsid w:val="00CB5E18"/>
    <w:rsid w:val="00CB61C9"/>
    <w:rsid w:val="00CB62EE"/>
    <w:rsid w:val="00CB7176"/>
    <w:rsid w:val="00CB730C"/>
    <w:rsid w:val="00CC0F4A"/>
    <w:rsid w:val="00CC0F68"/>
    <w:rsid w:val="00CC22B1"/>
    <w:rsid w:val="00CC2A03"/>
    <w:rsid w:val="00CC2C93"/>
    <w:rsid w:val="00CC2DC4"/>
    <w:rsid w:val="00CC384C"/>
    <w:rsid w:val="00CC38CF"/>
    <w:rsid w:val="00CC3988"/>
    <w:rsid w:val="00CC5202"/>
    <w:rsid w:val="00CC52C9"/>
    <w:rsid w:val="00CC53F4"/>
    <w:rsid w:val="00CC5AF3"/>
    <w:rsid w:val="00CC68BF"/>
    <w:rsid w:val="00CC6958"/>
    <w:rsid w:val="00CC7C45"/>
    <w:rsid w:val="00CD13B1"/>
    <w:rsid w:val="00CD2107"/>
    <w:rsid w:val="00CD28EC"/>
    <w:rsid w:val="00CD2DC8"/>
    <w:rsid w:val="00CD3D23"/>
    <w:rsid w:val="00CD3FDF"/>
    <w:rsid w:val="00CD561D"/>
    <w:rsid w:val="00CD6EF5"/>
    <w:rsid w:val="00CD755A"/>
    <w:rsid w:val="00CE052C"/>
    <w:rsid w:val="00CE0CE1"/>
    <w:rsid w:val="00CE20E9"/>
    <w:rsid w:val="00CE3DD3"/>
    <w:rsid w:val="00CE4053"/>
    <w:rsid w:val="00CE4954"/>
    <w:rsid w:val="00CE5016"/>
    <w:rsid w:val="00CE596E"/>
    <w:rsid w:val="00CE5FEF"/>
    <w:rsid w:val="00CF1160"/>
    <w:rsid w:val="00CF3482"/>
    <w:rsid w:val="00CF4940"/>
    <w:rsid w:val="00CF4CD4"/>
    <w:rsid w:val="00CF507C"/>
    <w:rsid w:val="00CF5293"/>
    <w:rsid w:val="00CF72AC"/>
    <w:rsid w:val="00D0011E"/>
    <w:rsid w:val="00D004E5"/>
    <w:rsid w:val="00D0136A"/>
    <w:rsid w:val="00D0142A"/>
    <w:rsid w:val="00D0150B"/>
    <w:rsid w:val="00D02111"/>
    <w:rsid w:val="00D0280B"/>
    <w:rsid w:val="00D038D7"/>
    <w:rsid w:val="00D03B38"/>
    <w:rsid w:val="00D052E6"/>
    <w:rsid w:val="00D05DDB"/>
    <w:rsid w:val="00D073F9"/>
    <w:rsid w:val="00D07DD7"/>
    <w:rsid w:val="00D10717"/>
    <w:rsid w:val="00D1147F"/>
    <w:rsid w:val="00D13DF1"/>
    <w:rsid w:val="00D13EDA"/>
    <w:rsid w:val="00D15061"/>
    <w:rsid w:val="00D1522E"/>
    <w:rsid w:val="00D15D74"/>
    <w:rsid w:val="00D16D8E"/>
    <w:rsid w:val="00D16FB5"/>
    <w:rsid w:val="00D1722E"/>
    <w:rsid w:val="00D176B7"/>
    <w:rsid w:val="00D17F2A"/>
    <w:rsid w:val="00D20B08"/>
    <w:rsid w:val="00D211A5"/>
    <w:rsid w:val="00D2261D"/>
    <w:rsid w:val="00D228B8"/>
    <w:rsid w:val="00D2301A"/>
    <w:rsid w:val="00D24515"/>
    <w:rsid w:val="00D24B00"/>
    <w:rsid w:val="00D24E61"/>
    <w:rsid w:val="00D2526B"/>
    <w:rsid w:val="00D266A9"/>
    <w:rsid w:val="00D27660"/>
    <w:rsid w:val="00D30E94"/>
    <w:rsid w:val="00D31401"/>
    <w:rsid w:val="00D324DA"/>
    <w:rsid w:val="00D3266B"/>
    <w:rsid w:val="00D32A14"/>
    <w:rsid w:val="00D32B43"/>
    <w:rsid w:val="00D33571"/>
    <w:rsid w:val="00D339A1"/>
    <w:rsid w:val="00D33CFC"/>
    <w:rsid w:val="00D344F3"/>
    <w:rsid w:val="00D3524B"/>
    <w:rsid w:val="00D357A4"/>
    <w:rsid w:val="00D36238"/>
    <w:rsid w:val="00D36EB1"/>
    <w:rsid w:val="00D375AE"/>
    <w:rsid w:val="00D4029D"/>
    <w:rsid w:val="00D43642"/>
    <w:rsid w:val="00D44DF2"/>
    <w:rsid w:val="00D44EDE"/>
    <w:rsid w:val="00D451A5"/>
    <w:rsid w:val="00D451C1"/>
    <w:rsid w:val="00D45283"/>
    <w:rsid w:val="00D4541B"/>
    <w:rsid w:val="00D477C3"/>
    <w:rsid w:val="00D47CB0"/>
    <w:rsid w:val="00D47DE7"/>
    <w:rsid w:val="00D51271"/>
    <w:rsid w:val="00D51828"/>
    <w:rsid w:val="00D53179"/>
    <w:rsid w:val="00D53DC5"/>
    <w:rsid w:val="00D5465D"/>
    <w:rsid w:val="00D5517C"/>
    <w:rsid w:val="00D55406"/>
    <w:rsid w:val="00D55E9A"/>
    <w:rsid w:val="00D5615B"/>
    <w:rsid w:val="00D56E84"/>
    <w:rsid w:val="00D60759"/>
    <w:rsid w:val="00D6293F"/>
    <w:rsid w:val="00D662E4"/>
    <w:rsid w:val="00D670D3"/>
    <w:rsid w:val="00D67470"/>
    <w:rsid w:val="00D6792F"/>
    <w:rsid w:val="00D67B99"/>
    <w:rsid w:val="00D67FC9"/>
    <w:rsid w:val="00D709B5"/>
    <w:rsid w:val="00D729D1"/>
    <w:rsid w:val="00D72B2A"/>
    <w:rsid w:val="00D736FB"/>
    <w:rsid w:val="00D73AAF"/>
    <w:rsid w:val="00D73B35"/>
    <w:rsid w:val="00D74B08"/>
    <w:rsid w:val="00D75461"/>
    <w:rsid w:val="00D75B0B"/>
    <w:rsid w:val="00D76233"/>
    <w:rsid w:val="00D77388"/>
    <w:rsid w:val="00D775D2"/>
    <w:rsid w:val="00D77855"/>
    <w:rsid w:val="00D8078E"/>
    <w:rsid w:val="00D80D94"/>
    <w:rsid w:val="00D8118D"/>
    <w:rsid w:val="00D82637"/>
    <w:rsid w:val="00D83283"/>
    <w:rsid w:val="00D83860"/>
    <w:rsid w:val="00D83B8A"/>
    <w:rsid w:val="00D83D34"/>
    <w:rsid w:val="00D85155"/>
    <w:rsid w:val="00D85F3F"/>
    <w:rsid w:val="00D86169"/>
    <w:rsid w:val="00D8652F"/>
    <w:rsid w:val="00D86BF7"/>
    <w:rsid w:val="00D86C18"/>
    <w:rsid w:val="00D8747A"/>
    <w:rsid w:val="00D875E3"/>
    <w:rsid w:val="00D91421"/>
    <w:rsid w:val="00D91CBD"/>
    <w:rsid w:val="00D926E9"/>
    <w:rsid w:val="00D92B66"/>
    <w:rsid w:val="00D9348C"/>
    <w:rsid w:val="00D93CC1"/>
    <w:rsid w:val="00D93EB9"/>
    <w:rsid w:val="00D942A3"/>
    <w:rsid w:val="00D95384"/>
    <w:rsid w:val="00D9583F"/>
    <w:rsid w:val="00D96C34"/>
    <w:rsid w:val="00D970E9"/>
    <w:rsid w:val="00D97E49"/>
    <w:rsid w:val="00DA073F"/>
    <w:rsid w:val="00DA08BF"/>
    <w:rsid w:val="00DA12F6"/>
    <w:rsid w:val="00DA1419"/>
    <w:rsid w:val="00DA2603"/>
    <w:rsid w:val="00DA2818"/>
    <w:rsid w:val="00DA2876"/>
    <w:rsid w:val="00DA40F8"/>
    <w:rsid w:val="00DA47F0"/>
    <w:rsid w:val="00DA4875"/>
    <w:rsid w:val="00DA4917"/>
    <w:rsid w:val="00DA4E73"/>
    <w:rsid w:val="00DA5117"/>
    <w:rsid w:val="00DA61B6"/>
    <w:rsid w:val="00DA68C1"/>
    <w:rsid w:val="00DA71E0"/>
    <w:rsid w:val="00DA7808"/>
    <w:rsid w:val="00DB2CB5"/>
    <w:rsid w:val="00DB2F25"/>
    <w:rsid w:val="00DB35F8"/>
    <w:rsid w:val="00DB57B7"/>
    <w:rsid w:val="00DB67E5"/>
    <w:rsid w:val="00DB68CD"/>
    <w:rsid w:val="00DB73AB"/>
    <w:rsid w:val="00DB746B"/>
    <w:rsid w:val="00DB761D"/>
    <w:rsid w:val="00DB7C28"/>
    <w:rsid w:val="00DC13F9"/>
    <w:rsid w:val="00DC1D72"/>
    <w:rsid w:val="00DC2A04"/>
    <w:rsid w:val="00DC2E2C"/>
    <w:rsid w:val="00DC46D1"/>
    <w:rsid w:val="00DC4E8F"/>
    <w:rsid w:val="00DC545A"/>
    <w:rsid w:val="00DC585F"/>
    <w:rsid w:val="00DC77F2"/>
    <w:rsid w:val="00DC78DB"/>
    <w:rsid w:val="00DC7F7D"/>
    <w:rsid w:val="00DD028A"/>
    <w:rsid w:val="00DD08C1"/>
    <w:rsid w:val="00DD19C8"/>
    <w:rsid w:val="00DD1BFF"/>
    <w:rsid w:val="00DD2278"/>
    <w:rsid w:val="00DD2ADC"/>
    <w:rsid w:val="00DD4F3E"/>
    <w:rsid w:val="00DD5FFB"/>
    <w:rsid w:val="00DD67A9"/>
    <w:rsid w:val="00DD6EA5"/>
    <w:rsid w:val="00DD75C0"/>
    <w:rsid w:val="00DD7C85"/>
    <w:rsid w:val="00DE2574"/>
    <w:rsid w:val="00DE2C5D"/>
    <w:rsid w:val="00DE36B6"/>
    <w:rsid w:val="00DE43B5"/>
    <w:rsid w:val="00DE4BD0"/>
    <w:rsid w:val="00DE58C9"/>
    <w:rsid w:val="00DE58D7"/>
    <w:rsid w:val="00DE5D98"/>
    <w:rsid w:val="00DE62BC"/>
    <w:rsid w:val="00DE7572"/>
    <w:rsid w:val="00DE7BEA"/>
    <w:rsid w:val="00DE7DAF"/>
    <w:rsid w:val="00DF154D"/>
    <w:rsid w:val="00DF16FC"/>
    <w:rsid w:val="00DF19F6"/>
    <w:rsid w:val="00DF376E"/>
    <w:rsid w:val="00DF431A"/>
    <w:rsid w:val="00DF5CAF"/>
    <w:rsid w:val="00DF62C6"/>
    <w:rsid w:val="00DF6D21"/>
    <w:rsid w:val="00DF75FB"/>
    <w:rsid w:val="00DF7C00"/>
    <w:rsid w:val="00E00BBD"/>
    <w:rsid w:val="00E00C89"/>
    <w:rsid w:val="00E013E3"/>
    <w:rsid w:val="00E01F2F"/>
    <w:rsid w:val="00E02136"/>
    <w:rsid w:val="00E02157"/>
    <w:rsid w:val="00E0219A"/>
    <w:rsid w:val="00E02370"/>
    <w:rsid w:val="00E02392"/>
    <w:rsid w:val="00E02F84"/>
    <w:rsid w:val="00E03E17"/>
    <w:rsid w:val="00E042FF"/>
    <w:rsid w:val="00E04850"/>
    <w:rsid w:val="00E05C13"/>
    <w:rsid w:val="00E05C1A"/>
    <w:rsid w:val="00E064CA"/>
    <w:rsid w:val="00E065B2"/>
    <w:rsid w:val="00E06813"/>
    <w:rsid w:val="00E10053"/>
    <w:rsid w:val="00E111E4"/>
    <w:rsid w:val="00E11521"/>
    <w:rsid w:val="00E127AF"/>
    <w:rsid w:val="00E13B47"/>
    <w:rsid w:val="00E15933"/>
    <w:rsid w:val="00E15B99"/>
    <w:rsid w:val="00E16BD3"/>
    <w:rsid w:val="00E16FAA"/>
    <w:rsid w:val="00E171C2"/>
    <w:rsid w:val="00E20598"/>
    <w:rsid w:val="00E20664"/>
    <w:rsid w:val="00E2148E"/>
    <w:rsid w:val="00E21C56"/>
    <w:rsid w:val="00E22425"/>
    <w:rsid w:val="00E23F67"/>
    <w:rsid w:val="00E24926"/>
    <w:rsid w:val="00E24E04"/>
    <w:rsid w:val="00E2580D"/>
    <w:rsid w:val="00E2583C"/>
    <w:rsid w:val="00E2789E"/>
    <w:rsid w:val="00E27948"/>
    <w:rsid w:val="00E27F2F"/>
    <w:rsid w:val="00E30294"/>
    <w:rsid w:val="00E315D6"/>
    <w:rsid w:val="00E3258F"/>
    <w:rsid w:val="00E330AB"/>
    <w:rsid w:val="00E3317B"/>
    <w:rsid w:val="00E3386F"/>
    <w:rsid w:val="00E341F0"/>
    <w:rsid w:val="00E350BD"/>
    <w:rsid w:val="00E3540A"/>
    <w:rsid w:val="00E35AE0"/>
    <w:rsid w:val="00E36335"/>
    <w:rsid w:val="00E373B4"/>
    <w:rsid w:val="00E37B5C"/>
    <w:rsid w:val="00E37CF8"/>
    <w:rsid w:val="00E40350"/>
    <w:rsid w:val="00E407AC"/>
    <w:rsid w:val="00E413A5"/>
    <w:rsid w:val="00E41AF8"/>
    <w:rsid w:val="00E422BE"/>
    <w:rsid w:val="00E4296A"/>
    <w:rsid w:val="00E43380"/>
    <w:rsid w:val="00E44274"/>
    <w:rsid w:val="00E44603"/>
    <w:rsid w:val="00E44F24"/>
    <w:rsid w:val="00E455B4"/>
    <w:rsid w:val="00E46FA7"/>
    <w:rsid w:val="00E46FBA"/>
    <w:rsid w:val="00E47328"/>
    <w:rsid w:val="00E476DD"/>
    <w:rsid w:val="00E479DF"/>
    <w:rsid w:val="00E505D8"/>
    <w:rsid w:val="00E50B83"/>
    <w:rsid w:val="00E51530"/>
    <w:rsid w:val="00E5252F"/>
    <w:rsid w:val="00E528C6"/>
    <w:rsid w:val="00E52B26"/>
    <w:rsid w:val="00E535BD"/>
    <w:rsid w:val="00E54596"/>
    <w:rsid w:val="00E55578"/>
    <w:rsid w:val="00E56000"/>
    <w:rsid w:val="00E56378"/>
    <w:rsid w:val="00E57208"/>
    <w:rsid w:val="00E57457"/>
    <w:rsid w:val="00E60175"/>
    <w:rsid w:val="00E6160E"/>
    <w:rsid w:val="00E63F00"/>
    <w:rsid w:val="00E642DC"/>
    <w:rsid w:val="00E64ABC"/>
    <w:rsid w:val="00E64E57"/>
    <w:rsid w:val="00E64F71"/>
    <w:rsid w:val="00E64FC2"/>
    <w:rsid w:val="00E65240"/>
    <w:rsid w:val="00E66FD1"/>
    <w:rsid w:val="00E67590"/>
    <w:rsid w:val="00E67A1A"/>
    <w:rsid w:val="00E703B1"/>
    <w:rsid w:val="00E7045C"/>
    <w:rsid w:val="00E718EA"/>
    <w:rsid w:val="00E71A6E"/>
    <w:rsid w:val="00E72E55"/>
    <w:rsid w:val="00E733D4"/>
    <w:rsid w:val="00E74228"/>
    <w:rsid w:val="00E74759"/>
    <w:rsid w:val="00E74A24"/>
    <w:rsid w:val="00E74E48"/>
    <w:rsid w:val="00E76B64"/>
    <w:rsid w:val="00E76BBE"/>
    <w:rsid w:val="00E77101"/>
    <w:rsid w:val="00E77326"/>
    <w:rsid w:val="00E808C9"/>
    <w:rsid w:val="00E80943"/>
    <w:rsid w:val="00E8112D"/>
    <w:rsid w:val="00E81135"/>
    <w:rsid w:val="00E8148D"/>
    <w:rsid w:val="00E818C3"/>
    <w:rsid w:val="00E82DCF"/>
    <w:rsid w:val="00E84DC4"/>
    <w:rsid w:val="00E84E21"/>
    <w:rsid w:val="00E8561A"/>
    <w:rsid w:val="00E8589E"/>
    <w:rsid w:val="00E85DE8"/>
    <w:rsid w:val="00E86672"/>
    <w:rsid w:val="00E86705"/>
    <w:rsid w:val="00E86E0C"/>
    <w:rsid w:val="00E87FB1"/>
    <w:rsid w:val="00E900CF"/>
    <w:rsid w:val="00E908C6"/>
    <w:rsid w:val="00E924A8"/>
    <w:rsid w:val="00E93450"/>
    <w:rsid w:val="00E9372A"/>
    <w:rsid w:val="00E93AFD"/>
    <w:rsid w:val="00E95441"/>
    <w:rsid w:val="00E96618"/>
    <w:rsid w:val="00E97970"/>
    <w:rsid w:val="00E979A5"/>
    <w:rsid w:val="00E97C50"/>
    <w:rsid w:val="00EA03D8"/>
    <w:rsid w:val="00EA0DB1"/>
    <w:rsid w:val="00EA507E"/>
    <w:rsid w:val="00EA5747"/>
    <w:rsid w:val="00EA6103"/>
    <w:rsid w:val="00EA73BA"/>
    <w:rsid w:val="00EA7745"/>
    <w:rsid w:val="00EB0F28"/>
    <w:rsid w:val="00EB1892"/>
    <w:rsid w:val="00EB2336"/>
    <w:rsid w:val="00EB3B2C"/>
    <w:rsid w:val="00EB3F96"/>
    <w:rsid w:val="00EB3FA2"/>
    <w:rsid w:val="00EB4281"/>
    <w:rsid w:val="00EB4A81"/>
    <w:rsid w:val="00EB5264"/>
    <w:rsid w:val="00EB52AE"/>
    <w:rsid w:val="00EB60D0"/>
    <w:rsid w:val="00EC03D2"/>
    <w:rsid w:val="00EC0719"/>
    <w:rsid w:val="00EC09D5"/>
    <w:rsid w:val="00EC1FA6"/>
    <w:rsid w:val="00EC202F"/>
    <w:rsid w:val="00EC25AB"/>
    <w:rsid w:val="00EC3DF9"/>
    <w:rsid w:val="00EC4F93"/>
    <w:rsid w:val="00EC515F"/>
    <w:rsid w:val="00EC5679"/>
    <w:rsid w:val="00EC5764"/>
    <w:rsid w:val="00EC5DBE"/>
    <w:rsid w:val="00EC5DE6"/>
    <w:rsid w:val="00EC6263"/>
    <w:rsid w:val="00EC6C65"/>
    <w:rsid w:val="00ED0FC6"/>
    <w:rsid w:val="00ED1C3D"/>
    <w:rsid w:val="00ED2264"/>
    <w:rsid w:val="00ED23A2"/>
    <w:rsid w:val="00ED2B1D"/>
    <w:rsid w:val="00ED412E"/>
    <w:rsid w:val="00ED41A8"/>
    <w:rsid w:val="00ED44D2"/>
    <w:rsid w:val="00ED452D"/>
    <w:rsid w:val="00ED5035"/>
    <w:rsid w:val="00ED5703"/>
    <w:rsid w:val="00ED5DD6"/>
    <w:rsid w:val="00ED65DB"/>
    <w:rsid w:val="00ED6AF2"/>
    <w:rsid w:val="00ED7BC1"/>
    <w:rsid w:val="00EE04D4"/>
    <w:rsid w:val="00EE0C34"/>
    <w:rsid w:val="00EE0C71"/>
    <w:rsid w:val="00EE29BE"/>
    <w:rsid w:val="00EE3C34"/>
    <w:rsid w:val="00EE3CDA"/>
    <w:rsid w:val="00EE4C9E"/>
    <w:rsid w:val="00EE5884"/>
    <w:rsid w:val="00EE7261"/>
    <w:rsid w:val="00EF038F"/>
    <w:rsid w:val="00EF07C3"/>
    <w:rsid w:val="00EF1944"/>
    <w:rsid w:val="00EF26AE"/>
    <w:rsid w:val="00EF27B5"/>
    <w:rsid w:val="00EF43EA"/>
    <w:rsid w:val="00EF46B1"/>
    <w:rsid w:val="00EF493E"/>
    <w:rsid w:val="00EF5D73"/>
    <w:rsid w:val="00EF607A"/>
    <w:rsid w:val="00EF6331"/>
    <w:rsid w:val="00EF6482"/>
    <w:rsid w:val="00EF71FF"/>
    <w:rsid w:val="00EF7662"/>
    <w:rsid w:val="00EF773B"/>
    <w:rsid w:val="00F00241"/>
    <w:rsid w:val="00F00777"/>
    <w:rsid w:val="00F00887"/>
    <w:rsid w:val="00F0147C"/>
    <w:rsid w:val="00F01AED"/>
    <w:rsid w:val="00F02876"/>
    <w:rsid w:val="00F06185"/>
    <w:rsid w:val="00F064C3"/>
    <w:rsid w:val="00F06A82"/>
    <w:rsid w:val="00F109A7"/>
    <w:rsid w:val="00F10BFD"/>
    <w:rsid w:val="00F10D7E"/>
    <w:rsid w:val="00F11D60"/>
    <w:rsid w:val="00F12451"/>
    <w:rsid w:val="00F12F74"/>
    <w:rsid w:val="00F1303C"/>
    <w:rsid w:val="00F132E8"/>
    <w:rsid w:val="00F14FD4"/>
    <w:rsid w:val="00F15550"/>
    <w:rsid w:val="00F15E8D"/>
    <w:rsid w:val="00F175AF"/>
    <w:rsid w:val="00F205FB"/>
    <w:rsid w:val="00F20967"/>
    <w:rsid w:val="00F20DD7"/>
    <w:rsid w:val="00F20F27"/>
    <w:rsid w:val="00F21CF8"/>
    <w:rsid w:val="00F22A61"/>
    <w:rsid w:val="00F2357B"/>
    <w:rsid w:val="00F23602"/>
    <w:rsid w:val="00F236DC"/>
    <w:rsid w:val="00F2464A"/>
    <w:rsid w:val="00F247BC"/>
    <w:rsid w:val="00F2482C"/>
    <w:rsid w:val="00F24A8F"/>
    <w:rsid w:val="00F25233"/>
    <w:rsid w:val="00F25CBC"/>
    <w:rsid w:val="00F25EAF"/>
    <w:rsid w:val="00F26AC0"/>
    <w:rsid w:val="00F2719D"/>
    <w:rsid w:val="00F27940"/>
    <w:rsid w:val="00F27A13"/>
    <w:rsid w:val="00F27FA1"/>
    <w:rsid w:val="00F3032E"/>
    <w:rsid w:val="00F3124A"/>
    <w:rsid w:val="00F313E8"/>
    <w:rsid w:val="00F31596"/>
    <w:rsid w:val="00F31EFE"/>
    <w:rsid w:val="00F3277D"/>
    <w:rsid w:val="00F32822"/>
    <w:rsid w:val="00F32EC1"/>
    <w:rsid w:val="00F3329B"/>
    <w:rsid w:val="00F33D35"/>
    <w:rsid w:val="00F340F0"/>
    <w:rsid w:val="00F343CC"/>
    <w:rsid w:val="00F34F38"/>
    <w:rsid w:val="00F350F7"/>
    <w:rsid w:val="00F35253"/>
    <w:rsid w:val="00F36405"/>
    <w:rsid w:val="00F36809"/>
    <w:rsid w:val="00F36950"/>
    <w:rsid w:val="00F371E7"/>
    <w:rsid w:val="00F3733F"/>
    <w:rsid w:val="00F3738F"/>
    <w:rsid w:val="00F37625"/>
    <w:rsid w:val="00F40055"/>
    <w:rsid w:val="00F41E87"/>
    <w:rsid w:val="00F42120"/>
    <w:rsid w:val="00F428F8"/>
    <w:rsid w:val="00F43B83"/>
    <w:rsid w:val="00F44EBF"/>
    <w:rsid w:val="00F45EB3"/>
    <w:rsid w:val="00F463BF"/>
    <w:rsid w:val="00F47502"/>
    <w:rsid w:val="00F47697"/>
    <w:rsid w:val="00F50DD0"/>
    <w:rsid w:val="00F517F3"/>
    <w:rsid w:val="00F520B3"/>
    <w:rsid w:val="00F53132"/>
    <w:rsid w:val="00F531DC"/>
    <w:rsid w:val="00F538EF"/>
    <w:rsid w:val="00F53F88"/>
    <w:rsid w:val="00F54274"/>
    <w:rsid w:val="00F5456A"/>
    <w:rsid w:val="00F545FC"/>
    <w:rsid w:val="00F547FE"/>
    <w:rsid w:val="00F54E12"/>
    <w:rsid w:val="00F56446"/>
    <w:rsid w:val="00F573F1"/>
    <w:rsid w:val="00F57AF7"/>
    <w:rsid w:val="00F57CAC"/>
    <w:rsid w:val="00F61B21"/>
    <w:rsid w:val="00F61FFC"/>
    <w:rsid w:val="00F625CA"/>
    <w:rsid w:val="00F62A93"/>
    <w:rsid w:val="00F62AF9"/>
    <w:rsid w:val="00F62C6B"/>
    <w:rsid w:val="00F62CDB"/>
    <w:rsid w:val="00F62F06"/>
    <w:rsid w:val="00F644AD"/>
    <w:rsid w:val="00F646BE"/>
    <w:rsid w:val="00F64FF5"/>
    <w:rsid w:val="00F66320"/>
    <w:rsid w:val="00F663A8"/>
    <w:rsid w:val="00F66A76"/>
    <w:rsid w:val="00F674BA"/>
    <w:rsid w:val="00F6767A"/>
    <w:rsid w:val="00F67E6A"/>
    <w:rsid w:val="00F70A48"/>
    <w:rsid w:val="00F70BAD"/>
    <w:rsid w:val="00F713ED"/>
    <w:rsid w:val="00F71668"/>
    <w:rsid w:val="00F73140"/>
    <w:rsid w:val="00F74364"/>
    <w:rsid w:val="00F74666"/>
    <w:rsid w:val="00F7492D"/>
    <w:rsid w:val="00F751A4"/>
    <w:rsid w:val="00F7568A"/>
    <w:rsid w:val="00F77C1A"/>
    <w:rsid w:val="00F77E91"/>
    <w:rsid w:val="00F81073"/>
    <w:rsid w:val="00F812E4"/>
    <w:rsid w:val="00F815BB"/>
    <w:rsid w:val="00F825C9"/>
    <w:rsid w:val="00F8344B"/>
    <w:rsid w:val="00F83C40"/>
    <w:rsid w:val="00F83EEA"/>
    <w:rsid w:val="00F844DC"/>
    <w:rsid w:val="00F8461A"/>
    <w:rsid w:val="00F84BEC"/>
    <w:rsid w:val="00F852BE"/>
    <w:rsid w:val="00F8731D"/>
    <w:rsid w:val="00F879C5"/>
    <w:rsid w:val="00F87CAF"/>
    <w:rsid w:val="00F87FA4"/>
    <w:rsid w:val="00F90063"/>
    <w:rsid w:val="00F90A3D"/>
    <w:rsid w:val="00F90EC0"/>
    <w:rsid w:val="00F91222"/>
    <w:rsid w:val="00F92352"/>
    <w:rsid w:val="00F9267B"/>
    <w:rsid w:val="00F93469"/>
    <w:rsid w:val="00F93B7A"/>
    <w:rsid w:val="00F94ACE"/>
    <w:rsid w:val="00F94AE5"/>
    <w:rsid w:val="00F94C20"/>
    <w:rsid w:val="00F94EAF"/>
    <w:rsid w:val="00F96581"/>
    <w:rsid w:val="00F96AF2"/>
    <w:rsid w:val="00F96D11"/>
    <w:rsid w:val="00F96F50"/>
    <w:rsid w:val="00F970A7"/>
    <w:rsid w:val="00F9731E"/>
    <w:rsid w:val="00F9738D"/>
    <w:rsid w:val="00FA1622"/>
    <w:rsid w:val="00FA1A3F"/>
    <w:rsid w:val="00FA2228"/>
    <w:rsid w:val="00FA2A03"/>
    <w:rsid w:val="00FA57BD"/>
    <w:rsid w:val="00FA59C4"/>
    <w:rsid w:val="00FA59C6"/>
    <w:rsid w:val="00FA5A3F"/>
    <w:rsid w:val="00FA5B04"/>
    <w:rsid w:val="00FA5F7E"/>
    <w:rsid w:val="00FA6AEF"/>
    <w:rsid w:val="00FB0167"/>
    <w:rsid w:val="00FB0EBB"/>
    <w:rsid w:val="00FB10F6"/>
    <w:rsid w:val="00FB13A2"/>
    <w:rsid w:val="00FB15EB"/>
    <w:rsid w:val="00FB19EB"/>
    <w:rsid w:val="00FB3A29"/>
    <w:rsid w:val="00FB41AF"/>
    <w:rsid w:val="00FB47DE"/>
    <w:rsid w:val="00FB492C"/>
    <w:rsid w:val="00FB4A1C"/>
    <w:rsid w:val="00FB60CC"/>
    <w:rsid w:val="00FB60FB"/>
    <w:rsid w:val="00FB612E"/>
    <w:rsid w:val="00FB6635"/>
    <w:rsid w:val="00FB6B37"/>
    <w:rsid w:val="00FB7510"/>
    <w:rsid w:val="00FC08D8"/>
    <w:rsid w:val="00FC111B"/>
    <w:rsid w:val="00FC1DE5"/>
    <w:rsid w:val="00FC206B"/>
    <w:rsid w:val="00FC23C7"/>
    <w:rsid w:val="00FC2710"/>
    <w:rsid w:val="00FC3E40"/>
    <w:rsid w:val="00FC3FB7"/>
    <w:rsid w:val="00FC4378"/>
    <w:rsid w:val="00FC52C1"/>
    <w:rsid w:val="00FC5A6D"/>
    <w:rsid w:val="00FC5B2A"/>
    <w:rsid w:val="00FC623B"/>
    <w:rsid w:val="00FC6281"/>
    <w:rsid w:val="00FC65D0"/>
    <w:rsid w:val="00FC772C"/>
    <w:rsid w:val="00FC7DB1"/>
    <w:rsid w:val="00FD0284"/>
    <w:rsid w:val="00FD0BC0"/>
    <w:rsid w:val="00FD1078"/>
    <w:rsid w:val="00FD12DB"/>
    <w:rsid w:val="00FD1306"/>
    <w:rsid w:val="00FD3713"/>
    <w:rsid w:val="00FD434E"/>
    <w:rsid w:val="00FD4587"/>
    <w:rsid w:val="00FD47F8"/>
    <w:rsid w:val="00FD57E2"/>
    <w:rsid w:val="00FD5B9B"/>
    <w:rsid w:val="00FD66DD"/>
    <w:rsid w:val="00FD6921"/>
    <w:rsid w:val="00FD77C2"/>
    <w:rsid w:val="00FE175F"/>
    <w:rsid w:val="00FE1F8E"/>
    <w:rsid w:val="00FE26DD"/>
    <w:rsid w:val="00FE2ED7"/>
    <w:rsid w:val="00FE329D"/>
    <w:rsid w:val="00FE34B0"/>
    <w:rsid w:val="00FE379B"/>
    <w:rsid w:val="00FE3AFB"/>
    <w:rsid w:val="00FE3E6F"/>
    <w:rsid w:val="00FE400F"/>
    <w:rsid w:val="00FE4187"/>
    <w:rsid w:val="00FE4697"/>
    <w:rsid w:val="00FE58C5"/>
    <w:rsid w:val="00FE5ADE"/>
    <w:rsid w:val="00FE5C0B"/>
    <w:rsid w:val="00FE5E79"/>
    <w:rsid w:val="00FE788D"/>
    <w:rsid w:val="00FE797F"/>
    <w:rsid w:val="00FF052C"/>
    <w:rsid w:val="00FF05CB"/>
    <w:rsid w:val="00FF1B26"/>
    <w:rsid w:val="00FF211E"/>
    <w:rsid w:val="00FF27FB"/>
    <w:rsid w:val="00FF31B0"/>
    <w:rsid w:val="00FF3215"/>
    <w:rsid w:val="00FF3E5C"/>
    <w:rsid w:val="00FF4658"/>
    <w:rsid w:val="00FF473D"/>
    <w:rsid w:val="00FF4E8A"/>
    <w:rsid w:val="00FF556A"/>
    <w:rsid w:val="00FF5D50"/>
    <w:rsid w:val="00FF5E33"/>
    <w:rsid w:val="00FF609F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A08FD0"/>
  <w15:docId w15:val="{A3C56C42-C2BB-4C69-A941-45FEB8511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F7CC9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sz w:val="18"/>
      <w:szCs w:val="20"/>
      <w:lang w:eastAsia="cs-CZ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573F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573F1"/>
  </w:style>
  <w:style w:type="paragraph" w:styleId="Zpat">
    <w:name w:val="footer"/>
    <w:basedOn w:val="Normln"/>
    <w:link w:val="ZpatChar"/>
    <w:uiPriority w:val="99"/>
    <w:unhideWhenUsed/>
    <w:rsid w:val="00F573F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573F1"/>
  </w:style>
  <w:style w:type="paragraph" w:customStyle="1" w:styleId="Standard">
    <w:name w:val="Standard"/>
    <w:rsid w:val="00F573F1"/>
    <w:pPr>
      <w:suppressAutoHyphens/>
      <w:autoSpaceDN w:val="0"/>
      <w:spacing w:after="0" w:line="240" w:lineRule="auto"/>
      <w:jc w:val="both"/>
      <w:textAlignment w:val="baseline"/>
    </w:pPr>
    <w:rPr>
      <w:rFonts w:ascii="Arial" w:eastAsia="Times New Roman" w:hAnsi="Arial" w:cs="Arial Unicode MS"/>
      <w:kern w:val="3"/>
      <w:sz w:val="18"/>
      <w:szCs w:val="20"/>
      <w:lang w:eastAsia="zh-CN" w:bidi="hi-IN"/>
    </w:rPr>
  </w:style>
  <w:style w:type="character" w:styleId="Hypertextovodkaz">
    <w:name w:val="Hyperlink"/>
    <w:basedOn w:val="Standardnpsmoodstavce"/>
    <w:uiPriority w:val="99"/>
    <w:rsid w:val="005A2501"/>
    <w:rPr>
      <w:rFonts w:cs="Times New Roman"/>
      <w:color w:val="0000FF"/>
      <w:u w:val="single"/>
    </w:rPr>
  </w:style>
  <w:style w:type="paragraph" w:styleId="Normlnweb">
    <w:name w:val="Normal (Web)"/>
    <w:basedOn w:val="Normln"/>
    <w:uiPriority w:val="99"/>
    <w:rsid w:val="005A2501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eastAsia="Calibri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517111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139AF"/>
    <w:rPr>
      <w:rFonts w:cs="Arial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139AF"/>
    <w:rPr>
      <w:rFonts w:ascii="Arial" w:eastAsia="Times New Roman" w:hAnsi="Arial" w:cs="Arial"/>
      <w:sz w:val="18"/>
      <w:szCs w:val="1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EA574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EA574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EA5747"/>
    <w:rPr>
      <w:rFonts w:ascii="Arial" w:eastAsia="Times New Roman" w:hAnsi="Arial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A574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A5747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46651A"/>
    <w:pPr>
      <w:spacing w:after="0" w:line="240" w:lineRule="auto"/>
    </w:pPr>
    <w:rPr>
      <w:rFonts w:ascii="Arial" w:eastAsia="Times New Roman" w:hAnsi="Arial" w:cs="Times New Roman"/>
      <w:sz w:val="18"/>
      <w:szCs w:val="20"/>
      <w:lang w:eastAsia="cs-CZ"/>
    </w:rPr>
  </w:style>
  <w:style w:type="character" w:styleId="Siln">
    <w:name w:val="Strong"/>
    <w:basedOn w:val="Standardnpsmoodstavce"/>
    <w:uiPriority w:val="22"/>
    <w:qFormat/>
    <w:rsid w:val="00C12AFA"/>
    <w:rPr>
      <w:b/>
      <w:bCs/>
    </w:rPr>
  </w:style>
  <w:style w:type="paragraph" w:customStyle="1" w:styleId="THnorm">
    <w:name w:val="TH norm"/>
    <w:basedOn w:val="Normln"/>
    <w:rsid w:val="006A7BEA"/>
    <w:pPr>
      <w:tabs>
        <w:tab w:val="left" w:pos="0"/>
      </w:tabs>
      <w:overflowPunct/>
      <w:autoSpaceDE/>
      <w:autoSpaceDN/>
      <w:adjustRightInd/>
      <w:spacing w:after="120"/>
      <w:ind w:firstLine="709"/>
      <w:textAlignment w:val="auto"/>
    </w:pPr>
    <w:rPr>
      <w:rFonts w:ascii="Times New Roman" w:hAnsi="Times New Roman"/>
      <w:sz w:val="24"/>
      <w:szCs w:val="24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9968AC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0444EA"/>
    <w:rPr>
      <w:color w:val="954F72" w:themeColor="followedHyperlink"/>
      <w:u w:val="single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5A0ACF"/>
    <w:rPr>
      <w:color w:val="605E5C"/>
      <w:shd w:val="clear" w:color="auto" w:fill="E1DFDD"/>
    </w:rPr>
  </w:style>
  <w:style w:type="character" w:styleId="Nevyeenzmnka">
    <w:name w:val="Unresolved Mention"/>
    <w:basedOn w:val="Standardnpsmoodstavce"/>
    <w:uiPriority w:val="99"/>
    <w:semiHidden/>
    <w:unhideWhenUsed/>
    <w:rsid w:val="00BA19E0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39"/>
    <w:rsid w:val="000122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F7BDA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F7BDA"/>
    <w:rPr>
      <w:rFonts w:ascii="Arial" w:eastAsia="Times New Roman" w:hAnsi="Arial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6F7BDA"/>
    <w:rPr>
      <w:vertAlign w:val="superscript"/>
    </w:rPr>
  </w:style>
  <w:style w:type="paragraph" w:customStyle="1" w:styleId="xmsonormal">
    <w:name w:val="xmsonormal"/>
    <w:basedOn w:val="Normln"/>
    <w:rsid w:val="00051022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Calibri" w:eastAsia="Calibri" w:hAnsi="Calibri" w:cs="Calibri"/>
      <w:sz w:val="22"/>
      <w:szCs w:val="22"/>
    </w:rPr>
  </w:style>
  <w:style w:type="character" w:customStyle="1" w:styleId="xpk-token">
    <w:name w:val="xpk-token"/>
    <w:basedOn w:val="Standardnpsmoodstavce"/>
    <w:rsid w:val="00051022"/>
  </w:style>
  <w:style w:type="paragraph" w:customStyle="1" w:styleId="xmsonormal0">
    <w:name w:val="x_msonormal"/>
    <w:basedOn w:val="Normln"/>
    <w:rsid w:val="00162D23"/>
    <w:pPr>
      <w:overflowPunct/>
      <w:autoSpaceDE/>
      <w:autoSpaceDN/>
      <w:adjustRightInd/>
      <w:jc w:val="left"/>
      <w:textAlignment w:val="auto"/>
    </w:pPr>
    <w:rPr>
      <w:rFonts w:ascii="Calibri" w:eastAsiaTheme="minorHAnsi" w:hAnsi="Calibri" w:cs="Calibri"/>
      <w:sz w:val="22"/>
      <w:szCs w:val="22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AA4A27"/>
    <w:rPr>
      <w:sz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AA4A27"/>
    <w:rPr>
      <w:rFonts w:ascii="Arial" w:eastAsia="Times New Roman" w:hAnsi="Arial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uiPriority w:val="99"/>
    <w:semiHidden/>
    <w:unhideWhenUsed/>
    <w:rsid w:val="00AA4A27"/>
    <w:rPr>
      <w:vertAlign w:val="superscript"/>
    </w:rPr>
  </w:style>
  <w:style w:type="paragraph" w:customStyle="1" w:styleId="CBANadpisvTABULCE">
    <w:name w:val="CBA Nadpis v TABULCE"/>
    <w:basedOn w:val="Normln"/>
    <w:qFormat/>
    <w:rsid w:val="0028530F"/>
    <w:pPr>
      <w:spacing w:before="120" w:after="120"/>
      <w:jc w:val="left"/>
    </w:pPr>
    <w:rPr>
      <w:b/>
      <w:bCs/>
      <w:color w:val="13576B"/>
    </w:rPr>
  </w:style>
  <w:style w:type="paragraph" w:customStyle="1" w:styleId="CBAodstavecvTABULCE">
    <w:name w:val="CBA odstavec v TABULCE"/>
    <w:basedOn w:val="Normln"/>
    <w:qFormat/>
    <w:rsid w:val="0028530F"/>
    <w:pPr>
      <w:spacing w:before="120" w:after="120"/>
      <w:jc w:val="left"/>
    </w:pPr>
    <w:rPr>
      <w:color w:val="13576B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1177C9"/>
    <w:rPr>
      <w:rFonts w:ascii="Consolas" w:hAnsi="Consolas"/>
      <w:sz w:val="21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1177C9"/>
    <w:rPr>
      <w:rFonts w:ascii="Consolas" w:eastAsia="Times New Roman" w:hAnsi="Consolas" w:cs="Times New Roman"/>
      <w:sz w:val="21"/>
      <w:szCs w:val="21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7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3063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50336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2663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1144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26645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39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135723">
          <w:marLeft w:val="288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7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947238">
          <w:marLeft w:val="288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07784">
          <w:marLeft w:val="1080"/>
          <w:marRight w:val="0"/>
          <w:marTop w:val="36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5497">
          <w:marLeft w:val="1080"/>
          <w:marRight w:val="0"/>
          <w:marTop w:val="36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468414">
          <w:marLeft w:val="288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51847">
          <w:marLeft w:val="288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9034">
          <w:marLeft w:val="288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738889">
          <w:marLeft w:val="288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959719">
          <w:marLeft w:val="288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8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96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4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1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3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8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9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7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1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7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5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2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4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3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5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4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1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7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5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6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03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42019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5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2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6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1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6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8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5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3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8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1693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0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522814">
          <w:marLeft w:val="0"/>
          <w:marRight w:val="15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41918499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83074791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91423993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29580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94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58825838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8" w:color="000000"/>
            <w:right w:val="single" w:sz="2" w:space="0" w:color="000000"/>
          </w:divBdr>
          <w:divsChild>
            <w:div w:id="207539540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01989819">
                  <w:marLeft w:val="0"/>
                  <w:marRight w:val="0"/>
                  <w:marTop w:val="0"/>
                  <w:marBottom w:val="3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77983474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70584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  <w:divsChild>
                            <w:div w:id="1392079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divBdr>
                              <w:divsChild>
                                <w:div w:id="1962956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  <w:divsChild>
                                    <w:div w:id="1719091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000000"/>
                                        <w:left w:val="single" w:sz="2" w:space="0" w:color="000000"/>
                                        <w:bottom w:val="single" w:sz="2" w:space="0" w:color="000000"/>
                                        <w:right w:val="single" w:sz="2" w:space="0" w:color="000000"/>
                                      </w:divBdr>
                                      <w:divsChild>
                                        <w:div w:id="2044553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</w:div>
                                      </w:divsChild>
                                    </w:div>
                                    <w:div w:id="1449860268">
                                      <w:marLeft w:val="7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000000"/>
                                        <w:left w:val="single" w:sz="2" w:space="0" w:color="000000"/>
                                        <w:bottom w:val="single" w:sz="2" w:space="0" w:color="000000"/>
                                        <w:right w:val="single" w:sz="2" w:space="0" w:color="000000"/>
                                      </w:divBdr>
                                      <w:divsChild>
                                        <w:div w:id="8544648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22902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4" w:color="000000"/>
                                <w:bottom w:val="single" w:sz="2" w:space="0" w:color="000000"/>
                                <w:right w:val="single" w:sz="2" w:space="4" w:color="000000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9621024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02171599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55555612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</w:div>
                  </w:divsChild>
                </w:div>
                <w:div w:id="1982033238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14327882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1894271443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  <w:divsChild>
                            <w:div w:id="1464040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divBdr>
                              <w:divsChild>
                                <w:div w:id="1662074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  <w:divsChild>
                                    <w:div w:id="1497575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000000"/>
                                        <w:left w:val="single" w:sz="2" w:space="0" w:color="000000"/>
                                        <w:bottom w:val="single" w:sz="2" w:space="0" w:color="000000"/>
                                        <w:right w:val="single" w:sz="2" w:space="0" w:color="000000"/>
                                      </w:divBdr>
                                      <w:divsChild>
                                        <w:div w:id="172844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  <w:divsChild>
                                            <w:div w:id="1458266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000000"/>
                                                <w:left w:val="single" w:sz="2" w:space="0" w:color="000000"/>
                                                <w:bottom w:val="single" w:sz="2" w:space="0" w:color="000000"/>
                                                <w:right w:val="single" w:sz="2" w:space="0" w:color="000000"/>
                                              </w:divBdr>
                                              <w:divsChild>
                                                <w:div w:id="12086382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000000"/>
                                                    <w:left w:val="single" w:sz="2" w:space="8" w:color="000000"/>
                                                    <w:bottom w:val="single" w:sz="2" w:space="0" w:color="000000"/>
                                                    <w:right w:val="single" w:sz="2" w:space="8" w:color="000000"/>
                                                  </w:divBdr>
                                                  <w:divsChild>
                                                    <w:div w:id="19284640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048567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000000"/>
                                                    <w:left w:val="single" w:sz="2" w:space="8" w:color="000000"/>
                                                    <w:bottom w:val="single" w:sz="2" w:space="0" w:color="000000"/>
                                                    <w:right w:val="single" w:sz="2" w:space="0" w:color="000000"/>
                                                  </w:divBdr>
                                                  <w:divsChild>
                                                    <w:div w:id="1904020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02988206">
                                          <w:marLeft w:val="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  <w:divsChild>
                                            <w:div w:id="14912915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000000"/>
                                                <w:left w:val="single" w:sz="2" w:space="0" w:color="000000"/>
                                                <w:bottom w:val="single" w:sz="2" w:space="0" w:color="000000"/>
                                                <w:right w:val="single" w:sz="2" w:space="0" w:color="000000"/>
                                              </w:divBdr>
                                              <w:divsChild>
                                                <w:div w:id="3542371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000000"/>
                                                    <w:left w:val="single" w:sz="2" w:space="8" w:color="000000"/>
                                                    <w:bottom w:val="single" w:sz="2" w:space="0" w:color="000000"/>
                                                    <w:right w:val="single" w:sz="2" w:space="8" w:color="000000"/>
                                                  </w:divBdr>
                                                  <w:divsChild>
                                                    <w:div w:id="1014647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42356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000000"/>
                                                    <w:left w:val="single" w:sz="2" w:space="8" w:color="000000"/>
                                                    <w:bottom w:val="single" w:sz="2" w:space="0" w:color="000000"/>
                                                    <w:right w:val="single" w:sz="2" w:space="0" w:color="000000"/>
                                                  </w:divBdr>
                                                  <w:divsChild>
                                                    <w:div w:id="11109319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64566048">
                                          <w:marLeft w:val="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  <w:divsChild>
                                            <w:div w:id="17460995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000000"/>
                                                <w:left w:val="single" w:sz="2" w:space="0" w:color="000000"/>
                                                <w:bottom w:val="single" w:sz="2" w:space="0" w:color="000000"/>
                                                <w:right w:val="single" w:sz="2" w:space="0" w:color="000000"/>
                                              </w:divBdr>
                                              <w:divsChild>
                                                <w:div w:id="21340109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000000"/>
                                                    <w:left w:val="single" w:sz="2" w:space="8" w:color="000000"/>
                                                    <w:bottom w:val="single" w:sz="2" w:space="0" w:color="000000"/>
                                                    <w:right w:val="single" w:sz="2" w:space="8" w:color="000000"/>
                                                  </w:divBdr>
                                                  <w:divsChild>
                                                    <w:div w:id="13292136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94777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000000"/>
                                                    <w:left w:val="single" w:sz="2" w:space="8" w:color="000000"/>
                                                    <w:bottom w:val="single" w:sz="2" w:space="0" w:color="000000"/>
                                                    <w:right w:val="single" w:sz="2" w:space="0" w:color="000000"/>
                                                  </w:divBdr>
                                                  <w:divsChild>
                                                    <w:div w:id="4796164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00835978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  <w:divsChild>
                                            <w:div w:id="4275831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000000"/>
                                                <w:left w:val="single" w:sz="2" w:space="0" w:color="000000"/>
                                                <w:bottom w:val="single" w:sz="2" w:space="0" w:color="000000"/>
                                                <w:right w:val="single" w:sz="2" w:space="0" w:color="000000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896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0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2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8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5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2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5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6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2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8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6346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6177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030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32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0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3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7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8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95452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05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8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8420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84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4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7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3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4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13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4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0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6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4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3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0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3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6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8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49827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37062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70773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70288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35050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508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2130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5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3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5432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47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0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7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2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46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1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0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7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2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6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0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6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emf"/><Relationship Id="rId18" Type="http://schemas.openxmlformats.org/officeDocument/2006/relationships/image" Target="media/image7.svg"/><Relationship Id="rId26" Type="http://schemas.openxmlformats.org/officeDocument/2006/relationships/hyperlink" Target="https://www.cbamonitor.cz/aktuality/volatilni-ceny-potravin-stlacily-listopadovou-inflaci-na-21-pri-stale-silnem-71-rustu-mezd" TargetMode="External"/><Relationship Id="rId39" Type="http://schemas.openxmlformats.org/officeDocument/2006/relationships/fontTable" Target="fontTable.xml"/><Relationship Id="rId21" Type="http://schemas.openxmlformats.org/officeDocument/2006/relationships/hyperlink" Target="https://www.cbamonitor.cz/kategorie/cba-prognoza" TargetMode="External"/><Relationship Id="rId34" Type="http://schemas.openxmlformats.org/officeDocument/2006/relationships/image" Target="media/image16.png"/><Relationship Id="rId7" Type="http://schemas.openxmlformats.org/officeDocument/2006/relationships/settings" Target="settings.xml"/><Relationship Id="rId12" Type="http://schemas.openxmlformats.org/officeDocument/2006/relationships/image" Target="media/image2.emf"/><Relationship Id="rId17" Type="http://schemas.openxmlformats.org/officeDocument/2006/relationships/image" Target="media/image6.png"/><Relationship Id="rId25" Type="http://schemas.openxmlformats.org/officeDocument/2006/relationships/image" Target="media/image13.svg"/><Relationship Id="rId33" Type="http://schemas.openxmlformats.org/officeDocument/2006/relationships/image" Target="media/image15.png"/><Relationship Id="rId38" Type="http://schemas.openxmlformats.org/officeDocument/2006/relationships/hyperlink" Target="https://www.cbamonitor.cz/kategorie/cba-hypomonitor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9.svg"/><Relationship Id="rId29" Type="http://schemas.openxmlformats.org/officeDocument/2006/relationships/hyperlink" Target="https://www.cbamonitor.cz/aktuality/ceny-nemovitosti-si--udrzely-10-dynamiku-coz-neplati-o-disponibilnim-duchodu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12.png"/><Relationship Id="rId32" Type="http://schemas.openxmlformats.org/officeDocument/2006/relationships/image" Target="media/image14.png"/><Relationship Id="rId37" Type="http://schemas.openxmlformats.org/officeDocument/2006/relationships/hyperlink" Target="http://www.cbaonline.cz" TargetMode="External"/><Relationship Id="rId40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image" Target="media/image11.svg"/><Relationship Id="rId28" Type="http://schemas.openxmlformats.org/officeDocument/2006/relationships/hyperlink" Target="https://www.cbamonitor.cz/aktuality/cnb-zprisnuje-podminky-pro-investicni-hypoteky-9-dopad-nebo-potrebna-redistribuce-poptavky" TargetMode="External"/><Relationship Id="rId36" Type="http://schemas.openxmlformats.org/officeDocument/2006/relationships/image" Target="media/image17.emf"/><Relationship Id="rId10" Type="http://schemas.openxmlformats.org/officeDocument/2006/relationships/endnotes" Target="endnotes.xml"/><Relationship Id="rId19" Type="http://schemas.openxmlformats.org/officeDocument/2006/relationships/image" Target="media/image8.png"/><Relationship Id="rId31" Type="http://schemas.openxmlformats.org/officeDocument/2006/relationships/hyperlink" Target="https://www.cbamonitor.cz/kategorie/ceny-nemovitosti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cbamonitor.cz/aktuality/cnb-zprisnuje-podminky-pro-investicni-hypoteky-9-dopad-nebo-potrebna-redistribuce-poptavky" TargetMode="External"/><Relationship Id="rId22" Type="http://schemas.openxmlformats.org/officeDocument/2006/relationships/image" Target="media/image10.png"/><Relationship Id="rId27" Type="http://schemas.openxmlformats.org/officeDocument/2006/relationships/hyperlink" Target="https://www.cbamonitor.cz/statistika/dynamika-mezd" TargetMode="External"/><Relationship Id="rId30" Type="http://schemas.openxmlformats.org/officeDocument/2006/relationships/hyperlink" Target="https://www.cbamonitor.cz/aktuality/-vyssi-ceny-bytu-vyvolavaji-bohatsi-diskusi-nad-makroprudencni-politikou-centralni-banky-nez-se-na-prvni-pohled-zda" TargetMode="External"/><Relationship Id="rId35" Type="http://schemas.openxmlformats.org/officeDocument/2006/relationships/hyperlink" Target="https://www.cbamonitor.cz/statistika/prognoza-prumerna-mzda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Vlastní 1">
      <a:majorFont>
        <a:latin typeface="Calibri Light"/>
        <a:ea typeface=""/>
        <a:cs typeface=""/>
      </a:majorFont>
      <a:minorFont>
        <a:latin typeface="Calibri Light"/>
        <a:ea typeface=""/>
        <a:cs typeface="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09ec118-0c61-46db-bb00-952e09940a1f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C0CBE5B95D55468F8CF7D6D1C8CB6B" ma:contentTypeVersion="10" ma:contentTypeDescription="Create a new document." ma:contentTypeScope="" ma:versionID="03de8c559e19055c2732f6aae148e160">
  <xsd:schema xmlns:xsd="http://www.w3.org/2001/XMLSchema" xmlns:xs="http://www.w3.org/2001/XMLSchema" xmlns:p="http://schemas.microsoft.com/office/2006/metadata/properties" xmlns:ns3="b09ec118-0c61-46db-bb00-952e09940a1f" targetNamespace="http://schemas.microsoft.com/office/2006/metadata/properties" ma:root="true" ma:fieldsID="a58f24d30c88e6ff28d70a1926b856b7" ns3:_="">
    <xsd:import namespace="b09ec118-0c61-46db-bb00-952e09940a1f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_activity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9ec118-0c61-46db-bb00-952e09940a1f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9" nillable="true" ma:displayName="_activity" ma:hidden="true" ma:internalName="_activity">
      <xsd:simpleType>
        <xsd:restriction base="dms:Note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DB935B7-8C88-4CAE-A0AA-13A352B0843E}">
  <ds:schemaRefs>
    <ds:schemaRef ds:uri="http://schemas.microsoft.com/office/2006/metadata/properties"/>
    <ds:schemaRef ds:uri="http://schemas.microsoft.com/office/infopath/2007/PartnerControls"/>
    <ds:schemaRef ds:uri="b09ec118-0c61-46db-bb00-952e09940a1f"/>
  </ds:schemaRefs>
</ds:datastoreItem>
</file>

<file path=customXml/itemProps2.xml><?xml version="1.0" encoding="utf-8"?>
<ds:datastoreItem xmlns:ds="http://schemas.openxmlformats.org/officeDocument/2006/customXml" ds:itemID="{B2A9F6F5-D843-4129-900A-FD170C2ABB0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5464796-18D1-44D3-AEB3-40E1128190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9ec118-0c61-46db-bb00-952e09940a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0F695EA-D77D-4F66-A87E-5245D7A921C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2725</Words>
  <Characters>16078</Characters>
  <Application>Microsoft Office Word</Application>
  <DocSecurity>0</DocSecurity>
  <Lines>133</Lines>
  <Paragraphs>37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martina vlachova</dc:creator>
  <cp:lastModifiedBy>Duffek, Adam (ČBA)</cp:lastModifiedBy>
  <cp:revision>2</cp:revision>
  <cp:lastPrinted>2025-08-14T09:13:00Z</cp:lastPrinted>
  <dcterms:created xsi:type="dcterms:W3CDTF">2026-02-13T14:27:00Z</dcterms:created>
  <dcterms:modified xsi:type="dcterms:W3CDTF">2026-02-13T14:27:00Z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0x0101004DC0CBE5B95D55468F8CF7D6D1C8CB6B</vt:lpwstr>
  </property>
</Properties>
</file>