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5735" w14:textId="0872A219" w:rsidR="00DF154D" w:rsidRDefault="003D3759" w:rsidP="003D3759">
      <w:pPr>
        <w:rPr>
          <w:rFonts w:ascii="Calibri" w:hAnsi="Calibri" w:cs="Calibri"/>
          <w:b/>
          <w:color w:val="13576B"/>
          <w:sz w:val="32"/>
          <w:szCs w:val="32"/>
        </w:rPr>
      </w:pPr>
      <w:bookmarkStart w:id="0" w:name="_Hlk111121205"/>
      <w:bookmarkStart w:id="1" w:name="_Hlk116472656"/>
      <w:r w:rsidRPr="00616069">
        <w:rPr>
          <w:rFonts w:ascii="Calibri" w:hAnsi="Calibri" w:cs="Calibri"/>
          <w:b/>
          <w:color w:val="13576B"/>
          <w:sz w:val="32"/>
          <w:szCs w:val="32"/>
        </w:rPr>
        <w:t>ČBA Hypomonito</w:t>
      </w:r>
      <w:r w:rsidR="007C0E2D">
        <w:rPr>
          <w:rFonts w:ascii="Calibri" w:hAnsi="Calibri" w:cs="Calibri"/>
          <w:b/>
          <w:color w:val="13576B"/>
          <w:sz w:val="32"/>
          <w:szCs w:val="32"/>
        </w:rPr>
        <w:t>r</w:t>
      </w:r>
      <w:r w:rsidRPr="00616069">
        <w:rPr>
          <w:rFonts w:ascii="Calibri" w:hAnsi="Calibri" w:cs="Calibri"/>
          <w:b/>
          <w:color w:val="13576B"/>
          <w:sz w:val="32"/>
          <w:szCs w:val="32"/>
        </w:rPr>
        <w:t>:</w:t>
      </w:r>
      <w:r w:rsidR="00025805">
        <w:rPr>
          <w:rFonts w:ascii="Calibri" w:hAnsi="Calibri" w:cs="Calibri"/>
          <w:b/>
          <w:color w:val="13576B"/>
          <w:sz w:val="32"/>
          <w:szCs w:val="32"/>
        </w:rPr>
        <w:t xml:space="preserve"> </w:t>
      </w:r>
      <w:r w:rsidR="00095055">
        <w:rPr>
          <w:rFonts w:ascii="Calibri" w:hAnsi="Calibri" w:cs="Calibri"/>
          <w:b/>
          <w:color w:val="13576B"/>
          <w:sz w:val="32"/>
          <w:szCs w:val="32"/>
        </w:rPr>
        <w:t>Objem nových hypoték loni vystoupal na 321 miliard Kč</w:t>
      </w:r>
      <w:r w:rsidR="006A0A19">
        <w:rPr>
          <w:rFonts w:ascii="Calibri" w:hAnsi="Calibri" w:cs="Calibri"/>
          <w:b/>
          <w:color w:val="13576B"/>
          <w:sz w:val="32"/>
          <w:szCs w:val="32"/>
        </w:rPr>
        <w:t xml:space="preserve">. </w:t>
      </w:r>
    </w:p>
    <w:p w14:paraId="037D51CC" w14:textId="59558645" w:rsidR="006A0A19" w:rsidRPr="002F43DE" w:rsidRDefault="00E476DD" w:rsidP="003D3759">
      <w:pPr>
        <w:rPr>
          <w:rFonts w:ascii="Calibri" w:hAnsi="Calibri" w:cs="Calibri"/>
          <w:b/>
          <w:color w:val="EE0000"/>
          <w:sz w:val="32"/>
          <w:szCs w:val="32"/>
        </w:rPr>
      </w:pPr>
      <w:r>
        <w:rPr>
          <w:rFonts w:ascii="Calibri" w:hAnsi="Calibri" w:cs="Calibri"/>
          <w:b/>
          <w:color w:val="13576B"/>
          <w:sz w:val="32"/>
          <w:szCs w:val="32"/>
        </w:rPr>
        <w:t>A je druhý nejsilnější v historii</w:t>
      </w:r>
    </w:p>
    <w:bookmarkEnd w:id="0"/>
    <w:p w14:paraId="694240CF" w14:textId="2C82A2F2" w:rsidR="00095055" w:rsidRDefault="007967E6" w:rsidP="0009562F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 w:rsidRPr="00FB492C">
        <w:rPr>
          <w:rFonts w:ascii="Calibri" w:hAnsi="Calibri" w:cs="Calibri"/>
          <w:color w:val="13576B"/>
          <w:sz w:val="22"/>
          <w:szCs w:val="22"/>
        </w:rPr>
        <w:t>Praha, 1</w:t>
      </w:r>
      <w:r w:rsidR="00D17F2A">
        <w:rPr>
          <w:rFonts w:ascii="Calibri" w:hAnsi="Calibri" w:cs="Calibri"/>
          <w:color w:val="13576B"/>
          <w:sz w:val="22"/>
          <w:szCs w:val="22"/>
        </w:rPr>
        <w:t>6</w:t>
      </w:r>
      <w:r w:rsidRPr="00FB492C">
        <w:rPr>
          <w:rFonts w:ascii="Calibri" w:hAnsi="Calibri" w:cs="Calibri"/>
          <w:color w:val="13576B"/>
          <w:sz w:val="22"/>
          <w:szCs w:val="22"/>
        </w:rPr>
        <w:t>.</w:t>
      </w:r>
      <w:r w:rsidR="00D17F2A">
        <w:rPr>
          <w:rFonts w:ascii="Calibri" w:hAnsi="Calibri" w:cs="Calibri"/>
          <w:color w:val="13576B"/>
          <w:sz w:val="22"/>
          <w:szCs w:val="22"/>
        </w:rPr>
        <w:t xml:space="preserve"> leden</w:t>
      </w:r>
      <w:r w:rsidRPr="00FB492C">
        <w:rPr>
          <w:rFonts w:ascii="Calibri" w:hAnsi="Calibri" w:cs="Calibri"/>
          <w:color w:val="13576B"/>
          <w:sz w:val="22"/>
          <w:szCs w:val="22"/>
        </w:rPr>
        <w:t xml:space="preserve"> </w:t>
      </w:r>
      <w:r w:rsidR="00FC08D8" w:rsidRPr="00FB492C">
        <w:rPr>
          <w:rFonts w:ascii="Calibri" w:hAnsi="Calibri" w:cs="Calibri"/>
          <w:color w:val="13576B"/>
          <w:sz w:val="22"/>
          <w:szCs w:val="22"/>
        </w:rPr>
        <w:t>2025</w:t>
      </w:r>
      <w:r w:rsidR="006320CB">
        <w:rPr>
          <w:rFonts w:ascii="Calibri" w:hAnsi="Calibri" w:cs="Calibri"/>
          <w:color w:val="13576B"/>
          <w:sz w:val="22"/>
          <w:szCs w:val="22"/>
        </w:rPr>
        <w:t xml:space="preserve"> </w:t>
      </w:r>
      <w:r w:rsidR="00FC08D8" w:rsidRPr="00FC08D8">
        <w:rPr>
          <w:rFonts w:ascii="Calibri" w:hAnsi="Calibri" w:cs="Calibri"/>
          <w:color w:val="13576B"/>
          <w:sz w:val="22"/>
          <w:szCs w:val="22"/>
        </w:rPr>
        <w:t>–</w:t>
      </w:r>
      <w:r w:rsidR="0009562F" w:rsidRPr="0009562F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>Za celý rok 202</w:t>
      </w:r>
      <w:r w:rsidR="006A0A19">
        <w:rPr>
          <w:rFonts w:ascii="Calibri" w:hAnsi="Calibri" w:cs="Calibri"/>
          <w:b/>
          <w:bCs/>
          <w:color w:val="13576B"/>
          <w:sz w:val="22"/>
          <w:szCs w:val="22"/>
        </w:rPr>
        <w:t>5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poskytly banky a stavební spořitelny nové hypoteční úvěry v hodnotě </w:t>
      </w:r>
      <w:r w:rsidR="006A0A19">
        <w:rPr>
          <w:rFonts w:ascii="Calibri" w:hAnsi="Calibri" w:cs="Calibri"/>
          <w:b/>
          <w:bCs/>
          <w:color w:val="13576B"/>
          <w:sz w:val="22"/>
          <w:szCs w:val="22"/>
        </w:rPr>
        <w:t>321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miliard Kč, což představuje meziroční nárůst o </w:t>
      </w:r>
      <w:r w:rsidR="006A0A19">
        <w:rPr>
          <w:rFonts w:ascii="Calibri" w:hAnsi="Calibri" w:cs="Calibri"/>
          <w:b/>
          <w:bCs/>
          <w:color w:val="13576B"/>
          <w:sz w:val="22"/>
          <w:szCs w:val="22"/>
        </w:rPr>
        <w:t>41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%</w:t>
      </w:r>
      <w:r w:rsidR="0044491F">
        <w:rPr>
          <w:rFonts w:ascii="Calibri" w:hAnsi="Calibri" w:cs="Calibri"/>
          <w:b/>
          <w:bCs/>
          <w:color w:val="13576B"/>
          <w:sz w:val="22"/>
          <w:szCs w:val="22"/>
        </w:rPr>
        <w:t xml:space="preserve"> a zároveň objemově druhý nejsilnější rok po roce 2021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>. Spolu s</w:t>
      </w:r>
      <w:r w:rsidR="0044491F">
        <w:rPr>
          <w:rFonts w:ascii="Calibri" w:hAnsi="Calibri" w:cs="Calibri"/>
          <w:b/>
          <w:bCs/>
          <w:color w:val="13576B"/>
          <w:sz w:val="22"/>
          <w:szCs w:val="22"/>
        </w:rPr>
        <w:t> 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refinancovanými úvěry za </w:t>
      </w:r>
      <w:r w:rsidR="0044491F">
        <w:rPr>
          <w:rFonts w:ascii="Calibri" w:hAnsi="Calibri" w:cs="Calibri"/>
          <w:b/>
          <w:bCs/>
          <w:color w:val="13576B"/>
          <w:sz w:val="22"/>
          <w:szCs w:val="22"/>
        </w:rPr>
        <w:t>85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miliard Kč dosáhl celkový objem hypotečního trhu </w:t>
      </w:r>
      <w:r w:rsidR="0044491F">
        <w:rPr>
          <w:rFonts w:ascii="Calibri" w:hAnsi="Calibri" w:cs="Calibri"/>
          <w:b/>
          <w:bCs/>
          <w:color w:val="13576B"/>
          <w:sz w:val="22"/>
          <w:szCs w:val="22"/>
        </w:rPr>
        <w:t>406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miliard Kč, což je </w:t>
      </w:r>
      <w:r w:rsidR="0044491F">
        <w:rPr>
          <w:rFonts w:ascii="Calibri" w:hAnsi="Calibri" w:cs="Calibri"/>
          <w:b/>
          <w:bCs/>
          <w:color w:val="13576B"/>
          <w:sz w:val="22"/>
          <w:szCs w:val="22"/>
        </w:rPr>
        <w:t xml:space="preserve">další 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výrazný růst oproti </w:t>
      </w:r>
      <w:r w:rsidR="0044491F">
        <w:rPr>
          <w:rFonts w:ascii="Calibri" w:hAnsi="Calibri" w:cs="Calibri"/>
          <w:b/>
          <w:bCs/>
          <w:color w:val="13576B"/>
          <w:sz w:val="22"/>
          <w:szCs w:val="22"/>
        </w:rPr>
        <w:t>275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miliardám v roce 202</w:t>
      </w:r>
      <w:r w:rsidR="0044491F">
        <w:rPr>
          <w:rFonts w:ascii="Calibri" w:hAnsi="Calibri" w:cs="Calibri"/>
          <w:b/>
          <w:bCs/>
          <w:color w:val="13576B"/>
          <w:sz w:val="22"/>
          <w:szCs w:val="22"/>
        </w:rPr>
        <w:t>4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>. I po zohlednění růstu cen nemovitostí byl reálný růst trhu</w:t>
      </w:r>
      <w:r w:rsidR="00EE7261">
        <w:rPr>
          <w:rFonts w:ascii="Calibri" w:hAnsi="Calibri" w:cs="Calibri"/>
          <w:b/>
          <w:bCs/>
          <w:color w:val="13576B"/>
          <w:sz w:val="22"/>
          <w:szCs w:val="22"/>
        </w:rPr>
        <w:t xml:space="preserve"> nových hypoték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stále velmi silný</w:t>
      </w:r>
      <w:r w:rsidR="00EE7261">
        <w:rPr>
          <w:rFonts w:ascii="Calibri" w:hAnsi="Calibri" w:cs="Calibri"/>
          <w:b/>
          <w:bCs/>
          <w:color w:val="13576B"/>
          <w:sz w:val="22"/>
          <w:szCs w:val="22"/>
        </w:rPr>
        <w:t>, například z pohledu navýšení na 3,8 % HDP z 2,8 % v roce 2024.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EE7261">
        <w:rPr>
          <w:rFonts w:ascii="Calibri" w:hAnsi="Calibri" w:cs="Calibri"/>
          <w:b/>
          <w:bCs/>
          <w:color w:val="13576B"/>
          <w:sz w:val="22"/>
          <w:szCs w:val="22"/>
        </w:rPr>
        <w:t>Narativ silného oživení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EE7261">
        <w:rPr>
          <w:rFonts w:ascii="Calibri" w:hAnsi="Calibri" w:cs="Calibri"/>
          <w:b/>
          <w:bCs/>
          <w:color w:val="13576B"/>
          <w:sz w:val="22"/>
          <w:szCs w:val="22"/>
        </w:rPr>
        <w:t>dokládá i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EE7261">
        <w:rPr>
          <w:rFonts w:ascii="Calibri" w:hAnsi="Calibri" w:cs="Calibri"/>
          <w:b/>
          <w:bCs/>
          <w:color w:val="13576B"/>
          <w:sz w:val="22"/>
          <w:szCs w:val="22"/>
        </w:rPr>
        <w:t>zvýšení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počtu</w:t>
      </w:r>
      <w:r w:rsidR="00646CB6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>nových hypoték v roce 202</w:t>
      </w:r>
      <w:r w:rsidR="0044491F">
        <w:rPr>
          <w:rFonts w:ascii="Calibri" w:hAnsi="Calibri" w:cs="Calibri"/>
          <w:b/>
          <w:bCs/>
          <w:color w:val="13576B"/>
          <w:sz w:val="22"/>
          <w:szCs w:val="22"/>
        </w:rPr>
        <w:t>5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o </w:t>
      </w:r>
      <w:r w:rsidR="0044491F">
        <w:rPr>
          <w:rFonts w:ascii="Calibri" w:hAnsi="Calibri" w:cs="Calibri"/>
          <w:b/>
          <w:bCs/>
          <w:color w:val="13576B"/>
          <w:sz w:val="22"/>
          <w:szCs w:val="22"/>
        </w:rPr>
        <w:t>necelou čtvrtinu na 76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tisíc, doprovázený </w:t>
      </w:r>
      <w:r w:rsidR="00646CB6">
        <w:rPr>
          <w:rFonts w:ascii="Calibri" w:hAnsi="Calibri" w:cs="Calibri"/>
          <w:b/>
          <w:bCs/>
          <w:color w:val="13576B"/>
          <w:sz w:val="22"/>
          <w:szCs w:val="22"/>
        </w:rPr>
        <w:t>téměř 15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% </w:t>
      </w:r>
      <w:r w:rsidR="00EE7261">
        <w:rPr>
          <w:rFonts w:ascii="Calibri" w:hAnsi="Calibri" w:cs="Calibri"/>
          <w:b/>
          <w:bCs/>
          <w:color w:val="13576B"/>
          <w:sz w:val="22"/>
          <w:szCs w:val="22"/>
        </w:rPr>
        <w:t>nárůstem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průměrné výše hypotéky na</w:t>
      </w:r>
      <w:r w:rsidR="00646CB6">
        <w:rPr>
          <w:rFonts w:ascii="Calibri" w:hAnsi="Calibri" w:cs="Calibri"/>
          <w:b/>
          <w:bCs/>
          <w:color w:val="13576B"/>
          <w:sz w:val="22"/>
          <w:szCs w:val="22"/>
        </w:rPr>
        <w:t xml:space="preserve"> 4,21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milionu Kč v roce 202</w:t>
      </w:r>
      <w:r w:rsidR="00646CB6">
        <w:rPr>
          <w:rFonts w:ascii="Calibri" w:hAnsi="Calibri" w:cs="Calibri"/>
          <w:b/>
          <w:bCs/>
          <w:color w:val="13576B"/>
          <w:sz w:val="22"/>
          <w:szCs w:val="22"/>
        </w:rPr>
        <w:t>5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a </w:t>
      </w:r>
      <w:r w:rsidR="00EE7261">
        <w:rPr>
          <w:rFonts w:ascii="Calibri" w:hAnsi="Calibri" w:cs="Calibri"/>
          <w:b/>
          <w:bCs/>
          <w:color w:val="13576B"/>
          <w:sz w:val="22"/>
          <w:szCs w:val="22"/>
        </w:rPr>
        <w:t xml:space="preserve">na 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téměř </w:t>
      </w:r>
      <w:r w:rsidR="00646CB6">
        <w:rPr>
          <w:rFonts w:ascii="Calibri" w:hAnsi="Calibri" w:cs="Calibri"/>
          <w:b/>
          <w:bCs/>
          <w:color w:val="13576B"/>
          <w:sz w:val="22"/>
          <w:szCs w:val="22"/>
        </w:rPr>
        <w:t xml:space="preserve">4,5 </w:t>
      </w:r>
      <w:r w:rsidR="00095055"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milionu v jeho závěru. </w:t>
      </w:r>
    </w:p>
    <w:p w14:paraId="31BA20AC" w14:textId="2C0C522A" w:rsidR="00D43642" w:rsidRDefault="00095055" w:rsidP="0009562F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 w:rsidRPr="00095055">
        <w:rPr>
          <w:rFonts w:ascii="Calibri" w:hAnsi="Calibri" w:cs="Calibri"/>
          <w:b/>
          <w:bCs/>
          <w:color w:val="13576B"/>
          <w:sz w:val="22"/>
          <w:szCs w:val="22"/>
        </w:rPr>
        <w:t>V prosinci 202</w:t>
      </w:r>
      <w:r w:rsidR="001271C2">
        <w:rPr>
          <w:rFonts w:ascii="Calibri" w:hAnsi="Calibri" w:cs="Calibri"/>
          <w:b/>
          <w:bCs/>
          <w:color w:val="13576B"/>
          <w:sz w:val="22"/>
          <w:szCs w:val="22"/>
        </w:rPr>
        <w:t>5</w:t>
      </w:r>
      <w:r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poskytly banky nové hypotéky za </w:t>
      </w:r>
      <w:r w:rsidR="00646CB6">
        <w:rPr>
          <w:rFonts w:ascii="Calibri" w:hAnsi="Calibri" w:cs="Calibri"/>
          <w:b/>
          <w:bCs/>
          <w:color w:val="13576B"/>
          <w:sz w:val="22"/>
          <w:szCs w:val="22"/>
        </w:rPr>
        <w:t>28,6</w:t>
      </w:r>
      <w:r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miliardy Kč. Oproti listopadu aktivita</w:t>
      </w:r>
      <w:r w:rsidR="00646CB6">
        <w:rPr>
          <w:rFonts w:ascii="Calibri" w:hAnsi="Calibri" w:cs="Calibri"/>
          <w:b/>
          <w:bCs/>
          <w:color w:val="13576B"/>
          <w:sz w:val="22"/>
          <w:szCs w:val="22"/>
        </w:rPr>
        <w:t xml:space="preserve"> zůstala v podstatě beze změny navzdory sezónnímu vlivu Vánoc</w:t>
      </w:r>
      <w:r w:rsidR="00EE7261">
        <w:rPr>
          <w:rFonts w:ascii="Calibri" w:hAnsi="Calibri" w:cs="Calibri"/>
          <w:b/>
          <w:bCs/>
          <w:color w:val="13576B"/>
          <w:sz w:val="22"/>
          <w:szCs w:val="22"/>
        </w:rPr>
        <w:t xml:space="preserve">. </w:t>
      </w:r>
      <w:r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Průměrná sazba hypoték </w:t>
      </w:r>
      <w:r w:rsidR="001271C2">
        <w:rPr>
          <w:rFonts w:ascii="Calibri" w:hAnsi="Calibri" w:cs="Calibri"/>
          <w:b/>
          <w:bCs/>
          <w:color w:val="13576B"/>
          <w:sz w:val="22"/>
          <w:szCs w:val="22"/>
        </w:rPr>
        <w:t xml:space="preserve">se i v prosinci udržela nepatrně pod 4,5 %. </w:t>
      </w:r>
      <w:r w:rsidR="00D43642" w:rsidRPr="00D43642">
        <w:rPr>
          <w:rFonts w:ascii="Calibri" w:hAnsi="Calibri" w:cs="Calibri"/>
          <w:b/>
          <w:bCs/>
          <w:color w:val="13576B"/>
          <w:sz w:val="22"/>
          <w:szCs w:val="22"/>
        </w:rPr>
        <w:t xml:space="preserve">Její prosincová úroveň je tak o 0,31 procentního bodu níže než 4,8% sazba před rokem, což snižuje měsíční splátky hypotéky přibližně o 0,9 % čistého příjmu žadatele, tedy </w:t>
      </w:r>
      <w:r w:rsidR="00EE7261">
        <w:rPr>
          <w:rFonts w:ascii="Calibri" w:hAnsi="Calibri" w:cs="Calibri"/>
          <w:b/>
          <w:bCs/>
          <w:color w:val="13576B"/>
          <w:sz w:val="22"/>
          <w:szCs w:val="22"/>
        </w:rPr>
        <w:t>o osm set korun</w:t>
      </w:r>
      <w:r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. Pokud </w:t>
      </w:r>
      <w:r w:rsidR="001271C2">
        <w:rPr>
          <w:rFonts w:ascii="Calibri" w:hAnsi="Calibri" w:cs="Calibri"/>
          <w:b/>
          <w:bCs/>
          <w:color w:val="13576B"/>
          <w:sz w:val="22"/>
          <w:szCs w:val="22"/>
        </w:rPr>
        <w:t>by trh udržel d</w:t>
      </w:r>
      <w:r w:rsidRPr="00095055">
        <w:rPr>
          <w:rFonts w:ascii="Calibri" w:hAnsi="Calibri" w:cs="Calibri"/>
          <w:b/>
          <w:bCs/>
          <w:color w:val="13576B"/>
          <w:sz w:val="22"/>
          <w:szCs w:val="22"/>
        </w:rPr>
        <w:t>ynamiku</w:t>
      </w:r>
      <w:r w:rsidR="001271C2">
        <w:rPr>
          <w:rFonts w:ascii="Calibri" w:hAnsi="Calibri" w:cs="Calibri"/>
          <w:b/>
          <w:bCs/>
          <w:color w:val="13576B"/>
          <w:sz w:val="22"/>
          <w:szCs w:val="22"/>
        </w:rPr>
        <w:t xml:space="preserve"> z posledních tří měsíců na sezónně </w:t>
      </w:r>
      <w:r w:rsidR="007D77FB">
        <w:rPr>
          <w:rFonts w:ascii="Calibri" w:hAnsi="Calibri" w:cs="Calibri"/>
          <w:b/>
          <w:bCs/>
          <w:color w:val="13576B"/>
          <w:sz w:val="22"/>
          <w:szCs w:val="22"/>
        </w:rPr>
        <w:t>očištěném</w:t>
      </w:r>
      <w:r w:rsidR="001271C2">
        <w:rPr>
          <w:rFonts w:ascii="Calibri" w:hAnsi="Calibri" w:cs="Calibri"/>
          <w:b/>
          <w:bCs/>
          <w:color w:val="13576B"/>
          <w:sz w:val="22"/>
          <w:szCs w:val="22"/>
        </w:rPr>
        <w:t xml:space="preserve"> průměru téměř 30 miliard nových úvěrů</w:t>
      </w:r>
      <w:r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, </w:t>
      </w:r>
      <w:r w:rsidR="007D77FB">
        <w:rPr>
          <w:rFonts w:ascii="Calibri" w:hAnsi="Calibri" w:cs="Calibri"/>
          <w:b/>
          <w:bCs/>
          <w:color w:val="13576B"/>
          <w:sz w:val="22"/>
          <w:szCs w:val="22"/>
        </w:rPr>
        <w:t xml:space="preserve">implikovalo by to při předpokladu 5% růstu průměrné výše hypotéky </w:t>
      </w:r>
      <w:r w:rsidRPr="00095055">
        <w:rPr>
          <w:rFonts w:ascii="Calibri" w:hAnsi="Calibri" w:cs="Calibri"/>
          <w:b/>
          <w:bCs/>
          <w:color w:val="13576B"/>
          <w:sz w:val="22"/>
          <w:szCs w:val="22"/>
        </w:rPr>
        <w:t>objem nových hypoték v roce 202</w:t>
      </w:r>
      <w:r w:rsidR="007D77FB">
        <w:rPr>
          <w:rFonts w:ascii="Calibri" w:hAnsi="Calibri" w:cs="Calibri"/>
          <w:b/>
          <w:bCs/>
          <w:color w:val="13576B"/>
          <w:sz w:val="22"/>
          <w:szCs w:val="22"/>
        </w:rPr>
        <w:t>6</w:t>
      </w:r>
      <w:r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7D77FB">
        <w:rPr>
          <w:rFonts w:ascii="Calibri" w:hAnsi="Calibri" w:cs="Calibri"/>
          <w:b/>
          <w:bCs/>
          <w:color w:val="13576B"/>
          <w:sz w:val="22"/>
          <w:szCs w:val="22"/>
        </w:rPr>
        <w:t>na</w:t>
      </w:r>
      <w:r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úrovn</w:t>
      </w:r>
      <w:r w:rsidR="007D77FB">
        <w:rPr>
          <w:rFonts w:ascii="Calibri" w:hAnsi="Calibri" w:cs="Calibri"/>
          <w:b/>
          <w:bCs/>
          <w:color w:val="13576B"/>
          <w:sz w:val="22"/>
          <w:szCs w:val="22"/>
        </w:rPr>
        <w:t>i</w:t>
      </w:r>
      <w:r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7D77FB">
        <w:rPr>
          <w:rFonts w:ascii="Calibri" w:hAnsi="Calibri" w:cs="Calibri"/>
          <w:b/>
          <w:bCs/>
          <w:color w:val="13576B"/>
          <w:sz w:val="22"/>
          <w:szCs w:val="22"/>
        </w:rPr>
        <w:t>375</w:t>
      </w:r>
      <w:r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miliard Kč</w:t>
      </w:r>
      <w:r w:rsidR="00EE7261">
        <w:rPr>
          <w:rFonts w:ascii="Calibri" w:hAnsi="Calibri" w:cs="Calibri"/>
          <w:b/>
          <w:bCs/>
          <w:color w:val="13576B"/>
          <w:sz w:val="22"/>
          <w:szCs w:val="22"/>
        </w:rPr>
        <w:t xml:space="preserve">. To </w:t>
      </w:r>
      <w:r w:rsidRPr="00095055">
        <w:rPr>
          <w:rFonts w:ascii="Calibri" w:hAnsi="Calibri" w:cs="Calibri"/>
          <w:b/>
          <w:bCs/>
          <w:color w:val="13576B"/>
          <w:sz w:val="22"/>
          <w:szCs w:val="22"/>
        </w:rPr>
        <w:t>by představovalo 1</w:t>
      </w:r>
      <w:r w:rsidR="007D77FB">
        <w:rPr>
          <w:rFonts w:ascii="Calibri" w:hAnsi="Calibri" w:cs="Calibri"/>
          <w:b/>
          <w:bCs/>
          <w:color w:val="13576B"/>
          <w:sz w:val="22"/>
          <w:szCs w:val="22"/>
        </w:rPr>
        <w:t>7</w:t>
      </w:r>
      <w:r w:rsidRPr="00095055">
        <w:rPr>
          <w:rFonts w:ascii="Calibri" w:hAnsi="Calibri" w:cs="Calibri"/>
          <w:b/>
          <w:bCs/>
          <w:color w:val="13576B"/>
          <w:sz w:val="22"/>
          <w:szCs w:val="22"/>
        </w:rPr>
        <w:t>% meziroční nárůst</w:t>
      </w:r>
      <w:r w:rsidR="00D17F2A">
        <w:rPr>
          <w:rFonts w:ascii="Calibri" w:hAnsi="Calibri" w:cs="Calibri"/>
          <w:b/>
          <w:bCs/>
          <w:color w:val="13576B"/>
          <w:sz w:val="22"/>
          <w:szCs w:val="22"/>
        </w:rPr>
        <w:t xml:space="preserve"> (či o 11% na 357 miliard při neměnné výši průměrné hypotéky)</w:t>
      </w:r>
      <w:r w:rsidRPr="00095055">
        <w:rPr>
          <w:rFonts w:ascii="Calibri" w:hAnsi="Calibri" w:cs="Calibri"/>
          <w:b/>
          <w:bCs/>
          <w:color w:val="13576B"/>
          <w:sz w:val="22"/>
          <w:szCs w:val="22"/>
        </w:rPr>
        <w:t>.</w:t>
      </w:r>
      <w:r w:rsidR="00E77326">
        <w:rPr>
          <w:rFonts w:ascii="Calibri" w:hAnsi="Calibri" w:cs="Calibri"/>
          <w:b/>
          <w:bCs/>
          <w:color w:val="13576B"/>
          <w:sz w:val="22"/>
          <w:szCs w:val="22"/>
        </w:rPr>
        <w:t xml:space="preserve"> Ovšem proti tomu bude působit </w:t>
      </w:r>
      <w:hyperlink r:id="rId11" w:history="1">
        <w:r w:rsidR="00E77326" w:rsidRPr="00D17F2A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přísnější opatření</w:t>
        </w:r>
      </w:hyperlink>
      <w:r w:rsidR="00E77326">
        <w:rPr>
          <w:rFonts w:ascii="Calibri" w:hAnsi="Calibri" w:cs="Calibri"/>
          <w:b/>
          <w:bCs/>
          <w:color w:val="13576B"/>
          <w:sz w:val="22"/>
          <w:szCs w:val="22"/>
        </w:rPr>
        <w:t xml:space="preserve"> ČNB ohledně tzv. investičních hypoték, které se dotýkají přibližně 9 % případů a budou platit od druhého čtvrtletí (tedy mechanický dopad -7 % bodu). </w:t>
      </w:r>
      <w:r w:rsidRPr="00095055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</w:p>
    <w:p w14:paraId="4746852E" w14:textId="17339A7B" w:rsidR="00095055" w:rsidRDefault="00095055" w:rsidP="0009562F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 w:rsidRPr="00095055">
        <w:rPr>
          <w:rFonts w:ascii="Calibri" w:hAnsi="Calibri" w:cs="Calibri"/>
          <w:b/>
          <w:bCs/>
          <w:color w:val="13576B"/>
          <w:sz w:val="22"/>
          <w:szCs w:val="22"/>
        </w:rPr>
        <w:t>Uvedené informace plynou z údajů ČBA Hypomonitoru, který zachycuje data všech tuzemských bank a stavebních spořitelen poskytujících hypoteční úvěry.</w:t>
      </w:r>
    </w:p>
    <w:p w14:paraId="4F129986" w14:textId="77777777" w:rsidR="00095055" w:rsidRDefault="00095055" w:rsidP="0009562F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</w:p>
    <w:p w14:paraId="4A7C2A28" w14:textId="7AA1048C" w:rsidR="00425883" w:rsidRPr="002B35B7" w:rsidRDefault="00425883" w:rsidP="0009562F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r w:rsidRPr="003F159E">
        <w:rPr>
          <w:rFonts w:ascii="Calibri" w:hAnsi="Calibri" w:cs="Calibri"/>
          <w:b/>
          <w:color w:val="13576B"/>
          <w:sz w:val="23"/>
          <w:szCs w:val="23"/>
        </w:rPr>
        <w:t xml:space="preserve">Tabulka č. 1: Shrnutí objemu poskytnutých hypoték a průměrných úrokových sazeb za </w:t>
      </w:r>
      <w:r w:rsidR="001271C2">
        <w:rPr>
          <w:rFonts w:ascii="Calibri" w:hAnsi="Calibri" w:cs="Calibri"/>
          <w:b/>
          <w:color w:val="13576B"/>
          <w:sz w:val="23"/>
          <w:szCs w:val="23"/>
        </w:rPr>
        <w:t>prosinec</w:t>
      </w:r>
      <w:r>
        <w:rPr>
          <w:rFonts w:ascii="Calibri" w:hAnsi="Calibri" w:cs="Calibri"/>
          <w:b/>
          <w:color w:val="13576B"/>
          <w:sz w:val="23"/>
          <w:szCs w:val="23"/>
        </w:rPr>
        <w:t xml:space="preserve"> 2025 </w:t>
      </w:r>
    </w:p>
    <w:tbl>
      <w:tblPr>
        <w:tblW w:w="95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102"/>
        <w:gridCol w:w="960"/>
        <w:gridCol w:w="960"/>
        <w:gridCol w:w="242"/>
        <w:gridCol w:w="993"/>
        <w:gridCol w:w="992"/>
        <w:gridCol w:w="774"/>
      </w:tblGrid>
      <w:tr w:rsidR="00425883" w:rsidRPr="002138C0" w14:paraId="02897C33" w14:textId="77777777" w:rsidTr="003E009F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6A0B8A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</w:tcBorders>
            <w:shd w:val="clear" w:color="000000" w:fill="FFFFFF"/>
            <w:vAlign w:val="bottom"/>
          </w:tcPr>
          <w:p w14:paraId="374959CA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měsíční hodnoty</w:t>
            </w:r>
          </w:p>
        </w:tc>
        <w:tc>
          <w:tcPr>
            <w:tcW w:w="242" w:type="dxa"/>
            <w:tcBorders>
              <w:top w:val="nil"/>
              <w:right w:val="nil"/>
            </w:tcBorders>
            <w:vAlign w:val="bottom"/>
          </w:tcPr>
          <w:p w14:paraId="14067E1E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5820EF4F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hodnoty od začátku roku</w:t>
            </w:r>
          </w:p>
        </w:tc>
      </w:tr>
      <w:tr w:rsidR="00425883" w:rsidRPr="002138C0" w14:paraId="4890C229" w14:textId="77777777" w:rsidTr="001271C2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E637A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2D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 w:val="restart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B2CF1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Objem</w:t>
            </w: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8006D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960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A53E93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Sazba</w:t>
            </w: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242" w:type="dxa"/>
            <w:tcBorders>
              <w:left w:val="nil"/>
              <w:right w:val="nil"/>
            </w:tcBorders>
            <w:vAlign w:val="bottom"/>
          </w:tcPr>
          <w:p w14:paraId="2C5E5350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39AEE999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Objem</w:t>
            </w: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45BA4" w14:textId="77777777" w:rsidR="00425883" w:rsidRPr="00A06A94" w:rsidRDefault="00425883" w:rsidP="003E009F">
            <w:pPr>
              <w:overflowPunct/>
              <w:autoSpaceDE/>
              <w:autoSpaceDN/>
              <w:adjustRightInd/>
              <w:ind w:left="-73" w:firstLine="73"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bottom"/>
          </w:tcPr>
          <w:p w14:paraId="077C59E1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Sazba</w:t>
            </w: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br/>
              <w:t xml:space="preserve"> (%)</w:t>
            </w:r>
          </w:p>
        </w:tc>
      </w:tr>
      <w:tr w:rsidR="00425883" w:rsidRPr="002138C0" w14:paraId="58F15C0C" w14:textId="77777777" w:rsidTr="001271C2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758C49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3D437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11A06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901C11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center"/>
          </w:tcPr>
          <w:p w14:paraId="3D918162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21D51D7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D9524A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136A8A9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</w:p>
        </w:tc>
      </w:tr>
      <w:tr w:rsidR="001271C2" w:rsidRPr="002138C0" w14:paraId="0D319709" w14:textId="77777777" w:rsidTr="001271C2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650D8E" w14:textId="77777777" w:rsidR="001271C2" w:rsidRPr="00072DB9" w:rsidRDefault="001271C2" w:rsidP="001271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5C838" w14:textId="508157BA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ED8B2" w14:textId="213445A9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8 715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EC0207" w14:textId="45FC5CB6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4,48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48168675" w14:textId="547A8728" w:rsidR="001271C2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10E06" w14:textId="431E5FF0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406,4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3B5A7" w14:textId="3B1BDE98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100 066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8C875B" w14:textId="5E96DD27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4,57</w:t>
            </w:r>
          </w:p>
        </w:tc>
      </w:tr>
      <w:tr w:rsidR="001271C2" w:rsidRPr="002138C0" w14:paraId="4CCF9803" w14:textId="77777777" w:rsidTr="001271C2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bottom"/>
            <w:hideMark/>
          </w:tcPr>
          <w:p w14:paraId="427BFA1A" w14:textId="77777777" w:rsidR="001271C2" w:rsidRPr="00072DB9" w:rsidRDefault="001271C2" w:rsidP="001271C2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Nové úvěry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29369C60" w14:textId="44BFD545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28,6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2F19DC0D" w14:textId="6BB7AAA3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6 366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center"/>
            <w:hideMark/>
          </w:tcPr>
          <w:p w14:paraId="0E1BBC03" w14:textId="06693B55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4,49</w:t>
            </w:r>
          </w:p>
        </w:tc>
        <w:tc>
          <w:tcPr>
            <w:tcW w:w="242" w:type="dxa"/>
            <w:tcBorders>
              <w:left w:val="nil"/>
              <w:bottom w:val="nil"/>
              <w:right w:val="nil"/>
            </w:tcBorders>
            <w:vAlign w:val="bottom"/>
          </w:tcPr>
          <w:p w14:paraId="59087809" w14:textId="759A0375" w:rsidR="001271C2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vAlign w:val="center"/>
          </w:tcPr>
          <w:p w14:paraId="34F1CCE8" w14:textId="42919B9F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808080"/>
                <w:sz w:val="22"/>
                <w:szCs w:val="22"/>
              </w:rPr>
              <w:t>321,4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DAF3EA" w:fill="C1F7E9"/>
            <w:vAlign w:val="center"/>
          </w:tcPr>
          <w:p w14:paraId="3B4EBFBE" w14:textId="546774C7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808080"/>
                <w:sz w:val="22"/>
                <w:szCs w:val="22"/>
              </w:rPr>
              <w:t>76 117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solid" w:color="DAF3EA" w:fill="C1F7E9"/>
            <w:vAlign w:val="center"/>
          </w:tcPr>
          <w:p w14:paraId="571E9F3C" w14:textId="012957D4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808080"/>
                <w:sz w:val="22"/>
                <w:szCs w:val="22"/>
              </w:rPr>
              <w:t>4,57</w:t>
            </w:r>
          </w:p>
        </w:tc>
      </w:tr>
      <w:tr w:rsidR="001271C2" w:rsidRPr="002138C0" w14:paraId="7681A9A0" w14:textId="77777777" w:rsidTr="001271C2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7956A" w14:textId="77777777" w:rsidR="001271C2" w:rsidRPr="00072DB9" w:rsidRDefault="001271C2" w:rsidP="001271C2">
            <w:pPr>
              <w:overflowPunct/>
              <w:autoSpaceDE/>
              <w:autoSpaceDN/>
              <w:adjustRightInd/>
              <w:ind w:firstLineChars="200" w:firstLine="44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z toho: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BD3AE" w14:textId="6CB62FB6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4A1B0" w14:textId="5C404A13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BB0DB" w14:textId="62EE85F5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CAC2F" w14:textId="58E3432E" w:rsidR="001271C2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964CC2" w14:textId="738A644D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10B8577" w14:textId="13D71A0D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 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20C2204" w14:textId="64510C00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 </w:t>
            </w:r>
          </w:p>
        </w:tc>
      </w:tr>
      <w:tr w:rsidR="001271C2" w:rsidRPr="002138C0" w14:paraId="044C41DA" w14:textId="77777777" w:rsidTr="001271C2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5457A" w14:textId="77777777" w:rsidR="001271C2" w:rsidRPr="00072DB9" w:rsidRDefault="001271C2" w:rsidP="001271C2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koupi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737F4" w14:textId="657AE00B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A754B" w14:textId="1B8F41A2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5 088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27610" w14:textId="5A2F6248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4,49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85060" w14:textId="5EE501A9" w:rsidR="001271C2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F069C9" w14:textId="751E921D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257,4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91727F9" w14:textId="75963DC1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59 888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8656123" w14:textId="73E1B02B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4,57</w:t>
            </w:r>
          </w:p>
        </w:tc>
      </w:tr>
      <w:tr w:rsidR="001271C2" w:rsidRPr="002138C0" w14:paraId="2F24DA4A" w14:textId="77777777" w:rsidTr="001271C2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6FC44" w14:textId="77777777" w:rsidR="001271C2" w:rsidRPr="00072DB9" w:rsidRDefault="001271C2" w:rsidP="001271C2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výstavbu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8C61F" w14:textId="3B237BA5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57232" w14:textId="6F95F81D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AC752" w14:textId="5D0DDA7B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4,43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D88DB" w14:textId="0DE5AB7B" w:rsidR="001271C2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D7FAE5" w14:textId="205CE673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7C10C04" w14:textId="030BCBCD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11 199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3F6D3B8" w14:textId="7A2E3B9F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4,54</w:t>
            </w:r>
          </w:p>
        </w:tc>
      </w:tr>
      <w:tr w:rsidR="001271C2" w:rsidRPr="002138C0" w14:paraId="6C466F00" w14:textId="77777777" w:rsidTr="001271C2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D71550" w14:textId="77777777" w:rsidR="001271C2" w:rsidRPr="00072DB9" w:rsidRDefault="001271C2" w:rsidP="001271C2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95C07" w14:textId="01C5E63E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C5AB3" w14:textId="4F5DC8A1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A05CEB" w14:textId="3C38A7CE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4,59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6B197FAE" w14:textId="2C8BF09B" w:rsidR="001271C2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42E05" w14:textId="2BAB3DB0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660BD" w14:textId="7E71369B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5 030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DA1437" w14:textId="7DE068BF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4,72</w:t>
            </w:r>
          </w:p>
        </w:tc>
      </w:tr>
      <w:tr w:rsidR="001271C2" w:rsidRPr="002138C0" w14:paraId="12035089" w14:textId="77777777" w:rsidTr="001271C2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1D37ED" w14:textId="77777777" w:rsidR="001271C2" w:rsidRPr="00072DB9" w:rsidRDefault="001271C2" w:rsidP="001271C2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z jiné instituce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772B7" w14:textId="40F57C41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8945F" w14:textId="0F017F90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1 978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60DBB2" w14:textId="34CA4E82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4,45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70D93E09" w14:textId="40D13442" w:rsidR="001271C2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DE192" w14:textId="72DE263B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70,1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37315" w14:textId="382581D4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19 935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D2CCAF" w14:textId="1CDA0581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4,53</w:t>
            </w:r>
          </w:p>
        </w:tc>
      </w:tr>
      <w:tr w:rsidR="001271C2" w:rsidRPr="002138C0" w14:paraId="01014CF0" w14:textId="77777777" w:rsidTr="001271C2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354E05" w14:textId="77777777" w:rsidR="001271C2" w:rsidRPr="00072DB9" w:rsidRDefault="001271C2" w:rsidP="001271C2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interně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, navýšené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EDCC6" w14:textId="0EC310AB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8724A" w14:textId="34256190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F58356" w14:textId="7ABF55C5" w:rsidR="001271C2" w:rsidRPr="00072DB9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4,44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05BC36DD" w14:textId="54C8B729" w:rsidR="001271C2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16DBD" w14:textId="0C6D535C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BC102" w14:textId="491C8BAA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4 014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9818EE" w14:textId="56E2EF55" w:rsidR="001271C2" w:rsidRPr="00A06A94" w:rsidRDefault="001271C2" w:rsidP="001271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4,54</w:t>
            </w:r>
          </w:p>
        </w:tc>
      </w:tr>
      <w:tr w:rsidR="00425883" w:rsidRPr="002138C0" w14:paraId="6F1DAD0F" w14:textId="77777777" w:rsidTr="001271C2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14AF0" w14:textId="77777777" w:rsidR="00425883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 w:rsidRPr="00072DB9">
              <w:rPr>
                <w:rFonts w:ascii="Calibri Light" w:hAnsi="Calibri Light" w:cs="Calibri Light"/>
                <w:color w:val="13576B"/>
                <w:sz w:val="20"/>
              </w:rPr>
              <w:t>Pramen: ČBA Hypomonitor</w:t>
            </w:r>
          </w:p>
          <w:p w14:paraId="28D49210" w14:textId="77777777" w:rsidR="00425883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</w:p>
          <w:p w14:paraId="5F3D6C0E" w14:textId="77777777" w:rsidR="00D17F2A" w:rsidRDefault="00D17F2A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</w:p>
          <w:p w14:paraId="7DF4299E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D84A1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899A2" w14:textId="79BFB73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A867D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4D162A73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6761BB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1D289D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ABD52C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</w:tbl>
    <w:p w14:paraId="0A5C07AA" w14:textId="6FB8F131" w:rsidR="006A4CF3" w:rsidRPr="00882EFB" w:rsidRDefault="00D16FB5" w:rsidP="006A4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EE0000"/>
          <w:sz w:val="22"/>
          <w:szCs w:val="22"/>
        </w:rPr>
      </w:pPr>
      <w:bookmarkStart w:id="2" w:name="_Hlk111121228"/>
      <w:bookmarkStart w:id="3" w:name="_Hlk119308742"/>
      <w:r w:rsidRPr="00EE7261">
        <w:rPr>
          <w:rFonts w:ascii="Calibri" w:hAnsi="Calibri" w:cs="Calibri"/>
          <w:i/>
          <w:iCs/>
          <w:color w:val="000000" w:themeColor="text1"/>
          <w:sz w:val="22"/>
          <w:szCs w:val="22"/>
        </w:rPr>
        <w:t>„</w:t>
      </w:r>
      <w:r w:rsidR="00DE43B5" w:rsidRPr="00EE726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Závěr prosince si navzdory Vánocům udržel silné bezmála 30 miliardové tempo tvorby nových hypotečních úvěrů. A zatímco </w:t>
      </w:r>
      <w:r w:rsidR="00EE7261" w:rsidRPr="00EE7261">
        <w:rPr>
          <w:rFonts w:ascii="Calibri" w:hAnsi="Calibri" w:cs="Calibri"/>
          <w:i/>
          <w:iCs/>
          <w:color w:val="000000" w:themeColor="text1"/>
          <w:sz w:val="22"/>
          <w:szCs w:val="22"/>
        </w:rPr>
        <w:t>tržní úrokové sazby polevily tlak na stabilní hypoteční úrokovou sazbu, tak pokračující svižné tempo průměrné výše hypotéky asi udrží centrální banku ve střehu, jak v oblasti úrokových sazeb, tak makro obezřetnostních opatření</w:t>
      </w:r>
      <w:r w:rsidR="007C1E59" w:rsidRPr="00EE7261">
        <w:rPr>
          <w:rFonts w:ascii="Calibri" w:hAnsi="Calibri" w:cs="Calibri"/>
          <w:i/>
          <w:iCs/>
          <w:color w:val="000000" w:themeColor="text1"/>
          <w:sz w:val="22"/>
          <w:szCs w:val="22"/>
        </w:rPr>
        <w:t>,</w:t>
      </w:r>
      <w:r w:rsidRPr="00EE7261">
        <w:rPr>
          <w:rFonts w:ascii="Calibri" w:hAnsi="Calibri" w:cs="Calibri"/>
          <w:i/>
          <w:iCs/>
          <w:color w:val="000000" w:themeColor="text1"/>
          <w:sz w:val="22"/>
          <w:szCs w:val="22"/>
        </w:rPr>
        <w:t>“</w:t>
      </w:r>
      <w:r w:rsidR="006A4CF3" w:rsidRPr="00EE726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EE7261">
        <w:rPr>
          <w:rFonts w:ascii="Calibri" w:hAnsi="Calibri" w:cs="Calibri"/>
          <w:sz w:val="22"/>
          <w:szCs w:val="22"/>
        </w:rPr>
        <w:t>domnívá se</w:t>
      </w:r>
      <w:r w:rsidR="006A4CF3" w:rsidRPr="00882EFB">
        <w:rPr>
          <w:rFonts w:ascii="Calibri" w:hAnsi="Calibri" w:cs="Calibri"/>
          <w:sz w:val="22"/>
          <w:szCs w:val="22"/>
        </w:rPr>
        <w:t xml:space="preserve"> </w:t>
      </w:r>
      <w:r w:rsidR="006A4CF3">
        <w:rPr>
          <w:rFonts w:ascii="Calibri" w:hAnsi="Calibri" w:cs="Calibri"/>
          <w:b/>
          <w:bCs/>
          <w:sz w:val="22"/>
          <w:szCs w:val="22"/>
        </w:rPr>
        <w:t xml:space="preserve">Jaromír Šindel, hlavní ekonom České bankovní asociace. </w:t>
      </w:r>
    </w:p>
    <w:p w14:paraId="5C0445D2" w14:textId="77777777" w:rsidR="00D17F2A" w:rsidRDefault="00D17F2A" w:rsidP="007E1421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6FE7B78E" w14:textId="77777777" w:rsidR="00D17F2A" w:rsidRDefault="00D17F2A" w:rsidP="007E1421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01CE7831" w14:textId="77777777" w:rsidR="00D17F2A" w:rsidRDefault="00D17F2A" w:rsidP="007E1421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54B5B32E" w14:textId="653B0D3D" w:rsidR="00D17F2A" w:rsidRPr="002A5D11" w:rsidRDefault="00D17F2A" w:rsidP="00D17F2A">
      <w:pPr>
        <w:rPr>
          <w:rFonts w:ascii="Calibri" w:hAnsi="Calibri" w:cs="Calibri"/>
          <w:b/>
          <w:color w:val="13576B"/>
          <w:sz w:val="24"/>
          <w:szCs w:val="24"/>
        </w:rPr>
      </w:pPr>
      <w:r w:rsidRPr="002A5D11">
        <w:rPr>
          <w:rFonts w:ascii="Calibri" w:hAnsi="Calibri" w:cs="Calibri"/>
          <w:b/>
          <w:color w:val="13576B"/>
          <w:sz w:val="24"/>
          <w:szCs w:val="24"/>
        </w:rPr>
        <w:t>Hypoteční trh v roce 202</w:t>
      </w:r>
      <w:r>
        <w:rPr>
          <w:rFonts w:ascii="Calibri" w:hAnsi="Calibri" w:cs="Calibri"/>
          <w:b/>
          <w:color w:val="13576B"/>
          <w:sz w:val="24"/>
          <w:szCs w:val="24"/>
        </w:rPr>
        <w:t>5</w:t>
      </w:r>
      <w:r w:rsidRPr="002A5D11">
        <w:rPr>
          <w:rFonts w:ascii="Calibri" w:hAnsi="Calibri" w:cs="Calibri"/>
          <w:b/>
          <w:color w:val="13576B"/>
          <w:sz w:val="24"/>
          <w:szCs w:val="24"/>
        </w:rPr>
        <w:t xml:space="preserve">: </w:t>
      </w:r>
      <w:r>
        <w:rPr>
          <w:rFonts w:ascii="Calibri" w:hAnsi="Calibri" w:cs="Calibri"/>
          <w:b/>
          <w:color w:val="13576B"/>
          <w:sz w:val="24"/>
          <w:szCs w:val="24"/>
        </w:rPr>
        <w:t>Další silný</w:t>
      </w:r>
      <w:r w:rsidRPr="002A5D11">
        <w:rPr>
          <w:rFonts w:ascii="Calibri" w:hAnsi="Calibri" w:cs="Calibri"/>
          <w:b/>
          <w:color w:val="13576B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13576B"/>
          <w:sz w:val="24"/>
          <w:szCs w:val="24"/>
        </w:rPr>
        <w:t xml:space="preserve">objemový </w:t>
      </w:r>
      <w:r w:rsidRPr="002A5D11">
        <w:rPr>
          <w:rFonts w:ascii="Calibri" w:hAnsi="Calibri" w:cs="Calibri"/>
          <w:b/>
          <w:color w:val="13576B"/>
          <w:sz w:val="24"/>
          <w:szCs w:val="24"/>
        </w:rPr>
        <w:t xml:space="preserve">růst o </w:t>
      </w:r>
      <w:r>
        <w:rPr>
          <w:rFonts w:ascii="Calibri" w:hAnsi="Calibri" w:cs="Calibri"/>
          <w:b/>
          <w:color w:val="13576B"/>
          <w:sz w:val="24"/>
          <w:szCs w:val="24"/>
        </w:rPr>
        <w:t>41</w:t>
      </w:r>
      <w:r w:rsidRPr="002A5D11">
        <w:rPr>
          <w:rFonts w:ascii="Calibri" w:hAnsi="Calibri" w:cs="Calibri"/>
          <w:b/>
          <w:color w:val="13576B"/>
          <w:sz w:val="24"/>
          <w:szCs w:val="24"/>
        </w:rPr>
        <w:t xml:space="preserve"> %</w:t>
      </w:r>
      <w:r>
        <w:rPr>
          <w:rFonts w:ascii="Calibri" w:hAnsi="Calibri" w:cs="Calibri"/>
          <w:b/>
          <w:color w:val="13576B"/>
          <w:sz w:val="24"/>
          <w:szCs w:val="24"/>
        </w:rPr>
        <w:t xml:space="preserve"> a o téměř čtvrtinu v počtech</w:t>
      </w:r>
    </w:p>
    <w:p w14:paraId="59A7D330" w14:textId="77777777" w:rsidR="00D17F2A" w:rsidRPr="00840F7C" w:rsidRDefault="00D17F2A" w:rsidP="00D17F2A">
      <w:pPr>
        <w:rPr>
          <w:rFonts w:ascii="Calibri" w:hAnsi="Calibri" w:cs="Calibri"/>
          <w:b/>
          <w:bCs/>
          <w:sz w:val="22"/>
          <w:szCs w:val="22"/>
        </w:rPr>
      </w:pPr>
    </w:p>
    <w:p w14:paraId="165DAC5C" w14:textId="531D2E7B" w:rsidR="00D17F2A" w:rsidRDefault="00D17F2A" w:rsidP="00D17F2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840F7C">
        <w:rPr>
          <w:rFonts w:ascii="Calibri" w:hAnsi="Calibri" w:cs="Calibri"/>
          <w:b/>
          <w:bCs/>
          <w:color w:val="000000" w:themeColor="text1"/>
          <w:sz w:val="22"/>
          <w:szCs w:val="22"/>
        </w:rPr>
        <w:t>Za celý rok 202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5</w:t>
      </w:r>
      <w:r w:rsidRPr="00840F7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poskytly banky a stavební spořitelny nové hypoteční úvěry v objemu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321</w:t>
      </w:r>
      <w:r w:rsidRPr="00840F7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miliard Kč.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>To je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o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93 miliard korun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E3B01">
        <w:rPr>
          <w:rFonts w:ascii="Calibri" w:hAnsi="Calibri" w:cs="Calibri"/>
          <w:color w:val="000000" w:themeColor="text1"/>
          <w:sz w:val="22"/>
          <w:szCs w:val="22"/>
        </w:rPr>
        <w:t xml:space="preserve">více než 228 miliard vytvořených v roce 2024. Tento meziroční skok odpovídá </w:t>
      </w:r>
      <w:r>
        <w:rPr>
          <w:rFonts w:ascii="Calibri" w:hAnsi="Calibri" w:cs="Calibri"/>
          <w:color w:val="000000" w:themeColor="text1"/>
          <w:sz w:val="22"/>
          <w:szCs w:val="22"/>
        </w:rPr>
        <w:t>41%</w:t>
      </w:r>
      <w:r w:rsidR="001E3B01">
        <w:rPr>
          <w:rFonts w:ascii="Calibri" w:hAnsi="Calibri" w:cs="Calibri"/>
          <w:color w:val="000000" w:themeColor="text1"/>
          <w:sz w:val="22"/>
          <w:szCs w:val="22"/>
        </w:rPr>
        <w:t xml:space="preserve"> nárůstu. 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K tomu se navíc refinancovaly hypotéky v rozsahu </w:t>
      </w:r>
      <w:r w:rsidR="00E27948">
        <w:rPr>
          <w:rFonts w:ascii="Calibri" w:hAnsi="Calibri" w:cs="Calibri"/>
          <w:color w:val="000000" w:themeColor="text1"/>
          <w:sz w:val="22"/>
          <w:szCs w:val="22"/>
        </w:rPr>
        <w:t xml:space="preserve">85 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>miliard Kč a celý hypoteční trh tak v roce 202</w:t>
      </w:r>
      <w:r w:rsidR="00E27948">
        <w:rPr>
          <w:rFonts w:ascii="Calibri" w:hAnsi="Calibri" w:cs="Calibri"/>
          <w:color w:val="000000" w:themeColor="text1"/>
          <w:sz w:val="22"/>
          <w:szCs w:val="22"/>
        </w:rPr>
        <w:t>5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 narostl na </w:t>
      </w:r>
      <w:r w:rsidR="00E27948">
        <w:rPr>
          <w:rFonts w:ascii="Calibri" w:hAnsi="Calibri" w:cs="Calibri"/>
          <w:color w:val="000000" w:themeColor="text1"/>
          <w:sz w:val="22"/>
          <w:szCs w:val="22"/>
        </w:rPr>
        <w:t>406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 miliard Kč z</w:t>
      </w:r>
      <w:r w:rsidR="00E27948">
        <w:rPr>
          <w:rFonts w:ascii="Calibri" w:hAnsi="Calibri" w:cs="Calibri"/>
          <w:color w:val="000000" w:themeColor="text1"/>
          <w:sz w:val="22"/>
          <w:szCs w:val="22"/>
        </w:rPr>
        <w:t xml:space="preserve"> 275 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>miliard v roce 202</w:t>
      </w:r>
      <w:r w:rsidR="00E27948">
        <w:rPr>
          <w:rFonts w:ascii="Calibri" w:hAnsi="Calibri" w:cs="Calibri"/>
          <w:color w:val="000000" w:themeColor="text1"/>
          <w:sz w:val="22"/>
          <w:szCs w:val="22"/>
        </w:rPr>
        <w:t>4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. Pokud upravíme objemy o nárůst cen </w:t>
      </w:r>
      <w:r w:rsidR="001E3B01">
        <w:rPr>
          <w:rFonts w:ascii="Calibri" w:hAnsi="Calibri" w:cs="Calibri"/>
          <w:color w:val="000000" w:themeColor="text1"/>
          <w:sz w:val="22"/>
          <w:szCs w:val="22"/>
        </w:rPr>
        <w:t>bytů okolo 15-16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 % (dle různých statistik), objem nových hypoték vzrostl reálně o něco méně. To odpovídá i mírnějšímu nárůstu počtu nových hypoték v roce 202</w:t>
      </w:r>
      <w:r w:rsidR="001E3B01">
        <w:rPr>
          <w:rFonts w:ascii="Calibri" w:hAnsi="Calibri" w:cs="Calibri"/>
          <w:color w:val="000000" w:themeColor="text1"/>
          <w:sz w:val="22"/>
          <w:szCs w:val="22"/>
        </w:rPr>
        <w:t>5, o necel</w:t>
      </w:r>
      <w:r w:rsidR="00E476DD">
        <w:rPr>
          <w:rFonts w:ascii="Calibri" w:hAnsi="Calibri" w:cs="Calibri"/>
          <w:color w:val="000000" w:themeColor="text1"/>
          <w:sz w:val="22"/>
          <w:szCs w:val="22"/>
        </w:rPr>
        <w:t>ou</w:t>
      </w:r>
      <w:r w:rsidR="001E3B01">
        <w:rPr>
          <w:rFonts w:ascii="Calibri" w:hAnsi="Calibri" w:cs="Calibri"/>
          <w:color w:val="000000" w:themeColor="text1"/>
          <w:sz w:val="22"/>
          <w:szCs w:val="22"/>
        </w:rPr>
        <w:t xml:space="preserve"> čtvrtinu na více než 71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tisíc</w:t>
      </w:r>
      <w:r w:rsidR="00E476DD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a téměř </w:t>
      </w:r>
      <w:r w:rsidR="001E3B01">
        <w:rPr>
          <w:rFonts w:ascii="Calibri" w:hAnsi="Calibri" w:cs="Calibri"/>
          <w:color w:val="000000" w:themeColor="text1"/>
          <w:sz w:val="22"/>
          <w:szCs w:val="22"/>
        </w:rPr>
        <w:t>15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>% nárůstu průměrné výše poskytnuté nové hypotéky na</w:t>
      </w:r>
      <w:r w:rsidR="001E3B01">
        <w:rPr>
          <w:rFonts w:ascii="Calibri" w:hAnsi="Calibri" w:cs="Calibri"/>
          <w:color w:val="000000" w:themeColor="text1"/>
          <w:sz w:val="22"/>
          <w:szCs w:val="22"/>
        </w:rPr>
        <w:t xml:space="preserve"> 4,21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milion</w:t>
      </w:r>
      <w:r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Kč. </w:t>
      </w:r>
    </w:p>
    <w:p w14:paraId="5BF8B434" w14:textId="77777777" w:rsidR="00E27948" w:rsidRDefault="00E27948" w:rsidP="00D17F2A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02346826" w14:textId="45211588" w:rsidR="001E3B01" w:rsidRPr="009C5D66" w:rsidRDefault="001E3B01" w:rsidP="00D17F2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9C5D66">
        <w:rPr>
          <w:rFonts w:ascii="Calibri" w:hAnsi="Calibri" w:cs="Calibri"/>
          <w:color w:val="000000" w:themeColor="text1"/>
          <w:sz w:val="22"/>
          <w:szCs w:val="22"/>
        </w:rPr>
        <w:t>Nové hypotéky se v roce 2025 financovaly průměrnou úrokovou sazbu 4,58 %, což bylo o půl procentního bodu méně než v roce 2024, přičemž spread vůči tržní swapo</w:t>
      </w:r>
      <w:r w:rsidR="009F2D48" w:rsidRPr="009C5D66">
        <w:rPr>
          <w:rFonts w:ascii="Calibri" w:hAnsi="Calibri" w:cs="Calibri"/>
          <w:color w:val="000000" w:themeColor="text1"/>
          <w:sz w:val="22"/>
          <w:szCs w:val="22"/>
        </w:rPr>
        <w:t xml:space="preserve">vé </w:t>
      </w:r>
      <w:r w:rsidR="009C5D66">
        <w:rPr>
          <w:rFonts w:ascii="Calibri" w:hAnsi="Calibri" w:cs="Calibri"/>
          <w:color w:val="000000" w:themeColor="text1"/>
          <w:sz w:val="22"/>
          <w:szCs w:val="22"/>
        </w:rPr>
        <w:t xml:space="preserve">úrokové </w:t>
      </w:r>
      <w:r w:rsidR="009F2D48" w:rsidRPr="009C5D66">
        <w:rPr>
          <w:rFonts w:ascii="Calibri" w:hAnsi="Calibri" w:cs="Calibri"/>
          <w:color w:val="000000" w:themeColor="text1"/>
          <w:sz w:val="22"/>
          <w:szCs w:val="22"/>
        </w:rPr>
        <w:t>křivce dosáhl necelého jednoho procentního bodu, což je mírně pod dlouhodobým průměrem. Průměrná měsíční výše hypoteční splátky v roce 2025 dosáhla necelých 22,8 tisíc</w:t>
      </w:r>
      <w:r w:rsidR="00E476DD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9F2D48" w:rsidRPr="009C5D66">
        <w:rPr>
          <w:rFonts w:ascii="Calibri" w:hAnsi="Calibri" w:cs="Calibri"/>
          <w:color w:val="000000" w:themeColor="text1"/>
          <w:sz w:val="22"/>
          <w:szCs w:val="22"/>
        </w:rPr>
        <w:t xml:space="preserve"> Kč, což je o 8,6</w:t>
      </w:r>
      <w:r w:rsidR="009C5D66">
        <w:rPr>
          <w:rFonts w:ascii="Calibri" w:hAnsi="Calibri" w:cs="Calibri"/>
          <w:color w:val="000000" w:themeColor="text1"/>
          <w:sz w:val="22"/>
          <w:szCs w:val="22"/>
        </w:rPr>
        <w:t xml:space="preserve"> %</w:t>
      </w:r>
      <w:r w:rsidR="009F2D48" w:rsidRPr="009C5D66">
        <w:rPr>
          <w:rFonts w:ascii="Calibri" w:hAnsi="Calibri" w:cs="Calibri"/>
          <w:color w:val="000000" w:themeColor="text1"/>
          <w:sz w:val="22"/>
          <w:szCs w:val="22"/>
        </w:rPr>
        <w:t xml:space="preserve"> více než v roce 2024</w:t>
      </w:r>
      <w:r w:rsidR="009C5D66" w:rsidRPr="009C5D66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E476DD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9C5D66">
        <w:rPr>
          <w:rFonts w:ascii="Calibri" w:hAnsi="Calibri" w:cs="Calibri"/>
          <w:color w:val="000000" w:themeColor="text1"/>
          <w:sz w:val="22"/>
          <w:szCs w:val="22"/>
        </w:rPr>
        <w:t xml:space="preserve"> mírně překonalo pravděpodobně více než 7% </w:t>
      </w:r>
      <w:r w:rsidR="00E27948">
        <w:rPr>
          <w:rFonts w:ascii="Calibri" w:hAnsi="Calibri" w:cs="Calibri"/>
          <w:color w:val="000000" w:themeColor="text1"/>
          <w:sz w:val="22"/>
          <w:szCs w:val="22"/>
        </w:rPr>
        <w:t xml:space="preserve">loňský </w:t>
      </w:r>
      <w:r w:rsidR="009C5D66">
        <w:rPr>
          <w:rFonts w:ascii="Calibri" w:hAnsi="Calibri" w:cs="Calibri"/>
          <w:color w:val="000000" w:themeColor="text1"/>
          <w:sz w:val="22"/>
          <w:szCs w:val="22"/>
        </w:rPr>
        <w:t>nárůst</w:t>
      </w:r>
      <w:r w:rsidR="009C5D66" w:rsidRPr="009C5D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12" w:history="1">
        <w:r w:rsidR="009C5D66" w:rsidRPr="009C5D66">
          <w:rPr>
            <w:rStyle w:val="Hypertextovodkaz"/>
            <w:rFonts w:ascii="Calibri" w:hAnsi="Calibri" w:cs="Calibri"/>
            <w:sz w:val="22"/>
            <w:szCs w:val="22"/>
          </w:rPr>
          <w:t>průměrn</w:t>
        </w:r>
        <w:r w:rsidR="009C5D66">
          <w:rPr>
            <w:rStyle w:val="Hypertextovodkaz"/>
            <w:rFonts w:ascii="Calibri" w:hAnsi="Calibri" w:cs="Calibri"/>
            <w:sz w:val="22"/>
            <w:szCs w:val="22"/>
          </w:rPr>
          <w:t>é</w:t>
        </w:r>
        <w:r w:rsidR="009C5D66" w:rsidRPr="009C5D66">
          <w:rPr>
            <w:rStyle w:val="Hypertextovodkaz"/>
            <w:rFonts w:ascii="Calibri" w:hAnsi="Calibri" w:cs="Calibri"/>
            <w:sz w:val="22"/>
            <w:szCs w:val="22"/>
          </w:rPr>
          <w:t xml:space="preserve"> nominální mzdy</w:t>
        </w:r>
      </w:hyperlink>
      <w:r w:rsidR="009F2D48" w:rsidRPr="009C5D66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9C5D66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9C5D66" w:rsidRPr="009C5D66">
        <w:rPr>
          <w:rFonts w:ascii="Calibri" w:hAnsi="Calibri" w:cs="Calibri"/>
          <w:color w:val="000000" w:themeColor="text1"/>
          <w:sz w:val="22"/>
          <w:szCs w:val="22"/>
        </w:rPr>
        <w:t xml:space="preserve">růměrný meziroční nárůst měsíční </w:t>
      </w:r>
      <w:r w:rsidR="009C5D66">
        <w:rPr>
          <w:rFonts w:ascii="Calibri" w:hAnsi="Calibri" w:cs="Calibri"/>
          <w:color w:val="000000" w:themeColor="text1"/>
          <w:sz w:val="22"/>
          <w:szCs w:val="22"/>
        </w:rPr>
        <w:t xml:space="preserve">hypoteční </w:t>
      </w:r>
      <w:r w:rsidR="009C5D66" w:rsidRPr="009C5D66">
        <w:rPr>
          <w:rFonts w:ascii="Calibri" w:hAnsi="Calibri" w:cs="Calibri"/>
          <w:color w:val="000000" w:themeColor="text1"/>
          <w:sz w:val="22"/>
          <w:szCs w:val="22"/>
        </w:rPr>
        <w:t>splátky přibližně o 1 800 korun</w:t>
      </w:r>
      <w:r w:rsidR="00E27948">
        <w:rPr>
          <w:rFonts w:ascii="Calibri" w:hAnsi="Calibri" w:cs="Calibri"/>
          <w:color w:val="000000" w:themeColor="text1"/>
          <w:sz w:val="22"/>
          <w:szCs w:val="22"/>
        </w:rPr>
        <w:t xml:space="preserve"> v roce 2025</w:t>
      </w:r>
      <w:r w:rsidR="009C5D66" w:rsidRPr="009C5D66">
        <w:rPr>
          <w:rFonts w:ascii="Calibri" w:hAnsi="Calibri" w:cs="Calibri"/>
          <w:color w:val="000000" w:themeColor="text1"/>
          <w:sz w:val="22"/>
          <w:szCs w:val="22"/>
        </w:rPr>
        <w:t xml:space="preserve"> především odrážel vyšší průměrnou </w:t>
      </w:r>
      <w:r w:rsidR="00E27948">
        <w:rPr>
          <w:rFonts w:ascii="Calibri" w:hAnsi="Calibri" w:cs="Calibri"/>
          <w:color w:val="000000" w:themeColor="text1"/>
          <w:sz w:val="22"/>
          <w:szCs w:val="22"/>
        </w:rPr>
        <w:t>úroveň</w:t>
      </w:r>
      <w:r w:rsidR="009C5D66" w:rsidRPr="009C5D66">
        <w:rPr>
          <w:rFonts w:ascii="Calibri" w:hAnsi="Calibri" w:cs="Calibri"/>
          <w:color w:val="000000" w:themeColor="text1"/>
          <w:sz w:val="22"/>
          <w:szCs w:val="22"/>
        </w:rPr>
        <w:t xml:space="preserve"> hypotéky s navýšením splátky téměř o 2,9 tis. Kč, zatímco nižší hypoteční úroková sazba snížila průměrnou měsíční splátku o více než 1,2 tis. Kč. </w:t>
      </w:r>
    </w:p>
    <w:p w14:paraId="22AA09AF" w14:textId="77777777" w:rsidR="00D17F2A" w:rsidRDefault="00D17F2A" w:rsidP="00D17F2A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70424441" w14:textId="2259FCD8" w:rsidR="00D17F2A" w:rsidRPr="002F4CBD" w:rsidRDefault="00D17F2A" w:rsidP="00D17F2A">
      <w:pPr>
        <w:rPr>
          <w:rFonts w:ascii="Calibri" w:hAnsi="Calibri" w:cs="Calibri"/>
          <w:sz w:val="22"/>
          <w:szCs w:val="22"/>
        </w:rPr>
      </w:pP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E27948">
        <w:rPr>
          <w:rFonts w:ascii="Calibri" w:hAnsi="Calibri" w:cs="Calibri"/>
          <w:b/>
          <w:color w:val="13576B"/>
          <w:sz w:val="23"/>
          <w:szCs w:val="23"/>
        </w:rPr>
        <w:t>1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>: Celoroční objem</w:t>
      </w:r>
      <w:r>
        <w:rPr>
          <w:rFonts w:ascii="Calibri" w:hAnsi="Calibri" w:cs="Calibri"/>
          <w:b/>
          <w:color w:val="13576B"/>
          <w:sz w:val="23"/>
          <w:szCs w:val="23"/>
        </w:rPr>
        <w:t xml:space="preserve">, 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počet </w:t>
      </w:r>
      <w:r>
        <w:rPr>
          <w:rFonts w:ascii="Calibri" w:hAnsi="Calibri" w:cs="Calibri"/>
          <w:b/>
          <w:color w:val="13576B"/>
          <w:sz w:val="23"/>
          <w:szCs w:val="23"/>
        </w:rPr>
        <w:t xml:space="preserve">a průměrná výše 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>poskytnutých hypoték v letech 202</w:t>
      </w:r>
      <w:r>
        <w:rPr>
          <w:rFonts w:ascii="Calibri" w:hAnsi="Calibri" w:cs="Calibri"/>
          <w:b/>
          <w:color w:val="13576B"/>
          <w:sz w:val="23"/>
          <w:szCs w:val="23"/>
        </w:rPr>
        <w:t>0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 až 202</w:t>
      </w:r>
      <w:r>
        <w:rPr>
          <w:rFonts w:ascii="Calibri" w:hAnsi="Calibri" w:cs="Calibri"/>
          <w:b/>
          <w:color w:val="13576B"/>
          <w:sz w:val="23"/>
          <w:szCs w:val="23"/>
        </w:rPr>
        <w:t>5</w:t>
      </w:r>
    </w:p>
    <w:p w14:paraId="39416EF8" w14:textId="77777777" w:rsidR="00D17F2A" w:rsidRPr="002F4CBD" w:rsidRDefault="00D17F2A" w:rsidP="00D17F2A">
      <w:pPr>
        <w:rPr>
          <w:rFonts w:ascii="Calibri" w:hAnsi="Calibri" w:cs="Calibri"/>
          <w:sz w:val="22"/>
          <w:szCs w:val="22"/>
        </w:rPr>
      </w:pPr>
    </w:p>
    <w:p w14:paraId="1E4AF597" w14:textId="77777777" w:rsidR="00D17F2A" w:rsidRPr="002F4CBD" w:rsidRDefault="00D17F2A" w:rsidP="00D17F2A">
      <w:pPr>
        <w:rPr>
          <w:rFonts w:ascii="Calibri" w:hAnsi="Calibri" w:cs="Calibri"/>
          <w:sz w:val="22"/>
          <w:szCs w:val="22"/>
        </w:rPr>
      </w:pPr>
      <w:r w:rsidRPr="00E77326">
        <w:rPr>
          <w:noProof/>
        </w:rPr>
        <w:drawing>
          <wp:inline distT="0" distB="0" distL="0" distR="0" wp14:anchorId="7599A981" wp14:editId="2308B86B">
            <wp:extent cx="6480810" cy="2125345"/>
            <wp:effectExtent l="0" t="0" r="0" b="8255"/>
            <wp:docPr id="39175904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C5EFF" w14:textId="77777777" w:rsidR="00D17F2A" w:rsidRPr="00616069" w:rsidRDefault="00D17F2A" w:rsidP="00D17F2A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 ČBA Hypomonitor</w:t>
      </w:r>
    </w:p>
    <w:p w14:paraId="21953EDF" w14:textId="77777777" w:rsidR="00D17F2A" w:rsidRPr="00616069" w:rsidRDefault="00D17F2A" w:rsidP="00D17F2A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3D7E83C" w14:textId="77777777" w:rsidR="00D43642" w:rsidRPr="00FC623B" w:rsidRDefault="00D43642" w:rsidP="00D43642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3CF54A6C" w14:textId="27FB2179" w:rsidR="00D43642" w:rsidRPr="004E3F0C" w:rsidRDefault="00D43642" w:rsidP="00D43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6337E7">
        <w:rPr>
          <w:rFonts w:ascii="Calibri" w:hAnsi="Calibri" w:cs="Calibri"/>
          <w:i/>
          <w:iCs/>
          <w:color w:val="000000" w:themeColor="text1"/>
          <w:sz w:val="22"/>
          <w:szCs w:val="22"/>
        </w:rPr>
        <w:t>„</w:t>
      </w:r>
      <w:r w:rsidRPr="007D77FB">
        <w:rPr>
          <w:rFonts w:ascii="Calibri" w:hAnsi="Calibri" w:cs="Calibri"/>
          <w:i/>
          <w:iCs/>
          <w:color w:val="000000" w:themeColor="text1"/>
          <w:sz w:val="22"/>
          <w:szCs w:val="22"/>
        </w:rPr>
        <w:t>Rok 2025 se stal z pohledu objemu hypoték druhým nejúspěšnějším v třicetileté historii hypotečního trhu v Česku. Vzhledem k nedostatečné nabídce bytů i domů a jejich pomalé výstavbě, pozitivnímu prostředí pro růst ekonomiky, bezprecedentnímu zvýšení reálných mezd v minulých letech a odložené poptávce po vlastním bydlení očekáváme pro letošní rok asi třináctiprocentní meziroční růst objemu hypoték na přibližně 432 miliard korun. Zatímco trh hypoték by měl růst dvouciferně, tak u cen nemovitostí předpokládáme zpomalení roční dynamiky na vyšší jednociferné hodnoty</w:t>
      </w:r>
      <w:r w:rsidRPr="006337E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,“ </w:t>
      </w:r>
      <w:r>
        <w:rPr>
          <w:rFonts w:ascii="Calibri" w:hAnsi="Calibri" w:cs="Calibri"/>
          <w:color w:val="000000" w:themeColor="text1"/>
          <w:sz w:val="22"/>
          <w:szCs w:val="22"/>
        </w:rPr>
        <w:t>říká</w:t>
      </w:r>
      <w:r w:rsidRPr="006337E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D77FB">
        <w:rPr>
          <w:rFonts w:ascii="Calibri" w:hAnsi="Calibri" w:cs="Calibri"/>
          <w:b/>
          <w:bCs/>
          <w:color w:val="000000" w:themeColor="text1"/>
          <w:sz w:val="22"/>
          <w:szCs w:val="22"/>
        </w:rPr>
        <w:t>Martin Vašek, generální ředitel a předseda představenstva ČSOB Hypoteční banky a ČSOB Stavební spořitelny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 </w:t>
      </w:r>
    </w:p>
    <w:p w14:paraId="2934D831" w14:textId="77777777" w:rsidR="00D43642" w:rsidRDefault="00D43642" w:rsidP="00D43642">
      <w:pPr>
        <w:overflowPunct/>
        <w:autoSpaceDE/>
        <w:autoSpaceDN/>
        <w:adjustRightInd/>
        <w:textAlignment w:val="auto"/>
        <w:rPr>
          <w:rFonts w:ascii="Calibri" w:hAnsi="Calibri" w:cs="Calibri"/>
          <w:i/>
          <w:iCs/>
          <w:sz w:val="22"/>
          <w:szCs w:val="22"/>
        </w:rPr>
      </w:pPr>
    </w:p>
    <w:p w14:paraId="4A79A634" w14:textId="77777777" w:rsidR="00D17F2A" w:rsidRDefault="00D17F2A" w:rsidP="007E1421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24DE03EF" w14:textId="77777777" w:rsidR="00D17F2A" w:rsidRDefault="00D17F2A" w:rsidP="007E1421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6B7D1662" w14:textId="12006F38" w:rsidR="00677FE7" w:rsidRDefault="00D17F2A" w:rsidP="007E1421">
      <w:pPr>
        <w:rPr>
          <w:rFonts w:ascii="Calibri" w:hAnsi="Calibri" w:cs="Calibri"/>
          <w:b/>
          <w:color w:val="13576B"/>
          <w:sz w:val="23"/>
          <w:szCs w:val="23"/>
        </w:rPr>
      </w:pPr>
      <w:r>
        <w:rPr>
          <w:rFonts w:ascii="Calibri" w:hAnsi="Calibri" w:cs="Calibri"/>
          <w:b/>
          <w:noProof/>
          <w:color w:val="13576B"/>
          <w:sz w:val="23"/>
          <w:szCs w:val="23"/>
        </w:rPr>
        <w:lastRenderedPageBreak/>
        <w:drawing>
          <wp:inline distT="0" distB="0" distL="0" distR="0" wp14:anchorId="45244522" wp14:editId="00A2BF66">
            <wp:extent cx="6239567" cy="4573806"/>
            <wp:effectExtent l="0" t="0" r="0" b="0"/>
            <wp:docPr id="40450748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58" cy="4583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652A9F" w14:textId="77777777" w:rsidR="007E1421" w:rsidRDefault="00E16BD3" w:rsidP="007E1421">
      <w:pPr>
        <w:overflowPunct/>
        <w:autoSpaceDE/>
        <w:autoSpaceDN/>
        <w:adjustRightInd/>
        <w:spacing w:after="120"/>
        <w:jc w:val="left"/>
        <w:textAlignment w:val="auto"/>
        <w:rPr>
          <w:rFonts w:ascii="Calibri Light" w:hAnsi="Calibri Light" w:cs="Calibri Light"/>
          <w:color w:val="13576B"/>
          <w:sz w:val="20"/>
        </w:rPr>
      </w:pPr>
      <w:r w:rsidRPr="00E16BD3">
        <w:rPr>
          <w:rFonts w:ascii="Calibri Light" w:hAnsi="Calibri Light" w:cs="Calibri Light"/>
          <w:color w:val="13576B"/>
          <w:sz w:val="20"/>
        </w:rPr>
        <w:t>Poznámka: výhled do konce roku je momentový – vychází z aktuálního trendu, nikoli z modelové predikce.</w:t>
      </w:r>
    </w:p>
    <w:p w14:paraId="268C0530" w14:textId="1C594441" w:rsidR="00105BE4" w:rsidRPr="00E16BD3" w:rsidRDefault="00C873BE" w:rsidP="00E16BD3">
      <w:pPr>
        <w:overflowPunct/>
        <w:autoSpaceDE/>
        <w:autoSpaceDN/>
        <w:adjustRightInd/>
        <w:jc w:val="left"/>
        <w:textAlignment w:val="auto"/>
        <w:rPr>
          <w:rFonts w:ascii="Calibri Light" w:hAnsi="Calibri Light" w:cs="Calibri Light"/>
          <w:color w:val="13576B"/>
          <w:sz w:val="20"/>
        </w:rPr>
      </w:pPr>
      <w:r w:rsidRPr="00C873BE">
        <w:rPr>
          <w:noProof/>
        </w:rPr>
        <w:lastRenderedPageBreak/>
        <w:drawing>
          <wp:inline distT="0" distB="0" distL="0" distR="0" wp14:anchorId="2FD88E53" wp14:editId="04694E0E">
            <wp:extent cx="6329548" cy="3713633"/>
            <wp:effectExtent l="0" t="0" r="0" b="1270"/>
            <wp:docPr id="171281683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753" cy="371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4C85F" w14:textId="753828C7" w:rsidR="00105BE4" w:rsidRDefault="00105BE4" w:rsidP="002B35B7">
      <w:pPr>
        <w:spacing w:before="240" w:after="120"/>
        <w:rPr>
          <w:rFonts w:ascii="Calibri" w:hAnsi="Calibri" w:cs="Calibri"/>
          <w:b/>
          <w:color w:val="13576B"/>
          <w:sz w:val="23"/>
          <w:szCs w:val="23"/>
        </w:rPr>
      </w:pPr>
    </w:p>
    <w:p w14:paraId="656E850E" w14:textId="7E373CD5" w:rsidR="0009562F" w:rsidRDefault="00DA47F0" w:rsidP="0009562F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r>
        <w:rPr>
          <w:rFonts w:ascii="Calibri" w:hAnsi="Calibri" w:cs="Calibri"/>
          <w:b/>
          <w:color w:val="13576B"/>
          <w:sz w:val="23"/>
          <w:szCs w:val="23"/>
        </w:rPr>
        <w:t xml:space="preserve">Prosinec </w:t>
      </w:r>
      <w:r w:rsidR="007E1421">
        <w:rPr>
          <w:rFonts w:ascii="Calibri" w:hAnsi="Calibri" w:cs="Calibri"/>
          <w:b/>
          <w:color w:val="13576B"/>
          <w:sz w:val="23"/>
          <w:szCs w:val="23"/>
        </w:rPr>
        <w:t xml:space="preserve">potvrdil silné objemy hypoték </w:t>
      </w:r>
      <w:r>
        <w:rPr>
          <w:rFonts w:ascii="Calibri" w:hAnsi="Calibri" w:cs="Calibri"/>
          <w:b/>
          <w:color w:val="13576B"/>
          <w:sz w:val="23"/>
          <w:szCs w:val="23"/>
        </w:rPr>
        <w:t>na téměř</w:t>
      </w:r>
      <w:r w:rsidR="007E1421">
        <w:rPr>
          <w:rFonts w:ascii="Calibri" w:hAnsi="Calibri" w:cs="Calibri"/>
          <w:b/>
          <w:color w:val="13576B"/>
          <w:sz w:val="23"/>
          <w:szCs w:val="23"/>
        </w:rPr>
        <w:t xml:space="preserve"> 30 miliard</w:t>
      </w:r>
      <w:r>
        <w:rPr>
          <w:rFonts w:ascii="Calibri" w:hAnsi="Calibri" w:cs="Calibri"/>
          <w:b/>
          <w:color w:val="13576B"/>
          <w:sz w:val="23"/>
          <w:szCs w:val="23"/>
        </w:rPr>
        <w:t>ách</w:t>
      </w:r>
      <w:r w:rsidR="007E1421">
        <w:rPr>
          <w:rFonts w:ascii="Calibri" w:hAnsi="Calibri" w:cs="Calibri"/>
          <w:b/>
          <w:color w:val="13576B"/>
          <w:sz w:val="23"/>
          <w:szCs w:val="23"/>
        </w:rPr>
        <w:t xml:space="preserve"> korun </w:t>
      </w:r>
      <w:r>
        <w:rPr>
          <w:rFonts w:ascii="Calibri" w:hAnsi="Calibri" w:cs="Calibri"/>
          <w:b/>
          <w:color w:val="13576B"/>
          <w:sz w:val="23"/>
          <w:szCs w:val="23"/>
        </w:rPr>
        <w:t>ve druhém pololetí</w:t>
      </w:r>
    </w:p>
    <w:p w14:paraId="142EADB0" w14:textId="77777777" w:rsidR="00FF3215" w:rsidRDefault="00FF3215" w:rsidP="0009562F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A8F0093" w14:textId="72196AAD" w:rsidR="00FF3215" w:rsidRDefault="00F0147C" w:rsidP="00FF3215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Prosinec pokračoval v silných hypotečních objemech navzdory Vánocům. </w:t>
      </w:r>
      <w:r w:rsidR="00FF3215" w:rsidRPr="00F0147C">
        <w:rPr>
          <w:rFonts w:ascii="Calibri" w:hAnsi="Calibri" w:cs="Calibri"/>
          <w:color w:val="000000"/>
          <w:sz w:val="22"/>
          <w:szCs w:val="22"/>
        </w:rPr>
        <w:t xml:space="preserve">V prosinci poskytly banky a stavební spořitelny skutečně nové hypoteční úvěry bez refinancování za 28,6 mld. </w:t>
      </w:r>
      <w:r w:rsidR="00FF3215" w:rsidRPr="00E476DD">
        <w:rPr>
          <w:rFonts w:ascii="Calibri" w:hAnsi="Calibri" w:cs="Calibri"/>
          <w:color w:val="000000"/>
          <w:sz w:val="22"/>
          <w:szCs w:val="22"/>
        </w:rPr>
        <w:t>Kč.</w:t>
      </w:r>
      <w:r w:rsidR="00FF3215" w:rsidRPr="00DA47F0">
        <w:rPr>
          <w:rFonts w:ascii="Calibri" w:hAnsi="Calibri" w:cs="Calibri"/>
          <w:color w:val="000000"/>
          <w:sz w:val="22"/>
          <w:szCs w:val="22"/>
        </w:rPr>
        <w:t xml:space="preserve"> Oproti listopadu tak nová hypoteční aktivita objemově stoupla přibližně o 2 %</w:t>
      </w:r>
      <w:r w:rsidR="00980AFA" w:rsidRPr="00DA47F0">
        <w:rPr>
          <w:rFonts w:ascii="Calibri" w:hAnsi="Calibri" w:cs="Calibri"/>
          <w:color w:val="000000"/>
          <w:sz w:val="22"/>
          <w:szCs w:val="22"/>
        </w:rPr>
        <w:t xml:space="preserve"> navzdory obvyklému prosincovému poklesu </w:t>
      </w:r>
      <w:r w:rsidR="00FF3215" w:rsidRPr="00DA47F0">
        <w:rPr>
          <w:rFonts w:ascii="Calibri" w:hAnsi="Calibri" w:cs="Calibri"/>
          <w:color w:val="000000"/>
          <w:sz w:val="22"/>
          <w:szCs w:val="22"/>
        </w:rPr>
        <w:t>o 5 %</w:t>
      </w:r>
      <w:r w:rsidR="00980AFA" w:rsidRPr="00DA47F0">
        <w:rPr>
          <w:rFonts w:ascii="Calibri" w:hAnsi="Calibri" w:cs="Calibri"/>
          <w:color w:val="000000"/>
          <w:sz w:val="22"/>
          <w:szCs w:val="22"/>
        </w:rPr>
        <w:t>. Tento rozdíl spíše odráží přetrvávající silný hypot</w:t>
      </w:r>
      <w:r w:rsidR="00BC63D5">
        <w:rPr>
          <w:rFonts w:ascii="Calibri" w:hAnsi="Calibri" w:cs="Calibri"/>
          <w:color w:val="000000"/>
          <w:sz w:val="22"/>
          <w:szCs w:val="22"/>
        </w:rPr>
        <w:t>e</w:t>
      </w:r>
      <w:r w:rsidR="00980AFA" w:rsidRPr="00DA47F0">
        <w:rPr>
          <w:rFonts w:ascii="Calibri" w:hAnsi="Calibri" w:cs="Calibri"/>
          <w:color w:val="000000"/>
          <w:sz w:val="22"/>
          <w:szCs w:val="22"/>
        </w:rPr>
        <w:t xml:space="preserve">ční trh, než okamžitou reakci na </w:t>
      </w:r>
      <w:hyperlink r:id="rId16" w:history="1">
        <w:r w:rsidR="00980AFA" w:rsidRPr="00DA47F0">
          <w:rPr>
            <w:rStyle w:val="Hypertextovodkaz"/>
            <w:rFonts w:ascii="Calibri" w:hAnsi="Calibri" w:cs="Calibri"/>
            <w:sz w:val="22"/>
            <w:szCs w:val="22"/>
          </w:rPr>
          <w:t>zpřísnění požadavků</w:t>
        </w:r>
      </w:hyperlink>
      <w:r w:rsidR="00DA47F0" w:rsidRPr="00DA47F0">
        <w:rPr>
          <w:rFonts w:ascii="Calibri" w:hAnsi="Calibri" w:cs="Calibri"/>
          <w:color w:val="000000"/>
          <w:sz w:val="22"/>
          <w:szCs w:val="22"/>
        </w:rPr>
        <w:t xml:space="preserve"> centrální banky</w:t>
      </w:r>
      <w:r w:rsidR="00980AFA" w:rsidRPr="00DA47F0">
        <w:rPr>
          <w:rFonts w:ascii="Calibri" w:hAnsi="Calibri" w:cs="Calibri"/>
          <w:color w:val="000000"/>
          <w:sz w:val="22"/>
          <w:szCs w:val="22"/>
        </w:rPr>
        <w:t xml:space="preserve"> na tzv. investiční hypotéky z konce listopadu</w:t>
      </w:r>
      <w:r w:rsidR="00E27948">
        <w:rPr>
          <w:rFonts w:ascii="Calibri" w:hAnsi="Calibri" w:cs="Calibri"/>
          <w:color w:val="000000"/>
          <w:sz w:val="22"/>
          <w:szCs w:val="22"/>
        </w:rPr>
        <w:t xml:space="preserve"> s platností od letošního dubna</w:t>
      </w:r>
      <w:r w:rsidR="00980AFA" w:rsidRPr="00DA47F0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FF3215" w:rsidRPr="00DA47F0">
        <w:rPr>
          <w:rFonts w:ascii="Calibri" w:hAnsi="Calibri" w:cs="Calibri"/>
          <w:color w:val="000000"/>
          <w:sz w:val="22"/>
          <w:szCs w:val="22"/>
        </w:rPr>
        <w:t xml:space="preserve">Objem nově poskytnutých hypoték se v prosinci dostal na přibližně o 36 % vyšší úroveň ve srovnání </w:t>
      </w:r>
      <w:r w:rsidR="00DA47F0" w:rsidRPr="00DA47F0">
        <w:rPr>
          <w:rFonts w:ascii="Calibri" w:hAnsi="Calibri" w:cs="Calibri"/>
          <w:color w:val="000000"/>
          <w:sz w:val="22"/>
          <w:szCs w:val="22"/>
        </w:rPr>
        <w:t xml:space="preserve">s </w:t>
      </w:r>
      <w:r w:rsidR="00FF3215" w:rsidRPr="00DA47F0">
        <w:rPr>
          <w:rFonts w:ascii="Calibri" w:hAnsi="Calibri" w:cs="Calibri"/>
          <w:color w:val="000000"/>
          <w:sz w:val="22"/>
          <w:szCs w:val="22"/>
        </w:rPr>
        <w:t>druhou polovinou loňského roku. V meziročním vyjádření růst objemu poskytnutých hypoték v prosinci zesílil na 45 % z listopadových 30 % po průměrném 83% meziročním nárůstu v minulém roce. V letošním roce bylo okolo 80 % objemu nových úvěrů určeno ke koupi a 14 % na výstavbu, zatímco v předchozích pěti letech dosahovaly tyto podíly 74 % a 20 %.</w:t>
      </w:r>
      <w:r w:rsidR="00FF3215" w:rsidRPr="00FF3215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4913EB61" w14:textId="77777777" w:rsidR="00DA47F0" w:rsidRPr="00FF3215" w:rsidRDefault="00DA47F0" w:rsidP="00FF3215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B15F984" w14:textId="2D5DC5A4" w:rsidR="00FF3215" w:rsidRDefault="00FF3215" w:rsidP="00FF3215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DA47F0">
        <w:rPr>
          <w:rFonts w:ascii="Calibri" w:hAnsi="Calibri" w:cs="Calibri"/>
          <w:b/>
          <w:bCs/>
          <w:color w:val="000000"/>
          <w:sz w:val="22"/>
          <w:szCs w:val="22"/>
        </w:rPr>
        <w:t xml:space="preserve">Počet nových hypoték v prosinci </w:t>
      </w:r>
      <w:r w:rsidR="00DA47F0" w:rsidRPr="00DA47F0">
        <w:rPr>
          <w:rFonts w:ascii="Calibri" w:hAnsi="Calibri" w:cs="Calibri"/>
          <w:b/>
          <w:bCs/>
          <w:color w:val="000000"/>
          <w:sz w:val="22"/>
          <w:szCs w:val="22"/>
        </w:rPr>
        <w:t xml:space="preserve">nepatrně meziměsíčně </w:t>
      </w:r>
      <w:r w:rsidRPr="00DA47F0">
        <w:rPr>
          <w:rFonts w:ascii="Calibri" w:hAnsi="Calibri" w:cs="Calibri"/>
          <w:b/>
          <w:bCs/>
          <w:color w:val="000000"/>
          <w:sz w:val="22"/>
          <w:szCs w:val="22"/>
        </w:rPr>
        <w:t>poklesl na 6 366 kusů, což je</w:t>
      </w:r>
      <w:r w:rsidR="00DA47F0" w:rsidRPr="00DA47F0">
        <w:rPr>
          <w:rFonts w:ascii="Calibri" w:hAnsi="Calibri" w:cs="Calibri"/>
          <w:b/>
          <w:bCs/>
          <w:color w:val="000000"/>
          <w:sz w:val="22"/>
          <w:szCs w:val="22"/>
        </w:rPr>
        <w:t xml:space="preserve"> ovšem</w:t>
      </w:r>
      <w:r w:rsidRPr="00DA47F0">
        <w:rPr>
          <w:rFonts w:ascii="Calibri" w:hAnsi="Calibri" w:cs="Calibri"/>
          <w:b/>
          <w:bCs/>
          <w:color w:val="000000"/>
          <w:sz w:val="22"/>
          <w:szCs w:val="22"/>
        </w:rPr>
        <w:t xml:space="preserve"> o 25 % více než před rokem. </w:t>
      </w:r>
      <w:r w:rsidRPr="00DA47F0">
        <w:rPr>
          <w:rFonts w:ascii="Calibri" w:hAnsi="Calibri" w:cs="Calibri"/>
          <w:color w:val="000000"/>
          <w:sz w:val="22"/>
          <w:szCs w:val="22"/>
        </w:rPr>
        <w:t xml:space="preserve">Odhadujeme, že po sezónním očištění se jejich počet pohybuje okolo </w:t>
      </w:r>
      <w:r w:rsidR="00DA47F0" w:rsidRPr="00DA47F0">
        <w:rPr>
          <w:rFonts w:ascii="Calibri" w:hAnsi="Calibri" w:cs="Calibri"/>
          <w:color w:val="000000"/>
          <w:sz w:val="22"/>
          <w:szCs w:val="22"/>
        </w:rPr>
        <w:t xml:space="preserve">téměř 6,5 tisíc, což je </w:t>
      </w:r>
      <w:r w:rsidRPr="00DA47F0">
        <w:rPr>
          <w:rFonts w:ascii="Calibri" w:hAnsi="Calibri" w:cs="Calibri"/>
          <w:color w:val="000000"/>
          <w:sz w:val="22"/>
          <w:szCs w:val="22"/>
        </w:rPr>
        <w:t>přibližně 6 % pod průměrným počtem (6 901) v předchozích třech měsících. Dynamika počtu nových hypoték z posledních tří měsíců, tedy za říjen až prosinec implikuje jejich letošní nárůst</w:t>
      </w:r>
      <w:r w:rsidR="00DA47F0" w:rsidRPr="00DA47F0">
        <w:rPr>
          <w:rFonts w:ascii="Calibri" w:hAnsi="Calibri" w:cs="Calibri"/>
          <w:color w:val="000000"/>
          <w:sz w:val="22"/>
          <w:szCs w:val="22"/>
        </w:rPr>
        <w:t xml:space="preserve">, tj. v roce 2026, </w:t>
      </w:r>
      <w:r w:rsidRPr="00DA47F0">
        <w:rPr>
          <w:rFonts w:ascii="Calibri" w:hAnsi="Calibri" w:cs="Calibri"/>
          <w:color w:val="000000"/>
          <w:sz w:val="22"/>
          <w:szCs w:val="22"/>
        </w:rPr>
        <w:t xml:space="preserve">na </w:t>
      </w:r>
      <w:r w:rsidR="00DA47F0" w:rsidRPr="00DA47F0">
        <w:rPr>
          <w:rFonts w:ascii="Calibri" w:hAnsi="Calibri" w:cs="Calibri"/>
          <w:color w:val="000000"/>
          <w:sz w:val="22"/>
          <w:szCs w:val="22"/>
        </w:rPr>
        <w:t>téměř 80 tisíc kusů. To by bylo</w:t>
      </w:r>
      <w:r w:rsidRPr="00DA47F0">
        <w:rPr>
          <w:rFonts w:ascii="Calibri" w:hAnsi="Calibri" w:cs="Calibri"/>
          <w:color w:val="000000"/>
          <w:sz w:val="22"/>
          <w:szCs w:val="22"/>
        </w:rPr>
        <w:t xml:space="preserve"> téměř o </w:t>
      </w:r>
      <w:r w:rsidR="00DA47F0" w:rsidRPr="00DA47F0">
        <w:rPr>
          <w:rFonts w:ascii="Calibri" w:hAnsi="Calibri" w:cs="Calibri"/>
          <w:color w:val="000000"/>
          <w:sz w:val="22"/>
          <w:szCs w:val="22"/>
        </w:rPr>
        <w:t>5 %</w:t>
      </w:r>
      <w:r w:rsidRPr="00DA47F0">
        <w:rPr>
          <w:rFonts w:ascii="Calibri" w:hAnsi="Calibri" w:cs="Calibri"/>
          <w:color w:val="000000"/>
          <w:sz w:val="22"/>
          <w:szCs w:val="22"/>
        </w:rPr>
        <w:t xml:space="preserve"> více než </w:t>
      </w:r>
      <w:r w:rsidR="00DA47F0" w:rsidRPr="00DA47F0">
        <w:rPr>
          <w:rFonts w:ascii="Calibri" w:hAnsi="Calibri" w:cs="Calibri"/>
          <w:color w:val="000000"/>
          <w:sz w:val="22"/>
          <w:szCs w:val="22"/>
        </w:rPr>
        <w:t>přes 76 tisíc kusů zaznamenaných v roce 2025 (+23,5 % meziročně). Ovšem i tak by</w:t>
      </w:r>
      <w:r w:rsidRPr="00DA47F0">
        <w:rPr>
          <w:rFonts w:ascii="Calibri" w:hAnsi="Calibri" w:cs="Calibri"/>
          <w:color w:val="000000"/>
          <w:sz w:val="22"/>
          <w:szCs w:val="22"/>
        </w:rPr>
        <w:t xml:space="preserve"> letošní počet zůsta</w:t>
      </w:r>
      <w:r w:rsidR="00DA47F0" w:rsidRPr="00DA47F0">
        <w:rPr>
          <w:rFonts w:ascii="Calibri" w:hAnsi="Calibri" w:cs="Calibri"/>
          <w:color w:val="000000"/>
          <w:sz w:val="22"/>
          <w:szCs w:val="22"/>
        </w:rPr>
        <w:t xml:space="preserve">l </w:t>
      </w:r>
      <w:r w:rsidRPr="00DA47F0">
        <w:rPr>
          <w:rFonts w:ascii="Calibri" w:hAnsi="Calibri" w:cs="Calibri"/>
          <w:color w:val="000000"/>
          <w:sz w:val="22"/>
          <w:szCs w:val="22"/>
        </w:rPr>
        <w:t xml:space="preserve">pod průměrnými počty okolo 95 tisíc z let 2016 až 2018 či pod 114 tisíci z roku 2021. </w:t>
      </w:r>
    </w:p>
    <w:p w14:paraId="5A4D3C88" w14:textId="77777777" w:rsidR="00BC63D5" w:rsidRDefault="00BC63D5" w:rsidP="00FF3215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18A38D71" w14:textId="77777777" w:rsidR="00BC63D5" w:rsidRDefault="00BC63D5" w:rsidP="00FF3215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28C67570" w14:textId="77777777" w:rsidR="00BC63D5" w:rsidRDefault="00BC63D5" w:rsidP="00FF3215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3CABBD2B" w14:textId="77777777" w:rsidR="00D43642" w:rsidRDefault="00D43642" w:rsidP="00FF3215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4AD141EA" w14:textId="77777777" w:rsidR="00D43642" w:rsidRDefault="00D43642" w:rsidP="00D43642">
      <w:pPr>
        <w:rPr>
          <w:rFonts w:ascii="Calibri" w:hAnsi="Calibri" w:cs="Calibri"/>
          <w:color w:val="000000"/>
          <w:sz w:val="22"/>
          <w:szCs w:val="22"/>
        </w:rPr>
      </w:pPr>
    </w:p>
    <w:p w14:paraId="58DA8898" w14:textId="77777777" w:rsidR="00D43642" w:rsidRPr="00CC5202" w:rsidRDefault="00D43642" w:rsidP="00D43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i/>
          <w:iCs/>
          <w:sz w:val="22"/>
          <w:szCs w:val="22"/>
        </w:rPr>
      </w:pPr>
      <w:r w:rsidRPr="002F6A6D">
        <w:rPr>
          <w:rFonts w:ascii="Calibri" w:hAnsi="Calibri" w:cs="Calibri"/>
          <w:i/>
          <w:iCs/>
          <w:color w:val="000000" w:themeColor="text1"/>
          <w:sz w:val="22"/>
          <w:szCs w:val="22"/>
        </w:rPr>
        <w:lastRenderedPageBreak/>
        <w:t>„</w:t>
      </w:r>
      <w:r w:rsidRPr="00D17F2A">
        <w:rPr>
          <w:rFonts w:ascii="Calibri" w:hAnsi="Calibri" w:cs="Calibri"/>
          <w:i/>
          <w:iCs/>
          <w:color w:val="000000" w:themeColor="text1"/>
          <w:sz w:val="22"/>
          <w:szCs w:val="22"/>
        </w:rPr>
        <w:t>Za loňský rok jsme podruhé v řadě dosáhli historicky nejlepšího výsledku z hlediska počtu i objemu nových hypoték. Tento úspěch potvrzuje nejen postupné oživení poptávky, ale i naši silnou pozici na trhu. Stabilizace úrokových sazeb přinesla větší jistotu klientům a podpořila jejich rozhodování. Pokud nedojde k výraznému negativnímu šoku v podobě vyšších tržních zdrojů na mezibankovním trhu, očekáváme, že pozitivní trend bude pokračovat i v roce 2026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,“</w:t>
      </w:r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očekává</w:t>
      </w:r>
      <w:r w:rsidRPr="002F6A6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E3B01">
        <w:rPr>
          <w:rFonts w:ascii="Calibri" w:hAnsi="Calibri" w:cs="Calibri"/>
          <w:b/>
          <w:bCs/>
          <w:color w:val="000000" w:themeColor="text1"/>
          <w:sz w:val="22"/>
          <w:szCs w:val="22"/>
        </w:rPr>
        <w:t>Zdeňka Kovářová, manažerka hypoték, UniCredit Bank</w:t>
      </w:r>
      <w:r w:rsidRPr="00882EFB">
        <w:rPr>
          <w:rFonts w:ascii="Calibri" w:eastAsia="Calibri" w:hAnsi="Calibri" w:cs="Calibri"/>
          <w:i/>
          <w:iCs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F020046" w14:textId="77777777" w:rsidR="00D43642" w:rsidRPr="00DA47F0" w:rsidRDefault="00D43642" w:rsidP="00FF3215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772649ED" w14:textId="77777777" w:rsidR="00D43642" w:rsidRDefault="00D43642" w:rsidP="00F0147C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42CAAAF" w14:textId="60940481" w:rsidR="00F0147C" w:rsidRPr="00FF3215" w:rsidRDefault="00F0147C" w:rsidP="00F0147C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F3215">
        <w:rPr>
          <w:rFonts w:ascii="Calibri" w:hAnsi="Calibri" w:cs="Calibri"/>
          <w:b/>
          <w:bCs/>
          <w:color w:val="000000"/>
          <w:sz w:val="22"/>
          <w:szCs w:val="22"/>
        </w:rPr>
        <w:t xml:space="preserve">Objem externě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a interně </w:t>
      </w:r>
      <w:r w:rsidRPr="00FF3215">
        <w:rPr>
          <w:rFonts w:ascii="Calibri" w:hAnsi="Calibri" w:cs="Calibri"/>
          <w:b/>
          <w:bCs/>
          <w:color w:val="000000"/>
          <w:sz w:val="22"/>
          <w:szCs w:val="22"/>
        </w:rPr>
        <w:t xml:space="preserve">refinancovaných a navýšených úvěrů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si zachoval vysoký </w:t>
      </w:r>
      <w:r w:rsidR="00E27948">
        <w:rPr>
          <w:rFonts w:ascii="Calibri" w:hAnsi="Calibri" w:cs="Calibri"/>
          <w:b/>
          <w:bCs/>
          <w:color w:val="000000"/>
          <w:sz w:val="22"/>
          <w:szCs w:val="22"/>
        </w:rPr>
        <w:t>podíl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na hypotečním trhu, i když </w:t>
      </w:r>
      <w:r w:rsidRPr="00FF3215">
        <w:rPr>
          <w:rFonts w:ascii="Calibri" w:hAnsi="Calibri" w:cs="Calibri"/>
          <w:b/>
          <w:bCs/>
          <w:color w:val="000000"/>
          <w:sz w:val="22"/>
          <w:szCs w:val="22"/>
        </w:rPr>
        <w:t xml:space="preserve">v prosinci </w:t>
      </w:r>
      <w:r w:rsidR="00E27948">
        <w:rPr>
          <w:rFonts w:ascii="Calibri" w:hAnsi="Calibri" w:cs="Calibri"/>
          <w:b/>
          <w:bCs/>
          <w:color w:val="000000"/>
          <w:sz w:val="22"/>
          <w:szCs w:val="22"/>
        </w:rPr>
        <w:t xml:space="preserve">jejich objem </w:t>
      </w:r>
      <w:r w:rsidRPr="00FF3215">
        <w:rPr>
          <w:rFonts w:ascii="Calibri" w:hAnsi="Calibri" w:cs="Calibri"/>
          <w:b/>
          <w:bCs/>
          <w:color w:val="000000"/>
          <w:sz w:val="22"/>
          <w:szCs w:val="22"/>
        </w:rPr>
        <w:t xml:space="preserve">poklesl na 8,5 mld. Kč. </w:t>
      </w:r>
      <w:r w:rsidR="00E27948">
        <w:rPr>
          <w:rFonts w:ascii="Calibri" w:hAnsi="Calibri" w:cs="Calibri"/>
          <w:color w:val="000000"/>
          <w:sz w:val="22"/>
          <w:szCs w:val="22"/>
        </w:rPr>
        <w:t>Ovšem to</w:t>
      </w:r>
      <w:r w:rsidRPr="00F0147C">
        <w:rPr>
          <w:rFonts w:ascii="Calibri" w:hAnsi="Calibri" w:cs="Calibri"/>
          <w:color w:val="000000"/>
          <w:sz w:val="22"/>
          <w:szCs w:val="22"/>
        </w:rPr>
        <w:t xml:space="preserve"> je o 117 % více než průměrných 3,9 miliardy refinancovaných </w:t>
      </w:r>
      <w:r w:rsidR="00E27948">
        <w:rPr>
          <w:rFonts w:ascii="Calibri" w:hAnsi="Calibri" w:cs="Calibri"/>
          <w:color w:val="000000"/>
          <w:sz w:val="22"/>
          <w:szCs w:val="22"/>
        </w:rPr>
        <w:t xml:space="preserve">měsíčně </w:t>
      </w:r>
      <w:r w:rsidRPr="00F0147C">
        <w:rPr>
          <w:rFonts w:ascii="Calibri" w:hAnsi="Calibri" w:cs="Calibri"/>
          <w:color w:val="000000"/>
          <w:sz w:val="22"/>
          <w:szCs w:val="22"/>
        </w:rPr>
        <w:t>v roce 2024 a téměř čtyřnásobek průměrných refinancovaných 2,2 miliard</w:t>
      </w:r>
      <w:r w:rsidR="00BC63D5">
        <w:rPr>
          <w:rFonts w:ascii="Calibri" w:hAnsi="Calibri" w:cs="Calibri"/>
          <w:color w:val="000000"/>
          <w:sz w:val="22"/>
          <w:szCs w:val="22"/>
        </w:rPr>
        <w:t>y</w:t>
      </w:r>
      <w:r w:rsidRPr="00F0147C">
        <w:rPr>
          <w:rFonts w:ascii="Calibri" w:hAnsi="Calibri" w:cs="Calibri"/>
          <w:color w:val="000000"/>
          <w:sz w:val="22"/>
          <w:szCs w:val="22"/>
        </w:rPr>
        <w:t xml:space="preserve"> v roce 2023. I když podíl refinancovaných úvěrů na celkovém objemu poskytnutých hypoték lehce klesl na 22,9 %, tak zůstal v prosinci nad průměrným 22,5% podílem z druhého pololetí a nachází se tak výrazně nad 17,2% podílem z let 2022-2023, ovšem stále pod téměř 29% podílem z let 2020-2021, kdy domácnosti refinancovaly za hypoteční sazbu 2,14 %. V prosinci 2025 se domácnosti refinancovaly za úrokovou sazbu 4,45 %, což o téměř 0,3 procentního bodu méně než 4,72 % před rokem. Vyšší objemy refinancování odrážejí souběh končících delších fixací z období nízkých úrokových sazeb a kratších fixací z nedávného období vyšších úrokových sazeb. </w:t>
      </w:r>
    </w:p>
    <w:p w14:paraId="509CEE83" w14:textId="77777777" w:rsidR="00F0147C" w:rsidRPr="00FF3215" w:rsidRDefault="00F0147C" w:rsidP="00F0147C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F7709DB" w14:textId="77777777" w:rsidR="00F0147C" w:rsidRDefault="00F0147C" w:rsidP="00F0147C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F3215">
        <w:rPr>
          <w:rFonts w:ascii="Calibri" w:hAnsi="Calibri" w:cs="Calibri"/>
          <w:b/>
          <w:bCs/>
          <w:color w:val="000000"/>
          <w:sz w:val="22"/>
          <w:szCs w:val="22"/>
        </w:rPr>
        <w:t>Celkově tak banky a stavební spořitelny v prosinci poskytly nové a refinancované hypotéky v objemu 37,1 mld. Kč, což je o 0,1 % více než před měsícem. Jejich celkový objem tak v právě uplynulém roce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FF3215">
        <w:rPr>
          <w:rFonts w:ascii="Calibri" w:hAnsi="Calibri" w:cs="Calibri"/>
          <w:b/>
          <w:bCs/>
          <w:color w:val="000000"/>
          <w:sz w:val="22"/>
          <w:szCs w:val="22"/>
        </w:rPr>
        <w:t xml:space="preserve">dosáhl 406 mld. Kč, což představuje 48% nárůst ve srovnání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s rokem 2024. </w:t>
      </w:r>
    </w:p>
    <w:p w14:paraId="752BB56A" w14:textId="77777777" w:rsidR="001B2E5E" w:rsidRDefault="001B2E5E" w:rsidP="00B40FEB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4296189D" w14:textId="77777777" w:rsidR="00F0147C" w:rsidRDefault="00F0147C" w:rsidP="001B2E5E">
      <w:pPr>
        <w:rPr>
          <w:rFonts w:ascii="Calibri" w:hAnsi="Calibri" w:cs="Calibri"/>
          <w:b/>
          <w:color w:val="13576B"/>
          <w:sz w:val="23"/>
          <w:szCs w:val="23"/>
        </w:rPr>
        <w:sectPr w:rsidR="00F0147C" w:rsidSect="00A06A9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2552" w:right="849" w:bottom="1560" w:left="851" w:header="709" w:footer="283" w:gutter="0"/>
          <w:cols w:space="708"/>
          <w:docGrid w:linePitch="360"/>
        </w:sectPr>
      </w:pPr>
    </w:p>
    <w:p w14:paraId="03BB8742" w14:textId="5738DE22" w:rsidR="00F0147C" w:rsidRPr="00F0147C" w:rsidRDefault="00616F34" w:rsidP="00F0147C">
      <w:pPr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>
        <w:rPr>
          <w:rFonts w:ascii="Calibri" w:hAnsi="Calibri" w:cs="Calibri"/>
          <w:b/>
          <w:color w:val="13576B"/>
          <w:sz w:val="23"/>
          <w:szCs w:val="23"/>
        </w:rPr>
        <w:t xml:space="preserve">Graf </w:t>
      </w:r>
      <w:r w:rsidR="001B2E5E" w:rsidRPr="005B4653">
        <w:rPr>
          <w:rFonts w:ascii="Calibri" w:hAnsi="Calibri" w:cs="Calibri"/>
          <w:b/>
          <w:color w:val="13576B"/>
          <w:sz w:val="23"/>
          <w:szCs w:val="23"/>
        </w:rPr>
        <w:t xml:space="preserve">č. </w:t>
      </w:r>
      <w:r w:rsidR="00E27948">
        <w:rPr>
          <w:rFonts w:ascii="Calibri" w:hAnsi="Calibri" w:cs="Calibri"/>
          <w:b/>
          <w:color w:val="13576B"/>
          <w:sz w:val="23"/>
          <w:szCs w:val="23"/>
        </w:rPr>
        <w:t>2</w:t>
      </w:r>
      <w:r w:rsidR="001B2E5E"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 w:rsidR="001B2E5E">
        <w:rPr>
          <w:rFonts w:ascii="Calibri" w:hAnsi="Calibri" w:cs="Calibri"/>
          <w:b/>
          <w:color w:val="13576B"/>
          <w:sz w:val="23"/>
          <w:szCs w:val="23"/>
        </w:rPr>
        <w:t xml:space="preserve">Nově </w:t>
      </w:r>
      <w:r w:rsidR="001B2E5E" w:rsidRPr="00395026">
        <w:rPr>
          <w:rFonts w:ascii="Calibri" w:hAnsi="Calibri" w:cs="Calibri"/>
          <w:b/>
          <w:color w:val="13576B"/>
          <w:sz w:val="23"/>
          <w:szCs w:val="23"/>
        </w:rPr>
        <w:t>poskytnuté hypotéky bez refinancování</w:t>
      </w:r>
      <w:r w:rsidR="00BC63D5">
        <w:rPr>
          <w:rFonts w:ascii="Calibri" w:hAnsi="Calibri" w:cs="Calibri"/>
          <w:b/>
          <w:color w:val="13576B"/>
          <w:sz w:val="23"/>
          <w:szCs w:val="23"/>
        </w:rPr>
        <w:br/>
      </w:r>
      <w:r w:rsidR="00F0147C" w:rsidRPr="00F0147C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V prosinci 2025 </w:t>
      </w:r>
      <w:r w:rsidR="00F0147C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udržely </w:t>
      </w:r>
      <w:r w:rsidR="00F0147C" w:rsidRPr="00F0147C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banky a stavební spořitelny </w:t>
      </w:r>
      <w:r w:rsidR="00F0147C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objem </w:t>
      </w:r>
      <w:r w:rsidR="00F0147C" w:rsidRPr="00F0147C">
        <w:rPr>
          <w:rFonts w:ascii="Calibri" w:hAnsi="Calibri" w:cs="Calibri"/>
          <w:bCs/>
          <w:i/>
          <w:iCs/>
          <w:color w:val="13576B"/>
          <w:sz w:val="23"/>
          <w:szCs w:val="23"/>
        </w:rPr>
        <w:t>nov</w:t>
      </w:r>
      <w:r w:rsidR="00F0147C">
        <w:rPr>
          <w:rFonts w:ascii="Calibri" w:hAnsi="Calibri" w:cs="Calibri"/>
          <w:bCs/>
          <w:i/>
          <w:iCs/>
          <w:color w:val="13576B"/>
          <w:sz w:val="23"/>
          <w:szCs w:val="23"/>
        </w:rPr>
        <w:t>ých hypoték poblíž 30 miliard korun</w:t>
      </w:r>
    </w:p>
    <w:p w14:paraId="593F8D50" w14:textId="5C04C420" w:rsidR="001B2E5E" w:rsidRDefault="001B2E5E" w:rsidP="00F0147C">
      <w:pPr>
        <w:rPr>
          <w:rFonts w:ascii="Calibri" w:hAnsi="Calibri" w:cs="Calibri"/>
          <w:b/>
          <w:color w:val="13576B"/>
          <w:sz w:val="23"/>
          <w:szCs w:val="23"/>
        </w:rPr>
      </w:pPr>
      <w:r w:rsidRPr="00C42E87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E27948">
        <w:rPr>
          <w:rFonts w:ascii="Calibri" w:hAnsi="Calibri" w:cs="Calibri"/>
          <w:b/>
          <w:color w:val="13576B"/>
          <w:sz w:val="23"/>
          <w:szCs w:val="23"/>
        </w:rPr>
        <w:t>3:</w:t>
      </w:r>
      <w:r w:rsidRPr="00C42E87">
        <w:rPr>
          <w:rFonts w:ascii="Calibri" w:hAnsi="Calibri" w:cs="Calibri"/>
          <w:b/>
          <w:color w:val="13576B"/>
          <w:sz w:val="23"/>
          <w:szCs w:val="23"/>
        </w:rPr>
        <w:t xml:space="preserve"> Průměrná výše hypotéky podle účelu</w:t>
      </w:r>
      <w:r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</w:p>
    <w:p w14:paraId="169F70AA" w14:textId="610A05E9" w:rsidR="001B2E5E" w:rsidRPr="00CB3460" w:rsidRDefault="00F0147C" w:rsidP="00F0147C">
      <w:pPr>
        <w:spacing w:after="120"/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 w:rsidRPr="00F0147C">
        <w:rPr>
          <w:rFonts w:ascii="Calibri" w:hAnsi="Calibri" w:cs="Calibri"/>
          <w:bCs/>
          <w:i/>
          <w:iCs/>
          <w:color w:val="13576B"/>
          <w:sz w:val="23"/>
          <w:szCs w:val="23"/>
        </w:rPr>
        <w:t>Průměrná velikost nově poskytnuté hypotéky v prosinci mírně stoupla na 4,49 mil. Kč, tedy více než o 2 % meziměsíčně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a </w:t>
      </w:r>
      <w:r w:rsidRPr="00F0147C">
        <w:rPr>
          <w:rFonts w:ascii="Calibri" w:hAnsi="Calibri" w:cs="Calibri"/>
          <w:bCs/>
          <w:i/>
          <w:iCs/>
          <w:color w:val="13576B"/>
          <w:sz w:val="23"/>
          <w:szCs w:val="23"/>
        </w:rPr>
        <w:t>o 16 %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meziročně.</w:t>
      </w:r>
    </w:p>
    <w:p w14:paraId="133B2338" w14:textId="77777777" w:rsidR="001B2E5E" w:rsidRDefault="001B2E5E" w:rsidP="00B40FEB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  <w:sectPr w:rsidR="001B2E5E" w:rsidSect="001B2E5E">
          <w:type w:val="continuous"/>
          <w:pgSz w:w="11906" w:h="16838"/>
          <w:pgMar w:top="2552" w:right="849" w:bottom="1560" w:left="851" w:header="709" w:footer="283" w:gutter="0"/>
          <w:cols w:num="2" w:space="708"/>
          <w:docGrid w:linePitch="360"/>
        </w:sectPr>
      </w:pPr>
    </w:p>
    <w:p w14:paraId="52456E65" w14:textId="21B81E68" w:rsidR="00893E0C" w:rsidRPr="00606031" w:rsidRDefault="00F0147C" w:rsidP="00606031">
      <w:pPr>
        <w:rPr>
          <w:rFonts w:ascii="Calibri" w:hAnsi="Calibri" w:cs="Calibri"/>
          <w:bCs/>
          <w:i/>
          <w:iCs/>
          <w:color w:val="EE0000"/>
          <w:sz w:val="23"/>
          <w:szCs w:val="23"/>
        </w:rPr>
      </w:pPr>
      <w:r>
        <w:rPr>
          <w:rFonts w:ascii="Calibri Light" w:hAnsi="Calibri Light" w:cs="Calibri Light"/>
          <w:noProof/>
          <w:color w:val="13576B"/>
          <w:sz w:val="20"/>
        </w:rPr>
        <w:drawing>
          <wp:inline distT="0" distB="0" distL="0" distR="0" wp14:anchorId="0D4C0D73" wp14:editId="3E69EC80">
            <wp:extent cx="3246899" cy="1987566"/>
            <wp:effectExtent l="0" t="0" r="0" b="0"/>
            <wp:docPr id="9522482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14" cy="1991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77397" w:rsidRPr="00277397">
        <w:rPr>
          <w:rFonts w:ascii="Calibri Light" w:hAnsi="Calibri Light" w:cs="Calibri Light"/>
          <w:color w:val="13576B"/>
          <w:sz w:val="20"/>
        </w:rPr>
        <w:t>Pramen: ČNB, ČBA Hypomonitor (před rokem 2020 jsou objemy ze statistiky ČNB).</w:t>
      </w:r>
    </w:p>
    <w:p w14:paraId="4DD0766A" w14:textId="41927687" w:rsidR="00D2301A" w:rsidRPr="00D24B00" w:rsidRDefault="00E27948" w:rsidP="004A5428">
      <w:pPr>
        <w:rPr>
          <w:rFonts w:ascii="Calibri" w:hAnsi="Calibri" w:cs="Calibri"/>
          <w:b/>
          <w:bCs/>
          <w:sz w:val="22"/>
          <w:szCs w:val="22"/>
          <w:highlight w:val="yellow"/>
        </w:rPr>
      </w:pPr>
      <w:r>
        <w:rPr>
          <w:rFonts w:ascii="Calibri" w:hAnsi="Calibri" w:cs="Calibri"/>
          <w:b/>
          <w:bCs/>
          <w:noProof/>
          <w:sz w:val="22"/>
          <w:szCs w:val="22"/>
          <w:highlight w:val="yellow"/>
        </w:rPr>
        <w:drawing>
          <wp:inline distT="0" distB="0" distL="0" distR="0" wp14:anchorId="52D0FC11" wp14:editId="4AC338E1">
            <wp:extent cx="3208333" cy="1955639"/>
            <wp:effectExtent l="0" t="0" r="0" b="6985"/>
            <wp:docPr id="1297345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54" cy="196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F9ABC" w14:textId="77777777" w:rsidR="00606031" w:rsidRDefault="004A5428" w:rsidP="004A5428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  <w:sectPr w:rsidR="00606031" w:rsidSect="00606031">
          <w:type w:val="continuous"/>
          <w:pgSz w:w="11906" w:h="16838"/>
          <w:pgMar w:top="2552" w:right="849" w:bottom="1560" w:left="851" w:header="709" w:footer="283" w:gutter="0"/>
          <w:cols w:num="2" w:space="708"/>
          <w:docGrid w:linePitch="360"/>
        </w:sect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</w:t>
      </w:r>
      <w:r>
        <w:rPr>
          <w:rFonts w:ascii="Calibri Light" w:hAnsi="Calibri Light" w:cs="Calibri Light"/>
          <w:color w:val="13576B"/>
          <w:sz w:val="20"/>
        </w:rPr>
        <w:t xml:space="preserve">ČNB, </w:t>
      </w:r>
      <w:r w:rsidRPr="002F4CBD">
        <w:rPr>
          <w:rFonts w:ascii="Calibri Light" w:hAnsi="Calibri Light" w:cs="Calibri Light"/>
          <w:color w:val="13576B"/>
          <w:sz w:val="20"/>
        </w:rPr>
        <w:t>ČBA Hypomonitor</w:t>
      </w:r>
    </w:p>
    <w:bookmarkEnd w:id="1"/>
    <w:bookmarkEnd w:id="2"/>
    <w:bookmarkEnd w:id="3"/>
    <w:p w14:paraId="38EB67FA" w14:textId="77777777" w:rsidR="00CB3460" w:rsidRDefault="00CB3460" w:rsidP="0020488B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A1704D2" w14:textId="67F9C9B7" w:rsidR="009A044E" w:rsidRDefault="008E3BA7" w:rsidP="009A044E">
      <w:pPr>
        <w:rPr>
          <w:rFonts w:ascii="Calibri" w:hAnsi="Calibri" w:cs="Calibri"/>
          <w:b/>
          <w:color w:val="13576B"/>
          <w:sz w:val="23"/>
          <w:szCs w:val="23"/>
        </w:rPr>
      </w:pPr>
      <w:r>
        <w:rPr>
          <w:rFonts w:ascii="Calibri" w:hAnsi="Calibri" w:cs="Calibri"/>
          <w:b/>
          <w:color w:val="13576B"/>
          <w:sz w:val="23"/>
          <w:szCs w:val="23"/>
        </w:rPr>
        <w:t>P</w:t>
      </w:r>
      <w:r w:rsidR="009A044E" w:rsidRPr="008B048B">
        <w:rPr>
          <w:rFonts w:ascii="Calibri" w:hAnsi="Calibri" w:cs="Calibri"/>
          <w:b/>
          <w:color w:val="13576B"/>
          <w:sz w:val="23"/>
          <w:szCs w:val="23"/>
        </w:rPr>
        <w:t xml:space="preserve">růměrná hypoteční sazba </w:t>
      </w:r>
      <w:r w:rsidR="0009562F">
        <w:rPr>
          <w:rFonts w:ascii="Calibri" w:hAnsi="Calibri" w:cs="Calibri"/>
          <w:b/>
          <w:color w:val="13576B"/>
          <w:sz w:val="23"/>
          <w:szCs w:val="23"/>
        </w:rPr>
        <w:t>v</w:t>
      </w:r>
      <w:r>
        <w:rPr>
          <w:rFonts w:ascii="Calibri" w:hAnsi="Calibri" w:cs="Calibri"/>
          <w:b/>
          <w:color w:val="13576B"/>
          <w:sz w:val="23"/>
          <w:szCs w:val="23"/>
        </w:rPr>
        <w:t> prosinci neznatelně stoupla</w:t>
      </w:r>
      <w:r w:rsidR="00BC63D5">
        <w:rPr>
          <w:rFonts w:ascii="Calibri" w:hAnsi="Calibri" w:cs="Calibri"/>
          <w:b/>
          <w:color w:val="13576B"/>
          <w:sz w:val="23"/>
          <w:szCs w:val="23"/>
        </w:rPr>
        <w:t xml:space="preserve"> na</w:t>
      </w:r>
      <w:r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4803D6">
        <w:rPr>
          <w:rFonts w:ascii="Calibri" w:hAnsi="Calibri" w:cs="Calibri"/>
          <w:b/>
          <w:color w:val="13576B"/>
          <w:sz w:val="23"/>
          <w:szCs w:val="23"/>
        </w:rPr>
        <w:t>4,4</w:t>
      </w:r>
      <w:r>
        <w:rPr>
          <w:rFonts w:ascii="Calibri" w:hAnsi="Calibri" w:cs="Calibri"/>
          <w:b/>
          <w:color w:val="13576B"/>
          <w:sz w:val="23"/>
          <w:szCs w:val="23"/>
        </w:rPr>
        <w:t>9</w:t>
      </w:r>
      <w:r w:rsidR="004803D6">
        <w:rPr>
          <w:rFonts w:ascii="Calibri" w:hAnsi="Calibri" w:cs="Calibri"/>
          <w:b/>
          <w:color w:val="13576B"/>
          <w:sz w:val="23"/>
          <w:szCs w:val="23"/>
        </w:rPr>
        <w:t xml:space="preserve"> %</w:t>
      </w:r>
      <w:r w:rsidR="00E84E21">
        <w:rPr>
          <w:rFonts w:ascii="Calibri" w:hAnsi="Calibri" w:cs="Calibri"/>
          <w:b/>
          <w:color w:val="13576B"/>
          <w:sz w:val="23"/>
          <w:szCs w:val="23"/>
        </w:rPr>
        <w:t xml:space="preserve"> a tržní úrokové sazby v prosinci polevily</w:t>
      </w:r>
    </w:p>
    <w:p w14:paraId="565B8E29" w14:textId="77777777" w:rsidR="00D43642" w:rsidRDefault="00D43642" w:rsidP="009A044E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B03DD49" w14:textId="29C57933" w:rsidR="00D43642" w:rsidRDefault="00E84E21" w:rsidP="00D43642">
      <w:pPr>
        <w:rPr>
          <w:rFonts w:ascii="Calibri" w:hAnsi="Calibri" w:cs="Calibri"/>
          <w:bCs/>
          <w:color w:val="000000" w:themeColor="text1"/>
          <w:sz w:val="23"/>
          <w:szCs w:val="23"/>
        </w:rPr>
      </w:pPr>
      <w:r>
        <w:rPr>
          <w:rFonts w:ascii="Calibri" w:hAnsi="Calibri" w:cs="Calibri"/>
          <w:bCs/>
          <w:color w:val="000000" w:themeColor="text1"/>
          <w:sz w:val="23"/>
          <w:szCs w:val="23"/>
        </w:rPr>
        <w:t>V prosinci došlo ke stabilizaci tržních úrokových sazeb na vyšší úrovni, ale p</w:t>
      </w:r>
      <w:r w:rsidR="00D43642" w:rsidRPr="00D43642">
        <w:rPr>
          <w:rFonts w:ascii="Calibri" w:hAnsi="Calibri" w:cs="Calibri"/>
          <w:bCs/>
          <w:color w:val="000000" w:themeColor="text1"/>
          <w:sz w:val="23"/>
          <w:szCs w:val="23"/>
        </w:rPr>
        <w:t xml:space="preserve">růměrná realizovaná úroková sazba u nových hypoték v prosinci nepatrně vzrostla na 4,49 % z listopadových 4,48 %. Její prosincová úroveň je tak o 0,31 procentního bodu níže než 4,8% sazba před rokem, což snižuje měsíční splátky hypotéky přibližně o 0,9 </w:t>
      </w:r>
      <w:r w:rsidR="00D43642" w:rsidRPr="00D43642">
        <w:rPr>
          <w:rFonts w:ascii="Calibri" w:hAnsi="Calibri" w:cs="Calibri"/>
          <w:bCs/>
          <w:color w:val="000000" w:themeColor="text1"/>
          <w:sz w:val="23"/>
          <w:szCs w:val="23"/>
        </w:rPr>
        <w:lastRenderedPageBreak/>
        <w:t xml:space="preserve">% čistého příjmu žadatele, tedy o </w:t>
      </w:r>
      <w:r w:rsidR="00E27948">
        <w:rPr>
          <w:rFonts w:ascii="Calibri" w:hAnsi="Calibri" w:cs="Calibri"/>
          <w:bCs/>
          <w:color w:val="000000" w:themeColor="text1"/>
          <w:sz w:val="23"/>
          <w:szCs w:val="23"/>
        </w:rPr>
        <w:t>osm set korun</w:t>
      </w:r>
      <w:r w:rsidR="00D43642" w:rsidRPr="00D43642">
        <w:rPr>
          <w:rFonts w:ascii="Calibri" w:hAnsi="Calibri" w:cs="Calibri"/>
          <w:bCs/>
          <w:color w:val="000000" w:themeColor="text1"/>
          <w:sz w:val="23"/>
          <w:szCs w:val="23"/>
        </w:rPr>
        <w:t xml:space="preserve">. Pro srovnání průměrná hodnota hypoteční sazby v roce 2024 dosáhla 5,07 % v porovnání se sazbou 5,81 % v roce 2023. </w:t>
      </w:r>
    </w:p>
    <w:p w14:paraId="6E88F035" w14:textId="77777777" w:rsidR="00E84E21" w:rsidRPr="00D43642" w:rsidRDefault="00E84E21" w:rsidP="00D43642">
      <w:pPr>
        <w:rPr>
          <w:rFonts w:ascii="Calibri" w:hAnsi="Calibri" w:cs="Calibri"/>
          <w:bCs/>
          <w:color w:val="000000" w:themeColor="text1"/>
          <w:sz w:val="23"/>
          <w:szCs w:val="23"/>
        </w:rPr>
      </w:pPr>
    </w:p>
    <w:p w14:paraId="7F400251" w14:textId="77777777" w:rsidR="00E84E21" w:rsidRPr="00D43642" w:rsidRDefault="00E84E21" w:rsidP="00D43642">
      <w:pPr>
        <w:rPr>
          <w:rFonts w:ascii="Calibri" w:hAnsi="Calibri" w:cs="Calibri"/>
          <w:bCs/>
          <w:color w:val="000000" w:themeColor="text1"/>
          <w:sz w:val="23"/>
          <w:szCs w:val="23"/>
        </w:rPr>
      </w:pPr>
    </w:p>
    <w:p w14:paraId="01FBA2FA" w14:textId="459769FF" w:rsidR="00DE43B5" w:rsidRDefault="00DE43B5" w:rsidP="00DE43B5">
      <w:pPr>
        <w:rPr>
          <w:rFonts w:ascii="Calibri" w:hAnsi="Calibri" w:cs="Calibri"/>
          <w:bCs/>
          <w:color w:val="000000" w:themeColor="text1"/>
          <w:sz w:val="23"/>
          <w:szCs w:val="23"/>
        </w:rPr>
      </w:pPr>
      <w:r w:rsidRPr="00DE43B5">
        <w:rPr>
          <w:rFonts w:ascii="Calibri" w:hAnsi="Calibri" w:cs="Calibri"/>
          <w:b/>
          <w:bCs/>
          <w:color w:val="000000" w:themeColor="text1"/>
          <w:sz w:val="22"/>
          <w:szCs w:val="22"/>
        </w:rPr>
        <w:t>České tržní úrokové sazby,</w:t>
      </w:r>
      <w:r w:rsidRPr="00DE43B5">
        <w:rPr>
          <w:rStyle w:val="Znakapoznpodarou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footnoteReference w:id="1"/>
      </w:r>
      <w:r w:rsidRPr="00DE43B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D43642" w:rsidRPr="00DE43B5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které mají klíčový vliv na hypoteční sazby, </w:t>
      </w:r>
      <w:r w:rsidRPr="00DE43B5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v prosinci polevily tlak, který dále </w:t>
      </w:r>
      <w:r w:rsidR="00E27948">
        <w:rPr>
          <w:rFonts w:ascii="Calibri" w:hAnsi="Calibri" w:cs="Calibri"/>
          <w:b/>
          <w:bCs/>
          <w:color w:val="000000" w:themeColor="text1"/>
          <w:sz w:val="23"/>
          <w:szCs w:val="23"/>
        </w:rPr>
        <w:t>zmírnila</w:t>
      </w:r>
      <w:r w:rsidRPr="00DE43B5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příznivější inflační data publikovaná lednu.</w:t>
      </w:r>
      <w:r w:rsidR="00D43642" w:rsidRPr="00D43642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České pětileté úrokové swapy v prosinci </w:t>
      </w:r>
      <w:r w:rsidR="00E84E21">
        <w:rPr>
          <w:rFonts w:ascii="Calibri" w:hAnsi="Calibri" w:cs="Calibri"/>
          <w:bCs/>
          <w:color w:val="000000" w:themeColor="text1"/>
          <w:sz w:val="23"/>
          <w:szCs w:val="23"/>
        </w:rPr>
        <w:t>sice v průměru v prosinci</w:t>
      </w:r>
      <w:r w:rsidR="00D43642" w:rsidRPr="00D43642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</w:t>
      </w:r>
      <w:r w:rsidR="00E84E21">
        <w:rPr>
          <w:rFonts w:ascii="Calibri" w:hAnsi="Calibri" w:cs="Calibri"/>
          <w:bCs/>
          <w:color w:val="000000" w:themeColor="text1"/>
          <w:sz w:val="23"/>
          <w:szCs w:val="23"/>
        </w:rPr>
        <w:t xml:space="preserve">pouze neznatelně poklesly o </w:t>
      </w:r>
      <w:r w:rsidR="00D43642" w:rsidRPr="00D43642">
        <w:rPr>
          <w:rFonts w:ascii="Calibri" w:hAnsi="Calibri" w:cs="Calibri"/>
          <w:bCs/>
          <w:color w:val="000000" w:themeColor="text1"/>
          <w:sz w:val="23"/>
          <w:szCs w:val="23"/>
        </w:rPr>
        <w:t xml:space="preserve">0,02 procentního bodu na 3,93 %, ale </w:t>
      </w:r>
      <w:r w:rsidR="00E84E21">
        <w:rPr>
          <w:rFonts w:ascii="Calibri" w:hAnsi="Calibri" w:cs="Calibri"/>
          <w:bCs/>
          <w:color w:val="000000" w:themeColor="text1"/>
          <w:sz w:val="23"/>
          <w:szCs w:val="23"/>
        </w:rPr>
        <w:t xml:space="preserve">zůstávaly </w:t>
      </w:r>
      <w:r w:rsidR="00D43642" w:rsidRPr="00D43642">
        <w:rPr>
          <w:rFonts w:ascii="Calibri" w:hAnsi="Calibri" w:cs="Calibri"/>
          <w:bCs/>
          <w:color w:val="000000" w:themeColor="text1"/>
          <w:sz w:val="23"/>
          <w:szCs w:val="23"/>
        </w:rPr>
        <w:t xml:space="preserve">nad říjnovými 3,81 %. </w:t>
      </w:r>
      <w:r w:rsidR="00E84E21">
        <w:rPr>
          <w:rFonts w:ascii="Calibri" w:hAnsi="Calibri" w:cs="Calibri"/>
          <w:bCs/>
          <w:color w:val="000000" w:themeColor="text1"/>
          <w:sz w:val="23"/>
          <w:szCs w:val="23"/>
        </w:rPr>
        <w:t xml:space="preserve">Ovšem </w:t>
      </w:r>
      <w:hyperlink r:id="rId25" w:history="1">
        <w:r w:rsidR="00E84E21" w:rsidRPr="00DE43B5">
          <w:rPr>
            <w:rStyle w:val="Hypertextovodkaz"/>
            <w:rFonts w:ascii="Calibri" w:hAnsi="Calibri" w:cs="Calibri"/>
            <w:bCs/>
            <w:sz w:val="23"/>
            <w:szCs w:val="23"/>
          </w:rPr>
          <w:t>listopadová spotřebitelská inflace</w:t>
        </w:r>
      </w:hyperlink>
      <w:r>
        <w:rPr>
          <w:rFonts w:ascii="Calibri" w:hAnsi="Calibri" w:cs="Calibri"/>
          <w:bCs/>
          <w:color w:val="000000" w:themeColor="text1"/>
          <w:sz w:val="23"/>
          <w:szCs w:val="23"/>
        </w:rPr>
        <w:t xml:space="preserve">, </w:t>
      </w:r>
      <w:hyperlink r:id="rId26" w:history="1">
        <w:r w:rsidRPr="00DE43B5">
          <w:rPr>
            <w:rStyle w:val="Hypertextovodkaz"/>
            <w:rFonts w:ascii="Calibri" w:hAnsi="Calibri" w:cs="Calibri"/>
            <w:bCs/>
            <w:sz w:val="23"/>
            <w:szCs w:val="23"/>
          </w:rPr>
          <w:t>méně jestřábí tón prosincového rozhodnutí ČNB</w:t>
        </w:r>
      </w:hyperlink>
      <w:r w:rsidR="00E84E21">
        <w:rPr>
          <w:rFonts w:ascii="Calibri" w:hAnsi="Calibri" w:cs="Calibri"/>
          <w:bCs/>
          <w:color w:val="000000" w:themeColor="text1"/>
          <w:sz w:val="23"/>
          <w:szCs w:val="23"/>
        </w:rPr>
        <w:t xml:space="preserve">, ale i stabilní 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 xml:space="preserve">prosincové </w:t>
      </w:r>
      <w:r w:rsidR="00E84E21">
        <w:rPr>
          <w:rFonts w:ascii="Calibri" w:hAnsi="Calibri" w:cs="Calibri"/>
          <w:bCs/>
          <w:color w:val="000000" w:themeColor="text1"/>
          <w:sz w:val="23"/>
          <w:szCs w:val="23"/>
        </w:rPr>
        <w:t>tempo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 xml:space="preserve"> </w:t>
      </w:r>
      <w:hyperlink r:id="rId27" w:history="1">
        <w:r w:rsidRPr="00DE43B5">
          <w:rPr>
            <w:rStyle w:val="Hypertextovodkaz"/>
            <w:rFonts w:ascii="Calibri" w:hAnsi="Calibri" w:cs="Calibri"/>
            <w:bCs/>
            <w:sz w:val="23"/>
            <w:szCs w:val="23"/>
          </w:rPr>
          <w:t>spotřebitelské inflace</w:t>
        </w:r>
      </w:hyperlink>
      <w:r>
        <w:rPr>
          <w:rFonts w:ascii="Calibri" w:hAnsi="Calibri" w:cs="Calibri"/>
          <w:bCs/>
          <w:color w:val="000000" w:themeColor="text1"/>
          <w:sz w:val="23"/>
          <w:szCs w:val="23"/>
        </w:rPr>
        <w:t xml:space="preserve"> vedly</w:t>
      </w:r>
      <w:r w:rsidR="00E84E21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již koncem prosince a na počátku ledna ke korekci tržních úrokových sa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>z</w:t>
      </w:r>
      <w:r w:rsidR="00E84E21">
        <w:rPr>
          <w:rFonts w:ascii="Calibri" w:hAnsi="Calibri" w:cs="Calibri"/>
          <w:bCs/>
          <w:color w:val="000000" w:themeColor="text1"/>
          <w:sz w:val="23"/>
          <w:szCs w:val="23"/>
        </w:rPr>
        <w:t>eb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 xml:space="preserve">. Ty </w:t>
      </w:r>
      <w:r w:rsidR="00E84E21">
        <w:rPr>
          <w:rFonts w:ascii="Calibri" w:hAnsi="Calibri" w:cs="Calibri"/>
          <w:bCs/>
          <w:color w:val="000000" w:themeColor="text1"/>
          <w:sz w:val="23"/>
          <w:szCs w:val="23"/>
        </w:rPr>
        <w:t xml:space="preserve">se v případě 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>pětileté</w:t>
      </w:r>
      <w:r w:rsidR="00E84E21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swapové úrokové sazby v první polovině 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>letošního</w:t>
      </w:r>
      <w:r w:rsidR="00E84E21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ledna 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>pohybovaly</w:t>
      </w:r>
      <w:r w:rsidR="00E84E21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 xml:space="preserve">okolo 3,75 %, tedy okolo zářijových hodnot, ale stále výrazně nad hodnotami například ze září 2024 s 3,2 %. </w:t>
      </w:r>
    </w:p>
    <w:p w14:paraId="226A0A21" w14:textId="78CC042C" w:rsidR="00DE43B5" w:rsidRDefault="00DE43B5" w:rsidP="00D43642">
      <w:pPr>
        <w:rPr>
          <w:rFonts w:ascii="Calibri" w:hAnsi="Calibri" w:cs="Calibri"/>
          <w:bCs/>
          <w:color w:val="000000" w:themeColor="text1"/>
          <w:sz w:val="23"/>
          <w:szCs w:val="23"/>
        </w:rPr>
      </w:pPr>
      <w:r>
        <w:rPr>
          <w:rFonts w:ascii="Calibri" w:hAnsi="Calibri" w:cs="Calibri"/>
          <w:bCs/>
          <w:color w:val="000000" w:themeColor="text1"/>
          <w:sz w:val="23"/>
          <w:szCs w:val="23"/>
        </w:rPr>
        <w:br/>
        <w:t>A zatímco se p</w:t>
      </w:r>
      <w:r w:rsidRPr="00D43642">
        <w:rPr>
          <w:rFonts w:ascii="Calibri" w:hAnsi="Calibri" w:cs="Calibri"/>
          <w:bCs/>
          <w:color w:val="000000" w:themeColor="text1"/>
          <w:sz w:val="23"/>
          <w:szCs w:val="23"/>
        </w:rPr>
        <w:t>rosincová úroková hypoteční sazba nacházela 0,81 procentního bodu nad průměrnými tržními swapovými sazbami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 xml:space="preserve">, což </w:t>
      </w:r>
      <w:r w:rsidRPr="00D43642">
        <w:rPr>
          <w:rFonts w:ascii="Calibri" w:hAnsi="Calibri" w:cs="Calibri"/>
          <w:bCs/>
          <w:color w:val="000000" w:themeColor="text1"/>
          <w:sz w:val="23"/>
          <w:szCs w:val="23"/>
        </w:rPr>
        <w:t>je přibližně 0,26 p. b. pod dlouhodobým průměrem od roku 2014 (1,07 p. b.)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>, tak v průběhu ledna, by tento rozdíl sazeb (prosincové hypoteční a lednových tržních úroků) povyrostl na 1 p.</w:t>
      </w:r>
      <w:r w:rsidR="00012832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 xml:space="preserve">b., tedy poblíž dlouhodobého průměru. </w:t>
      </w:r>
    </w:p>
    <w:p w14:paraId="4924551B" w14:textId="77777777" w:rsidR="00616F34" w:rsidRDefault="00616F34" w:rsidP="00616F3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79EF412" w14:textId="4D40C121" w:rsidR="00616F34" w:rsidRPr="00616F34" w:rsidRDefault="00616F34" w:rsidP="00616F34">
      <w:pPr>
        <w:rPr>
          <w:rFonts w:ascii="Calibri" w:hAnsi="Calibri" w:cs="Calibri"/>
          <w:color w:val="000000" w:themeColor="text1"/>
          <w:sz w:val="22"/>
          <w:szCs w:val="22"/>
        </w:rPr>
        <w:sectPr w:rsidR="00616F34" w:rsidRPr="00616F34" w:rsidSect="00606031">
          <w:type w:val="continuous"/>
          <w:pgSz w:w="11906" w:h="16838"/>
          <w:pgMar w:top="2552" w:right="849" w:bottom="1560" w:left="851" w:header="709" w:footer="283" w:gutter="0"/>
          <w:cols w:space="708"/>
          <w:docGrid w:linePitch="360"/>
        </w:sectPr>
      </w:pPr>
    </w:p>
    <w:p w14:paraId="636F55D4" w14:textId="535B8789" w:rsidR="001B2E5E" w:rsidRDefault="001B2E5E" w:rsidP="001B2E5E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>
        <w:rPr>
          <w:rFonts w:ascii="Calibri" w:hAnsi="Calibri" w:cs="Calibri"/>
          <w:b/>
          <w:color w:val="13576B"/>
          <w:sz w:val="23"/>
          <w:szCs w:val="23"/>
        </w:rPr>
        <w:t xml:space="preserve">Graf 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č. </w:t>
      </w:r>
      <w:r w:rsidR="00E27948">
        <w:rPr>
          <w:rFonts w:ascii="Calibri" w:hAnsi="Calibri" w:cs="Calibri"/>
          <w:b/>
          <w:color w:val="13576B"/>
          <w:sz w:val="23"/>
          <w:szCs w:val="23"/>
        </w:rPr>
        <w:t>4</w:t>
      </w:r>
      <w:r>
        <w:rPr>
          <w:rFonts w:ascii="Calibri" w:hAnsi="Calibri" w:cs="Calibri"/>
          <w:b/>
          <w:color w:val="13576B"/>
          <w:sz w:val="23"/>
          <w:szCs w:val="23"/>
        </w:rPr>
        <w:t>: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 Průměrná hypoteční </w:t>
      </w:r>
      <w:r>
        <w:rPr>
          <w:rFonts w:ascii="Calibri" w:hAnsi="Calibri" w:cs="Calibri"/>
          <w:b/>
          <w:color w:val="13576B"/>
          <w:sz w:val="23"/>
          <w:szCs w:val="23"/>
        </w:rPr>
        <w:t xml:space="preserve">úroková 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>sazba – nové obchody</w:t>
      </w:r>
    </w:p>
    <w:p w14:paraId="1AAB3FAB" w14:textId="7652446E" w:rsidR="008E3BA7" w:rsidRPr="008E3BA7" w:rsidRDefault="008E3BA7" w:rsidP="008E3BA7">
      <w:pPr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Navzdory nepatrnému prosincovém růstu zůstává výrazně pod loňskou úrovní</w:t>
      </w:r>
      <w:r w:rsidRPr="008E3BA7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4,8 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%</w:t>
      </w:r>
      <w:r w:rsidRPr="008E3BA7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. </w:t>
      </w:r>
      <w:r w:rsidRPr="008E3BA7">
        <w:rPr>
          <w:rFonts w:ascii="Calibri" w:hAnsi="Calibri" w:cs="Calibri"/>
          <w:bCs/>
          <w:i/>
          <w:iCs/>
          <w:color w:val="13576B"/>
          <w:sz w:val="23"/>
          <w:szCs w:val="23"/>
        </w:rPr>
        <w:tab/>
      </w:r>
    </w:p>
    <w:p w14:paraId="413C82DA" w14:textId="09CC1BC7" w:rsidR="001B2E5E" w:rsidRPr="002138C0" w:rsidRDefault="008E3BA7" w:rsidP="008E3BA7">
      <w:pPr>
        <w:rPr>
          <w:rFonts w:ascii="Calibri" w:hAnsi="Calibri" w:cs="Calibri"/>
          <w:sz w:val="22"/>
          <w:szCs w:val="22"/>
          <w:highlight w:val="yellow"/>
        </w:rPr>
      </w:pPr>
      <w:r w:rsidRPr="008E3BA7">
        <w:rPr>
          <w:rFonts w:ascii="Calibri" w:hAnsi="Calibri" w:cs="Calibri"/>
          <w:bCs/>
          <w:i/>
          <w:iCs/>
          <w:color w:val="13576B"/>
          <w:sz w:val="23"/>
          <w:szCs w:val="23"/>
        </w:rPr>
        <w:tab/>
      </w:r>
      <w:r w:rsidRPr="008E3BA7">
        <w:rPr>
          <w:rFonts w:ascii="Calibri" w:hAnsi="Calibri" w:cs="Calibri"/>
          <w:bCs/>
          <w:i/>
          <w:iCs/>
          <w:color w:val="13576B"/>
          <w:sz w:val="23"/>
          <w:szCs w:val="23"/>
        </w:rPr>
        <w:tab/>
      </w:r>
      <w:r w:rsidRPr="008E3BA7">
        <w:rPr>
          <w:rFonts w:ascii="Calibri" w:hAnsi="Calibri" w:cs="Calibri"/>
          <w:bCs/>
          <w:i/>
          <w:iCs/>
          <w:color w:val="13576B"/>
          <w:sz w:val="23"/>
          <w:szCs w:val="23"/>
        </w:rPr>
        <w:tab/>
      </w:r>
      <w:r w:rsidRPr="008E3BA7">
        <w:rPr>
          <w:rFonts w:ascii="Calibri" w:hAnsi="Calibri" w:cs="Calibri"/>
          <w:bCs/>
          <w:i/>
          <w:iCs/>
          <w:color w:val="13576B"/>
          <w:sz w:val="23"/>
          <w:szCs w:val="23"/>
        </w:rPr>
        <w:tab/>
      </w:r>
      <w:r w:rsidRPr="008E3BA7">
        <w:rPr>
          <w:rFonts w:ascii="Calibri" w:hAnsi="Calibri" w:cs="Calibri"/>
          <w:bCs/>
          <w:i/>
          <w:iCs/>
          <w:color w:val="13576B"/>
          <w:sz w:val="23"/>
          <w:szCs w:val="23"/>
        </w:rPr>
        <w:tab/>
      </w:r>
      <w:r w:rsidRPr="008E3BA7">
        <w:rPr>
          <w:rFonts w:ascii="Calibri" w:hAnsi="Calibri" w:cs="Calibri"/>
          <w:bCs/>
          <w:i/>
          <w:iCs/>
          <w:color w:val="13576B"/>
          <w:sz w:val="23"/>
          <w:szCs w:val="23"/>
        </w:rPr>
        <w:tab/>
      </w:r>
      <w:r w:rsidRPr="008E3BA7">
        <w:rPr>
          <w:rFonts w:ascii="Calibri" w:hAnsi="Calibri" w:cs="Calibri"/>
          <w:bCs/>
          <w:i/>
          <w:iCs/>
          <w:color w:val="13576B"/>
          <w:sz w:val="23"/>
          <w:szCs w:val="23"/>
        </w:rPr>
        <w:tab/>
      </w:r>
    </w:p>
    <w:p w14:paraId="380635EC" w14:textId="45C90ECF" w:rsidR="001B2E5E" w:rsidRPr="006D5361" w:rsidRDefault="001B2E5E" w:rsidP="006D5361">
      <w:pPr>
        <w:overflowPunct/>
        <w:autoSpaceDE/>
        <w:adjustRightInd/>
        <w:rPr>
          <w:rFonts w:ascii="Calibri" w:hAnsi="Calibri" w:cs="Calibri"/>
          <w:b/>
          <w:color w:val="13576B"/>
          <w:sz w:val="23"/>
          <w:szCs w:val="23"/>
        </w:rPr>
        <w:sectPr w:rsidR="001B2E5E" w:rsidRPr="006D5361" w:rsidSect="001B2E5E">
          <w:type w:val="continuous"/>
          <w:pgSz w:w="11906" w:h="16838"/>
          <w:pgMar w:top="2552" w:right="849" w:bottom="1560" w:left="851" w:header="709" w:footer="283" w:gutter="0"/>
          <w:cols w:num="2" w:space="708"/>
          <w:docGrid w:linePitch="360"/>
        </w:sect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E27948">
        <w:rPr>
          <w:rFonts w:ascii="Calibri" w:hAnsi="Calibri" w:cs="Calibri"/>
          <w:b/>
          <w:color w:val="13576B"/>
          <w:sz w:val="23"/>
          <w:szCs w:val="23"/>
        </w:rPr>
        <w:t>5</w:t>
      </w:r>
      <w:r>
        <w:rPr>
          <w:rFonts w:ascii="Calibri" w:hAnsi="Calibri" w:cs="Calibri"/>
          <w:b/>
          <w:color w:val="13576B"/>
          <w:sz w:val="23"/>
          <w:szCs w:val="23"/>
        </w:rPr>
        <w:t>: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8E3BA7">
        <w:rPr>
          <w:rFonts w:ascii="Calibri" w:hAnsi="Calibri" w:cs="Calibri"/>
          <w:b/>
          <w:color w:val="13576B"/>
          <w:sz w:val="23"/>
          <w:szCs w:val="23"/>
        </w:rPr>
        <w:t>Zmírnění prosincové inflace a zchlazení inflačního výhledu na rok 2026 srazili tržní úrokové sazby</w:t>
      </w:r>
      <w:r w:rsidR="00012832">
        <w:rPr>
          <w:rFonts w:ascii="Calibri" w:hAnsi="Calibri" w:cs="Calibri"/>
          <w:b/>
          <w:color w:val="13576B"/>
          <w:sz w:val="23"/>
          <w:szCs w:val="23"/>
        </w:rPr>
        <w:t>,</w:t>
      </w:r>
      <w:r w:rsidR="008E3BA7">
        <w:rPr>
          <w:rFonts w:ascii="Calibri" w:hAnsi="Calibri" w:cs="Calibri"/>
          <w:b/>
          <w:color w:val="13576B"/>
          <w:sz w:val="23"/>
          <w:szCs w:val="23"/>
        </w:rPr>
        <w:t xml:space="preserve"> a tedy i tlak na růst </w:t>
      </w:r>
      <w:r w:rsidR="00F844DC">
        <w:rPr>
          <w:rFonts w:ascii="Calibri" w:hAnsi="Calibri" w:cs="Calibri"/>
          <w:b/>
          <w:color w:val="13576B"/>
          <w:sz w:val="23"/>
          <w:szCs w:val="23"/>
        </w:rPr>
        <w:t>hypotečních sazeb</w:t>
      </w:r>
    </w:p>
    <w:p w14:paraId="7CBC6B5A" w14:textId="77777777" w:rsidR="001B2E5E" w:rsidRPr="004803D6" w:rsidRDefault="001B2E5E" w:rsidP="00F625CA">
      <w:pPr>
        <w:rPr>
          <w:rFonts w:ascii="Calibri" w:hAnsi="Calibri" w:cs="Calibri"/>
          <w:color w:val="000000"/>
          <w:sz w:val="22"/>
          <w:szCs w:val="22"/>
        </w:rPr>
      </w:pPr>
    </w:p>
    <w:p w14:paraId="0230887A" w14:textId="77777777" w:rsidR="00606031" w:rsidRDefault="00606031" w:rsidP="005874B8">
      <w:pPr>
        <w:spacing w:after="120"/>
        <w:rPr>
          <w:rFonts w:ascii="Calibri" w:hAnsi="Calibri" w:cs="Calibri"/>
          <w:b/>
          <w:color w:val="13576B"/>
          <w:sz w:val="23"/>
          <w:szCs w:val="23"/>
        </w:rPr>
        <w:sectPr w:rsidR="00606031" w:rsidSect="00606031">
          <w:type w:val="continuous"/>
          <w:pgSz w:w="11906" w:h="16838"/>
          <w:pgMar w:top="2552" w:right="849" w:bottom="1560" w:left="851" w:header="709" w:footer="283" w:gutter="0"/>
          <w:cols w:space="708"/>
          <w:docGrid w:linePitch="360"/>
        </w:sectPr>
      </w:pPr>
    </w:p>
    <w:p w14:paraId="5C054A6D" w14:textId="7AC35766" w:rsidR="00D2301A" w:rsidRPr="002138C0" w:rsidRDefault="008E3BA7" w:rsidP="005874B8">
      <w:pPr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noProof/>
          <w:sz w:val="22"/>
          <w:szCs w:val="22"/>
          <w:highlight w:val="yellow"/>
        </w:rPr>
        <w:drawing>
          <wp:inline distT="0" distB="0" distL="0" distR="0" wp14:anchorId="4056AAF6" wp14:editId="339DE0BB">
            <wp:extent cx="3348841" cy="1896994"/>
            <wp:effectExtent l="0" t="0" r="4445" b="8255"/>
            <wp:docPr id="28153138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319" cy="1901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B88724" w14:textId="17255E86" w:rsidR="001B2E5E" w:rsidRDefault="00691287" w:rsidP="001B2E5E">
      <w:pPr>
        <w:overflowPunct/>
        <w:autoSpaceDE/>
        <w:adjustRightInd/>
        <w:rPr>
          <w:rFonts w:ascii="Calibri" w:hAnsi="Calibri" w:cs="Calibri"/>
          <w:b/>
          <w:color w:val="13576B"/>
          <w:sz w:val="23"/>
          <w:szCs w:val="23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</w:t>
      </w:r>
      <w:r w:rsidR="006F74BF">
        <w:rPr>
          <w:rFonts w:ascii="Calibri Light" w:hAnsi="Calibri Light" w:cs="Calibri Light"/>
          <w:color w:val="13576B"/>
          <w:sz w:val="20"/>
        </w:rPr>
        <w:t xml:space="preserve">ČNB, </w:t>
      </w:r>
      <w:r w:rsidRPr="002F4CBD">
        <w:rPr>
          <w:rFonts w:ascii="Calibri Light" w:hAnsi="Calibri Light" w:cs="Calibri Light"/>
          <w:color w:val="13576B"/>
          <w:sz w:val="20"/>
        </w:rPr>
        <w:t>ČBA Hypomonitor</w:t>
      </w:r>
      <w:bookmarkStart w:id="4" w:name="_Hlk137652102"/>
    </w:p>
    <w:p w14:paraId="53F00851" w14:textId="7997E1E3" w:rsidR="006337E7" w:rsidRDefault="008E3BA7" w:rsidP="006337E7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noProof/>
          <w:color w:val="000000" w:themeColor="text1"/>
          <w:sz w:val="22"/>
          <w:szCs w:val="22"/>
        </w:rPr>
        <w:drawing>
          <wp:inline distT="0" distB="0" distL="0" distR="0" wp14:anchorId="3F9E6C4C" wp14:editId="149AC29E">
            <wp:extent cx="3205430" cy="1902823"/>
            <wp:effectExtent l="0" t="0" r="0" b="2540"/>
            <wp:docPr id="107617369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224" cy="190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B50194" w14:textId="73526F27" w:rsidR="00F20967" w:rsidRDefault="006337E7" w:rsidP="00DD1BFF">
      <w:pPr>
        <w:rPr>
          <w:rFonts w:asciiTheme="minorHAnsi" w:hAnsiTheme="minorHAnsi" w:cstheme="minorHAnsi"/>
          <w:color w:val="13576B"/>
          <w:sz w:val="20"/>
        </w:rPr>
      </w:pPr>
      <w:r w:rsidRPr="00AA62A7">
        <w:rPr>
          <w:rFonts w:asciiTheme="minorHAnsi" w:hAnsiTheme="minorHAnsi" w:cstheme="minorHAnsi"/>
          <w:color w:val="2F5496" w:themeColor="accent5" w:themeShade="BF"/>
          <w:sz w:val="20"/>
        </w:rPr>
        <w:t>Pramen</w:t>
      </w:r>
      <w:r w:rsidRPr="00AA62A7">
        <w:rPr>
          <w:rFonts w:asciiTheme="minorHAnsi" w:hAnsiTheme="minorHAnsi" w:cstheme="minorHAnsi"/>
          <w:color w:val="13576B"/>
          <w:sz w:val="20"/>
        </w:rPr>
        <w:t xml:space="preserve">: </w:t>
      </w:r>
      <w:r>
        <w:rPr>
          <w:rFonts w:asciiTheme="minorHAnsi" w:hAnsiTheme="minorHAnsi" w:cstheme="minorHAnsi"/>
          <w:color w:val="13576B"/>
          <w:sz w:val="20"/>
        </w:rPr>
        <w:t>LSEG, Macrobond (</w:t>
      </w:r>
      <w:r w:rsidR="00CB3460">
        <w:rPr>
          <w:rFonts w:asciiTheme="minorHAnsi" w:hAnsiTheme="minorHAnsi" w:cstheme="minorHAnsi"/>
          <w:color w:val="13576B"/>
          <w:sz w:val="20"/>
        </w:rPr>
        <w:t>9</w:t>
      </w:r>
      <w:r>
        <w:rPr>
          <w:rFonts w:asciiTheme="minorHAnsi" w:hAnsiTheme="minorHAnsi" w:cstheme="minorHAnsi"/>
          <w:color w:val="13576B"/>
          <w:sz w:val="20"/>
        </w:rPr>
        <w:t xml:space="preserve">. </w:t>
      </w:r>
      <w:r w:rsidR="00CB3460">
        <w:rPr>
          <w:rFonts w:asciiTheme="minorHAnsi" w:hAnsiTheme="minorHAnsi" w:cstheme="minorHAnsi"/>
          <w:color w:val="13576B"/>
          <w:sz w:val="20"/>
        </w:rPr>
        <w:t>prosince</w:t>
      </w:r>
      <w:r w:rsidR="00055000">
        <w:rPr>
          <w:rFonts w:asciiTheme="minorHAnsi" w:hAnsiTheme="minorHAnsi" w:cstheme="minorHAnsi"/>
          <w:color w:val="13576B"/>
          <w:sz w:val="20"/>
        </w:rPr>
        <w:t xml:space="preserve"> </w:t>
      </w:r>
      <w:r>
        <w:rPr>
          <w:rFonts w:asciiTheme="minorHAnsi" w:hAnsiTheme="minorHAnsi" w:cstheme="minorHAnsi"/>
          <w:color w:val="13576B"/>
          <w:sz w:val="20"/>
        </w:rPr>
        <w:t xml:space="preserve">2025), </w:t>
      </w:r>
      <w:r w:rsidRPr="00AA62A7">
        <w:rPr>
          <w:rFonts w:asciiTheme="minorHAnsi" w:hAnsiTheme="minorHAnsi" w:cstheme="minorHAnsi"/>
          <w:color w:val="13576B"/>
          <w:sz w:val="20"/>
        </w:rPr>
        <w:t>ČB</w:t>
      </w:r>
      <w:r w:rsidR="00F20967">
        <w:rPr>
          <w:rFonts w:asciiTheme="minorHAnsi" w:hAnsiTheme="minorHAnsi" w:cstheme="minorHAnsi"/>
          <w:color w:val="13576B"/>
          <w:sz w:val="20"/>
        </w:rPr>
        <w:t>A</w:t>
      </w:r>
    </w:p>
    <w:p w14:paraId="1AF065D2" w14:textId="464EA7CD" w:rsidR="00F20967" w:rsidRPr="00606031" w:rsidRDefault="00F20967" w:rsidP="00DD1BFF">
      <w:pPr>
        <w:rPr>
          <w:rFonts w:ascii="Calibri" w:hAnsi="Calibri" w:cs="Calibri"/>
          <w:color w:val="000000" w:themeColor="text1"/>
          <w:sz w:val="22"/>
          <w:szCs w:val="22"/>
        </w:rPr>
        <w:sectPr w:rsidR="00F20967" w:rsidRPr="00606031" w:rsidSect="00606031">
          <w:type w:val="continuous"/>
          <w:pgSz w:w="11906" w:h="16838"/>
          <w:pgMar w:top="2552" w:right="849" w:bottom="1560" w:left="851" w:header="709" w:footer="283" w:gutter="0"/>
          <w:cols w:num="2" w:space="708"/>
          <w:docGrid w:linePitch="360"/>
        </w:sectPr>
      </w:pPr>
    </w:p>
    <w:p w14:paraId="602A8F07" w14:textId="77777777" w:rsidR="001B2E5E" w:rsidRDefault="001B2E5E" w:rsidP="00055000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232C4A0" w14:textId="094C51E9" w:rsidR="00E84E21" w:rsidRPr="00D43642" w:rsidRDefault="0085657D" w:rsidP="00E84E21">
      <w:pPr>
        <w:rPr>
          <w:rFonts w:ascii="Calibri" w:hAnsi="Calibri" w:cs="Calibri"/>
          <w:bCs/>
          <w:color w:val="000000" w:themeColor="text1"/>
          <w:sz w:val="23"/>
          <w:szCs w:val="23"/>
        </w:rPr>
      </w:pPr>
      <w:r w:rsidRPr="0085657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České </w:t>
      </w:r>
      <w:r w:rsidR="00E84E21">
        <w:rPr>
          <w:rFonts w:ascii="Calibri" w:hAnsi="Calibri" w:cs="Calibri"/>
          <w:b/>
          <w:bCs/>
          <w:color w:val="000000" w:themeColor="text1"/>
          <w:sz w:val="22"/>
          <w:szCs w:val="22"/>
        </w:rPr>
        <w:t>tržní</w:t>
      </w:r>
      <w:r w:rsidRPr="0085657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úrokové sazby neodrážely pouze česká ekonomická data, ale i vyšší zahraniční sazby.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12832">
        <w:rPr>
          <w:rFonts w:ascii="Calibri" w:hAnsi="Calibri" w:cs="Calibri"/>
          <w:color w:val="000000" w:themeColor="text1"/>
          <w:sz w:val="22"/>
          <w:szCs w:val="22"/>
        </w:rPr>
        <w:t>V</w:t>
      </w:r>
      <w:r w:rsidR="00650088" w:rsidRPr="0065008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84E21" w:rsidRPr="00D43642">
        <w:rPr>
          <w:rFonts w:ascii="Calibri" w:hAnsi="Calibri" w:cs="Calibri"/>
          <w:bCs/>
          <w:color w:val="000000" w:themeColor="text1"/>
          <w:sz w:val="23"/>
          <w:szCs w:val="23"/>
        </w:rPr>
        <w:t xml:space="preserve">případě amerických pětiletých úrokových swapů došlo v prosinci k jejich růstu na 3,69 % z listopadových 3,63 % a nacházely se 0,43 p. b. pod jejich průměrnou hodnotou z roku 2024. Eurové pětileté swapy v prosinci stouply na 2,56 % z listopadových 2,39 % a byly 0,02 p. b. pod jejich průměrnou loňskou úrovní 2,58 %. </w:t>
      </w:r>
    </w:p>
    <w:p w14:paraId="4140C14A" w14:textId="77777777" w:rsidR="00650088" w:rsidRPr="00452B0E" w:rsidRDefault="00650088" w:rsidP="00DD1BFF">
      <w:pPr>
        <w:rPr>
          <w:rFonts w:ascii="Calibri" w:hAnsi="Calibri" w:cs="Calibri"/>
          <w:color w:val="FF0000"/>
          <w:sz w:val="22"/>
          <w:szCs w:val="22"/>
        </w:rPr>
      </w:pPr>
    </w:p>
    <w:p w14:paraId="72E83631" w14:textId="33B82381" w:rsidR="00B04FE2" w:rsidRDefault="00D03B38" w:rsidP="00B04FE2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5" w:name="_Hlk100672905"/>
      <w:bookmarkEnd w:id="4"/>
      <w:r w:rsidRPr="00D03B38">
        <w:rPr>
          <w:rFonts w:ascii="Calibri" w:hAnsi="Calibri" w:cs="Calibri"/>
          <w:b/>
          <w:color w:val="13576B"/>
          <w:sz w:val="24"/>
          <w:szCs w:val="24"/>
        </w:rPr>
        <w:lastRenderedPageBreak/>
        <w:t xml:space="preserve">Průměrná velikost skutečně nově poskytnuté hypotéky </w:t>
      </w:r>
      <w:r w:rsidR="00650088">
        <w:rPr>
          <w:rFonts w:ascii="Calibri" w:hAnsi="Calibri" w:cs="Calibri"/>
          <w:b/>
          <w:color w:val="13576B"/>
          <w:sz w:val="24"/>
          <w:szCs w:val="24"/>
        </w:rPr>
        <w:t xml:space="preserve">se </w:t>
      </w:r>
      <w:r w:rsidR="00616F34">
        <w:rPr>
          <w:rFonts w:ascii="Calibri" w:hAnsi="Calibri" w:cs="Calibri"/>
          <w:b/>
          <w:color w:val="13576B"/>
          <w:sz w:val="24"/>
          <w:szCs w:val="24"/>
        </w:rPr>
        <w:t>s </w:t>
      </w:r>
      <w:r w:rsidR="00D43642">
        <w:rPr>
          <w:rFonts w:ascii="Calibri" w:hAnsi="Calibri" w:cs="Calibri"/>
          <w:b/>
          <w:color w:val="13576B"/>
          <w:sz w:val="24"/>
          <w:szCs w:val="24"/>
        </w:rPr>
        <w:t>prosincovými</w:t>
      </w:r>
      <w:r w:rsidR="00616F34">
        <w:rPr>
          <w:rFonts w:ascii="Calibri" w:hAnsi="Calibri" w:cs="Calibri"/>
          <w:b/>
          <w:color w:val="13576B"/>
          <w:sz w:val="24"/>
          <w:szCs w:val="24"/>
        </w:rPr>
        <w:t xml:space="preserve"> </w:t>
      </w:r>
      <w:r w:rsidR="00616F34" w:rsidRPr="00D03B38">
        <w:rPr>
          <w:rFonts w:ascii="Calibri" w:hAnsi="Calibri" w:cs="Calibri"/>
          <w:b/>
          <w:color w:val="13576B"/>
          <w:sz w:val="24"/>
          <w:szCs w:val="24"/>
        </w:rPr>
        <w:t>4,</w:t>
      </w:r>
      <w:r w:rsidR="00D43642">
        <w:rPr>
          <w:rFonts w:ascii="Calibri" w:hAnsi="Calibri" w:cs="Calibri"/>
          <w:b/>
          <w:color w:val="13576B"/>
          <w:sz w:val="24"/>
          <w:szCs w:val="24"/>
        </w:rPr>
        <w:t>49</w:t>
      </w:r>
      <w:r w:rsidR="00616F34" w:rsidRPr="00D03B38">
        <w:rPr>
          <w:rFonts w:ascii="Calibri" w:hAnsi="Calibri" w:cs="Calibri"/>
          <w:b/>
          <w:color w:val="13576B"/>
          <w:sz w:val="24"/>
          <w:szCs w:val="24"/>
        </w:rPr>
        <w:t xml:space="preserve"> mil. Kč</w:t>
      </w:r>
      <w:r w:rsidR="00616F34">
        <w:rPr>
          <w:rFonts w:ascii="Calibri" w:hAnsi="Calibri" w:cs="Calibri"/>
          <w:b/>
          <w:color w:val="13576B"/>
          <w:sz w:val="24"/>
          <w:szCs w:val="24"/>
        </w:rPr>
        <w:t xml:space="preserve"> </w:t>
      </w:r>
      <w:r w:rsidR="00D43642">
        <w:rPr>
          <w:rFonts w:ascii="Calibri" w:hAnsi="Calibri" w:cs="Calibri"/>
          <w:b/>
          <w:color w:val="13576B"/>
          <w:sz w:val="24"/>
          <w:szCs w:val="24"/>
        </w:rPr>
        <w:t xml:space="preserve">udržuje </w:t>
      </w:r>
      <w:r w:rsidR="00650088">
        <w:rPr>
          <w:rFonts w:ascii="Calibri" w:hAnsi="Calibri" w:cs="Calibri"/>
          <w:b/>
          <w:color w:val="13576B"/>
          <w:sz w:val="24"/>
          <w:szCs w:val="24"/>
        </w:rPr>
        <w:t>na růstov</w:t>
      </w:r>
      <w:r w:rsidR="00D43642">
        <w:rPr>
          <w:rFonts w:ascii="Calibri" w:hAnsi="Calibri" w:cs="Calibri"/>
          <w:b/>
          <w:color w:val="13576B"/>
          <w:sz w:val="24"/>
          <w:szCs w:val="24"/>
        </w:rPr>
        <w:t>é</w:t>
      </w:r>
      <w:r w:rsidR="00650088">
        <w:rPr>
          <w:rFonts w:ascii="Calibri" w:hAnsi="Calibri" w:cs="Calibri"/>
          <w:b/>
          <w:color w:val="13576B"/>
          <w:sz w:val="24"/>
          <w:szCs w:val="24"/>
        </w:rPr>
        <w:t xml:space="preserve"> trajektorii </w:t>
      </w:r>
    </w:p>
    <w:p w14:paraId="524AE4B8" w14:textId="77777777" w:rsidR="00616F34" w:rsidRDefault="00616F34" w:rsidP="0005500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7884B8C7" w14:textId="4C190B03" w:rsidR="00D43642" w:rsidRDefault="00D43642" w:rsidP="0005500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D43642">
        <w:rPr>
          <w:rFonts w:ascii="Calibri" w:hAnsi="Calibri" w:cs="Calibri"/>
          <w:color w:val="000000"/>
          <w:sz w:val="22"/>
          <w:szCs w:val="22"/>
        </w:rPr>
        <w:t>Průměrná velikost skutečně nově poskytnuté hypotéky v prosinci mírně stoupla na 4,49 mil. Kč, tedy více než o 2 % meziměsíčně. Její velikost je tak o 16 % vyšší než 3,86 mil. Kč před rokem. Hypotéky určené ke koupi nemovitosti letos o 2 % převýšily průměrnou výší nové hypotéky, zatímco hypotéky na výstavbu byly o 3 % menší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Pr="00D4364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50088">
        <w:rPr>
          <w:rFonts w:ascii="Calibri" w:hAnsi="Calibri" w:cs="Calibri"/>
          <w:color w:val="000000"/>
          <w:sz w:val="22"/>
          <w:szCs w:val="22"/>
        </w:rPr>
        <w:t xml:space="preserve">Dosáhnout na vyšší hypotéku umožňuje postupný pokles hypotečních sazeb, či postupný růst reálných </w:t>
      </w:r>
      <w:r>
        <w:rPr>
          <w:rFonts w:ascii="Calibri" w:hAnsi="Calibri" w:cs="Calibri"/>
          <w:color w:val="000000"/>
          <w:sz w:val="22"/>
          <w:szCs w:val="22"/>
        </w:rPr>
        <w:t>mezd</w:t>
      </w:r>
      <w:r w:rsidRPr="00650088">
        <w:rPr>
          <w:rFonts w:ascii="Calibri" w:hAnsi="Calibri" w:cs="Calibri"/>
          <w:color w:val="000000"/>
          <w:sz w:val="22"/>
          <w:szCs w:val="22"/>
        </w:rPr>
        <w:t xml:space="preserve"> domácností (</w:t>
      </w:r>
      <w:r>
        <w:rPr>
          <w:rFonts w:ascii="Calibri" w:hAnsi="Calibri" w:cs="Calibri"/>
          <w:color w:val="000000" w:themeColor="text1"/>
          <w:sz w:val="22"/>
          <w:szCs w:val="22"/>
        </w:rPr>
        <w:t>4,5</w:t>
      </w:r>
      <w:r w:rsidRPr="00055000">
        <w:rPr>
          <w:rFonts w:ascii="Calibri" w:hAnsi="Calibri" w:cs="Calibri"/>
          <w:color w:val="000000" w:themeColor="text1"/>
          <w:sz w:val="22"/>
          <w:szCs w:val="22"/>
        </w:rPr>
        <w:t xml:space="preserve"> % meziročně </w:t>
      </w:r>
      <w:r>
        <w:rPr>
          <w:rFonts w:ascii="Calibri" w:hAnsi="Calibri" w:cs="Calibri"/>
          <w:color w:val="000000"/>
          <w:sz w:val="22"/>
          <w:szCs w:val="22"/>
        </w:rPr>
        <w:t>v </w:t>
      </w:r>
      <w:hyperlink r:id="rId30" w:history="1">
        <w:r w:rsidRPr="00E96618">
          <w:rPr>
            <w:rStyle w:val="Hypertextovodkaz"/>
            <w:rFonts w:ascii="Calibri" w:hAnsi="Calibri" w:cs="Calibri"/>
            <w:sz w:val="22"/>
            <w:szCs w:val="22"/>
          </w:rPr>
          <w:t>Q</w:t>
        </w:r>
        <w:r>
          <w:rPr>
            <w:rStyle w:val="Hypertextovodkaz"/>
            <w:rFonts w:ascii="Calibri" w:hAnsi="Calibri" w:cs="Calibri"/>
            <w:sz w:val="22"/>
            <w:szCs w:val="22"/>
          </w:rPr>
          <w:t>3</w:t>
        </w:r>
        <w:r w:rsidRPr="00E96618">
          <w:rPr>
            <w:rStyle w:val="Hypertextovodkaz"/>
            <w:rFonts w:ascii="Calibri" w:hAnsi="Calibri" w:cs="Calibri"/>
            <w:sz w:val="22"/>
            <w:szCs w:val="22"/>
          </w:rPr>
          <w:t>-2025</w:t>
        </w:r>
      </w:hyperlink>
      <w:r>
        <w:t xml:space="preserve"> </w:t>
      </w:r>
      <w:r w:rsidRPr="009C040E">
        <w:rPr>
          <w:rFonts w:ascii="Calibri" w:hAnsi="Calibri" w:cs="Calibri"/>
          <w:sz w:val="22"/>
          <w:szCs w:val="22"/>
        </w:rPr>
        <w:t xml:space="preserve">či graficky </w:t>
      </w:r>
      <w:hyperlink r:id="rId31" w:history="1">
        <w:r w:rsidRPr="009C040E">
          <w:rPr>
            <w:rStyle w:val="Hypertextovodkaz"/>
            <w:rFonts w:ascii="Calibri" w:hAnsi="Calibri" w:cs="Calibri"/>
            <w:sz w:val="22"/>
            <w:szCs w:val="22"/>
          </w:rPr>
          <w:t>zde</w:t>
        </w:r>
      </w:hyperlink>
      <w:r w:rsidRPr="00650088">
        <w:rPr>
          <w:rFonts w:ascii="Calibri" w:hAnsi="Calibri" w:cs="Calibri"/>
          <w:color w:val="000000"/>
          <w:sz w:val="22"/>
          <w:szCs w:val="22"/>
        </w:rPr>
        <w:t>)</w:t>
      </w:r>
      <w:r>
        <w:rPr>
          <w:rFonts w:ascii="Calibri" w:hAnsi="Calibri" w:cs="Calibri"/>
          <w:color w:val="000000"/>
          <w:sz w:val="22"/>
          <w:szCs w:val="22"/>
        </w:rPr>
        <w:t xml:space="preserve"> ovšem při pomalejším růstu disponibilního důchodu</w:t>
      </w:r>
      <w:r w:rsidRPr="00650088">
        <w:rPr>
          <w:rFonts w:ascii="Calibri" w:hAnsi="Calibri" w:cs="Calibri"/>
          <w:color w:val="000000"/>
          <w:sz w:val="22"/>
          <w:szCs w:val="22"/>
        </w:rPr>
        <w:t>, společně s</w:t>
      </w:r>
      <w:r>
        <w:rPr>
          <w:rFonts w:ascii="Calibri" w:hAnsi="Calibri" w:cs="Calibri"/>
          <w:color w:val="000000"/>
          <w:sz w:val="22"/>
          <w:szCs w:val="22"/>
        </w:rPr>
        <w:t xml:space="preserve"> doposud </w:t>
      </w:r>
      <w:r w:rsidRPr="00650088">
        <w:rPr>
          <w:rFonts w:ascii="Calibri" w:hAnsi="Calibri" w:cs="Calibri"/>
          <w:color w:val="000000"/>
          <w:sz w:val="22"/>
          <w:szCs w:val="22"/>
        </w:rPr>
        <w:t>pokračujícími uvolněnými makroobezřetnostními limity ohledně příjmů ze strany ČNB (pouze 80% limit LTV či 90% v případě žadatelů mladších 36 let).</w:t>
      </w:r>
      <w:r>
        <w:rPr>
          <w:rFonts w:ascii="Calibri" w:hAnsi="Calibri" w:cs="Calibri"/>
          <w:color w:val="000000"/>
          <w:sz w:val="22"/>
          <w:szCs w:val="22"/>
        </w:rPr>
        <w:t xml:space="preserve"> Ty budou od dubna 2026 zpřísněny v případě </w:t>
      </w:r>
      <w:hyperlink r:id="rId32" w:history="1">
        <w:r w:rsidRPr="00616F34">
          <w:rPr>
            <w:rStyle w:val="Hypertextovodkaz"/>
            <w:rFonts w:ascii="Calibri" w:hAnsi="Calibri" w:cs="Calibri"/>
            <w:sz w:val="22"/>
            <w:szCs w:val="22"/>
          </w:rPr>
          <w:t>tzv. investičních hypoték</w:t>
        </w:r>
      </w:hyperlink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1A056A64" w14:textId="77777777" w:rsidR="00D43642" w:rsidRDefault="00D43642" w:rsidP="0005500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563E961C" w14:textId="1F7F21F7" w:rsidR="00055000" w:rsidRDefault="004803D6" w:rsidP="0005500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616F34">
        <w:rPr>
          <w:rFonts w:ascii="Calibri" w:hAnsi="Calibri" w:cs="Calibri"/>
          <w:b/>
          <w:bCs/>
          <w:color w:val="000000"/>
          <w:sz w:val="22"/>
          <w:szCs w:val="22"/>
        </w:rPr>
        <w:t>Výše hypotéky pak souvisí také s vývojem cen nemovitostí,</w:t>
      </w:r>
      <w:r w:rsidRPr="004803D6">
        <w:rPr>
          <w:rFonts w:ascii="Calibri" w:hAnsi="Calibri" w:cs="Calibri"/>
          <w:color w:val="000000"/>
          <w:sz w:val="22"/>
          <w:szCs w:val="22"/>
        </w:rPr>
        <w:t xml:space="preserve"> které </w:t>
      </w:r>
      <w:r w:rsidR="00055000">
        <w:rPr>
          <w:rFonts w:ascii="Calibri" w:hAnsi="Calibri" w:cs="Calibri"/>
          <w:color w:val="000000"/>
          <w:sz w:val="22"/>
          <w:szCs w:val="22"/>
        </w:rPr>
        <w:t>s</w:t>
      </w:r>
      <w:r w:rsidR="00616F34">
        <w:rPr>
          <w:rFonts w:ascii="Calibri" w:hAnsi="Calibri" w:cs="Calibri"/>
          <w:color w:val="000000"/>
          <w:sz w:val="22"/>
          <w:szCs w:val="22"/>
        </w:rPr>
        <w:t>e</w:t>
      </w:r>
      <w:r w:rsidR="00055000">
        <w:rPr>
          <w:rFonts w:ascii="Calibri" w:hAnsi="Calibri" w:cs="Calibri"/>
          <w:color w:val="000000"/>
          <w:sz w:val="22"/>
          <w:szCs w:val="22"/>
        </w:rPr>
        <w:t xml:space="preserve"> v</w:t>
      </w:r>
      <w:r w:rsidR="00616F34">
        <w:rPr>
          <w:rFonts w:ascii="Calibri" w:hAnsi="Calibri" w:cs="Calibri"/>
          <w:color w:val="000000"/>
          <w:sz w:val="22"/>
          <w:szCs w:val="22"/>
        </w:rPr>
        <w:t>e třetím</w:t>
      </w:r>
      <w:r w:rsidR="00055000">
        <w:rPr>
          <w:rFonts w:ascii="Calibri" w:hAnsi="Calibri" w:cs="Calibri"/>
          <w:color w:val="000000"/>
          <w:sz w:val="22"/>
          <w:szCs w:val="22"/>
        </w:rPr>
        <w:t xml:space="preserve"> čtvrtletí roku 2025 </w:t>
      </w:r>
      <w:r w:rsidR="00D43642">
        <w:rPr>
          <w:rFonts w:ascii="Calibri" w:hAnsi="Calibri" w:cs="Calibri"/>
          <w:color w:val="000000"/>
          <w:sz w:val="22"/>
          <w:szCs w:val="22"/>
        </w:rPr>
        <w:t xml:space="preserve">pokračovaly silným téměř 11% meziročním růstem či 16% v případě cen bytů. </w:t>
      </w:r>
      <w:r w:rsidR="00D43642" w:rsidRPr="00D43642">
        <w:rPr>
          <w:rFonts w:ascii="Calibri" w:hAnsi="Calibri" w:cs="Calibri"/>
          <w:color w:val="000000"/>
          <w:sz w:val="22"/>
          <w:szCs w:val="22"/>
        </w:rPr>
        <w:t>Nabídkové ceny v poslední</w:t>
      </w:r>
      <w:r w:rsidR="00012832">
        <w:rPr>
          <w:rFonts w:ascii="Calibri" w:hAnsi="Calibri" w:cs="Calibri"/>
          <w:color w:val="000000"/>
          <w:sz w:val="22"/>
          <w:szCs w:val="22"/>
        </w:rPr>
        <w:t>m</w:t>
      </w:r>
      <w:r w:rsidR="00D43642" w:rsidRPr="00D43642">
        <w:rPr>
          <w:rFonts w:ascii="Calibri" w:hAnsi="Calibri" w:cs="Calibri"/>
          <w:color w:val="000000"/>
          <w:sz w:val="22"/>
          <w:szCs w:val="22"/>
        </w:rPr>
        <w:t xml:space="preserve"> čtvrtletí 2025 zpomalily mezičtvrtletní růst na 2,4 %, což je nejnižší nárůst od poloviny roku 2024. Ovšem tempo zůstává nad dlouhodobým průměrem 1,8 %. Podle dat od společnosti Flat Zone se průměrná transakční cena nových bytů v prvoprodeji v ČR v listopadu dostala na 141,6 tis. Kč/m2</w:t>
      </w:r>
      <w:r w:rsidR="00D4364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55000" w:rsidRPr="002725DA">
        <w:rPr>
          <w:rFonts w:ascii="Calibri" w:hAnsi="Calibri" w:cs="Calibri"/>
          <w:color w:val="000000"/>
          <w:sz w:val="22"/>
          <w:szCs w:val="22"/>
        </w:rPr>
        <w:t xml:space="preserve">(viz </w:t>
      </w:r>
      <w:r w:rsidR="00D43642">
        <w:rPr>
          <w:rFonts w:ascii="Calibri" w:hAnsi="Calibri" w:cs="Calibri"/>
          <w:color w:val="000000"/>
          <w:sz w:val="22"/>
          <w:szCs w:val="22"/>
        </w:rPr>
        <w:t>studie</w:t>
      </w:r>
      <w:r w:rsidR="00055000">
        <w:rPr>
          <w:rFonts w:ascii="Calibri" w:hAnsi="Calibri" w:cs="Calibri"/>
          <w:color w:val="000000"/>
          <w:sz w:val="22"/>
          <w:szCs w:val="22"/>
        </w:rPr>
        <w:t xml:space="preserve"> na </w:t>
      </w:r>
      <w:r w:rsidR="00055000" w:rsidRPr="002725DA">
        <w:rPr>
          <w:rFonts w:ascii="Calibri" w:hAnsi="Calibri" w:cs="Calibri"/>
          <w:color w:val="000000"/>
          <w:sz w:val="22"/>
          <w:szCs w:val="22"/>
        </w:rPr>
        <w:t>ČBA Monitor</w:t>
      </w:r>
      <w:r w:rsidR="00055000">
        <w:rPr>
          <w:rFonts w:ascii="Calibri" w:hAnsi="Calibri" w:cs="Calibri"/>
          <w:color w:val="000000"/>
          <w:sz w:val="22"/>
          <w:szCs w:val="22"/>
        </w:rPr>
        <w:t>u</w:t>
      </w:r>
      <w:r w:rsidR="00D43642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33" w:history="1">
        <w:r w:rsidR="00D43642" w:rsidRPr="00D43642">
          <w:rPr>
            <w:rStyle w:val="Hypertextovodkaz"/>
            <w:rFonts w:ascii="Calibri" w:hAnsi="Calibri" w:cs="Calibri"/>
            <w:sz w:val="22"/>
            <w:szCs w:val="22"/>
          </w:rPr>
          <w:t>zde</w:t>
        </w:r>
      </w:hyperlink>
      <w:r w:rsidR="00D43642">
        <w:rPr>
          <w:rFonts w:ascii="Calibri" w:hAnsi="Calibri" w:cs="Calibri"/>
          <w:color w:val="000000"/>
          <w:sz w:val="22"/>
          <w:szCs w:val="22"/>
        </w:rPr>
        <w:t xml:space="preserve"> či grafy na</w:t>
      </w:r>
      <w:r w:rsidR="00055000" w:rsidRPr="002725DA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34" w:history="1">
        <w:r w:rsidR="00055000" w:rsidRPr="00436F5C">
          <w:rPr>
            <w:rStyle w:val="Hypertextovodkaz"/>
            <w:rFonts w:ascii="Calibri" w:hAnsi="Calibri" w:cs="Calibri"/>
            <w:sz w:val="22"/>
            <w:szCs w:val="22"/>
          </w:rPr>
          <w:t>ČBA Monitor</w:t>
        </w:r>
      </w:hyperlink>
      <w:r w:rsidR="00055000" w:rsidRPr="002725DA">
        <w:rPr>
          <w:rFonts w:ascii="Calibri" w:hAnsi="Calibri" w:cs="Calibri"/>
          <w:color w:val="000000"/>
          <w:sz w:val="22"/>
          <w:szCs w:val="22"/>
        </w:rPr>
        <w:t>).</w:t>
      </w:r>
      <w:r w:rsidR="00055000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E462F23" w14:textId="77777777" w:rsidR="005343BA" w:rsidRDefault="005343BA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5F044CF" w14:textId="6D0EDFF3" w:rsidR="005343BA" w:rsidRDefault="004803D6" w:rsidP="005343BA">
      <w:pPr>
        <w:rPr>
          <w:rFonts w:ascii="Calibri" w:hAnsi="Calibri" w:cs="Calibri"/>
          <w:b/>
          <w:color w:val="13576B"/>
          <w:sz w:val="24"/>
          <w:szCs w:val="24"/>
        </w:rPr>
      </w:pPr>
      <w:r w:rsidRPr="004803D6">
        <w:rPr>
          <w:rFonts w:ascii="Calibri" w:hAnsi="Calibri" w:cs="Calibri"/>
          <w:b/>
          <w:color w:val="13576B"/>
          <w:sz w:val="24"/>
          <w:szCs w:val="24"/>
        </w:rPr>
        <w:t>Dopady na průměrnou měsíční hypoteční splátku okolo 2</w:t>
      </w:r>
      <w:r w:rsidR="009C5D66">
        <w:rPr>
          <w:rFonts w:ascii="Calibri" w:hAnsi="Calibri" w:cs="Calibri"/>
          <w:b/>
          <w:color w:val="13576B"/>
          <w:sz w:val="24"/>
          <w:szCs w:val="24"/>
        </w:rPr>
        <w:t>4</w:t>
      </w:r>
      <w:r w:rsidRPr="004803D6">
        <w:rPr>
          <w:rFonts w:ascii="Calibri" w:hAnsi="Calibri" w:cs="Calibri"/>
          <w:b/>
          <w:color w:val="13576B"/>
          <w:sz w:val="24"/>
          <w:szCs w:val="24"/>
        </w:rPr>
        <w:t>,</w:t>
      </w:r>
      <w:r w:rsidR="009C5D66">
        <w:rPr>
          <w:rFonts w:ascii="Calibri" w:hAnsi="Calibri" w:cs="Calibri"/>
          <w:b/>
          <w:color w:val="13576B"/>
          <w:sz w:val="24"/>
          <w:szCs w:val="24"/>
        </w:rPr>
        <w:t>1</w:t>
      </w:r>
      <w:r w:rsidRPr="004803D6">
        <w:rPr>
          <w:rFonts w:ascii="Calibri" w:hAnsi="Calibri" w:cs="Calibri"/>
          <w:b/>
          <w:color w:val="13576B"/>
          <w:sz w:val="24"/>
          <w:szCs w:val="24"/>
        </w:rPr>
        <w:t xml:space="preserve"> tisíc Kč</w:t>
      </w:r>
      <w:r w:rsidR="00D43642">
        <w:rPr>
          <w:rFonts w:ascii="Calibri" w:hAnsi="Calibri" w:cs="Calibri"/>
          <w:b/>
          <w:color w:val="13576B"/>
          <w:sz w:val="24"/>
          <w:szCs w:val="24"/>
        </w:rPr>
        <w:t xml:space="preserve"> v prosinci</w:t>
      </w:r>
    </w:p>
    <w:p w14:paraId="50D3F3A4" w14:textId="77777777" w:rsidR="005343BA" w:rsidRDefault="005343BA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DADDB4C" w14:textId="77777777" w:rsidR="00D43642" w:rsidRDefault="009C5D66" w:rsidP="009C5D66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9C5D6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Kombinace poklesu úrokové sazby a vyšší průměrné výše hypotéky v prosinci 2025 ve srovnání s průměrnými hodnotami z roku 2024 zvýšily průměrnou měsíční splátku hypotéky o 3,1 tis. Kč. </w:t>
      </w:r>
      <w:r w:rsidRPr="00D43642">
        <w:rPr>
          <w:rFonts w:ascii="Calibri" w:hAnsi="Calibri" w:cs="Calibri"/>
          <w:color w:val="000000" w:themeColor="text1"/>
          <w:sz w:val="22"/>
          <w:szCs w:val="22"/>
        </w:rPr>
        <w:t>Scénáře vývoje měsíční splátky pro různé délky splatnosti hypotéky znázorňuje tabulka č. 2. Ta napovídá, že pokles hypotečních sazeb bezmála o 0,6 procentního bodu vůči jejich průměrné výši 5,07 % v roce 2024 přinesl, pro průměrnou velikost hypotéky při jejím obvyklém přibližně 26,8letém splácení, snížení měsíční splátky o necelých 1 500 Kč na přibližně 24,1 tis. Kč, tedy o 1,6 % čistého příjmu žadatele v porovnání s průměrnou splátkou v minulém roce. Ve srovnání s průměrnou hypoteční sazbou 5,81 % v roce 2023 dosáhla úspora kvůli úrokové sazbě necelých 3 500 Kč pro hypotéku v její aktuální průměrné hodnotě.</w:t>
      </w:r>
      <w:r w:rsidRPr="009C5D6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4A917948" w14:textId="77777777" w:rsidR="00D43642" w:rsidRDefault="00D43642" w:rsidP="009C5D66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C29F434" w14:textId="7CF23815" w:rsidR="009C5D66" w:rsidRPr="00D43642" w:rsidRDefault="009C5D66" w:rsidP="009C5D66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43642">
        <w:rPr>
          <w:rFonts w:ascii="Calibri" w:hAnsi="Calibri" w:cs="Calibri"/>
          <w:b/>
          <w:bCs/>
          <w:color w:val="000000" w:themeColor="text1"/>
          <w:sz w:val="22"/>
          <w:szCs w:val="22"/>
        </w:rPr>
        <w:t>Ovšem současná průměrná výše hypotéky je o 22 % vyšší než její průměrná výše v roce 2024, což přispívá k navýšení měsíční splátky o 4,4 tis. Kč</w:t>
      </w:r>
      <w:r w:rsidRPr="00D43642">
        <w:rPr>
          <w:rFonts w:ascii="Calibri" w:hAnsi="Calibri" w:cs="Calibri"/>
          <w:color w:val="000000" w:themeColor="text1"/>
          <w:sz w:val="22"/>
          <w:szCs w:val="22"/>
        </w:rPr>
        <w:t xml:space="preserve"> ve srovnání s průměrnou měsíční splátkou v minulém roce navázanou na loňskou průměrnou výši hypotéky ovšem při současné úrokové sazbě. Splátka hypotéky ve výši jednoho milionu korun s 30letou splatností se se současnými úrokovými sazbami pohybuje okolo 5,1 tisíce Kč. </w:t>
      </w:r>
    </w:p>
    <w:p w14:paraId="64AA2C22" w14:textId="77777777" w:rsidR="009C5D66" w:rsidRPr="009C5D66" w:rsidRDefault="009C5D66" w:rsidP="009C5D66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F682A2E" w14:textId="53086C2C" w:rsidR="009C5D66" w:rsidRDefault="009C5D66" w:rsidP="009C5D66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9C5D66">
        <w:rPr>
          <w:rFonts w:ascii="Calibri" w:hAnsi="Calibri" w:cs="Calibri"/>
          <w:b/>
          <w:bCs/>
          <w:color w:val="000000" w:themeColor="text1"/>
          <w:sz w:val="22"/>
          <w:szCs w:val="22"/>
        </w:rPr>
        <w:t>Naopak, ve srovnání s průměrnou 2,8% úrokovou hypoteční sazbou pro nové hypotéky v roce 2019</w:t>
      </w:r>
      <w:r w:rsidRPr="00D43642">
        <w:rPr>
          <w:rFonts w:ascii="Calibri" w:hAnsi="Calibri" w:cs="Calibri"/>
          <w:color w:val="000000" w:themeColor="text1"/>
          <w:sz w:val="22"/>
          <w:szCs w:val="22"/>
        </w:rPr>
        <w:t xml:space="preserve">, tak současná hypoteční sazba pro refinancování ve výši 4,45 % při zkrácení splatnosti úvěru zvedá měsíční splátky u průměrné hypotéky </w:t>
      </w:r>
      <w:r w:rsidR="00E66FD1">
        <w:rPr>
          <w:rFonts w:ascii="Calibri" w:hAnsi="Calibri" w:cs="Calibri"/>
          <w:color w:val="000000" w:themeColor="text1"/>
          <w:sz w:val="22"/>
          <w:szCs w:val="22"/>
        </w:rPr>
        <w:t xml:space="preserve">na </w:t>
      </w:r>
      <w:r w:rsidRPr="00D43642">
        <w:rPr>
          <w:rFonts w:ascii="Calibri" w:hAnsi="Calibri" w:cs="Calibri"/>
          <w:color w:val="000000" w:themeColor="text1"/>
          <w:sz w:val="22"/>
          <w:szCs w:val="22"/>
        </w:rPr>
        <w:t>více než 1600 Kč, tedy asi o 3,2 % současné hrubé průměrné mzdy.</w:t>
      </w:r>
    </w:p>
    <w:p w14:paraId="78802E09" w14:textId="77777777" w:rsidR="009C5D66" w:rsidRDefault="009C5D66" w:rsidP="007A19E3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482CE93" w14:textId="77777777" w:rsidR="008569DC" w:rsidRDefault="008569DC" w:rsidP="008569DC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A267256" w14:textId="12E300F9" w:rsidR="009D3067" w:rsidRPr="00515ECA" w:rsidRDefault="009D3067" w:rsidP="008569DC">
      <w:pPr>
        <w:overflowPunct/>
        <w:autoSpaceDE/>
        <w:autoSpaceDN/>
        <w:adjustRightInd/>
        <w:spacing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bookmarkStart w:id="6" w:name="_Hlk190458144"/>
      <w:bookmarkEnd w:id="5"/>
      <w:r w:rsidRPr="00515ECA">
        <w:rPr>
          <w:rFonts w:ascii="Calibri" w:hAnsi="Calibri" w:cs="Calibri"/>
          <w:b/>
          <w:color w:val="13576B"/>
          <w:sz w:val="23"/>
          <w:szCs w:val="23"/>
        </w:rPr>
        <w:t xml:space="preserve">Tabulka č. 2: </w:t>
      </w:r>
      <w:r w:rsidR="004B441B">
        <w:rPr>
          <w:rFonts w:ascii="Calibri" w:hAnsi="Calibri" w:cs="Calibri"/>
          <w:b/>
          <w:color w:val="13576B"/>
          <w:sz w:val="23"/>
          <w:szCs w:val="23"/>
        </w:rPr>
        <w:t>Ilustrace</w:t>
      </w:r>
      <w:r w:rsidR="00EB1892">
        <w:rPr>
          <w:rFonts w:ascii="Calibri" w:hAnsi="Calibri" w:cs="Calibri"/>
          <w:b/>
          <w:color w:val="13576B"/>
          <w:sz w:val="23"/>
          <w:szCs w:val="23"/>
        </w:rPr>
        <w:t xml:space="preserve"> m</w:t>
      </w:r>
      <w:r w:rsidRPr="00515ECA">
        <w:rPr>
          <w:rFonts w:ascii="Calibri" w:hAnsi="Calibri" w:cs="Calibri"/>
          <w:b/>
          <w:color w:val="13576B"/>
          <w:sz w:val="23"/>
          <w:szCs w:val="23"/>
        </w:rPr>
        <w:t>ěsíční splátk</w:t>
      </w:r>
      <w:r w:rsidR="004B441B">
        <w:rPr>
          <w:rFonts w:ascii="Calibri" w:hAnsi="Calibri" w:cs="Calibri"/>
          <w:b/>
          <w:color w:val="13576B"/>
          <w:sz w:val="23"/>
          <w:szCs w:val="23"/>
        </w:rPr>
        <w:t>y</w:t>
      </w:r>
      <w:r w:rsidRPr="00515ECA">
        <w:rPr>
          <w:rFonts w:ascii="Calibri" w:hAnsi="Calibri" w:cs="Calibri"/>
          <w:b/>
          <w:color w:val="13576B"/>
          <w:sz w:val="23"/>
          <w:szCs w:val="23"/>
        </w:rPr>
        <w:t xml:space="preserve"> průměrné hypotéky v závislosti na délce splatnosti a úrokové sazbě</w:t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648"/>
        <w:gridCol w:w="955"/>
        <w:gridCol w:w="955"/>
        <w:gridCol w:w="955"/>
        <w:gridCol w:w="955"/>
        <w:gridCol w:w="955"/>
        <w:gridCol w:w="955"/>
      </w:tblGrid>
      <w:tr w:rsidR="004803D6" w:rsidRPr="002138C0" w14:paraId="2E0F9EE8" w14:textId="77777777" w:rsidTr="00EB1892">
        <w:trPr>
          <w:trHeight w:val="555"/>
        </w:trPr>
        <w:tc>
          <w:tcPr>
            <w:tcW w:w="4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FE9691" w14:textId="77777777" w:rsidR="004803D6" w:rsidRPr="00F23602" w:rsidRDefault="004803D6" w:rsidP="004803D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velikost nové hypotéky v Kč: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2DFCA" w14:textId="77777777" w:rsidR="004803D6" w:rsidRPr="00F23602" w:rsidRDefault="004803D6" w:rsidP="004803D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B01B2E" w14:textId="3B096246" w:rsidR="004803D6" w:rsidRPr="00F23602" w:rsidRDefault="004803D6" w:rsidP="004803D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0F8289" w14:textId="648C6DFB" w:rsidR="004803D6" w:rsidRPr="00F23602" w:rsidRDefault="00B90139" w:rsidP="004803D6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</w:t>
            </w:r>
            <w:r w:rsidR="00E77326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 490 660</w:t>
            </w:r>
          </w:p>
        </w:tc>
      </w:tr>
      <w:tr w:rsidR="00F23602" w:rsidRPr="002138C0" w14:paraId="3A9D14C4" w14:textId="77777777" w:rsidTr="00EB189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FFBA8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úroková sazba v %: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6198D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BEEE92" w14:textId="18F743FA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D3214C" w14:textId="1130DD68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B1144F" w14:textId="1E0730A6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3EA"/>
            <w:noWrap/>
            <w:vAlign w:val="center"/>
            <w:hideMark/>
          </w:tcPr>
          <w:p w14:paraId="29650147" w14:textId="05A6BC88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</w:t>
            </w:r>
            <w:r w:rsidR="004803D6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</w:t>
            </w:r>
            <w:r w:rsidR="00E77326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22EECDD2" w14:textId="49E02541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5AC0A3" w14:textId="632AE5E6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D5517C" w:rsidRPr="002138C0" w14:paraId="4905349F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7E18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71C1EDC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8A3FA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7A7A8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798FF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Měsíční splátka:</w:t>
            </w:r>
          </w:p>
        </w:tc>
      </w:tr>
      <w:tr w:rsidR="00E77326" w:rsidRPr="002138C0" w14:paraId="0A342D01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8443" w14:textId="77777777" w:rsidR="00E77326" w:rsidRPr="00F23602" w:rsidRDefault="00E77326" w:rsidP="00E7732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Splatnost hypotéky v letech: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9EE9A3" w14:textId="21CDF506" w:rsidR="00E77326" w:rsidRPr="00F23602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75F03F" w14:textId="4363EBD8" w:rsidR="00E77326" w:rsidRPr="00F23602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28 900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E9F84" w14:textId="355251A8" w:rsidR="00E77326" w:rsidRPr="00F23602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31 010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A63E5" w14:textId="2B23B3CB" w:rsidR="00E77326" w:rsidRPr="00F23602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33 220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0F2712F9" w14:textId="2CFD2B87" w:rsidR="00E77326" w:rsidRPr="002138C0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34 340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90F9892" w14:textId="2E6EC542" w:rsidR="00E77326" w:rsidRPr="002138C0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35 510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D0922" w14:textId="0A03384F" w:rsidR="00E77326" w:rsidRPr="002138C0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37 890</w:t>
            </w:r>
          </w:p>
        </w:tc>
      </w:tr>
      <w:tr w:rsidR="00E77326" w:rsidRPr="002138C0" w14:paraId="4A78BEF2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3610" w14:textId="77777777" w:rsidR="00E77326" w:rsidRPr="00F23602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B9CE37" w14:textId="0DCAB82D" w:rsidR="00E77326" w:rsidRPr="00F23602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28FBFB" w14:textId="1BDA2FB6" w:rsidR="00E77326" w:rsidRPr="00F23602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22 720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7AA86" w14:textId="6FBD058E" w:rsidR="00E77326" w:rsidRPr="00F23602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24 910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57E18" w14:textId="0E5FE4DC" w:rsidR="00E77326" w:rsidRPr="00F23602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27 210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6D332706" w14:textId="73F24F5E" w:rsidR="00E77326" w:rsidRPr="002138C0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28 390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5E6CF5E2" w14:textId="58272F19" w:rsidR="00E77326" w:rsidRPr="002138C0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29 640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1BDBD" w14:textId="1ECAD10D" w:rsidR="00E77326" w:rsidRPr="002138C0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32 170</w:t>
            </w:r>
          </w:p>
        </w:tc>
      </w:tr>
      <w:tr w:rsidR="00E77326" w:rsidRPr="002138C0" w14:paraId="6CF32913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281A" w14:textId="77777777" w:rsidR="00E77326" w:rsidRPr="00F23602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092D49" w14:textId="78F991B7" w:rsidR="00E77326" w:rsidRPr="00F23602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1B1A11" w14:textId="7810F51B" w:rsidR="00E77326" w:rsidRPr="00F23602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19 030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3E222" w14:textId="0B6C1288" w:rsidR="00E77326" w:rsidRPr="00F23602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21 300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6F1AB" w14:textId="105D1E1C" w:rsidR="00E77326" w:rsidRPr="00F23602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23 700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5331F341" w14:textId="6E6F3B1E" w:rsidR="00E77326" w:rsidRPr="002138C0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24 940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E4DDF0D" w14:textId="6135D842" w:rsidR="00E77326" w:rsidRPr="002138C0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26 250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2D8C7" w14:textId="110164A8" w:rsidR="00E77326" w:rsidRPr="002138C0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28 930</w:t>
            </w:r>
          </w:p>
        </w:tc>
      </w:tr>
      <w:tr w:rsidR="00E77326" w:rsidRPr="002138C0" w14:paraId="2841560E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465CE" w14:textId="77777777" w:rsidR="00E77326" w:rsidRPr="00F23602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F3EA"/>
            <w:noWrap/>
            <w:vAlign w:val="center"/>
          </w:tcPr>
          <w:p w14:paraId="088256B9" w14:textId="44522C32" w:rsidR="00E77326" w:rsidRPr="00F23602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26,8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0B45A43E" w14:textId="16ABF2C5" w:rsidR="00E77326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18 080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09BA985F" w14:textId="0A4CB142" w:rsidR="00E77326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20 360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567430AE" w14:textId="116A3EC3" w:rsidR="00E77326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22 810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427C5795" w14:textId="133E4010" w:rsidR="00E77326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24 060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3738B6D6" w14:textId="7F9AEFD8" w:rsidR="00E77326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25 400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15CB0311" w14:textId="1863FF9E" w:rsidR="00E77326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28 130</w:t>
            </w:r>
          </w:p>
        </w:tc>
      </w:tr>
      <w:tr w:rsidR="00E77326" w:rsidRPr="002138C0" w14:paraId="46B86678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BB57D" w14:textId="77777777" w:rsidR="00E77326" w:rsidRPr="00F23602" w:rsidRDefault="00E77326" w:rsidP="00E7732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525A" w14:textId="7A89106D" w:rsidR="00E77326" w:rsidRPr="00F23602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DA2DA6" w14:textId="18E9F45C" w:rsidR="00E77326" w:rsidRPr="00F23602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16 600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1602F5" w14:textId="388C17E6" w:rsidR="00E77326" w:rsidRPr="00F23602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18 930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C600D" w14:textId="7AF58B43" w:rsidR="00E77326" w:rsidRPr="00F23602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21 440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F3EA"/>
            <w:noWrap/>
            <w:vAlign w:val="center"/>
            <w:hideMark/>
          </w:tcPr>
          <w:p w14:paraId="527D8D8A" w14:textId="61941736" w:rsidR="00E77326" w:rsidRPr="002138C0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22 730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5ABD787" w14:textId="2CBD6844" w:rsidR="00E77326" w:rsidRPr="002138C0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781B34" w14:textId="6BA359DD" w:rsidR="00E77326" w:rsidRPr="002138C0" w:rsidRDefault="00E77326" w:rsidP="00E773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26 920</w:t>
            </w:r>
          </w:p>
        </w:tc>
      </w:tr>
      <w:tr w:rsidR="00D5517C" w:rsidRPr="002138C0" w14:paraId="58395EC8" w14:textId="77777777" w:rsidTr="00EB189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D57F" w14:textId="5396F87E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0"/>
              </w:rPr>
            </w:pPr>
            <w:r w:rsidRPr="00AA62A7">
              <w:rPr>
                <w:rFonts w:asciiTheme="minorHAnsi" w:hAnsiTheme="minorHAnsi" w:cstheme="minorHAnsi"/>
                <w:color w:val="2F5496" w:themeColor="accent5" w:themeShade="BF"/>
                <w:sz w:val="20"/>
              </w:rPr>
              <w:t>Pramen</w:t>
            </w:r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>: ČBA</w:t>
            </w:r>
            <w:r w:rsidR="00952AEF" w:rsidRPr="00AA62A7">
              <w:rPr>
                <w:rFonts w:asciiTheme="minorHAnsi" w:hAnsiTheme="minorHAnsi" w:cstheme="minorHAnsi"/>
                <w:color w:val="13576B"/>
                <w:sz w:val="20"/>
              </w:rPr>
              <w:t xml:space="preserve"> </w:t>
            </w:r>
            <w:r w:rsidR="00952AEF" w:rsidRPr="00AA62A7">
              <w:rPr>
                <w:rStyle w:val="Znakapoznpodarou"/>
                <w:rFonts w:asciiTheme="minorHAnsi" w:hAnsiTheme="minorHAnsi" w:cstheme="minorHAnsi"/>
                <w:color w:val="2F5496" w:themeColor="accent5" w:themeShade="BF"/>
                <w:sz w:val="20"/>
              </w:rPr>
              <w:footnoteReference w:id="2"/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430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225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1F0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2AAF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6A2A" w14:textId="77777777" w:rsidR="00D5517C" w:rsidRPr="00AA62A7" w:rsidRDefault="00D5517C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D15A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72E4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D5517C" w:rsidRPr="002138C0" w14:paraId="17E5FF51" w14:textId="77777777" w:rsidTr="00EB1892">
        <w:trPr>
          <w:trHeight w:val="30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0336" w14:textId="02728D43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0"/>
              </w:rPr>
            </w:pPr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>Pozn.: barevný sloupec odpovídá úrokové sazbě posledního ČBA Hypomonitoru, ostatní sazby jsou ilustrační</w:t>
            </w:r>
            <w:r w:rsidR="00EB1892" w:rsidRPr="00AA62A7">
              <w:rPr>
                <w:rFonts w:asciiTheme="minorHAnsi" w:hAnsiTheme="minorHAnsi" w:cstheme="minorHAnsi"/>
                <w:color w:val="13576B"/>
                <w:sz w:val="20"/>
              </w:rPr>
              <w:t xml:space="preserve">; barevný řádek odpovídá průměrné splatnosti nových hypoték podle dat ČNB; částky jsou zaokrouhleny na desítky korun. </w:t>
            </w:r>
          </w:p>
        </w:tc>
      </w:tr>
    </w:tbl>
    <w:p w14:paraId="596DABCB" w14:textId="77777777" w:rsidR="008569DC" w:rsidRDefault="008569DC" w:rsidP="00573D34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</w:p>
    <w:p w14:paraId="37433820" w14:textId="10F586EA" w:rsidR="00573D34" w:rsidRDefault="00EB1892" w:rsidP="00573D34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506126">
        <w:rPr>
          <w:rFonts w:ascii="Calibri" w:hAnsi="Calibri" w:cs="Calibri"/>
          <w:b/>
          <w:color w:val="13576B"/>
          <w:sz w:val="23"/>
          <w:szCs w:val="23"/>
        </w:rPr>
        <w:t>5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 w:rsidR="009D5F35">
        <w:rPr>
          <w:rFonts w:ascii="Calibri" w:hAnsi="Calibri" w:cs="Calibri"/>
          <w:b/>
          <w:color w:val="13576B"/>
          <w:sz w:val="23"/>
          <w:szCs w:val="23"/>
        </w:rPr>
        <w:t>Ilustrativní srovnání výše měsíční splátky průměrné hypotéky s obdobím před rokem v závislosti na výši úroku, velikosti hypotéky a její splatnosti v</w:t>
      </w:r>
      <w:r w:rsidR="00573D34">
        <w:rPr>
          <w:rFonts w:ascii="Calibri" w:hAnsi="Calibri" w:cs="Calibri"/>
          <w:b/>
          <w:color w:val="13576B"/>
          <w:sz w:val="23"/>
          <w:szCs w:val="23"/>
        </w:rPr>
        <w:t> </w:t>
      </w:r>
      <w:r w:rsidR="009D5F35">
        <w:rPr>
          <w:rFonts w:ascii="Calibri" w:hAnsi="Calibri" w:cs="Calibri"/>
          <w:b/>
          <w:color w:val="13576B"/>
          <w:sz w:val="23"/>
          <w:szCs w:val="23"/>
        </w:rPr>
        <w:t>letech</w:t>
      </w:r>
    </w:p>
    <w:p w14:paraId="4CE6E4DD" w14:textId="77DF6897" w:rsidR="00B90139" w:rsidRDefault="00E77326" w:rsidP="00AA62A7">
      <w:pPr>
        <w:overflowPunct/>
        <w:autoSpaceDE/>
        <w:autoSpaceDN/>
        <w:adjustRightInd/>
        <w:spacing w:line="259" w:lineRule="auto"/>
        <w:jc w:val="left"/>
        <w:textAlignment w:val="auto"/>
        <w:rPr>
          <w:rFonts w:ascii="Calibri" w:hAnsi="Calibri" w:cs="Calibri"/>
          <w:bCs/>
          <w:i/>
          <w:iCs/>
          <w:noProof/>
          <w:color w:val="13576B"/>
          <w:sz w:val="23"/>
          <w:szCs w:val="23"/>
        </w:rPr>
      </w:pPr>
      <w:r w:rsidRPr="00E77326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V meziročním srovnání přinesl pokles hypoteční sazby úsporu průměrné měsíční splátky o 810 Kč, ovšem růst průměrné výše hypotéky způsobil její navýšení o 3 360 Kč. </w:t>
      </w:r>
      <w:r>
        <w:rPr>
          <w:rFonts w:ascii="Calibri" w:hAnsi="Calibri" w:cs="Calibri"/>
          <w:bCs/>
          <w:i/>
          <w:iCs/>
          <w:noProof/>
          <w:color w:val="13576B"/>
          <w:sz w:val="23"/>
          <w:szCs w:val="23"/>
        </w:rPr>
        <w:drawing>
          <wp:inline distT="0" distB="0" distL="0" distR="0" wp14:anchorId="564A6511" wp14:editId="5C6F0C74">
            <wp:extent cx="6017260" cy="3712845"/>
            <wp:effectExtent l="0" t="0" r="2540" b="1905"/>
            <wp:docPr id="143366329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60" cy="371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ADE1A7" w14:textId="4B9EF024" w:rsidR="009D5F35" w:rsidRDefault="009D5F35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r w:rsidRPr="002F4CBD">
        <w:rPr>
          <w:rFonts w:ascii="Calibri Light" w:hAnsi="Calibri Light" w:cs="Calibri Light"/>
          <w:color w:val="13576B"/>
          <w:sz w:val="20"/>
        </w:rPr>
        <w:t>ČBA</w:t>
      </w:r>
      <w:r w:rsidR="00AA62A7">
        <w:rPr>
          <w:rFonts w:ascii="Calibri Light" w:hAnsi="Calibri Light" w:cs="Calibri Light"/>
          <w:color w:val="13576B"/>
          <w:sz w:val="20"/>
        </w:rPr>
        <w:t xml:space="preserve">. Pozn.: </w:t>
      </w:r>
      <w:r w:rsidR="00AA62A7" w:rsidRPr="00AA62A7">
        <w:rPr>
          <w:rFonts w:ascii="Calibri Light" w:hAnsi="Calibri Light" w:cs="Calibri Light"/>
          <w:color w:val="13576B"/>
          <w:sz w:val="20"/>
        </w:rPr>
        <w:t>částky jsou zaokrouhleny na desítky korun.</w:t>
      </w:r>
    </w:p>
    <w:p w14:paraId="7ECA69B5" w14:textId="77777777" w:rsidR="00173D31" w:rsidRDefault="00173D31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5A72B105" w14:textId="5EE70E11" w:rsidR="002E4EFD" w:rsidRDefault="008723A8" w:rsidP="002E4EFD">
      <w:pPr>
        <w:rPr>
          <w:rFonts w:ascii="Calibri" w:hAnsi="Calibri" w:cs="Calibri"/>
          <w:b/>
          <w:color w:val="13576B"/>
          <w:sz w:val="24"/>
          <w:szCs w:val="24"/>
        </w:rPr>
      </w:pPr>
      <w:r>
        <w:rPr>
          <w:rFonts w:ascii="Calibri" w:hAnsi="Calibri" w:cs="Calibri"/>
          <w:b/>
          <w:color w:val="13576B"/>
          <w:sz w:val="24"/>
          <w:szCs w:val="24"/>
        </w:rPr>
        <w:t>Statistická příloha</w:t>
      </w:r>
    </w:p>
    <w:p w14:paraId="7D8CD8E4" w14:textId="77777777" w:rsidR="00582221" w:rsidRDefault="00582221" w:rsidP="002E4EFD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2FA0BE1C" w14:textId="24706C40" w:rsidR="00582221" w:rsidRPr="00D24B00" w:rsidRDefault="00582221" w:rsidP="002E4EFD">
      <w:pPr>
        <w:rPr>
          <w:rFonts w:ascii="Calibri" w:hAnsi="Calibri" w:cs="Calibri"/>
          <w:b/>
          <w:color w:val="EE0000"/>
          <w:sz w:val="24"/>
          <w:szCs w:val="24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506126">
        <w:rPr>
          <w:rFonts w:ascii="Calibri" w:hAnsi="Calibri" w:cs="Calibri"/>
          <w:b/>
          <w:color w:val="13576B"/>
          <w:sz w:val="23"/>
          <w:szCs w:val="23"/>
        </w:rPr>
        <w:t>6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>
        <w:rPr>
          <w:rFonts w:ascii="Calibri" w:hAnsi="Calibri" w:cs="Calibri"/>
          <w:b/>
          <w:color w:val="13576B"/>
          <w:sz w:val="23"/>
          <w:szCs w:val="23"/>
        </w:rPr>
        <w:t>Sezónnost nových hypotečních úvěrů</w:t>
      </w:r>
    </w:p>
    <w:p w14:paraId="384BA2E5" w14:textId="7DA62BEC" w:rsidR="0033440C" w:rsidRDefault="00E77326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E77326">
        <w:rPr>
          <w:noProof/>
        </w:rPr>
        <w:lastRenderedPageBreak/>
        <w:drawing>
          <wp:inline distT="0" distB="0" distL="0" distR="0" wp14:anchorId="0AD81BCF" wp14:editId="05651FF6">
            <wp:extent cx="6480810" cy="4161790"/>
            <wp:effectExtent l="0" t="0" r="0" b="0"/>
            <wp:docPr id="10509322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16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3E5F5" w14:textId="68A6E96C" w:rsidR="0033440C" w:rsidRDefault="008723A8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r w:rsidRPr="002F4CBD">
        <w:rPr>
          <w:rFonts w:ascii="Calibri Light" w:hAnsi="Calibri Light" w:cs="Calibri Light"/>
          <w:color w:val="13576B"/>
          <w:sz w:val="20"/>
        </w:rPr>
        <w:t>ČBA</w:t>
      </w:r>
      <w:r>
        <w:rPr>
          <w:rFonts w:ascii="Calibri Light" w:hAnsi="Calibri Light" w:cs="Calibri Light"/>
          <w:color w:val="13576B"/>
          <w:sz w:val="20"/>
        </w:rPr>
        <w:t xml:space="preserve"> Hypomonitor</w:t>
      </w:r>
    </w:p>
    <w:p w14:paraId="03530238" w14:textId="378A1F3A" w:rsidR="008723A8" w:rsidRDefault="008723A8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>
        <w:rPr>
          <w:rFonts w:ascii="Calibri Light" w:hAnsi="Calibri Light" w:cs="Calibri Light"/>
          <w:color w:val="13576B"/>
          <w:sz w:val="20"/>
        </w:rPr>
        <w:t xml:space="preserve">Poznámka: </w:t>
      </w:r>
      <w:r w:rsidR="006E2E7E">
        <w:rPr>
          <w:rFonts w:ascii="Calibri Light" w:hAnsi="Calibri Light" w:cs="Calibri Light"/>
          <w:color w:val="13576B"/>
          <w:sz w:val="20"/>
        </w:rPr>
        <w:t xml:space="preserve">Jedná se o skutečně nové hypotéky (tedy </w:t>
      </w:r>
      <w:r w:rsidR="00F50DD0">
        <w:rPr>
          <w:rFonts w:ascii="Calibri Light" w:hAnsi="Calibri Light" w:cs="Calibri Light"/>
          <w:color w:val="13576B"/>
          <w:sz w:val="20"/>
        </w:rPr>
        <w:t xml:space="preserve">bez </w:t>
      </w:r>
      <w:r w:rsidR="006E2E7E">
        <w:rPr>
          <w:rFonts w:ascii="Calibri Light" w:hAnsi="Calibri Light" w:cs="Calibri Light"/>
          <w:color w:val="13576B"/>
          <w:sz w:val="20"/>
        </w:rPr>
        <w:t xml:space="preserve">refinancování a navýšeni). </w:t>
      </w:r>
      <w:r>
        <w:rPr>
          <w:rFonts w:ascii="Calibri Light" w:hAnsi="Calibri Light" w:cs="Calibri Light"/>
          <w:color w:val="13576B"/>
          <w:sz w:val="20"/>
        </w:rPr>
        <w:t xml:space="preserve">Podkladová data jsou </w:t>
      </w:r>
      <w:r w:rsidRPr="008723A8">
        <w:rPr>
          <w:rFonts w:ascii="Calibri Light" w:hAnsi="Calibri Light" w:cs="Calibri Light"/>
          <w:color w:val="13576B"/>
          <w:sz w:val="20"/>
        </w:rPr>
        <w:t>k dispozici v souboru xls přiloženém na webových stránkách ČBA Hypomonitoru</w:t>
      </w:r>
      <w:r w:rsidR="00E16BD3">
        <w:rPr>
          <w:rFonts w:ascii="Calibri Light" w:hAnsi="Calibri Light" w:cs="Calibri Light"/>
          <w:color w:val="13576B"/>
          <w:sz w:val="20"/>
        </w:rPr>
        <w:t>. V</w:t>
      </w:r>
      <w:r w:rsidR="00E16BD3" w:rsidRPr="00E16BD3">
        <w:rPr>
          <w:rFonts w:ascii="Calibri Light" w:hAnsi="Calibri Light" w:cs="Calibri Light"/>
          <w:color w:val="13576B"/>
          <w:sz w:val="20"/>
        </w:rPr>
        <w:t>ýhled do konce roku</w:t>
      </w:r>
      <w:r w:rsidR="00E16BD3">
        <w:rPr>
          <w:rFonts w:ascii="Calibri Light" w:hAnsi="Calibri Light" w:cs="Calibri Light"/>
          <w:color w:val="13576B"/>
          <w:sz w:val="20"/>
        </w:rPr>
        <w:t xml:space="preserve"> (fcst)</w:t>
      </w:r>
      <w:r w:rsidR="00E16BD3" w:rsidRPr="00E16BD3">
        <w:rPr>
          <w:rFonts w:ascii="Calibri Light" w:hAnsi="Calibri Light" w:cs="Calibri Light"/>
          <w:color w:val="13576B"/>
          <w:sz w:val="20"/>
        </w:rPr>
        <w:t xml:space="preserve"> je momentový – vychází z aktuálního trendu, nikoli z modelové predikce.</w:t>
      </w:r>
    </w:p>
    <w:p w14:paraId="50F3BD64" w14:textId="77777777" w:rsidR="0033440C" w:rsidRDefault="0033440C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67028DE4" w14:textId="753DB133" w:rsidR="00582221" w:rsidRDefault="00582221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506126">
        <w:rPr>
          <w:rFonts w:ascii="Calibri" w:hAnsi="Calibri" w:cs="Calibri"/>
          <w:b/>
          <w:color w:val="13576B"/>
          <w:sz w:val="23"/>
          <w:szCs w:val="23"/>
        </w:rPr>
        <w:t>7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>
        <w:rPr>
          <w:rFonts w:ascii="Calibri" w:hAnsi="Calibri" w:cs="Calibri"/>
          <w:b/>
          <w:color w:val="13576B"/>
          <w:sz w:val="23"/>
          <w:szCs w:val="23"/>
        </w:rPr>
        <w:t>Rozložení nových hypotečních úvěrů podle účelu</w:t>
      </w:r>
    </w:p>
    <w:p w14:paraId="6D87A84C" w14:textId="2DA05868" w:rsidR="00582221" w:rsidRDefault="00E77326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>
        <w:rPr>
          <w:rFonts w:ascii="Calibri Light" w:hAnsi="Calibri Light" w:cs="Calibri Light"/>
          <w:noProof/>
          <w:color w:val="13576B"/>
          <w:sz w:val="20"/>
        </w:rPr>
        <w:drawing>
          <wp:inline distT="0" distB="0" distL="0" distR="0" wp14:anchorId="53255057" wp14:editId="05EB6C14">
            <wp:extent cx="6359715" cy="1891094"/>
            <wp:effectExtent l="0" t="0" r="3175" b="0"/>
            <wp:docPr id="21696857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695" cy="1903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D7AF75" w14:textId="77777777" w:rsidR="00582221" w:rsidRDefault="00582221" w:rsidP="00582221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r w:rsidRPr="002F4CBD">
        <w:rPr>
          <w:rFonts w:ascii="Calibri Light" w:hAnsi="Calibri Light" w:cs="Calibri Light"/>
          <w:color w:val="13576B"/>
          <w:sz w:val="20"/>
        </w:rPr>
        <w:t>ČBA</w:t>
      </w:r>
      <w:r>
        <w:rPr>
          <w:rFonts w:ascii="Calibri Light" w:hAnsi="Calibri Light" w:cs="Calibri Light"/>
          <w:color w:val="13576B"/>
          <w:sz w:val="20"/>
        </w:rPr>
        <w:t xml:space="preserve"> Hypomonitor</w:t>
      </w:r>
    </w:p>
    <w:p w14:paraId="5303965F" w14:textId="4D0A9CAE" w:rsidR="0033440C" w:rsidRPr="00616069" w:rsidRDefault="00582221" w:rsidP="00582221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>
        <w:rPr>
          <w:rFonts w:ascii="Calibri Light" w:hAnsi="Calibri Light" w:cs="Calibri Light"/>
          <w:color w:val="13576B"/>
          <w:sz w:val="20"/>
        </w:rPr>
        <w:t xml:space="preserve">Poznámka: Poslední údaj představuje průměr za posledních 12 měsíců. </w:t>
      </w:r>
    </w:p>
    <w:bookmarkEnd w:id="6"/>
    <w:p w14:paraId="045825E8" w14:textId="77777777" w:rsidR="00801B60" w:rsidRDefault="00801B60" w:rsidP="002A5D11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22ED378A" w14:textId="017879D6" w:rsidR="006C53A0" w:rsidRPr="00616069" w:rsidRDefault="006C53A0" w:rsidP="007F41A0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17B780" w14:textId="3B9498AC" w:rsidR="007F41A0" w:rsidRPr="00616069" w:rsidRDefault="007F41A0" w:rsidP="007F41A0">
      <w:pPr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ČBA zveřejňuje souhrnné statistiky za celý bankovní trh</w:t>
      </w:r>
    </w:p>
    <w:p w14:paraId="55E76E82" w14:textId="019F3D7D" w:rsidR="007F41A0" w:rsidRPr="00616069" w:rsidRDefault="007F41A0" w:rsidP="007F41A0">
      <w:pPr>
        <w:rPr>
          <w:rFonts w:ascii="Calibri" w:hAnsi="Calibri" w:cs="Calibri"/>
          <w:b/>
          <w:bCs/>
          <w:sz w:val="22"/>
          <w:szCs w:val="22"/>
        </w:rPr>
      </w:pPr>
      <w:r w:rsidRPr="00616069">
        <w:rPr>
          <w:rFonts w:ascii="Calibri" w:hAnsi="Calibri" w:cs="Calibri"/>
          <w:sz w:val="22"/>
          <w:szCs w:val="22"/>
        </w:rPr>
        <w:lastRenderedPageBreak/>
        <w:t xml:space="preserve">Česká bankovní asociace zveřejňuje ve spolupráci s členskými bankami nové souhrnné statistiky z trhu bydlení. Jde především o objemy a počty nově poskytnutých a refinancovaných hypoték a příslušnou úrokovou sazbu. Tyto statistiky publikuje ČBA v agregované podobě za celý bankovní sektor na pravidelné bázi vždy zhruba v polovině měsíce. Šetření se účastní všechny tuzemské banky a stavební spořitelny poskytující v ČR hypotéky. Data jsou dostupná od ledna roku 2020 v přiloženém souboru na stránkách </w:t>
      </w:r>
      <w:hyperlink r:id="rId38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www.cbaonline.cz</w:t>
        </w:r>
      </w:hyperlink>
      <w:r w:rsidR="004674AA" w:rsidRPr="0061606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616069">
        <w:rPr>
          <w:rFonts w:ascii="Calibri" w:hAnsi="Calibri" w:cs="Calibri"/>
          <w:sz w:val="22"/>
          <w:szCs w:val="22"/>
        </w:rPr>
        <w:t>kde lze také příslušné statistiky najít zvlášť pro banky a stavební spořitelny. Výše uvedené hodnoty jsou pro sektor jako celek</w:t>
      </w:r>
      <w:r w:rsidR="004674AA" w:rsidRPr="00616069">
        <w:rPr>
          <w:rFonts w:ascii="Calibri" w:hAnsi="Calibri" w:cs="Calibri"/>
          <w:sz w:val="22"/>
          <w:szCs w:val="22"/>
        </w:rPr>
        <w:t>, které lze v jednoduch</w:t>
      </w:r>
      <w:r w:rsidR="004C593C">
        <w:rPr>
          <w:rFonts w:ascii="Calibri" w:hAnsi="Calibri" w:cs="Calibri"/>
          <w:sz w:val="22"/>
          <w:szCs w:val="22"/>
        </w:rPr>
        <w:t>é</w:t>
      </w:r>
      <w:r w:rsidR="004674AA" w:rsidRPr="00616069">
        <w:rPr>
          <w:rFonts w:ascii="Calibri" w:hAnsi="Calibri" w:cs="Calibri"/>
          <w:sz w:val="22"/>
          <w:szCs w:val="22"/>
        </w:rPr>
        <w:t xml:space="preserve"> grafické podobě sledovat také na stránkách </w:t>
      </w:r>
      <w:hyperlink r:id="rId39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cbamonitor.cz</w:t>
        </w:r>
      </w:hyperlink>
      <w:r w:rsidRPr="00616069">
        <w:rPr>
          <w:rFonts w:ascii="Calibri" w:hAnsi="Calibri" w:cs="Calibri"/>
          <w:sz w:val="22"/>
          <w:szCs w:val="22"/>
        </w:rPr>
        <w:t>.</w:t>
      </w:r>
      <w:r w:rsidRPr="00616069">
        <w:rPr>
          <w:rFonts w:ascii="Calibri" w:hAnsi="Calibri" w:cs="Calibri"/>
          <w:i/>
          <w:iCs/>
          <w:sz w:val="20"/>
        </w:rPr>
        <w:t xml:space="preserve"> </w:t>
      </w:r>
    </w:p>
    <w:p w14:paraId="3F99F9FA" w14:textId="6DA0884C" w:rsidR="007F41A0" w:rsidRPr="00616069" w:rsidRDefault="007F41A0" w:rsidP="003417B4">
      <w:pPr>
        <w:rPr>
          <w:rFonts w:ascii="Calibri" w:hAnsi="Calibri" w:cs="Calibri"/>
          <w:sz w:val="22"/>
          <w:szCs w:val="22"/>
        </w:rPr>
      </w:pPr>
    </w:p>
    <w:p w14:paraId="4AE260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146C6D89" w14:textId="77777777" w:rsidR="0028530F" w:rsidRPr="00B04FE2" w:rsidRDefault="004975FD" w:rsidP="00CA3B41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i/>
          <w:i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5DA650" wp14:editId="15515F89">
                <wp:simplePos x="0" y="0"/>
                <wp:positionH relativeFrom="margin">
                  <wp:align>center</wp:align>
                </wp:positionH>
                <wp:positionV relativeFrom="paragraph">
                  <wp:posOffset>282527</wp:posOffset>
                </wp:positionV>
                <wp:extent cx="6574790" cy="467550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4675505"/>
                        </a:xfrm>
                        <a:prstGeom prst="rect">
                          <a:avLst/>
                        </a:prstGeom>
                        <a:solidFill>
                          <a:srgbClr val="13576B">
                            <a:alpha val="83922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681E4" w14:textId="20B4FCBA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Metodika ČBA Hypomonitoru</w:t>
                            </w:r>
                          </w:p>
                          <w:p w14:paraId="7401467C" w14:textId="77777777" w:rsidR="00414AD4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1021EABD" w14:textId="16015784" w:rsidR="0001227F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ČBA Hypomonitor </w:t>
                            </w:r>
                            <w:r w:rsidR="00FB47D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rozděluje poskytnuté hypoteční úvěry 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bank a stavebních spořitelen</w:t>
                            </w:r>
                            <w:r w:rsidR="00B426A2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domácnostem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do několika kategorií tak, aby byly rozlišeny nové úvěry od refinancovaných či interních refixací</w:t>
                            </w:r>
                            <w:r w:rsidR="000B70C8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Nové úvěry jsou 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pak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vykazovány v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kategoriích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dle účelu úvěru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:</w:t>
                            </w:r>
                          </w:p>
                          <w:p w14:paraId="58E707E8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3227247A" w14:textId="11714118" w:rsidR="0001227F" w:rsidRPr="00616069" w:rsidRDefault="00E818C3" w:rsidP="00E818C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1.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Nové úvěry</w:t>
                            </w:r>
                          </w:p>
                          <w:p w14:paraId="22AF3257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Jsou úvěry, jejichž celý objem poprvé vstupuje do ekonomiky. Do této kategorie nepatří konsolidace úvěrů anebo refinancování úvěrů. Dělí se do tří kategorií:</w:t>
                            </w:r>
                          </w:p>
                          <w:p w14:paraId="362AFB2A" w14:textId="77777777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Nákup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9F23FA5" w14:textId="6EE96893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Výstavba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včetně rekonstrukce nemovitosti </w:t>
                            </w:r>
                          </w:p>
                          <w:p w14:paraId="4D80580F" w14:textId="11E0715F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Ostatní nová ujednání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podílu, atp.</w:t>
                            </w:r>
                          </w:p>
                          <w:p w14:paraId="4FBF1D5A" w14:textId="77777777" w:rsidR="0001227F" w:rsidRPr="00616069" w:rsidRDefault="0001227F" w:rsidP="0001227F">
                            <w:pPr>
                              <w:spacing w:line="276" w:lineRule="auto"/>
                              <w:ind w:left="708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71D5E0BB" w14:textId="7D112C27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2.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Refinancované úvěry z jiné finanční instituce</w:t>
                            </w:r>
                          </w:p>
                          <w:p w14:paraId="351B5A60" w14:textId="0B5DCBB6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vznikly refinancováním jednoho nebo více úvěrů z jiné finanční instituce než </w:t>
                            </w:r>
                            <w:r w:rsidR="00973197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té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vykazující. Bez ohledu na výši refinancované částky a bez ohledu na výši případného navýšení se celková výše nově vzniklého úvěru vykazuje do této kategorie. </w:t>
                            </w:r>
                          </w:p>
                          <w:p w14:paraId="7566D2D6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04B36444" w14:textId="4F20B25F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3.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Navýšené anebo interně refinancované úvěry</w:t>
                            </w:r>
                          </w:p>
                          <w:p w14:paraId="711A3661" w14:textId="2A271010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již byly </w:t>
                            </w:r>
                            <w:r w:rsidR="00647A7A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v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předchozí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vykazované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období součástí portfolia vykazujícího subjektu, a ve vykazovaném období u nich došlo k některé z následujících změn:</w:t>
                            </w:r>
                          </w:p>
                          <w:p w14:paraId="4A6B00C0" w14:textId="77777777" w:rsidR="00E818C3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navýšení sjednané částky </w:t>
                            </w:r>
                          </w:p>
                          <w:p w14:paraId="44682079" w14:textId="72C23671" w:rsidR="0001227F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došlo k takovým změnám, že původní úvěr byl v rámci vykazujícího subjektu refinancován/převeden na nový úvěr.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de</w:t>
                            </w:r>
                            <w:r w:rsidR="00CD28EC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tak o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skutečně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novou smlouvu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nikoli např. jen </w:t>
                            </w:r>
                            <w:r w:rsidR="007B79F6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nové ujednání v rámci refi</w:t>
                            </w:r>
                            <w:r w:rsidR="000F02C1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xace 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stávající smlouvy. Proto je objem takových úvěru ve statistice ČBA nižší oproti „ostatním novým ujednáním“ ve statistice České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árodní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b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anky.</w:t>
                            </w:r>
                          </w:p>
                          <w:p w14:paraId="1FAF8B9B" w14:textId="4C474A58" w:rsidR="006F08E1" w:rsidRPr="00616069" w:rsidRDefault="006F08E1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65FC0189" w14:textId="1B58C64B" w:rsidR="006F08E1" w:rsidRPr="00616069" w:rsidRDefault="001F49EA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Data pro ČBA Hypomonitor poskytují následující banky a stavební spořitelny: Air Bank, Česká spořitelna, ČSOB, ČSOB Stavební spořitelna, Fio banka, Hypoteční banka, Komerční banka, mBank, Modrá pyramida, MONETA Money Bank, MONETA Stavební spořitelna, Oberbank, </w:t>
                            </w:r>
                            <w:r w:rsidR="003E1AAB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Partners Banka,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Raiffeisen stavební spořitelna, Raiffeisenbank, Stavební spořitelna České spořitelny, UniCredit Bank.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DA65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22.25pt;width:517.7pt;height:368.1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" fillcolor="#13576b" stroked="f">
                <v:fill opacity="54998f"/>
                <v:textbox>
                  <w:txbxContent>
                    <w:p w14:paraId="523681E4" w14:textId="20B4FCBA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Metodika ČBA Hypomonitoru</w:t>
                      </w:r>
                    </w:p>
                    <w:p w14:paraId="7401467C" w14:textId="77777777" w:rsidR="00414AD4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</w:p>
                    <w:p w14:paraId="1021EABD" w14:textId="16015784" w:rsidR="0001227F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ČBA Hypomonitor </w:t>
                      </w:r>
                      <w:r w:rsidR="00FB47D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rozděluje poskytnuté hypoteční úvěry 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bank a stavebních spořitelen</w:t>
                      </w:r>
                      <w:r w:rsidR="00B426A2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domácnostem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do několika kategorií tak, aby byly rozlišeny nové úvěry od refinancovaných či interních refixací</w:t>
                      </w:r>
                      <w:r w:rsidR="000B70C8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Nové úvěry jsou 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pak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vykazovány v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kategoriích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dle účelu úvěru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:</w:t>
                      </w:r>
                    </w:p>
                    <w:p w14:paraId="58E707E8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3227247A" w14:textId="11714118" w:rsidR="0001227F" w:rsidRPr="00616069" w:rsidRDefault="00E818C3" w:rsidP="00E818C3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1.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Nové úvěry</w:t>
                      </w:r>
                    </w:p>
                    <w:p w14:paraId="22AF3257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Jsou úvěry, jejichž celý objem poprvé vstupuje do ekonomiky. Do této kategorie nepatří konsolidace úvěrů anebo refinancování úvěrů. Dělí se do tří kategorií:</w:t>
                      </w:r>
                    </w:p>
                    <w:p w14:paraId="362AFB2A" w14:textId="77777777" w:rsidR="0001227F" w:rsidRPr="00616069" w:rsidRDefault="0001227F" w:rsidP="00E818C3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Nákup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</w:t>
                      </w:r>
                    </w:p>
                    <w:p w14:paraId="29F23FA5" w14:textId="6EE96893" w:rsidR="0001227F" w:rsidRPr="00616069" w:rsidRDefault="0001227F" w:rsidP="00E818C3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Výstavba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včetně rekonstrukce nemovitosti </w:t>
                      </w:r>
                    </w:p>
                    <w:p w14:paraId="4D80580F" w14:textId="11E0715F" w:rsidR="0001227F" w:rsidRPr="00616069" w:rsidRDefault="0001227F" w:rsidP="00E818C3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Ostatní nová ujednání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podílu, atp.</w:t>
                      </w:r>
                    </w:p>
                    <w:p w14:paraId="4FBF1D5A" w14:textId="77777777" w:rsidR="0001227F" w:rsidRPr="00616069" w:rsidRDefault="0001227F" w:rsidP="0001227F">
                      <w:pPr>
                        <w:spacing w:line="276" w:lineRule="auto"/>
                        <w:ind w:left="708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71D5E0BB" w14:textId="7D112C27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2.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Refinancované úvěry z jiné finanční instituce</w:t>
                      </w:r>
                    </w:p>
                    <w:p w14:paraId="351B5A60" w14:textId="0B5DCBB6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vznikly refinancováním jednoho nebo více úvěrů z jiné finanční instituce než </w:t>
                      </w:r>
                      <w:r w:rsidR="00973197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té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vykazující. Bez ohledu na výši refinancované částky a bez ohledu na výši případného navýšení se celková výše nově vzniklého úvěru vykazuje do této kategorie. </w:t>
                      </w:r>
                    </w:p>
                    <w:p w14:paraId="7566D2D6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04B36444" w14:textId="4F20B25F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3.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Navýšené anebo interně refinancované úvěry</w:t>
                      </w:r>
                    </w:p>
                    <w:p w14:paraId="711A3661" w14:textId="2A271010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již byly </w:t>
                      </w:r>
                      <w:r w:rsidR="00647A7A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v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předchozí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vykazované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období součástí portfolia vykazujícího subjektu, a ve vykazovaném období u nich došlo k některé z následujících změn:</w:t>
                      </w:r>
                    </w:p>
                    <w:p w14:paraId="4A6B00C0" w14:textId="77777777" w:rsidR="00E818C3" w:rsidRPr="00616069" w:rsidRDefault="0001227F" w:rsidP="0001227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navýšení sjednané částky </w:t>
                      </w:r>
                    </w:p>
                    <w:p w14:paraId="44682079" w14:textId="72C23671" w:rsidR="0001227F" w:rsidRPr="00616069" w:rsidRDefault="0001227F" w:rsidP="0001227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došlo k takovým změnám, že původní úvěr byl v rámci vykazujícího subjektu refinancován/převeden na nový úvěr.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de</w:t>
                      </w:r>
                      <w:r w:rsidR="00CD28EC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tak o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skutečně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novou smlouvu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nikoli např. jen </w:t>
                      </w:r>
                      <w:r w:rsidR="007B79F6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nové ujednání v rámci refi</w:t>
                      </w:r>
                      <w:r w:rsidR="000F02C1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xace 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stávající smlouvy. Proto je objem takových úvěru ve statistice ČBA nižší oproti „ostatním novým ujednáním“ ve statistice České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árodní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b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anky.</w:t>
                      </w:r>
                    </w:p>
                    <w:p w14:paraId="1FAF8B9B" w14:textId="4C474A58" w:rsidR="006F08E1" w:rsidRPr="00616069" w:rsidRDefault="006F08E1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65FC0189" w14:textId="1B58C64B" w:rsidR="006F08E1" w:rsidRPr="00616069" w:rsidRDefault="001F49EA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Data pro ČBA Hypomonitor poskytují následující banky a stavební spořitelny: Air Bank, Česká spořitelna, ČSOB, ČSOB Stavební spořitelna, Fio banka, Hypoteční banka, Komerční banka, mBank, Modrá pyramida, MONETA Money Bank, MONETA Stavební spořitelna, Oberbank, </w:t>
                      </w:r>
                      <w:r w:rsidR="003E1AAB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Partners Banka,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Raiffeisen stavební spořitelna, Raiffeisenbank, Stavební spořitelna České spořitelny, UniCredit Bank.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Mkatabulky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7"/>
        <w:gridCol w:w="3384"/>
      </w:tblGrid>
      <w:tr w:rsidR="0028530F" w:rsidRPr="00D80B55" w14:paraId="4825E599" w14:textId="77777777" w:rsidTr="001B1140">
        <w:trPr>
          <w:trHeight w:val="1364"/>
        </w:trPr>
        <w:tc>
          <w:tcPr>
            <w:tcW w:w="6817" w:type="dxa"/>
            <w:shd w:val="clear" w:color="auto" w:fill="13576B"/>
          </w:tcPr>
          <w:p w14:paraId="1EB2DC0A" w14:textId="77777777" w:rsidR="0028530F" w:rsidRPr="00D80B55" w:rsidRDefault="0028530F" w:rsidP="001B1140">
            <w:pPr>
              <w:pStyle w:val="CBANadpisvTABULCE"/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color w:val="FFFFFF" w:themeColor="background1"/>
                <w:szCs w:val="18"/>
              </w:rPr>
              <w:t>O České bankovní asociaci</w:t>
            </w:r>
          </w:p>
          <w:p w14:paraId="4EB0391C" w14:textId="376AE2CD" w:rsidR="0028530F" w:rsidRPr="00D80B55" w:rsidRDefault="0028530F" w:rsidP="001B1140">
            <w:pPr>
              <w:rPr>
                <w:rFonts w:cs="Arial"/>
                <w:color w:val="FFFFFF" w:themeColor="background1"/>
                <w:sz w:val="22"/>
              </w:rPr>
            </w:pPr>
            <w:r w:rsidRPr="00D80B55">
              <w:rPr>
                <w:rFonts w:cs="Arial"/>
                <w:color w:val="FFFFFF" w:themeColor="background1"/>
              </w:rPr>
              <w:t>Česká bankovní asociace (ČBA) je dobrovolné sdružení 3</w:t>
            </w:r>
            <w:r>
              <w:rPr>
                <w:rFonts w:cs="Arial"/>
                <w:color w:val="FFFFFF" w:themeColor="background1"/>
              </w:rPr>
              <w:t>3</w:t>
            </w:r>
            <w:r w:rsidRPr="00D80B55">
              <w:rPr>
                <w:rFonts w:cs="Arial"/>
                <w:color w:val="FFFFFF" w:themeColor="background1"/>
              </w:rPr>
              <w:t xml:space="preserve"> bank, které v ČR působí a reprezentuje tak 99 % trhu. </w:t>
            </w:r>
            <w:r>
              <w:rPr>
                <w:rFonts w:cs="Arial"/>
                <w:color w:val="FFFFFF" w:themeColor="background1"/>
              </w:rPr>
              <w:t>Více než</w:t>
            </w:r>
            <w:r w:rsidRPr="00D80B55">
              <w:rPr>
                <w:rFonts w:cs="Arial"/>
                <w:color w:val="FFFFFF" w:themeColor="background1"/>
              </w:rPr>
              <w:t xml:space="preserve"> 30 let podporuje nejen rozvoj bankovního sektoru, ale i celé ekonomiky a všeobecné finanční gramotnosti. ČBA je členem Evropské bankovní federace (EBF).</w:t>
            </w:r>
          </w:p>
          <w:p w14:paraId="598BB9F7" w14:textId="77777777" w:rsidR="0028530F" w:rsidRPr="00D80B55" w:rsidRDefault="0028530F" w:rsidP="001B1140">
            <w:pPr>
              <w:pStyle w:val="CBAodstavecvTABULCE"/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color w:val="FFFFFF" w:themeColor="background1"/>
                <w:szCs w:val="18"/>
              </w:rPr>
              <w:t xml:space="preserve">Více informací na </w:t>
            </w:r>
            <w:r w:rsidRPr="00D80B55">
              <w:rPr>
                <w:rFonts w:cs="Arial"/>
                <w:color w:val="FFFFFF" w:themeColor="background1"/>
                <w:szCs w:val="18"/>
                <w:u w:val="single"/>
              </w:rPr>
              <w:t>www.cbaonline.cz.</w:t>
            </w:r>
            <w:r w:rsidRPr="00D80B55">
              <w:rPr>
                <w:rFonts w:cs="Arial"/>
                <w:color w:val="A9936D"/>
                <w:szCs w:val="18"/>
              </w:rPr>
              <w:t xml:space="preserve"> </w:t>
            </w:r>
          </w:p>
        </w:tc>
        <w:tc>
          <w:tcPr>
            <w:tcW w:w="3384" w:type="dxa"/>
            <w:shd w:val="clear" w:color="auto" w:fill="A9936D"/>
            <w:vAlign w:val="center"/>
          </w:tcPr>
          <w:p w14:paraId="606A2DEB" w14:textId="77777777" w:rsidR="0028530F" w:rsidRPr="00D80B55" w:rsidRDefault="0028530F" w:rsidP="001B1140">
            <w:pPr>
              <w:pStyle w:val="CBAodstavecvTABULCE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D80B55">
              <w:rPr>
                <w:rFonts w:cs="Arial"/>
                <w:b/>
                <w:bCs/>
                <w:color w:val="FFFFFF" w:themeColor="background1"/>
                <w:szCs w:val="18"/>
              </w:rPr>
              <w:t xml:space="preserve">                Dotazy posílejte na</w:t>
            </w:r>
          </w:p>
          <w:p w14:paraId="64706D81" w14:textId="77777777" w:rsidR="0028530F" w:rsidRPr="00D80B55" w:rsidRDefault="0028530F" w:rsidP="001B1140">
            <w:pPr>
              <w:pStyle w:val="CBAodstavecvTABULCE"/>
              <w:jc w:val="center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b/>
                <w:bCs/>
                <w:color w:val="FFFFFF" w:themeColor="background1"/>
                <w:szCs w:val="18"/>
              </w:rPr>
              <w:t>radek.salsa@cbaonline.cz</w:t>
            </w:r>
          </w:p>
        </w:tc>
      </w:tr>
    </w:tbl>
    <w:p w14:paraId="79952D08" w14:textId="7B44AB4C" w:rsidR="00C42F00" w:rsidRPr="00B04FE2" w:rsidRDefault="00C42F00" w:rsidP="00CA3B41">
      <w:pPr>
        <w:rPr>
          <w:rFonts w:ascii="Calibri" w:hAnsi="Calibri" w:cs="Calibri"/>
          <w:sz w:val="22"/>
          <w:szCs w:val="22"/>
        </w:rPr>
      </w:pPr>
    </w:p>
    <w:sectPr w:rsidR="00C42F00" w:rsidRPr="00B04FE2" w:rsidSect="00606031">
      <w:type w:val="continuous"/>
      <w:pgSz w:w="11906" w:h="16838"/>
      <w:pgMar w:top="2552" w:right="849" w:bottom="1560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617B" w14:textId="77777777" w:rsidR="00877C57" w:rsidRPr="00616069" w:rsidRDefault="00877C57" w:rsidP="00F573F1">
      <w:r w:rsidRPr="00616069">
        <w:separator/>
      </w:r>
    </w:p>
  </w:endnote>
  <w:endnote w:type="continuationSeparator" w:id="0">
    <w:p w14:paraId="0B947694" w14:textId="77777777" w:rsidR="00877C57" w:rsidRPr="00616069" w:rsidRDefault="00877C57" w:rsidP="00F573F1">
      <w:r w:rsidRPr="006160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6304" w14:textId="77777777" w:rsidR="00286C92" w:rsidRDefault="00286C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6907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2EB97C" w14:textId="697C5AC2" w:rsidR="001E31AB" w:rsidRPr="00616069" w:rsidRDefault="001E31AB">
            <w:pPr>
              <w:pStyle w:val="Zpat"/>
              <w:jc w:val="right"/>
            </w:pPr>
            <w:r w:rsidRPr="00616069">
              <w:rPr>
                <w:rFonts w:ascii="Calibri" w:hAnsi="Calibri"/>
                <w:noProof/>
                <w:szCs w:val="18"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7B2A8544" wp14:editId="09B386F6">
                  <wp:simplePos x="0" y="0"/>
                  <wp:positionH relativeFrom="column">
                    <wp:posOffset>-540385</wp:posOffset>
                  </wp:positionH>
                  <wp:positionV relativeFrom="paragraph">
                    <wp:posOffset>-365760</wp:posOffset>
                  </wp:positionV>
                  <wp:extent cx="3042285" cy="701040"/>
                  <wp:effectExtent l="0" t="0" r="5715" b="0"/>
                  <wp:wrapNone/>
                  <wp:docPr id="141395810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09" t="94992" r="61095" b="-1544"/>
                          <a:stretch/>
                        </pic:blipFill>
                        <pic:spPr bwMode="auto">
                          <a:xfrm>
                            <a:off x="0" y="0"/>
                            <a:ext cx="3042285" cy="70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6069">
              <w:rPr>
                <w:rFonts w:ascii="Calibri" w:hAnsi="Calibri"/>
                <w:szCs w:val="18"/>
              </w:rPr>
              <w:t xml:space="preserve">Stránka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PAGE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1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  <w:r w:rsidRPr="00616069">
              <w:rPr>
                <w:rFonts w:ascii="Calibri" w:hAnsi="Calibri"/>
                <w:szCs w:val="18"/>
              </w:rPr>
              <w:t xml:space="preserve"> z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NUMPAGES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2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300EB588" w14:textId="24FF51AB" w:rsidR="0065124E" w:rsidRPr="00616069" w:rsidRDefault="0065124E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F84D" w14:textId="77777777" w:rsidR="00286C92" w:rsidRDefault="00286C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81EAC" w14:textId="77777777" w:rsidR="00877C57" w:rsidRPr="00616069" w:rsidRDefault="00877C57" w:rsidP="00F573F1">
      <w:r w:rsidRPr="00616069">
        <w:separator/>
      </w:r>
    </w:p>
  </w:footnote>
  <w:footnote w:type="continuationSeparator" w:id="0">
    <w:p w14:paraId="2CBC589F" w14:textId="77777777" w:rsidR="00877C57" w:rsidRPr="00616069" w:rsidRDefault="00877C57" w:rsidP="00F573F1">
      <w:r w:rsidRPr="00616069">
        <w:continuationSeparator/>
      </w:r>
    </w:p>
  </w:footnote>
  <w:footnote w:id="1">
    <w:p w14:paraId="424F67E3" w14:textId="77777777" w:rsidR="00DE43B5" w:rsidRPr="00616069" w:rsidRDefault="00DE43B5" w:rsidP="00DE43B5">
      <w:pPr>
        <w:pStyle w:val="Textpoznpodarou"/>
        <w:rPr>
          <w:rFonts w:ascii="Calibri" w:hAnsi="Calibri" w:cs="Calibri"/>
          <w:sz w:val="17"/>
          <w:szCs w:val="17"/>
        </w:rPr>
      </w:pPr>
      <w:r w:rsidRPr="00616069">
        <w:rPr>
          <w:rStyle w:val="Znakapoznpodarou"/>
          <w:rFonts w:ascii="Calibri" w:hAnsi="Calibri" w:cs="Calibri"/>
          <w:sz w:val="17"/>
          <w:szCs w:val="17"/>
        </w:rPr>
        <w:footnoteRef/>
      </w:r>
      <w:r w:rsidRPr="00616069">
        <w:rPr>
          <w:rFonts w:ascii="Calibri" w:hAnsi="Calibri" w:cs="Calibri"/>
          <w:sz w:val="17"/>
          <w:szCs w:val="17"/>
        </w:rPr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 xml:space="preserve">Jedná se především o dlouholeté úrokové swapy (interest rate swap, IRS), které odráží cenu peněz v delších splatnostech, například </w:t>
      </w:r>
      <w:r>
        <w:rPr>
          <w:rFonts w:asciiTheme="majorHAnsi" w:hAnsiTheme="majorHAnsi" w:cstheme="majorHAnsi"/>
          <w:sz w:val="17"/>
          <w:szCs w:val="17"/>
        </w:rPr>
        <w:t>2</w:t>
      </w:r>
      <w:r w:rsidRPr="00616069">
        <w:rPr>
          <w:rFonts w:asciiTheme="majorHAnsi" w:hAnsiTheme="majorHAnsi" w:cstheme="majorHAnsi"/>
          <w:sz w:val="17"/>
          <w:szCs w:val="17"/>
        </w:rPr>
        <w:t xml:space="preserve"> až 10 let.</w:t>
      </w:r>
    </w:p>
  </w:footnote>
  <w:footnote w:id="2">
    <w:p w14:paraId="3F408451" w14:textId="77777777" w:rsidR="00952AEF" w:rsidRPr="00952AEF" w:rsidRDefault="00952AEF" w:rsidP="00952AEF">
      <w:pPr>
        <w:pStyle w:val="Textpoznpodarou"/>
        <w:rPr>
          <w:rFonts w:asciiTheme="majorHAnsi" w:hAnsiTheme="majorHAnsi" w:cstheme="majorHAnsi"/>
          <w:sz w:val="17"/>
          <w:szCs w:val="17"/>
        </w:rPr>
      </w:pPr>
      <w:r w:rsidRPr="00616069">
        <w:rPr>
          <w:rStyle w:val="Znakapoznpodarou"/>
        </w:rPr>
        <w:footnoteRef/>
      </w:r>
      <w:r w:rsidRPr="00616069"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Tabulka je k dispozici v souboru xls přiloženém na webových stránkách ČBA Hypomonitoru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6084" w14:textId="77777777" w:rsidR="00286C92" w:rsidRDefault="00286C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4485" w14:textId="25969B31" w:rsidR="0065124E" w:rsidRPr="00616069" w:rsidRDefault="00A86552">
    <w:pPr>
      <w:pStyle w:val="Zhlav"/>
    </w:pPr>
    <w:r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DCC7344" wp14:editId="2F0B41DB">
              <wp:simplePos x="0" y="0"/>
              <wp:positionH relativeFrom="margin">
                <wp:posOffset>2228694</wp:posOffset>
              </wp:positionH>
              <wp:positionV relativeFrom="paragraph">
                <wp:posOffset>214019</wp:posOffset>
              </wp:positionV>
              <wp:extent cx="2941608" cy="140462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60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86907" w14:textId="2F34569C" w:rsidR="00A86552" w:rsidRPr="00616069" w:rsidRDefault="00A86552" w:rsidP="00095055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C73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75.5pt;margin-top:16.85pt;width:231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Be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" filled="f" stroked="f">
              <v:textbox style="mso-fit-shape-to-text:t">
                <w:txbxContent>
                  <w:p w14:paraId="24986907" w14:textId="2F34569C" w:rsidR="00A86552" w:rsidRPr="00616069" w:rsidRDefault="00A86552" w:rsidP="00095055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44C66" w:rsidRPr="0061606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97D896D" wp14:editId="7A6FB449">
          <wp:simplePos x="0" y="0"/>
          <wp:positionH relativeFrom="column">
            <wp:posOffset>-52705</wp:posOffset>
          </wp:positionH>
          <wp:positionV relativeFrom="paragraph">
            <wp:posOffset>29845</wp:posOffset>
          </wp:positionV>
          <wp:extent cx="2209800" cy="778510"/>
          <wp:effectExtent l="0" t="0" r="0" b="2540"/>
          <wp:wrapNone/>
          <wp:docPr id="126084487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720" w:rsidRPr="00616069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A1D7AA9" wp14:editId="7A7B0A01">
          <wp:simplePos x="0" y="0"/>
          <wp:positionH relativeFrom="column">
            <wp:posOffset>3985895</wp:posOffset>
          </wp:positionH>
          <wp:positionV relativeFrom="paragraph">
            <wp:posOffset>-8255</wp:posOffset>
          </wp:positionV>
          <wp:extent cx="2943225" cy="243840"/>
          <wp:effectExtent l="0" t="0" r="9525" b="3810"/>
          <wp:wrapNone/>
          <wp:docPr id="123728711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92" r="61096" b="2729"/>
                  <a:stretch/>
                </pic:blipFill>
                <pic:spPr bwMode="auto">
                  <a:xfrm>
                    <a:off x="0" y="0"/>
                    <a:ext cx="2943225" cy="243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720"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26DE097" wp14:editId="755E40ED">
              <wp:simplePos x="0" y="0"/>
              <wp:positionH relativeFrom="margin">
                <wp:posOffset>5238115</wp:posOffset>
              </wp:positionH>
              <wp:positionV relativeFrom="paragraph">
                <wp:posOffset>153035</wp:posOffset>
              </wp:positionV>
              <wp:extent cx="1239520" cy="140462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E40D2" w14:textId="77777777" w:rsidR="002D4720" w:rsidRPr="00616069" w:rsidRDefault="002D4720" w:rsidP="002D472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  <w:t>KOMENTÁŘ</w:t>
                          </w:r>
                        </w:p>
                        <w:p w14:paraId="0A69756F" w14:textId="1BD9D3ED" w:rsidR="002D4720" w:rsidRPr="00616069" w:rsidRDefault="007F41A0" w:rsidP="002138C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 xml:space="preserve">            </w:t>
                          </w:r>
                          <w:r w:rsidR="00095055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16</w:t>
                          </w:r>
                          <w:r w:rsidR="00105BE4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</w:t>
                          </w:r>
                          <w:r w:rsidR="009C040E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.202</w:t>
                          </w:r>
                          <w:r w:rsidR="00095055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6DE097" id="_x0000_s1028" type="#_x0000_t202" style="position:absolute;left:0;text-align:left;margin-left:412.45pt;margin-top:12.05pt;width:97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" filled="f" stroked="f">
              <v:textbox style="mso-fit-shape-to-text:t">
                <w:txbxContent>
                  <w:p w14:paraId="15DE40D2" w14:textId="77777777" w:rsidR="002D4720" w:rsidRPr="00616069" w:rsidRDefault="002D4720" w:rsidP="002D472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  <w:t>KOMENTÁŘ</w:t>
                    </w:r>
                  </w:p>
                  <w:p w14:paraId="0A69756F" w14:textId="1BD9D3ED" w:rsidR="002D4720" w:rsidRPr="00616069" w:rsidRDefault="007F41A0" w:rsidP="002138C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 xml:space="preserve">            </w:t>
                    </w:r>
                    <w:r w:rsidR="00095055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16</w:t>
                    </w:r>
                    <w:r w:rsidR="00105BE4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</w:t>
                    </w:r>
                    <w:r w:rsidR="009C040E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.202</w:t>
                    </w:r>
                    <w:r w:rsidR="00095055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1145" w14:textId="77777777" w:rsidR="00286C92" w:rsidRDefault="00286C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9A1"/>
    <w:multiLevelType w:val="hybridMultilevel"/>
    <w:tmpl w:val="28EA1BD4"/>
    <w:lvl w:ilvl="0" w:tplc="F8600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B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04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2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A2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5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E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09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3A48A1"/>
    <w:multiLevelType w:val="hybridMultilevel"/>
    <w:tmpl w:val="6E121294"/>
    <w:lvl w:ilvl="0" w:tplc="BEC070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3AD"/>
    <w:multiLevelType w:val="hybridMultilevel"/>
    <w:tmpl w:val="EB828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5A72"/>
    <w:multiLevelType w:val="hybridMultilevel"/>
    <w:tmpl w:val="4222A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1D76"/>
    <w:multiLevelType w:val="hybridMultilevel"/>
    <w:tmpl w:val="6D527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2C3C"/>
    <w:multiLevelType w:val="hybridMultilevel"/>
    <w:tmpl w:val="163C6E8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206309C"/>
    <w:multiLevelType w:val="hybridMultilevel"/>
    <w:tmpl w:val="855E01C6"/>
    <w:lvl w:ilvl="0" w:tplc="9F3AF1E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92919"/>
    <w:multiLevelType w:val="hybridMultilevel"/>
    <w:tmpl w:val="2B56FAFE"/>
    <w:lvl w:ilvl="0" w:tplc="698817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A4083"/>
    <w:multiLevelType w:val="hybridMultilevel"/>
    <w:tmpl w:val="3C584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42FC1"/>
    <w:multiLevelType w:val="hybridMultilevel"/>
    <w:tmpl w:val="C296AEE6"/>
    <w:lvl w:ilvl="0" w:tplc="B2560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A4577"/>
    <w:multiLevelType w:val="hybridMultilevel"/>
    <w:tmpl w:val="553EAC9E"/>
    <w:lvl w:ilvl="0" w:tplc="8B20C2B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343A30"/>
    <w:multiLevelType w:val="hybridMultilevel"/>
    <w:tmpl w:val="26BEA028"/>
    <w:lvl w:ilvl="0" w:tplc="886E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0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2B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E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2A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2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E2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45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85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BB14DD"/>
    <w:multiLevelType w:val="hybridMultilevel"/>
    <w:tmpl w:val="17628C18"/>
    <w:lvl w:ilvl="0" w:tplc="E50CA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C6437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B6EF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9EEF1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2ECDB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A6A64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85E48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5F0E1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8AD3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2C5A2A51"/>
    <w:multiLevelType w:val="hybridMultilevel"/>
    <w:tmpl w:val="633C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47CE5"/>
    <w:multiLevelType w:val="hybridMultilevel"/>
    <w:tmpl w:val="F91C69CC"/>
    <w:lvl w:ilvl="0" w:tplc="AA889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B2B28"/>
    <w:multiLevelType w:val="hybridMultilevel"/>
    <w:tmpl w:val="A77CB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70A7D"/>
    <w:multiLevelType w:val="hybridMultilevel"/>
    <w:tmpl w:val="E76A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A024A"/>
    <w:multiLevelType w:val="hybridMultilevel"/>
    <w:tmpl w:val="123AA014"/>
    <w:lvl w:ilvl="0" w:tplc="A1E66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A3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20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47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0A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88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86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45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EB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8A7633"/>
    <w:multiLevelType w:val="hybridMultilevel"/>
    <w:tmpl w:val="A68019BE"/>
    <w:lvl w:ilvl="0" w:tplc="D6BA4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9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E8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23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66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ED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48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0A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09105EB"/>
    <w:multiLevelType w:val="hybridMultilevel"/>
    <w:tmpl w:val="25882682"/>
    <w:lvl w:ilvl="0" w:tplc="E586E02A">
      <w:start w:val="1"/>
      <w:numFmt w:val="decimal"/>
      <w:lvlText w:val="%1."/>
      <w:lvlJc w:val="left"/>
      <w:pPr>
        <w:ind w:left="410" w:hanging="360"/>
      </w:pPr>
    </w:lvl>
    <w:lvl w:ilvl="1" w:tplc="08090019">
      <w:start w:val="1"/>
      <w:numFmt w:val="lowerLetter"/>
      <w:lvlText w:val="%2."/>
      <w:lvlJc w:val="left"/>
      <w:pPr>
        <w:ind w:left="1130" w:hanging="360"/>
      </w:pPr>
    </w:lvl>
    <w:lvl w:ilvl="2" w:tplc="0809001B">
      <w:start w:val="1"/>
      <w:numFmt w:val="lowerRoman"/>
      <w:lvlText w:val="%3."/>
      <w:lvlJc w:val="right"/>
      <w:pPr>
        <w:ind w:left="1850" w:hanging="180"/>
      </w:pPr>
    </w:lvl>
    <w:lvl w:ilvl="3" w:tplc="0809000F">
      <w:start w:val="1"/>
      <w:numFmt w:val="decimal"/>
      <w:lvlText w:val="%4."/>
      <w:lvlJc w:val="left"/>
      <w:pPr>
        <w:ind w:left="2570" w:hanging="360"/>
      </w:pPr>
    </w:lvl>
    <w:lvl w:ilvl="4" w:tplc="08090019">
      <w:start w:val="1"/>
      <w:numFmt w:val="lowerLetter"/>
      <w:lvlText w:val="%5."/>
      <w:lvlJc w:val="left"/>
      <w:pPr>
        <w:ind w:left="3290" w:hanging="360"/>
      </w:pPr>
    </w:lvl>
    <w:lvl w:ilvl="5" w:tplc="0809001B">
      <w:start w:val="1"/>
      <w:numFmt w:val="lowerRoman"/>
      <w:lvlText w:val="%6."/>
      <w:lvlJc w:val="right"/>
      <w:pPr>
        <w:ind w:left="4010" w:hanging="180"/>
      </w:pPr>
    </w:lvl>
    <w:lvl w:ilvl="6" w:tplc="0809000F">
      <w:start w:val="1"/>
      <w:numFmt w:val="decimal"/>
      <w:lvlText w:val="%7."/>
      <w:lvlJc w:val="left"/>
      <w:pPr>
        <w:ind w:left="4730" w:hanging="360"/>
      </w:pPr>
    </w:lvl>
    <w:lvl w:ilvl="7" w:tplc="08090019">
      <w:start w:val="1"/>
      <w:numFmt w:val="lowerLetter"/>
      <w:lvlText w:val="%8."/>
      <w:lvlJc w:val="left"/>
      <w:pPr>
        <w:ind w:left="5450" w:hanging="360"/>
      </w:pPr>
    </w:lvl>
    <w:lvl w:ilvl="8" w:tplc="0809001B">
      <w:start w:val="1"/>
      <w:numFmt w:val="lowerRoman"/>
      <w:lvlText w:val="%9."/>
      <w:lvlJc w:val="right"/>
      <w:pPr>
        <w:ind w:left="6170" w:hanging="180"/>
      </w:pPr>
    </w:lvl>
  </w:abstractNum>
  <w:abstractNum w:abstractNumId="20" w15:restartNumberingAfterBreak="0">
    <w:nsid w:val="606843DC"/>
    <w:multiLevelType w:val="hybridMultilevel"/>
    <w:tmpl w:val="3E42D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1214D"/>
    <w:multiLevelType w:val="hybridMultilevel"/>
    <w:tmpl w:val="9F34024E"/>
    <w:lvl w:ilvl="0" w:tplc="ADB0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29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8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AB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2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EB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A9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C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23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7613CD2"/>
    <w:multiLevelType w:val="hybridMultilevel"/>
    <w:tmpl w:val="0CF0BB3A"/>
    <w:lvl w:ilvl="0" w:tplc="15082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6C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0C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AB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CC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2058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1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CF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EA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65577F"/>
    <w:multiLevelType w:val="hybridMultilevel"/>
    <w:tmpl w:val="BBB23B48"/>
    <w:lvl w:ilvl="0" w:tplc="AC68A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AC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87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0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6B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A0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60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62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4D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8FD055A"/>
    <w:multiLevelType w:val="hybridMultilevel"/>
    <w:tmpl w:val="F490C33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EA509EA"/>
    <w:multiLevelType w:val="hybridMultilevel"/>
    <w:tmpl w:val="14E0161E"/>
    <w:lvl w:ilvl="0" w:tplc="9F3AF1E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137D7D"/>
    <w:multiLevelType w:val="hybridMultilevel"/>
    <w:tmpl w:val="F856C146"/>
    <w:lvl w:ilvl="0" w:tplc="F37A31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DE4F03"/>
    <w:multiLevelType w:val="hybridMultilevel"/>
    <w:tmpl w:val="D458DCC2"/>
    <w:lvl w:ilvl="0" w:tplc="ABAA372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767A3"/>
    <w:multiLevelType w:val="hybridMultilevel"/>
    <w:tmpl w:val="50648AEA"/>
    <w:lvl w:ilvl="0" w:tplc="A2506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E9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C9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C9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8C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49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AC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E4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2D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9FB636A"/>
    <w:multiLevelType w:val="hybridMultilevel"/>
    <w:tmpl w:val="4454BAA0"/>
    <w:lvl w:ilvl="0" w:tplc="3A1A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F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46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AC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24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2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4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6D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6C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C2B4724"/>
    <w:multiLevelType w:val="hybridMultilevel"/>
    <w:tmpl w:val="A274A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82314">
    <w:abstractNumId w:val="3"/>
  </w:num>
  <w:num w:numId="2" w16cid:durableId="1910113698">
    <w:abstractNumId w:val="9"/>
  </w:num>
  <w:num w:numId="3" w16cid:durableId="405613309">
    <w:abstractNumId w:val="26"/>
  </w:num>
  <w:num w:numId="4" w16cid:durableId="240213499">
    <w:abstractNumId w:val="15"/>
  </w:num>
  <w:num w:numId="5" w16cid:durableId="740492638">
    <w:abstractNumId w:val="5"/>
  </w:num>
  <w:num w:numId="6" w16cid:durableId="211576891">
    <w:abstractNumId w:val="24"/>
  </w:num>
  <w:num w:numId="7" w16cid:durableId="1918248069">
    <w:abstractNumId w:val="7"/>
  </w:num>
  <w:num w:numId="8" w16cid:durableId="1159419045">
    <w:abstractNumId w:val="29"/>
  </w:num>
  <w:num w:numId="9" w16cid:durableId="1798374138">
    <w:abstractNumId w:val="6"/>
  </w:num>
  <w:num w:numId="10" w16cid:durableId="1530677457">
    <w:abstractNumId w:val="25"/>
  </w:num>
  <w:num w:numId="11" w16cid:durableId="984315201">
    <w:abstractNumId w:val="2"/>
  </w:num>
  <w:num w:numId="12" w16cid:durableId="7762198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55103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389165">
    <w:abstractNumId w:val="16"/>
  </w:num>
  <w:num w:numId="15" w16cid:durableId="1323195451">
    <w:abstractNumId w:val="13"/>
  </w:num>
  <w:num w:numId="16" w16cid:durableId="467165265">
    <w:abstractNumId w:val="10"/>
  </w:num>
  <w:num w:numId="17" w16cid:durableId="676033370">
    <w:abstractNumId w:val="12"/>
  </w:num>
  <w:num w:numId="18" w16cid:durableId="1742554342">
    <w:abstractNumId w:val="18"/>
  </w:num>
  <w:num w:numId="19" w16cid:durableId="613287013">
    <w:abstractNumId w:val="21"/>
  </w:num>
  <w:num w:numId="20" w16cid:durableId="8067070">
    <w:abstractNumId w:val="11"/>
  </w:num>
  <w:num w:numId="21" w16cid:durableId="825434180">
    <w:abstractNumId w:val="0"/>
  </w:num>
  <w:num w:numId="22" w16cid:durableId="1082681076">
    <w:abstractNumId w:val="23"/>
  </w:num>
  <w:num w:numId="23" w16cid:durableId="1901165520">
    <w:abstractNumId w:val="28"/>
  </w:num>
  <w:num w:numId="24" w16cid:durableId="1991010767">
    <w:abstractNumId w:val="22"/>
  </w:num>
  <w:num w:numId="25" w16cid:durableId="1542282676">
    <w:abstractNumId w:val="17"/>
  </w:num>
  <w:num w:numId="26" w16cid:durableId="986973659">
    <w:abstractNumId w:val="14"/>
  </w:num>
  <w:num w:numId="27" w16cid:durableId="815336034">
    <w:abstractNumId w:val="27"/>
  </w:num>
  <w:num w:numId="28" w16cid:durableId="1895651473">
    <w:abstractNumId w:val="8"/>
  </w:num>
  <w:num w:numId="29" w16cid:durableId="1858687908">
    <w:abstractNumId w:val="4"/>
  </w:num>
  <w:num w:numId="30" w16cid:durableId="1758164458">
    <w:abstractNumId w:val="20"/>
  </w:num>
  <w:num w:numId="31" w16cid:durableId="1425541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0954"/>
    <w:rsid w:val="00001C42"/>
    <w:rsid w:val="00001E72"/>
    <w:rsid w:val="0000226C"/>
    <w:rsid w:val="0000363D"/>
    <w:rsid w:val="00004596"/>
    <w:rsid w:val="00004B72"/>
    <w:rsid w:val="00005419"/>
    <w:rsid w:val="000054D2"/>
    <w:rsid w:val="00005B3F"/>
    <w:rsid w:val="00005DB1"/>
    <w:rsid w:val="00006511"/>
    <w:rsid w:val="00006C79"/>
    <w:rsid w:val="000070E2"/>
    <w:rsid w:val="00010564"/>
    <w:rsid w:val="000118C2"/>
    <w:rsid w:val="00011AF5"/>
    <w:rsid w:val="0001227F"/>
    <w:rsid w:val="00012832"/>
    <w:rsid w:val="00015933"/>
    <w:rsid w:val="000159E5"/>
    <w:rsid w:val="0001656C"/>
    <w:rsid w:val="000175B3"/>
    <w:rsid w:val="000176E6"/>
    <w:rsid w:val="000202BA"/>
    <w:rsid w:val="00020581"/>
    <w:rsid w:val="00020ED0"/>
    <w:rsid w:val="00020FE5"/>
    <w:rsid w:val="000213CC"/>
    <w:rsid w:val="000221E0"/>
    <w:rsid w:val="00023E9F"/>
    <w:rsid w:val="00024480"/>
    <w:rsid w:val="0002473E"/>
    <w:rsid w:val="00025805"/>
    <w:rsid w:val="000264B4"/>
    <w:rsid w:val="000265A3"/>
    <w:rsid w:val="00027099"/>
    <w:rsid w:val="00027B22"/>
    <w:rsid w:val="00027BAD"/>
    <w:rsid w:val="00031418"/>
    <w:rsid w:val="00031478"/>
    <w:rsid w:val="00035040"/>
    <w:rsid w:val="00036FAB"/>
    <w:rsid w:val="00037707"/>
    <w:rsid w:val="00037C17"/>
    <w:rsid w:val="00040FA4"/>
    <w:rsid w:val="00041985"/>
    <w:rsid w:val="000427B8"/>
    <w:rsid w:val="00043889"/>
    <w:rsid w:val="00043DB1"/>
    <w:rsid w:val="00044002"/>
    <w:rsid w:val="000444EA"/>
    <w:rsid w:val="000458CD"/>
    <w:rsid w:val="0004612A"/>
    <w:rsid w:val="00047DF1"/>
    <w:rsid w:val="000509DD"/>
    <w:rsid w:val="00050AF7"/>
    <w:rsid w:val="00051022"/>
    <w:rsid w:val="00051A5B"/>
    <w:rsid w:val="00052C6A"/>
    <w:rsid w:val="00053780"/>
    <w:rsid w:val="00053EE4"/>
    <w:rsid w:val="00055000"/>
    <w:rsid w:val="000559DE"/>
    <w:rsid w:val="00055CBC"/>
    <w:rsid w:val="000563EB"/>
    <w:rsid w:val="00056A4F"/>
    <w:rsid w:val="00057396"/>
    <w:rsid w:val="000606C6"/>
    <w:rsid w:val="00060D7F"/>
    <w:rsid w:val="00063DEB"/>
    <w:rsid w:val="00066F52"/>
    <w:rsid w:val="0006711A"/>
    <w:rsid w:val="00072447"/>
    <w:rsid w:val="00072DB9"/>
    <w:rsid w:val="000733AD"/>
    <w:rsid w:val="0007445A"/>
    <w:rsid w:val="00074C45"/>
    <w:rsid w:val="000752D6"/>
    <w:rsid w:val="00075932"/>
    <w:rsid w:val="0007638A"/>
    <w:rsid w:val="00076C37"/>
    <w:rsid w:val="000770D8"/>
    <w:rsid w:val="00080102"/>
    <w:rsid w:val="00081E35"/>
    <w:rsid w:val="00083D1A"/>
    <w:rsid w:val="000841C2"/>
    <w:rsid w:val="000842AE"/>
    <w:rsid w:val="00084CF9"/>
    <w:rsid w:val="00086094"/>
    <w:rsid w:val="00086BE0"/>
    <w:rsid w:val="0008743D"/>
    <w:rsid w:val="000900C9"/>
    <w:rsid w:val="0009101B"/>
    <w:rsid w:val="00091B3B"/>
    <w:rsid w:val="00093324"/>
    <w:rsid w:val="0009491E"/>
    <w:rsid w:val="00095055"/>
    <w:rsid w:val="0009562F"/>
    <w:rsid w:val="00097293"/>
    <w:rsid w:val="000976B9"/>
    <w:rsid w:val="00097B42"/>
    <w:rsid w:val="000A019A"/>
    <w:rsid w:val="000A0285"/>
    <w:rsid w:val="000A0ECE"/>
    <w:rsid w:val="000A16EA"/>
    <w:rsid w:val="000A2779"/>
    <w:rsid w:val="000A29DE"/>
    <w:rsid w:val="000A2C3B"/>
    <w:rsid w:val="000A3ECF"/>
    <w:rsid w:val="000A4D59"/>
    <w:rsid w:val="000A5220"/>
    <w:rsid w:val="000A549A"/>
    <w:rsid w:val="000A6481"/>
    <w:rsid w:val="000A664C"/>
    <w:rsid w:val="000B064D"/>
    <w:rsid w:val="000B083D"/>
    <w:rsid w:val="000B0992"/>
    <w:rsid w:val="000B2005"/>
    <w:rsid w:val="000B32E2"/>
    <w:rsid w:val="000B3BFA"/>
    <w:rsid w:val="000B4C8F"/>
    <w:rsid w:val="000B510F"/>
    <w:rsid w:val="000B51A4"/>
    <w:rsid w:val="000B70C8"/>
    <w:rsid w:val="000B79A4"/>
    <w:rsid w:val="000C045B"/>
    <w:rsid w:val="000C11CC"/>
    <w:rsid w:val="000C12D3"/>
    <w:rsid w:val="000C12F1"/>
    <w:rsid w:val="000C1E4E"/>
    <w:rsid w:val="000C234E"/>
    <w:rsid w:val="000C3211"/>
    <w:rsid w:val="000C4910"/>
    <w:rsid w:val="000C502F"/>
    <w:rsid w:val="000C5651"/>
    <w:rsid w:val="000C6834"/>
    <w:rsid w:val="000C78A3"/>
    <w:rsid w:val="000D011A"/>
    <w:rsid w:val="000D02A4"/>
    <w:rsid w:val="000D0E54"/>
    <w:rsid w:val="000D1749"/>
    <w:rsid w:val="000D1D61"/>
    <w:rsid w:val="000D32BB"/>
    <w:rsid w:val="000D49D0"/>
    <w:rsid w:val="000D4F26"/>
    <w:rsid w:val="000D56F1"/>
    <w:rsid w:val="000D5D2B"/>
    <w:rsid w:val="000D684D"/>
    <w:rsid w:val="000D6EF9"/>
    <w:rsid w:val="000E087A"/>
    <w:rsid w:val="000E0B50"/>
    <w:rsid w:val="000E0C43"/>
    <w:rsid w:val="000E1975"/>
    <w:rsid w:val="000E2B4E"/>
    <w:rsid w:val="000E2FCE"/>
    <w:rsid w:val="000E3B1C"/>
    <w:rsid w:val="000E42A4"/>
    <w:rsid w:val="000E4810"/>
    <w:rsid w:val="000E4ABC"/>
    <w:rsid w:val="000E563F"/>
    <w:rsid w:val="000E59CE"/>
    <w:rsid w:val="000E5F43"/>
    <w:rsid w:val="000E7D75"/>
    <w:rsid w:val="000F02C1"/>
    <w:rsid w:val="000F02FD"/>
    <w:rsid w:val="000F0342"/>
    <w:rsid w:val="000F0636"/>
    <w:rsid w:val="000F0A03"/>
    <w:rsid w:val="000F0B04"/>
    <w:rsid w:val="000F30E9"/>
    <w:rsid w:val="000F3195"/>
    <w:rsid w:val="000F426C"/>
    <w:rsid w:val="000F4318"/>
    <w:rsid w:val="000F617D"/>
    <w:rsid w:val="000F61F5"/>
    <w:rsid w:val="000F680C"/>
    <w:rsid w:val="000F70CA"/>
    <w:rsid w:val="00100269"/>
    <w:rsid w:val="001002CD"/>
    <w:rsid w:val="00100394"/>
    <w:rsid w:val="0010159F"/>
    <w:rsid w:val="00102262"/>
    <w:rsid w:val="0010268F"/>
    <w:rsid w:val="0010277A"/>
    <w:rsid w:val="00102D9A"/>
    <w:rsid w:val="00103662"/>
    <w:rsid w:val="0010371D"/>
    <w:rsid w:val="00105514"/>
    <w:rsid w:val="00105918"/>
    <w:rsid w:val="00105ACC"/>
    <w:rsid w:val="00105BE4"/>
    <w:rsid w:val="00105DB5"/>
    <w:rsid w:val="00106451"/>
    <w:rsid w:val="00106D78"/>
    <w:rsid w:val="00106F70"/>
    <w:rsid w:val="00107915"/>
    <w:rsid w:val="001102C6"/>
    <w:rsid w:val="001104C5"/>
    <w:rsid w:val="001106DD"/>
    <w:rsid w:val="00110C31"/>
    <w:rsid w:val="00110E3B"/>
    <w:rsid w:val="0011113B"/>
    <w:rsid w:val="001126B2"/>
    <w:rsid w:val="00112AA1"/>
    <w:rsid w:val="00112C5A"/>
    <w:rsid w:val="00112D3E"/>
    <w:rsid w:val="00112E70"/>
    <w:rsid w:val="0011443F"/>
    <w:rsid w:val="0011553C"/>
    <w:rsid w:val="00115D53"/>
    <w:rsid w:val="00115DDC"/>
    <w:rsid w:val="00116003"/>
    <w:rsid w:val="00116F4B"/>
    <w:rsid w:val="001177C9"/>
    <w:rsid w:val="00117860"/>
    <w:rsid w:val="001209DC"/>
    <w:rsid w:val="00120FB7"/>
    <w:rsid w:val="001226BC"/>
    <w:rsid w:val="00122810"/>
    <w:rsid w:val="00122CC4"/>
    <w:rsid w:val="0012351B"/>
    <w:rsid w:val="00123FF9"/>
    <w:rsid w:val="00124EF9"/>
    <w:rsid w:val="001253CC"/>
    <w:rsid w:val="001259D2"/>
    <w:rsid w:val="00126A7F"/>
    <w:rsid w:val="001271C2"/>
    <w:rsid w:val="00130063"/>
    <w:rsid w:val="00130359"/>
    <w:rsid w:val="001306A2"/>
    <w:rsid w:val="00131D36"/>
    <w:rsid w:val="00131E94"/>
    <w:rsid w:val="00132EE9"/>
    <w:rsid w:val="0013407D"/>
    <w:rsid w:val="001348D9"/>
    <w:rsid w:val="00134A41"/>
    <w:rsid w:val="00134F6E"/>
    <w:rsid w:val="001361CA"/>
    <w:rsid w:val="00136519"/>
    <w:rsid w:val="0013679D"/>
    <w:rsid w:val="00136825"/>
    <w:rsid w:val="00136D3A"/>
    <w:rsid w:val="00136EC9"/>
    <w:rsid w:val="00136FC5"/>
    <w:rsid w:val="00136FC7"/>
    <w:rsid w:val="00137050"/>
    <w:rsid w:val="0013716D"/>
    <w:rsid w:val="00137560"/>
    <w:rsid w:val="00140854"/>
    <w:rsid w:val="00140E10"/>
    <w:rsid w:val="001438F4"/>
    <w:rsid w:val="00143BF5"/>
    <w:rsid w:val="00143DCC"/>
    <w:rsid w:val="00144794"/>
    <w:rsid w:val="00144D53"/>
    <w:rsid w:val="00144D9A"/>
    <w:rsid w:val="00145506"/>
    <w:rsid w:val="001457AA"/>
    <w:rsid w:val="00145E7A"/>
    <w:rsid w:val="00146F46"/>
    <w:rsid w:val="0015125A"/>
    <w:rsid w:val="00151A74"/>
    <w:rsid w:val="001526EE"/>
    <w:rsid w:val="0015278B"/>
    <w:rsid w:val="0015295E"/>
    <w:rsid w:val="00152A73"/>
    <w:rsid w:val="001534F6"/>
    <w:rsid w:val="00153692"/>
    <w:rsid w:val="00154B70"/>
    <w:rsid w:val="00154EE2"/>
    <w:rsid w:val="001553F8"/>
    <w:rsid w:val="00155A3F"/>
    <w:rsid w:val="00157080"/>
    <w:rsid w:val="001570E1"/>
    <w:rsid w:val="00157C6A"/>
    <w:rsid w:val="001605B3"/>
    <w:rsid w:val="001622C2"/>
    <w:rsid w:val="00162D23"/>
    <w:rsid w:val="001633ED"/>
    <w:rsid w:val="00163F5F"/>
    <w:rsid w:val="00165DDC"/>
    <w:rsid w:val="0016769F"/>
    <w:rsid w:val="00170298"/>
    <w:rsid w:val="00170CF6"/>
    <w:rsid w:val="001715A2"/>
    <w:rsid w:val="0017388B"/>
    <w:rsid w:val="00173D31"/>
    <w:rsid w:val="0017441E"/>
    <w:rsid w:val="0017486D"/>
    <w:rsid w:val="00175839"/>
    <w:rsid w:val="00175A85"/>
    <w:rsid w:val="00175E6C"/>
    <w:rsid w:val="00175FBC"/>
    <w:rsid w:val="00176669"/>
    <w:rsid w:val="001766FF"/>
    <w:rsid w:val="00176C20"/>
    <w:rsid w:val="00176DFC"/>
    <w:rsid w:val="00177598"/>
    <w:rsid w:val="00180856"/>
    <w:rsid w:val="001808FE"/>
    <w:rsid w:val="0018097B"/>
    <w:rsid w:val="00180A13"/>
    <w:rsid w:val="00182C97"/>
    <w:rsid w:val="00183066"/>
    <w:rsid w:val="001833C7"/>
    <w:rsid w:val="00183FB4"/>
    <w:rsid w:val="00184412"/>
    <w:rsid w:val="001848B0"/>
    <w:rsid w:val="00186A72"/>
    <w:rsid w:val="001903B2"/>
    <w:rsid w:val="001906F3"/>
    <w:rsid w:val="00192933"/>
    <w:rsid w:val="001929FC"/>
    <w:rsid w:val="00195C6D"/>
    <w:rsid w:val="001961C5"/>
    <w:rsid w:val="00196F95"/>
    <w:rsid w:val="00197315"/>
    <w:rsid w:val="0019772B"/>
    <w:rsid w:val="001A05A9"/>
    <w:rsid w:val="001A2614"/>
    <w:rsid w:val="001A2623"/>
    <w:rsid w:val="001A463E"/>
    <w:rsid w:val="001A46CC"/>
    <w:rsid w:val="001A6304"/>
    <w:rsid w:val="001B1060"/>
    <w:rsid w:val="001B11F1"/>
    <w:rsid w:val="001B1467"/>
    <w:rsid w:val="001B1C5E"/>
    <w:rsid w:val="001B2B23"/>
    <w:rsid w:val="001B2E5E"/>
    <w:rsid w:val="001B3197"/>
    <w:rsid w:val="001B39D3"/>
    <w:rsid w:val="001B4DA8"/>
    <w:rsid w:val="001B59D9"/>
    <w:rsid w:val="001B5F14"/>
    <w:rsid w:val="001B6935"/>
    <w:rsid w:val="001B7154"/>
    <w:rsid w:val="001C091C"/>
    <w:rsid w:val="001C121C"/>
    <w:rsid w:val="001C150C"/>
    <w:rsid w:val="001C1FAA"/>
    <w:rsid w:val="001C2261"/>
    <w:rsid w:val="001C266E"/>
    <w:rsid w:val="001C280D"/>
    <w:rsid w:val="001C306A"/>
    <w:rsid w:val="001C49DC"/>
    <w:rsid w:val="001C6945"/>
    <w:rsid w:val="001C698F"/>
    <w:rsid w:val="001C7200"/>
    <w:rsid w:val="001C7CD3"/>
    <w:rsid w:val="001C7F88"/>
    <w:rsid w:val="001D12D6"/>
    <w:rsid w:val="001D169B"/>
    <w:rsid w:val="001D1B1C"/>
    <w:rsid w:val="001D2B76"/>
    <w:rsid w:val="001D2C14"/>
    <w:rsid w:val="001D2ECE"/>
    <w:rsid w:val="001D3292"/>
    <w:rsid w:val="001D39E5"/>
    <w:rsid w:val="001D3C90"/>
    <w:rsid w:val="001D43DB"/>
    <w:rsid w:val="001D474C"/>
    <w:rsid w:val="001D4A3B"/>
    <w:rsid w:val="001D5BB9"/>
    <w:rsid w:val="001D6B1A"/>
    <w:rsid w:val="001D7365"/>
    <w:rsid w:val="001D7DA5"/>
    <w:rsid w:val="001E15FD"/>
    <w:rsid w:val="001E1AED"/>
    <w:rsid w:val="001E27B8"/>
    <w:rsid w:val="001E31AB"/>
    <w:rsid w:val="001E3706"/>
    <w:rsid w:val="001E3B01"/>
    <w:rsid w:val="001E4032"/>
    <w:rsid w:val="001E432A"/>
    <w:rsid w:val="001E4370"/>
    <w:rsid w:val="001E4D27"/>
    <w:rsid w:val="001E5169"/>
    <w:rsid w:val="001E5571"/>
    <w:rsid w:val="001E60C5"/>
    <w:rsid w:val="001E6F5D"/>
    <w:rsid w:val="001E71FE"/>
    <w:rsid w:val="001F0819"/>
    <w:rsid w:val="001F1677"/>
    <w:rsid w:val="001F1C52"/>
    <w:rsid w:val="001F2A1F"/>
    <w:rsid w:val="001F3DF4"/>
    <w:rsid w:val="001F49EA"/>
    <w:rsid w:val="001F5CF7"/>
    <w:rsid w:val="001F64C3"/>
    <w:rsid w:val="001F6A78"/>
    <w:rsid w:val="001F6E8A"/>
    <w:rsid w:val="001F72D8"/>
    <w:rsid w:val="001F7B28"/>
    <w:rsid w:val="002010C8"/>
    <w:rsid w:val="0020111C"/>
    <w:rsid w:val="0020121A"/>
    <w:rsid w:val="00201DDA"/>
    <w:rsid w:val="002027D4"/>
    <w:rsid w:val="0020296D"/>
    <w:rsid w:val="00203021"/>
    <w:rsid w:val="00203302"/>
    <w:rsid w:val="00203A7B"/>
    <w:rsid w:val="00203F87"/>
    <w:rsid w:val="002045A5"/>
    <w:rsid w:val="0020488B"/>
    <w:rsid w:val="00204F09"/>
    <w:rsid w:val="0020667A"/>
    <w:rsid w:val="0020698C"/>
    <w:rsid w:val="00206F7E"/>
    <w:rsid w:val="00207AE7"/>
    <w:rsid w:val="00207BE5"/>
    <w:rsid w:val="00207CB1"/>
    <w:rsid w:val="002105A2"/>
    <w:rsid w:val="00210A9C"/>
    <w:rsid w:val="00211E6F"/>
    <w:rsid w:val="002128AF"/>
    <w:rsid w:val="002137B0"/>
    <w:rsid w:val="002138C0"/>
    <w:rsid w:val="002150BF"/>
    <w:rsid w:val="00215481"/>
    <w:rsid w:val="00216187"/>
    <w:rsid w:val="00216A54"/>
    <w:rsid w:val="00217881"/>
    <w:rsid w:val="0022075B"/>
    <w:rsid w:val="00221F77"/>
    <w:rsid w:val="00221FF5"/>
    <w:rsid w:val="002226C1"/>
    <w:rsid w:val="00222917"/>
    <w:rsid w:val="00222DB9"/>
    <w:rsid w:val="002244BA"/>
    <w:rsid w:val="00224E2B"/>
    <w:rsid w:val="0022581B"/>
    <w:rsid w:val="00225F51"/>
    <w:rsid w:val="0022648E"/>
    <w:rsid w:val="00226AB8"/>
    <w:rsid w:val="00226F32"/>
    <w:rsid w:val="00227ACD"/>
    <w:rsid w:val="00227C82"/>
    <w:rsid w:val="002307C1"/>
    <w:rsid w:val="0023165F"/>
    <w:rsid w:val="00231F3A"/>
    <w:rsid w:val="002328F4"/>
    <w:rsid w:val="0023390F"/>
    <w:rsid w:val="0023393E"/>
    <w:rsid w:val="0023493E"/>
    <w:rsid w:val="00235942"/>
    <w:rsid w:val="00236538"/>
    <w:rsid w:val="0023703D"/>
    <w:rsid w:val="002375B2"/>
    <w:rsid w:val="00237A71"/>
    <w:rsid w:val="00237E0B"/>
    <w:rsid w:val="00242D73"/>
    <w:rsid w:val="002443DF"/>
    <w:rsid w:val="002446E1"/>
    <w:rsid w:val="00244923"/>
    <w:rsid w:val="002472A6"/>
    <w:rsid w:val="00247512"/>
    <w:rsid w:val="00247A4D"/>
    <w:rsid w:val="00250212"/>
    <w:rsid w:val="002507F2"/>
    <w:rsid w:val="00250C73"/>
    <w:rsid w:val="00251163"/>
    <w:rsid w:val="00251393"/>
    <w:rsid w:val="0025241A"/>
    <w:rsid w:val="0025305E"/>
    <w:rsid w:val="00253D09"/>
    <w:rsid w:val="00254CA2"/>
    <w:rsid w:val="002556C2"/>
    <w:rsid w:val="00256268"/>
    <w:rsid w:val="002567A3"/>
    <w:rsid w:val="00260219"/>
    <w:rsid w:val="00260B2C"/>
    <w:rsid w:val="0026106F"/>
    <w:rsid w:val="0026210C"/>
    <w:rsid w:val="00262B7F"/>
    <w:rsid w:val="00263207"/>
    <w:rsid w:val="00264741"/>
    <w:rsid w:val="00264C92"/>
    <w:rsid w:val="0026639E"/>
    <w:rsid w:val="00266980"/>
    <w:rsid w:val="00266ACC"/>
    <w:rsid w:val="00267ACA"/>
    <w:rsid w:val="002707C5"/>
    <w:rsid w:val="00270A4E"/>
    <w:rsid w:val="00270E60"/>
    <w:rsid w:val="00270F52"/>
    <w:rsid w:val="00271563"/>
    <w:rsid w:val="00271569"/>
    <w:rsid w:val="00272177"/>
    <w:rsid w:val="002725DA"/>
    <w:rsid w:val="00274645"/>
    <w:rsid w:val="002748F6"/>
    <w:rsid w:val="00274D15"/>
    <w:rsid w:val="00275209"/>
    <w:rsid w:val="00277397"/>
    <w:rsid w:val="00277D90"/>
    <w:rsid w:val="0028055F"/>
    <w:rsid w:val="002808DB"/>
    <w:rsid w:val="00280AB4"/>
    <w:rsid w:val="00280D31"/>
    <w:rsid w:val="00280F92"/>
    <w:rsid w:val="002817B5"/>
    <w:rsid w:val="00282BE6"/>
    <w:rsid w:val="00283681"/>
    <w:rsid w:val="00284721"/>
    <w:rsid w:val="0028530F"/>
    <w:rsid w:val="002853A9"/>
    <w:rsid w:val="00285A75"/>
    <w:rsid w:val="00286C92"/>
    <w:rsid w:val="00287580"/>
    <w:rsid w:val="00290498"/>
    <w:rsid w:val="0029071C"/>
    <w:rsid w:val="00291656"/>
    <w:rsid w:val="0029179B"/>
    <w:rsid w:val="00291BE8"/>
    <w:rsid w:val="00293122"/>
    <w:rsid w:val="0029502E"/>
    <w:rsid w:val="00296021"/>
    <w:rsid w:val="0029774E"/>
    <w:rsid w:val="00297B85"/>
    <w:rsid w:val="002A0002"/>
    <w:rsid w:val="002A02A1"/>
    <w:rsid w:val="002A04EB"/>
    <w:rsid w:val="002A07F7"/>
    <w:rsid w:val="002A1748"/>
    <w:rsid w:val="002A23FA"/>
    <w:rsid w:val="002A266C"/>
    <w:rsid w:val="002A2CE3"/>
    <w:rsid w:val="002A31A1"/>
    <w:rsid w:val="002A3CF3"/>
    <w:rsid w:val="002A3F7E"/>
    <w:rsid w:val="002A4191"/>
    <w:rsid w:val="002A5D11"/>
    <w:rsid w:val="002A6290"/>
    <w:rsid w:val="002A6A60"/>
    <w:rsid w:val="002B1743"/>
    <w:rsid w:val="002B1996"/>
    <w:rsid w:val="002B35B7"/>
    <w:rsid w:val="002B3AB2"/>
    <w:rsid w:val="002B4617"/>
    <w:rsid w:val="002B4641"/>
    <w:rsid w:val="002B5069"/>
    <w:rsid w:val="002B58A5"/>
    <w:rsid w:val="002B724C"/>
    <w:rsid w:val="002C02A9"/>
    <w:rsid w:val="002C0719"/>
    <w:rsid w:val="002C179D"/>
    <w:rsid w:val="002C18CD"/>
    <w:rsid w:val="002C2C2B"/>
    <w:rsid w:val="002C30D4"/>
    <w:rsid w:val="002C47FE"/>
    <w:rsid w:val="002C513E"/>
    <w:rsid w:val="002C5B51"/>
    <w:rsid w:val="002D1376"/>
    <w:rsid w:val="002D238E"/>
    <w:rsid w:val="002D2A30"/>
    <w:rsid w:val="002D2DC7"/>
    <w:rsid w:val="002D3F94"/>
    <w:rsid w:val="002D4720"/>
    <w:rsid w:val="002D49FB"/>
    <w:rsid w:val="002D4A25"/>
    <w:rsid w:val="002D4DF8"/>
    <w:rsid w:val="002D6038"/>
    <w:rsid w:val="002E0041"/>
    <w:rsid w:val="002E1390"/>
    <w:rsid w:val="002E1AEB"/>
    <w:rsid w:val="002E1DBF"/>
    <w:rsid w:val="002E2498"/>
    <w:rsid w:val="002E3105"/>
    <w:rsid w:val="002E320D"/>
    <w:rsid w:val="002E3E1D"/>
    <w:rsid w:val="002E4CA1"/>
    <w:rsid w:val="002E4EFD"/>
    <w:rsid w:val="002E5E57"/>
    <w:rsid w:val="002E6192"/>
    <w:rsid w:val="002E6312"/>
    <w:rsid w:val="002E6C7C"/>
    <w:rsid w:val="002F0118"/>
    <w:rsid w:val="002F0F08"/>
    <w:rsid w:val="002F1752"/>
    <w:rsid w:val="002F1AFD"/>
    <w:rsid w:val="002F20C7"/>
    <w:rsid w:val="002F2F90"/>
    <w:rsid w:val="002F2FAA"/>
    <w:rsid w:val="002F4373"/>
    <w:rsid w:val="002F43DE"/>
    <w:rsid w:val="002F477C"/>
    <w:rsid w:val="002F4A74"/>
    <w:rsid w:val="002F4CBD"/>
    <w:rsid w:val="002F4CDA"/>
    <w:rsid w:val="002F506A"/>
    <w:rsid w:val="002F52DA"/>
    <w:rsid w:val="002F557F"/>
    <w:rsid w:val="002F6432"/>
    <w:rsid w:val="002F6A6D"/>
    <w:rsid w:val="003012B9"/>
    <w:rsid w:val="0030161E"/>
    <w:rsid w:val="00301915"/>
    <w:rsid w:val="003028DC"/>
    <w:rsid w:val="003029D1"/>
    <w:rsid w:val="0030348A"/>
    <w:rsid w:val="00303B0E"/>
    <w:rsid w:val="003045DD"/>
    <w:rsid w:val="00304727"/>
    <w:rsid w:val="0030613B"/>
    <w:rsid w:val="00306844"/>
    <w:rsid w:val="003077DD"/>
    <w:rsid w:val="003111F3"/>
    <w:rsid w:val="003131EC"/>
    <w:rsid w:val="003134AE"/>
    <w:rsid w:val="00313DD8"/>
    <w:rsid w:val="003142AD"/>
    <w:rsid w:val="003143A4"/>
    <w:rsid w:val="00314AB6"/>
    <w:rsid w:val="00314CF6"/>
    <w:rsid w:val="00315F32"/>
    <w:rsid w:val="00316BAA"/>
    <w:rsid w:val="00317242"/>
    <w:rsid w:val="00320811"/>
    <w:rsid w:val="00322BF9"/>
    <w:rsid w:val="00324743"/>
    <w:rsid w:val="00324769"/>
    <w:rsid w:val="00324B27"/>
    <w:rsid w:val="003253AF"/>
    <w:rsid w:val="003258C4"/>
    <w:rsid w:val="00327407"/>
    <w:rsid w:val="00327CB6"/>
    <w:rsid w:val="00330A92"/>
    <w:rsid w:val="003315E9"/>
    <w:rsid w:val="0033298A"/>
    <w:rsid w:val="00333B31"/>
    <w:rsid w:val="00334257"/>
    <w:rsid w:val="0033440C"/>
    <w:rsid w:val="00335341"/>
    <w:rsid w:val="00335B88"/>
    <w:rsid w:val="00336412"/>
    <w:rsid w:val="00336CA6"/>
    <w:rsid w:val="00337157"/>
    <w:rsid w:val="003373BE"/>
    <w:rsid w:val="00340F22"/>
    <w:rsid w:val="003411DB"/>
    <w:rsid w:val="003417B4"/>
    <w:rsid w:val="00341D86"/>
    <w:rsid w:val="003423A7"/>
    <w:rsid w:val="003426EE"/>
    <w:rsid w:val="0034310E"/>
    <w:rsid w:val="00344213"/>
    <w:rsid w:val="003444F4"/>
    <w:rsid w:val="00344B88"/>
    <w:rsid w:val="00344EBB"/>
    <w:rsid w:val="00345842"/>
    <w:rsid w:val="0034612F"/>
    <w:rsid w:val="00346684"/>
    <w:rsid w:val="003472AF"/>
    <w:rsid w:val="00347FD9"/>
    <w:rsid w:val="003508FE"/>
    <w:rsid w:val="00351369"/>
    <w:rsid w:val="0035167B"/>
    <w:rsid w:val="003522BD"/>
    <w:rsid w:val="00352D4E"/>
    <w:rsid w:val="003543D2"/>
    <w:rsid w:val="0035493D"/>
    <w:rsid w:val="00356528"/>
    <w:rsid w:val="00356C7A"/>
    <w:rsid w:val="00356FF7"/>
    <w:rsid w:val="0035718C"/>
    <w:rsid w:val="003600A2"/>
    <w:rsid w:val="003608A1"/>
    <w:rsid w:val="003608FD"/>
    <w:rsid w:val="0036420C"/>
    <w:rsid w:val="00364A11"/>
    <w:rsid w:val="00366057"/>
    <w:rsid w:val="00366A68"/>
    <w:rsid w:val="003677E2"/>
    <w:rsid w:val="0037051F"/>
    <w:rsid w:val="003707E0"/>
    <w:rsid w:val="00370F35"/>
    <w:rsid w:val="003725F0"/>
    <w:rsid w:val="003732C7"/>
    <w:rsid w:val="0037346E"/>
    <w:rsid w:val="003739F0"/>
    <w:rsid w:val="00373FC2"/>
    <w:rsid w:val="003742A8"/>
    <w:rsid w:val="003749A5"/>
    <w:rsid w:val="00375CF8"/>
    <w:rsid w:val="00376918"/>
    <w:rsid w:val="00376F07"/>
    <w:rsid w:val="003775A3"/>
    <w:rsid w:val="00380502"/>
    <w:rsid w:val="00380788"/>
    <w:rsid w:val="003809CD"/>
    <w:rsid w:val="00381524"/>
    <w:rsid w:val="00381FAF"/>
    <w:rsid w:val="00383D10"/>
    <w:rsid w:val="00384170"/>
    <w:rsid w:val="003847A3"/>
    <w:rsid w:val="00385683"/>
    <w:rsid w:val="00386E7F"/>
    <w:rsid w:val="00387749"/>
    <w:rsid w:val="00387CB8"/>
    <w:rsid w:val="0039010C"/>
    <w:rsid w:val="00390C7F"/>
    <w:rsid w:val="00390E5C"/>
    <w:rsid w:val="00391AED"/>
    <w:rsid w:val="00391C4B"/>
    <w:rsid w:val="00391FA6"/>
    <w:rsid w:val="00393046"/>
    <w:rsid w:val="00394F6F"/>
    <w:rsid w:val="00395026"/>
    <w:rsid w:val="003952ED"/>
    <w:rsid w:val="00395549"/>
    <w:rsid w:val="00395F29"/>
    <w:rsid w:val="00396610"/>
    <w:rsid w:val="00396DEC"/>
    <w:rsid w:val="00396F9D"/>
    <w:rsid w:val="00397430"/>
    <w:rsid w:val="003A0443"/>
    <w:rsid w:val="003A0F5E"/>
    <w:rsid w:val="003A1E08"/>
    <w:rsid w:val="003A1F79"/>
    <w:rsid w:val="003A39B8"/>
    <w:rsid w:val="003A424B"/>
    <w:rsid w:val="003A46D3"/>
    <w:rsid w:val="003A542D"/>
    <w:rsid w:val="003A5636"/>
    <w:rsid w:val="003A5765"/>
    <w:rsid w:val="003A623D"/>
    <w:rsid w:val="003A68A3"/>
    <w:rsid w:val="003A76ED"/>
    <w:rsid w:val="003B0281"/>
    <w:rsid w:val="003B0433"/>
    <w:rsid w:val="003B04C1"/>
    <w:rsid w:val="003B2C84"/>
    <w:rsid w:val="003B4E23"/>
    <w:rsid w:val="003B4F01"/>
    <w:rsid w:val="003B505C"/>
    <w:rsid w:val="003B519E"/>
    <w:rsid w:val="003B5E6F"/>
    <w:rsid w:val="003B7AE1"/>
    <w:rsid w:val="003C0B1B"/>
    <w:rsid w:val="003C1195"/>
    <w:rsid w:val="003C12B6"/>
    <w:rsid w:val="003C185F"/>
    <w:rsid w:val="003C2D27"/>
    <w:rsid w:val="003C373E"/>
    <w:rsid w:val="003C3D7F"/>
    <w:rsid w:val="003C41DD"/>
    <w:rsid w:val="003C4DE7"/>
    <w:rsid w:val="003C5F2E"/>
    <w:rsid w:val="003C6326"/>
    <w:rsid w:val="003C6710"/>
    <w:rsid w:val="003C6D87"/>
    <w:rsid w:val="003C7600"/>
    <w:rsid w:val="003D079C"/>
    <w:rsid w:val="003D0D7D"/>
    <w:rsid w:val="003D164F"/>
    <w:rsid w:val="003D18F0"/>
    <w:rsid w:val="003D224C"/>
    <w:rsid w:val="003D2390"/>
    <w:rsid w:val="003D2EFA"/>
    <w:rsid w:val="003D3759"/>
    <w:rsid w:val="003D45D4"/>
    <w:rsid w:val="003D57E2"/>
    <w:rsid w:val="003D613B"/>
    <w:rsid w:val="003D684B"/>
    <w:rsid w:val="003D749F"/>
    <w:rsid w:val="003D7D9E"/>
    <w:rsid w:val="003E0FC6"/>
    <w:rsid w:val="003E14DF"/>
    <w:rsid w:val="003E1AAB"/>
    <w:rsid w:val="003E1F42"/>
    <w:rsid w:val="003E3584"/>
    <w:rsid w:val="003E382B"/>
    <w:rsid w:val="003E393C"/>
    <w:rsid w:val="003E3ACA"/>
    <w:rsid w:val="003E3DCB"/>
    <w:rsid w:val="003E4312"/>
    <w:rsid w:val="003E4820"/>
    <w:rsid w:val="003E48FA"/>
    <w:rsid w:val="003E4ADE"/>
    <w:rsid w:val="003E5891"/>
    <w:rsid w:val="003E7ED0"/>
    <w:rsid w:val="003F021E"/>
    <w:rsid w:val="003F03DF"/>
    <w:rsid w:val="003F1189"/>
    <w:rsid w:val="003F12BC"/>
    <w:rsid w:val="003F12D5"/>
    <w:rsid w:val="003F159E"/>
    <w:rsid w:val="003F1CB9"/>
    <w:rsid w:val="003F2050"/>
    <w:rsid w:val="003F37CA"/>
    <w:rsid w:val="003F3922"/>
    <w:rsid w:val="003F470D"/>
    <w:rsid w:val="003F512D"/>
    <w:rsid w:val="003F56AD"/>
    <w:rsid w:val="003F6A8D"/>
    <w:rsid w:val="003F6E69"/>
    <w:rsid w:val="003F7F31"/>
    <w:rsid w:val="004009B6"/>
    <w:rsid w:val="00400E23"/>
    <w:rsid w:val="004015AF"/>
    <w:rsid w:val="00401CD3"/>
    <w:rsid w:val="00401F79"/>
    <w:rsid w:val="00402778"/>
    <w:rsid w:val="00402D75"/>
    <w:rsid w:val="00402FA1"/>
    <w:rsid w:val="00403744"/>
    <w:rsid w:val="0040474A"/>
    <w:rsid w:val="00404E84"/>
    <w:rsid w:val="00405D7E"/>
    <w:rsid w:val="00406F40"/>
    <w:rsid w:val="00407FB6"/>
    <w:rsid w:val="00410561"/>
    <w:rsid w:val="004120D6"/>
    <w:rsid w:val="00412186"/>
    <w:rsid w:val="00412763"/>
    <w:rsid w:val="00412A2D"/>
    <w:rsid w:val="00413258"/>
    <w:rsid w:val="0041355F"/>
    <w:rsid w:val="00414181"/>
    <w:rsid w:val="0041427D"/>
    <w:rsid w:val="00414AD4"/>
    <w:rsid w:val="0041521E"/>
    <w:rsid w:val="004164DD"/>
    <w:rsid w:val="00416763"/>
    <w:rsid w:val="0041745A"/>
    <w:rsid w:val="004179B3"/>
    <w:rsid w:val="004207D5"/>
    <w:rsid w:val="00422B81"/>
    <w:rsid w:val="00422E44"/>
    <w:rsid w:val="004231FB"/>
    <w:rsid w:val="00423374"/>
    <w:rsid w:val="00423E0D"/>
    <w:rsid w:val="004257BB"/>
    <w:rsid w:val="00425883"/>
    <w:rsid w:val="00425A84"/>
    <w:rsid w:val="00425B3B"/>
    <w:rsid w:val="0042602B"/>
    <w:rsid w:val="004279BD"/>
    <w:rsid w:val="00430F3C"/>
    <w:rsid w:val="004325D3"/>
    <w:rsid w:val="00435176"/>
    <w:rsid w:val="00436F5C"/>
    <w:rsid w:val="004371EE"/>
    <w:rsid w:val="00437589"/>
    <w:rsid w:val="0043780A"/>
    <w:rsid w:val="00440A53"/>
    <w:rsid w:val="00442170"/>
    <w:rsid w:val="0044352D"/>
    <w:rsid w:val="004444EE"/>
    <w:rsid w:val="004445E7"/>
    <w:rsid w:val="0044491F"/>
    <w:rsid w:val="00444BDA"/>
    <w:rsid w:val="00445609"/>
    <w:rsid w:val="004464CF"/>
    <w:rsid w:val="00446AAD"/>
    <w:rsid w:val="004476C2"/>
    <w:rsid w:val="00451368"/>
    <w:rsid w:val="004522D4"/>
    <w:rsid w:val="00452B0E"/>
    <w:rsid w:val="00453473"/>
    <w:rsid w:val="004555E6"/>
    <w:rsid w:val="00456A9B"/>
    <w:rsid w:val="00460772"/>
    <w:rsid w:val="00461E79"/>
    <w:rsid w:val="00462717"/>
    <w:rsid w:val="004641CC"/>
    <w:rsid w:val="00464E64"/>
    <w:rsid w:val="00465403"/>
    <w:rsid w:val="00465526"/>
    <w:rsid w:val="0046651A"/>
    <w:rsid w:val="004674AA"/>
    <w:rsid w:val="004714FB"/>
    <w:rsid w:val="004718BD"/>
    <w:rsid w:val="00471B86"/>
    <w:rsid w:val="00471D6F"/>
    <w:rsid w:val="00472210"/>
    <w:rsid w:val="00473C52"/>
    <w:rsid w:val="00474524"/>
    <w:rsid w:val="00475D5E"/>
    <w:rsid w:val="00475F13"/>
    <w:rsid w:val="0047661B"/>
    <w:rsid w:val="00476A2A"/>
    <w:rsid w:val="00477094"/>
    <w:rsid w:val="0047757F"/>
    <w:rsid w:val="00477AF5"/>
    <w:rsid w:val="00477CEB"/>
    <w:rsid w:val="004803D6"/>
    <w:rsid w:val="00480B75"/>
    <w:rsid w:val="00483136"/>
    <w:rsid w:val="0048354D"/>
    <w:rsid w:val="00483FA6"/>
    <w:rsid w:val="0048489E"/>
    <w:rsid w:val="004852E3"/>
    <w:rsid w:val="00485ADC"/>
    <w:rsid w:val="00486858"/>
    <w:rsid w:val="00486C1D"/>
    <w:rsid w:val="004904F6"/>
    <w:rsid w:val="00490505"/>
    <w:rsid w:val="004908DB"/>
    <w:rsid w:val="00490E1A"/>
    <w:rsid w:val="00491DB6"/>
    <w:rsid w:val="00492636"/>
    <w:rsid w:val="004935C1"/>
    <w:rsid w:val="00493A20"/>
    <w:rsid w:val="00493C14"/>
    <w:rsid w:val="004951FE"/>
    <w:rsid w:val="00495C6A"/>
    <w:rsid w:val="004969D8"/>
    <w:rsid w:val="00496A0D"/>
    <w:rsid w:val="0049704E"/>
    <w:rsid w:val="004975FD"/>
    <w:rsid w:val="004979BF"/>
    <w:rsid w:val="004A1724"/>
    <w:rsid w:val="004A2349"/>
    <w:rsid w:val="004A31A7"/>
    <w:rsid w:val="004A435C"/>
    <w:rsid w:val="004A44DB"/>
    <w:rsid w:val="004A4D8B"/>
    <w:rsid w:val="004A4E6A"/>
    <w:rsid w:val="004A53BB"/>
    <w:rsid w:val="004A5428"/>
    <w:rsid w:val="004A5819"/>
    <w:rsid w:val="004A5C0E"/>
    <w:rsid w:val="004A5D84"/>
    <w:rsid w:val="004A6CE0"/>
    <w:rsid w:val="004A724B"/>
    <w:rsid w:val="004A74F4"/>
    <w:rsid w:val="004B1175"/>
    <w:rsid w:val="004B1442"/>
    <w:rsid w:val="004B1766"/>
    <w:rsid w:val="004B19DD"/>
    <w:rsid w:val="004B2E1A"/>
    <w:rsid w:val="004B3889"/>
    <w:rsid w:val="004B3E0D"/>
    <w:rsid w:val="004B3F04"/>
    <w:rsid w:val="004B441B"/>
    <w:rsid w:val="004B4571"/>
    <w:rsid w:val="004B4DE5"/>
    <w:rsid w:val="004B51F9"/>
    <w:rsid w:val="004B564F"/>
    <w:rsid w:val="004B6A7C"/>
    <w:rsid w:val="004B7ECE"/>
    <w:rsid w:val="004C04EA"/>
    <w:rsid w:val="004C0763"/>
    <w:rsid w:val="004C0A56"/>
    <w:rsid w:val="004C0AC1"/>
    <w:rsid w:val="004C10E7"/>
    <w:rsid w:val="004C23FB"/>
    <w:rsid w:val="004C3997"/>
    <w:rsid w:val="004C423D"/>
    <w:rsid w:val="004C4C1F"/>
    <w:rsid w:val="004C50BF"/>
    <w:rsid w:val="004C53CB"/>
    <w:rsid w:val="004C593C"/>
    <w:rsid w:val="004C629B"/>
    <w:rsid w:val="004C693B"/>
    <w:rsid w:val="004C751A"/>
    <w:rsid w:val="004C7E8B"/>
    <w:rsid w:val="004D0B15"/>
    <w:rsid w:val="004D0EBA"/>
    <w:rsid w:val="004D114D"/>
    <w:rsid w:val="004D14D3"/>
    <w:rsid w:val="004D18AC"/>
    <w:rsid w:val="004D23AD"/>
    <w:rsid w:val="004D3E58"/>
    <w:rsid w:val="004D4156"/>
    <w:rsid w:val="004D4333"/>
    <w:rsid w:val="004D6531"/>
    <w:rsid w:val="004E011D"/>
    <w:rsid w:val="004E0D15"/>
    <w:rsid w:val="004E1AC6"/>
    <w:rsid w:val="004E2434"/>
    <w:rsid w:val="004E26E2"/>
    <w:rsid w:val="004E3070"/>
    <w:rsid w:val="004E32FB"/>
    <w:rsid w:val="004E3F0C"/>
    <w:rsid w:val="004E4B5B"/>
    <w:rsid w:val="004E5779"/>
    <w:rsid w:val="004E5E51"/>
    <w:rsid w:val="004E642B"/>
    <w:rsid w:val="004E668A"/>
    <w:rsid w:val="004E7E07"/>
    <w:rsid w:val="004F32E1"/>
    <w:rsid w:val="004F34F2"/>
    <w:rsid w:val="004F3D9B"/>
    <w:rsid w:val="004F4632"/>
    <w:rsid w:val="004F46CE"/>
    <w:rsid w:val="004F46D6"/>
    <w:rsid w:val="004F5C1C"/>
    <w:rsid w:val="004F62FF"/>
    <w:rsid w:val="004F69E2"/>
    <w:rsid w:val="004F6CFB"/>
    <w:rsid w:val="004F6EA8"/>
    <w:rsid w:val="004F70A7"/>
    <w:rsid w:val="005019FE"/>
    <w:rsid w:val="00502072"/>
    <w:rsid w:val="005027C2"/>
    <w:rsid w:val="00502C28"/>
    <w:rsid w:val="00503D06"/>
    <w:rsid w:val="00504229"/>
    <w:rsid w:val="00504370"/>
    <w:rsid w:val="00505434"/>
    <w:rsid w:val="00506126"/>
    <w:rsid w:val="005063FD"/>
    <w:rsid w:val="0050674F"/>
    <w:rsid w:val="005069C2"/>
    <w:rsid w:val="005070EC"/>
    <w:rsid w:val="00507747"/>
    <w:rsid w:val="00510452"/>
    <w:rsid w:val="00510AD7"/>
    <w:rsid w:val="00510EB1"/>
    <w:rsid w:val="0051164C"/>
    <w:rsid w:val="00512176"/>
    <w:rsid w:val="005122E9"/>
    <w:rsid w:val="005137DB"/>
    <w:rsid w:val="005142AC"/>
    <w:rsid w:val="0051437A"/>
    <w:rsid w:val="0051449F"/>
    <w:rsid w:val="0051508B"/>
    <w:rsid w:val="0051570C"/>
    <w:rsid w:val="00515A05"/>
    <w:rsid w:val="00515ECA"/>
    <w:rsid w:val="00516007"/>
    <w:rsid w:val="00517111"/>
    <w:rsid w:val="005203B7"/>
    <w:rsid w:val="005208BD"/>
    <w:rsid w:val="0052161C"/>
    <w:rsid w:val="00521FF6"/>
    <w:rsid w:val="0052347F"/>
    <w:rsid w:val="00527260"/>
    <w:rsid w:val="00527681"/>
    <w:rsid w:val="0052771A"/>
    <w:rsid w:val="00527FC5"/>
    <w:rsid w:val="00530245"/>
    <w:rsid w:val="00530967"/>
    <w:rsid w:val="00530DE6"/>
    <w:rsid w:val="00531FAE"/>
    <w:rsid w:val="00532041"/>
    <w:rsid w:val="005343BA"/>
    <w:rsid w:val="0053589B"/>
    <w:rsid w:val="00535CDB"/>
    <w:rsid w:val="00535E49"/>
    <w:rsid w:val="0053659F"/>
    <w:rsid w:val="00537D18"/>
    <w:rsid w:val="00537D95"/>
    <w:rsid w:val="005417AF"/>
    <w:rsid w:val="00541D7D"/>
    <w:rsid w:val="00543780"/>
    <w:rsid w:val="005442D1"/>
    <w:rsid w:val="005450EB"/>
    <w:rsid w:val="0054574A"/>
    <w:rsid w:val="00545AC2"/>
    <w:rsid w:val="00546646"/>
    <w:rsid w:val="0054665C"/>
    <w:rsid w:val="00547A43"/>
    <w:rsid w:val="00550C47"/>
    <w:rsid w:val="00552694"/>
    <w:rsid w:val="00552D45"/>
    <w:rsid w:val="0055337B"/>
    <w:rsid w:val="0055377C"/>
    <w:rsid w:val="00553860"/>
    <w:rsid w:val="005541F4"/>
    <w:rsid w:val="005545FE"/>
    <w:rsid w:val="00554717"/>
    <w:rsid w:val="00554741"/>
    <w:rsid w:val="00554FF2"/>
    <w:rsid w:val="00555261"/>
    <w:rsid w:val="00556DE6"/>
    <w:rsid w:val="005574AF"/>
    <w:rsid w:val="0055785D"/>
    <w:rsid w:val="005578C6"/>
    <w:rsid w:val="00557A53"/>
    <w:rsid w:val="0056090E"/>
    <w:rsid w:val="005613B3"/>
    <w:rsid w:val="00561ED7"/>
    <w:rsid w:val="00562166"/>
    <w:rsid w:val="00562995"/>
    <w:rsid w:val="00563855"/>
    <w:rsid w:val="005642DD"/>
    <w:rsid w:val="00564453"/>
    <w:rsid w:val="00566025"/>
    <w:rsid w:val="0056611F"/>
    <w:rsid w:val="005666D7"/>
    <w:rsid w:val="0056769C"/>
    <w:rsid w:val="005676A0"/>
    <w:rsid w:val="00567ADA"/>
    <w:rsid w:val="005718D7"/>
    <w:rsid w:val="00571AFD"/>
    <w:rsid w:val="00571BEE"/>
    <w:rsid w:val="00571C08"/>
    <w:rsid w:val="00571C69"/>
    <w:rsid w:val="00572232"/>
    <w:rsid w:val="005722E9"/>
    <w:rsid w:val="00572D52"/>
    <w:rsid w:val="00573D34"/>
    <w:rsid w:val="00573F62"/>
    <w:rsid w:val="00574588"/>
    <w:rsid w:val="00574592"/>
    <w:rsid w:val="00574619"/>
    <w:rsid w:val="005746F6"/>
    <w:rsid w:val="00574E26"/>
    <w:rsid w:val="00575D36"/>
    <w:rsid w:val="005761EE"/>
    <w:rsid w:val="00576C13"/>
    <w:rsid w:val="00576CB6"/>
    <w:rsid w:val="00576CF4"/>
    <w:rsid w:val="00577164"/>
    <w:rsid w:val="00577D9F"/>
    <w:rsid w:val="00580391"/>
    <w:rsid w:val="0058086E"/>
    <w:rsid w:val="005818DE"/>
    <w:rsid w:val="00581AC8"/>
    <w:rsid w:val="00581CC1"/>
    <w:rsid w:val="00582221"/>
    <w:rsid w:val="00584718"/>
    <w:rsid w:val="00584D4C"/>
    <w:rsid w:val="005861DC"/>
    <w:rsid w:val="0058622F"/>
    <w:rsid w:val="00586418"/>
    <w:rsid w:val="00587350"/>
    <w:rsid w:val="005874B8"/>
    <w:rsid w:val="00587BA9"/>
    <w:rsid w:val="0059007C"/>
    <w:rsid w:val="00590699"/>
    <w:rsid w:val="00591A31"/>
    <w:rsid w:val="00591E29"/>
    <w:rsid w:val="00592318"/>
    <w:rsid w:val="00594C44"/>
    <w:rsid w:val="0059556C"/>
    <w:rsid w:val="00596B76"/>
    <w:rsid w:val="00597DD9"/>
    <w:rsid w:val="005A0ACF"/>
    <w:rsid w:val="005A0C34"/>
    <w:rsid w:val="005A2501"/>
    <w:rsid w:val="005A292F"/>
    <w:rsid w:val="005A2FF8"/>
    <w:rsid w:val="005A34B6"/>
    <w:rsid w:val="005A390E"/>
    <w:rsid w:val="005A3E34"/>
    <w:rsid w:val="005A44FF"/>
    <w:rsid w:val="005A4BD9"/>
    <w:rsid w:val="005A4D8E"/>
    <w:rsid w:val="005A51C6"/>
    <w:rsid w:val="005A576D"/>
    <w:rsid w:val="005A5BAB"/>
    <w:rsid w:val="005A5CB3"/>
    <w:rsid w:val="005A6604"/>
    <w:rsid w:val="005A78DE"/>
    <w:rsid w:val="005A7E09"/>
    <w:rsid w:val="005B08A6"/>
    <w:rsid w:val="005B0F22"/>
    <w:rsid w:val="005B0F27"/>
    <w:rsid w:val="005B1A31"/>
    <w:rsid w:val="005B1B6C"/>
    <w:rsid w:val="005B2B4F"/>
    <w:rsid w:val="005B2CB5"/>
    <w:rsid w:val="005B2CDC"/>
    <w:rsid w:val="005B3439"/>
    <w:rsid w:val="005B4653"/>
    <w:rsid w:val="005B4E45"/>
    <w:rsid w:val="005B4E85"/>
    <w:rsid w:val="005B5E17"/>
    <w:rsid w:val="005B6419"/>
    <w:rsid w:val="005B6CC1"/>
    <w:rsid w:val="005C1943"/>
    <w:rsid w:val="005C22C2"/>
    <w:rsid w:val="005C2322"/>
    <w:rsid w:val="005C501A"/>
    <w:rsid w:val="005C5673"/>
    <w:rsid w:val="005C6D52"/>
    <w:rsid w:val="005C6F67"/>
    <w:rsid w:val="005C7858"/>
    <w:rsid w:val="005C7A9A"/>
    <w:rsid w:val="005C7FCE"/>
    <w:rsid w:val="005D05FD"/>
    <w:rsid w:val="005D11A5"/>
    <w:rsid w:val="005D1A7D"/>
    <w:rsid w:val="005D3508"/>
    <w:rsid w:val="005D48E0"/>
    <w:rsid w:val="005D4BC8"/>
    <w:rsid w:val="005D55D6"/>
    <w:rsid w:val="005D593D"/>
    <w:rsid w:val="005D65FF"/>
    <w:rsid w:val="005D6E43"/>
    <w:rsid w:val="005D717B"/>
    <w:rsid w:val="005D769A"/>
    <w:rsid w:val="005D7FC2"/>
    <w:rsid w:val="005E092E"/>
    <w:rsid w:val="005E1DD8"/>
    <w:rsid w:val="005E1EA0"/>
    <w:rsid w:val="005E1F6F"/>
    <w:rsid w:val="005E4132"/>
    <w:rsid w:val="005E58E1"/>
    <w:rsid w:val="005E5F8B"/>
    <w:rsid w:val="005E7C7D"/>
    <w:rsid w:val="005F0A09"/>
    <w:rsid w:val="005F0EC7"/>
    <w:rsid w:val="005F105B"/>
    <w:rsid w:val="005F1295"/>
    <w:rsid w:val="005F2075"/>
    <w:rsid w:val="005F2341"/>
    <w:rsid w:val="005F2B48"/>
    <w:rsid w:val="005F3ADE"/>
    <w:rsid w:val="005F432C"/>
    <w:rsid w:val="005F4B41"/>
    <w:rsid w:val="005F4F2A"/>
    <w:rsid w:val="005F5099"/>
    <w:rsid w:val="005F73A6"/>
    <w:rsid w:val="006002FC"/>
    <w:rsid w:val="00600D9B"/>
    <w:rsid w:val="0060128D"/>
    <w:rsid w:val="006015EB"/>
    <w:rsid w:val="006021B4"/>
    <w:rsid w:val="00602BDA"/>
    <w:rsid w:val="0060305B"/>
    <w:rsid w:val="0060308F"/>
    <w:rsid w:val="0060552B"/>
    <w:rsid w:val="00606031"/>
    <w:rsid w:val="00606E04"/>
    <w:rsid w:val="00607B8A"/>
    <w:rsid w:val="006102C4"/>
    <w:rsid w:val="00611A97"/>
    <w:rsid w:val="00611B3C"/>
    <w:rsid w:val="00611C5C"/>
    <w:rsid w:val="00612686"/>
    <w:rsid w:val="006131E9"/>
    <w:rsid w:val="0061392C"/>
    <w:rsid w:val="00613C92"/>
    <w:rsid w:val="00615685"/>
    <w:rsid w:val="00615849"/>
    <w:rsid w:val="00616069"/>
    <w:rsid w:val="00616F34"/>
    <w:rsid w:val="00616FDD"/>
    <w:rsid w:val="00617E42"/>
    <w:rsid w:val="00617E6C"/>
    <w:rsid w:val="006203EC"/>
    <w:rsid w:val="00622015"/>
    <w:rsid w:val="00622191"/>
    <w:rsid w:val="006228C3"/>
    <w:rsid w:val="00622D62"/>
    <w:rsid w:val="00622D80"/>
    <w:rsid w:val="0062336F"/>
    <w:rsid w:val="00623D41"/>
    <w:rsid w:val="00624A28"/>
    <w:rsid w:val="00624E5B"/>
    <w:rsid w:val="006264F1"/>
    <w:rsid w:val="00626A29"/>
    <w:rsid w:val="00626AF4"/>
    <w:rsid w:val="00626CB1"/>
    <w:rsid w:val="00626CBB"/>
    <w:rsid w:val="00627894"/>
    <w:rsid w:val="00627FF6"/>
    <w:rsid w:val="00630506"/>
    <w:rsid w:val="00630BC9"/>
    <w:rsid w:val="006320CB"/>
    <w:rsid w:val="0063314F"/>
    <w:rsid w:val="006337E7"/>
    <w:rsid w:val="0063422F"/>
    <w:rsid w:val="006354FF"/>
    <w:rsid w:val="00635832"/>
    <w:rsid w:val="00635AB6"/>
    <w:rsid w:val="006361B1"/>
    <w:rsid w:val="006365E9"/>
    <w:rsid w:val="00636E18"/>
    <w:rsid w:val="0063705B"/>
    <w:rsid w:val="00637228"/>
    <w:rsid w:val="006406FA"/>
    <w:rsid w:val="00641532"/>
    <w:rsid w:val="00641E0B"/>
    <w:rsid w:val="0064225E"/>
    <w:rsid w:val="0064298D"/>
    <w:rsid w:val="0064364F"/>
    <w:rsid w:val="006445A3"/>
    <w:rsid w:val="00645115"/>
    <w:rsid w:val="006462F1"/>
    <w:rsid w:val="006464CF"/>
    <w:rsid w:val="00646CB6"/>
    <w:rsid w:val="00647A7A"/>
    <w:rsid w:val="00650088"/>
    <w:rsid w:val="00650724"/>
    <w:rsid w:val="0065124E"/>
    <w:rsid w:val="006513A0"/>
    <w:rsid w:val="00652C4F"/>
    <w:rsid w:val="0065308E"/>
    <w:rsid w:val="006534DC"/>
    <w:rsid w:val="006541D1"/>
    <w:rsid w:val="00654860"/>
    <w:rsid w:val="00654F37"/>
    <w:rsid w:val="00655662"/>
    <w:rsid w:val="00656ABE"/>
    <w:rsid w:val="00657521"/>
    <w:rsid w:val="0066000B"/>
    <w:rsid w:val="0066030A"/>
    <w:rsid w:val="00660931"/>
    <w:rsid w:val="00660DB9"/>
    <w:rsid w:val="00661956"/>
    <w:rsid w:val="00661C43"/>
    <w:rsid w:val="00662C23"/>
    <w:rsid w:val="00663A53"/>
    <w:rsid w:val="0066473E"/>
    <w:rsid w:val="00664F66"/>
    <w:rsid w:val="00665069"/>
    <w:rsid w:val="0066537B"/>
    <w:rsid w:val="00665718"/>
    <w:rsid w:val="00665E8C"/>
    <w:rsid w:val="00665F6E"/>
    <w:rsid w:val="0066692E"/>
    <w:rsid w:val="00666CC6"/>
    <w:rsid w:val="006677D7"/>
    <w:rsid w:val="00667828"/>
    <w:rsid w:val="00667AF6"/>
    <w:rsid w:val="00670CDD"/>
    <w:rsid w:val="00670F37"/>
    <w:rsid w:val="00672277"/>
    <w:rsid w:val="00674930"/>
    <w:rsid w:val="00676079"/>
    <w:rsid w:val="00676326"/>
    <w:rsid w:val="006777C7"/>
    <w:rsid w:val="00677FE7"/>
    <w:rsid w:val="006830CE"/>
    <w:rsid w:val="006839E8"/>
    <w:rsid w:val="00683D65"/>
    <w:rsid w:val="00684AB4"/>
    <w:rsid w:val="00684FDE"/>
    <w:rsid w:val="006851CB"/>
    <w:rsid w:val="00685F12"/>
    <w:rsid w:val="00687672"/>
    <w:rsid w:val="00690239"/>
    <w:rsid w:val="00690FB6"/>
    <w:rsid w:val="00691287"/>
    <w:rsid w:val="006919FC"/>
    <w:rsid w:val="00693034"/>
    <w:rsid w:val="0069373F"/>
    <w:rsid w:val="00693FDC"/>
    <w:rsid w:val="006963D2"/>
    <w:rsid w:val="00696748"/>
    <w:rsid w:val="00697FEB"/>
    <w:rsid w:val="006A02C9"/>
    <w:rsid w:val="006A0A19"/>
    <w:rsid w:val="006A0B4A"/>
    <w:rsid w:val="006A0D71"/>
    <w:rsid w:val="006A0E7E"/>
    <w:rsid w:val="006A0F4A"/>
    <w:rsid w:val="006A1D16"/>
    <w:rsid w:val="006A1EA8"/>
    <w:rsid w:val="006A4300"/>
    <w:rsid w:val="006A4428"/>
    <w:rsid w:val="006A4CF3"/>
    <w:rsid w:val="006A7BEA"/>
    <w:rsid w:val="006A7D62"/>
    <w:rsid w:val="006B120F"/>
    <w:rsid w:val="006B1FE2"/>
    <w:rsid w:val="006B2EBD"/>
    <w:rsid w:val="006B2F86"/>
    <w:rsid w:val="006B3690"/>
    <w:rsid w:val="006B37A6"/>
    <w:rsid w:val="006B3C0D"/>
    <w:rsid w:val="006B4649"/>
    <w:rsid w:val="006C0355"/>
    <w:rsid w:val="006C090C"/>
    <w:rsid w:val="006C13D5"/>
    <w:rsid w:val="006C3A40"/>
    <w:rsid w:val="006C3F79"/>
    <w:rsid w:val="006C4E8E"/>
    <w:rsid w:val="006C53A0"/>
    <w:rsid w:val="006C5E9B"/>
    <w:rsid w:val="006C6628"/>
    <w:rsid w:val="006C6D77"/>
    <w:rsid w:val="006C7240"/>
    <w:rsid w:val="006C74D6"/>
    <w:rsid w:val="006C7663"/>
    <w:rsid w:val="006D0EE8"/>
    <w:rsid w:val="006D12C7"/>
    <w:rsid w:val="006D175B"/>
    <w:rsid w:val="006D1BF7"/>
    <w:rsid w:val="006D23EF"/>
    <w:rsid w:val="006D457D"/>
    <w:rsid w:val="006D5361"/>
    <w:rsid w:val="006D59F8"/>
    <w:rsid w:val="006D61DA"/>
    <w:rsid w:val="006D6AF7"/>
    <w:rsid w:val="006D6EBB"/>
    <w:rsid w:val="006D781E"/>
    <w:rsid w:val="006D7F80"/>
    <w:rsid w:val="006D7FC7"/>
    <w:rsid w:val="006E00DA"/>
    <w:rsid w:val="006E04F7"/>
    <w:rsid w:val="006E0941"/>
    <w:rsid w:val="006E0B68"/>
    <w:rsid w:val="006E0EAD"/>
    <w:rsid w:val="006E1DC5"/>
    <w:rsid w:val="006E2E7E"/>
    <w:rsid w:val="006E2EFD"/>
    <w:rsid w:val="006E3420"/>
    <w:rsid w:val="006E381D"/>
    <w:rsid w:val="006E39D7"/>
    <w:rsid w:val="006E3BD0"/>
    <w:rsid w:val="006E3FA9"/>
    <w:rsid w:val="006E4444"/>
    <w:rsid w:val="006E4D14"/>
    <w:rsid w:val="006E6866"/>
    <w:rsid w:val="006E702B"/>
    <w:rsid w:val="006E7DC6"/>
    <w:rsid w:val="006F01FC"/>
    <w:rsid w:val="006F0349"/>
    <w:rsid w:val="006F08E1"/>
    <w:rsid w:val="006F0E10"/>
    <w:rsid w:val="006F13D2"/>
    <w:rsid w:val="006F1A53"/>
    <w:rsid w:val="006F2196"/>
    <w:rsid w:val="006F2B29"/>
    <w:rsid w:val="006F3240"/>
    <w:rsid w:val="006F3620"/>
    <w:rsid w:val="006F3D73"/>
    <w:rsid w:val="006F5A87"/>
    <w:rsid w:val="006F747C"/>
    <w:rsid w:val="006F74BF"/>
    <w:rsid w:val="006F7BDA"/>
    <w:rsid w:val="00700C93"/>
    <w:rsid w:val="00701FC8"/>
    <w:rsid w:val="0070288A"/>
    <w:rsid w:val="00702D07"/>
    <w:rsid w:val="00703676"/>
    <w:rsid w:val="00706655"/>
    <w:rsid w:val="007078D6"/>
    <w:rsid w:val="007106DD"/>
    <w:rsid w:val="00710F87"/>
    <w:rsid w:val="00711217"/>
    <w:rsid w:val="007116F8"/>
    <w:rsid w:val="00712900"/>
    <w:rsid w:val="007133E9"/>
    <w:rsid w:val="007137B3"/>
    <w:rsid w:val="00713BD4"/>
    <w:rsid w:val="00714542"/>
    <w:rsid w:val="007146AA"/>
    <w:rsid w:val="00714837"/>
    <w:rsid w:val="007149B8"/>
    <w:rsid w:val="00714EF0"/>
    <w:rsid w:val="00714F04"/>
    <w:rsid w:val="00715087"/>
    <w:rsid w:val="00715712"/>
    <w:rsid w:val="007158C7"/>
    <w:rsid w:val="00715D0C"/>
    <w:rsid w:val="0071628B"/>
    <w:rsid w:val="00716F27"/>
    <w:rsid w:val="00717727"/>
    <w:rsid w:val="00717B00"/>
    <w:rsid w:val="007208AB"/>
    <w:rsid w:val="00720B68"/>
    <w:rsid w:val="00720DE3"/>
    <w:rsid w:val="00721C6A"/>
    <w:rsid w:val="007222B0"/>
    <w:rsid w:val="007227EC"/>
    <w:rsid w:val="00722F2C"/>
    <w:rsid w:val="00723293"/>
    <w:rsid w:val="00723439"/>
    <w:rsid w:val="00723CB3"/>
    <w:rsid w:val="00724D46"/>
    <w:rsid w:val="007252D4"/>
    <w:rsid w:val="007263EF"/>
    <w:rsid w:val="00727012"/>
    <w:rsid w:val="0072723A"/>
    <w:rsid w:val="007279EC"/>
    <w:rsid w:val="00727D29"/>
    <w:rsid w:val="00730818"/>
    <w:rsid w:val="00730E2D"/>
    <w:rsid w:val="0073142D"/>
    <w:rsid w:val="0073237F"/>
    <w:rsid w:val="007323B9"/>
    <w:rsid w:val="007330A4"/>
    <w:rsid w:val="00733C05"/>
    <w:rsid w:val="00734568"/>
    <w:rsid w:val="0073460E"/>
    <w:rsid w:val="007349F9"/>
    <w:rsid w:val="00734A12"/>
    <w:rsid w:val="00735CDE"/>
    <w:rsid w:val="00736EAE"/>
    <w:rsid w:val="00737F9B"/>
    <w:rsid w:val="007402C2"/>
    <w:rsid w:val="0074044C"/>
    <w:rsid w:val="007405B1"/>
    <w:rsid w:val="00740AF0"/>
    <w:rsid w:val="007419ED"/>
    <w:rsid w:val="00742174"/>
    <w:rsid w:val="00742C4C"/>
    <w:rsid w:val="007431F0"/>
    <w:rsid w:val="00743577"/>
    <w:rsid w:val="007435D3"/>
    <w:rsid w:val="00744220"/>
    <w:rsid w:val="00744C66"/>
    <w:rsid w:val="007464CC"/>
    <w:rsid w:val="00747238"/>
    <w:rsid w:val="00747B4B"/>
    <w:rsid w:val="00747D5E"/>
    <w:rsid w:val="00750679"/>
    <w:rsid w:val="00751EDA"/>
    <w:rsid w:val="00754003"/>
    <w:rsid w:val="00754851"/>
    <w:rsid w:val="007575D0"/>
    <w:rsid w:val="00757649"/>
    <w:rsid w:val="00760944"/>
    <w:rsid w:val="007609D5"/>
    <w:rsid w:val="00760C75"/>
    <w:rsid w:val="007611AD"/>
    <w:rsid w:val="0076126B"/>
    <w:rsid w:val="007613B3"/>
    <w:rsid w:val="00762FBA"/>
    <w:rsid w:val="0076316D"/>
    <w:rsid w:val="00763FB6"/>
    <w:rsid w:val="0076473F"/>
    <w:rsid w:val="00764748"/>
    <w:rsid w:val="00765515"/>
    <w:rsid w:val="00765F2A"/>
    <w:rsid w:val="00766F28"/>
    <w:rsid w:val="007713E8"/>
    <w:rsid w:val="00771967"/>
    <w:rsid w:val="00771AA1"/>
    <w:rsid w:val="00772FC8"/>
    <w:rsid w:val="0077322C"/>
    <w:rsid w:val="00774715"/>
    <w:rsid w:val="007747EE"/>
    <w:rsid w:val="00774999"/>
    <w:rsid w:val="00774F98"/>
    <w:rsid w:val="00776623"/>
    <w:rsid w:val="007768F5"/>
    <w:rsid w:val="0077735A"/>
    <w:rsid w:val="0078095B"/>
    <w:rsid w:val="00780D10"/>
    <w:rsid w:val="007813D1"/>
    <w:rsid w:val="00782158"/>
    <w:rsid w:val="007821BC"/>
    <w:rsid w:val="007826E0"/>
    <w:rsid w:val="0078271A"/>
    <w:rsid w:val="00783194"/>
    <w:rsid w:val="00783455"/>
    <w:rsid w:val="007835D5"/>
    <w:rsid w:val="0078383A"/>
    <w:rsid w:val="00783BA7"/>
    <w:rsid w:val="007853F8"/>
    <w:rsid w:val="0078687A"/>
    <w:rsid w:val="00786AA2"/>
    <w:rsid w:val="00786BB9"/>
    <w:rsid w:val="00786FE5"/>
    <w:rsid w:val="007870B3"/>
    <w:rsid w:val="00787297"/>
    <w:rsid w:val="007877DC"/>
    <w:rsid w:val="0079039B"/>
    <w:rsid w:val="007908E2"/>
    <w:rsid w:val="00792C45"/>
    <w:rsid w:val="00793842"/>
    <w:rsid w:val="00794379"/>
    <w:rsid w:val="007953B5"/>
    <w:rsid w:val="00795F3C"/>
    <w:rsid w:val="00796271"/>
    <w:rsid w:val="00796431"/>
    <w:rsid w:val="007964DC"/>
    <w:rsid w:val="007967E6"/>
    <w:rsid w:val="00797D07"/>
    <w:rsid w:val="00797EC1"/>
    <w:rsid w:val="007A03B9"/>
    <w:rsid w:val="007A06C5"/>
    <w:rsid w:val="007A0B4E"/>
    <w:rsid w:val="007A117C"/>
    <w:rsid w:val="007A19E3"/>
    <w:rsid w:val="007A2635"/>
    <w:rsid w:val="007A3BFB"/>
    <w:rsid w:val="007A4230"/>
    <w:rsid w:val="007A5DE7"/>
    <w:rsid w:val="007A69A5"/>
    <w:rsid w:val="007A6B52"/>
    <w:rsid w:val="007A6C81"/>
    <w:rsid w:val="007A7B10"/>
    <w:rsid w:val="007B02A8"/>
    <w:rsid w:val="007B0B30"/>
    <w:rsid w:val="007B129D"/>
    <w:rsid w:val="007B219A"/>
    <w:rsid w:val="007B31A6"/>
    <w:rsid w:val="007B4508"/>
    <w:rsid w:val="007B5E3D"/>
    <w:rsid w:val="007B6B28"/>
    <w:rsid w:val="007B79F6"/>
    <w:rsid w:val="007B7B44"/>
    <w:rsid w:val="007C0E2D"/>
    <w:rsid w:val="007C1271"/>
    <w:rsid w:val="007C12F0"/>
    <w:rsid w:val="007C15B2"/>
    <w:rsid w:val="007C1E59"/>
    <w:rsid w:val="007C4747"/>
    <w:rsid w:val="007C4C83"/>
    <w:rsid w:val="007C525A"/>
    <w:rsid w:val="007C533A"/>
    <w:rsid w:val="007C591A"/>
    <w:rsid w:val="007C6206"/>
    <w:rsid w:val="007C6225"/>
    <w:rsid w:val="007C64E2"/>
    <w:rsid w:val="007C7C72"/>
    <w:rsid w:val="007D065D"/>
    <w:rsid w:val="007D1196"/>
    <w:rsid w:val="007D1E88"/>
    <w:rsid w:val="007D275E"/>
    <w:rsid w:val="007D2928"/>
    <w:rsid w:val="007D37BA"/>
    <w:rsid w:val="007D3850"/>
    <w:rsid w:val="007D3F75"/>
    <w:rsid w:val="007D4025"/>
    <w:rsid w:val="007D66F0"/>
    <w:rsid w:val="007D73E5"/>
    <w:rsid w:val="007D750A"/>
    <w:rsid w:val="007D7523"/>
    <w:rsid w:val="007D77FB"/>
    <w:rsid w:val="007E0084"/>
    <w:rsid w:val="007E0678"/>
    <w:rsid w:val="007E0A18"/>
    <w:rsid w:val="007E0EF4"/>
    <w:rsid w:val="007E1035"/>
    <w:rsid w:val="007E1421"/>
    <w:rsid w:val="007E18D1"/>
    <w:rsid w:val="007E199C"/>
    <w:rsid w:val="007E2A76"/>
    <w:rsid w:val="007E4D07"/>
    <w:rsid w:val="007E581F"/>
    <w:rsid w:val="007E722A"/>
    <w:rsid w:val="007E72EF"/>
    <w:rsid w:val="007E770A"/>
    <w:rsid w:val="007E7968"/>
    <w:rsid w:val="007E7C0D"/>
    <w:rsid w:val="007F0CB0"/>
    <w:rsid w:val="007F1600"/>
    <w:rsid w:val="007F166D"/>
    <w:rsid w:val="007F1EDF"/>
    <w:rsid w:val="007F2054"/>
    <w:rsid w:val="007F299B"/>
    <w:rsid w:val="007F365B"/>
    <w:rsid w:val="007F3B50"/>
    <w:rsid w:val="007F4023"/>
    <w:rsid w:val="007F40D6"/>
    <w:rsid w:val="007F41A0"/>
    <w:rsid w:val="007F5346"/>
    <w:rsid w:val="007F690B"/>
    <w:rsid w:val="007F6FBE"/>
    <w:rsid w:val="007F742B"/>
    <w:rsid w:val="007F7CBC"/>
    <w:rsid w:val="00800C45"/>
    <w:rsid w:val="0080130F"/>
    <w:rsid w:val="00801B60"/>
    <w:rsid w:val="008026FE"/>
    <w:rsid w:val="00802F9F"/>
    <w:rsid w:val="0080372E"/>
    <w:rsid w:val="00803E55"/>
    <w:rsid w:val="00804358"/>
    <w:rsid w:val="00804F92"/>
    <w:rsid w:val="00807F19"/>
    <w:rsid w:val="00807F85"/>
    <w:rsid w:val="0081060D"/>
    <w:rsid w:val="00810A52"/>
    <w:rsid w:val="00810DCF"/>
    <w:rsid w:val="008110C4"/>
    <w:rsid w:val="00811527"/>
    <w:rsid w:val="00811F2C"/>
    <w:rsid w:val="00811FE2"/>
    <w:rsid w:val="008134F5"/>
    <w:rsid w:val="00813D03"/>
    <w:rsid w:val="00814399"/>
    <w:rsid w:val="00815A51"/>
    <w:rsid w:val="00817CF6"/>
    <w:rsid w:val="008208F2"/>
    <w:rsid w:val="00820A66"/>
    <w:rsid w:val="00820F38"/>
    <w:rsid w:val="00822D27"/>
    <w:rsid w:val="008242DA"/>
    <w:rsid w:val="00824A84"/>
    <w:rsid w:val="00826371"/>
    <w:rsid w:val="0082668B"/>
    <w:rsid w:val="0082687A"/>
    <w:rsid w:val="008272AC"/>
    <w:rsid w:val="00830214"/>
    <w:rsid w:val="00830902"/>
    <w:rsid w:val="00832118"/>
    <w:rsid w:val="00832C2F"/>
    <w:rsid w:val="00833EC7"/>
    <w:rsid w:val="00834366"/>
    <w:rsid w:val="008358AE"/>
    <w:rsid w:val="008363D1"/>
    <w:rsid w:val="00836C3B"/>
    <w:rsid w:val="008404FF"/>
    <w:rsid w:val="00840749"/>
    <w:rsid w:val="00840F7C"/>
    <w:rsid w:val="008412E1"/>
    <w:rsid w:val="008413A8"/>
    <w:rsid w:val="00842443"/>
    <w:rsid w:val="00843285"/>
    <w:rsid w:val="00843286"/>
    <w:rsid w:val="00843386"/>
    <w:rsid w:val="00844479"/>
    <w:rsid w:val="00844C79"/>
    <w:rsid w:val="00846122"/>
    <w:rsid w:val="008466C4"/>
    <w:rsid w:val="00850FDB"/>
    <w:rsid w:val="008510D6"/>
    <w:rsid w:val="008522B5"/>
    <w:rsid w:val="0085346F"/>
    <w:rsid w:val="00853C4A"/>
    <w:rsid w:val="00854190"/>
    <w:rsid w:val="00854682"/>
    <w:rsid w:val="00855DA1"/>
    <w:rsid w:val="00856359"/>
    <w:rsid w:val="0085657D"/>
    <w:rsid w:val="008569DC"/>
    <w:rsid w:val="00856DA4"/>
    <w:rsid w:val="00857078"/>
    <w:rsid w:val="00857A3C"/>
    <w:rsid w:val="00860613"/>
    <w:rsid w:val="00861279"/>
    <w:rsid w:val="008612B4"/>
    <w:rsid w:val="00862A90"/>
    <w:rsid w:val="00863D31"/>
    <w:rsid w:val="00863D50"/>
    <w:rsid w:val="0086454A"/>
    <w:rsid w:val="00866E95"/>
    <w:rsid w:val="00867E88"/>
    <w:rsid w:val="00870102"/>
    <w:rsid w:val="00870456"/>
    <w:rsid w:val="008721A5"/>
    <w:rsid w:val="008723A8"/>
    <w:rsid w:val="00872847"/>
    <w:rsid w:val="00872C9B"/>
    <w:rsid w:val="00872E78"/>
    <w:rsid w:val="00872FDB"/>
    <w:rsid w:val="00873451"/>
    <w:rsid w:val="00873471"/>
    <w:rsid w:val="00873C14"/>
    <w:rsid w:val="0087619E"/>
    <w:rsid w:val="00877706"/>
    <w:rsid w:val="00877C57"/>
    <w:rsid w:val="00877F7D"/>
    <w:rsid w:val="008811FC"/>
    <w:rsid w:val="00881D54"/>
    <w:rsid w:val="008825CE"/>
    <w:rsid w:val="00882EFB"/>
    <w:rsid w:val="0088366A"/>
    <w:rsid w:val="00883A3C"/>
    <w:rsid w:val="0088460D"/>
    <w:rsid w:val="008857AA"/>
    <w:rsid w:val="00885FA2"/>
    <w:rsid w:val="0088688E"/>
    <w:rsid w:val="00887608"/>
    <w:rsid w:val="00887ABB"/>
    <w:rsid w:val="00887FD1"/>
    <w:rsid w:val="008900AF"/>
    <w:rsid w:val="008906E6"/>
    <w:rsid w:val="00890AD0"/>
    <w:rsid w:val="00890B66"/>
    <w:rsid w:val="00891109"/>
    <w:rsid w:val="00891BA0"/>
    <w:rsid w:val="00891BF0"/>
    <w:rsid w:val="00891F38"/>
    <w:rsid w:val="00893E0C"/>
    <w:rsid w:val="00893E72"/>
    <w:rsid w:val="00896BC2"/>
    <w:rsid w:val="00896C06"/>
    <w:rsid w:val="008A072D"/>
    <w:rsid w:val="008A1815"/>
    <w:rsid w:val="008A1C42"/>
    <w:rsid w:val="008A2D63"/>
    <w:rsid w:val="008A2FA0"/>
    <w:rsid w:val="008A3348"/>
    <w:rsid w:val="008A3666"/>
    <w:rsid w:val="008A3889"/>
    <w:rsid w:val="008A4BAF"/>
    <w:rsid w:val="008A56CE"/>
    <w:rsid w:val="008A5CE1"/>
    <w:rsid w:val="008A5EE6"/>
    <w:rsid w:val="008A6398"/>
    <w:rsid w:val="008B048B"/>
    <w:rsid w:val="008B08D3"/>
    <w:rsid w:val="008B19B7"/>
    <w:rsid w:val="008B19E5"/>
    <w:rsid w:val="008B1C16"/>
    <w:rsid w:val="008B2AC1"/>
    <w:rsid w:val="008B2D32"/>
    <w:rsid w:val="008B2D3F"/>
    <w:rsid w:val="008B2E9A"/>
    <w:rsid w:val="008B2EB5"/>
    <w:rsid w:val="008B3ADE"/>
    <w:rsid w:val="008B44C3"/>
    <w:rsid w:val="008B5255"/>
    <w:rsid w:val="008B5613"/>
    <w:rsid w:val="008B62E9"/>
    <w:rsid w:val="008B7050"/>
    <w:rsid w:val="008B7162"/>
    <w:rsid w:val="008C1507"/>
    <w:rsid w:val="008C19A3"/>
    <w:rsid w:val="008C2501"/>
    <w:rsid w:val="008C383B"/>
    <w:rsid w:val="008C3A5F"/>
    <w:rsid w:val="008C44A7"/>
    <w:rsid w:val="008C5671"/>
    <w:rsid w:val="008C59BA"/>
    <w:rsid w:val="008C5D4D"/>
    <w:rsid w:val="008C6671"/>
    <w:rsid w:val="008C739D"/>
    <w:rsid w:val="008C7707"/>
    <w:rsid w:val="008D1695"/>
    <w:rsid w:val="008D22DA"/>
    <w:rsid w:val="008D3273"/>
    <w:rsid w:val="008D3CA0"/>
    <w:rsid w:val="008D4696"/>
    <w:rsid w:val="008D6805"/>
    <w:rsid w:val="008D6CA8"/>
    <w:rsid w:val="008D733D"/>
    <w:rsid w:val="008E0A95"/>
    <w:rsid w:val="008E136A"/>
    <w:rsid w:val="008E14A5"/>
    <w:rsid w:val="008E2336"/>
    <w:rsid w:val="008E27A7"/>
    <w:rsid w:val="008E33F9"/>
    <w:rsid w:val="008E34A2"/>
    <w:rsid w:val="008E34AE"/>
    <w:rsid w:val="008E3BA7"/>
    <w:rsid w:val="008E3D1C"/>
    <w:rsid w:val="008E4D1F"/>
    <w:rsid w:val="008E694D"/>
    <w:rsid w:val="008E78B4"/>
    <w:rsid w:val="008F047E"/>
    <w:rsid w:val="008F2841"/>
    <w:rsid w:val="008F2959"/>
    <w:rsid w:val="008F399F"/>
    <w:rsid w:val="008F39F1"/>
    <w:rsid w:val="008F432C"/>
    <w:rsid w:val="008F4916"/>
    <w:rsid w:val="008F6034"/>
    <w:rsid w:val="008F7859"/>
    <w:rsid w:val="008F7ADB"/>
    <w:rsid w:val="008F7CC9"/>
    <w:rsid w:val="009001B0"/>
    <w:rsid w:val="00900940"/>
    <w:rsid w:val="00900CC0"/>
    <w:rsid w:val="0090288E"/>
    <w:rsid w:val="009038F9"/>
    <w:rsid w:val="00905028"/>
    <w:rsid w:val="009055D6"/>
    <w:rsid w:val="00905AAB"/>
    <w:rsid w:val="009068C3"/>
    <w:rsid w:val="00906F53"/>
    <w:rsid w:val="0090775D"/>
    <w:rsid w:val="00910432"/>
    <w:rsid w:val="0091050C"/>
    <w:rsid w:val="00911865"/>
    <w:rsid w:val="00911A8D"/>
    <w:rsid w:val="00912D34"/>
    <w:rsid w:val="009139AF"/>
    <w:rsid w:val="009148EC"/>
    <w:rsid w:val="00914BFD"/>
    <w:rsid w:val="00914CD2"/>
    <w:rsid w:val="00915EF9"/>
    <w:rsid w:val="009174DB"/>
    <w:rsid w:val="009174F6"/>
    <w:rsid w:val="00917A99"/>
    <w:rsid w:val="00920831"/>
    <w:rsid w:val="00921BFB"/>
    <w:rsid w:val="00921EF9"/>
    <w:rsid w:val="00922AFA"/>
    <w:rsid w:val="00922BF2"/>
    <w:rsid w:val="009234FD"/>
    <w:rsid w:val="00923665"/>
    <w:rsid w:val="00924258"/>
    <w:rsid w:val="00924973"/>
    <w:rsid w:val="00924ED5"/>
    <w:rsid w:val="0092631A"/>
    <w:rsid w:val="009272E3"/>
    <w:rsid w:val="009311DF"/>
    <w:rsid w:val="009314B6"/>
    <w:rsid w:val="0093152E"/>
    <w:rsid w:val="009315A3"/>
    <w:rsid w:val="00931779"/>
    <w:rsid w:val="00931E42"/>
    <w:rsid w:val="0093252C"/>
    <w:rsid w:val="0093283A"/>
    <w:rsid w:val="0093430F"/>
    <w:rsid w:val="009356B3"/>
    <w:rsid w:val="00935AC3"/>
    <w:rsid w:val="00935EAC"/>
    <w:rsid w:val="00937529"/>
    <w:rsid w:val="00940DF7"/>
    <w:rsid w:val="00940F2E"/>
    <w:rsid w:val="00942405"/>
    <w:rsid w:val="00942818"/>
    <w:rsid w:val="00942AD5"/>
    <w:rsid w:val="00942F66"/>
    <w:rsid w:val="00943510"/>
    <w:rsid w:val="00943A66"/>
    <w:rsid w:val="00944371"/>
    <w:rsid w:val="00944529"/>
    <w:rsid w:val="00944CB3"/>
    <w:rsid w:val="00944D10"/>
    <w:rsid w:val="009450BA"/>
    <w:rsid w:val="009454B6"/>
    <w:rsid w:val="009460DF"/>
    <w:rsid w:val="00946929"/>
    <w:rsid w:val="00946D29"/>
    <w:rsid w:val="009474F2"/>
    <w:rsid w:val="00950E7E"/>
    <w:rsid w:val="00952AEF"/>
    <w:rsid w:val="00955C33"/>
    <w:rsid w:val="0095625A"/>
    <w:rsid w:val="00956446"/>
    <w:rsid w:val="00957B4C"/>
    <w:rsid w:val="009603BF"/>
    <w:rsid w:val="00960B5B"/>
    <w:rsid w:val="00960F24"/>
    <w:rsid w:val="00960FAF"/>
    <w:rsid w:val="00960FBE"/>
    <w:rsid w:val="0096172B"/>
    <w:rsid w:val="00961C91"/>
    <w:rsid w:val="009628F6"/>
    <w:rsid w:val="00962AB8"/>
    <w:rsid w:val="00962CB7"/>
    <w:rsid w:val="00962E64"/>
    <w:rsid w:val="00963AA3"/>
    <w:rsid w:val="00963B80"/>
    <w:rsid w:val="00964478"/>
    <w:rsid w:val="009651FA"/>
    <w:rsid w:val="00966080"/>
    <w:rsid w:val="0096628F"/>
    <w:rsid w:val="009664DD"/>
    <w:rsid w:val="00966F48"/>
    <w:rsid w:val="0096744E"/>
    <w:rsid w:val="009704A0"/>
    <w:rsid w:val="00970792"/>
    <w:rsid w:val="00970EB5"/>
    <w:rsid w:val="00971E1A"/>
    <w:rsid w:val="00971EE1"/>
    <w:rsid w:val="00973197"/>
    <w:rsid w:val="00973E14"/>
    <w:rsid w:val="009753FB"/>
    <w:rsid w:val="00975439"/>
    <w:rsid w:val="009756E8"/>
    <w:rsid w:val="00976F97"/>
    <w:rsid w:val="00977317"/>
    <w:rsid w:val="009802E6"/>
    <w:rsid w:val="009804C2"/>
    <w:rsid w:val="00980AFA"/>
    <w:rsid w:val="00980C11"/>
    <w:rsid w:val="00981086"/>
    <w:rsid w:val="0098257D"/>
    <w:rsid w:val="0098302F"/>
    <w:rsid w:val="009831C8"/>
    <w:rsid w:val="00983D28"/>
    <w:rsid w:val="0098474E"/>
    <w:rsid w:val="009857EB"/>
    <w:rsid w:val="00986110"/>
    <w:rsid w:val="009869D5"/>
    <w:rsid w:val="00987232"/>
    <w:rsid w:val="009877E3"/>
    <w:rsid w:val="0099047A"/>
    <w:rsid w:val="009905A0"/>
    <w:rsid w:val="00990EC7"/>
    <w:rsid w:val="00991B95"/>
    <w:rsid w:val="00991D3E"/>
    <w:rsid w:val="00992630"/>
    <w:rsid w:val="00992840"/>
    <w:rsid w:val="00993064"/>
    <w:rsid w:val="00994C6F"/>
    <w:rsid w:val="00994CC4"/>
    <w:rsid w:val="00995379"/>
    <w:rsid w:val="009968AC"/>
    <w:rsid w:val="00996911"/>
    <w:rsid w:val="00996DB9"/>
    <w:rsid w:val="009976E7"/>
    <w:rsid w:val="009A044E"/>
    <w:rsid w:val="009A10AD"/>
    <w:rsid w:val="009A10DD"/>
    <w:rsid w:val="009A11ED"/>
    <w:rsid w:val="009A1795"/>
    <w:rsid w:val="009A1CB0"/>
    <w:rsid w:val="009A2547"/>
    <w:rsid w:val="009A4D66"/>
    <w:rsid w:val="009A5821"/>
    <w:rsid w:val="009A63A6"/>
    <w:rsid w:val="009A65F0"/>
    <w:rsid w:val="009A67A1"/>
    <w:rsid w:val="009A7026"/>
    <w:rsid w:val="009A702B"/>
    <w:rsid w:val="009A7D0C"/>
    <w:rsid w:val="009A7F30"/>
    <w:rsid w:val="009B069B"/>
    <w:rsid w:val="009B097A"/>
    <w:rsid w:val="009B10E0"/>
    <w:rsid w:val="009B18EB"/>
    <w:rsid w:val="009B27DF"/>
    <w:rsid w:val="009B36AF"/>
    <w:rsid w:val="009B393A"/>
    <w:rsid w:val="009B5A7A"/>
    <w:rsid w:val="009B7972"/>
    <w:rsid w:val="009B7A5A"/>
    <w:rsid w:val="009C040E"/>
    <w:rsid w:val="009C0544"/>
    <w:rsid w:val="009C0DD6"/>
    <w:rsid w:val="009C1B29"/>
    <w:rsid w:val="009C1C07"/>
    <w:rsid w:val="009C1F84"/>
    <w:rsid w:val="009C38A8"/>
    <w:rsid w:val="009C38DF"/>
    <w:rsid w:val="009C40F8"/>
    <w:rsid w:val="009C5A3E"/>
    <w:rsid w:val="009C5D66"/>
    <w:rsid w:val="009C6CC1"/>
    <w:rsid w:val="009D05F1"/>
    <w:rsid w:val="009D089E"/>
    <w:rsid w:val="009D094F"/>
    <w:rsid w:val="009D0BF3"/>
    <w:rsid w:val="009D0E88"/>
    <w:rsid w:val="009D0EB6"/>
    <w:rsid w:val="009D1003"/>
    <w:rsid w:val="009D24D7"/>
    <w:rsid w:val="009D256E"/>
    <w:rsid w:val="009D2DB6"/>
    <w:rsid w:val="009D2EAF"/>
    <w:rsid w:val="009D2F47"/>
    <w:rsid w:val="009D2FB9"/>
    <w:rsid w:val="009D3067"/>
    <w:rsid w:val="009D39EE"/>
    <w:rsid w:val="009D3B45"/>
    <w:rsid w:val="009D4E78"/>
    <w:rsid w:val="009D5487"/>
    <w:rsid w:val="009D55B8"/>
    <w:rsid w:val="009D5F35"/>
    <w:rsid w:val="009D674E"/>
    <w:rsid w:val="009D6791"/>
    <w:rsid w:val="009D7835"/>
    <w:rsid w:val="009D7CDF"/>
    <w:rsid w:val="009D7EFC"/>
    <w:rsid w:val="009E05AC"/>
    <w:rsid w:val="009E1548"/>
    <w:rsid w:val="009E1649"/>
    <w:rsid w:val="009E172B"/>
    <w:rsid w:val="009E1B55"/>
    <w:rsid w:val="009E204D"/>
    <w:rsid w:val="009E253A"/>
    <w:rsid w:val="009E25F5"/>
    <w:rsid w:val="009E39C0"/>
    <w:rsid w:val="009E4CE0"/>
    <w:rsid w:val="009E523E"/>
    <w:rsid w:val="009E5367"/>
    <w:rsid w:val="009E7B93"/>
    <w:rsid w:val="009F0062"/>
    <w:rsid w:val="009F0349"/>
    <w:rsid w:val="009F1CE1"/>
    <w:rsid w:val="009F1E76"/>
    <w:rsid w:val="009F2D48"/>
    <w:rsid w:val="009F2FEB"/>
    <w:rsid w:val="009F3268"/>
    <w:rsid w:val="009F4230"/>
    <w:rsid w:val="009F4860"/>
    <w:rsid w:val="009F58F4"/>
    <w:rsid w:val="009F5F2C"/>
    <w:rsid w:val="009F6749"/>
    <w:rsid w:val="009F6A7F"/>
    <w:rsid w:val="009F6C56"/>
    <w:rsid w:val="00A0021A"/>
    <w:rsid w:val="00A0178C"/>
    <w:rsid w:val="00A01D67"/>
    <w:rsid w:val="00A01EAA"/>
    <w:rsid w:val="00A0206E"/>
    <w:rsid w:val="00A02A33"/>
    <w:rsid w:val="00A02F5D"/>
    <w:rsid w:val="00A031CC"/>
    <w:rsid w:val="00A0323B"/>
    <w:rsid w:val="00A04192"/>
    <w:rsid w:val="00A04474"/>
    <w:rsid w:val="00A0482C"/>
    <w:rsid w:val="00A06A94"/>
    <w:rsid w:val="00A0762A"/>
    <w:rsid w:val="00A0776D"/>
    <w:rsid w:val="00A0778F"/>
    <w:rsid w:val="00A1004D"/>
    <w:rsid w:val="00A1182A"/>
    <w:rsid w:val="00A13922"/>
    <w:rsid w:val="00A13DB8"/>
    <w:rsid w:val="00A13F1D"/>
    <w:rsid w:val="00A1482D"/>
    <w:rsid w:val="00A14AA1"/>
    <w:rsid w:val="00A155ED"/>
    <w:rsid w:val="00A15F37"/>
    <w:rsid w:val="00A16191"/>
    <w:rsid w:val="00A163E3"/>
    <w:rsid w:val="00A220C0"/>
    <w:rsid w:val="00A22229"/>
    <w:rsid w:val="00A2239A"/>
    <w:rsid w:val="00A2295F"/>
    <w:rsid w:val="00A22A52"/>
    <w:rsid w:val="00A23246"/>
    <w:rsid w:val="00A24A2E"/>
    <w:rsid w:val="00A25215"/>
    <w:rsid w:val="00A25889"/>
    <w:rsid w:val="00A2710F"/>
    <w:rsid w:val="00A3034C"/>
    <w:rsid w:val="00A30764"/>
    <w:rsid w:val="00A325EE"/>
    <w:rsid w:val="00A338A1"/>
    <w:rsid w:val="00A349CB"/>
    <w:rsid w:val="00A34E5A"/>
    <w:rsid w:val="00A3508F"/>
    <w:rsid w:val="00A35D8A"/>
    <w:rsid w:val="00A364F7"/>
    <w:rsid w:val="00A36CE8"/>
    <w:rsid w:val="00A36DDD"/>
    <w:rsid w:val="00A378ED"/>
    <w:rsid w:val="00A37C13"/>
    <w:rsid w:val="00A425BA"/>
    <w:rsid w:val="00A42D6B"/>
    <w:rsid w:val="00A42EEB"/>
    <w:rsid w:val="00A430E2"/>
    <w:rsid w:val="00A4316F"/>
    <w:rsid w:val="00A447E7"/>
    <w:rsid w:val="00A44A0C"/>
    <w:rsid w:val="00A454B6"/>
    <w:rsid w:val="00A4559F"/>
    <w:rsid w:val="00A45FC0"/>
    <w:rsid w:val="00A46558"/>
    <w:rsid w:val="00A472F8"/>
    <w:rsid w:val="00A50571"/>
    <w:rsid w:val="00A50AEA"/>
    <w:rsid w:val="00A5314F"/>
    <w:rsid w:val="00A53F81"/>
    <w:rsid w:val="00A54055"/>
    <w:rsid w:val="00A54B25"/>
    <w:rsid w:val="00A54D53"/>
    <w:rsid w:val="00A55882"/>
    <w:rsid w:val="00A5590F"/>
    <w:rsid w:val="00A569E0"/>
    <w:rsid w:val="00A56B6B"/>
    <w:rsid w:val="00A60311"/>
    <w:rsid w:val="00A60546"/>
    <w:rsid w:val="00A61107"/>
    <w:rsid w:val="00A63EEE"/>
    <w:rsid w:val="00A6445C"/>
    <w:rsid w:val="00A66054"/>
    <w:rsid w:val="00A66F1E"/>
    <w:rsid w:val="00A6760A"/>
    <w:rsid w:val="00A676D3"/>
    <w:rsid w:val="00A679AD"/>
    <w:rsid w:val="00A71142"/>
    <w:rsid w:val="00A711B7"/>
    <w:rsid w:val="00A7149F"/>
    <w:rsid w:val="00A72C93"/>
    <w:rsid w:val="00A72DB7"/>
    <w:rsid w:val="00A72FF3"/>
    <w:rsid w:val="00A7410C"/>
    <w:rsid w:val="00A754A0"/>
    <w:rsid w:val="00A76082"/>
    <w:rsid w:val="00A7784F"/>
    <w:rsid w:val="00A80A07"/>
    <w:rsid w:val="00A811D6"/>
    <w:rsid w:val="00A81F02"/>
    <w:rsid w:val="00A82860"/>
    <w:rsid w:val="00A82B36"/>
    <w:rsid w:val="00A82F07"/>
    <w:rsid w:val="00A832BA"/>
    <w:rsid w:val="00A8331B"/>
    <w:rsid w:val="00A83BF6"/>
    <w:rsid w:val="00A84963"/>
    <w:rsid w:val="00A84D9C"/>
    <w:rsid w:val="00A85048"/>
    <w:rsid w:val="00A86552"/>
    <w:rsid w:val="00A86CD7"/>
    <w:rsid w:val="00A86D7C"/>
    <w:rsid w:val="00A8750A"/>
    <w:rsid w:val="00A9017B"/>
    <w:rsid w:val="00A90878"/>
    <w:rsid w:val="00A91266"/>
    <w:rsid w:val="00A9266A"/>
    <w:rsid w:val="00A9310D"/>
    <w:rsid w:val="00A9367D"/>
    <w:rsid w:val="00A950F4"/>
    <w:rsid w:val="00A9567A"/>
    <w:rsid w:val="00A96783"/>
    <w:rsid w:val="00A97098"/>
    <w:rsid w:val="00A97337"/>
    <w:rsid w:val="00A97B08"/>
    <w:rsid w:val="00A97D41"/>
    <w:rsid w:val="00A97F5A"/>
    <w:rsid w:val="00A97F92"/>
    <w:rsid w:val="00AA0D5A"/>
    <w:rsid w:val="00AA17F7"/>
    <w:rsid w:val="00AA253F"/>
    <w:rsid w:val="00AA25AC"/>
    <w:rsid w:val="00AA28D2"/>
    <w:rsid w:val="00AA2D58"/>
    <w:rsid w:val="00AA4A27"/>
    <w:rsid w:val="00AA4C06"/>
    <w:rsid w:val="00AA5C1F"/>
    <w:rsid w:val="00AA62A7"/>
    <w:rsid w:val="00AA7E5F"/>
    <w:rsid w:val="00AB0ED1"/>
    <w:rsid w:val="00AB16F3"/>
    <w:rsid w:val="00AB1ED1"/>
    <w:rsid w:val="00AB23B0"/>
    <w:rsid w:val="00AB2567"/>
    <w:rsid w:val="00AB3273"/>
    <w:rsid w:val="00AB3537"/>
    <w:rsid w:val="00AB365A"/>
    <w:rsid w:val="00AB3A63"/>
    <w:rsid w:val="00AB4201"/>
    <w:rsid w:val="00AB453D"/>
    <w:rsid w:val="00AB48D1"/>
    <w:rsid w:val="00AB4CFC"/>
    <w:rsid w:val="00AB5363"/>
    <w:rsid w:val="00AB58F2"/>
    <w:rsid w:val="00AB5E9F"/>
    <w:rsid w:val="00AB61EF"/>
    <w:rsid w:val="00AB689B"/>
    <w:rsid w:val="00AB7541"/>
    <w:rsid w:val="00AB7CDE"/>
    <w:rsid w:val="00AC0AAA"/>
    <w:rsid w:val="00AC0D62"/>
    <w:rsid w:val="00AC1771"/>
    <w:rsid w:val="00AC1934"/>
    <w:rsid w:val="00AC277A"/>
    <w:rsid w:val="00AC41F9"/>
    <w:rsid w:val="00AC4EEC"/>
    <w:rsid w:val="00AC5B51"/>
    <w:rsid w:val="00AC6C46"/>
    <w:rsid w:val="00AC6D5D"/>
    <w:rsid w:val="00AC6F64"/>
    <w:rsid w:val="00AC706B"/>
    <w:rsid w:val="00AC7487"/>
    <w:rsid w:val="00AC7B00"/>
    <w:rsid w:val="00AD03D9"/>
    <w:rsid w:val="00AD20AF"/>
    <w:rsid w:val="00AD25AD"/>
    <w:rsid w:val="00AD3A59"/>
    <w:rsid w:val="00AD3BBF"/>
    <w:rsid w:val="00AD485D"/>
    <w:rsid w:val="00AD613B"/>
    <w:rsid w:val="00AE079E"/>
    <w:rsid w:val="00AE0D0C"/>
    <w:rsid w:val="00AE1BA9"/>
    <w:rsid w:val="00AE2387"/>
    <w:rsid w:val="00AE4002"/>
    <w:rsid w:val="00AE6E19"/>
    <w:rsid w:val="00AE724E"/>
    <w:rsid w:val="00AE76A8"/>
    <w:rsid w:val="00AF09A0"/>
    <w:rsid w:val="00AF1091"/>
    <w:rsid w:val="00AF153A"/>
    <w:rsid w:val="00AF18A6"/>
    <w:rsid w:val="00AF18CA"/>
    <w:rsid w:val="00AF1CFD"/>
    <w:rsid w:val="00AF2306"/>
    <w:rsid w:val="00AF2617"/>
    <w:rsid w:val="00AF2AE5"/>
    <w:rsid w:val="00AF2B00"/>
    <w:rsid w:val="00AF3AD9"/>
    <w:rsid w:val="00AF4640"/>
    <w:rsid w:val="00AF5145"/>
    <w:rsid w:val="00AF52CD"/>
    <w:rsid w:val="00AF58F3"/>
    <w:rsid w:val="00AF5ABA"/>
    <w:rsid w:val="00AF6D5C"/>
    <w:rsid w:val="00AF6D94"/>
    <w:rsid w:val="00B00317"/>
    <w:rsid w:val="00B0149D"/>
    <w:rsid w:val="00B014EC"/>
    <w:rsid w:val="00B04FE2"/>
    <w:rsid w:val="00B05126"/>
    <w:rsid w:val="00B05277"/>
    <w:rsid w:val="00B05777"/>
    <w:rsid w:val="00B05B5E"/>
    <w:rsid w:val="00B06527"/>
    <w:rsid w:val="00B07EE5"/>
    <w:rsid w:val="00B10C3C"/>
    <w:rsid w:val="00B11271"/>
    <w:rsid w:val="00B112A5"/>
    <w:rsid w:val="00B116FF"/>
    <w:rsid w:val="00B118CF"/>
    <w:rsid w:val="00B12833"/>
    <w:rsid w:val="00B12D4B"/>
    <w:rsid w:val="00B140E9"/>
    <w:rsid w:val="00B14557"/>
    <w:rsid w:val="00B1471D"/>
    <w:rsid w:val="00B15438"/>
    <w:rsid w:val="00B17281"/>
    <w:rsid w:val="00B2131B"/>
    <w:rsid w:val="00B21BF3"/>
    <w:rsid w:val="00B222E2"/>
    <w:rsid w:val="00B230A8"/>
    <w:rsid w:val="00B2310C"/>
    <w:rsid w:val="00B23328"/>
    <w:rsid w:val="00B233EC"/>
    <w:rsid w:val="00B23B81"/>
    <w:rsid w:val="00B242B1"/>
    <w:rsid w:val="00B24E54"/>
    <w:rsid w:val="00B25994"/>
    <w:rsid w:val="00B27646"/>
    <w:rsid w:val="00B30A4E"/>
    <w:rsid w:val="00B31A01"/>
    <w:rsid w:val="00B31E3C"/>
    <w:rsid w:val="00B32C18"/>
    <w:rsid w:val="00B33037"/>
    <w:rsid w:val="00B33732"/>
    <w:rsid w:val="00B3483B"/>
    <w:rsid w:val="00B35C7E"/>
    <w:rsid w:val="00B35D32"/>
    <w:rsid w:val="00B36448"/>
    <w:rsid w:val="00B377F6"/>
    <w:rsid w:val="00B40FEB"/>
    <w:rsid w:val="00B416B1"/>
    <w:rsid w:val="00B418F4"/>
    <w:rsid w:val="00B426A2"/>
    <w:rsid w:val="00B42D4E"/>
    <w:rsid w:val="00B43376"/>
    <w:rsid w:val="00B43E68"/>
    <w:rsid w:val="00B44209"/>
    <w:rsid w:val="00B44CCC"/>
    <w:rsid w:val="00B44EAC"/>
    <w:rsid w:val="00B465C8"/>
    <w:rsid w:val="00B472C9"/>
    <w:rsid w:val="00B47636"/>
    <w:rsid w:val="00B47C1C"/>
    <w:rsid w:val="00B47F43"/>
    <w:rsid w:val="00B506AC"/>
    <w:rsid w:val="00B50773"/>
    <w:rsid w:val="00B50D1B"/>
    <w:rsid w:val="00B50E2C"/>
    <w:rsid w:val="00B51364"/>
    <w:rsid w:val="00B517ED"/>
    <w:rsid w:val="00B52041"/>
    <w:rsid w:val="00B52F1D"/>
    <w:rsid w:val="00B53170"/>
    <w:rsid w:val="00B536A8"/>
    <w:rsid w:val="00B53B00"/>
    <w:rsid w:val="00B54AE6"/>
    <w:rsid w:val="00B54F8C"/>
    <w:rsid w:val="00B551CF"/>
    <w:rsid w:val="00B56D06"/>
    <w:rsid w:val="00B5765A"/>
    <w:rsid w:val="00B60C22"/>
    <w:rsid w:val="00B616A0"/>
    <w:rsid w:val="00B620CA"/>
    <w:rsid w:val="00B6232A"/>
    <w:rsid w:val="00B62B8F"/>
    <w:rsid w:val="00B62D75"/>
    <w:rsid w:val="00B63850"/>
    <w:rsid w:val="00B6475C"/>
    <w:rsid w:val="00B649F7"/>
    <w:rsid w:val="00B667C6"/>
    <w:rsid w:val="00B66DB7"/>
    <w:rsid w:val="00B67ADB"/>
    <w:rsid w:val="00B70A7F"/>
    <w:rsid w:val="00B716B3"/>
    <w:rsid w:val="00B719C9"/>
    <w:rsid w:val="00B71C25"/>
    <w:rsid w:val="00B71D4B"/>
    <w:rsid w:val="00B7214B"/>
    <w:rsid w:val="00B72A9B"/>
    <w:rsid w:val="00B73636"/>
    <w:rsid w:val="00B7370E"/>
    <w:rsid w:val="00B7381A"/>
    <w:rsid w:val="00B73C08"/>
    <w:rsid w:val="00B7439C"/>
    <w:rsid w:val="00B743D7"/>
    <w:rsid w:val="00B7534C"/>
    <w:rsid w:val="00B7657E"/>
    <w:rsid w:val="00B76793"/>
    <w:rsid w:val="00B76C42"/>
    <w:rsid w:val="00B76CBC"/>
    <w:rsid w:val="00B770C9"/>
    <w:rsid w:val="00B80C63"/>
    <w:rsid w:val="00B819ED"/>
    <w:rsid w:val="00B8390E"/>
    <w:rsid w:val="00B83CA3"/>
    <w:rsid w:val="00B84219"/>
    <w:rsid w:val="00B84275"/>
    <w:rsid w:val="00B84382"/>
    <w:rsid w:val="00B85068"/>
    <w:rsid w:val="00B85154"/>
    <w:rsid w:val="00B85546"/>
    <w:rsid w:val="00B85D8E"/>
    <w:rsid w:val="00B87377"/>
    <w:rsid w:val="00B87EA2"/>
    <w:rsid w:val="00B90139"/>
    <w:rsid w:val="00B913AA"/>
    <w:rsid w:val="00B91481"/>
    <w:rsid w:val="00B91B01"/>
    <w:rsid w:val="00B9205C"/>
    <w:rsid w:val="00B925BA"/>
    <w:rsid w:val="00B93031"/>
    <w:rsid w:val="00B9335D"/>
    <w:rsid w:val="00B94400"/>
    <w:rsid w:val="00B95673"/>
    <w:rsid w:val="00B961C8"/>
    <w:rsid w:val="00B96C2A"/>
    <w:rsid w:val="00B96FD4"/>
    <w:rsid w:val="00B97971"/>
    <w:rsid w:val="00B97D8D"/>
    <w:rsid w:val="00BA04E1"/>
    <w:rsid w:val="00BA18D1"/>
    <w:rsid w:val="00BA19E0"/>
    <w:rsid w:val="00BA1F8A"/>
    <w:rsid w:val="00BA258C"/>
    <w:rsid w:val="00BA280D"/>
    <w:rsid w:val="00BA321E"/>
    <w:rsid w:val="00BA3EDB"/>
    <w:rsid w:val="00BA4441"/>
    <w:rsid w:val="00BA46B0"/>
    <w:rsid w:val="00BA47DA"/>
    <w:rsid w:val="00BA4E91"/>
    <w:rsid w:val="00BA5E59"/>
    <w:rsid w:val="00BA6D0B"/>
    <w:rsid w:val="00BA75F2"/>
    <w:rsid w:val="00BB0F17"/>
    <w:rsid w:val="00BB1A4D"/>
    <w:rsid w:val="00BB228F"/>
    <w:rsid w:val="00BB304B"/>
    <w:rsid w:val="00BB347F"/>
    <w:rsid w:val="00BB36ED"/>
    <w:rsid w:val="00BB50DE"/>
    <w:rsid w:val="00BB641A"/>
    <w:rsid w:val="00BB6DED"/>
    <w:rsid w:val="00BB79A4"/>
    <w:rsid w:val="00BB7A89"/>
    <w:rsid w:val="00BB7CBB"/>
    <w:rsid w:val="00BC08D4"/>
    <w:rsid w:val="00BC0CB8"/>
    <w:rsid w:val="00BC0EE4"/>
    <w:rsid w:val="00BC1B82"/>
    <w:rsid w:val="00BC1D46"/>
    <w:rsid w:val="00BC21D7"/>
    <w:rsid w:val="00BC4A61"/>
    <w:rsid w:val="00BC52EB"/>
    <w:rsid w:val="00BC5978"/>
    <w:rsid w:val="00BC5A14"/>
    <w:rsid w:val="00BC63D5"/>
    <w:rsid w:val="00BC6876"/>
    <w:rsid w:val="00BD0100"/>
    <w:rsid w:val="00BD297C"/>
    <w:rsid w:val="00BD2BB6"/>
    <w:rsid w:val="00BD4509"/>
    <w:rsid w:val="00BD483C"/>
    <w:rsid w:val="00BD4931"/>
    <w:rsid w:val="00BD499A"/>
    <w:rsid w:val="00BD532D"/>
    <w:rsid w:val="00BD6F03"/>
    <w:rsid w:val="00BD6FDA"/>
    <w:rsid w:val="00BD77B5"/>
    <w:rsid w:val="00BD7A55"/>
    <w:rsid w:val="00BE00E4"/>
    <w:rsid w:val="00BE0270"/>
    <w:rsid w:val="00BE0809"/>
    <w:rsid w:val="00BE0965"/>
    <w:rsid w:val="00BE0D73"/>
    <w:rsid w:val="00BE0DD9"/>
    <w:rsid w:val="00BE180E"/>
    <w:rsid w:val="00BE19CD"/>
    <w:rsid w:val="00BE21A8"/>
    <w:rsid w:val="00BE2827"/>
    <w:rsid w:val="00BE2CB6"/>
    <w:rsid w:val="00BE331A"/>
    <w:rsid w:val="00BE391E"/>
    <w:rsid w:val="00BE4444"/>
    <w:rsid w:val="00BE48B7"/>
    <w:rsid w:val="00BE4C20"/>
    <w:rsid w:val="00BE53BC"/>
    <w:rsid w:val="00BE5574"/>
    <w:rsid w:val="00BE5CDB"/>
    <w:rsid w:val="00BE5DF3"/>
    <w:rsid w:val="00BE61B0"/>
    <w:rsid w:val="00BE6BFF"/>
    <w:rsid w:val="00BE74B4"/>
    <w:rsid w:val="00BE74D9"/>
    <w:rsid w:val="00BF01E3"/>
    <w:rsid w:val="00BF0B84"/>
    <w:rsid w:val="00BF19A0"/>
    <w:rsid w:val="00BF2280"/>
    <w:rsid w:val="00BF4843"/>
    <w:rsid w:val="00BF4B69"/>
    <w:rsid w:val="00BF5F81"/>
    <w:rsid w:val="00BF6456"/>
    <w:rsid w:val="00BF6462"/>
    <w:rsid w:val="00BF6F8D"/>
    <w:rsid w:val="00BF7738"/>
    <w:rsid w:val="00BF77A4"/>
    <w:rsid w:val="00C00471"/>
    <w:rsid w:val="00C011B3"/>
    <w:rsid w:val="00C014C6"/>
    <w:rsid w:val="00C01839"/>
    <w:rsid w:val="00C01BF8"/>
    <w:rsid w:val="00C02043"/>
    <w:rsid w:val="00C04A40"/>
    <w:rsid w:val="00C04F50"/>
    <w:rsid w:val="00C05E06"/>
    <w:rsid w:val="00C06FED"/>
    <w:rsid w:val="00C0702F"/>
    <w:rsid w:val="00C076D3"/>
    <w:rsid w:val="00C1041E"/>
    <w:rsid w:val="00C1044E"/>
    <w:rsid w:val="00C10EB9"/>
    <w:rsid w:val="00C11E3B"/>
    <w:rsid w:val="00C1233D"/>
    <w:rsid w:val="00C12AFA"/>
    <w:rsid w:val="00C12E9A"/>
    <w:rsid w:val="00C1412B"/>
    <w:rsid w:val="00C15578"/>
    <w:rsid w:val="00C15648"/>
    <w:rsid w:val="00C16E21"/>
    <w:rsid w:val="00C17244"/>
    <w:rsid w:val="00C2000C"/>
    <w:rsid w:val="00C2020E"/>
    <w:rsid w:val="00C20265"/>
    <w:rsid w:val="00C2049A"/>
    <w:rsid w:val="00C20ECB"/>
    <w:rsid w:val="00C2112F"/>
    <w:rsid w:val="00C21CA1"/>
    <w:rsid w:val="00C21D7D"/>
    <w:rsid w:val="00C21FB0"/>
    <w:rsid w:val="00C24142"/>
    <w:rsid w:val="00C257EC"/>
    <w:rsid w:val="00C25B6F"/>
    <w:rsid w:val="00C25CA5"/>
    <w:rsid w:val="00C2605E"/>
    <w:rsid w:val="00C2648E"/>
    <w:rsid w:val="00C26B97"/>
    <w:rsid w:val="00C27BE2"/>
    <w:rsid w:val="00C30194"/>
    <w:rsid w:val="00C30973"/>
    <w:rsid w:val="00C30F85"/>
    <w:rsid w:val="00C31129"/>
    <w:rsid w:val="00C313E7"/>
    <w:rsid w:val="00C3210B"/>
    <w:rsid w:val="00C326A9"/>
    <w:rsid w:val="00C34EEE"/>
    <w:rsid w:val="00C3561D"/>
    <w:rsid w:val="00C3654D"/>
    <w:rsid w:val="00C369FE"/>
    <w:rsid w:val="00C410EB"/>
    <w:rsid w:val="00C4196A"/>
    <w:rsid w:val="00C41CF2"/>
    <w:rsid w:val="00C41E47"/>
    <w:rsid w:val="00C42E87"/>
    <w:rsid w:val="00C42F00"/>
    <w:rsid w:val="00C43453"/>
    <w:rsid w:val="00C44924"/>
    <w:rsid w:val="00C45097"/>
    <w:rsid w:val="00C45C93"/>
    <w:rsid w:val="00C461EB"/>
    <w:rsid w:val="00C50077"/>
    <w:rsid w:val="00C51720"/>
    <w:rsid w:val="00C51E03"/>
    <w:rsid w:val="00C520D7"/>
    <w:rsid w:val="00C52B35"/>
    <w:rsid w:val="00C5372C"/>
    <w:rsid w:val="00C53769"/>
    <w:rsid w:val="00C53EEF"/>
    <w:rsid w:val="00C55CD2"/>
    <w:rsid w:val="00C55E91"/>
    <w:rsid w:val="00C562B4"/>
    <w:rsid w:val="00C56832"/>
    <w:rsid w:val="00C56C08"/>
    <w:rsid w:val="00C57869"/>
    <w:rsid w:val="00C60DF5"/>
    <w:rsid w:val="00C60FED"/>
    <w:rsid w:val="00C627A3"/>
    <w:rsid w:val="00C64C2F"/>
    <w:rsid w:val="00C6528A"/>
    <w:rsid w:val="00C6546A"/>
    <w:rsid w:val="00C66586"/>
    <w:rsid w:val="00C665F2"/>
    <w:rsid w:val="00C672BF"/>
    <w:rsid w:val="00C6749F"/>
    <w:rsid w:val="00C676D3"/>
    <w:rsid w:val="00C7054B"/>
    <w:rsid w:val="00C70598"/>
    <w:rsid w:val="00C71439"/>
    <w:rsid w:val="00C72AE9"/>
    <w:rsid w:val="00C7375A"/>
    <w:rsid w:val="00C74048"/>
    <w:rsid w:val="00C74654"/>
    <w:rsid w:val="00C74775"/>
    <w:rsid w:val="00C74F0F"/>
    <w:rsid w:val="00C754A8"/>
    <w:rsid w:val="00C7556D"/>
    <w:rsid w:val="00C75F55"/>
    <w:rsid w:val="00C76725"/>
    <w:rsid w:val="00C77FDD"/>
    <w:rsid w:val="00C81867"/>
    <w:rsid w:val="00C81AAE"/>
    <w:rsid w:val="00C81EBC"/>
    <w:rsid w:val="00C82FE1"/>
    <w:rsid w:val="00C847AA"/>
    <w:rsid w:val="00C84C3A"/>
    <w:rsid w:val="00C86300"/>
    <w:rsid w:val="00C8679C"/>
    <w:rsid w:val="00C8685C"/>
    <w:rsid w:val="00C873BE"/>
    <w:rsid w:val="00C87645"/>
    <w:rsid w:val="00C87795"/>
    <w:rsid w:val="00C8788F"/>
    <w:rsid w:val="00C878A2"/>
    <w:rsid w:val="00C93936"/>
    <w:rsid w:val="00C948E7"/>
    <w:rsid w:val="00C963E5"/>
    <w:rsid w:val="00C967BE"/>
    <w:rsid w:val="00C96E4A"/>
    <w:rsid w:val="00C97546"/>
    <w:rsid w:val="00C975A8"/>
    <w:rsid w:val="00C97688"/>
    <w:rsid w:val="00C97773"/>
    <w:rsid w:val="00C9786B"/>
    <w:rsid w:val="00C97D39"/>
    <w:rsid w:val="00CA1482"/>
    <w:rsid w:val="00CA1957"/>
    <w:rsid w:val="00CA2159"/>
    <w:rsid w:val="00CA21E3"/>
    <w:rsid w:val="00CA2ACE"/>
    <w:rsid w:val="00CA3B1F"/>
    <w:rsid w:val="00CA3B41"/>
    <w:rsid w:val="00CA3BA7"/>
    <w:rsid w:val="00CA3D0C"/>
    <w:rsid w:val="00CA7866"/>
    <w:rsid w:val="00CA7F24"/>
    <w:rsid w:val="00CB0C31"/>
    <w:rsid w:val="00CB0D84"/>
    <w:rsid w:val="00CB1580"/>
    <w:rsid w:val="00CB1A38"/>
    <w:rsid w:val="00CB21B3"/>
    <w:rsid w:val="00CB2E9C"/>
    <w:rsid w:val="00CB3460"/>
    <w:rsid w:val="00CB4072"/>
    <w:rsid w:val="00CB484D"/>
    <w:rsid w:val="00CB517A"/>
    <w:rsid w:val="00CB5E18"/>
    <w:rsid w:val="00CB61C9"/>
    <w:rsid w:val="00CB62EE"/>
    <w:rsid w:val="00CB7176"/>
    <w:rsid w:val="00CB730C"/>
    <w:rsid w:val="00CC0F4A"/>
    <w:rsid w:val="00CC0F68"/>
    <w:rsid w:val="00CC22B1"/>
    <w:rsid w:val="00CC2A03"/>
    <w:rsid w:val="00CC2C93"/>
    <w:rsid w:val="00CC2DC4"/>
    <w:rsid w:val="00CC384C"/>
    <w:rsid w:val="00CC38CF"/>
    <w:rsid w:val="00CC3988"/>
    <w:rsid w:val="00CC5202"/>
    <w:rsid w:val="00CC52C9"/>
    <w:rsid w:val="00CC53F4"/>
    <w:rsid w:val="00CC5AF3"/>
    <w:rsid w:val="00CC68BF"/>
    <w:rsid w:val="00CC6958"/>
    <w:rsid w:val="00CC7C45"/>
    <w:rsid w:val="00CD13B1"/>
    <w:rsid w:val="00CD2107"/>
    <w:rsid w:val="00CD28EC"/>
    <w:rsid w:val="00CD2DC8"/>
    <w:rsid w:val="00CD3D23"/>
    <w:rsid w:val="00CD3FDF"/>
    <w:rsid w:val="00CD561D"/>
    <w:rsid w:val="00CD6EF5"/>
    <w:rsid w:val="00CD755A"/>
    <w:rsid w:val="00CE052C"/>
    <w:rsid w:val="00CE0CE1"/>
    <w:rsid w:val="00CE20E9"/>
    <w:rsid w:val="00CE3DD3"/>
    <w:rsid w:val="00CE4053"/>
    <w:rsid w:val="00CE4954"/>
    <w:rsid w:val="00CE5016"/>
    <w:rsid w:val="00CE596E"/>
    <w:rsid w:val="00CE5FEF"/>
    <w:rsid w:val="00CF1160"/>
    <w:rsid w:val="00CF3482"/>
    <w:rsid w:val="00CF4940"/>
    <w:rsid w:val="00CF4CD4"/>
    <w:rsid w:val="00CF507C"/>
    <w:rsid w:val="00CF5293"/>
    <w:rsid w:val="00CF72AC"/>
    <w:rsid w:val="00D0011E"/>
    <w:rsid w:val="00D004E5"/>
    <w:rsid w:val="00D0136A"/>
    <w:rsid w:val="00D0142A"/>
    <w:rsid w:val="00D0150B"/>
    <w:rsid w:val="00D02111"/>
    <w:rsid w:val="00D0280B"/>
    <w:rsid w:val="00D038D7"/>
    <w:rsid w:val="00D03B38"/>
    <w:rsid w:val="00D052E6"/>
    <w:rsid w:val="00D05DDB"/>
    <w:rsid w:val="00D073F9"/>
    <w:rsid w:val="00D07DD7"/>
    <w:rsid w:val="00D10717"/>
    <w:rsid w:val="00D1147F"/>
    <w:rsid w:val="00D13DF1"/>
    <w:rsid w:val="00D13EDA"/>
    <w:rsid w:val="00D15061"/>
    <w:rsid w:val="00D15D74"/>
    <w:rsid w:val="00D16D8E"/>
    <w:rsid w:val="00D16FB5"/>
    <w:rsid w:val="00D1722E"/>
    <w:rsid w:val="00D176B7"/>
    <w:rsid w:val="00D17F2A"/>
    <w:rsid w:val="00D20B08"/>
    <w:rsid w:val="00D211A5"/>
    <w:rsid w:val="00D2261D"/>
    <w:rsid w:val="00D228B8"/>
    <w:rsid w:val="00D2301A"/>
    <w:rsid w:val="00D24515"/>
    <w:rsid w:val="00D24B00"/>
    <w:rsid w:val="00D24E61"/>
    <w:rsid w:val="00D2526B"/>
    <w:rsid w:val="00D266A9"/>
    <w:rsid w:val="00D27660"/>
    <w:rsid w:val="00D30E94"/>
    <w:rsid w:val="00D31401"/>
    <w:rsid w:val="00D324DA"/>
    <w:rsid w:val="00D3266B"/>
    <w:rsid w:val="00D32A14"/>
    <w:rsid w:val="00D32B43"/>
    <w:rsid w:val="00D33571"/>
    <w:rsid w:val="00D339A1"/>
    <w:rsid w:val="00D33CFC"/>
    <w:rsid w:val="00D344F3"/>
    <w:rsid w:val="00D3524B"/>
    <w:rsid w:val="00D357A4"/>
    <w:rsid w:val="00D36238"/>
    <w:rsid w:val="00D36EB1"/>
    <w:rsid w:val="00D375AE"/>
    <w:rsid w:val="00D4029D"/>
    <w:rsid w:val="00D43642"/>
    <w:rsid w:val="00D44DF2"/>
    <w:rsid w:val="00D44EDE"/>
    <w:rsid w:val="00D451A5"/>
    <w:rsid w:val="00D451C1"/>
    <w:rsid w:val="00D45283"/>
    <w:rsid w:val="00D4541B"/>
    <w:rsid w:val="00D477C3"/>
    <w:rsid w:val="00D47CB0"/>
    <w:rsid w:val="00D47DE7"/>
    <w:rsid w:val="00D51271"/>
    <w:rsid w:val="00D51828"/>
    <w:rsid w:val="00D53179"/>
    <w:rsid w:val="00D53DC5"/>
    <w:rsid w:val="00D5465D"/>
    <w:rsid w:val="00D5517C"/>
    <w:rsid w:val="00D55406"/>
    <w:rsid w:val="00D55E9A"/>
    <w:rsid w:val="00D5615B"/>
    <w:rsid w:val="00D56E84"/>
    <w:rsid w:val="00D60759"/>
    <w:rsid w:val="00D6293F"/>
    <w:rsid w:val="00D662E4"/>
    <w:rsid w:val="00D670D3"/>
    <w:rsid w:val="00D67470"/>
    <w:rsid w:val="00D6792F"/>
    <w:rsid w:val="00D67B99"/>
    <w:rsid w:val="00D67FC9"/>
    <w:rsid w:val="00D709B5"/>
    <w:rsid w:val="00D729D1"/>
    <w:rsid w:val="00D72B2A"/>
    <w:rsid w:val="00D736FB"/>
    <w:rsid w:val="00D73AAF"/>
    <w:rsid w:val="00D73B35"/>
    <w:rsid w:val="00D74B08"/>
    <w:rsid w:val="00D75461"/>
    <w:rsid w:val="00D75B0B"/>
    <w:rsid w:val="00D76233"/>
    <w:rsid w:val="00D77388"/>
    <w:rsid w:val="00D775D2"/>
    <w:rsid w:val="00D77855"/>
    <w:rsid w:val="00D8078E"/>
    <w:rsid w:val="00D80D94"/>
    <w:rsid w:val="00D8118D"/>
    <w:rsid w:val="00D82637"/>
    <w:rsid w:val="00D83283"/>
    <w:rsid w:val="00D83860"/>
    <w:rsid w:val="00D83B8A"/>
    <w:rsid w:val="00D83D34"/>
    <w:rsid w:val="00D85155"/>
    <w:rsid w:val="00D85F3F"/>
    <w:rsid w:val="00D86169"/>
    <w:rsid w:val="00D8652F"/>
    <w:rsid w:val="00D86BF7"/>
    <w:rsid w:val="00D86C18"/>
    <w:rsid w:val="00D8747A"/>
    <w:rsid w:val="00D875E3"/>
    <w:rsid w:val="00D91421"/>
    <w:rsid w:val="00D91CBD"/>
    <w:rsid w:val="00D926E9"/>
    <w:rsid w:val="00D92B66"/>
    <w:rsid w:val="00D9348C"/>
    <w:rsid w:val="00D93CC1"/>
    <w:rsid w:val="00D93EB9"/>
    <w:rsid w:val="00D942A3"/>
    <w:rsid w:val="00D95384"/>
    <w:rsid w:val="00D9583F"/>
    <w:rsid w:val="00D96C34"/>
    <w:rsid w:val="00D970E9"/>
    <w:rsid w:val="00D97E49"/>
    <w:rsid w:val="00DA073F"/>
    <w:rsid w:val="00DA08BF"/>
    <w:rsid w:val="00DA12F6"/>
    <w:rsid w:val="00DA1419"/>
    <w:rsid w:val="00DA2603"/>
    <w:rsid w:val="00DA2818"/>
    <w:rsid w:val="00DA2876"/>
    <w:rsid w:val="00DA40F8"/>
    <w:rsid w:val="00DA47F0"/>
    <w:rsid w:val="00DA4875"/>
    <w:rsid w:val="00DA4917"/>
    <w:rsid w:val="00DA4E73"/>
    <w:rsid w:val="00DA5117"/>
    <w:rsid w:val="00DA61B6"/>
    <w:rsid w:val="00DA68C1"/>
    <w:rsid w:val="00DA71E0"/>
    <w:rsid w:val="00DA7808"/>
    <w:rsid w:val="00DB2CB5"/>
    <w:rsid w:val="00DB2F25"/>
    <w:rsid w:val="00DB35F8"/>
    <w:rsid w:val="00DB57B7"/>
    <w:rsid w:val="00DB67E5"/>
    <w:rsid w:val="00DB68CD"/>
    <w:rsid w:val="00DB73AB"/>
    <w:rsid w:val="00DB761D"/>
    <w:rsid w:val="00DB7C28"/>
    <w:rsid w:val="00DC13F9"/>
    <w:rsid w:val="00DC1D72"/>
    <w:rsid w:val="00DC2E2C"/>
    <w:rsid w:val="00DC4E8F"/>
    <w:rsid w:val="00DC545A"/>
    <w:rsid w:val="00DC585F"/>
    <w:rsid w:val="00DC77F2"/>
    <w:rsid w:val="00DC78DB"/>
    <w:rsid w:val="00DC7F7D"/>
    <w:rsid w:val="00DD028A"/>
    <w:rsid w:val="00DD08C1"/>
    <w:rsid w:val="00DD19C8"/>
    <w:rsid w:val="00DD1BFF"/>
    <w:rsid w:val="00DD2278"/>
    <w:rsid w:val="00DD2ADC"/>
    <w:rsid w:val="00DD4F3E"/>
    <w:rsid w:val="00DD5FFB"/>
    <w:rsid w:val="00DD67A9"/>
    <w:rsid w:val="00DD6EA5"/>
    <w:rsid w:val="00DD75C0"/>
    <w:rsid w:val="00DD7C85"/>
    <w:rsid w:val="00DE2574"/>
    <w:rsid w:val="00DE2C5D"/>
    <w:rsid w:val="00DE36B6"/>
    <w:rsid w:val="00DE43B5"/>
    <w:rsid w:val="00DE4BD0"/>
    <w:rsid w:val="00DE58C9"/>
    <w:rsid w:val="00DE58D7"/>
    <w:rsid w:val="00DE5D98"/>
    <w:rsid w:val="00DE62BC"/>
    <w:rsid w:val="00DE7572"/>
    <w:rsid w:val="00DE7BEA"/>
    <w:rsid w:val="00DE7DAF"/>
    <w:rsid w:val="00DF154D"/>
    <w:rsid w:val="00DF16FC"/>
    <w:rsid w:val="00DF19F6"/>
    <w:rsid w:val="00DF376E"/>
    <w:rsid w:val="00DF431A"/>
    <w:rsid w:val="00DF5CAF"/>
    <w:rsid w:val="00DF62C6"/>
    <w:rsid w:val="00DF6D21"/>
    <w:rsid w:val="00DF75FB"/>
    <w:rsid w:val="00DF7C00"/>
    <w:rsid w:val="00E00BBD"/>
    <w:rsid w:val="00E00C89"/>
    <w:rsid w:val="00E013E3"/>
    <w:rsid w:val="00E01F2F"/>
    <w:rsid w:val="00E02136"/>
    <w:rsid w:val="00E02157"/>
    <w:rsid w:val="00E0219A"/>
    <w:rsid w:val="00E02370"/>
    <w:rsid w:val="00E02392"/>
    <w:rsid w:val="00E02F84"/>
    <w:rsid w:val="00E03E17"/>
    <w:rsid w:val="00E042FF"/>
    <w:rsid w:val="00E04850"/>
    <w:rsid w:val="00E05C13"/>
    <w:rsid w:val="00E05C1A"/>
    <w:rsid w:val="00E064CA"/>
    <w:rsid w:val="00E065B2"/>
    <w:rsid w:val="00E06813"/>
    <w:rsid w:val="00E10053"/>
    <w:rsid w:val="00E111E4"/>
    <w:rsid w:val="00E11521"/>
    <w:rsid w:val="00E127AF"/>
    <w:rsid w:val="00E13B47"/>
    <w:rsid w:val="00E15933"/>
    <w:rsid w:val="00E15B99"/>
    <w:rsid w:val="00E16BD3"/>
    <w:rsid w:val="00E16FAA"/>
    <w:rsid w:val="00E171C2"/>
    <w:rsid w:val="00E20598"/>
    <w:rsid w:val="00E20664"/>
    <w:rsid w:val="00E2148E"/>
    <w:rsid w:val="00E21C56"/>
    <w:rsid w:val="00E22425"/>
    <w:rsid w:val="00E23F67"/>
    <w:rsid w:val="00E24926"/>
    <w:rsid w:val="00E24E04"/>
    <w:rsid w:val="00E2580D"/>
    <w:rsid w:val="00E2583C"/>
    <w:rsid w:val="00E2789E"/>
    <w:rsid w:val="00E27948"/>
    <w:rsid w:val="00E27F2F"/>
    <w:rsid w:val="00E30294"/>
    <w:rsid w:val="00E315D6"/>
    <w:rsid w:val="00E3258F"/>
    <w:rsid w:val="00E330AB"/>
    <w:rsid w:val="00E3317B"/>
    <w:rsid w:val="00E3386F"/>
    <w:rsid w:val="00E341F0"/>
    <w:rsid w:val="00E350BD"/>
    <w:rsid w:val="00E3540A"/>
    <w:rsid w:val="00E35AE0"/>
    <w:rsid w:val="00E36335"/>
    <w:rsid w:val="00E373B4"/>
    <w:rsid w:val="00E37B5C"/>
    <w:rsid w:val="00E37CF8"/>
    <w:rsid w:val="00E40350"/>
    <w:rsid w:val="00E407AC"/>
    <w:rsid w:val="00E413A5"/>
    <w:rsid w:val="00E41AF8"/>
    <w:rsid w:val="00E422BE"/>
    <w:rsid w:val="00E4296A"/>
    <w:rsid w:val="00E43380"/>
    <w:rsid w:val="00E44274"/>
    <w:rsid w:val="00E44603"/>
    <w:rsid w:val="00E44F24"/>
    <w:rsid w:val="00E455B4"/>
    <w:rsid w:val="00E46FA7"/>
    <w:rsid w:val="00E46FBA"/>
    <w:rsid w:val="00E47328"/>
    <w:rsid w:val="00E476DD"/>
    <w:rsid w:val="00E479DF"/>
    <w:rsid w:val="00E505D8"/>
    <w:rsid w:val="00E50B83"/>
    <w:rsid w:val="00E51530"/>
    <w:rsid w:val="00E5252F"/>
    <w:rsid w:val="00E528C6"/>
    <w:rsid w:val="00E52B26"/>
    <w:rsid w:val="00E535BD"/>
    <w:rsid w:val="00E54596"/>
    <w:rsid w:val="00E55578"/>
    <w:rsid w:val="00E56000"/>
    <w:rsid w:val="00E56378"/>
    <w:rsid w:val="00E57208"/>
    <w:rsid w:val="00E57457"/>
    <w:rsid w:val="00E60175"/>
    <w:rsid w:val="00E6160E"/>
    <w:rsid w:val="00E63F00"/>
    <w:rsid w:val="00E642DC"/>
    <w:rsid w:val="00E64ABC"/>
    <w:rsid w:val="00E64E57"/>
    <w:rsid w:val="00E64F71"/>
    <w:rsid w:val="00E64FC2"/>
    <w:rsid w:val="00E65240"/>
    <w:rsid w:val="00E66FD1"/>
    <w:rsid w:val="00E67590"/>
    <w:rsid w:val="00E67A1A"/>
    <w:rsid w:val="00E703B1"/>
    <w:rsid w:val="00E7045C"/>
    <w:rsid w:val="00E718EA"/>
    <w:rsid w:val="00E71A6E"/>
    <w:rsid w:val="00E72E55"/>
    <w:rsid w:val="00E733D4"/>
    <w:rsid w:val="00E74228"/>
    <w:rsid w:val="00E74759"/>
    <w:rsid w:val="00E74A24"/>
    <w:rsid w:val="00E74E48"/>
    <w:rsid w:val="00E76B64"/>
    <w:rsid w:val="00E76BBE"/>
    <w:rsid w:val="00E77101"/>
    <w:rsid w:val="00E77326"/>
    <w:rsid w:val="00E808C9"/>
    <w:rsid w:val="00E80943"/>
    <w:rsid w:val="00E8112D"/>
    <w:rsid w:val="00E81135"/>
    <w:rsid w:val="00E8148D"/>
    <w:rsid w:val="00E818C3"/>
    <w:rsid w:val="00E82DCF"/>
    <w:rsid w:val="00E84DC4"/>
    <w:rsid w:val="00E84E21"/>
    <w:rsid w:val="00E8561A"/>
    <w:rsid w:val="00E8589E"/>
    <w:rsid w:val="00E85DE8"/>
    <w:rsid w:val="00E86672"/>
    <w:rsid w:val="00E86705"/>
    <w:rsid w:val="00E86E0C"/>
    <w:rsid w:val="00E87FB1"/>
    <w:rsid w:val="00E900CF"/>
    <w:rsid w:val="00E908C6"/>
    <w:rsid w:val="00E924A8"/>
    <w:rsid w:val="00E93450"/>
    <w:rsid w:val="00E9372A"/>
    <w:rsid w:val="00E93AFD"/>
    <w:rsid w:val="00E95441"/>
    <w:rsid w:val="00E96618"/>
    <w:rsid w:val="00E97970"/>
    <w:rsid w:val="00E979A5"/>
    <w:rsid w:val="00E97C50"/>
    <w:rsid w:val="00EA03D8"/>
    <w:rsid w:val="00EA0DB1"/>
    <w:rsid w:val="00EA507E"/>
    <w:rsid w:val="00EA5747"/>
    <w:rsid w:val="00EA6103"/>
    <w:rsid w:val="00EA73BA"/>
    <w:rsid w:val="00EA7745"/>
    <w:rsid w:val="00EB0F28"/>
    <w:rsid w:val="00EB1892"/>
    <w:rsid w:val="00EB2336"/>
    <w:rsid w:val="00EB3B2C"/>
    <w:rsid w:val="00EB3F96"/>
    <w:rsid w:val="00EB3FA2"/>
    <w:rsid w:val="00EB4281"/>
    <w:rsid w:val="00EB4A81"/>
    <w:rsid w:val="00EB5264"/>
    <w:rsid w:val="00EB52AE"/>
    <w:rsid w:val="00EB60D0"/>
    <w:rsid w:val="00EC03D2"/>
    <w:rsid w:val="00EC0719"/>
    <w:rsid w:val="00EC09D5"/>
    <w:rsid w:val="00EC1FA6"/>
    <w:rsid w:val="00EC202F"/>
    <w:rsid w:val="00EC25AB"/>
    <w:rsid w:val="00EC3DF9"/>
    <w:rsid w:val="00EC4F93"/>
    <w:rsid w:val="00EC515F"/>
    <w:rsid w:val="00EC5679"/>
    <w:rsid w:val="00EC5764"/>
    <w:rsid w:val="00EC5DBE"/>
    <w:rsid w:val="00EC5DE6"/>
    <w:rsid w:val="00EC6263"/>
    <w:rsid w:val="00EC6C65"/>
    <w:rsid w:val="00ED0FC6"/>
    <w:rsid w:val="00ED1C3D"/>
    <w:rsid w:val="00ED2264"/>
    <w:rsid w:val="00ED23A2"/>
    <w:rsid w:val="00ED2B1D"/>
    <w:rsid w:val="00ED412E"/>
    <w:rsid w:val="00ED41A8"/>
    <w:rsid w:val="00ED44D2"/>
    <w:rsid w:val="00ED452D"/>
    <w:rsid w:val="00ED5035"/>
    <w:rsid w:val="00ED5703"/>
    <w:rsid w:val="00ED5DD6"/>
    <w:rsid w:val="00ED65DB"/>
    <w:rsid w:val="00ED6AF2"/>
    <w:rsid w:val="00ED7BC1"/>
    <w:rsid w:val="00EE04D4"/>
    <w:rsid w:val="00EE0C34"/>
    <w:rsid w:val="00EE0C71"/>
    <w:rsid w:val="00EE29BE"/>
    <w:rsid w:val="00EE3C34"/>
    <w:rsid w:val="00EE3CDA"/>
    <w:rsid w:val="00EE4C9E"/>
    <w:rsid w:val="00EE5884"/>
    <w:rsid w:val="00EE7261"/>
    <w:rsid w:val="00EF038F"/>
    <w:rsid w:val="00EF07C3"/>
    <w:rsid w:val="00EF1944"/>
    <w:rsid w:val="00EF26AE"/>
    <w:rsid w:val="00EF27B5"/>
    <w:rsid w:val="00EF43EA"/>
    <w:rsid w:val="00EF46B1"/>
    <w:rsid w:val="00EF493E"/>
    <w:rsid w:val="00EF5D73"/>
    <w:rsid w:val="00EF607A"/>
    <w:rsid w:val="00EF6331"/>
    <w:rsid w:val="00EF6482"/>
    <w:rsid w:val="00EF71FF"/>
    <w:rsid w:val="00EF7662"/>
    <w:rsid w:val="00EF773B"/>
    <w:rsid w:val="00F00241"/>
    <w:rsid w:val="00F00777"/>
    <w:rsid w:val="00F00887"/>
    <w:rsid w:val="00F0147C"/>
    <w:rsid w:val="00F01AED"/>
    <w:rsid w:val="00F02876"/>
    <w:rsid w:val="00F06185"/>
    <w:rsid w:val="00F064C3"/>
    <w:rsid w:val="00F06A82"/>
    <w:rsid w:val="00F109A7"/>
    <w:rsid w:val="00F10BFD"/>
    <w:rsid w:val="00F10D7E"/>
    <w:rsid w:val="00F11D60"/>
    <w:rsid w:val="00F12451"/>
    <w:rsid w:val="00F12F74"/>
    <w:rsid w:val="00F1303C"/>
    <w:rsid w:val="00F132E8"/>
    <w:rsid w:val="00F14FD4"/>
    <w:rsid w:val="00F15550"/>
    <w:rsid w:val="00F15E8D"/>
    <w:rsid w:val="00F175AF"/>
    <w:rsid w:val="00F205FB"/>
    <w:rsid w:val="00F20967"/>
    <w:rsid w:val="00F20DD7"/>
    <w:rsid w:val="00F21CF8"/>
    <w:rsid w:val="00F22A61"/>
    <w:rsid w:val="00F2357B"/>
    <w:rsid w:val="00F23602"/>
    <w:rsid w:val="00F236DC"/>
    <w:rsid w:val="00F2464A"/>
    <w:rsid w:val="00F247BC"/>
    <w:rsid w:val="00F2482C"/>
    <w:rsid w:val="00F24A8F"/>
    <w:rsid w:val="00F25233"/>
    <w:rsid w:val="00F25CBC"/>
    <w:rsid w:val="00F25EAF"/>
    <w:rsid w:val="00F26AC0"/>
    <w:rsid w:val="00F2719D"/>
    <w:rsid w:val="00F27940"/>
    <w:rsid w:val="00F27A13"/>
    <w:rsid w:val="00F27FA1"/>
    <w:rsid w:val="00F3032E"/>
    <w:rsid w:val="00F3124A"/>
    <w:rsid w:val="00F313E8"/>
    <w:rsid w:val="00F31596"/>
    <w:rsid w:val="00F31EFE"/>
    <w:rsid w:val="00F3277D"/>
    <w:rsid w:val="00F32822"/>
    <w:rsid w:val="00F32EC1"/>
    <w:rsid w:val="00F3329B"/>
    <w:rsid w:val="00F33D35"/>
    <w:rsid w:val="00F340F0"/>
    <w:rsid w:val="00F343CC"/>
    <w:rsid w:val="00F34F38"/>
    <w:rsid w:val="00F350F7"/>
    <w:rsid w:val="00F35253"/>
    <w:rsid w:val="00F36405"/>
    <w:rsid w:val="00F36809"/>
    <w:rsid w:val="00F36950"/>
    <w:rsid w:val="00F371E7"/>
    <w:rsid w:val="00F3733F"/>
    <w:rsid w:val="00F3738F"/>
    <w:rsid w:val="00F37625"/>
    <w:rsid w:val="00F40055"/>
    <w:rsid w:val="00F41E87"/>
    <w:rsid w:val="00F42120"/>
    <w:rsid w:val="00F428F8"/>
    <w:rsid w:val="00F43B83"/>
    <w:rsid w:val="00F44EBF"/>
    <w:rsid w:val="00F45EB3"/>
    <w:rsid w:val="00F47502"/>
    <w:rsid w:val="00F47697"/>
    <w:rsid w:val="00F50DD0"/>
    <w:rsid w:val="00F517F3"/>
    <w:rsid w:val="00F520B3"/>
    <w:rsid w:val="00F53132"/>
    <w:rsid w:val="00F531DC"/>
    <w:rsid w:val="00F538EF"/>
    <w:rsid w:val="00F53F88"/>
    <w:rsid w:val="00F54274"/>
    <w:rsid w:val="00F5456A"/>
    <w:rsid w:val="00F545FC"/>
    <w:rsid w:val="00F547FE"/>
    <w:rsid w:val="00F54E12"/>
    <w:rsid w:val="00F56446"/>
    <w:rsid w:val="00F573F1"/>
    <w:rsid w:val="00F57AF7"/>
    <w:rsid w:val="00F57CAC"/>
    <w:rsid w:val="00F61B21"/>
    <w:rsid w:val="00F61FFC"/>
    <w:rsid w:val="00F625CA"/>
    <w:rsid w:val="00F62A93"/>
    <w:rsid w:val="00F62AF9"/>
    <w:rsid w:val="00F62C6B"/>
    <w:rsid w:val="00F62CDB"/>
    <w:rsid w:val="00F62F06"/>
    <w:rsid w:val="00F644AD"/>
    <w:rsid w:val="00F646BE"/>
    <w:rsid w:val="00F64FF5"/>
    <w:rsid w:val="00F66320"/>
    <w:rsid w:val="00F663A8"/>
    <w:rsid w:val="00F66A76"/>
    <w:rsid w:val="00F674BA"/>
    <w:rsid w:val="00F6767A"/>
    <w:rsid w:val="00F67E6A"/>
    <w:rsid w:val="00F70A48"/>
    <w:rsid w:val="00F70BAD"/>
    <w:rsid w:val="00F713ED"/>
    <w:rsid w:val="00F71668"/>
    <w:rsid w:val="00F73140"/>
    <w:rsid w:val="00F74364"/>
    <w:rsid w:val="00F74666"/>
    <w:rsid w:val="00F751A4"/>
    <w:rsid w:val="00F7568A"/>
    <w:rsid w:val="00F77C1A"/>
    <w:rsid w:val="00F77E91"/>
    <w:rsid w:val="00F81073"/>
    <w:rsid w:val="00F812E4"/>
    <w:rsid w:val="00F815BB"/>
    <w:rsid w:val="00F825C9"/>
    <w:rsid w:val="00F8344B"/>
    <w:rsid w:val="00F83C40"/>
    <w:rsid w:val="00F83EEA"/>
    <w:rsid w:val="00F844DC"/>
    <w:rsid w:val="00F8461A"/>
    <w:rsid w:val="00F84BEC"/>
    <w:rsid w:val="00F852BE"/>
    <w:rsid w:val="00F8731D"/>
    <w:rsid w:val="00F879C5"/>
    <w:rsid w:val="00F87CAF"/>
    <w:rsid w:val="00F87FA4"/>
    <w:rsid w:val="00F90063"/>
    <w:rsid w:val="00F90A3D"/>
    <w:rsid w:val="00F90EC0"/>
    <w:rsid w:val="00F91222"/>
    <w:rsid w:val="00F92352"/>
    <w:rsid w:val="00F9267B"/>
    <w:rsid w:val="00F93469"/>
    <w:rsid w:val="00F93B7A"/>
    <w:rsid w:val="00F94ACE"/>
    <w:rsid w:val="00F94AE5"/>
    <w:rsid w:val="00F94C20"/>
    <w:rsid w:val="00F94EAF"/>
    <w:rsid w:val="00F96581"/>
    <w:rsid w:val="00F96AF2"/>
    <w:rsid w:val="00F96D11"/>
    <w:rsid w:val="00F96F50"/>
    <w:rsid w:val="00F970A7"/>
    <w:rsid w:val="00F9731E"/>
    <w:rsid w:val="00F9738D"/>
    <w:rsid w:val="00FA1622"/>
    <w:rsid w:val="00FA1A3F"/>
    <w:rsid w:val="00FA2228"/>
    <w:rsid w:val="00FA2A03"/>
    <w:rsid w:val="00FA57BD"/>
    <w:rsid w:val="00FA59C4"/>
    <w:rsid w:val="00FA59C6"/>
    <w:rsid w:val="00FA5A3F"/>
    <w:rsid w:val="00FA5B04"/>
    <w:rsid w:val="00FA5F7E"/>
    <w:rsid w:val="00FA6AEF"/>
    <w:rsid w:val="00FB0167"/>
    <w:rsid w:val="00FB0EBB"/>
    <w:rsid w:val="00FB10F6"/>
    <w:rsid w:val="00FB13A2"/>
    <w:rsid w:val="00FB15EB"/>
    <w:rsid w:val="00FB19EB"/>
    <w:rsid w:val="00FB3A29"/>
    <w:rsid w:val="00FB41AF"/>
    <w:rsid w:val="00FB47DE"/>
    <w:rsid w:val="00FB492C"/>
    <w:rsid w:val="00FB4A1C"/>
    <w:rsid w:val="00FB60CC"/>
    <w:rsid w:val="00FB60FB"/>
    <w:rsid w:val="00FB612E"/>
    <w:rsid w:val="00FB6635"/>
    <w:rsid w:val="00FB6B37"/>
    <w:rsid w:val="00FB7510"/>
    <w:rsid w:val="00FC08D8"/>
    <w:rsid w:val="00FC111B"/>
    <w:rsid w:val="00FC1DE5"/>
    <w:rsid w:val="00FC206B"/>
    <w:rsid w:val="00FC23C7"/>
    <w:rsid w:val="00FC2710"/>
    <w:rsid w:val="00FC3E40"/>
    <w:rsid w:val="00FC3FB7"/>
    <w:rsid w:val="00FC4378"/>
    <w:rsid w:val="00FC52C1"/>
    <w:rsid w:val="00FC5A6D"/>
    <w:rsid w:val="00FC5B2A"/>
    <w:rsid w:val="00FC623B"/>
    <w:rsid w:val="00FC6281"/>
    <w:rsid w:val="00FC65D0"/>
    <w:rsid w:val="00FC772C"/>
    <w:rsid w:val="00FC7DB1"/>
    <w:rsid w:val="00FD0284"/>
    <w:rsid w:val="00FD0BC0"/>
    <w:rsid w:val="00FD1078"/>
    <w:rsid w:val="00FD12DB"/>
    <w:rsid w:val="00FD1306"/>
    <w:rsid w:val="00FD3713"/>
    <w:rsid w:val="00FD434E"/>
    <w:rsid w:val="00FD4587"/>
    <w:rsid w:val="00FD47F8"/>
    <w:rsid w:val="00FD57E2"/>
    <w:rsid w:val="00FD5B9B"/>
    <w:rsid w:val="00FD66DD"/>
    <w:rsid w:val="00FD6921"/>
    <w:rsid w:val="00FD77C2"/>
    <w:rsid w:val="00FE175F"/>
    <w:rsid w:val="00FE1F8E"/>
    <w:rsid w:val="00FE26DD"/>
    <w:rsid w:val="00FE2ED7"/>
    <w:rsid w:val="00FE329D"/>
    <w:rsid w:val="00FE34B0"/>
    <w:rsid w:val="00FE379B"/>
    <w:rsid w:val="00FE3AFB"/>
    <w:rsid w:val="00FE3E6F"/>
    <w:rsid w:val="00FE400F"/>
    <w:rsid w:val="00FE4187"/>
    <w:rsid w:val="00FE4697"/>
    <w:rsid w:val="00FE58C5"/>
    <w:rsid w:val="00FE5ADE"/>
    <w:rsid w:val="00FE5C0B"/>
    <w:rsid w:val="00FE5E79"/>
    <w:rsid w:val="00FE788D"/>
    <w:rsid w:val="00FE797F"/>
    <w:rsid w:val="00FF052C"/>
    <w:rsid w:val="00FF05CB"/>
    <w:rsid w:val="00FF1B26"/>
    <w:rsid w:val="00FF211E"/>
    <w:rsid w:val="00FF27FB"/>
    <w:rsid w:val="00FF31B0"/>
    <w:rsid w:val="00FF3215"/>
    <w:rsid w:val="00FF3E5C"/>
    <w:rsid w:val="00FF4658"/>
    <w:rsid w:val="00FF473D"/>
    <w:rsid w:val="00FF4E8A"/>
    <w:rsid w:val="00FF556A"/>
    <w:rsid w:val="00FF5D50"/>
    <w:rsid w:val="00FF5E33"/>
    <w:rsid w:val="00FF609F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8FD0"/>
  <w15:docId w15:val="{A3C56C42-C2BB-4C69-A941-45FEB851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C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7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2AFA"/>
    <w:rPr>
      <w:b/>
      <w:bCs/>
    </w:rPr>
  </w:style>
  <w:style w:type="paragraph" w:customStyle="1" w:styleId="THnorm">
    <w:name w:val="TH norm"/>
    <w:basedOn w:val="Normln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AC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19E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1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7BD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7BD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F7BDA"/>
    <w:rPr>
      <w:vertAlign w:val="superscript"/>
    </w:rPr>
  </w:style>
  <w:style w:type="paragraph" w:customStyle="1" w:styleId="xmsonormal">
    <w:name w:val="xmsonormal"/>
    <w:basedOn w:val="Normln"/>
    <w:rsid w:val="000510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xpk-token">
    <w:name w:val="xpk-token"/>
    <w:basedOn w:val="Standardnpsmoodstavce"/>
    <w:rsid w:val="00051022"/>
  </w:style>
  <w:style w:type="paragraph" w:customStyle="1" w:styleId="xmsonormal0">
    <w:name w:val="x_msonormal"/>
    <w:basedOn w:val="Normln"/>
    <w:rsid w:val="00162D23"/>
    <w:pPr>
      <w:overflowPunct/>
      <w:autoSpaceDE/>
      <w:autoSpaceDN/>
      <w:adjustRightInd/>
      <w:jc w:val="left"/>
      <w:textAlignment w:val="auto"/>
    </w:pPr>
    <w:rPr>
      <w:rFonts w:ascii="Calibri" w:eastAsiaTheme="minorHAnsi" w:hAnsi="Calibri" w:cs="Calibri"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A4A27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A4A2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A4A27"/>
    <w:rPr>
      <w:vertAlign w:val="superscript"/>
    </w:rPr>
  </w:style>
  <w:style w:type="paragraph" w:customStyle="1" w:styleId="CBANadpisvTABULCE">
    <w:name w:val="CBA Nadpis v TABULCE"/>
    <w:basedOn w:val="Normln"/>
    <w:qFormat/>
    <w:rsid w:val="0028530F"/>
    <w:pPr>
      <w:spacing w:before="120" w:after="120"/>
      <w:jc w:val="left"/>
    </w:pPr>
    <w:rPr>
      <w:b/>
      <w:bCs/>
      <w:color w:val="13576B"/>
    </w:rPr>
  </w:style>
  <w:style w:type="paragraph" w:customStyle="1" w:styleId="CBAodstavecvTABULCE">
    <w:name w:val="CBA odstavec v TABULCE"/>
    <w:basedOn w:val="Normln"/>
    <w:qFormat/>
    <w:rsid w:val="0028530F"/>
    <w:pPr>
      <w:spacing w:before="120" w:after="120"/>
      <w:jc w:val="left"/>
    </w:pPr>
    <w:rPr>
      <w:color w:val="13576B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177C9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177C9"/>
    <w:rPr>
      <w:rFonts w:ascii="Consolas" w:eastAsia="Times New Roman" w:hAnsi="Consolas" w:cs="Times New Roman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emf"/><Relationship Id="rId18" Type="http://schemas.openxmlformats.org/officeDocument/2006/relationships/header" Target="header2.xml"/><Relationship Id="rId26" Type="http://schemas.openxmlformats.org/officeDocument/2006/relationships/hyperlink" Target="https://www.cbamonitor.cz/aktuality/je-nezmenena-urokova-sazba-cnb-na-350-znamenim-nastavajici-bonanzy-nebo-klidu-pred-bouri" TargetMode="External"/><Relationship Id="rId39" Type="http://schemas.openxmlformats.org/officeDocument/2006/relationships/hyperlink" Target="https://www.cbamonitor.cz/kategorie/cba-hypomonitor" TargetMode="External"/><Relationship Id="rId21" Type="http://schemas.openxmlformats.org/officeDocument/2006/relationships/header" Target="header3.xml"/><Relationship Id="rId34" Type="http://schemas.openxmlformats.org/officeDocument/2006/relationships/hyperlink" Target="https://www.cbamonitor.cz/kategorie/ceny-nemovitosti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amonitor.cz/aktuality/cnb-zprisnuje-podminky-pro-investicni-hypoteky-9-dopad-nebo-potrebna-redistribuce-poptavky" TargetMode="External"/><Relationship Id="rId20" Type="http://schemas.openxmlformats.org/officeDocument/2006/relationships/footer" Target="footer2.xml"/><Relationship Id="rId29" Type="http://schemas.openxmlformats.org/officeDocument/2006/relationships/image" Target="media/image9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amonitor.cz/aktuality/cnb-zprisnuje-podminky-pro-investicni-hypoteky-9-dopad-nebo-potrebna-redistribuce-poptavky" TargetMode="External"/><Relationship Id="rId24" Type="http://schemas.openxmlformats.org/officeDocument/2006/relationships/image" Target="media/image7.png"/><Relationship Id="rId32" Type="http://schemas.openxmlformats.org/officeDocument/2006/relationships/hyperlink" Target="https://www.cbamonitor.cz/aktuality/cnb-zprisnuje-podminky-pro-investicni-hypoteky-9-dopad-nebo-potrebna-redistribuce-poptavky" TargetMode="External"/><Relationship Id="rId37" Type="http://schemas.openxmlformats.org/officeDocument/2006/relationships/image" Target="media/image12.png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image" Target="media/image6.png"/><Relationship Id="rId28" Type="http://schemas.openxmlformats.org/officeDocument/2006/relationships/image" Target="media/image8.png"/><Relationship Id="rId36" Type="http://schemas.openxmlformats.org/officeDocument/2006/relationships/image" Target="media/image11.emf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s://www.cbamonitor.cz/statistika/dynamika-mez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3.xml"/><Relationship Id="rId27" Type="http://schemas.openxmlformats.org/officeDocument/2006/relationships/hyperlink" Target="https://www.cbamonitor.cz/aktuality/ceny-potravin-a-energii-udrzely-prosincovou-inflaci-na-21" TargetMode="External"/><Relationship Id="rId30" Type="http://schemas.openxmlformats.org/officeDocument/2006/relationships/hyperlink" Target="https://www.cbamonitor.cz/aktuality/volatilni-ceny-potravin-stlacily-listopadovou-inflaci-na-21-pri-stale-silnem-71-rustu-mezd" TargetMode="External"/><Relationship Id="rId35" Type="http://schemas.openxmlformats.org/officeDocument/2006/relationships/image" Target="media/image10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cbamonitor.cz/statistika/prognoza-prumerna-mzda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www.cbamonitor.cz/aktuality/zmineni-listopadove-spotrebitelske-inflace-na-21-neni-pouze-o-potravinach" TargetMode="External"/><Relationship Id="rId33" Type="http://schemas.openxmlformats.org/officeDocument/2006/relationships/hyperlink" Target="https://www.cbamonitor.cz/aktuality/ceny-nemovitosti-si--udrzely-10-dynamiku-coz-neplati-o-disponibilnim-duchodu" TargetMode="External"/><Relationship Id="rId38" Type="http://schemas.openxmlformats.org/officeDocument/2006/relationships/hyperlink" Target="http://www.cbaonline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9ec118-0c61-46db-bb00-952e09940a1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0CBE5B95D55468F8CF7D6D1C8CB6B" ma:contentTypeVersion="10" ma:contentTypeDescription="Create a new document." ma:contentTypeScope="" ma:versionID="03de8c559e19055c2732f6aae148e160">
  <xsd:schema xmlns:xsd="http://www.w3.org/2001/XMLSchema" xmlns:xs="http://www.w3.org/2001/XMLSchema" xmlns:p="http://schemas.microsoft.com/office/2006/metadata/properties" xmlns:ns3="b09ec118-0c61-46db-bb00-952e09940a1f" targetNamespace="http://schemas.microsoft.com/office/2006/metadata/properties" ma:root="true" ma:fieldsID="a58f24d30c88e6ff28d70a1926b856b7" ns3:_="">
    <xsd:import namespace="b09ec118-0c61-46db-bb00-952e09940a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ec118-0c61-46db-bb00-952e09940a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B935B7-8C88-4CAE-A0AA-13A352B0843E}">
  <ds:schemaRefs>
    <ds:schemaRef ds:uri="http://schemas.microsoft.com/office/2006/metadata/properties"/>
    <ds:schemaRef ds:uri="http://schemas.microsoft.com/office/infopath/2007/PartnerControls"/>
    <ds:schemaRef ds:uri="b09ec118-0c61-46db-bb00-952e09940a1f"/>
  </ds:schemaRefs>
</ds:datastoreItem>
</file>

<file path=customXml/itemProps2.xml><?xml version="1.0" encoding="utf-8"?>
<ds:datastoreItem xmlns:ds="http://schemas.openxmlformats.org/officeDocument/2006/customXml" ds:itemID="{B2A9F6F5-D843-4129-900A-FD170C2ABB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464796-18D1-44D3-AEB3-40E112819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ec118-0c61-46db-bb00-952e0994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F695EA-D77D-4F66-A87E-5245D7A92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2775</Words>
  <Characters>16376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vlachova</dc:creator>
  <cp:lastModifiedBy>Duffek, Adam (ČBA)</cp:lastModifiedBy>
  <cp:revision>3</cp:revision>
  <cp:lastPrinted>2025-08-14T09:13:00Z</cp:lastPrinted>
  <dcterms:created xsi:type="dcterms:W3CDTF">2026-01-15T14:12:00Z</dcterms:created>
  <dcterms:modified xsi:type="dcterms:W3CDTF">2026-01-15T14:30:00Z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0x0101004DC0CBE5B95D55468F8CF7D6D1C8CB6B</vt:lpwstr>
  </property>
</Properties>
</file>