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7984B53B" w:rsidR="00DF154D" w:rsidRPr="002F43DE" w:rsidRDefault="003D3759" w:rsidP="003D3759">
      <w:pPr>
        <w:rPr>
          <w:rFonts w:ascii="Calibri" w:hAnsi="Calibri" w:cs="Calibri"/>
          <w:b/>
          <w:color w:val="EE0000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</w:t>
      </w:r>
      <w:r w:rsidR="007C0E2D">
        <w:rPr>
          <w:rFonts w:ascii="Calibri" w:hAnsi="Calibri" w:cs="Calibri"/>
          <w:b/>
          <w:color w:val="13576B"/>
          <w:sz w:val="32"/>
          <w:szCs w:val="32"/>
        </w:rPr>
        <w:t>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>:</w:t>
      </w:r>
      <w:r w:rsidR="00025805">
        <w:rPr>
          <w:rFonts w:ascii="Calibri" w:hAnsi="Calibri" w:cs="Calibri"/>
          <w:b/>
          <w:color w:val="13576B"/>
          <w:sz w:val="32"/>
          <w:szCs w:val="32"/>
        </w:rPr>
        <w:t xml:space="preserve"> Stále silný závěr roku s </w:t>
      </w:r>
      <w:r w:rsidR="00F713ED">
        <w:rPr>
          <w:rFonts w:ascii="Calibri" w:hAnsi="Calibri" w:cs="Calibri"/>
          <w:b/>
          <w:color w:val="13576B"/>
          <w:sz w:val="32"/>
          <w:szCs w:val="32"/>
        </w:rPr>
        <w:t>hypoteční sazb</w:t>
      </w:r>
      <w:r w:rsidR="00093324">
        <w:rPr>
          <w:rFonts w:ascii="Calibri" w:hAnsi="Calibri" w:cs="Calibri"/>
          <w:b/>
          <w:color w:val="13576B"/>
          <w:sz w:val="32"/>
          <w:szCs w:val="32"/>
        </w:rPr>
        <w:t>ou</w:t>
      </w:r>
      <w:r w:rsidR="00F713ED">
        <w:rPr>
          <w:rFonts w:ascii="Calibri" w:hAnsi="Calibri" w:cs="Calibri"/>
          <w:b/>
          <w:color w:val="13576B"/>
          <w:sz w:val="32"/>
          <w:szCs w:val="32"/>
        </w:rPr>
        <w:t xml:space="preserve"> pod </w:t>
      </w:r>
      <w:r w:rsidR="00BA280D" w:rsidRPr="003B7AE1">
        <w:rPr>
          <w:rFonts w:ascii="Calibri" w:hAnsi="Calibri" w:cs="Calibri"/>
          <w:b/>
          <w:color w:val="13576B"/>
          <w:sz w:val="32"/>
          <w:szCs w:val="32"/>
        </w:rPr>
        <w:t>4,5 %</w:t>
      </w:r>
      <w:r w:rsidR="00BA280D" w:rsidRPr="002F43DE">
        <w:rPr>
          <w:rFonts w:ascii="Calibri" w:hAnsi="Calibri" w:cs="Calibri"/>
          <w:b/>
          <w:color w:val="EE0000"/>
          <w:sz w:val="32"/>
          <w:szCs w:val="32"/>
        </w:rPr>
        <w:t xml:space="preserve"> </w:t>
      </w:r>
    </w:p>
    <w:bookmarkEnd w:id="0"/>
    <w:p w14:paraId="69030712" w14:textId="0CCC711A" w:rsidR="0009562F" w:rsidRPr="0009562F" w:rsidRDefault="007967E6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>Praha, 1</w:t>
      </w:r>
      <w:r w:rsidR="0009562F">
        <w:rPr>
          <w:rFonts w:ascii="Calibri" w:hAnsi="Calibri" w:cs="Calibri"/>
          <w:color w:val="13576B"/>
          <w:sz w:val="22"/>
          <w:szCs w:val="22"/>
        </w:rPr>
        <w:t>2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. </w:t>
      </w:r>
      <w:r w:rsidR="0009562F">
        <w:rPr>
          <w:rFonts w:ascii="Calibri" w:hAnsi="Calibri" w:cs="Calibri"/>
          <w:color w:val="13576B"/>
          <w:sz w:val="22"/>
          <w:szCs w:val="22"/>
        </w:rPr>
        <w:t>prosinec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 </w:t>
      </w:r>
      <w:proofErr w:type="gramStart"/>
      <w:r w:rsidR="00FC08D8" w:rsidRPr="00FB492C">
        <w:rPr>
          <w:rFonts w:ascii="Calibri" w:hAnsi="Calibri" w:cs="Calibri"/>
          <w:color w:val="13576B"/>
          <w:sz w:val="22"/>
          <w:szCs w:val="22"/>
        </w:rPr>
        <w:t>2025</w:t>
      </w:r>
      <w:r w:rsidR="006320CB">
        <w:rPr>
          <w:rFonts w:ascii="Calibri" w:hAnsi="Calibri" w:cs="Calibri"/>
          <w:color w:val="13576B"/>
          <w:sz w:val="22"/>
          <w:szCs w:val="22"/>
        </w:rPr>
        <w:t xml:space="preserve"> </w:t>
      </w:r>
      <w:r w:rsidR="00FC08D8" w:rsidRPr="00FC08D8">
        <w:rPr>
          <w:rFonts w:ascii="Calibri" w:hAnsi="Calibri" w:cs="Calibri"/>
          <w:color w:val="13576B"/>
          <w:sz w:val="22"/>
          <w:szCs w:val="22"/>
        </w:rPr>
        <w:t>–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V</w:t>
      </w:r>
      <w:proofErr w:type="gramEnd"/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listopadu </w:t>
      </w:r>
      <w:r w:rsidR="007E1421">
        <w:rPr>
          <w:rFonts w:ascii="Calibri" w:hAnsi="Calibri" w:cs="Calibri"/>
          <w:b/>
          <w:bCs/>
          <w:color w:val="13576B"/>
          <w:sz w:val="22"/>
          <w:szCs w:val="22"/>
        </w:rPr>
        <w:t xml:space="preserve">2025 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poskytly banky a stavební spořitelny nové hypotéky za 28,1 miliardy Kč. Oproti říjnu </w:t>
      </w:r>
      <w:r w:rsidR="00025805">
        <w:rPr>
          <w:rFonts w:ascii="Calibri" w:hAnsi="Calibri" w:cs="Calibri"/>
          <w:b/>
          <w:bCs/>
          <w:color w:val="13576B"/>
          <w:sz w:val="22"/>
          <w:szCs w:val="22"/>
        </w:rPr>
        <w:t xml:space="preserve">sice 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aktivita objemově zeslábla o 4 %,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ovšem </w:t>
      </w:r>
      <w:r w:rsidR="00025805">
        <w:rPr>
          <w:rFonts w:ascii="Calibri" w:hAnsi="Calibri" w:cs="Calibri"/>
          <w:b/>
          <w:bCs/>
          <w:color w:val="13576B"/>
          <w:sz w:val="22"/>
          <w:szCs w:val="22"/>
        </w:rPr>
        <w:t xml:space="preserve">po vyloučení sezónního vlivu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se aktivita v posledních dvou měsících ustálila </w:t>
      </w:r>
      <w:r w:rsidR="007E1421">
        <w:rPr>
          <w:rFonts w:ascii="Calibri" w:hAnsi="Calibri" w:cs="Calibri"/>
          <w:b/>
          <w:bCs/>
          <w:color w:val="13576B"/>
          <w:sz w:val="22"/>
          <w:szCs w:val="22"/>
        </w:rPr>
        <w:t>u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30 miliard s počtem nových hypoték </w:t>
      </w:r>
      <w:r w:rsidR="007E1421">
        <w:rPr>
          <w:rFonts w:ascii="Calibri" w:hAnsi="Calibri" w:cs="Calibri"/>
          <w:b/>
          <w:bCs/>
          <w:color w:val="13576B"/>
          <w:sz w:val="22"/>
          <w:szCs w:val="22"/>
        </w:rPr>
        <w:t xml:space="preserve">okolo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6 700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. Od začátku roku tak jejich objem dosáhl 293 miliard korun, tedy o 84 miliard více než před rokem. Uvedené informace plynou z údajů ČBA </w:t>
      </w:r>
      <w:proofErr w:type="spellStart"/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>Hypomonitoru</w:t>
      </w:r>
      <w:proofErr w:type="spellEnd"/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, který zachycuje data všech tuzemských bank a stavebních spořitelen poskytujících hypoteční úvěry. </w:t>
      </w:r>
    </w:p>
    <w:p w14:paraId="33FA87E2" w14:textId="069ECD1B" w:rsidR="00D16D8E" w:rsidRDefault="005027C2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>Navzdory vyšším tržím sazbám zůstala p</w:t>
      </w:r>
      <w:r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růměrná realizovaná úroková sazba u nových hypoték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v listopadu po říjnovém poklesu na</w:t>
      </w:r>
      <w:r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4,48 %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beze změny. Její m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eziroční pokles o </w:t>
      </w:r>
      <w:proofErr w:type="gramStart"/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>0,37 procentního</w:t>
      </w:r>
      <w:proofErr w:type="gramEnd"/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bodu snižuje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průměrnou výši 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měsíční splátky přibližně o více než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devět set korun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, tedy o 1 % čistého příjmu žadatele o hypotéku.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Ovšem p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růměrná velikost nově poskytnuté hypotéky v listopadu mírně stoupla na 4,38 milionu korun.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A j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ejí meziroční nárůst o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více než půl miliónu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korun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zvedá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průměrnou splátku o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téměř tři tisíce korun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, tedy 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o více než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3 % příjmu</w:t>
      </w:r>
      <w:r w:rsidR="00D16D8E">
        <w:rPr>
          <w:rFonts w:ascii="Calibri" w:hAnsi="Calibri" w:cs="Calibri"/>
          <w:b/>
          <w:bCs/>
          <w:color w:val="13576B"/>
          <w:sz w:val="22"/>
          <w:szCs w:val="22"/>
        </w:rPr>
        <w:t>.</w:t>
      </w:r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</w:p>
    <w:p w14:paraId="32886D55" w14:textId="3B98B654" w:rsidR="00B07EE5" w:rsidRDefault="00D16D8E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Pokud hypotéky udrží dynamiku z posledních dvou měsíců, tedy za říjen až listopad, pak by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letošní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objem nových hypoték bez refinancování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mohl 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dosáhnout úrovně 322 miliard Kč,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tedy přes 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>4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0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%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více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v porovnání s</w:t>
      </w:r>
      <w:r w:rsidR="00FC623B">
        <w:rPr>
          <w:rFonts w:ascii="Calibri" w:hAnsi="Calibri" w:cs="Calibri"/>
          <w:b/>
          <w:bCs/>
          <w:color w:val="13576B"/>
          <w:sz w:val="22"/>
          <w:szCs w:val="22"/>
        </w:rPr>
        <w:t> 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>loňskem</w:t>
      </w:r>
      <w:r w:rsidR="00FC623B">
        <w:rPr>
          <w:rFonts w:ascii="Calibri" w:hAnsi="Calibri" w:cs="Calibri"/>
          <w:b/>
          <w:bCs/>
          <w:color w:val="13576B"/>
          <w:sz w:val="22"/>
          <w:szCs w:val="22"/>
        </w:rPr>
        <w:t xml:space="preserve">, což je nezměněný výhled z posledních měsíců. 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To je doprovázeno nepatrně </w:t>
      </w:r>
      <w:r w:rsidR="00FC623B">
        <w:rPr>
          <w:rFonts w:ascii="Calibri" w:hAnsi="Calibri" w:cs="Calibri"/>
          <w:b/>
          <w:bCs/>
          <w:color w:val="13576B"/>
          <w:sz w:val="22"/>
          <w:szCs w:val="22"/>
        </w:rPr>
        <w:t>slabším odhadem p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>očtu nových hypoték v letošním roce</w:t>
      </w:r>
      <w:r w:rsidR="00FC623B">
        <w:rPr>
          <w:rFonts w:ascii="Calibri" w:hAnsi="Calibri" w:cs="Calibri"/>
          <w:b/>
          <w:bCs/>
          <w:color w:val="13576B"/>
          <w:sz w:val="22"/>
          <w:szCs w:val="22"/>
        </w:rPr>
        <w:t>, a to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na úrovni 76,3 tisíc</w:t>
      </w:r>
      <w:r w:rsidR="00FC623B">
        <w:rPr>
          <w:rFonts w:ascii="Calibri" w:hAnsi="Calibri" w:cs="Calibri"/>
          <w:b/>
          <w:bCs/>
          <w:color w:val="13576B"/>
          <w:sz w:val="22"/>
          <w:szCs w:val="22"/>
        </w:rPr>
        <w:t xml:space="preserve">, </w:t>
      </w:r>
      <w:r w:rsidR="005027C2">
        <w:rPr>
          <w:rFonts w:ascii="Calibri" w:hAnsi="Calibri" w:cs="Calibri"/>
          <w:b/>
          <w:bCs/>
          <w:color w:val="13576B"/>
          <w:sz w:val="22"/>
          <w:szCs w:val="22"/>
        </w:rPr>
        <w:t>tedy</w:t>
      </w:r>
      <w:r w:rsidR="00FC623B">
        <w:rPr>
          <w:rFonts w:ascii="Calibri" w:hAnsi="Calibri" w:cs="Calibri"/>
          <w:b/>
          <w:bCs/>
          <w:color w:val="13576B"/>
          <w:sz w:val="22"/>
          <w:szCs w:val="22"/>
        </w:rPr>
        <w:t xml:space="preserve"> stále o necelou čtvrtinu nad loňskými počty.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</w:p>
    <w:p w14:paraId="18142BB8" w14:textId="7DA09CD2" w:rsidR="0009562F" w:rsidRDefault="00FC623B" w:rsidP="005027C2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Anualizovaná dynamika současného </w:t>
      </w:r>
      <w:proofErr w:type="spellStart"/>
      <w:r>
        <w:rPr>
          <w:rFonts w:ascii="Calibri" w:hAnsi="Calibri" w:cs="Calibri"/>
          <w:b/>
          <w:bCs/>
          <w:color w:val="13576B"/>
          <w:sz w:val="22"/>
          <w:szCs w:val="22"/>
        </w:rPr>
        <w:t>momenta</w:t>
      </w:r>
      <w:proofErr w:type="spellEnd"/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5027C2">
        <w:rPr>
          <w:rFonts w:ascii="Calibri" w:hAnsi="Calibri" w:cs="Calibri"/>
          <w:b/>
          <w:bCs/>
          <w:color w:val="13576B"/>
          <w:sz w:val="22"/>
          <w:szCs w:val="22"/>
        </w:rPr>
        <w:t>skýtá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solidním příslib do příštího roku, jelikož naznačuje přes 11% nárůst nových hypoték</w:t>
      </w:r>
      <w:r w:rsidR="00B07EE5">
        <w:rPr>
          <w:rFonts w:ascii="Calibri" w:hAnsi="Calibri" w:cs="Calibri"/>
          <w:b/>
          <w:bCs/>
          <w:color w:val="13576B"/>
          <w:sz w:val="22"/>
          <w:szCs w:val="22"/>
        </w:rPr>
        <w:t xml:space="preserve"> (+35 miliard korun)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v porovnání s 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>letošní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m</w:t>
      </w:r>
      <w:r w:rsidRPr="00D16D8E">
        <w:rPr>
          <w:rFonts w:ascii="Calibri" w:hAnsi="Calibri" w:cs="Calibri"/>
          <w:b/>
          <w:bCs/>
          <w:color w:val="13576B"/>
          <w:sz w:val="22"/>
          <w:szCs w:val="22"/>
        </w:rPr>
        <w:t xml:space="preserve"> možným objemem</w:t>
      </w:r>
      <w:r w:rsidR="00B07EE5">
        <w:rPr>
          <w:rFonts w:ascii="Calibri" w:hAnsi="Calibri" w:cs="Calibri"/>
          <w:b/>
          <w:bCs/>
          <w:color w:val="13576B"/>
          <w:sz w:val="22"/>
          <w:szCs w:val="22"/>
        </w:rPr>
        <w:t>. Nárůst ovšem může být více než z poloviny ztlumen přísnějším doporučením</w:t>
      </w:r>
      <w:r w:rsidR="005027C2">
        <w:rPr>
          <w:rFonts w:ascii="Calibri" w:hAnsi="Calibri" w:cs="Calibri"/>
          <w:b/>
          <w:bCs/>
          <w:color w:val="13576B"/>
          <w:sz w:val="22"/>
          <w:szCs w:val="22"/>
        </w:rPr>
        <w:t xml:space="preserve"> ČNB</w:t>
      </w:r>
      <w:r w:rsidR="00B07EE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5027C2">
        <w:rPr>
          <w:rFonts w:ascii="Calibri" w:hAnsi="Calibri" w:cs="Calibri"/>
          <w:b/>
          <w:bCs/>
          <w:color w:val="13576B"/>
          <w:sz w:val="22"/>
          <w:szCs w:val="22"/>
        </w:rPr>
        <w:t>ohledně tzv. investičních hypoték</w:t>
      </w:r>
      <w:r w:rsidR="00B07EE5">
        <w:rPr>
          <w:rFonts w:ascii="Calibri" w:hAnsi="Calibri" w:cs="Calibri"/>
          <w:b/>
          <w:bCs/>
          <w:color w:val="13576B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>A to s horními doporučenými úrovněmi LTV na 70 %</w:t>
      </w:r>
      <w:r w:rsidR="00B07EE5">
        <w:rPr>
          <w:rFonts w:ascii="Calibri" w:hAnsi="Calibri" w:cs="Calibri"/>
          <w:b/>
          <w:bCs/>
          <w:color w:val="13576B"/>
          <w:sz w:val="22"/>
          <w:szCs w:val="22"/>
        </w:rPr>
        <w:t xml:space="preserve"> hodnoty nemovitosti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 a DTI na 7násobku čistého ročního příjmu</w:t>
      </w:r>
      <w:r w:rsidR="00B07EE5">
        <w:rPr>
          <w:rFonts w:ascii="Calibri" w:hAnsi="Calibri" w:cs="Calibri"/>
          <w:b/>
          <w:bCs/>
          <w:color w:val="13576B"/>
          <w:sz w:val="22"/>
          <w:szCs w:val="22"/>
        </w:rPr>
        <w:t xml:space="preserve"> od dubna 2026 (vs. 80 a 90% limity a doporučený 8násobek)</w:t>
      </w:r>
      <w:r>
        <w:rPr>
          <w:rFonts w:ascii="Calibri" w:hAnsi="Calibri" w:cs="Calibri"/>
          <w:b/>
          <w:bCs/>
          <w:color w:val="13576B"/>
          <w:sz w:val="22"/>
          <w:szCs w:val="22"/>
        </w:rPr>
        <w:t xml:space="preserve">. Rozhodnutí se </w:t>
      </w:r>
      <w:r w:rsidR="005027C2">
        <w:rPr>
          <w:rFonts w:ascii="Calibri" w:hAnsi="Calibri" w:cs="Calibri"/>
          <w:b/>
          <w:bCs/>
          <w:color w:val="13576B"/>
          <w:sz w:val="22"/>
          <w:szCs w:val="22"/>
        </w:rPr>
        <w:t>může dotknout cca 7,5 %</w:t>
      </w:r>
      <w:r w:rsidRPr="005027C2">
        <w:rPr>
          <w:rFonts w:ascii="Calibri" w:hAnsi="Calibri" w:cs="Calibri"/>
          <w:b/>
          <w:bCs/>
          <w:color w:val="13576B"/>
          <w:sz w:val="22"/>
          <w:szCs w:val="22"/>
        </w:rPr>
        <w:t xml:space="preserve"> nových hypoték</w:t>
      </w:r>
      <w:r w:rsidR="00B07EE5" w:rsidRPr="005027C2">
        <w:rPr>
          <w:rFonts w:ascii="Calibri" w:hAnsi="Calibri" w:cs="Calibri"/>
          <w:b/>
          <w:bCs/>
          <w:color w:val="13576B"/>
          <w:sz w:val="22"/>
          <w:szCs w:val="22"/>
        </w:rPr>
        <w:t xml:space="preserve"> při </w:t>
      </w:r>
      <w:proofErr w:type="gramStart"/>
      <w:r w:rsidR="00B07EE5" w:rsidRPr="005027C2">
        <w:rPr>
          <w:rFonts w:ascii="Calibri" w:hAnsi="Calibri" w:cs="Calibri"/>
          <w:b/>
          <w:bCs/>
          <w:color w:val="13576B"/>
          <w:sz w:val="22"/>
          <w:szCs w:val="22"/>
        </w:rPr>
        <w:t>15%</w:t>
      </w:r>
      <w:proofErr w:type="gramEnd"/>
      <w:r w:rsidR="00B07EE5" w:rsidRPr="005027C2">
        <w:rPr>
          <w:rFonts w:ascii="Calibri" w:hAnsi="Calibri" w:cs="Calibri"/>
          <w:b/>
          <w:bCs/>
          <w:color w:val="13576B"/>
          <w:sz w:val="22"/>
          <w:szCs w:val="22"/>
        </w:rPr>
        <w:t xml:space="preserve"> více méně obvyklém překročení</w:t>
      </w:r>
      <w:r w:rsidR="005027C2">
        <w:rPr>
          <w:rFonts w:ascii="Calibri" w:hAnsi="Calibri" w:cs="Calibri"/>
          <w:b/>
          <w:bCs/>
          <w:color w:val="13576B"/>
          <w:sz w:val="22"/>
          <w:szCs w:val="22"/>
        </w:rPr>
        <w:t xml:space="preserve"> nových </w:t>
      </w:r>
      <w:r w:rsidR="00B07EE5" w:rsidRPr="005027C2">
        <w:rPr>
          <w:rFonts w:ascii="Calibri" w:hAnsi="Calibri" w:cs="Calibri"/>
          <w:b/>
          <w:bCs/>
          <w:color w:val="13576B"/>
          <w:sz w:val="22"/>
          <w:szCs w:val="22"/>
        </w:rPr>
        <w:t>doporučení.</w:t>
      </w:r>
      <w:r w:rsidR="005027C2" w:rsidRPr="005027C2">
        <w:rPr>
          <w:rFonts w:ascii="Calibri" w:hAnsi="Calibri" w:cs="Calibri"/>
          <w:b/>
          <w:bCs/>
          <w:color w:val="13576B"/>
          <w:sz w:val="22"/>
          <w:szCs w:val="22"/>
        </w:rPr>
        <w:t xml:space="preserve"> Podrobněji jsem analyzoval zde: </w:t>
      </w:r>
      <w:hyperlink r:id="rId11" w:history="1">
        <w:r w:rsidR="005027C2" w:rsidRPr="005027C2">
          <w:rPr>
            <w:rStyle w:val="Hypertextovodkaz"/>
            <w:rFonts w:ascii="Calibri" w:hAnsi="Calibri" w:cs="Calibri"/>
            <w:sz w:val="22"/>
            <w:szCs w:val="22"/>
          </w:rPr>
          <w:t>ČNB zpřísňuje podmínky pro investiční hypotéky: 9% dopad nebo potřebná redistribuce poptávky?</w:t>
        </w:r>
      </w:hyperlink>
      <w:r w:rsidR="0009562F" w:rsidRPr="0009562F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09562F" w:rsidRPr="005027C2">
        <w:rPr>
          <w:rFonts w:ascii="Calibri" w:hAnsi="Calibri" w:cs="Calibri"/>
          <w:color w:val="13576B"/>
          <w:sz w:val="22"/>
          <w:szCs w:val="22"/>
        </w:rPr>
        <w:t xml:space="preserve">Další zasedání ČNB spojené s nastavením </w:t>
      </w:r>
      <w:proofErr w:type="spellStart"/>
      <w:r w:rsidR="0009562F" w:rsidRPr="005027C2">
        <w:rPr>
          <w:rFonts w:ascii="Calibri" w:hAnsi="Calibri" w:cs="Calibri"/>
          <w:color w:val="13576B"/>
          <w:sz w:val="22"/>
          <w:szCs w:val="22"/>
        </w:rPr>
        <w:t>makroobezřetnostní</w:t>
      </w:r>
      <w:proofErr w:type="spellEnd"/>
      <w:r w:rsidR="0009562F" w:rsidRPr="005027C2">
        <w:rPr>
          <w:rFonts w:ascii="Calibri" w:hAnsi="Calibri" w:cs="Calibri"/>
          <w:color w:val="13576B"/>
          <w:sz w:val="22"/>
          <w:szCs w:val="22"/>
        </w:rPr>
        <w:t xml:space="preserve"> politiky hypoték proběhne 4. června </w:t>
      </w:r>
      <w:r w:rsidR="005027C2" w:rsidRPr="005027C2">
        <w:rPr>
          <w:rFonts w:ascii="Calibri" w:hAnsi="Calibri" w:cs="Calibri"/>
          <w:color w:val="13576B"/>
          <w:sz w:val="22"/>
          <w:szCs w:val="22"/>
        </w:rPr>
        <w:t xml:space="preserve">2026 </w:t>
      </w:r>
      <w:r w:rsidR="0009562F" w:rsidRPr="005027C2">
        <w:rPr>
          <w:rFonts w:ascii="Calibri" w:hAnsi="Calibri" w:cs="Calibri"/>
          <w:color w:val="13576B"/>
          <w:sz w:val="22"/>
          <w:szCs w:val="22"/>
        </w:rPr>
        <w:t>a ještě předtím 5. března ČNB rozhodne o proticyklické kapitálové rezervě (</w:t>
      </w:r>
      <w:r w:rsidR="005027C2" w:rsidRPr="005027C2">
        <w:rPr>
          <w:rFonts w:ascii="Calibri" w:hAnsi="Calibri" w:cs="Calibri"/>
          <w:color w:val="13576B"/>
          <w:sz w:val="22"/>
          <w:szCs w:val="22"/>
        </w:rPr>
        <w:t>další</w:t>
      </w:r>
      <w:r w:rsidR="0009562F" w:rsidRPr="005027C2">
        <w:rPr>
          <w:rFonts w:ascii="Calibri" w:hAnsi="Calibri" w:cs="Calibri"/>
          <w:color w:val="13576B"/>
          <w:sz w:val="22"/>
          <w:szCs w:val="22"/>
        </w:rPr>
        <w:t xml:space="preserve"> jednání budou 10. září a 26. listopadu).</w:t>
      </w:r>
    </w:p>
    <w:p w14:paraId="4A7C2A28" w14:textId="7B842BC4" w:rsidR="00425883" w:rsidRPr="002B35B7" w:rsidRDefault="00425883" w:rsidP="0009562F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3F159E">
        <w:rPr>
          <w:rFonts w:ascii="Calibri" w:hAnsi="Calibri" w:cs="Calibri"/>
          <w:b/>
          <w:color w:val="13576B"/>
          <w:sz w:val="23"/>
          <w:szCs w:val="23"/>
        </w:rPr>
        <w:t xml:space="preserve">Tabulka č. 1: Shrnutí objemu poskytnutých hypoték a průměrných úrokových sazeb za </w:t>
      </w:r>
      <w:r w:rsidR="00CB3460">
        <w:rPr>
          <w:rFonts w:ascii="Calibri" w:hAnsi="Calibri" w:cs="Calibri"/>
          <w:b/>
          <w:color w:val="13576B"/>
          <w:sz w:val="23"/>
          <w:szCs w:val="23"/>
        </w:rPr>
        <w:t>listopad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2025 </w:t>
      </w: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102"/>
        <w:gridCol w:w="960"/>
        <w:gridCol w:w="960"/>
        <w:gridCol w:w="242"/>
        <w:gridCol w:w="993"/>
        <w:gridCol w:w="850"/>
        <w:gridCol w:w="916"/>
      </w:tblGrid>
      <w:tr w:rsidR="00425883" w:rsidRPr="002138C0" w14:paraId="02897C33" w14:textId="77777777" w:rsidTr="003E009F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A0B8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</w:tcBorders>
            <w:shd w:val="clear" w:color="000000" w:fill="FFFFFF"/>
            <w:vAlign w:val="bottom"/>
          </w:tcPr>
          <w:p w14:paraId="374959C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měsíční hodnoty</w:t>
            </w:r>
          </w:p>
        </w:tc>
        <w:tc>
          <w:tcPr>
            <w:tcW w:w="242" w:type="dxa"/>
            <w:tcBorders>
              <w:top w:val="nil"/>
              <w:right w:val="nil"/>
            </w:tcBorders>
            <w:vAlign w:val="bottom"/>
          </w:tcPr>
          <w:p w14:paraId="14067E1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5820EF4F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hodnoty od začátku roku</w:t>
            </w:r>
          </w:p>
        </w:tc>
      </w:tr>
      <w:tr w:rsidR="00425883" w:rsidRPr="002138C0" w14:paraId="4890C22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637A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2CF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006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53E9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242" w:type="dxa"/>
            <w:tcBorders>
              <w:left w:val="nil"/>
              <w:right w:val="nil"/>
            </w:tcBorders>
            <w:vAlign w:val="bottom"/>
          </w:tcPr>
          <w:p w14:paraId="2C5E5350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9AEE99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Objem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45BA4" w14:textId="77777777" w:rsidR="00425883" w:rsidRPr="00A06A94" w:rsidRDefault="00425883" w:rsidP="003E009F">
            <w:pPr>
              <w:overflowPunct/>
              <w:autoSpaceDE/>
              <w:autoSpaceDN/>
              <w:adjustRightInd/>
              <w:ind w:left="-73" w:firstLine="73"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077C59E1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t>Sazba</w:t>
            </w:r>
            <w:r w:rsidRPr="00A06A94"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425883" w:rsidRPr="002138C0" w14:paraId="58F15C0C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8C49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D437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1A06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01C1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center"/>
          </w:tcPr>
          <w:p w14:paraId="3D918162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1D51D7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524A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36A8A9" w14:textId="77777777" w:rsidR="00425883" w:rsidRPr="00A06A94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i/>
                <w:iCs/>
                <w:color w:val="13576B"/>
                <w:sz w:val="22"/>
                <w:szCs w:val="22"/>
              </w:rPr>
            </w:pPr>
          </w:p>
        </w:tc>
      </w:tr>
      <w:tr w:rsidR="001B2E5E" w:rsidRPr="002138C0" w14:paraId="0D31970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50D8E" w14:textId="77777777" w:rsidR="001B2E5E" w:rsidRPr="00072DB9" w:rsidRDefault="001B2E5E" w:rsidP="001B2E5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C838" w14:textId="22ECB0F3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D8B2" w14:textId="40EA2D37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8 856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C0207" w14:textId="018F7761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48168675" w14:textId="6B8E837F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0E06" w14:textId="1CDC261D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368,7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B5A7" w14:textId="0677EE07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91 171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C875B" w14:textId="2B498588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4,57</w:t>
            </w:r>
          </w:p>
        </w:tc>
      </w:tr>
      <w:tr w:rsidR="001B2E5E" w:rsidRPr="002138C0" w14:paraId="4CCF9803" w14:textId="77777777" w:rsidTr="00883A3C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427BFA1A" w14:textId="77777777" w:rsidR="001B2E5E" w:rsidRPr="00072DB9" w:rsidRDefault="001B2E5E" w:rsidP="001B2E5E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9369C60" w14:textId="6234514F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2F19DC0D" w14:textId="4A58C36E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6 413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0E1BBC03" w14:textId="33C629E5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vAlign w:val="bottom"/>
          </w:tcPr>
          <w:p w14:paraId="59087809" w14:textId="06062DBA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4F1CCE8" w14:textId="5D626680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292,6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DAF3EA" w:fill="C1F7E9"/>
            <w:vAlign w:val="center"/>
          </w:tcPr>
          <w:p w14:paraId="3B4EBFBE" w14:textId="4CE68674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69 714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solid" w:color="DAF3EA" w:fill="C1F7E9"/>
            <w:vAlign w:val="center"/>
          </w:tcPr>
          <w:p w14:paraId="571E9F3C" w14:textId="7C8CC2FC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808080"/>
                <w:sz w:val="22"/>
                <w:szCs w:val="22"/>
              </w:rPr>
              <w:t>4,58</w:t>
            </w:r>
          </w:p>
        </w:tc>
      </w:tr>
      <w:tr w:rsidR="001B2E5E" w:rsidRPr="002138C0" w14:paraId="7681A9A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956A" w14:textId="77777777" w:rsidR="001B2E5E" w:rsidRPr="00072DB9" w:rsidRDefault="001B2E5E" w:rsidP="001B2E5E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BD3AE" w14:textId="76BE3DC7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A1B0" w14:textId="02A6527A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B0DB" w14:textId="1ADD7FA6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CAC2F" w14:textId="6ED29FD9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964CC2" w14:textId="5C711D1F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0B8577" w14:textId="4502ADA8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20C2204" w14:textId="5B83DF5A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 </w:t>
            </w:r>
          </w:p>
        </w:tc>
      </w:tr>
      <w:tr w:rsidR="001B2E5E" w:rsidRPr="002138C0" w14:paraId="044C41D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457A" w14:textId="77777777" w:rsidR="001B2E5E" w:rsidRPr="00072DB9" w:rsidRDefault="001B2E5E" w:rsidP="001B2E5E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37F4" w14:textId="746725A5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754B" w14:textId="35E410E2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27610" w14:textId="068244C6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85060" w14:textId="49FC1899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F069C9" w14:textId="6258CEE6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234,2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727F9" w14:textId="7BD17779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54 763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656123" w14:textId="36810518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4,58</w:t>
            </w:r>
          </w:p>
        </w:tc>
      </w:tr>
      <w:tr w:rsidR="001B2E5E" w:rsidRPr="002138C0" w14:paraId="2F24DA4A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FC44" w14:textId="77777777" w:rsidR="001B2E5E" w:rsidRPr="00072DB9" w:rsidRDefault="001B2E5E" w:rsidP="001B2E5E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C61F" w14:textId="248D5E96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7232" w14:textId="641776BD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AC752" w14:textId="0823C24E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88DB" w14:textId="1A96FFC5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D7FAE5" w14:textId="5D38BACD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C10C04" w14:textId="4AB41FE4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10 443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3F6D3B8" w14:textId="36FA55A0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4,55</w:t>
            </w:r>
          </w:p>
        </w:tc>
      </w:tr>
      <w:tr w:rsidR="001B2E5E" w:rsidRPr="002138C0" w14:paraId="6C466F0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71550" w14:textId="77777777" w:rsidR="001B2E5E" w:rsidRPr="00072DB9" w:rsidRDefault="001B2E5E" w:rsidP="001B2E5E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5C07" w14:textId="52FED2C0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5AB3" w14:textId="203854AF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A05CEB" w14:textId="5136A802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6B197FAE" w14:textId="5C05D9BD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2E05" w14:textId="0FE4CC1B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60BD" w14:textId="04AD9DDF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4 508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DA1437" w14:textId="4CC4D828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4,74</w:t>
            </w:r>
          </w:p>
        </w:tc>
      </w:tr>
      <w:tr w:rsidR="001B2E5E" w:rsidRPr="002138C0" w14:paraId="12035089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D37ED" w14:textId="77777777" w:rsidR="001B2E5E" w:rsidRPr="00072DB9" w:rsidRDefault="001B2E5E" w:rsidP="001B2E5E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72B7" w14:textId="7CE6F6C1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945F" w14:textId="4DDB7F01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2 072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0DBB2" w14:textId="4D5FE29F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4,45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70D93E09" w14:textId="10CE760D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DE192" w14:textId="48234917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62,5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7315" w14:textId="05AFDC82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17 814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D2CCAF" w14:textId="2DEFB445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4,54</w:t>
            </w:r>
          </w:p>
        </w:tc>
      </w:tr>
      <w:tr w:rsidR="001B2E5E" w:rsidRPr="002138C0" w14:paraId="01014CF0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54E05" w14:textId="77777777" w:rsidR="001B2E5E" w:rsidRPr="00072DB9" w:rsidRDefault="001B2E5E" w:rsidP="001B2E5E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DCC6" w14:textId="3702AEE8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724A" w14:textId="06E1A349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58356" w14:textId="116698B0" w:rsidR="001B2E5E" w:rsidRPr="00072DB9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242" w:type="dxa"/>
            <w:tcBorders>
              <w:top w:val="nil"/>
              <w:left w:val="nil"/>
              <w:right w:val="nil"/>
            </w:tcBorders>
            <w:vAlign w:val="bottom"/>
          </w:tcPr>
          <w:p w14:paraId="05BC36DD" w14:textId="153C2F4E" w:rsidR="001B2E5E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6DBD" w14:textId="3C54EAC1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C102" w14:textId="51577554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3 643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818EE" w14:textId="77BE56CB" w:rsidR="001B2E5E" w:rsidRPr="00A06A94" w:rsidRDefault="001B2E5E" w:rsidP="001B2E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color w:val="808080"/>
                <w:sz w:val="22"/>
                <w:szCs w:val="22"/>
              </w:rPr>
              <w:t>4,55</w:t>
            </w:r>
          </w:p>
        </w:tc>
      </w:tr>
      <w:tr w:rsidR="00425883" w:rsidRPr="002138C0" w14:paraId="6F1DAD0F" w14:textId="77777777" w:rsidTr="00883A3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14AF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072DB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  <w:p w14:paraId="28D49210" w14:textId="77777777" w:rsidR="00425883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7DF4299E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84A1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99A2" w14:textId="79BFB73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867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D162A73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6761BB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D289D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ABD52C" w14:textId="77777777" w:rsidR="00425883" w:rsidRPr="00072DB9" w:rsidRDefault="00425883" w:rsidP="003E009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</w:tbl>
    <w:p w14:paraId="0A5C07AA" w14:textId="5FF40CCF" w:rsidR="006A4CF3" w:rsidRPr="00882EFB" w:rsidRDefault="00D16FB5" w:rsidP="006A4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EE0000"/>
          <w:sz w:val="22"/>
          <w:szCs w:val="22"/>
        </w:rPr>
      </w:pPr>
      <w:bookmarkStart w:id="2" w:name="_Hlk111121228"/>
      <w:bookmarkStart w:id="3" w:name="_Hlk119308742"/>
      <w:r w:rsidRPr="00D16FB5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5027C2">
        <w:rPr>
          <w:rFonts w:ascii="Calibri" w:hAnsi="Calibri" w:cs="Calibri"/>
          <w:i/>
          <w:iCs/>
          <w:color w:val="000000" w:themeColor="text1"/>
          <w:sz w:val="22"/>
          <w:szCs w:val="22"/>
        </w:rPr>
        <w:t>Listopadová hypoteční dynamika si drží stále solidní jak objemy, tak počty nových hypoték, což odráží jak pokračující růst cen nemovitostí, ale i vyšší kupní sílu díky pokračujícímu silnému tempu mezd. Pokud nenastane negativní šok v podobě vyšších úrokových sazeb, přísnější regulace či dalšího nárůstu nezaměstnanosti, uvidím</w:t>
      </w:r>
      <w:r w:rsidR="00F24A8F">
        <w:rPr>
          <w:rFonts w:ascii="Calibri" w:hAnsi="Calibri" w:cs="Calibri"/>
          <w:i/>
          <w:iCs/>
          <w:color w:val="000000" w:themeColor="text1"/>
          <w:sz w:val="22"/>
          <w:szCs w:val="22"/>
        </w:rPr>
        <w:t>e</w:t>
      </w:r>
      <w:r w:rsidR="005027C2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vyšší roční čísla nejen za rok 2025</w:t>
      </w:r>
      <w:r w:rsidR="007C1E59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Pr="00882EFB">
        <w:rPr>
          <w:rFonts w:ascii="Calibri" w:hAnsi="Calibri" w:cs="Calibri"/>
          <w:i/>
          <w:iCs/>
          <w:sz w:val="22"/>
          <w:szCs w:val="22"/>
        </w:rPr>
        <w:t>“</w:t>
      </w:r>
      <w:r w:rsidR="006A4CF3" w:rsidRPr="00882EF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A4CF3" w:rsidRPr="00882EFB">
        <w:rPr>
          <w:rFonts w:ascii="Calibri" w:hAnsi="Calibri" w:cs="Calibri"/>
          <w:sz w:val="22"/>
          <w:szCs w:val="22"/>
        </w:rPr>
        <w:t xml:space="preserve">uvádí </w:t>
      </w:r>
      <w:r w:rsidR="006A4CF3">
        <w:rPr>
          <w:rFonts w:ascii="Calibri" w:hAnsi="Calibri" w:cs="Calibri"/>
          <w:b/>
          <w:bCs/>
          <w:sz w:val="22"/>
          <w:szCs w:val="22"/>
        </w:rPr>
        <w:t xml:space="preserve">Jaromír Šindel, hlavní ekonom České bankovní asociace. </w:t>
      </w:r>
    </w:p>
    <w:p w14:paraId="6B7D1662" w14:textId="163EBD3A" w:rsidR="00677FE7" w:rsidRDefault="001B2E5E" w:rsidP="007E1421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noProof/>
          <w:color w:val="13576B"/>
          <w:sz w:val="23"/>
          <w:szCs w:val="23"/>
        </w:rPr>
        <w:lastRenderedPageBreak/>
        <w:drawing>
          <wp:inline distT="0" distB="0" distL="0" distR="0" wp14:anchorId="11768DDB" wp14:editId="21F11F78">
            <wp:extent cx="5651500" cy="4309847"/>
            <wp:effectExtent l="0" t="0" r="6350" b="0"/>
            <wp:docPr id="1203290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573" cy="4334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52A9F" w14:textId="77777777" w:rsidR="007E1421" w:rsidRDefault="00E16BD3" w:rsidP="007E1421">
      <w:pPr>
        <w:overflowPunct/>
        <w:autoSpaceDE/>
        <w:autoSpaceDN/>
        <w:adjustRightInd/>
        <w:spacing w:after="120"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E16BD3">
        <w:rPr>
          <w:rFonts w:ascii="Calibri Light" w:hAnsi="Calibri Light" w:cs="Calibri Light"/>
          <w:color w:val="13576B"/>
          <w:sz w:val="20"/>
        </w:rPr>
        <w:t>Poznámka: výhled do konce roku je momentový – vychází z aktuálního trendu, nikoli z modelové predikce.</w:t>
      </w:r>
    </w:p>
    <w:p w14:paraId="268C0530" w14:textId="63772221" w:rsidR="00105BE4" w:rsidRPr="00E16BD3" w:rsidRDefault="00B90139" w:rsidP="00E16BD3">
      <w:pPr>
        <w:overflowPunct/>
        <w:autoSpaceDE/>
        <w:autoSpaceDN/>
        <w:adjustRightInd/>
        <w:jc w:val="left"/>
        <w:textAlignment w:val="auto"/>
        <w:rPr>
          <w:rFonts w:ascii="Calibri Light" w:hAnsi="Calibri Light" w:cs="Calibri Light"/>
          <w:color w:val="13576B"/>
          <w:sz w:val="20"/>
        </w:rPr>
      </w:pPr>
      <w:r w:rsidRPr="00B90139">
        <w:rPr>
          <w:noProof/>
        </w:rPr>
        <w:drawing>
          <wp:inline distT="0" distB="0" distL="0" distR="0" wp14:anchorId="31D341A2" wp14:editId="313ADE2E">
            <wp:extent cx="5863246" cy="3435350"/>
            <wp:effectExtent l="0" t="0" r="4445" b="0"/>
            <wp:docPr id="62703388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299" b="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87" cy="345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1897D" w14:textId="512855F1" w:rsidR="00E16BD3" w:rsidRDefault="00E16BD3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0234C85F" w14:textId="1375E25C" w:rsidR="00105BE4" w:rsidRDefault="00105BE4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656E850E" w14:textId="3B462D3D" w:rsidR="0009562F" w:rsidRDefault="0009562F" w:rsidP="0009562F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09562F">
        <w:rPr>
          <w:rFonts w:ascii="Calibri" w:hAnsi="Calibri" w:cs="Calibri"/>
          <w:b/>
          <w:color w:val="13576B"/>
          <w:sz w:val="23"/>
          <w:szCs w:val="23"/>
        </w:rPr>
        <w:t xml:space="preserve">Listopad </w:t>
      </w:r>
      <w:r w:rsidR="007E1421">
        <w:rPr>
          <w:rFonts w:ascii="Calibri" w:hAnsi="Calibri" w:cs="Calibri"/>
          <w:b/>
          <w:color w:val="13576B"/>
          <w:sz w:val="23"/>
          <w:szCs w:val="23"/>
        </w:rPr>
        <w:t xml:space="preserve">potvrdil silné objemy hypoték okolo 30 miliard korun </w:t>
      </w:r>
    </w:p>
    <w:p w14:paraId="47FCCBAC" w14:textId="4CB31EA3" w:rsidR="0009562F" w:rsidRDefault="00FC623B" w:rsidP="0009562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C623B">
        <w:rPr>
          <w:rFonts w:ascii="Calibri" w:hAnsi="Calibri" w:cs="Calibri"/>
          <w:b/>
          <w:bCs/>
          <w:color w:val="000000"/>
          <w:sz w:val="22"/>
          <w:szCs w:val="22"/>
        </w:rPr>
        <w:t>V listopadu poskytly banky a stavební spořitelny skutečně nové hypoteční úvěry za 28,1 mld. Kč</w:t>
      </w:r>
      <w:r w:rsidRPr="00FC623B">
        <w:rPr>
          <w:rFonts w:ascii="Calibri" w:hAnsi="Calibri" w:cs="Calibri"/>
          <w:color w:val="000000"/>
          <w:sz w:val="22"/>
          <w:szCs w:val="22"/>
        </w:rPr>
        <w:t>. Oproti říjnu tak nová hypoteční aktivita objemově klesla přibližně o 4 %</w:t>
      </w:r>
      <w:r w:rsidR="007E1421">
        <w:rPr>
          <w:rFonts w:ascii="Calibri" w:hAnsi="Calibri" w:cs="Calibri"/>
          <w:color w:val="000000"/>
          <w:sz w:val="22"/>
          <w:szCs w:val="22"/>
        </w:rPr>
        <w:t>. Ovšem p</w:t>
      </w:r>
      <w:r w:rsidRPr="00FC623B">
        <w:rPr>
          <w:rFonts w:ascii="Calibri" w:hAnsi="Calibri" w:cs="Calibri"/>
          <w:color w:val="000000"/>
          <w:sz w:val="22"/>
          <w:szCs w:val="22"/>
        </w:rPr>
        <w:t xml:space="preserve">o sezónní úpravě přinesla listopadová čísla nových hypoték 6% zlepšení na 30,7 mld. Kč ve srovnání s říjnovými 28,9 mld. a zároveň se nachází nad průměrným objemem z předchozích tří měsíců (28,7 mld. Kč). Objem nově poskytnutých hypoték se v listopadu dostal na přibližně o 41 % vyšší úroveň ve srovnání druhou polovinou loňského roku. V meziročním vyjádření růst objemu poskytnutých hypoték v listopadu dále zvolnil na 30 % z říjnových 35 % po průměrném </w:t>
      </w:r>
      <w:proofErr w:type="gramStart"/>
      <w:r w:rsidRPr="00FC623B">
        <w:rPr>
          <w:rFonts w:ascii="Calibri" w:hAnsi="Calibri" w:cs="Calibri"/>
          <w:color w:val="000000"/>
          <w:sz w:val="22"/>
          <w:szCs w:val="22"/>
        </w:rPr>
        <w:t>83%</w:t>
      </w:r>
      <w:proofErr w:type="gramEnd"/>
      <w:r w:rsidRPr="00FC623B">
        <w:rPr>
          <w:rFonts w:ascii="Calibri" w:hAnsi="Calibri" w:cs="Calibri"/>
          <w:color w:val="000000"/>
          <w:sz w:val="22"/>
          <w:szCs w:val="22"/>
        </w:rPr>
        <w:t xml:space="preserve"> meziročním nárůstu v minulém roce. V letošním roce bylo okolo 80 % objemu nových úvěrů určeno ke koupi a 15 % na výstavbu, zatímco v předchozích pěti letech dosahovaly tyto podíly 74 % a 20 %.</w:t>
      </w:r>
    </w:p>
    <w:p w14:paraId="5CA7F710" w14:textId="77777777" w:rsidR="00B42D51" w:rsidRDefault="00B42D51" w:rsidP="0009562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00E8A44" w14:textId="4A63B92A" w:rsidR="00B42D51" w:rsidRDefault="00B42D51" w:rsidP="00B42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B42D51">
        <w:rPr>
          <w:rFonts w:ascii="Calibri" w:hAnsi="Calibri" w:cs="Calibri"/>
          <w:i/>
          <w:iCs/>
          <w:color w:val="000000"/>
          <w:sz w:val="22"/>
          <w:szCs w:val="22"/>
        </w:rPr>
        <w:t>„V současnosti hypoteční trh nejvíce ovlivňuje zvýšená poptávka po refinancování. Tento trend souvisí s tím, že mnoha klientům postupně končí pětileté fixace sjednané v době velmi nízkých sazeb během Covidu. Na trh tak přichází velké množství lidí, kteří hledají co nejvýhodnější podmínky pro refinancování své stávající hypotéky. Z pohledu Fio banky budou další vývoj trhu s nemovitostmi i budoucí úrokové sazby ovlivňovat zejména trvající nedostatek nových bytů a s ním související růst cen, ale také stále silnější konkurenční „boj“ mezi bankami,“</w:t>
      </w:r>
      <w:r w:rsidRPr="00B42D51">
        <w:rPr>
          <w:rFonts w:ascii="Calibri" w:hAnsi="Calibri" w:cs="Calibri"/>
          <w:color w:val="000000"/>
          <w:sz w:val="22"/>
          <w:szCs w:val="22"/>
        </w:rPr>
        <w:t xml:space="preserve"> říká </w:t>
      </w:r>
      <w:r w:rsidRPr="00B42D51">
        <w:rPr>
          <w:rFonts w:ascii="Calibri" w:hAnsi="Calibri" w:cs="Calibri"/>
          <w:b/>
          <w:bCs/>
          <w:color w:val="000000"/>
          <w:sz w:val="22"/>
          <w:szCs w:val="22"/>
        </w:rPr>
        <w:t>Jan Bláha, obchodní ředitel a člen představenstva Fio banky</w:t>
      </w:r>
      <w:r w:rsidRPr="00B42D51">
        <w:rPr>
          <w:rFonts w:ascii="Calibri" w:hAnsi="Calibri" w:cs="Calibri"/>
          <w:color w:val="000000"/>
          <w:sz w:val="22"/>
          <w:szCs w:val="22"/>
        </w:rPr>
        <w:t>.</w:t>
      </w:r>
    </w:p>
    <w:p w14:paraId="11698F21" w14:textId="77777777" w:rsidR="001808FE" w:rsidRDefault="001808FE" w:rsidP="001808FE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 w:val="22"/>
          <w:szCs w:val="22"/>
        </w:rPr>
      </w:pPr>
    </w:p>
    <w:p w14:paraId="0D2FB04F" w14:textId="4A34273A" w:rsidR="001B2E5E" w:rsidRDefault="00FC623B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C623B">
        <w:rPr>
          <w:rFonts w:ascii="Calibri" w:hAnsi="Calibri" w:cs="Calibri"/>
          <w:b/>
          <w:bCs/>
          <w:color w:val="000000"/>
          <w:sz w:val="22"/>
          <w:szCs w:val="22"/>
        </w:rPr>
        <w:t>Počet nových hypoték v listopadu poklesl o 5,3 % meziměsíčně na 6 413 kusů, což je o</w:t>
      </w:r>
      <w:r w:rsidR="007E1421">
        <w:rPr>
          <w:rFonts w:ascii="Calibri" w:hAnsi="Calibri" w:cs="Calibri"/>
          <w:b/>
          <w:bCs/>
          <w:color w:val="000000"/>
          <w:sz w:val="22"/>
          <w:szCs w:val="22"/>
        </w:rPr>
        <w:t xml:space="preserve"> ovšem o</w:t>
      </w:r>
      <w:r w:rsidRPr="00FC623B">
        <w:rPr>
          <w:rFonts w:ascii="Calibri" w:hAnsi="Calibri" w:cs="Calibri"/>
          <w:b/>
          <w:bCs/>
          <w:color w:val="000000"/>
          <w:sz w:val="22"/>
          <w:szCs w:val="22"/>
        </w:rPr>
        <w:t xml:space="preserve"> 14 % více než před rokem. </w:t>
      </w:r>
      <w:r w:rsidRPr="00FC623B">
        <w:rPr>
          <w:rFonts w:ascii="Calibri" w:hAnsi="Calibri" w:cs="Calibri"/>
          <w:color w:val="000000"/>
          <w:sz w:val="22"/>
          <w:szCs w:val="22"/>
        </w:rPr>
        <w:t xml:space="preserve">Odhadujeme, že po sezónním očištění se jejich počet pohybuje okolo 6 712, </w:t>
      </w:r>
      <w:r w:rsidR="007E1421">
        <w:rPr>
          <w:rFonts w:ascii="Calibri" w:hAnsi="Calibri" w:cs="Calibri"/>
          <w:color w:val="000000"/>
          <w:sz w:val="22"/>
          <w:szCs w:val="22"/>
        </w:rPr>
        <w:t xml:space="preserve">tedy okolo </w:t>
      </w:r>
      <w:r w:rsidRPr="00FC623B">
        <w:rPr>
          <w:rFonts w:ascii="Calibri" w:hAnsi="Calibri" w:cs="Calibri"/>
          <w:color w:val="000000"/>
          <w:sz w:val="22"/>
          <w:szCs w:val="22"/>
        </w:rPr>
        <w:t>průměrn</w:t>
      </w:r>
      <w:r w:rsidR="007E1421">
        <w:rPr>
          <w:rFonts w:ascii="Calibri" w:hAnsi="Calibri" w:cs="Calibri"/>
          <w:color w:val="000000"/>
          <w:sz w:val="22"/>
          <w:szCs w:val="22"/>
        </w:rPr>
        <w:t>ého počtu z</w:t>
      </w:r>
      <w:r w:rsidRPr="00FC623B">
        <w:rPr>
          <w:rFonts w:ascii="Calibri" w:hAnsi="Calibri" w:cs="Calibri"/>
          <w:color w:val="000000"/>
          <w:sz w:val="22"/>
          <w:szCs w:val="22"/>
        </w:rPr>
        <w:t xml:space="preserve"> předchozích třech měsíc</w:t>
      </w:r>
      <w:r w:rsidR="007E1421">
        <w:rPr>
          <w:rFonts w:ascii="Calibri" w:hAnsi="Calibri" w:cs="Calibri"/>
          <w:color w:val="000000"/>
          <w:sz w:val="22"/>
          <w:szCs w:val="22"/>
        </w:rPr>
        <w:t>ů.</w:t>
      </w:r>
      <w:r w:rsidRPr="00FC623B">
        <w:rPr>
          <w:rFonts w:ascii="Calibri" w:hAnsi="Calibri" w:cs="Calibri"/>
          <w:color w:val="000000"/>
          <w:sz w:val="22"/>
          <w:szCs w:val="22"/>
        </w:rPr>
        <w:t xml:space="preserve"> Od počátku roku dosáhl počet nových hypoték 69,7 tisíc kusů (+23,5 % meziročně). Dynamika počtu nových hypoték z posledních dvou měsíců, tedy za říjen až listopad implikuje jejich letošní nárůst na celkový počet okolo 76,3 tisíc, což by bylo téměř o 24 % více než v loňském roce a </w:t>
      </w:r>
      <w:r w:rsidR="007E1421">
        <w:rPr>
          <w:rFonts w:ascii="Calibri" w:hAnsi="Calibri" w:cs="Calibri"/>
          <w:color w:val="000000"/>
          <w:sz w:val="22"/>
          <w:szCs w:val="22"/>
        </w:rPr>
        <w:t>nad</w:t>
      </w:r>
      <w:r w:rsidRPr="00FC623B">
        <w:rPr>
          <w:rFonts w:ascii="Calibri" w:hAnsi="Calibri" w:cs="Calibri"/>
          <w:color w:val="000000"/>
          <w:sz w:val="22"/>
          <w:szCs w:val="22"/>
        </w:rPr>
        <w:t xml:space="preserve"> 72 tisíc</w:t>
      </w:r>
      <w:r w:rsidR="007E1421">
        <w:rPr>
          <w:rFonts w:ascii="Calibri" w:hAnsi="Calibri" w:cs="Calibri"/>
          <w:color w:val="000000"/>
          <w:sz w:val="22"/>
          <w:szCs w:val="22"/>
        </w:rPr>
        <w:t xml:space="preserve">i </w:t>
      </w:r>
      <w:r w:rsidRPr="00FC623B">
        <w:rPr>
          <w:rFonts w:ascii="Calibri" w:hAnsi="Calibri" w:cs="Calibri"/>
          <w:color w:val="000000"/>
          <w:sz w:val="22"/>
          <w:szCs w:val="22"/>
        </w:rPr>
        <w:t>z roku 2019.</w:t>
      </w:r>
      <w:r w:rsidR="007E1421">
        <w:rPr>
          <w:rFonts w:ascii="Calibri" w:hAnsi="Calibri" w:cs="Calibri"/>
          <w:color w:val="000000"/>
          <w:sz w:val="22"/>
          <w:szCs w:val="22"/>
        </w:rPr>
        <w:t xml:space="preserve"> Ovšem i </w:t>
      </w:r>
      <w:r w:rsidRPr="00FC623B">
        <w:rPr>
          <w:rFonts w:ascii="Calibri" w:hAnsi="Calibri" w:cs="Calibri"/>
          <w:color w:val="000000"/>
          <w:sz w:val="22"/>
          <w:szCs w:val="22"/>
        </w:rPr>
        <w:t xml:space="preserve">letošní počet zůstane pod průměrnými počty okolo 95 tisíc z let 2016 až 2018 či pod </w:t>
      </w:r>
      <w:r w:rsidR="007E1421">
        <w:rPr>
          <w:rFonts w:ascii="Calibri" w:hAnsi="Calibri" w:cs="Calibri"/>
          <w:color w:val="000000"/>
          <w:sz w:val="22"/>
          <w:szCs w:val="22"/>
        </w:rPr>
        <w:t xml:space="preserve">rekordními </w:t>
      </w:r>
      <w:r w:rsidRPr="00FC623B">
        <w:rPr>
          <w:rFonts w:ascii="Calibri" w:hAnsi="Calibri" w:cs="Calibri"/>
          <w:color w:val="000000"/>
          <w:sz w:val="22"/>
          <w:szCs w:val="22"/>
        </w:rPr>
        <w:t>114 tisíci z roku 2021.</w:t>
      </w:r>
    </w:p>
    <w:p w14:paraId="752BB56A" w14:textId="77777777" w:rsidR="001B2E5E" w:rsidRDefault="001B2E5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296189D" w14:textId="77777777" w:rsidR="001B2E5E" w:rsidRDefault="001B2E5E" w:rsidP="001B2E5E">
      <w:pPr>
        <w:rPr>
          <w:rFonts w:ascii="Calibri" w:hAnsi="Calibri" w:cs="Calibri"/>
          <w:b/>
          <w:color w:val="13576B"/>
          <w:sz w:val="23"/>
          <w:szCs w:val="23"/>
        </w:rPr>
        <w:sectPr w:rsidR="001B2E5E" w:rsidSect="00A06A94">
          <w:headerReference w:type="default" r:id="rId14"/>
          <w:footerReference w:type="default" r:id="rId15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0C44BF1D" w14:textId="4E92B5FB" w:rsidR="001B2E5E" w:rsidRPr="00D24B00" w:rsidRDefault="00616F34" w:rsidP="001B2E5E">
      <w:pPr>
        <w:rPr>
          <w:rFonts w:ascii="Calibri" w:hAnsi="Calibri" w:cs="Calibri"/>
          <w:b/>
          <w:color w:val="EE0000"/>
          <w:sz w:val="24"/>
          <w:szCs w:val="24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Graf </w:t>
      </w:r>
      <w:r w:rsidR="001B2E5E" w:rsidRPr="005B4653">
        <w:rPr>
          <w:rFonts w:ascii="Calibri" w:hAnsi="Calibri" w:cs="Calibri"/>
          <w:b/>
          <w:color w:val="13576B"/>
          <w:sz w:val="23"/>
          <w:szCs w:val="23"/>
        </w:rPr>
        <w:t xml:space="preserve">č. </w:t>
      </w:r>
      <w:r w:rsidR="001B2E5E">
        <w:rPr>
          <w:rFonts w:ascii="Calibri" w:hAnsi="Calibri" w:cs="Calibri"/>
          <w:b/>
          <w:color w:val="13576B"/>
          <w:sz w:val="23"/>
          <w:szCs w:val="23"/>
        </w:rPr>
        <w:t>1</w:t>
      </w:r>
      <w:r w:rsidR="001B2E5E"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1B2E5E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1B2E5E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  <w:r w:rsidR="001B2E5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44647228" w14:textId="5EF0F516" w:rsidR="001B2E5E" w:rsidRDefault="007E1421" w:rsidP="007E1421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7E142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listopadu 2025 nové hypotéky </w:t>
      </w:r>
      <w:r w:rsidR="00506126">
        <w:rPr>
          <w:rFonts w:ascii="Calibri" w:hAnsi="Calibri" w:cs="Calibri"/>
          <w:bCs/>
          <w:i/>
          <w:iCs/>
          <w:color w:val="13576B"/>
          <w:sz w:val="23"/>
          <w:szCs w:val="23"/>
        </w:rPr>
        <w:t>sice v porovnání s říjnem zvolnily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, a to </w:t>
      </w:r>
      <w:r w:rsidR="00506126">
        <w:rPr>
          <w:rFonts w:ascii="Calibri" w:hAnsi="Calibri" w:cs="Calibri"/>
          <w:bCs/>
          <w:i/>
          <w:iCs/>
          <w:color w:val="13576B"/>
          <w:sz w:val="23"/>
          <w:szCs w:val="23"/>
        </w:rPr>
        <w:t>n</w:t>
      </w:r>
      <w:r w:rsidRPr="007E1421">
        <w:rPr>
          <w:rFonts w:ascii="Calibri" w:hAnsi="Calibri" w:cs="Calibri"/>
          <w:bCs/>
          <w:i/>
          <w:iCs/>
          <w:color w:val="13576B"/>
          <w:sz w:val="23"/>
          <w:szCs w:val="23"/>
        </w:rPr>
        <w:t>a 28,1 miliardy Kč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, ale po </w:t>
      </w:r>
      <w:r w:rsidRPr="007E142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sezónní úpravě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dosáhly </w:t>
      </w:r>
      <w:r w:rsidRPr="007E1421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30,7 mld. Kč. </w:t>
      </w:r>
    </w:p>
    <w:p w14:paraId="593F8D50" w14:textId="5E516362" w:rsidR="001B2E5E" w:rsidRDefault="001B2E5E" w:rsidP="001B2E5E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>
        <w:rPr>
          <w:rFonts w:ascii="Calibri" w:hAnsi="Calibri" w:cs="Calibri"/>
          <w:b/>
          <w:color w:val="13576B"/>
          <w:sz w:val="23"/>
          <w:szCs w:val="23"/>
        </w:rPr>
        <w:t>2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>: Průměrná výše hypotéky podle účelu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</w:p>
    <w:p w14:paraId="169F70AA" w14:textId="088108E9" w:rsidR="001B2E5E" w:rsidRPr="00CB3460" w:rsidRDefault="001B2E5E" w:rsidP="001B2E5E">
      <w:pPr>
        <w:spacing w:after="120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 w:rsidRPr="00CB3460">
        <w:rPr>
          <w:rFonts w:ascii="Calibri" w:hAnsi="Calibri" w:cs="Calibri"/>
          <w:bCs/>
          <w:i/>
          <w:iCs/>
          <w:color w:val="13576B"/>
          <w:sz w:val="23"/>
          <w:szCs w:val="23"/>
        </w:rPr>
        <w:t>Průměrná velikost skutečně nově poskytnuté hypotéky v listopadu mírně stoupla na 4,38 mil. Kč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a </w:t>
      </w:r>
      <w:r w:rsidRPr="00CB3460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je tak o 14 % vyšší než 3,84 mil. Kč před rokem. </w:t>
      </w:r>
    </w:p>
    <w:p w14:paraId="133B2338" w14:textId="77777777" w:rsidR="001B2E5E" w:rsidRDefault="001B2E5E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  <w:sectPr w:rsidR="001B2E5E" w:rsidSect="001B2E5E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</w:p>
    <w:p w14:paraId="52456E65" w14:textId="0A2605B8" w:rsidR="00893E0C" w:rsidRPr="00606031" w:rsidRDefault="00CB3460" w:rsidP="00606031">
      <w:pPr>
        <w:rPr>
          <w:rFonts w:ascii="Calibri" w:hAnsi="Calibri" w:cs="Calibri"/>
          <w:bCs/>
          <w:i/>
          <w:iCs/>
          <w:color w:val="EE0000"/>
          <w:sz w:val="23"/>
          <w:szCs w:val="23"/>
        </w:rPr>
      </w:pPr>
      <w:r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051724D2" wp14:editId="1B18D005">
            <wp:extent cx="3183613" cy="1952625"/>
            <wp:effectExtent l="0" t="0" r="0" b="0"/>
            <wp:docPr id="1920708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70" cy="1956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7397" w:rsidRPr="00277397">
        <w:rPr>
          <w:rFonts w:ascii="Calibri Light" w:hAnsi="Calibri Light" w:cs="Calibri Light"/>
          <w:color w:val="13576B"/>
          <w:sz w:val="20"/>
        </w:rPr>
        <w:t xml:space="preserve">Pramen: ČNB, ČBA </w:t>
      </w:r>
      <w:proofErr w:type="spellStart"/>
      <w:r w:rsidR="00277397" w:rsidRPr="00277397">
        <w:rPr>
          <w:rFonts w:ascii="Calibri Light" w:hAnsi="Calibri Light" w:cs="Calibri Light"/>
          <w:color w:val="13576B"/>
          <w:sz w:val="20"/>
        </w:rPr>
        <w:t>Hypomonitor</w:t>
      </w:r>
      <w:proofErr w:type="spellEnd"/>
      <w:r w:rsidR="00277397" w:rsidRPr="00277397">
        <w:rPr>
          <w:rFonts w:ascii="Calibri Light" w:hAnsi="Calibri Light" w:cs="Calibri Light"/>
          <w:color w:val="13576B"/>
          <w:sz w:val="20"/>
        </w:rPr>
        <w:t xml:space="preserve"> (před rokem 2020 jsou objemy ze statistiky ČNB).</w:t>
      </w:r>
    </w:p>
    <w:p w14:paraId="4DD0766A" w14:textId="4AA046C2" w:rsidR="00D2301A" w:rsidRPr="00D24B00" w:rsidRDefault="00CB3460" w:rsidP="004A5428">
      <w:pPr>
        <w:rPr>
          <w:rFonts w:ascii="Calibri" w:hAnsi="Calibri" w:cs="Calibri"/>
          <w:b/>
          <w:bCs/>
          <w:sz w:val="22"/>
          <w:szCs w:val="22"/>
          <w:highlight w:val="yellow"/>
        </w:rPr>
      </w:pPr>
      <w:r>
        <w:rPr>
          <w:rFonts w:ascii="Calibri" w:hAnsi="Calibri" w:cs="Calibri"/>
          <w:b/>
          <w:bCs/>
          <w:noProof/>
          <w:sz w:val="22"/>
          <w:szCs w:val="22"/>
          <w:highlight w:val="yellow"/>
        </w:rPr>
        <w:drawing>
          <wp:inline distT="0" distB="0" distL="0" distR="0" wp14:anchorId="03F179A7" wp14:editId="71F9E6D1">
            <wp:extent cx="3131820" cy="1866933"/>
            <wp:effectExtent l="0" t="0" r="0" b="0"/>
            <wp:docPr id="17798260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42" cy="1877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F9ABC" w14:textId="77777777" w:rsidR="00606031" w:rsidRDefault="004A5428" w:rsidP="004A5428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bookmarkEnd w:id="1"/>
    <w:bookmarkEnd w:id="2"/>
    <w:bookmarkEnd w:id="3"/>
    <w:p w14:paraId="38EB67FA" w14:textId="77777777" w:rsidR="00CB3460" w:rsidRDefault="00CB3460" w:rsidP="0020488B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3D9EA59" w14:textId="00A1A798" w:rsidR="006102C4" w:rsidRDefault="0009562F" w:rsidP="0020488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9562F">
        <w:rPr>
          <w:rFonts w:ascii="Calibri" w:hAnsi="Calibri" w:cs="Calibri"/>
          <w:b/>
          <w:bCs/>
          <w:color w:val="000000"/>
          <w:sz w:val="22"/>
          <w:szCs w:val="22"/>
        </w:rPr>
        <w:t>Objem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externě</w:t>
      </w:r>
      <w:r w:rsidRPr="0009562F">
        <w:rPr>
          <w:rFonts w:ascii="Calibri" w:hAnsi="Calibri" w:cs="Calibri"/>
          <w:b/>
          <w:bCs/>
          <w:color w:val="000000"/>
          <w:sz w:val="22"/>
          <w:szCs w:val="22"/>
        </w:rPr>
        <w:t xml:space="preserve"> refinancovaných a navýšených úvěrů (interně či z jiné instituce) v listopadu poklesl na 8,9 mld. Kč. </w:t>
      </w:r>
      <w:r w:rsidRPr="0009562F">
        <w:rPr>
          <w:rFonts w:ascii="Calibri" w:hAnsi="Calibri" w:cs="Calibri"/>
          <w:color w:val="000000"/>
          <w:sz w:val="22"/>
          <w:szCs w:val="22"/>
        </w:rPr>
        <w:t>To je</w:t>
      </w:r>
      <w:r w:rsidR="007E1421">
        <w:rPr>
          <w:rFonts w:ascii="Calibri" w:hAnsi="Calibri" w:cs="Calibri"/>
          <w:color w:val="000000"/>
          <w:sz w:val="22"/>
          <w:szCs w:val="22"/>
        </w:rPr>
        <w:t xml:space="preserve"> ovšem téměř 1,3násobek loňského</w:t>
      </w:r>
      <w:r w:rsidR="006D5361">
        <w:rPr>
          <w:rFonts w:ascii="Calibri" w:hAnsi="Calibri" w:cs="Calibri"/>
          <w:color w:val="000000"/>
          <w:sz w:val="22"/>
          <w:szCs w:val="22"/>
        </w:rPr>
        <w:t xml:space="preserve"> průměru necelých čtyř</w:t>
      </w:r>
      <w:r w:rsidRPr="0009562F">
        <w:rPr>
          <w:rFonts w:ascii="Calibri" w:hAnsi="Calibri" w:cs="Calibri"/>
          <w:color w:val="000000"/>
          <w:sz w:val="22"/>
          <w:szCs w:val="22"/>
        </w:rPr>
        <w:t xml:space="preserve"> miliard refinancovaných v loňském roce a </w:t>
      </w:r>
      <w:r w:rsidR="006D5361">
        <w:rPr>
          <w:rFonts w:ascii="Calibri" w:hAnsi="Calibri" w:cs="Calibri"/>
          <w:color w:val="000000"/>
          <w:sz w:val="22"/>
          <w:szCs w:val="22"/>
        </w:rPr>
        <w:t xml:space="preserve">více než trojnásobě více než v </w:t>
      </w:r>
      <w:r w:rsidRPr="0009562F">
        <w:rPr>
          <w:rFonts w:ascii="Calibri" w:hAnsi="Calibri" w:cs="Calibri"/>
          <w:color w:val="000000"/>
          <w:sz w:val="22"/>
          <w:szCs w:val="22"/>
        </w:rPr>
        <w:t xml:space="preserve">roce 2023. Podíl refinancovaných úvěrů na celkovém objemu poskytnutých hypoték pak zůstal v podstatě beze změny okolo 24,1 %, což je nad loňským průměrem 16,9 %. Nachází se tak nad 17,2% podílem z let 2022-2023, ovšem stále pod téměř 29% podílem z let 2020-2021, kdy domácnosti refinancovaly za hypoteční sazbu 2,14 %. V listopadu 2025 se domácnosti refinancovaly za úrokovou sazbu 4,45 %, což je ovšem stále o </w:t>
      </w:r>
      <w:proofErr w:type="gramStart"/>
      <w:r w:rsidRPr="0009562F">
        <w:rPr>
          <w:rFonts w:ascii="Calibri" w:hAnsi="Calibri" w:cs="Calibri"/>
          <w:color w:val="000000"/>
          <w:sz w:val="22"/>
          <w:szCs w:val="22"/>
        </w:rPr>
        <w:t>0,27 procentního</w:t>
      </w:r>
      <w:proofErr w:type="gramEnd"/>
      <w:r w:rsidRPr="0009562F">
        <w:rPr>
          <w:rFonts w:ascii="Calibri" w:hAnsi="Calibri" w:cs="Calibri"/>
          <w:color w:val="000000"/>
          <w:sz w:val="22"/>
          <w:szCs w:val="22"/>
        </w:rPr>
        <w:t xml:space="preserve"> bodu méně než 4,72 % před rokem.</w:t>
      </w:r>
      <w:r w:rsidR="006D5361">
        <w:rPr>
          <w:rFonts w:ascii="Calibri" w:hAnsi="Calibri" w:cs="Calibri"/>
          <w:color w:val="000000"/>
          <w:sz w:val="22"/>
          <w:szCs w:val="22"/>
        </w:rPr>
        <w:t xml:space="preserve"> Vyšší objemy refinancování odrážejí souběh končících delších fixací z období nízkých úrokových sazeb a kratších fixací z nedávného období vyšších úrokových sazeb. </w:t>
      </w:r>
    </w:p>
    <w:p w14:paraId="2E910C83" w14:textId="77777777" w:rsidR="0009562F" w:rsidRDefault="0009562F" w:rsidP="0020488B">
      <w:pPr>
        <w:rPr>
          <w:rFonts w:ascii="Calibri" w:hAnsi="Calibri" w:cs="Calibri"/>
          <w:color w:val="000000"/>
          <w:sz w:val="22"/>
          <w:szCs w:val="22"/>
        </w:rPr>
      </w:pPr>
    </w:p>
    <w:p w14:paraId="4E9FB443" w14:textId="1F1557BE" w:rsidR="006102C4" w:rsidRPr="00CC5202" w:rsidRDefault="006102C4" w:rsidP="0061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i/>
          <w:iCs/>
          <w:sz w:val="22"/>
          <w:szCs w:val="22"/>
        </w:rPr>
      </w:pPr>
      <w:r w:rsidRPr="002F6A6D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FB612E" w:rsidRPr="00FB612E">
        <w:rPr>
          <w:rFonts w:ascii="Calibri" w:hAnsi="Calibri" w:cs="Calibri"/>
          <w:i/>
          <w:iCs/>
          <w:color w:val="000000" w:themeColor="text1"/>
          <w:sz w:val="22"/>
          <w:szCs w:val="22"/>
        </w:rPr>
        <w:t>Objemy nových hypoték pozorované už po řadu měsíců naznačují, že se domácnosti se zájmem o hypotéku smířily s představou úrokových sazeb na výrazně vyšších úrovních, než jsme vídali dříve. Poslední vývoj mezibankovních úrokových sazeb naznačuje, že v dalších měsících už se žádný pokles hypotečních sazeb čekat nedá, ba dokonce že je poměrně pravděpodobný jejich růst</w:t>
      </w:r>
      <w:r w:rsidR="005B2CDC">
        <w:rPr>
          <w:rFonts w:ascii="Calibri" w:hAnsi="Calibri" w:cs="Calibri"/>
          <w:i/>
          <w:iCs/>
          <w:color w:val="000000" w:themeColor="text1"/>
          <w:sz w:val="22"/>
          <w:szCs w:val="22"/>
        </w:rPr>
        <w:t>,</w:t>
      </w:r>
      <w:r w:rsidR="00CB3460">
        <w:rPr>
          <w:rFonts w:ascii="Calibri" w:hAnsi="Calibri" w:cs="Calibri"/>
          <w:i/>
          <w:iCs/>
          <w:color w:val="000000" w:themeColor="text1"/>
          <w:sz w:val="22"/>
          <w:szCs w:val="22"/>
        </w:rPr>
        <w:t>“</w:t>
      </w:r>
      <w:r w:rsidRPr="008B2D3F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domnívá se</w:t>
      </w:r>
      <w:r w:rsidRPr="002F6A6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B612E" w:rsidRPr="00FB612E">
        <w:rPr>
          <w:rFonts w:ascii="Calibri" w:hAnsi="Calibri" w:cs="Calibri"/>
          <w:b/>
          <w:bCs/>
          <w:color w:val="000000" w:themeColor="text1"/>
          <w:sz w:val="22"/>
          <w:szCs w:val="22"/>
        </w:rPr>
        <w:t>Michal Skořep</w:t>
      </w:r>
      <w:r w:rsidR="00FB612E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FB612E" w:rsidRPr="00FB612E">
        <w:rPr>
          <w:rFonts w:ascii="Calibri" w:hAnsi="Calibri" w:cs="Calibri"/>
          <w:b/>
          <w:bCs/>
          <w:color w:val="000000" w:themeColor="text1"/>
          <w:sz w:val="22"/>
          <w:szCs w:val="22"/>
        </w:rPr>
        <w:t>, ekonom České spořitelny a předsed</w:t>
      </w:r>
      <w:r w:rsidR="00FB612E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FB612E" w:rsidRPr="00FB612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Výboru pro rozpočtové prognózy</w:t>
      </w:r>
      <w:r w:rsidRPr="00882EFB">
        <w:rPr>
          <w:rFonts w:ascii="Calibri" w:eastAsia="Calibri" w:hAnsi="Calibri" w:cs="Calibri"/>
          <w:i/>
          <w:iCs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FD34481" w14:textId="77777777" w:rsidR="006102C4" w:rsidRDefault="006102C4" w:rsidP="006102C4">
      <w:pPr>
        <w:rPr>
          <w:rFonts w:ascii="Calibri" w:hAnsi="Calibri" w:cs="Calibri"/>
          <w:color w:val="000000"/>
          <w:sz w:val="22"/>
          <w:szCs w:val="22"/>
        </w:rPr>
      </w:pPr>
    </w:p>
    <w:p w14:paraId="2CC91888" w14:textId="0E594BB7" w:rsidR="004803D6" w:rsidRPr="0009562F" w:rsidRDefault="0009562F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09562F">
        <w:rPr>
          <w:rFonts w:ascii="Calibri" w:hAnsi="Calibri" w:cs="Calibri"/>
          <w:b/>
          <w:bCs/>
          <w:color w:val="000000"/>
          <w:sz w:val="22"/>
          <w:szCs w:val="22"/>
        </w:rPr>
        <w:t>Celkově tak banky a stavební spořitelny v listopadu poskytly nové a refinancované hypotéky v objemu 37,1 mld. Kč, což je o 4,4 % méně než před měsícem.</w:t>
      </w:r>
      <w:r w:rsidRPr="0009562F">
        <w:rPr>
          <w:rFonts w:ascii="Calibri" w:hAnsi="Calibri" w:cs="Calibri"/>
          <w:color w:val="000000"/>
          <w:sz w:val="22"/>
          <w:szCs w:val="22"/>
        </w:rPr>
        <w:t xml:space="preserve"> Jejich celkový objem v letošním roce prozatím </w:t>
      </w:r>
      <w:r w:rsidR="006D5361">
        <w:rPr>
          <w:rFonts w:ascii="Calibri" w:hAnsi="Calibri" w:cs="Calibri"/>
          <w:color w:val="000000"/>
          <w:sz w:val="22"/>
          <w:szCs w:val="22"/>
        </w:rPr>
        <w:t xml:space="preserve">ovšem </w:t>
      </w:r>
      <w:r w:rsidRPr="0009562F">
        <w:rPr>
          <w:rFonts w:ascii="Calibri" w:hAnsi="Calibri" w:cs="Calibri"/>
          <w:color w:val="000000"/>
          <w:sz w:val="22"/>
          <w:szCs w:val="22"/>
        </w:rPr>
        <w:t>dosáhl 369 mld. Kč, což představuje 47% nárůst ve srovnání s lednem až listopadem předcházejícího roku.</w:t>
      </w:r>
    </w:p>
    <w:p w14:paraId="2BE788F6" w14:textId="77777777" w:rsidR="0009562F" w:rsidRDefault="0009562F" w:rsidP="00B40FE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A1704D2" w14:textId="004980F0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09562F">
        <w:rPr>
          <w:rFonts w:ascii="Calibri" w:hAnsi="Calibri" w:cs="Calibri"/>
          <w:b/>
          <w:color w:val="13576B"/>
          <w:sz w:val="23"/>
          <w:szCs w:val="23"/>
        </w:rPr>
        <w:t xml:space="preserve">v listopadu zůstala na nižší úrovni </w:t>
      </w:r>
      <w:r w:rsidR="004803D6">
        <w:rPr>
          <w:rFonts w:ascii="Calibri" w:hAnsi="Calibri" w:cs="Calibri"/>
          <w:b/>
          <w:color w:val="13576B"/>
          <w:sz w:val="23"/>
          <w:szCs w:val="23"/>
        </w:rPr>
        <w:t>4,48 %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66F67050" w14:textId="70ABEDFC" w:rsidR="001B2E5E" w:rsidRDefault="006D5361" w:rsidP="00F625C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Listopadové tržní úrokové sazby dále rostly, ale p</w:t>
      </w:r>
      <w:r w:rsidR="0009562F" w:rsidRPr="0009562F">
        <w:rPr>
          <w:rFonts w:ascii="Calibri" w:hAnsi="Calibri" w:cs="Calibri"/>
          <w:color w:val="000000"/>
          <w:sz w:val="22"/>
          <w:szCs w:val="22"/>
        </w:rPr>
        <w:t xml:space="preserve">růměrná realizovaná úroková sazba u nových hypoték v listopadu </w:t>
      </w:r>
      <w:r w:rsidR="00650088">
        <w:rPr>
          <w:rFonts w:ascii="Calibri" w:hAnsi="Calibri" w:cs="Calibri"/>
          <w:color w:val="000000"/>
          <w:sz w:val="22"/>
          <w:szCs w:val="22"/>
        </w:rPr>
        <w:t xml:space="preserve">zůstala </w:t>
      </w:r>
      <w:r>
        <w:rPr>
          <w:rFonts w:ascii="Calibri" w:hAnsi="Calibri" w:cs="Calibri"/>
          <w:color w:val="000000"/>
          <w:sz w:val="22"/>
          <w:szCs w:val="22"/>
        </w:rPr>
        <w:t>po</w:t>
      </w:r>
      <w:r w:rsidRPr="0009562F">
        <w:rPr>
          <w:rFonts w:ascii="Calibri" w:hAnsi="Calibri" w:cs="Calibri"/>
          <w:color w:val="000000"/>
          <w:sz w:val="22"/>
          <w:szCs w:val="22"/>
        </w:rPr>
        <w:t xml:space="preserve"> říjnov</w:t>
      </w:r>
      <w:r>
        <w:rPr>
          <w:rFonts w:ascii="Calibri" w:hAnsi="Calibri" w:cs="Calibri"/>
          <w:color w:val="000000"/>
          <w:sz w:val="22"/>
          <w:szCs w:val="22"/>
        </w:rPr>
        <w:t>ém poklesu na</w:t>
      </w:r>
      <w:r w:rsidRPr="0009562F">
        <w:rPr>
          <w:rFonts w:ascii="Calibri" w:hAnsi="Calibri" w:cs="Calibri"/>
          <w:color w:val="000000"/>
          <w:sz w:val="22"/>
          <w:szCs w:val="22"/>
        </w:rPr>
        <w:t xml:space="preserve"> 4,48 %</w:t>
      </w:r>
      <w:r w:rsidR="005B2CD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50088">
        <w:rPr>
          <w:rFonts w:ascii="Calibri" w:hAnsi="Calibri" w:cs="Calibri"/>
          <w:color w:val="000000"/>
          <w:sz w:val="22"/>
          <w:szCs w:val="22"/>
        </w:rPr>
        <w:t>beze změny</w:t>
      </w:r>
      <w:r w:rsidR="0009562F" w:rsidRPr="0009562F">
        <w:rPr>
          <w:rFonts w:ascii="Calibri" w:hAnsi="Calibri" w:cs="Calibri"/>
          <w:color w:val="000000"/>
          <w:sz w:val="22"/>
          <w:szCs w:val="22"/>
        </w:rPr>
        <w:t xml:space="preserve">. Její snížení tak </w:t>
      </w:r>
      <w:r>
        <w:rPr>
          <w:rFonts w:ascii="Calibri" w:hAnsi="Calibri" w:cs="Calibri"/>
          <w:color w:val="000000"/>
          <w:sz w:val="22"/>
          <w:szCs w:val="22"/>
        </w:rPr>
        <w:t>utvrzuje</w:t>
      </w:r>
      <w:r w:rsidR="0009562F" w:rsidRPr="0009562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stabilizační </w:t>
      </w:r>
      <w:r w:rsidR="0009562F" w:rsidRPr="0009562F">
        <w:rPr>
          <w:rFonts w:ascii="Calibri" w:hAnsi="Calibri" w:cs="Calibri"/>
          <w:color w:val="000000"/>
          <w:sz w:val="22"/>
          <w:szCs w:val="22"/>
        </w:rPr>
        <w:t xml:space="preserve">trend pod 5 % naposledy zaznamenanými v červenci 2024. Její listopadová úroveň je tak o </w:t>
      </w:r>
      <w:proofErr w:type="gramStart"/>
      <w:r w:rsidR="0009562F" w:rsidRPr="0009562F">
        <w:rPr>
          <w:rFonts w:ascii="Calibri" w:hAnsi="Calibri" w:cs="Calibri"/>
          <w:color w:val="000000"/>
          <w:sz w:val="22"/>
          <w:szCs w:val="22"/>
        </w:rPr>
        <w:t>0,37 procentního</w:t>
      </w:r>
      <w:proofErr w:type="gramEnd"/>
      <w:r w:rsidR="0009562F" w:rsidRPr="0009562F">
        <w:rPr>
          <w:rFonts w:ascii="Calibri" w:hAnsi="Calibri" w:cs="Calibri"/>
          <w:color w:val="000000"/>
          <w:sz w:val="22"/>
          <w:szCs w:val="22"/>
        </w:rPr>
        <w:t xml:space="preserve"> bodu níže než 4,85% sazba před rokem, což snižuje měsíční splátky hypotéky přibližně o 1 % čistého příjmu žadatele, tedy o </w:t>
      </w:r>
      <w:r>
        <w:rPr>
          <w:rFonts w:ascii="Calibri" w:hAnsi="Calibri" w:cs="Calibri"/>
          <w:color w:val="000000"/>
          <w:sz w:val="22"/>
          <w:szCs w:val="22"/>
        </w:rPr>
        <w:t>devět set korun</w:t>
      </w:r>
      <w:r w:rsidR="0009562F" w:rsidRPr="0009562F">
        <w:rPr>
          <w:rFonts w:ascii="Calibri" w:hAnsi="Calibri" w:cs="Calibri"/>
          <w:color w:val="000000"/>
          <w:sz w:val="22"/>
          <w:szCs w:val="22"/>
        </w:rPr>
        <w:t>. Pro srovnání průměrná hodnota hypoteční sazby v roce 2024 dosáhla 5,07 % v porovnání se sazbou 5,81 % v roce 2023.</w:t>
      </w:r>
    </w:p>
    <w:p w14:paraId="02E3271C" w14:textId="77777777" w:rsidR="00615849" w:rsidRPr="00055000" w:rsidRDefault="00615849" w:rsidP="00615849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09F4805F" w14:textId="0CACF199" w:rsidR="00616F34" w:rsidRDefault="00615849" w:rsidP="00616F3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158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Listopadová úroková hypoteční sazba na nové hypotéky se se 4,48 % nacházela </w:t>
      </w:r>
      <w:proofErr w:type="gramStart"/>
      <w:r w:rsidRPr="00615849">
        <w:rPr>
          <w:rFonts w:ascii="Calibri" w:hAnsi="Calibri" w:cs="Calibri"/>
          <w:b/>
          <w:bCs/>
          <w:color w:val="000000" w:themeColor="text1"/>
          <w:sz w:val="22"/>
          <w:szCs w:val="22"/>
        </w:rPr>
        <w:t>0,74 procentního</w:t>
      </w:r>
      <w:proofErr w:type="gramEnd"/>
      <w:r w:rsidRPr="0061584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bodu nad průměrnými tržními swapovými sazbami.</w:t>
      </w:r>
      <w:r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To je přibližně 0,33 p. b. pod dlouhodobým průměrem od roku 2014 (1,07 p. b.), zatímco v předešlých třech měsících tento spread vůči dlouhodobému průměru činil -0,15 p. b.</w:t>
      </w:r>
    </w:p>
    <w:p w14:paraId="4924551B" w14:textId="77777777" w:rsidR="00616F34" w:rsidRDefault="00616F34" w:rsidP="00616F3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79EF412" w14:textId="4D40C121" w:rsidR="00616F34" w:rsidRPr="00616F34" w:rsidRDefault="00616F34" w:rsidP="00616F34">
      <w:pPr>
        <w:rPr>
          <w:rFonts w:ascii="Calibri" w:hAnsi="Calibri" w:cs="Calibri"/>
          <w:color w:val="000000" w:themeColor="text1"/>
          <w:sz w:val="22"/>
          <w:szCs w:val="22"/>
        </w:rPr>
        <w:sectPr w:rsidR="00616F34" w:rsidRPr="00616F34" w:rsidSect="00606031">
          <w:type w:val="continuous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636F55D4" w14:textId="304F6BBC" w:rsidR="001B2E5E" w:rsidRDefault="001B2E5E" w:rsidP="001B2E5E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Graf 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č. </w:t>
      </w:r>
      <w:r>
        <w:rPr>
          <w:rFonts w:ascii="Calibri" w:hAnsi="Calibri" w:cs="Calibri"/>
          <w:b/>
          <w:color w:val="13576B"/>
          <w:sz w:val="23"/>
          <w:szCs w:val="23"/>
        </w:rPr>
        <w:t>3: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úroková 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>sazba – nové obchody</w:t>
      </w:r>
    </w:p>
    <w:p w14:paraId="413C82DA" w14:textId="61BD2165" w:rsidR="001B2E5E" w:rsidRPr="002138C0" w:rsidRDefault="001B2E5E" w:rsidP="001B2E5E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V listopadu zůstala na 4,48 %, a zmírnila svůj pokles na</w:t>
      </w:r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0,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37 p.</w:t>
      </w:r>
      <w:r w:rsidR="005B2CD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b. ve srovnání</w:t>
      </w:r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s </w:t>
      </w:r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>4,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85</w:t>
      </w:r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>% sazb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ou</w:t>
      </w:r>
      <w:r w:rsidRPr="00D2301A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před rokem</w:t>
      </w:r>
    </w:p>
    <w:p w14:paraId="380635EC" w14:textId="033C25BB" w:rsidR="001B2E5E" w:rsidRPr="006D5361" w:rsidRDefault="001B2E5E" w:rsidP="006D5361">
      <w:pPr>
        <w:overflowPunct/>
        <w:autoSpaceDE/>
        <w:adjustRightInd/>
        <w:rPr>
          <w:rFonts w:ascii="Calibri" w:hAnsi="Calibri" w:cs="Calibri"/>
          <w:b/>
          <w:color w:val="13576B"/>
          <w:sz w:val="23"/>
          <w:szCs w:val="23"/>
        </w:rPr>
        <w:sectPr w:rsidR="001B2E5E" w:rsidRPr="006D5361" w:rsidSect="001B2E5E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>
        <w:rPr>
          <w:rFonts w:ascii="Calibri" w:hAnsi="Calibri" w:cs="Calibri"/>
          <w:b/>
          <w:color w:val="13576B"/>
          <w:sz w:val="23"/>
          <w:szCs w:val="23"/>
        </w:rPr>
        <w:t>4: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Stále </w:t>
      </w:r>
      <w:r w:rsidR="006D5361">
        <w:rPr>
          <w:rFonts w:ascii="Calibri" w:hAnsi="Calibri" w:cs="Calibri"/>
          <w:b/>
          <w:color w:val="13576B"/>
          <w:sz w:val="23"/>
          <w:szCs w:val="23"/>
        </w:rPr>
        <w:t>svižné tempo jádrové i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nflace, silnější růst ekonomiky, ale i povolební výsledek </w:t>
      </w:r>
      <w:r w:rsidR="0085657D">
        <w:rPr>
          <w:rFonts w:ascii="Calibri" w:hAnsi="Calibri" w:cs="Calibri"/>
          <w:b/>
          <w:color w:val="13576B"/>
          <w:sz w:val="23"/>
          <w:szCs w:val="23"/>
        </w:rPr>
        <w:t xml:space="preserve">a vyšší zahraniční sazby </w:t>
      </w:r>
      <w:r w:rsidR="006D5361">
        <w:rPr>
          <w:rFonts w:ascii="Calibri" w:hAnsi="Calibri" w:cs="Calibri"/>
          <w:b/>
          <w:color w:val="13576B"/>
          <w:sz w:val="23"/>
          <w:szCs w:val="23"/>
        </w:rPr>
        <w:t xml:space="preserve">v listopadu držely </w:t>
      </w:r>
      <w:r>
        <w:rPr>
          <w:rFonts w:ascii="Calibri" w:hAnsi="Calibri" w:cs="Calibri"/>
          <w:b/>
          <w:color w:val="13576B"/>
          <w:sz w:val="23"/>
          <w:szCs w:val="23"/>
        </w:rPr>
        <w:t>t</w:t>
      </w:r>
      <w:r w:rsidRPr="00813D03">
        <w:rPr>
          <w:rFonts w:ascii="Calibri" w:hAnsi="Calibri" w:cs="Calibri"/>
          <w:b/>
          <w:color w:val="13576B"/>
          <w:sz w:val="23"/>
          <w:szCs w:val="23"/>
        </w:rPr>
        <w:t xml:space="preserve">ržní dlouhodobé sazby </w:t>
      </w:r>
      <w:r w:rsidR="006D5361">
        <w:rPr>
          <w:rFonts w:ascii="Calibri" w:hAnsi="Calibri" w:cs="Calibri"/>
          <w:b/>
          <w:color w:val="13576B"/>
          <w:sz w:val="23"/>
          <w:szCs w:val="23"/>
        </w:rPr>
        <w:t>výše</w:t>
      </w:r>
    </w:p>
    <w:p w14:paraId="7CBC6B5A" w14:textId="77777777" w:rsidR="001B2E5E" w:rsidRPr="004803D6" w:rsidRDefault="001B2E5E" w:rsidP="00F625CA">
      <w:pPr>
        <w:rPr>
          <w:rFonts w:ascii="Calibri" w:hAnsi="Calibri" w:cs="Calibri"/>
          <w:color w:val="000000"/>
          <w:sz w:val="22"/>
          <w:szCs w:val="22"/>
        </w:rPr>
      </w:pPr>
    </w:p>
    <w:p w14:paraId="0230887A" w14:textId="77777777" w:rsidR="00606031" w:rsidRDefault="00606031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  <w:sectPr w:rsidR="00606031" w:rsidSect="00606031">
          <w:type w:val="continuous"/>
          <w:pgSz w:w="11906" w:h="16838"/>
          <w:pgMar w:top="2552" w:right="849" w:bottom="1560" w:left="851" w:header="709" w:footer="283" w:gutter="0"/>
          <w:cols w:space="708"/>
          <w:docGrid w:linePitch="360"/>
        </w:sectPr>
      </w:pPr>
    </w:p>
    <w:p w14:paraId="5C054A6D" w14:textId="7165ED5B" w:rsidR="00D2301A" w:rsidRPr="002138C0" w:rsidRDefault="00CB3460" w:rsidP="005874B8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noProof/>
          <w:sz w:val="22"/>
          <w:szCs w:val="22"/>
          <w:highlight w:val="yellow"/>
        </w:rPr>
        <w:lastRenderedPageBreak/>
        <w:drawing>
          <wp:inline distT="0" distB="0" distL="0" distR="0" wp14:anchorId="46ACFF23" wp14:editId="0F4F5844">
            <wp:extent cx="3248025" cy="1849094"/>
            <wp:effectExtent l="0" t="0" r="0" b="0"/>
            <wp:docPr id="18169227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51" cy="1859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88724" w14:textId="17255E86" w:rsidR="001B2E5E" w:rsidRDefault="00691287" w:rsidP="001B2E5E">
      <w:pPr>
        <w:overflowPunct/>
        <w:autoSpaceDE/>
        <w:adjustRightInd/>
        <w:rPr>
          <w:rFonts w:ascii="Calibri" w:hAnsi="Calibri" w:cs="Calibri"/>
          <w:b/>
          <w:color w:val="13576B"/>
          <w:sz w:val="23"/>
          <w:szCs w:val="23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bookmarkStart w:id="4" w:name="_Hlk137652102"/>
      <w:proofErr w:type="spellEnd"/>
    </w:p>
    <w:p w14:paraId="53F00851" w14:textId="5451ECE8" w:rsidR="006337E7" w:rsidRDefault="00CB3460" w:rsidP="006337E7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0F1F3684" wp14:editId="2A0516F4">
            <wp:extent cx="3011170" cy="1858645"/>
            <wp:effectExtent l="0" t="0" r="0" b="8255"/>
            <wp:docPr id="102798433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940" cy="186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50194" w14:textId="73526F27" w:rsidR="00F20967" w:rsidRDefault="006337E7" w:rsidP="00DD1BFF">
      <w:pPr>
        <w:rPr>
          <w:rFonts w:asciiTheme="minorHAnsi" w:hAnsiTheme="minorHAnsi" w:cstheme="minorHAnsi"/>
          <w:color w:val="13576B"/>
          <w:sz w:val="20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r>
        <w:rPr>
          <w:rFonts w:asciiTheme="minorHAnsi" w:hAnsiTheme="minorHAnsi" w:cstheme="minorHAnsi"/>
          <w:color w:val="13576B"/>
          <w:sz w:val="20"/>
        </w:rPr>
        <w:t xml:space="preserve">LSEG, </w:t>
      </w:r>
      <w:proofErr w:type="spellStart"/>
      <w:r>
        <w:rPr>
          <w:rFonts w:asciiTheme="minorHAnsi" w:hAnsiTheme="minorHAnsi" w:cstheme="minorHAnsi"/>
          <w:color w:val="13576B"/>
          <w:sz w:val="20"/>
        </w:rPr>
        <w:t>Macrobond</w:t>
      </w:r>
      <w:proofErr w:type="spellEnd"/>
      <w:r>
        <w:rPr>
          <w:rFonts w:asciiTheme="minorHAnsi" w:hAnsiTheme="minorHAnsi" w:cstheme="minorHAnsi"/>
          <w:color w:val="13576B"/>
          <w:sz w:val="20"/>
        </w:rPr>
        <w:t xml:space="preserve"> (</w:t>
      </w:r>
      <w:r w:rsidR="00CB3460">
        <w:rPr>
          <w:rFonts w:asciiTheme="minorHAnsi" w:hAnsiTheme="minorHAnsi" w:cstheme="minorHAnsi"/>
          <w:color w:val="13576B"/>
          <w:sz w:val="20"/>
        </w:rPr>
        <w:t>9</w:t>
      </w:r>
      <w:r>
        <w:rPr>
          <w:rFonts w:asciiTheme="minorHAnsi" w:hAnsiTheme="minorHAnsi" w:cstheme="minorHAnsi"/>
          <w:color w:val="13576B"/>
          <w:sz w:val="20"/>
        </w:rPr>
        <w:t xml:space="preserve">. </w:t>
      </w:r>
      <w:r w:rsidR="00CB3460">
        <w:rPr>
          <w:rFonts w:asciiTheme="minorHAnsi" w:hAnsiTheme="minorHAnsi" w:cstheme="minorHAnsi"/>
          <w:color w:val="13576B"/>
          <w:sz w:val="20"/>
        </w:rPr>
        <w:t>prosince</w:t>
      </w:r>
      <w:r w:rsidR="00055000">
        <w:rPr>
          <w:rFonts w:asciiTheme="minorHAnsi" w:hAnsiTheme="minorHAnsi" w:cstheme="minorHAnsi"/>
          <w:color w:val="13576B"/>
          <w:sz w:val="20"/>
        </w:rPr>
        <w:t xml:space="preserve"> </w:t>
      </w:r>
      <w:r>
        <w:rPr>
          <w:rFonts w:asciiTheme="minorHAnsi" w:hAnsiTheme="minorHAnsi" w:cstheme="minorHAnsi"/>
          <w:color w:val="13576B"/>
          <w:sz w:val="20"/>
        </w:rPr>
        <w:t xml:space="preserve">2025), </w:t>
      </w:r>
      <w:r w:rsidRPr="00AA62A7">
        <w:rPr>
          <w:rFonts w:asciiTheme="minorHAnsi" w:hAnsiTheme="minorHAnsi" w:cstheme="minorHAnsi"/>
          <w:color w:val="13576B"/>
          <w:sz w:val="20"/>
        </w:rPr>
        <w:t>ČB</w:t>
      </w:r>
      <w:r w:rsidR="00F20967">
        <w:rPr>
          <w:rFonts w:asciiTheme="minorHAnsi" w:hAnsiTheme="minorHAnsi" w:cstheme="minorHAnsi"/>
          <w:color w:val="13576B"/>
          <w:sz w:val="20"/>
        </w:rPr>
        <w:t>A</w:t>
      </w:r>
    </w:p>
    <w:p w14:paraId="1AF065D2" w14:textId="464EA7CD" w:rsidR="00F20967" w:rsidRPr="00606031" w:rsidRDefault="00F20967" w:rsidP="00DD1BFF">
      <w:pPr>
        <w:rPr>
          <w:rFonts w:ascii="Calibri" w:hAnsi="Calibri" w:cs="Calibri"/>
          <w:color w:val="000000" w:themeColor="text1"/>
          <w:sz w:val="22"/>
          <w:szCs w:val="22"/>
        </w:rPr>
        <w:sectPr w:rsidR="00F20967" w:rsidRPr="00606031" w:rsidSect="00606031">
          <w:type w:val="continuous"/>
          <w:pgSz w:w="11906" w:h="16838"/>
          <w:pgMar w:top="2552" w:right="849" w:bottom="1560" w:left="851" w:header="709" w:footer="283" w:gutter="0"/>
          <w:cols w:num="2" w:space="708"/>
          <w:docGrid w:linePitch="360"/>
        </w:sectPr>
      </w:pPr>
    </w:p>
    <w:p w14:paraId="602A8F07" w14:textId="77777777" w:rsidR="001B2E5E" w:rsidRDefault="001B2E5E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7C8CEDC" w14:textId="2FB6FCFA" w:rsidR="0085657D" w:rsidRDefault="008F4916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České t</w:t>
      </w:r>
      <w:r w:rsidR="00055000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>ržní úrokové sazby,</w:t>
      </w:r>
      <w:r w:rsidR="00055000" w:rsidRPr="008F4916">
        <w:rPr>
          <w:rStyle w:val="Znakapoznpodarou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footnoteReference w:id="1"/>
      </w:r>
      <w:r w:rsidR="00055000" w:rsidRPr="008F491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50088"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které mají klíčový vliv na hypoteční sazby, v listopadu </w:t>
      </w:r>
      <w:r w:rsidR="006D536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dále přivírají dveře </w:t>
      </w:r>
      <w:r w:rsidR="00650088"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>k dalšímu poklesu hypotečních sazeb</w:t>
      </w:r>
      <w:r w:rsidR="006D5361">
        <w:rPr>
          <w:rFonts w:ascii="Calibri" w:hAnsi="Calibri" w:cs="Calibri"/>
          <w:b/>
          <w:bCs/>
          <w:color w:val="000000" w:themeColor="text1"/>
          <w:sz w:val="22"/>
          <w:szCs w:val="22"/>
        </w:rPr>
        <w:t>, i když mírnější listopadová inflace přinesla částečnou korekci.</w:t>
      </w:r>
      <w:r w:rsidR="00650088"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České pětileté úrokové swapy v listopadu stouply o </w:t>
      </w:r>
      <w:proofErr w:type="gramStart"/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>0,14 procentního</w:t>
      </w:r>
      <w:proofErr w:type="gramEnd"/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bodu na 3,95 % z říjnových 3,81 % a nacházely se nad zářijovými 3,78 %. Jejich listopadová úroveň je o 0,11 p. b. pod 3,84 % z předcházejícího třetího čtvrtletí. </w:t>
      </w:r>
      <w:r w:rsidR="0085657D">
        <w:rPr>
          <w:rFonts w:ascii="Calibri" w:hAnsi="Calibri" w:cs="Calibri"/>
          <w:color w:val="000000" w:themeColor="text1"/>
          <w:sz w:val="22"/>
          <w:szCs w:val="22"/>
        </w:rPr>
        <w:t>Listopadová úroveň tak přináší novou horní mez do jejich rozpětí v</w:t>
      </w:r>
      <w:r w:rsidR="0085657D"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posledních dvanácti měsících</w:t>
      </w:r>
      <w:r w:rsidR="0085657D">
        <w:rPr>
          <w:rFonts w:ascii="Calibri" w:hAnsi="Calibri" w:cs="Calibri"/>
          <w:color w:val="000000" w:themeColor="text1"/>
          <w:sz w:val="22"/>
          <w:szCs w:val="22"/>
        </w:rPr>
        <w:t>, kdy naopak dosáhly nejnižšího měsíčního průměru 3</w:t>
      </w:r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>,29 % (v dubnu 2025</w:t>
      </w:r>
      <w:r w:rsidR="0085657D">
        <w:rPr>
          <w:rFonts w:ascii="Calibri" w:hAnsi="Calibri" w:cs="Calibri"/>
          <w:color w:val="000000" w:themeColor="text1"/>
          <w:sz w:val="22"/>
          <w:szCs w:val="22"/>
        </w:rPr>
        <w:t xml:space="preserve"> po Trumpově oznámení tzv. recipročních clech</w:t>
      </w:r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>). V porovnání s průměrnou úrovní pětiletých swapů v roce 202</w:t>
      </w:r>
      <w:r w:rsidR="0085657D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byly listopadové úroky o 0,37 p. b. výše. </w:t>
      </w:r>
    </w:p>
    <w:p w14:paraId="1480ED71" w14:textId="77777777" w:rsidR="0085657D" w:rsidRDefault="0085657D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3CBB1E98" w14:textId="5BB9B4F4" w:rsidR="00650088" w:rsidRPr="00650088" w:rsidRDefault="0085657D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85657D">
        <w:rPr>
          <w:rFonts w:ascii="Calibri" w:hAnsi="Calibri" w:cs="Calibri"/>
          <w:b/>
          <w:bCs/>
          <w:color w:val="000000" w:themeColor="text1"/>
          <w:sz w:val="22"/>
          <w:szCs w:val="22"/>
        </w:rPr>
        <w:t>České vyšší úrokové sazby neodrážely pouze česká ekonomická data, ale i vyšší zahraniční sazby.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Ty v</w:t>
      </w:r>
      <w:r w:rsidR="00650088"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případě amerických pětiletých úrokových swapů došlo v listopadu k jejich růstu na 3,63 % z říjnových 3,58 % a nacházely se 0,49 p. b. pod jejich průměrnou hodnotou z roku 2024. Eurové pětileté swapy v listopadu stouply na 2,39 % z říjnových 2,33 % a byly 0,19 p. b. pod jejich průměrnou loňskou úrovní 2,58 %. </w:t>
      </w:r>
    </w:p>
    <w:p w14:paraId="3E24548E" w14:textId="77777777" w:rsidR="00650088" w:rsidRDefault="00650088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EE0000"/>
          <w:sz w:val="22"/>
          <w:szCs w:val="22"/>
        </w:rPr>
      </w:pPr>
    </w:p>
    <w:p w14:paraId="5D28B09E" w14:textId="2E0212C7" w:rsidR="007208AB" w:rsidRDefault="00650088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Mezi domácí faktory, které </w:t>
      </w:r>
      <w:r w:rsidR="0085657D"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tlačily </w:t>
      </w:r>
      <w:r w:rsidRPr="00615849">
        <w:rPr>
          <w:rFonts w:ascii="Calibri" w:hAnsi="Calibri" w:cs="Calibri"/>
          <w:color w:val="000000" w:themeColor="text1"/>
          <w:sz w:val="22"/>
          <w:szCs w:val="22"/>
        </w:rPr>
        <w:t>úrokov</w:t>
      </w:r>
      <w:r w:rsidR="0085657D"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é </w:t>
      </w:r>
      <w:r w:rsidRPr="00615849">
        <w:rPr>
          <w:rFonts w:ascii="Calibri" w:hAnsi="Calibri" w:cs="Calibri"/>
          <w:color w:val="000000" w:themeColor="text1"/>
          <w:sz w:val="22"/>
          <w:szCs w:val="22"/>
        </w:rPr>
        <w:t>swap</w:t>
      </w:r>
      <w:r w:rsidR="0085657D" w:rsidRPr="00615849">
        <w:rPr>
          <w:rFonts w:ascii="Calibri" w:hAnsi="Calibri" w:cs="Calibri"/>
          <w:color w:val="000000" w:themeColor="text1"/>
          <w:sz w:val="22"/>
          <w:szCs w:val="22"/>
        </w:rPr>
        <w:t>y výše,</w:t>
      </w:r>
      <w:r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 především patřily: i) </w:t>
      </w:r>
      <w:r w:rsidR="00615849">
        <w:rPr>
          <w:rFonts w:ascii="Calibri" w:hAnsi="Calibri" w:cs="Calibri"/>
          <w:color w:val="000000" w:themeColor="text1"/>
          <w:sz w:val="22"/>
          <w:szCs w:val="22"/>
        </w:rPr>
        <w:t xml:space="preserve">výhled na </w:t>
      </w:r>
      <w:hyperlink r:id="rId20" w:history="1">
        <w:r w:rsidR="00615849" w:rsidRPr="00615849">
          <w:rPr>
            <w:rStyle w:val="Hypertextovodkaz"/>
            <w:rFonts w:ascii="Calibri" w:hAnsi="Calibri" w:cs="Calibri"/>
            <w:sz w:val="22"/>
            <w:szCs w:val="22"/>
          </w:rPr>
          <w:t>přísnější měnové podmínky</w:t>
        </w:r>
      </w:hyperlink>
      <w:r w:rsidR="00615849">
        <w:rPr>
          <w:rFonts w:ascii="Calibri" w:hAnsi="Calibri" w:cs="Calibri"/>
          <w:color w:val="000000" w:themeColor="text1"/>
          <w:sz w:val="22"/>
          <w:szCs w:val="22"/>
        </w:rPr>
        <w:t xml:space="preserve"> po listopadovém zasedání ČNB</w:t>
      </w:r>
      <w:r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proofErr w:type="spellStart"/>
      <w:r w:rsidRPr="00615849">
        <w:rPr>
          <w:rFonts w:ascii="Calibri" w:hAnsi="Calibri" w:cs="Calibri"/>
          <w:color w:val="000000" w:themeColor="text1"/>
          <w:sz w:val="22"/>
          <w:szCs w:val="22"/>
        </w:rPr>
        <w:t>ii</w:t>
      </w:r>
      <w:proofErr w:type="spellEnd"/>
      <w:r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615849">
        <w:rPr>
          <w:rFonts w:ascii="Calibri" w:hAnsi="Calibri" w:cs="Calibri"/>
          <w:color w:val="000000" w:themeColor="text1"/>
          <w:sz w:val="22"/>
          <w:szCs w:val="22"/>
        </w:rPr>
        <w:t xml:space="preserve">vyšší </w:t>
      </w:r>
      <w:proofErr w:type="spellStart"/>
      <w:r w:rsidR="00615849" w:rsidRPr="00615849">
        <w:rPr>
          <w:rFonts w:ascii="Calibri" w:hAnsi="Calibri" w:cs="Calibri"/>
          <w:color w:val="000000" w:themeColor="text1"/>
          <w:sz w:val="22"/>
          <w:szCs w:val="22"/>
        </w:rPr>
        <w:t>momentum</w:t>
      </w:r>
      <w:proofErr w:type="spellEnd"/>
      <w:r w:rsidR="00615849"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21" w:history="1">
        <w:r w:rsidR="00615849">
          <w:rPr>
            <w:rStyle w:val="Hypertextovodkaz"/>
            <w:rFonts w:ascii="Calibri" w:hAnsi="Calibri" w:cs="Calibri"/>
            <w:sz w:val="22"/>
            <w:szCs w:val="22"/>
          </w:rPr>
          <w:t>říjnové j</w:t>
        </w:r>
        <w:r w:rsidR="00615849" w:rsidRPr="00615849">
          <w:rPr>
            <w:rStyle w:val="Hypertextovodkaz"/>
            <w:rFonts w:ascii="Calibri" w:hAnsi="Calibri" w:cs="Calibri"/>
            <w:sz w:val="22"/>
            <w:szCs w:val="22"/>
          </w:rPr>
          <w:t>ádrové inflace</w:t>
        </w:r>
      </w:hyperlink>
      <w:r w:rsidR="00615849" w:rsidRPr="00615849">
        <w:rPr>
          <w:rFonts w:ascii="Calibri" w:hAnsi="Calibri" w:cs="Calibri"/>
          <w:color w:val="000000" w:themeColor="text1"/>
          <w:sz w:val="22"/>
          <w:szCs w:val="22"/>
        </w:rPr>
        <w:t>;</w:t>
      </w:r>
      <w:r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15849">
        <w:rPr>
          <w:rFonts w:ascii="Calibri" w:hAnsi="Calibri" w:cs="Calibri"/>
          <w:color w:val="000000" w:themeColor="text1"/>
          <w:sz w:val="22"/>
          <w:szCs w:val="22"/>
        </w:rPr>
        <w:t>iii</w:t>
      </w:r>
      <w:proofErr w:type="spellEnd"/>
      <w:r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hyperlink r:id="rId22" w:history="1">
        <w:r w:rsidR="00615849">
          <w:rPr>
            <w:rStyle w:val="Hypertextovodkaz"/>
            <w:rFonts w:ascii="Calibri" w:hAnsi="Calibri" w:cs="Calibri"/>
            <w:sz w:val="22"/>
            <w:szCs w:val="22"/>
          </w:rPr>
          <w:t xml:space="preserve">silnější </w:t>
        </w:r>
        <w:r w:rsidR="00615849" w:rsidRPr="00615849">
          <w:rPr>
            <w:rStyle w:val="Hypertextovodkaz"/>
            <w:rFonts w:ascii="Calibri" w:hAnsi="Calibri" w:cs="Calibri"/>
            <w:sz w:val="22"/>
            <w:szCs w:val="22"/>
          </w:rPr>
          <w:t>růst HDP</w:t>
        </w:r>
      </w:hyperlink>
      <w:r w:rsidR="00615849" w:rsidRPr="00615849">
        <w:rPr>
          <w:rFonts w:ascii="Calibri" w:hAnsi="Calibri" w:cs="Calibri"/>
          <w:color w:val="000000" w:themeColor="text1"/>
          <w:sz w:val="22"/>
          <w:szCs w:val="22"/>
        </w:rPr>
        <w:t xml:space="preserve"> za třetí čtvrtletí bez odpovídající progresu v hodinové produktivitě</w:t>
      </w:r>
      <w:r w:rsidR="00615849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85657D">
        <w:rPr>
          <w:rFonts w:ascii="Calibri" w:hAnsi="Calibri" w:cs="Calibri"/>
          <w:color w:val="000000" w:themeColor="text1"/>
          <w:sz w:val="22"/>
          <w:szCs w:val="22"/>
        </w:rPr>
        <w:t xml:space="preserve">Naopak úlevu na začátku prosince přinesla až </w:t>
      </w:r>
      <w:hyperlink r:id="rId23" w:history="1">
        <w:r w:rsidR="0085657D" w:rsidRPr="0085657D">
          <w:rPr>
            <w:rStyle w:val="Hypertextovodkaz"/>
            <w:rFonts w:ascii="Calibri" w:hAnsi="Calibri" w:cs="Calibri"/>
            <w:sz w:val="22"/>
            <w:szCs w:val="22"/>
          </w:rPr>
          <w:t>nižší listopadová inflace</w:t>
        </w:r>
      </w:hyperlink>
      <w:r w:rsidR="0085657D">
        <w:rPr>
          <w:rFonts w:ascii="Calibri" w:hAnsi="Calibri" w:cs="Calibri"/>
          <w:color w:val="000000" w:themeColor="text1"/>
          <w:sz w:val="22"/>
          <w:szCs w:val="22"/>
        </w:rPr>
        <w:t xml:space="preserve">, včetně jádrového segmentu, což </w:t>
      </w:r>
      <w:r w:rsidR="00615849">
        <w:rPr>
          <w:rFonts w:ascii="Calibri" w:hAnsi="Calibri" w:cs="Calibri"/>
          <w:color w:val="000000" w:themeColor="text1"/>
          <w:sz w:val="22"/>
          <w:szCs w:val="22"/>
        </w:rPr>
        <w:t xml:space="preserve">doprovázela horší čísla </w:t>
      </w:r>
      <w:hyperlink r:id="rId24" w:history="1">
        <w:r w:rsidR="00615849" w:rsidRPr="00615849">
          <w:rPr>
            <w:rStyle w:val="Hypertextovodkaz"/>
            <w:rFonts w:ascii="Calibri" w:hAnsi="Calibri" w:cs="Calibri"/>
            <w:sz w:val="22"/>
            <w:szCs w:val="22"/>
          </w:rPr>
          <w:t>z výrobní části ekonomiky</w:t>
        </w:r>
      </w:hyperlink>
      <w:r w:rsidR="00615849">
        <w:rPr>
          <w:rFonts w:ascii="Calibri" w:hAnsi="Calibri" w:cs="Calibri"/>
          <w:color w:val="000000" w:themeColor="text1"/>
          <w:sz w:val="22"/>
          <w:szCs w:val="22"/>
        </w:rPr>
        <w:t xml:space="preserve">. Ovšem spotřební část, jakož i </w:t>
      </w:r>
      <w:hyperlink r:id="rId25" w:history="1">
        <w:r w:rsidR="00615849" w:rsidRPr="00615849">
          <w:rPr>
            <w:rStyle w:val="Hypertextovodkaz"/>
            <w:rFonts w:ascii="Calibri" w:hAnsi="Calibri" w:cs="Calibri"/>
            <w:sz w:val="22"/>
            <w:szCs w:val="22"/>
          </w:rPr>
          <w:t>stále silný růst mezd</w:t>
        </w:r>
      </w:hyperlink>
      <w:r w:rsidR="00615849">
        <w:rPr>
          <w:rFonts w:ascii="Calibri" w:hAnsi="Calibri" w:cs="Calibri"/>
          <w:color w:val="000000" w:themeColor="text1"/>
          <w:sz w:val="22"/>
          <w:szCs w:val="22"/>
        </w:rPr>
        <w:t xml:space="preserve"> a na střednědobém horizontu spíše proinflační výsledek parlamentních voleb limituje holubičí signály pro centrální banku. </w:t>
      </w:r>
    </w:p>
    <w:p w14:paraId="4140C14A" w14:textId="77777777" w:rsidR="00650088" w:rsidRPr="00452B0E" w:rsidRDefault="00650088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72E83631" w14:textId="38898229" w:rsidR="00B04FE2" w:rsidRDefault="00D03B38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  <w:r w:rsidRPr="00D03B38">
        <w:rPr>
          <w:rFonts w:ascii="Calibri" w:hAnsi="Calibri" w:cs="Calibri"/>
          <w:b/>
          <w:color w:val="13576B"/>
          <w:sz w:val="24"/>
          <w:szCs w:val="24"/>
        </w:rPr>
        <w:t xml:space="preserve">Průměrná velikost skutečně nově poskytnuté hypotéky </w:t>
      </w:r>
      <w:r w:rsidR="00650088">
        <w:rPr>
          <w:rFonts w:ascii="Calibri" w:hAnsi="Calibri" w:cs="Calibri"/>
          <w:b/>
          <w:color w:val="13576B"/>
          <w:sz w:val="24"/>
          <w:szCs w:val="24"/>
        </w:rPr>
        <w:t xml:space="preserve">se </w:t>
      </w:r>
      <w:r w:rsidR="00616F34">
        <w:rPr>
          <w:rFonts w:ascii="Calibri" w:hAnsi="Calibri" w:cs="Calibri"/>
          <w:b/>
          <w:color w:val="13576B"/>
          <w:sz w:val="24"/>
          <w:szCs w:val="24"/>
        </w:rPr>
        <w:t xml:space="preserve">s listopadovými </w:t>
      </w:r>
      <w:r w:rsidR="00616F34" w:rsidRPr="00D03B38">
        <w:rPr>
          <w:rFonts w:ascii="Calibri" w:hAnsi="Calibri" w:cs="Calibri"/>
          <w:b/>
          <w:color w:val="13576B"/>
          <w:sz w:val="24"/>
          <w:szCs w:val="24"/>
        </w:rPr>
        <w:t>4,</w:t>
      </w:r>
      <w:r w:rsidR="00616F34">
        <w:rPr>
          <w:rFonts w:ascii="Calibri" w:hAnsi="Calibri" w:cs="Calibri"/>
          <w:b/>
          <w:color w:val="13576B"/>
          <w:sz w:val="24"/>
          <w:szCs w:val="24"/>
        </w:rPr>
        <w:t>38</w:t>
      </w:r>
      <w:r w:rsidR="00616F34" w:rsidRPr="00D03B38">
        <w:rPr>
          <w:rFonts w:ascii="Calibri" w:hAnsi="Calibri" w:cs="Calibri"/>
          <w:b/>
          <w:color w:val="13576B"/>
          <w:sz w:val="24"/>
          <w:szCs w:val="24"/>
        </w:rPr>
        <w:t xml:space="preserve"> mil. Kč</w:t>
      </w:r>
      <w:r w:rsidR="00616F34">
        <w:rPr>
          <w:rFonts w:ascii="Calibri" w:hAnsi="Calibri" w:cs="Calibri"/>
          <w:b/>
          <w:color w:val="13576B"/>
          <w:sz w:val="24"/>
          <w:szCs w:val="24"/>
        </w:rPr>
        <w:t xml:space="preserve"> na</w:t>
      </w:r>
      <w:r w:rsidR="00650088">
        <w:rPr>
          <w:rFonts w:ascii="Calibri" w:hAnsi="Calibri" w:cs="Calibri"/>
          <w:b/>
          <w:color w:val="13576B"/>
          <w:sz w:val="24"/>
          <w:szCs w:val="24"/>
        </w:rPr>
        <w:t xml:space="preserve">vrátila na růstovou trajektorii </w:t>
      </w:r>
    </w:p>
    <w:p w14:paraId="524AE4B8" w14:textId="77777777" w:rsidR="00616F34" w:rsidRDefault="00616F34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1E5492D" w14:textId="08B60969" w:rsidR="00616F34" w:rsidRDefault="00650088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 říjnovém nepatrném poklesu na 4,34 mil. Kč, tak průměrný objem hypotéky stoupl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 téměř o 1 % meziměsíčně. Její velikost tak</w:t>
      </w:r>
      <w:r w:rsidR="00616F34">
        <w:rPr>
          <w:rFonts w:ascii="Calibri" w:hAnsi="Calibri" w:cs="Calibri"/>
          <w:color w:val="000000"/>
          <w:sz w:val="22"/>
          <w:szCs w:val="22"/>
        </w:rPr>
        <w:t xml:space="preserve"> v listopadu byla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 o 14 % vyšší než 3,84 mil. Kč před rokem. Hypotéky určené ke koupi nemovitosti letos o 2 % převýšily průměrnou výší nové hypotéky, zatímco hypotéky na výstavbu byly o 3 % menší</w:t>
      </w:r>
      <w:r w:rsidR="00616F34">
        <w:rPr>
          <w:rFonts w:ascii="Calibri" w:hAnsi="Calibri" w:cs="Calibri"/>
          <w:color w:val="000000"/>
          <w:sz w:val="22"/>
          <w:szCs w:val="22"/>
        </w:rPr>
        <w:t xml:space="preserve">, což představuje sblížení rozdílů, které 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v předchozích pěti letech 4 % </w:t>
      </w:r>
      <w:proofErr w:type="gramStart"/>
      <w:r w:rsidRPr="00650088">
        <w:rPr>
          <w:rFonts w:ascii="Calibri" w:hAnsi="Calibri" w:cs="Calibri"/>
          <w:color w:val="000000"/>
          <w:sz w:val="22"/>
          <w:szCs w:val="22"/>
        </w:rPr>
        <w:t>a -6</w:t>
      </w:r>
      <w:proofErr w:type="gramEnd"/>
      <w:r w:rsidRPr="00650088">
        <w:rPr>
          <w:rFonts w:ascii="Calibri" w:hAnsi="Calibri" w:cs="Calibri"/>
          <w:color w:val="000000"/>
          <w:sz w:val="22"/>
          <w:szCs w:val="22"/>
        </w:rPr>
        <w:t xml:space="preserve"> %. Dosáhnout na vyšší hypotéku umožňuje postupný pokles hypotečních sazeb, či postupný růst reálných příjmů domácností (</w:t>
      </w:r>
      <w:r w:rsidR="00616F34">
        <w:rPr>
          <w:rFonts w:ascii="Calibri" w:hAnsi="Calibri" w:cs="Calibri"/>
          <w:color w:val="000000" w:themeColor="text1"/>
          <w:sz w:val="22"/>
          <w:szCs w:val="22"/>
        </w:rPr>
        <w:t>4,5</w:t>
      </w:r>
      <w:r w:rsidR="00616F34" w:rsidRPr="00055000">
        <w:rPr>
          <w:rFonts w:ascii="Calibri" w:hAnsi="Calibri" w:cs="Calibri"/>
          <w:color w:val="000000" w:themeColor="text1"/>
          <w:sz w:val="22"/>
          <w:szCs w:val="22"/>
        </w:rPr>
        <w:t xml:space="preserve"> % meziročně </w:t>
      </w:r>
      <w:r w:rsidR="00616F34">
        <w:rPr>
          <w:rFonts w:ascii="Calibri" w:hAnsi="Calibri" w:cs="Calibri"/>
          <w:color w:val="000000"/>
          <w:sz w:val="22"/>
          <w:szCs w:val="22"/>
        </w:rPr>
        <w:t>v </w:t>
      </w:r>
      <w:hyperlink r:id="rId26" w:history="1">
        <w:r w:rsidR="00616F34" w:rsidRPr="00E96618">
          <w:rPr>
            <w:rStyle w:val="Hypertextovodkaz"/>
            <w:rFonts w:ascii="Calibri" w:hAnsi="Calibri" w:cs="Calibri"/>
            <w:sz w:val="22"/>
            <w:szCs w:val="22"/>
          </w:rPr>
          <w:t>Q</w:t>
        </w:r>
        <w:r w:rsidR="00616F34">
          <w:rPr>
            <w:rStyle w:val="Hypertextovodkaz"/>
            <w:rFonts w:ascii="Calibri" w:hAnsi="Calibri" w:cs="Calibri"/>
            <w:sz w:val="22"/>
            <w:szCs w:val="22"/>
          </w:rPr>
          <w:t>3</w:t>
        </w:r>
        <w:r w:rsidR="00616F34" w:rsidRPr="00E96618">
          <w:rPr>
            <w:rStyle w:val="Hypertextovodkaz"/>
            <w:rFonts w:ascii="Calibri" w:hAnsi="Calibri" w:cs="Calibri"/>
            <w:sz w:val="22"/>
            <w:szCs w:val="22"/>
          </w:rPr>
          <w:t>-2025</w:t>
        </w:r>
      </w:hyperlink>
      <w:r w:rsidR="00616F34">
        <w:t xml:space="preserve"> </w:t>
      </w:r>
      <w:r w:rsidR="00616F34" w:rsidRPr="009C040E">
        <w:rPr>
          <w:rFonts w:ascii="Calibri" w:hAnsi="Calibri" w:cs="Calibri"/>
          <w:sz w:val="22"/>
          <w:szCs w:val="22"/>
        </w:rPr>
        <w:t xml:space="preserve">či graficky </w:t>
      </w:r>
      <w:hyperlink r:id="rId27" w:history="1">
        <w:r w:rsidR="00616F34" w:rsidRPr="009C040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Pr="00650088">
        <w:rPr>
          <w:rFonts w:ascii="Calibri" w:hAnsi="Calibri" w:cs="Calibri"/>
          <w:color w:val="000000"/>
          <w:sz w:val="22"/>
          <w:szCs w:val="22"/>
        </w:rPr>
        <w:t>), společně s</w:t>
      </w:r>
      <w:r w:rsidR="00616F34">
        <w:rPr>
          <w:rFonts w:ascii="Calibri" w:hAnsi="Calibri" w:cs="Calibri"/>
          <w:color w:val="000000"/>
          <w:sz w:val="22"/>
          <w:szCs w:val="22"/>
        </w:rPr>
        <w:t xml:space="preserve"> doposud </w:t>
      </w:r>
      <w:r w:rsidRPr="00650088">
        <w:rPr>
          <w:rFonts w:ascii="Calibri" w:hAnsi="Calibri" w:cs="Calibri"/>
          <w:color w:val="000000"/>
          <w:sz w:val="22"/>
          <w:szCs w:val="22"/>
        </w:rPr>
        <w:t xml:space="preserve">pokračujícími uvolněnými </w:t>
      </w:r>
      <w:proofErr w:type="spellStart"/>
      <w:r w:rsidRPr="00650088">
        <w:rPr>
          <w:rFonts w:ascii="Calibri" w:hAnsi="Calibri" w:cs="Calibri"/>
          <w:color w:val="000000"/>
          <w:sz w:val="22"/>
          <w:szCs w:val="22"/>
        </w:rPr>
        <w:t>makroobezřetnostními</w:t>
      </w:r>
      <w:proofErr w:type="spellEnd"/>
      <w:r w:rsidRPr="00650088">
        <w:rPr>
          <w:rFonts w:ascii="Calibri" w:hAnsi="Calibri" w:cs="Calibri"/>
          <w:color w:val="000000"/>
          <w:sz w:val="22"/>
          <w:szCs w:val="22"/>
        </w:rPr>
        <w:t xml:space="preserve"> limity ohledně příjmů ze strany ČNB (pouze 80% limit LTV či 90% v případě žadatelů mladších 36 let).</w:t>
      </w:r>
      <w:r w:rsidR="00616F34">
        <w:rPr>
          <w:rFonts w:ascii="Calibri" w:hAnsi="Calibri" w:cs="Calibri"/>
          <w:color w:val="000000"/>
          <w:sz w:val="22"/>
          <w:szCs w:val="22"/>
        </w:rPr>
        <w:t xml:space="preserve"> Ty budou od dubna 2026 zpřísněny v případě </w:t>
      </w:r>
      <w:hyperlink r:id="rId28" w:history="1">
        <w:r w:rsidR="00616F34" w:rsidRPr="00616F34">
          <w:rPr>
            <w:rStyle w:val="Hypertextovodkaz"/>
            <w:rFonts w:ascii="Calibri" w:hAnsi="Calibri" w:cs="Calibri"/>
            <w:sz w:val="22"/>
            <w:szCs w:val="22"/>
          </w:rPr>
          <w:t>tzv. investičních hypoték</w:t>
        </w:r>
      </w:hyperlink>
      <w:r w:rsidR="00616F34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0167900" w14:textId="77777777" w:rsidR="00616F34" w:rsidRDefault="00616F34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63E961C" w14:textId="4865A5FE" w:rsidR="00055000" w:rsidRDefault="004803D6" w:rsidP="0005500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16F34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Výše hypotéky pak souvisí také s vývojem cen nemovitostí,</w:t>
      </w:r>
      <w:r w:rsidRPr="004803D6">
        <w:rPr>
          <w:rFonts w:ascii="Calibri" w:hAnsi="Calibri" w:cs="Calibri"/>
          <w:color w:val="000000"/>
          <w:sz w:val="22"/>
          <w:szCs w:val="22"/>
        </w:rPr>
        <w:t xml:space="preserve"> které </w:t>
      </w:r>
      <w:r w:rsidR="00055000">
        <w:rPr>
          <w:rFonts w:ascii="Calibri" w:hAnsi="Calibri" w:cs="Calibri"/>
          <w:color w:val="000000"/>
          <w:sz w:val="22"/>
          <w:szCs w:val="22"/>
        </w:rPr>
        <w:t>s</w:t>
      </w:r>
      <w:r w:rsidR="00616F34">
        <w:rPr>
          <w:rFonts w:ascii="Calibri" w:hAnsi="Calibri" w:cs="Calibri"/>
          <w:color w:val="000000"/>
          <w:sz w:val="22"/>
          <w:szCs w:val="22"/>
        </w:rPr>
        <w:t>e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dle údajů společnosti </w:t>
      </w:r>
      <w:proofErr w:type="spellStart"/>
      <w:r w:rsidR="00055000">
        <w:rPr>
          <w:rFonts w:ascii="Calibri" w:hAnsi="Calibri" w:cs="Calibri"/>
          <w:color w:val="000000"/>
          <w:sz w:val="22"/>
          <w:szCs w:val="22"/>
        </w:rPr>
        <w:t>Flat</w:t>
      </w:r>
      <w:proofErr w:type="spellEnd"/>
      <w:r w:rsidR="0005500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55000">
        <w:rPr>
          <w:rFonts w:ascii="Calibri" w:hAnsi="Calibri" w:cs="Calibri"/>
          <w:color w:val="000000"/>
          <w:sz w:val="22"/>
          <w:szCs w:val="22"/>
        </w:rPr>
        <w:t>Zone</w:t>
      </w:r>
      <w:proofErr w:type="spellEnd"/>
      <w:r w:rsidR="00055000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616F34">
        <w:rPr>
          <w:rFonts w:ascii="Calibri" w:hAnsi="Calibri" w:cs="Calibri"/>
          <w:color w:val="000000"/>
          <w:sz w:val="22"/>
          <w:szCs w:val="22"/>
        </w:rPr>
        <w:t>e třetím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čtvrtletí roku 2025 </w:t>
      </w:r>
      <w:r w:rsidR="00616F34">
        <w:rPr>
          <w:rFonts w:ascii="Calibri" w:hAnsi="Calibri" w:cs="Calibri"/>
          <w:color w:val="000000"/>
          <w:sz w:val="22"/>
          <w:szCs w:val="22"/>
        </w:rPr>
        <w:t xml:space="preserve">vrátily k silnějšímu </w:t>
      </w:r>
      <w:proofErr w:type="gramStart"/>
      <w:r w:rsidR="00616F34">
        <w:rPr>
          <w:rFonts w:ascii="Calibri" w:hAnsi="Calibri" w:cs="Calibri"/>
          <w:color w:val="000000"/>
          <w:sz w:val="22"/>
          <w:szCs w:val="22"/>
        </w:rPr>
        <w:t>14</w:t>
      </w:r>
      <w:r w:rsidR="00055000">
        <w:rPr>
          <w:rFonts w:ascii="Calibri" w:hAnsi="Calibri" w:cs="Calibri"/>
          <w:color w:val="000000"/>
          <w:sz w:val="22"/>
          <w:szCs w:val="22"/>
        </w:rPr>
        <w:t>%</w:t>
      </w:r>
      <w:proofErr w:type="gramEnd"/>
      <w:r w:rsidR="00055000">
        <w:rPr>
          <w:rFonts w:ascii="Calibri" w:hAnsi="Calibri" w:cs="Calibri"/>
          <w:color w:val="000000"/>
          <w:sz w:val="22"/>
          <w:szCs w:val="22"/>
        </w:rPr>
        <w:t xml:space="preserve"> meziroční</w:t>
      </w:r>
      <w:r w:rsidR="00616F34">
        <w:rPr>
          <w:rFonts w:ascii="Calibri" w:hAnsi="Calibri" w:cs="Calibri"/>
          <w:color w:val="000000"/>
          <w:sz w:val="22"/>
          <w:szCs w:val="22"/>
        </w:rPr>
        <w:t>mu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růst</w:t>
      </w:r>
      <w:r w:rsidR="00616F34">
        <w:rPr>
          <w:rFonts w:ascii="Calibri" w:hAnsi="Calibri" w:cs="Calibri"/>
          <w:color w:val="000000"/>
          <w:sz w:val="22"/>
          <w:szCs w:val="22"/>
        </w:rPr>
        <w:t>u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 xml:space="preserve">(viz 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grafy na 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>ČBA Monitor</w:t>
      </w:r>
      <w:r w:rsidR="00055000">
        <w:rPr>
          <w:rFonts w:ascii="Calibri" w:hAnsi="Calibri" w:cs="Calibri"/>
          <w:color w:val="000000"/>
          <w:sz w:val="22"/>
          <w:szCs w:val="22"/>
        </w:rPr>
        <w:t>u</w:t>
      </w:r>
      <w:r w:rsidR="00055000" w:rsidRPr="002725DA">
        <w:rPr>
          <w:rFonts w:ascii="Calibri" w:hAnsi="Calibri" w:cs="Calibri"/>
          <w:color w:val="000000"/>
          <w:sz w:val="22"/>
          <w:szCs w:val="22"/>
        </w:rPr>
        <w:t xml:space="preserve"> - </w:t>
      </w:r>
      <w:hyperlink r:id="rId29" w:history="1">
        <w:r w:rsidR="00055000" w:rsidRPr="00436F5C">
          <w:rPr>
            <w:rStyle w:val="Hypertextovodkaz"/>
            <w:rFonts w:ascii="Calibri" w:hAnsi="Calibri" w:cs="Calibri"/>
            <w:sz w:val="22"/>
            <w:szCs w:val="22"/>
          </w:rPr>
          <w:t>ČBA Monitor</w:t>
        </w:r>
      </w:hyperlink>
      <w:r w:rsidR="00055000" w:rsidRPr="002725DA">
        <w:rPr>
          <w:rFonts w:ascii="Calibri" w:hAnsi="Calibri" w:cs="Calibri"/>
          <w:color w:val="000000"/>
          <w:sz w:val="22"/>
          <w:szCs w:val="22"/>
        </w:rPr>
        <w:t>).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Data ČSÚ poukazují na nárůst cen bytů</w:t>
      </w:r>
      <w:r w:rsidR="00616F34">
        <w:rPr>
          <w:rFonts w:ascii="Calibri" w:hAnsi="Calibri" w:cs="Calibri"/>
          <w:color w:val="000000"/>
          <w:sz w:val="22"/>
          <w:szCs w:val="22"/>
        </w:rPr>
        <w:t xml:space="preserve"> ve druhém čtvrtletí</w:t>
      </w:r>
      <w:r w:rsidR="00055000">
        <w:rPr>
          <w:rFonts w:ascii="Calibri" w:hAnsi="Calibri" w:cs="Calibri"/>
          <w:color w:val="000000"/>
          <w:sz w:val="22"/>
          <w:szCs w:val="22"/>
        </w:rPr>
        <w:t xml:space="preserve"> okolo 15 % meziročně a celkový index cen nemovitostí okolo 10 % (viz komentář </w:t>
      </w:r>
      <w:hyperlink r:id="rId30" w:history="1">
        <w:r w:rsidR="00055000" w:rsidRPr="00665F6E">
          <w:rPr>
            <w:rStyle w:val="Hypertextovodkaz"/>
            <w:rFonts w:ascii="Calibri" w:hAnsi="Calibri" w:cs="Calibri"/>
            <w:sz w:val="22"/>
            <w:szCs w:val="22"/>
          </w:rPr>
          <w:t>zde</w:t>
        </w:r>
      </w:hyperlink>
      <w:r w:rsidR="00055000">
        <w:rPr>
          <w:rFonts w:ascii="Calibri" w:hAnsi="Calibri" w:cs="Calibri"/>
          <w:color w:val="000000"/>
          <w:sz w:val="22"/>
          <w:szCs w:val="22"/>
        </w:rPr>
        <w:t xml:space="preserve">). </w:t>
      </w: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70D2DC21" w:rsidR="005343BA" w:rsidRDefault="004803D6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4803D6">
        <w:rPr>
          <w:rFonts w:ascii="Calibri" w:hAnsi="Calibri" w:cs="Calibri"/>
          <w:b/>
          <w:color w:val="13576B"/>
          <w:sz w:val="24"/>
          <w:szCs w:val="24"/>
        </w:rPr>
        <w:t>Dopady na průměrnou měsíční hypoteční splátku okolo 23,</w:t>
      </w:r>
      <w:r w:rsidR="00650088">
        <w:rPr>
          <w:rFonts w:ascii="Calibri" w:hAnsi="Calibri" w:cs="Calibri"/>
          <w:b/>
          <w:color w:val="13576B"/>
          <w:sz w:val="24"/>
          <w:szCs w:val="24"/>
        </w:rPr>
        <w:t>5</w:t>
      </w:r>
      <w:r w:rsidRPr="004803D6">
        <w:rPr>
          <w:rFonts w:ascii="Calibri" w:hAnsi="Calibri" w:cs="Calibri"/>
          <w:b/>
          <w:color w:val="13576B"/>
          <w:sz w:val="24"/>
          <w:szCs w:val="24"/>
        </w:rPr>
        <w:t xml:space="preserve"> tisíc Kč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8DF8685" w14:textId="77777777" w:rsidR="00650088" w:rsidRDefault="00650088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Kombinace poklesu úrokové sazby a vyšší průměrné výše hypotéky v listopadu 2025 ve srovnání s průměrnými hodnotami z roku 2024 zvýšily průměrnou měsíční splátku hypotéky o 2,5 tis. Kč. </w:t>
      </w:r>
      <w:r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Scénáře vývoje měsíční splátky pro různé délky splatnosti hypotéky znázorňuje tabulka č. 2. Ta napovídá, že pokles hypotečních sazeb bezmála o </w:t>
      </w:r>
      <w:proofErr w:type="gramStart"/>
      <w:r w:rsidRPr="00650088">
        <w:rPr>
          <w:rFonts w:ascii="Calibri" w:hAnsi="Calibri" w:cs="Calibri"/>
          <w:color w:val="000000" w:themeColor="text1"/>
          <w:sz w:val="22"/>
          <w:szCs w:val="22"/>
        </w:rPr>
        <w:t>0,6 procentního</w:t>
      </w:r>
      <w:proofErr w:type="gramEnd"/>
      <w:r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bodu vůči jejich průměrné výši 5,07 % v roce 2024 přinesl, pro průměrnou velikost hypotéky při jejím obvyklém přibližně 26,8letém splácení, snížení měsíční splátky o necelých 1 500 Kč na přibližně 23,5 tis. Kč, tedy o 1,6 % čistého příjmu žadatele v porovnání s průměrnou splátkou v minulém roce. Ve srovnání s průměrnou hypoteční sazbou 5,81 % v roce 2023 dosáhla úspora kvůli úrokové sazbě necelých 3 500 Kč pro hypotéku v její aktuální průměrné hodnotě. </w:t>
      </w:r>
    </w:p>
    <w:p w14:paraId="44BBD788" w14:textId="77777777" w:rsidR="00650088" w:rsidRDefault="00650088" w:rsidP="007A19E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299F716" w14:textId="4E17938F" w:rsidR="00650088" w:rsidRDefault="00650088" w:rsidP="007A19E3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>Ovšem současná průměrná výše hypotéky je o 19 % vyšší než její průměr</w:t>
      </w:r>
      <w:r w:rsidR="00616F3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 r</w:t>
      </w:r>
      <w:r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>o</w:t>
      </w:r>
      <w:r w:rsidR="00616F34">
        <w:rPr>
          <w:rFonts w:ascii="Calibri" w:hAnsi="Calibri" w:cs="Calibri"/>
          <w:b/>
          <w:bCs/>
          <w:color w:val="000000" w:themeColor="text1"/>
          <w:sz w:val="22"/>
          <w:szCs w:val="22"/>
        </w:rPr>
        <w:t>ku</w:t>
      </w:r>
      <w:r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2024, což přispívá k navýšení měsíční splátky o 3,8 tis. Kč</w:t>
      </w:r>
      <w:r w:rsidRPr="00650088">
        <w:rPr>
          <w:rFonts w:ascii="Calibri" w:hAnsi="Calibri" w:cs="Calibri"/>
          <w:color w:val="000000" w:themeColor="text1"/>
          <w:sz w:val="22"/>
          <w:szCs w:val="22"/>
        </w:rPr>
        <w:t xml:space="preserve"> ve srovnání s průměrnou měsíční splátkou v minulém roce navázanou na loňskou průměrnou výši hypotéky ovšem při současné úrokové sazbě. Splátka hypotéky ve výši jednoho milionu korun s 30letou splatností se se současnými úrokovými sazbami pohybuje okolo 5,1 tisíce Kč.</w:t>
      </w:r>
    </w:p>
    <w:p w14:paraId="166F2C06" w14:textId="77777777" w:rsidR="004803D6" w:rsidRDefault="004803D6" w:rsidP="007A19E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2893E6A" w14:textId="76AA39DF" w:rsidR="00650088" w:rsidRDefault="00650088" w:rsidP="007A19E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Naopak, ve srovnání s průměrnou </w:t>
      </w:r>
      <w:proofErr w:type="gramStart"/>
      <w:r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>2,8%</w:t>
      </w:r>
      <w:proofErr w:type="gramEnd"/>
      <w:r w:rsidRPr="0065008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úrokovou hypoteční sazbou pro nové hypotéky v roce 2019</w:t>
      </w:r>
      <w:r w:rsidRPr="00650088">
        <w:rPr>
          <w:rFonts w:ascii="Calibri" w:hAnsi="Calibri" w:cs="Calibri"/>
          <w:color w:val="000000" w:themeColor="text1"/>
          <w:sz w:val="22"/>
          <w:szCs w:val="22"/>
        </w:rPr>
        <w:t>, tak současná hypoteční sazba pro refinancování ve výši 4,45 % při zkrácení splatnosti úvěru zvedá měsíční splátky u průměrné hypotéky více než 1600 Kč, tedy asi o 3,2 % současné hrubé průměrné mzdy.</w:t>
      </w:r>
    </w:p>
    <w:p w14:paraId="4482CE93" w14:textId="77777777" w:rsidR="008569DC" w:rsidRDefault="008569DC" w:rsidP="008569D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A267256" w14:textId="12E300F9" w:rsidR="009D3067" w:rsidRPr="00515ECA" w:rsidRDefault="009D3067" w:rsidP="008569DC">
      <w:pPr>
        <w:overflowPunct/>
        <w:autoSpaceDE/>
        <w:autoSpaceDN/>
        <w:adjustRightInd/>
        <w:spacing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4803D6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E9691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2DFCA" w14:textId="77777777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01B2E" w14:textId="3B096246" w:rsidR="004803D6" w:rsidRPr="00F23602" w:rsidRDefault="004803D6" w:rsidP="004803D6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F8289" w14:textId="0CA8E904" w:rsidR="004803D6" w:rsidRPr="00F23602" w:rsidRDefault="00B90139" w:rsidP="004803D6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4 384 000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51C0E365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4803D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B90139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443" w14:textId="77777777" w:rsidR="00B90139" w:rsidRPr="00F23602" w:rsidRDefault="00B90139" w:rsidP="00B901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EE9A3" w14:textId="21CDF506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5F03F" w14:textId="2E723556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28 210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9F84" w14:textId="1710D6A7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30 280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63E5" w14:textId="45DDF202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32 430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29DBC0EF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33 490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0ADC012A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34 670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0922" w14:textId="75038F8D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36 990</w:t>
            </w:r>
          </w:p>
        </w:tc>
      </w:tr>
      <w:tr w:rsidR="00B90139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3610" w14:textId="77777777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9CE37" w14:textId="0DCAB82D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8FBFB" w14:textId="3990A24B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22 180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AA86" w14:textId="5C6121D0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7E18" w14:textId="60B9EC9B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26 570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1B1CD653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27 690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6E2017E1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28 930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BDBD" w14:textId="3980D051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31 410</w:t>
            </w:r>
          </w:p>
        </w:tc>
      </w:tr>
      <w:tr w:rsidR="00B90139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81A" w14:textId="77777777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92D49" w14:textId="78F991B7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1B1A11" w14:textId="1A18881C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18 580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E222" w14:textId="03D7CC25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20 790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6F1AB" w14:textId="2FCD9E05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23 140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28C76587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72D49195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25 630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D8C7" w14:textId="7C14EEBA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28 250</w:t>
            </w:r>
          </w:p>
        </w:tc>
      </w:tr>
      <w:tr w:rsidR="00B90139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465CE" w14:textId="77777777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44522C32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7ACF8F6E" w:rsidR="00B90139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17 640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30EF023E" w:rsidR="00B90139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19 870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18CE90E7" w:rsidR="00B90139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22 260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6AD75C9D" w:rsidR="00B90139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23 450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65940914" w:rsidR="00B90139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24 790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128EA26F" w:rsidR="00B90139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27 450</w:t>
            </w:r>
          </w:p>
        </w:tc>
      </w:tr>
      <w:tr w:rsidR="00B90139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BB57D" w14:textId="77777777" w:rsidR="00B90139" w:rsidRPr="00F23602" w:rsidRDefault="00B90139" w:rsidP="00B901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25A" w14:textId="7A89106D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A2DA6" w14:textId="0CC95FFE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16 200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602F5" w14:textId="1DD06E25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18 480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C600D" w14:textId="05A101DA" w:rsidR="00B90139" w:rsidRPr="00F23602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20 930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3F5D7FEA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22 160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2054D151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23 530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81B34" w14:textId="15B2B181" w:rsidR="00B90139" w:rsidRPr="002138C0" w:rsidRDefault="00B90139" w:rsidP="00B901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26 280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2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Pozn.: barevný sloupec odpovídá úrokové sazbě posledního ČBA </w:t>
            </w:r>
            <w:proofErr w:type="spellStart"/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Hypomonitoru</w:t>
            </w:r>
            <w:proofErr w:type="spellEnd"/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596DABCB" w14:textId="77777777" w:rsidR="008569DC" w:rsidRDefault="008569DC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10F586EA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5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76AF5FBF" w14:textId="17A45B8E" w:rsidR="004803D6" w:rsidRDefault="00B90139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</w:pPr>
      <w:r w:rsidRPr="00B90139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 meziročním srovnání přinesl pokles hypoteční sazby úsporu průměrné měsíční splátky o 950 Kč, ovšem růst průměrné výše hypotéky způsobil její navýšení o 2 930 Kč. </w:t>
      </w:r>
    </w:p>
    <w:p w14:paraId="4CE6E4DD" w14:textId="34C64550" w:rsidR="00B90139" w:rsidRDefault="00532041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noProof/>
          <w:color w:val="13576B"/>
          <w:sz w:val="23"/>
          <w:szCs w:val="23"/>
        </w:rPr>
        <w:lastRenderedPageBreak/>
        <w:drawing>
          <wp:inline distT="0" distB="0" distL="0" distR="0" wp14:anchorId="61FDE3D3" wp14:editId="5F0A9A17">
            <wp:extent cx="6017260" cy="3712845"/>
            <wp:effectExtent l="0" t="0" r="2540" b="1905"/>
            <wp:docPr id="196326789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5EE70E11" w:rsidR="002E4EFD" w:rsidRDefault="008723A8" w:rsidP="002E4EFD">
      <w:pPr>
        <w:rPr>
          <w:rFonts w:ascii="Calibri" w:hAnsi="Calibri" w:cs="Calibri"/>
          <w:b/>
          <w:color w:val="13576B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7D8CD8E4" w14:textId="77777777" w:rsidR="00582221" w:rsidRDefault="00582221" w:rsidP="002E4EFD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2FA0BE1C" w14:textId="24706C40" w:rsidR="00582221" w:rsidRPr="00D24B00" w:rsidRDefault="00582221" w:rsidP="002E4EFD">
      <w:pPr>
        <w:rPr>
          <w:rFonts w:ascii="Calibri" w:hAnsi="Calibri" w:cs="Calibri"/>
          <w:b/>
          <w:color w:val="EE0000"/>
          <w:sz w:val="24"/>
          <w:szCs w:val="24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6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>
        <w:rPr>
          <w:rFonts w:ascii="Calibri" w:hAnsi="Calibri" w:cs="Calibri"/>
          <w:b/>
          <w:color w:val="13576B"/>
          <w:sz w:val="23"/>
          <w:szCs w:val="23"/>
        </w:rPr>
        <w:t>Sezónnost nových hypotečních úvěrů</w:t>
      </w:r>
    </w:p>
    <w:p w14:paraId="384BA2E5" w14:textId="0F08333B" w:rsidR="0033440C" w:rsidRDefault="00801B60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801B60">
        <w:rPr>
          <w:noProof/>
        </w:rPr>
        <w:lastRenderedPageBreak/>
        <w:drawing>
          <wp:inline distT="0" distB="0" distL="0" distR="0" wp14:anchorId="38694151" wp14:editId="7D42D43A">
            <wp:extent cx="6480810" cy="4039235"/>
            <wp:effectExtent l="0" t="0" r="0" b="0"/>
            <wp:docPr id="853703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03530238" w14:textId="378A1F3A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</w:t>
      </w:r>
      <w:r w:rsidR="00F50DD0">
        <w:rPr>
          <w:rFonts w:ascii="Calibri Light" w:hAnsi="Calibri Light" w:cs="Calibri Light"/>
          <w:color w:val="13576B"/>
          <w:sz w:val="20"/>
        </w:rPr>
        <w:t xml:space="preserve">bez </w:t>
      </w:r>
      <w:r w:rsidR="006E2E7E">
        <w:rPr>
          <w:rFonts w:ascii="Calibri Light" w:hAnsi="Calibri Light" w:cs="Calibri Light"/>
          <w:color w:val="13576B"/>
          <w:sz w:val="20"/>
        </w:rPr>
        <w:t xml:space="preserve">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 xml:space="preserve">k dispozici v souboru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xls</w:t>
      </w:r>
      <w:proofErr w:type="spellEnd"/>
      <w:r w:rsidRPr="008723A8">
        <w:rPr>
          <w:rFonts w:ascii="Calibri Light" w:hAnsi="Calibri Light" w:cs="Calibri Light"/>
          <w:color w:val="13576B"/>
          <w:sz w:val="20"/>
        </w:rPr>
        <w:t xml:space="preserve"> přiloženém na webových stránkách ČBA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Hypomonitoru</w:t>
      </w:r>
      <w:proofErr w:type="spellEnd"/>
      <w:r w:rsidR="00E16BD3">
        <w:rPr>
          <w:rFonts w:ascii="Calibri Light" w:hAnsi="Calibri Light" w:cs="Calibri Light"/>
          <w:color w:val="13576B"/>
          <w:sz w:val="20"/>
        </w:rPr>
        <w:t>. V</w:t>
      </w:r>
      <w:r w:rsidR="00E16BD3" w:rsidRPr="00E16BD3">
        <w:rPr>
          <w:rFonts w:ascii="Calibri Light" w:hAnsi="Calibri Light" w:cs="Calibri Light"/>
          <w:color w:val="13576B"/>
          <w:sz w:val="20"/>
        </w:rPr>
        <w:t>ýhled do konce roku</w:t>
      </w:r>
      <w:r w:rsidR="00E16BD3">
        <w:rPr>
          <w:rFonts w:ascii="Calibri Light" w:hAnsi="Calibri Light" w:cs="Calibri Light"/>
          <w:color w:val="13576B"/>
          <w:sz w:val="20"/>
        </w:rPr>
        <w:t xml:space="preserve"> (</w:t>
      </w:r>
      <w:proofErr w:type="spellStart"/>
      <w:r w:rsidR="00E16BD3">
        <w:rPr>
          <w:rFonts w:ascii="Calibri Light" w:hAnsi="Calibri Light" w:cs="Calibri Light"/>
          <w:color w:val="13576B"/>
          <w:sz w:val="20"/>
        </w:rPr>
        <w:t>fcst</w:t>
      </w:r>
      <w:proofErr w:type="spellEnd"/>
      <w:r w:rsidR="00E16BD3">
        <w:rPr>
          <w:rFonts w:ascii="Calibri Light" w:hAnsi="Calibri Light" w:cs="Calibri Light"/>
          <w:color w:val="13576B"/>
          <w:sz w:val="20"/>
        </w:rPr>
        <w:t>)</w:t>
      </w:r>
      <w:r w:rsidR="00E16BD3" w:rsidRPr="00E16BD3">
        <w:rPr>
          <w:rFonts w:ascii="Calibri Light" w:hAnsi="Calibri Light" w:cs="Calibri Light"/>
          <w:color w:val="13576B"/>
          <w:sz w:val="20"/>
        </w:rPr>
        <w:t xml:space="preserve"> je momentový – vychází z aktuálního trendu, nikoli z modelové predikce.</w:t>
      </w:r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67028DE4" w14:textId="753DB133" w:rsidR="00582221" w:rsidRDefault="0058222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7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>
        <w:rPr>
          <w:rFonts w:ascii="Calibri" w:hAnsi="Calibri" w:cs="Calibri"/>
          <w:b/>
          <w:color w:val="13576B"/>
          <w:sz w:val="23"/>
          <w:szCs w:val="23"/>
        </w:rPr>
        <w:t>Rozložení nových hypotečních úvěrů podle účelu</w:t>
      </w:r>
    </w:p>
    <w:p w14:paraId="6D87A84C" w14:textId="521AB089" w:rsidR="00582221" w:rsidRDefault="00801B60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noProof/>
          <w:color w:val="13576B"/>
          <w:sz w:val="20"/>
        </w:rPr>
        <w:drawing>
          <wp:inline distT="0" distB="0" distL="0" distR="0" wp14:anchorId="3D688017" wp14:editId="45D173AC">
            <wp:extent cx="6510655" cy="1946025"/>
            <wp:effectExtent l="0" t="0" r="4445" b="0"/>
            <wp:docPr id="2073897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91" cy="196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7AF75" w14:textId="77777777" w:rsidR="00582221" w:rsidRDefault="00582221" w:rsidP="00582221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5303965F" w14:textId="4D0A9CAE" w:rsidR="0033440C" w:rsidRPr="00616069" w:rsidRDefault="00582221" w:rsidP="00582221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Poslední údaj představuje průměr za posledních 12 měsíců. </w:t>
      </w:r>
    </w:p>
    <w:bookmarkEnd w:id="6"/>
    <w:p w14:paraId="045825E8" w14:textId="77777777" w:rsidR="00801B60" w:rsidRDefault="00801B60" w:rsidP="002A5D11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0D5FBC63" w14:textId="07D4A8B0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32E98697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</w:t>
      </w:r>
      <w:r w:rsidR="00A30764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-8 % (dle různých statistik),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7381BBC8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506126">
        <w:rPr>
          <w:rFonts w:ascii="Calibri" w:hAnsi="Calibri" w:cs="Calibri"/>
          <w:b/>
          <w:color w:val="13576B"/>
          <w:sz w:val="23"/>
          <w:szCs w:val="23"/>
        </w:rPr>
        <w:t>8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6B9E4D05" w:rsidR="002F4CBD" w:rsidRPr="002F4CBD" w:rsidRDefault="003D57E2" w:rsidP="003E393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2FD9A30" wp14:editId="5FC9F4F0">
            <wp:extent cx="6480810" cy="1790065"/>
            <wp:effectExtent l="0" t="0" r="0" b="635"/>
            <wp:docPr id="204938162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162" name="Picture 1" descr="A graph of different colored bars&#10;&#10;AI-generated content may be incorrec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35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36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Metodika ČBA Hypomonitoru</w:t>
                            </w:r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Hypomonitor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Partners Banka,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Metodika ČBA Hypomonitoru</w:t>
                      </w:r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Hypomonitor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podílu,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Hypomonitor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Partners Banka,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606031">
      <w:type w:val="continuous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5D2A" w14:textId="77777777" w:rsidR="001D649D" w:rsidRPr="00616069" w:rsidRDefault="001D649D" w:rsidP="00F573F1">
      <w:r w:rsidRPr="00616069">
        <w:separator/>
      </w:r>
    </w:p>
  </w:endnote>
  <w:endnote w:type="continuationSeparator" w:id="0">
    <w:p w14:paraId="499EFD80" w14:textId="77777777" w:rsidR="001D649D" w:rsidRPr="00616069" w:rsidRDefault="001D649D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482722189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AFB3" w14:textId="77777777" w:rsidR="001D649D" w:rsidRPr="00616069" w:rsidRDefault="001D649D" w:rsidP="00F573F1">
      <w:r w:rsidRPr="00616069">
        <w:separator/>
      </w:r>
    </w:p>
  </w:footnote>
  <w:footnote w:type="continuationSeparator" w:id="0">
    <w:p w14:paraId="2F1697E6" w14:textId="77777777" w:rsidR="001D649D" w:rsidRPr="00616069" w:rsidRDefault="001D649D" w:rsidP="00F573F1">
      <w:r w:rsidRPr="00616069">
        <w:continuationSeparator/>
      </w:r>
    </w:p>
  </w:footnote>
  <w:footnote w:id="1">
    <w:p w14:paraId="092EC34E" w14:textId="77777777" w:rsidR="00055000" w:rsidRPr="00616069" w:rsidRDefault="00055000" w:rsidP="00055000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 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40EFF8CB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40EFF8CB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19823466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19425897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36C98434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105BE4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2.</w:t>
                          </w:r>
                          <w:r w:rsidR="009C040E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105BE4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2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8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36C98434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105BE4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2.</w:t>
                    </w:r>
                    <w:r w:rsidR="009C040E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105BE4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2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4B72"/>
    <w:rsid w:val="00005419"/>
    <w:rsid w:val="000054D2"/>
    <w:rsid w:val="00005B3F"/>
    <w:rsid w:val="00005DB1"/>
    <w:rsid w:val="00006511"/>
    <w:rsid w:val="00006C79"/>
    <w:rsid w:val="000070E2"/>
    <w:rsid w:val="00010564"/>
    <w:rsid w:val="000118C2"/>
    <w:rsid w:val="00011AF5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480"/>
    <w:rsid w:val="0002473E"/>
    <w:rsid w:val="00025805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1985"/>
    <w:rsid w:val="000427B8"/>
    <w:rsid w:val="00043889"/>
    <w:rsid w:val="00043DB1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000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3324"/>
    <w:rsid w:val="0009491E"/>
    <w:rsid w:val="0009562F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481"/>
    <w:rsid w:val="000A664C"/>
    <w:rsid w:val="000B064D"/>
    <w:rsid w:val="000B083D"/>
    <w:rsid w:val="000B0992"/>
    <w:rsid w:val="000B2005"/>
    <w:rsid w:val="000B32E2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0E5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2A4"/>
    <w:rsid w:val="000E4810"/>
    <w:rsid w:val="000E4ABC"/>
    <w:rsid w:val="000E563F"/>
    <w:rsid w:val="000E59CE"/>
    <w:rsid w:val="000E5F43"/>
    <w:rsid w:val="000F02C1"/>
    <w:rsid w:val="000F02FD"/>
    <w:rsid w:val="000F0342"/>
    <w:rsid w:val="000F0636"/>
    <w:rsid w:val="000F0A03"/>
    <w:rsid w:val="000F0B04"/>
    <w:rsid w:val="000F30E9"/>
    <w:rsid w:val="000F3195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BE4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0E3B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9DC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4F6E"/>
    <w:rsid w:val="001361CA"/>
    <w:rsid w:val="00136519"/>
    <w:rsid w:val="0013679D"/>
    <w:rsid w:val="00136825"/>
    <w:rsid w:val="00136D3A"/>
    <w:rsid w:val="00136EC9"/>
    <w:rsid w:val="00136FC5"/>
    <w:rsid w:val="00136FC7"/>
    <w:rsid w:val="00137050"/>
    <w:rsid w:val="0013716D"/>
    <w:rsid w:val="00137560"/>
    <w:rsid w:val="00140854"/>
    <w:rsid w:val="00140E10"/>
    <w:rsid w:val="001438F4"/>
    <w:rsid w:val="00143BF5"/>
    <w:rsid w:val="00143DCC"/>
    <w:rsid w:val="00144794"/>
    <w:rsid w:val="00144D53"/>
    <w:rsid w:val="00144D9A"/>
    <w:rsid w:val="00145506"/>
    <w:rsid w:val="001457AA"/>
    <w:rsid w:val="00145E7A"/>
    <w:rsid w:val="00146F46"/>
    <w:rsid w:val="0015125A"/>
    <w:rsid w:val="00151A74"/>
    <w:rsid w:val="001526EE"/>
    <w:rsid w:val="0015278B"/>
    <w:rsid w:val="0015295E"/>
    <w:rsid w:val="00152A73"/>
    <w:rsid w:val="001534F6"/>
    <w:rsid w:val="00153692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0CF6"/>
    <w:rsid w:val="001715A2"/>
    <w:rsid w:val="0017388B"/>
    <w:rsid w:val="00173D31"/>
    <w:rsid w:val="0017441E"/>
    <w:rsid w:val="0017486D"/>
    <w:rsid w:val="00175839"/>
    <w:rsid w:val="00175A85"/>
    <w:rsid w:val="00175E6C"/>
    <w:rsid w:val="00175FBC"/>
    <w:rsid w:val="00176669"/>
    <w:rsid w:val="001766FF"/>
    <w:rsid w:val="00176C20"/>
    <w:rsid w:val="00176DFC"/>
    <w:rsid w:val="00177598"/>
    <w:rsid w:val="00180856"/>
    <w:rsid w:val="001808FE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2E5E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4A3B"/>
    <w:rsid w:val="001D5BB9"/>
    <w:rsid w:val="001D649D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6E8A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3F87"/>
    <w:rsid w:val="002045A5"/>
    <w:rsid w:val="0020488B"/>
    <w:rsid w:val="00204F09"/>
    <w:rsid w:val="0020667A"/>
    <w:rsid w:val="0020698C"/>
    <w:rsid w:val="00206F7E"/>
    <w:rsid w:val="00207AE7"/>
    <w:rsid w:val="00207BE5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07C1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639E"/>
    <w:rsid w:val="00266980"/>
    <w:rsid w:val="00266ACC"/>
    <w:rsid w:val="00267ACA"/>
    <w:rsid w:val="002707C5"/>
    <w:rsid w:val="00270A4E"/>
    <w:rsid w:val="00270E60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79B"/>
    <w:rsid w:val="00291BE8"/>
    <w:rsid w:val="00293122"/>
    <w:rsid w:val="0029502E"/>
    <w:rsid w:val="00296021"/>
    <w:rsid w:val="0029774E"/>
    <w:rsid w:val="00297B85"/>
    <w:rsid w:val="002A0002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C5B51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3DE"/>
    <w:rsid w:val="002F477C"/>
    <w:rsid w:val="002F4A74"/>
    <w:rsid w:val="002F4CBD"/>
    <w:rsid w:val="002F4CDA"/>
    <w:rsid w:val="002F506A"/>
    <w:rsid w:val="002F52DA"/>
    <w:rsid w:val="002F557F"/>
    <w:rsid w:val="002F6432"/>
    <w:rsid w:val="002F6A6D"/>
    <w:rsid w:val="003012B9"/>
    <w:rsid w:val="0030161E"/>
    <w:rsid w:val="00301915"/>
    <w:rsid w:val="003028DC"/>
    <w:rsid w:val="003029D1"/>
    <w:rsid w:val="0030348A"/>
    <w:rsid w:val="00303B0E"/>
    <w:rsid w:val="003045DD"/>
    <w:rsid w:val="00304727"/>
    <w:rsid w:val="0030613B"/>
    <w:rsid w:val="00306844"/>
    <w:rsid w:val="003077DD"/>
    <w:rsid w:val="003111F3"/>
    <w:rsid w:val="003131EC"/>
    <w:rsid w:val="003134AE"/>
    <w:rsid w:val="00313DD8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58C4"/>
    <w:rsid w:val="00327407"/>
    <w:rsid w:val="00327CB6"/>
    <w:rsid w:val="00330A92"/>
    <w:rsid w:val="003315E9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72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B7AE1"/>
    <w:rsid w:val="003C0B1B"/>
    <w:rsid w:val="003C1195"/>
    <w:rsid w:val="003C12B6"/>
    <w:rsid w:val="003C185F"/>
    <w:rsid w:val="003C2D27"/>
    <w:rsid w:val="003C373E"/>
    <w:rsid w:val="003C3D7F"/>
    <w:rsid w:val="003C41DD"/>
    <w:rsid w:val="003C4DE7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2EFA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3922"/>
    <w:rsid w:val="003F470D"/>
    <w:rsid w:val="003F512D"/>
    <w:rsid w:val="003F56A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883"/>
    <w:rsid w:val="00425A84"/>
    <w:rsid w:val="00425B3B"/>
    <w:rsid w:val="0042602B"/>
    <w:rsid w:val="004279BD"/>
    <w:rsid w:val="00430F3C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03D6"/>
    <w:rsid w:val="00480B75"/>
    <w:rsid w:val="00483136"/>
    <w:rsid w:val="0048354D"/>
    <w:rsid w:val="00483FA6"/>
    <w:rsid w:val="0048489E"/>
    <w:rsid w:val="004852E3"/>
    <w:rsid w:val="00485ADC"/>
    <w:rsid w:val="00486858"/>
    <w:rsid w:val="00486C1D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428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2E1A"/>
    <w:rsid w:val="004B3889"/>
    <w:rsid w:val="004B3E0D"/>
    <w:rsid w:val="004B3F04"/>
    <w:rsid w:val="004B441B"/>
    <w:rsid w:val="004B4571"/>
    <w:rsid w:val="004B4DE5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3F0C"/>
    <w:rsid w:val="004E4B5B"/>
    <w:rsid w:val="004E5779"/>
    <w:rsid w:val="004E5E51"/>
    <w:rsid w:val="004E642B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072"/>
    <w:rsid w:val="005027C2"/>
    <w:rsid w:val="00502C28"/>
    <w:rsid w:val="00503D06"/>
    <w:rsid w:val="00504229"/>
    <w:rsid w:val="00504370"/>
    <w:rsid w:val="00505434"/>
    <w:rsid w:val="00506126"/>
    <w:rsid w:val="005063FD"/>
    <w:rsid w:val="0050674F"/>
    <w:rsid w:val="005069C2"/>
    <w:rsid w:val="005070EC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2041"/>
    <w:rsid w:val="005343BA"/>
    <w:rsid w:val="0053589B"/>
    <w:rsid w:val="00535CDB"/>
    <w:rsid w:val="00535E49"/>
    <w:rsid w:val="0053659F"/>
    <w:rsid w:val="00537D18"/>
    <w:rsid w:val="00537D95"/>
    <w:rsid w:val="005417AF"/>
    <w:rsid w:val="00541D7D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337B"/>
    <w:rsid w:val="0055377C"/>
    <w:rsid w:val="00553860"/>
    <w:rsid w:val="005541F4"/>
    <w:rsid w:val="005545FE"/>
    <w:rsid w:val="00554717"/>
    <w:rsid w:val="00554741"/>
    <w:rsid w:val="00554FF2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9C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4E2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222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90E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1B6C"/>
    <w:rsid w:val="005B2B4F"/>
    <w:rsid w:val="005B2CB5"/>
    <w:rsid w:val="005B2CDC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E7C7D"/>
    <w:rsid w:val="005F0A09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031"/>
    <w:rsid w:val="00606E04"/>
    <w:rsid w:val="00607B8A"/>
    <w:rsid w:val="006102C4"/>
    <w:rsid w:val="00611A97"/>
    <w:rsid w:val="00611B3C"/>
    <w:rsid w:val="00611C5C"/>
    <w:rsid w:val="00612686"/>
    <w:rsid w:val="006131E9"/>
    <w:rsid w:val="0061392C"/>
    <w:rsid w:val="00613C92"/>
    <w:rsid w:val="00615685"/>
    <w:rsid w:val="00615849"/>
    <w:rsid w:val="00616069"/>
    <w:rsid w:val="00616F34"/>
    <w:rsid w:val="00616FDD"/>
    <w:rsid w:val="00617E42"/>
    <w:rsid w:val="00617E6C"/>
    <w:rsid w:val="006203EC"/>
    <w:rsid w:val="00622015"/>
    <w:rsid w:val="00622191"/>
    <w:rsid w:val="006228C3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20CB"/>
    <w:rsid w:val="0063314F"/>
    <w:rsid w:val="006337E7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06FA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088"/>
    <w:rsid w:val="00650724"/>
    <w:rsid w:val="0065124E"/>
    <w:rsid w:val="006513A0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0DB9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5F6E"/>
    <w:rsid w:val="0066692E"/>
    <w:rsid w:val="00666CC6"/>
    <w:rsid w:val="006677D7"/>
    <w:rsid w:val="00667828"/>
    <w:rsid w:val="00667AF6"/>
    <w:rsid w:val="00670CDD"/>
    <w:rsid w:val="00670F37"/>
    <w:rsid w:val="00672277"/>
    <w:rsid w:val="00674930"/>
    <w:rsid w:val="00676079"/>
    <w:rsid w:val="00676326"/>
    <w:rsid w:val="006777C7"/>
    <w:rsid w:val="00677FE7"/>
    <w:rsid w:val="006830CE"/>
    <w:rsid w:val="006839E8"/>
    <w:rsid w:val="00683D65"/>
    <w:rsid w:val="00684AB4"/>
    <w:rsid w:val="00684FDE"/>
    <w:rsid w:val="006851CB"/>
    <w:rsid w:val="00685F12"/>
    <w:rsid w:val="00687672"/>
    <w:rsid w:val="00690239"/>
    <w:rsid w:val="00690FB6"/>
    <w:rsid w:val="00691287"/>
    <w:rsid w:val="006919FC"/>
    <w:rsid w:val="00693034"/>
    <w:rsid w:val="0069373F"/>
    <w:rsid w:val="00693FDC"/>
    <w:rsid w:val="006963D2"/>
    <w:rsid w:val="00696748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4CF3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B4649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361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81D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240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6AA"/>
    <w:rsid w:val="00714837"/>
    <w:rsid w:val="007149B8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8AB"/>
    <w:rsid w:val="00720B68"/>
    <w:rsid w:val="00720DE3"/>
    <w:rsid w:val="00721C6A"/>
    <w:rsid w:val="007222B0"/>
    <w:rsid w:val="007227EC"/>
    <w:rsid w:val="00722F2C"/>
    <w:rsid w:val="00723293"/>
    <w:rsid w:val="00723439"/>
    <w:rsid w:val="00723CB3"/>
    <w:rsid w:val="00724D46"/>
    <w:rsid w:val="007252D4"/>
    <w:rsid w:val="007263EF"/>
    <w:rsid w:val="00727012"/>
    <w:rsid w:val="0072723A"/>
    <w:rsid w:val="007279EC"/>
    <w:rsid w:val="00727D29"/>
    <w:rsid w:val="00730818"/>
    <w:rsid w:val="00730E2D"/>
    <w:rsid w:val="0073142D"/>
    <w:rsid w:val="0073237F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003"/>
    <w:rsid w:val="00754851"/>
    <w:rsid w:val="007575D0"/>
    <w:rsid w:val="00757649"/>
    <w:rsid w:val="00760944"/>
    <w:rsid w:val="007609D5"/>
    <w:rsid w:val="00760C75"/>
    <w:rsid w:val="007611AD"/>
    <w:rsid w:val="0076126B"/>
    <w:rsid w:val="007613B3"/>
    <w:rsid w:val="00762FBA"/>
    <w:rsid w:val="0076316D"/>
    <w:rsid w:val="00763FB6"/>
    <w:rsid w:val="0076473F"/>
    <w:rsid w:val="00764748"/>
    <w:rsid w:val="00765515"/>
    <w:rsid w:val="00765F2A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2C45"/>
    <w:rsid w:val="00793842"/>
    <w:rsid w:val="00794379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19E3"/>
    <w:rsid w:val="007A2635"/>
    <w:rsid w:val="007A3BFB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0E2D"/>
    <w:rsid w:val="007C1271"/>
    <w:rsid w:val="007C12F0"/>
    <w:rsid w:val="007C15B2"/>
    <w:rsid w:val="007C1E59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421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6FBE"/>
    <w:rsid w:val="007F742B"/>
    <w:rsid w:val="007F7CBC"/>
    <w:rsid w:val="00800C45"/>
    <w:rsid w:val="0080130F"/>
    <w:rsid w:val="00801B60"/>
    <w:rsid w:val="008026FE"/>
    <w:rsid w:val="00802F9F"/>
    <w:rsid w:val="0080372E"/>
    <w:rsid w:val="00803E55"/>
    <w:rsid w:val="00804358"/>
    <w:rsid w:val="00804F92"/>
    <w:rsid w:val="00807F19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3D03"/>
    <w:rsid w:val="00814399"/>
    <w:rsid w:val="00815A51"/>
    <w:rsid w:val="00817CF6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4FF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46F"/>
    <w:rsid w:val="00853C4A"/>
    <w:rsid w:val="00854190"/>
    <w:rsid w:val="00854682"/>
    <w:rsid w:val="00855DA1"/>
    <w:rsid w:val="00856359"/>
    <w:rsid w:val="0085657D"/>
    <w:rsid w:val="008569DC"/>
    <w:rsid w:val="00856DA4"/>
    <w:rsid w:val="00857078"/>
    <w:rsid w:val="00857A3C"/>
    <w:rsid w:val="00860613"/>
    <w:rsid w:val="00861279"/>
    <w:rsid w:val="008612B4"/>
    <w:rsid w:val="00862A90"/>
    <w:rsid w:val="00863D31"/>
    <w:rsid w:val="00863D50"/>
    <w:rsid w:val="0086454A"/>
    <w:rsid w:val="00866E95"/>
    <w:rsid w:val="00867E88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2EFB"/>
    <w:rsid w:val="0088366A"/>
    <w:rsid w:val="00883A3C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666"/>
    <w:rsid w:val="008A3889"/>
    <w:rsid w:val="008A4BAF"/>
    <w:rsid w:val="008A56CE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D3F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22DA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3D1C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4916"/>
    <w:rsid w:val="008F6034"/>
    <w:rsid w:val="008F7859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2D34"/>
    <w:rsid w:val="009139AF"/>
    <w:rsid w:val="009148EC"/>
    <w:rsid w:val="00914BFD"/>
    <w:rsid w:val="00914CD2"/>
    <w:rsid w:val="00915EF9"/>
    <w:rsid w:val="009174DB"/>
    <w:rsid w:val="009174F6"/>
    <w:rsid w:val="00917A99"/>
    <w:rsid w:val="00920831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272E3"/>
    <w:rsid w:val="009311DF"/>
    <w:rsid w:val="009314B6"/>
    <w:rsid w:val="0093152E"/>
    <w:rsid w:val="009315A3"/>
    <w:rsid w:val="00931779"/>
    <w:rsid w:val="00931E42"/>
    <w:rsid w:val="0093252C"/>
    <w:rsid w:val="0093283A"/>
    <w:rsid w:val="00933A62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B5B"/>
    <w:rsid w:val="00960F24"/>
    <w:rsid w:val="00960FAF"/>
    <w:rsid w:val="00960FBE"/>
    <w:rsid w:val="0096172B"/>
    <w:rsid w:val="00961C91"/>
    <w:rsid w:val="009628F6"/>
    <w:rsid w:val="00962AB8"/>
    <w:rsid w:val="00962CB7"/>
    <w:rsid w:val="00962E64"/>
    <w:rsid w:val="00963AA3"/>
    <w:rsid w:val="00963B80"/>
    <w:rsid w:val="00964478"/>
    <w:rsid w:val="009651FA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630"/>
    <w:rsid w:val="00992840"/>
    <w:rsid w:val="00993064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40E"/>
    <w:rsid w:val="009C0544"/>
    <w:rsid w:val="009C0DD6"/>
    <w:rsid w:val="009C1B29"/>
    <w:rsid w:val="009C1C07"/>
    <w:rsid w:val="009C1F84"/>
    <w:rsid w:val="009C38A8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0EB6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548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7B93"/>
    <w:rsid w:val="009F0062"/>
    <w:rsid w:val="009F0349"/>
    <w:rsid w:val="009F1CE1"/>
    <w:rsid w:val="009F1E76"/>
    <w:rsid w:val="009F2FEB"/>
    <w:rsid w:val="009F3268"/>
    <w:rsid w:val="009F4230"/>
    <w:rsid w:val="009F4860"/>
    <w:rsid w:val="009F58F4"/>
    <w:rsid w:val="009F5F2C"/>
    <w:rsid w:val="009F6749"/>
    <w:rsid w:val="009F6A7F"/>
    <w:rsid w:val="009F6C56"/>
    <w:rsid w:val="00A0021A"/>
    <w:rsid w:val="00A0178C"/>
    <w:rsid w:val="00A01D67"/>
    <w:rsid w:val="00A01EAA"/>
    <w:rsid w:val="00A0206E"/>
    <w:rsid w:val="00A02A33"/>
    <w:rsid w:val="00A02F5D"/>
    <w:rsid w:val="00A031CC"/>
    <w:rsid w:val="00A0323B"/>
    <w:rsid w:val="00A04192"/>
    <w:rsid w:val="00A04474"/>
    <w:rsid w:val="00A0482C"/>
    <w:rsid w:val="00A06A94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39A"/>
    <w:rsid w:val="00A2295F"/>
    <w:rsid w:val="00A22A52"/>
    <w:rsid w:val="00A23246"/>
    <w:rsid w:val="00A24A2E"/>
    <w:rsid w:val="00A25215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CE8"/>
    <w:rsid w:val="00A36DDD"/>
    <w:rsid w:val="00A378ED"/>
    <w:rsid w:val="00A37C13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6558"/>
    <w:rsid w:val="00A472F8"/>
    <w:rsid w:val="00A50571"/>
    <w:rsid w:val="00A50AEA"/>
    <w:rsid w:val="00A52884"/>
    <w:rsid w:val="00A5314F"/>
    <w:rsid w:val="00A53F81"/>
    <w:rsid w:val="00A54055"/>
    <w:rsid w:val="00A54B25"/>
    <w:rsid w:val="00A54D53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054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B36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273"/>
    <w:rsid w:val="00AB3537"/>
    <w:rsid w:val="00AB365A"/>
    <w:rsid w:val="00AB3A63"/>
    <w:rsid w:val="00AB4201"/>
    <w:rsid w:val="00AB453D"/>
    <w:rsid w:val="00AB48D1"/>
    <w:rsid w:val="00AB4CFC"/>
    <w:rsid w:val="00AB5363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5B51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485D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2CD"/>
    <w:rsid w:val="00AF58F3"/>
    <w:rsid w:val="00AF5ABA"/>
    <w:rsid w:val="00AF6D5C"/>
    <w:rsid w:val="00AF6D94"/>
    <w:rsid w:val="00B00317"/>
    <w:rsid w:val="00B0149D"/>
    <w:rsid w:val="00B014EC"/>
    <w:rsid w:val="00B04FE2"/>
    <w:rsid w:val="00B05126"/>
    <w:rsid w:val="00B05277"/>
    <w:rsid w:val="00B05777"/>
    <w:rsid w:val="00B05B5E"/>
    <w:rsid w:val="00B06527"/>
    <w:rsid w:val="00B07EE5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0A4E"/>
    <w:rsid w:val="00B31A01"/>
    <w:rsid w:val="00B31E3C"/>
    <w:rsid w:val="00B32C18"/>
    <w:rsid w:val="00B33037"/>
    <w:rsid w:val="00B33732"/>
    <w:rsid w:val="00B3483B"/>
    <w:rsid w:val="00B35C7E"/>
    <w:rsid w:val="00B35D32"/>
    <w:rsid w:val="00B36448"/>
    <w:rsid w:val="00B377F6"/>
    <w:rsid w:val="00B40FEB"/>
    <w:rsid w:val="00B416B1"/>
    <w:rsid w:val="00B418F4"/>
    <w:rsid w:val="00B426A2"/>
    <w:rsid w:val="00B42D4E"/>
    <w:rsid w:val="00B42D51"/>
    <w:rsid w:val="00B43376"/>
    <w:rsid w:val="00B43E68"/>
    <w:rsid w:val="00B44209"/>
    <w:rsid w:val="00B44CCC"/>
    <w:rsid w:val="00B44EAC"/>
    <w:rsid w:val="00B465C8"/>
    <w:rsid w:val="00B472C9"/>
    <w:rsid w:val="00B47636"/>
    <w:rsid w:val="00B47C1C"/>
    <w:rsid w:val="00B47F43"/>
    <w:rsid w:val="00B506AC"/>
    <w:rsid w:val="00B50773"/>
    <w:rsid w:val="00B50D1B"/>
    <w:rsid w:val="00B50E2C"/>
    <w:rsid w:val="00B51364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3850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81A"/>
    <w:rsid w:val="00B73C08"/>
    <w:rsid w:val="00B7439C"/>
    <w:rsid w:val="00B743D7"/>
    <w:rsid w:val="00B7534C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0139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97D8D"/>
    <w:rsid w:val="00BA04E1"/>
    <w:rsid w:val="00BA18D1"/>
    <w:rsid w:val="00BA19E0"/>
    <w:rsid w:val="00BA1F8A"/>
    <w:rsid w:val="00BA258C"/>
    <w:rsid w:val="00BA280D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C6876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BF77A4"/>
    <w:rsid w:val="00C00471"/>
    <w:rsid w:val="00C011B3"/>
    <w:rsid w:val="00C014C6"/>
    <w:rsid w:val="00C01839"/>
    <w:rsid w:val="00C01BF8"/>
    <w:rsid w:val="00C02043"/>
    <w:rsid w:val="00C04A40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26A9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1E03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2BF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77FDD"/>
    <w:rsid w:val="00C81867"/>
    <w:rsid w:val="00C81AAE"/>
    <w:rsid w:val="00C81EBC"/>
    <w:rsid w:val="00C82FE1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2E9C"/>
    <w:rsid w:val="00CB3460"/>
    <w:rsid w:val="00CB4072"/>
    <w:rsid w:val="00CB484D"/>
    <w:rsid w:val="00CB517A"/>
    <w:rsid w:val="00CB5E18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02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3FDF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07C"/>
    <w:rsid w:val="00CF5293"/>
    <w:rsid w:val="00CF72AC"/>
    <w:rsid w:val="00D0011E"/>
    <w:rsid w:val="00D004E5"/>
    <w:rsid w:val="00D0136A"/>
    <w:rsid w:val="00D0142A"/>
    <w:rsid w:val="00D0150B"/>
    <w:rsid w:val="00D02111"/>
    <w:rsid w:val="00D0280B"/>
    <w:rsid w:val="00D038D7"/>
    <w:rsid w:val="00D03B38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6D8E"/>
    <w:rsid w:val="00D16FB5"/>
    <w:rsid w:val="00D1722E"/>
    <w:rsid w:val="00D176B7"/>
    <w:rsid w:val="00D20B08"/>
    <w:rsid w:val="00D211A5"/>
    <w:rsid w:val="00D2261D"/>
    <w:rsid w:val="00D228B8"/>
    <w:rsid w:val="00D2301A"/>
    <w:rsid w:val="00D24515"/>
    <w:rsid w:val="00D24B00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461"/>
    <w:rsid w:val="00D75B0B"/>
    <w:rsid w:val="00D76233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B8A"/>
    <w:rsid w:val="00D83D34"/>
    <w:rsid w:val="00D85155"/>
    <w:rsid w:val="00D85F3F"/>
    <w:rsid w:val="00D86169"/>
    <w:rsid w:val="00D8652F"/>
    <w:rsid w:val="00D86BF7"/>
    <w:rsid w:val="00D86C18"/>
    <w:rsid w:val="00D8747A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2CB5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5FFB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5D98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5CAF"/>
    <w:rsid w:val="00DF62C6"/>
    <w:rsid w:val="00DF6D21"/>
    <w:rsid w:val="00DF75FB"/>
    <w:rsid w:val="00DF7C00"/>
    <w:rsid w:val="00E00BBD"/>
    <w:rsid w:val="00E00C89"/>
    <w:rsid w:val="00E013E3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4850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BD3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2BE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AB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89E"/>
    <w:rsid w:val="00E85DE8"/>
    <w:rsid w:val="00E86672"/>
    <w:rsid w:val="00E86705"/>
    <w:rsid w:val="00E86E0C"/>
    <w:rsid w:val="00E87FB1"/>
    <w:rsid w:val="00E900CF"/>
    <w:rsid w:val="00E908C6"/>
    <w:rsid w:val="00E924A8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6103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263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5DB"/>
    <w:rsid w:val="00ED6AF2"/>
    <w:rsid w:val="00ED7BC1"/>
    <w:rsid w:val="00EE04D4"/>
    <w:rsid w:val="00EE0C34"/>
    <w:rsid w:val="00EE0C71"/>
    <w:rsid w:val="00EE29BE"/>
    <w:rsid w:val="00EE3C34"/>
    <w:rsid w:val="00EE3CDA"/>
    <w:rsid w:val="00EE3EAC"/>
    <w:rsid w:val="00EE4C9E"/>
    <w:rsid w:val="00EE5884"/>
    <w:rsid w:val="00EF038F"/>
    <w:rsid w:val="00EF07C3"/>
    <w:rsid w:val="00EF1944"/>
    <w:rsid w:val="00EF26AE"/>
    <w:rsid w:val="00EF27B5"/>
    <w:rsid w:val="00EF43EA"/>
    <w:rsid w:val="00EF46B1"/>
    <w:rsid w:val="00EF493E"/>
    <w:rsid w:val="00EF5D73"/>
    <w:rsid w:val="00EF607A"/>
    <w:rsid w:val="00EF6331"/>
    <w:rsid w:val="00EF6482"/>
    <w:rsid w:val="00EF71FF"/>
    <w:rsid w:val="00EF7662"/>
    <w:rsid w:val="00EF773B"/>
    <w:rsid w:val="00F00241"/>
    <w:rsid w:val="00F00777"/>
    <w:rsid w:val="00F00887"/>
    <w:rsid w:val="00F01AED"/>
    <w:rsid w:val="00F02876"/>
    <w:rsid w:val="00F06185"/>
    <w:rsid w:val="00F064C3"/>
    <w:rsid w:val="00F06A82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967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4A8F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596"/>
    <w:rsid w:val="00F31EFE"/>
    <w:rsid w:val="00F3277D"/>
    <w:rsid w:val="00F32822"/>
    <w:rsid w:val="00F32EC1"/>
    <w:rsid w:val="00F3329B"/>
    <w:rsid w:val="00F33D35"/>
    <w:rsid w:val="00F340F0"/>
    <w:rsid w:val="00F343CC"/>
    <w:rsid w:val="00F34F38"/>
    <w:rsid w:val="00F350F7"/>
    <w:rsid w:val="00F35253"/>
    <w:rsid w:val="00F36405"/>
    <w:rsid w:val="00F36809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0DD0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3ED"/>
    <w:rsid w:val="00F71668"/>
    <w:rsid w:val="00F73140"/>
    <w:rsid w:val="00F74364"/>
    <w:rsid w:val="00F74666"/>
    <w:rsid w:val="00F751A4"/>
    <w:rsid w:val="00F7568A"/>
    <w:rsid w:val="00F77C1A"/>
    <w:rsid w:val="00F77E91"/>
    <w:rsid w:val="00F81073"/>
    <w:rsid w:val="00F812E4"/>
    <w:rsid w:val="00F815BB"/>
    <w:rsid w:val="00F825C9"/>
    <w:rsid w:val="00F8344B"/>
    <w:rsid w:val="00F83C40"/>
    <w:rsid w:val="00F83EEA"/>
    <w:rsid w:val="00F8461A"/>
    <w:rsid w:val="00F84BEC"/>
    <w:rsid w:val="00F852BE"/>
    <w:rsid w:val="00F8731D"/>
    <w:rsid w:val="00F879C5"/>
    <w:rsid w:val="00F87CAF"/>
    <w:rsid w:val="00F87FA4"/>
    <w:rsid w:val="00F90063"/>
    <w:rsid w:val="00F90A3D"/>
    <w:rsid w:val="00F90EC0"/>
    <w:rsid w:val="00F91222"/>
    <w:rsid w:val="00F92352"/>
    <w:rsid w:val="00F9267B"/>
    <w:rsid w:val="00F93469"/>
    <w:rsid w:val="00F93B7A"/>
    <w:rsid w:val="00F94ACE"/>
    <w:rsid w:val="00F94AE5"/>
    <w:rsid w:val="00F94C20"/>
    <w:rsid w:val="00F94EAF"/>
    <w:rsid w:val="00F96581"/>
    <w:rsid w:val="00F96AF2"/>
    <w:rsid w:val="00F96D11"/>
    <w:rsid w:val="00F96F50"/>
    <w:rsid w:val="00F970A7"/>
    <w:rsid w:val="00F9731E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12E"/>
    <w:rsid w:val="00FB6635"/>
    <w:rsid w:val="00FB6B37"/>
    <w:rsid w:val="00FB7510"/>
    <w:rsid w:val="00FC08D8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3B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34E"/>
    <w:rsid w:val="00FD4587"/>
    <w:rsid w:val="00FD47F8"/>
    <w:rsid w:val="00FD57E2"/>
    <w:rsid w:val="00FD5B9B"/>
    <w:rsid w:val="00FD66DD"/>
    <w:rsid w:val="00FD6921"/>
    <w:rsid w:val="00FD77C2"/>
    <w:rsid w:val="00FE175F"/>
    <w:rsid w:val="00FE1F8E"/>
    <w:rsid w:val="00FE26DD"/>
    <w:rsid w:val="00FE2ED7"/>
    <w:rsid w:val="00FE329D"/>
    <w:rsid w:val="00FE34B0"/>
    <w:rsid w:val="00FE379B"/>
    <w:rsid w:val="00FE3AFB"/>
    <w:rsid w:val="00FE3E6F"/>
    <w:rsid w:val="00FE400F"/>
    <w:rsid w:val="00FE4187"/>
    <w:rsid w:val="00FE469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5E33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png"/><Relationship Id="rId26" Type="http://schemas.openxmlformats.org/officeDocument/2006/relationships/hyperlink" Target="https://www.cbamonitor.cz/aktuality/volatilni-ceny-potravin-stlacily-listopadovou-inflaci-na-21-pri-stale-silnem-71-rustu-mezd" TargetMode="External"/><Relationship Id="rId21" Type="http://schemas.openxmlformats.org/officeDocument/2006/relationships/hyperlink" Target="https://www.cbamonitor.cz/aktuality/rijnova-spotrebitelska-inflace-na-25-a-pokracujici-rust-nezamestnanosti-udrzi-cnb-v-napeti" TargetMode="External"/><Relationship Id="rId34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www.cbamonitor.cz/aktuality/volatilni-ceny-potravin-stlacily-listopadovou-inflaci-na-21-pri-stale-silnem-71-rustu-mezd" TargetMode="External"/><Relationship Id="rId33" Type="http://schemas.openxmlformats.org/officeDocument/2006/relationships/image" Target="media/image11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cbamonitor.cz/aktuality/prisnejsi-menove-podminky-ponechaly-pro-cnb-otevrene-moznosti-nova-predikce-cnb-otevira-cestu-k-opatrnejsi-komunikaci-ve-zbytku-roku" TargetMode="External"/><Relationship Id="rId29" Type="http://schemas.openxmlformats.org/officeDocument/2006/relationships/hyperlink" Target="https://www.cbamonitor.cz/kategorie/ceny-nemovitost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amonitor.cz/aktuality/cnb-zprisnuje-podminky-pro-investicni-hypoteky-9-dopad-nebo-potrebna-redistribuce-poptavky" TargetMode="External"/><Relationship Id="rId24" Type="http://schemas.openxmlformats.org/officeDocument/2006/relationships/hyperlink" Target="https://www.cbamonitor.cz/aktuality/zmineni-listopadove-spotrebitelske-inflace-na-21-neni-pouze-o-potravinach" TargetMode="External"/><Relationship Id="rId32" Type="http://schemas.openxmlformats.org/officeDocument/2006/relationships/image" Target="media/image10.e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cbamonitor.cz/aktuality/zmineni-listopadove-spotrebitelske-inflace-na-21-neni-pouze-o-potravinach" TargetMode="External"/><Relationship Id="rId28" Type="http://schemas.openxmlformats.org/officeDocument/2006/relationships/hyperlink" Target="https://www.cbamonitor.cz/aktuality/cnb-zprisnuje-podminky-pro-investicni-hypoteky-9-dopad-nebo-potrebna-redistribuce-poptavky" TargetMode="External"/><Relationship Id="rId36" Type="http://schemas.openxmlformats.org/officeDocument/2006/relationships/hyperlink" Target="https://www.cbamonitor.cz/kategorie/cba-hypomonitor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cbamonitor.cz/aktuality/silny-rust-hdp-maskuje-klicovy-problem-a-to-pokracujici-slabe-investice-a-pokles-produktivity-pri-stale-silnem-rustu-mezd" TargetMode="External"/><Relationship Id="rId27" Type="http://schemas.openxmlformats.org/officeDocument/2006/relationships/hyperlink" Target="https://www.cbamonitor.cz/statistika/dynamika-mezd" TargetMode="External"/><Relationship Id="rId30" Type="http://schemas.openxmlformats.org/officeDocument/2006/relationships/hyperlink" Target="https://www.cbamonitor.cz/aktuality/mirnejsi-oziveni-disponibilniho-prijmu-stacilo-na-silnejsi-spotrebu-i-vyssi-uspory-ale-ne-na-drazsi-nemovitosti" TargetMode="External"/><Relationship Id="rId35" Type="http://schemas.openxmlformats.org/officeDocument/2006/relationships/hyperlink" Target="http://www.cbaonline.cz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customXml/itemProps4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2829</Words>
  <Characters>16694</Characters>
  <Application>Microsoft Office Word</Application>
  <DocSecurity>0</DocSecurity>
  <Lines>139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4</cp:revision>
  <cp:lastPrinted>2025-08-14T09:13:00Z</cp:lastPrinted>
  <dcterms:created xsi:type="dcterms:W3CDTF">2025-12-11T13:52:00Z</dcterms:created>
  <dcterms:modified xsi:type="dcterms:W3CDTF">2025-12-11T15:49:00Z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