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0F012F19" w:rsidR="00DF154D" w:rsidRPr="002F43DE" w:rsidRDefault="003D3759" w:rsidP="003D3759">
      <w:pPr>
        <w:rPr>
          <w:rFonts w:ascii="Calibri" w:hAnsi="Calibri" w:cs="Calibri"/>
          <w:b/>
          <w:color w:val="EE0000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</w:t>
      </w:r>
      <w:r w:rsidR="007C0E2D">
        <w:rPr>
          <w:rFonts w:ascii="Calibri" w:hAnsi="Calibri" w:cs="Calibri"/>
          <w:b/>
          <w:color w:val="13576B"/>
          <w:sz w:val="32"/>
          <w:szCs w:val="32"/>
        </w:rPr>
        <w:t>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>:</w:t>
      </w:r>
      <w:r w:rsidR="00F713ED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093324">
        <w:rPr>
          <w:rFonts w:ascii="Calibri" w:hAnsi="Calibri" w:cs="Calibri"/>
          <w:b/>
          <w:color w:val="13576B"/>
          <w:sz w:val="32"/>
          <w:szCs w:val="32"/>
        </w:rPr>
        <w:t>Stále silná říjnová</w:t>
      </w:r>
      <w:r w:rsidR="00F713ED">
        <w:rPr>
          <w:rFonts w:ascii="Calibri" w:hAnsi="Calibri" w:cs="Calibri"/>
          <w:b/>
          <w:color w:val="13576B"/>
          <w:sz w:val="32"/>
          <w:szCs w:val="32"/>
        </w:rPr>
        <w:t xml:space="preserve"> aktivit</w:t>
      </w:r>
      <w:r w:rsidR="00093324">
        <w:rPr>
          <w:rFonts w:ascii="Calibri" w:hAnsi="Calibri" w:cs="Calibri"/>
          <w:b/>
          <w:color w:val="13576B"/>
          <w:sz w:val="32"/>
          <w:szCs w:val="32"/>
        </w:rPr>
        <w:t xml:space="preserve">a s </w:t>
      </w:r>
      <w:r w:rsidR="00F713ED">
        <w:rPr>
          <w:rFonts w:ascii="Calibri" w:hAnsi="Calibri" w:cs="Calibri"/>
          <w:b/>
          <w:color w:val="13576B"/>
          <w:sz w:val="32"/>
          <w:szCs w:val="32"/>
        </w:rPr>
        <w:t>hypoteční sazb</w:t>
      </w:r>
      <w:r w:rsidR="00093324">
        <w:rPr>
          <w:rFonts w:ascii="Calibri" w:hAnsi="Calibri" w:cs="Calibri"/>
          <w:b/>
          <w:color w:val="13576B"/>
          <w:sz w:val="32"/>
          <w:szCs w:val="32"/>
        </w:rPr>
        <w:t>ou</w:t>
      </w:r>
      <w:r w:rsidR="00F713ED">
        <w:rPr>
          <w:rFonts w:ascii="Calibri" w:hAnsi="Calibri" w:cs="Calibri"/>
          <w:b/>
          <w:color w:val="13576B"/>
          <w:sz w:val="32"/>
          <w:szCs w:val="32"/>
        </w:rPr>
        <w:t xml:space="preserve"> pod </w:t>
      </w:r>
      <w:r w:rsidR="00BA280D" w:rsidRPr="003B7AE1">
        <w:rPr>
          <w:rFonts w:ascii="Calibri" w:hAnsi="Calibri" w:cs="Calibri"/>
          <w:b/>
          <w:color w:val="13576B"/>
          <w:sz w:val="32"/>
          <w:szCs w:val="32"/>
        </w:rPr>
        <w:t>4,5 %</w:t>
      </w:r>
      <w:r w:rsidR="00BA280D" w:rsidRPr="002F43DE">
        <w:rPr>
          <w:rFonts w:ascii="Calibri" w:hAnsi="Calibri" w:cs="Calibri"/>
          <w:b/>
          <w:color w:val="EE0000"/>
          <w:sz w:val="32"/>
          <w:szCs w:val="32"/>
        </w:rPr>
        <w:t xml:space="preserve"> </w:t>
      </w:r>
    </w:p>
    <w:bookmarkEnd w:id="0"/>
    <w:p w14:paraId="167D97D2" w14:textId="1BDA0495" w:rsidR="00CF507C" w:rsidRDefault="007967E6" w:rsidP="00CF507C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FB492C">
        <w:rPr>
          <w:rFonts w:ascii="Calibri" w:hAnsi="Calibri" w:cs="Calibri"/>
          <w:color w:val="13576B"/>
          <w:sz w:val="22"/>
          <w:szCs w:val="22"/>
        </w:rPr>
        <w:t>Praha, 1</w:t>
      </w:r>
      <w:r w:rsidR="00136FC7">
        <w:rPr>
          <w:rFonts w:ascii="Calibri" w:hAnsi="Calibri" w:cs="Calibri"/>
          <w:color w:val="13576B"/>
          <w:sz w:val="22"/>
          <w:szCs w:val="22"/>
        </w:rPr>
        <w:t>4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. </w:t>
      </w:r>
      <w:r w:rsidR="00F713ED">
        <w:rPr>
          <w:rFonts w:ascii="Calibri" w:hAnsi="Calibri" w:cs="Calibri"/>
          <w:color w:val="13576B"/>
          <w:sz w:val="22"/>
          <w:szCs w:val="22"/>
        </w:rPr>
        <w:t>listopad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 </w:t>
      </w:r>
      <w:proofErr w:type="gramStart"/>
      <w:r w:rsidR="00FC08D8" w:rsidRPr="00FB492C">
        <w:rPr>
          <w:rFonts w:ascii="Calibri" w:hAnsi="Calibri" w:cs="Calibri"/>
          <w:color w:val="13576B"/>
          <w:sz w:val="22"/>
          <w:szCs w:val="22"/>
        </w:rPr>
        <w:t>2025</w:t>
      </w:r>
      <w:r w:rsidR="006320CB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FC08D8" w:rsidRPr="00FC08D8">
        <w:rPr>
          <w:rFonts w:ascii="Calibri" w:hAnsi="Calibri" w:cs="Calibri"/>
          <w:color w:val="13576B"/>
          <w:sz w:val="22"/>
          <w:szCs w:val="22"/>
        </w:rPr>
        <w:t>–</w:t>
      </w:r>
      <w:r w:rsidR="00BF77A4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882EFB" w:rsidRPr="00882EFB">
        <w:rPr>
          <w:rFonts w:ascii="Calibri" w:hAnsi="Calibri" w:cs="Calibri"/>
          <w:b/>
          <w:bCs/>
          <w:color w:val="13576B"/>
          <w:sz w:val="22"/>
          <w:szCs w:val="22"/>
        </w:rPr>
        <w:t>V</w:t>
      </w:r>
      <w:proofErr w:type="gramEnd"/>
      <w:r w:rsidR="00882EFB"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říjnu 2025 poskytly banky a stavební spořitelny nové hypotéky za 29,4 miliardy Kč. </w:t>
      </w:r>
      <w:r w:rsidR="00CF507C"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Od začátku roku tak jejich objem dosáhl 265 miliard korun, 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což je </w:t>
      </w:r>
      <w:r w:rsidR="00CF507C" w:rsidRPr="00882EFB">
        <w:rPr>
          <w:rFonts w:ascii="Calibri" w:hAnsi="Calibri" w:cs="Calibri"/>
          <w:b/>
          <w:bCs/>
          <w:color w:val="13576B"/>
          <w:sz w:val="22"/>
          <w:szCs w:val="22"/>
        </w:rPr>
        <w:t>o 78 miliard více než před rokem.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882EFB"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Oproti září aktivita </w:t>
      </w:r>
      <w:r w:rsidR="00606031">
        <w:rPr>
          <w:rFonts w:ascii="Calibri" w:hAnsi="Calibri" w:cs="Calibri"/>
          <w:b/>
          <w:bCs/>
          <w:color w:val="13576B"/>
          <w:sz w:val="22"/>
          <w:szCs w:val="22"/>
        </w:rPr>
        <w:t>nepatrně</w:t>
      </w:r>
      <w:r w:rsidR="00882EFB"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zeslábla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, ale v posledních třech měsících </w:t>
      </w:r>
      <w:r w:rsidR="00093324">
        <w:rPr>
          <w:rFonts w:ascii="Calibri" w:hAnsi="Calibri" w:cs="Calibri"/>
          <w:b/>
          <w:bCs/>
          <w:color w:val="13576B"/>
          <w:sz w:val="22"/>
          <w:szCs w:val="22"/>
        </w:rPr>
        <w:t>se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 v průměru </w:t>
      </w:r>
      <w:r w:rsidR="00093324">
        <w:rPr>
          <w:rFonts w:ascii="Calibri" w:hAnsi="Calibri" w:cs="Calibri"/>
          <w:b/>
          <w:bCs/>
          <w:color w:val="13576B"/>
          <w:sz w:val="22"/>
          <w:szCs w:val="22"/>
        </w:rPr>
        <w:t>(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>po sezónním očištění</w:t>
      </w:r>
      <w:r w:rsidR="00093324">
        <w:rPr>
          <w:rFonts w:ascii="Calibri" w:hAnsi="Calibri" w:cs="Calibri"/>
          <w:b/>
          <w:bCs/>
          <w:color w:val="13576B"/>
          <w:sz w:val="22"/>
          <w:szCs w:val="22"/>
        </w:rPr>
        <w:t>)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 poskyt</w:t>
      </w:r>
      <w:r w:rsidR="00093324">
        <w:rPr>
          <w:rFonts w:ascii="Calibri" w:hAnsi="Calibri" w:cs="Calibri"/>
          <w:b/>
          <w:bCs/>
          <w:color w:val="13576B"/>
          <w:sz w:val="22"/>
          <w:szCs w:val="22"/>
        </w:rPr>
        <w:t xml:space="preserve">ly 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>nové hypotéky v objemu necelých 29 miliard korun</w:t>
      </w:r>
      <w:r w:rsidR="007C1E59">
        <w:rPr>
          <w:rFonts w:ascii="Calibri" w:hAnsi="Calibri" w:cs="Calibri"/>
          <w:b/>
          <w:bCs/>
          <w:color w:val="13576B"/>
          <w:sz w:val="22"/>
          <w:szCs w:val="22"/>
        </w:rPr>
        <w:t>.</w:t>
      </w:r>
      <w:r w:rsidR="00093324">
        <w:rPr>
          <w:rFonts w:ascii="Calibri" w:hAnsi="Calibri" w:cs="Calibri"/>
          <w:b/>
          <w:bCs/>
          <w:color w:val="13576B"/>
          <w:sz w:val="22"/>
          <w:szCs w:val="22"/>
        </w:rPr>
        <w:t xml:space="preserve"> Pokud toto temp</w:t>
      </w:r>
      <w:r w:rsidR="007C1E59">
        <w:rPr>
          <w:rFonts w:ascii="Calibri" w:hAnsi="Calibri" w:cs="Calibri"/>
          <w:b/>
          <w:bCs/>
          <w:color w:val="13576B"/>
          <w:sz w:val="22"/>
          <w:szCs w:val="22"/>
        </w:rPr>
        <w:t>o</w:t>
      </w:r>
      <w:r w:rsidR="00093324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vydrží i v posledních dvou letošních měsících, </w:t>
      </w:r>
      <w:r w:rsidR="00093324">
        <w:rPr>
          <w:rFonts w:ascii="Calibri" w:hAnsi="Calibri" w:cs="Calibri"/>
          <w:b/>
          <w:bCs/>
          <w:color w:val="13576B"/>
          <w:sz w:val="22"/>
          <w:szCs w:val="22"/>
        </w:rPr>
        <w:t xml:space="preserve">pak 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by </w:t>
      </w:r>
      <w:r w:rsidR="00093324">
        <w:rPr>
          <w:rFonts w:ascii="Calibri" w:hAnsi="Calibri" w:cs="Calibri"/>
          <w:b/>
          <w:bCs/>
          <w:color w:val="13576B"/>
          <w:sz w:val="22"/>
          <w:szCs w:val="22"/>
        </w:rPr>
        <w:t xml:space="preserve">se 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>letošní objem</w:t>
      </w:r>
      <w:r w:rsidR="00093324">
        <w:rPr>
          <w:rFonts w:ascii="Calibri" w:hAnsi="Calibri" w:cs="Calibri"/>
          <w:b/>
          <w:bCs/>
          <w:color w:val="13576B"/>
          <w:sz w:val="22"/>
          <w:szCs w:val="22"/>
        </w:rPr>
        <w:t xml:space="preserve"> posunul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 o 40 % výše k necelým 320 mld. korun. </w:t>
      </w:r>
      <w:r w:rsidR="00882EFB" w:rsidRPr="00882EFB">
        <w:rPr>
          <w:rFonts w:ascii="Calibri" w:hAnsi="Calibri" w:cs="Calibri"/>
          <w:b/>
          <w:bCs/>
          <w:color w:val="13576B"/>
          <w:sz w:val="22"/>
          <w:szCs w:val="22"/>
        </w:rPr>
        <w:t>Průměrná realizovaná sazba hypoték nepatrně dále klesla na 4,48 % z</w:t>
      </w:r>
      <w:r w:rsidR="009651FA">
        <w:rPr>
          <w:rFonts w:ascii="Calibri" w:hAnsi="Calibri" w:cs="Calibri"/>
          <w:b/>
          <w:bCs/>
          <w:color w:val="13576B"/>
          <w:sz w:val="22"/>
          <w:szCs w:val="22"/>
        </w:rPr>
        <w:t>e</w:t>
      </w:r>
      <w:r w:rsidR="00882EFB"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zářijových 4,52 %. </w:t>
      </w:r>
      <w:r w:rsidR="00CF507C"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Uvedené informace plynou z údajů ČBA </w:t>
      </w:r>
      <w:proofErr w:type="spellStart"/>
      <w:r w:rsidR="00CF507C" w:rsidRPr="00882EFB">
        <w:rPr>
          <w:rFonts w:ascii="Calibri" w:hAnsi="Calibri" w:cs="Calibri"/>
          <w:b/>
          <w:bCs/>
          <w:color w:val="13576B"/>
          <w:sz w:val="22"/>
          <w:szCs w:val="22"/>
        </w:rPr>
        <w:t>Hypomonitoru</w:t>
      </w:r>
      <w:proofErr w:type="spellEnd"/>
      <w:r w:rsidR="00CF507C" w:rsidRPr="00882EFB">
        <w:rPr>
          <w:rFonts w:ascii="Calibri" w:hAnsi="Calibri" w:cs="Calibri"/>
          <w:b/>
          <w:bCs/>
          <w:color w:val="13576B"/>
          <w:sz w:val="22"/>
          <w:szCs w:val="22"/>
        </w:rPr>
        <w:t>, který zachycuje data všech tuzemských bank a stavebních spořitelen poskytujících hypoteční úvěry.</w:t>
      </w:r>
    </w:p>
    <w:p w14:paraId="0769C09D" w14:textId="025C15DE" w:rsidR="00882EFB" w:rsidRDefault="00882EFB" w:rsidP="00574E26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>
        <w:rPr>
          <w:rFonts w:ascii="Calibri" w:hAnsi="Calibri" w:cs="Calibri"/>
          <w:b/>
          <w:bCs/>
          <w:color w:val="13576B"/>
          <w:sz w:val="22"/>
          <w:szCs w:val="22"/>
        </w:rPr>
        <w:t>M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>eziroční pokles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 hypoteční sazby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o </w:t>
      </w:r>
      <w:proofErr w:type="gramStart"/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>0,42%</w:t>
      </w:r>
      <w:proofErr w:type="gramEnd"/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bodu snižuje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 v průměru 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měsíční splátky o více než 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>tisíc korun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>, tedy o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 více než 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1 % čistého příjmu žadatele o hypotéku. </w:t>
      </w:r>
      <w:r w:rsidR="00960FBE">
        <w:rPr>
          <w:rFonts w:ascii="Calibri" w:hAnsi="Calibri" w:cs="Calibri"/>
          <w:b/>
          <w:bCs/>
          <w:color w:val="13576B"/>
          <w:sz w:val="22"/>
          <w:szCs w:val="22"/>
        </w:rPr>
        <w:t>Ačkoliv p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růměrná velikost nově poskytnuté hypotéky v říjnu 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zůstala v podstatě beze změny 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>na 4,34 milionu korun</w:t>
      </w:r>
      <w:r w:rsidR="00960FBE">
        <w:rPr>
          <w:rFonts w:ascii="Calibri" w:hAnsi="Calibri" w:cs="Calibri"/>
          <w:b/>
          <w:bCs/>
          <w:color w:val="13576B"/>
          <w:sz w:val="22"/>
          <w:szCs w:val="22"/>
        </w:rPr>
        <w:t>, tak j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ejí meziroční nárůst o 550 tisíc korun ovšem 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 xml:space="preserve">vede k vyšší </w:t>
      </w:r>
      <w:r w:rsidR="00CF507C" w:rsidRPr="00882EFB">
        <w:rPr>
          <w:rFonts w:ascii="Calibri" w:hAnsi="Calibri" w:cs="Calibri"/>
          <w:b/>
          <w:bCs/>
          <w:color w:val="13576B"/>
          <w:sz w:val="22"/>
          <w:szCs w:val="22"/>
        </w:rPr>
        <w:t>průměrné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měsíční splát</w:t>
      </w:r>
      <w:r w:rsidR="00CF507C">
        <w:rPr>
          <w:rFonts w:ascii="Calibri" w:hAnsi="Calibri" w:cs="Calibri"/>
          <w:b/>
          <w:bCs/>
          <w:color w:val="13576B"/>
          <w:sz w:val="22"/>
          <w:szCs w:val="22"/>
        </w:rPr>
        <w:t>ce,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téměř o 3 tis. Kč, tedy přibližně o 3,2 % příjmu žadatele. </w:t>
      </w:r>
      <w:r w:rsidR="00D03B38">
        <w:rPr>
          <w:rFonts w:ascii="Calibri" w:hAnsi="Calibri" w:cs="Calibri"/>
          <w:b/>
          <w:bCs/>
          <w:color w:val="13576B"/>
          <w:sz w:val="22"/>
          <w:szCs w:val="22"/>
        </w:rPr>
        <w:t xml:space="preserve">Průměrná výše splátky hypotéky v říjnu dosáhla přibližně 23,2 tisíc korun. </w:t>
      </w:r>
    </w:p>
    <w:p w14:paraId="7CA0AAC4" w14:textId="70BCEC6A" w:rsidR="00D16FB5" w:rsidRDefault="00CF507C" w:rsidP="009651FA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Objemově silná hypoteční aktivita </w:t>
      </w:r>
      <w:r w:rsidR="00882EFB" w:rsidRPr="00882EFB">
        <w:rPr>
          <w:rFonts w:ascii="Calibri" w:hAnsi="Calibri" w:cs="Calibri"/>
          <w:b/>
          <w:bCs/>
          <w:color w:val="13576B"/>
          <w:sz w:val="22"/>
          <w:szCs w:val="22"/>
        </w:rPr>
        <w:t>je doprovázen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a</w:t>
      </w:r>
      <w:r w:rsidR="00882EFB"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solidním oživením i v počtu nových hypoték, které se po vyloučení vlivu sezóny pohybovaly v posledních třech měsících okolo 6,7 tisíc. To by </w:t>
      </w:r>
      <w:r w:rsidR="000E42A4">
        <w:rPr>
          <w:rFonts w:ascii="Calibri" w:hAnsi="Calibri" w:cs="Calibri"/>
          <w:b/>
          <w:bCs/>
          <w:color w:val="13576B"/>
          <w:sz w:val="22"/>
          <w:szCs w:val="22"/>
        </w:rPr>
        <w:t xml:space="preserve">meziročně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zvedlo jejich letošní počet </w:t>
      </w:r>
      <w:r w:rsidR="000E42A4">
        <w:rPr>
          <w:rFonts w:ascii="Calibri" w:hAnsi="Calibri" w:cs="Calibri"/>
          <w:b/>
          <w:bCs/>
          <w:color w:val="13576B"/>
          <w:sz w:val="22"/>
          <w:szCs w:val="22"/>
        </w:rPr>
        <w:t xml:space="preserve">o čtvrtinu na více než </w:t>
      </w:r>
      <w:r w:rsidR="00882EFB" w:rsidRPr="00882EFB">
        <w:rPr>
          <w:rFonts w:ascii="Calibri" w:hAnsi="Calibri" w:cs="Calibri"/>
          <w:b/>
          <w:bCs/>
          <w:color w:val="13576B"/>
          <w:sz w:val="22"/>
          <w:szCs w:val="22"/>
        </w:rPr>
        <w:t>76 tisíc</w:t>
      </w:r>
      <w:r w:rsidR="000E42A4">
        <w:rPr>
          <w:rFonts w:ascii="Calibri" w:hAnsi="Calibri" w:cs="Calibri"/>
          <w:b/>
          <w:bCs/>
          <w:color w:val="13576B"/>
          <w:sz w:val="22"/>
          <w:szCs w:val="22"/>
        </w:rPr>
        <w:t xml:space="preserve">. Ačkoliv objemově můžeme hovořit o druhém nejsilnějším hypotečním roku, tak počty hypoték </w:t>
      </w:r>
      <w:r w:rsidR="009651FA">
        <w:rPr>
          <w:rFonts w:ascii="Calibri" w:hAnsi="Calibri" w:cs="Calibri"/>
          <w:b/>
          <w:bCs/>
          <w:color w:val="13576B"/>
          <w:sz w:val="22"/>
          <w:szCs w:val="22"/>
        </w:rPr>
        <w:t>se budou pohybovat okolo úrovní z let 2019 a 2020, ale pod rekordním rokem 2021, a rovněž méně než v letech 2016-201</w:t>
      </w:r>
      <w:r w:rsidR="0086464C">
        <w:rPr>
          <w:rFonts w:ascii="Calibri" w:hAnsi="Calibri" w:cs="Calibri"/>
          <w:b/>
          <w:bCs/>
          <w:color w:val="13576B"/>
          <w:sz w:val="22"/>
          <w:szCs w:val="22"/>
        </w:rPr>
        <w:t>8</w:t>
      </w:r>
      <w:r w:rsidR="009651FA">
        <w:rPr>
          <w:rFonts w:ascii="Calibri" w:hAnsi="Calibri" w:cs="Calibri"/>
          <w:b/>
          <w:bCs/>
          <w:color w:val="13576B"/>
          <w:sz w:val="22"/>
          <w:szCs w:val="22"/>
        </w:rPr>
        <w:t xml:space="preserve">. </w:t>
      </w:r>
    </w:p>
    <w:p w14:paraId="0CCB98EA" w14:textId="4234248A" w:rsidR="00882EFB" w:rsidRPr="00882EFB" w:rsidRDefault="00882EFB" w:rsidP="009651FA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Nová čísla </w:t>
      </w:r>
      <w:r w:rsidR="009651FA">
        <w:rPr>
          <w:rFonts w:ascii="Calibri" w:hAnsi="Calibri" w:cs="Calibri"/>
          <w:b/>
          <w:bCs/>
          <w:color w:val="13576B"/>
          <w:sz w:val="22"/>
          <w:szCs w:val="22"/>
        </w:rPr>
        <w:t xml:space="preserve">tak 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nepřinášejí výraznější změnu v trendu. </w:t>
      </w:r>
      <w:r w:rsidR="009651FA">
        <w:rPr>
          <w:rFonts w:ascii="Calibri" w:hAnsi="Calibri" w:cs="Calibri"/>
          <w:b/>
          <w:bCs/>
          <w:color w:val="13576B"/>
          <w:sz w:val="22"/>
          <w:szCs w:val="22"/>
        </w:rPr>
        <w:t>H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ypoteční čísla tak budou asi </w:t>
      </w:r>
      <w:r w:rsidR="00D16FB5">
        <w:rPr>
          <w:rFonts w:ascii="Calibri" w:hAnsi="Calibri" w:cs="Calibri"/>
          <w:b/>
          <w:bCs/>
          <w:color w:val="13576B"/>
          <w:sz w:val="22"/>
          <w:szCs w:val="22"/>
        </w:rPr>
        <w:t xml:space="preserve">i 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>nadále představovat proinflační</w:t>
      </w:r>
      <w:r w:rsidR="009651FA">
        <w:rPr>
          <w:rFonts w:ascii="Calibri" w:hAnsi="Calibri" w:cs="Calibri"/>
          <w:b/>
          <w:bCs/>
          <w:color w:val="13576B"/>
          <w:sz w:val="22"/>
          <w:szCs w:val="22"/>
        </w:rPr>
        <w:t xml:space="preserve"> jestřábí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riziko </w:t>
      </w:r>
      <w:r w:rsidR="00554FF2">
        <w:rPr>
          <w:rFonts w:ascii="Calibri" w:hAnsi="Calibri" w:cs="Calibri"/>
          <w:b/>
          <w:bCs/>
          <w:color w:val="13576B"/>
          <w:sz w:val="22"/>
          <w:szCs w:val="22"/>
        </w:rPr>
        <w:t>pro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úrokovou politiku ČNB</w:t>
      </w:r>
      <w:r w:rsidR="00554FF2">
        <w:rPr>
          <w:rFonts w:ascii="Calibri" w:hAnsi="Calibri" w:cs="Calibri"/>
          <w:b/>
          <w:bCs/>
          <w:color w:val="13576B"/>
          <w:sz w:val="22"/>
          <w:szCs w:val="22"/>
        </w:rPr>
        <w:t xml:space="preserve"> a pravděpodobně udrží netriviální diskusi nad nastavením </w:t>
      </w:r>
      <w:proofErr w:type="spellStart"/>
      <w:r w:rsidR="00554FF2">
        <w:rPr>
          <w:rFonts w:ascii="Calibri" w:hAnsi="Calibri" w:cs="Calibri"/>
          <w:b/>
          <w:bCs/>
          <w:color w:val="13576B"/>
          <w:sz w:val="22"/>
          <w:szCs w:val="22"/>
        </w:rPr>
        <w:t>makroprudenční</w:t>
      </w:r>
      <w:proofErr w:type="spellEnd"/>
      <w:r w:rsidR="00554FF2">
        <w:rPr>
          <w:rFonts w:ascii="Calibri" w:hAnsi="Calibri" w:cs="Calibri"/>
          <w:b/>
          <w:bCs/>
          <w:color w:val="13576B"/>
          <w:sz w:val="22"/>
          <w:szCs w:val="22"/>
        </w:rPr>
        <w:t xml:space="preserve"> politiky, ale pravděpodobně s ponecháním neměnné úrovně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limit</w:t>
      </w:r>
      <w:r w:rsidR="00554FF2">
        <w:rPr>
          <w:rFonts w:ascii="Calibri" w:hAnsi="Calibri" w:cs="Calibri"/>
          <w:b/>
          <w:bCs/>
          <w:color w:val="13576B"/>
          <w:sz w:val="22"/>
          <w:szCs w:val="22"/>
        </w:rPr>
        <w:t xml:space="preserve">ů pro 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>hypoteční úvěr</w:t>
      </w:r>
      <w:r w:rsidR="00554FF2">
        <w:rPr>
          <w:rFonts w:ascii="Calibri" w:hAnsi="Calibri" w:cs="Calibri"/>
          <w:b/>
          <w:bCs/>
          <w:color w:val="13576B"/>
          <w:sz w:val="22"/>
          <w:szCs w:val="22"/>
        </w:rPr>
        <w:t>y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(LTV na 80 %, resp. 90 % </w:t>
      </w:r>
      <w:proofErr w:type="gramStart"/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>&lt; 36</w:t>
      </w:r>
      <w:proofErr w:type="gramEnd"/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 xml:space="preserve"> let s deaktivovanými DSTI, DTI ukazateli)</w:t>
      </w:r>
      <w:r w:rsidR="00554FF2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D16FB5">
        <w:rPr>
          <w:rFonts w:ascii="Calibri" w:hAnsi="Calibri" w:cs="Calibri"/>
          <w:b/>
          <w:bCs/>
          <w:color w:val="13576B"/>
          <w:sz w:val="22"/>
          <w:szCs w:val="22"/>
        </w:rPr>
        <w:t xml:space="preserve">či </w:t>
      </w:r>
      <w:r w:rsidR="00554FF2">
        <w:rPr>
          <w:rFonts w:ascii="Calibri" w:hAnsi="Calibri" w:cs="Calibri"/>
          <w:b/>
          <w:bCs/>
          <w:color w:val="13576B"/>
          <w:sz w:val="22"/>
          <w:szCs w:val="22"/>
        </w:rPr>
        <w:t>úrovn</w:t>
      </w:r>
      <w:r w:rsidR="00D16FB5">
        <w:rPr>
          <w:rFonts w:ascii="Calibri" w:hAnsi="Calibri" w:cs="Calibri"/>
          <w:b/>
          <w:bCs/>
          <w:color w:val="13576B"/>
          <w:sz w:val="22"/>
          <w:szCs w:val="22"/>
        </w:rPr>
        <w:t>ě</w:t>
      </w:r>
      <w:r w:rsidR="00554FF2">
        <w:rPr>
          <w:rFonts w:ascii="Calibri" w:hAnsi="Calibri" w:cs="Calibri"/>
          <w:b/>
          <w:bCs/>
          <w:color w:val="13576B"/>
          <w:sz w:val="22"/>
          <w:szCs w:val="22"/>
        </w:rPr>
        <w:t xml:space="preserve"> proticyklické rezervy</w:t>
      </w:r>
      <w:r w:rsidR="00D16FB5">
        <w:rPr>
          <w:rFonts w:ascii="Calibri" w:hAnsi="Calibri" w:cs="Calibri"/>
          <w:b/>
          <w:bCs/>
          <w:color w:val="13576B"/>
          <w:sz w:val="22"/>
          <w:szCs w:val="22"/>
        </w:rPr>
        <w:t xml:space="preserve"> na </w:t>
      </w:r>
      <w:r w:rsidRPr="00882EFB">
        <w:rPr>
          <w:rFonts w:ascii="Calibri" w:hAnsi="Calibri" w:cs="Calibri"/>
          <w:b/>
          <w:bCs/>
          <w:color w:val="13576B"/>
          <w:sz w:val="22"/>
          <w:szCs w:val="22"/>
        </w:rPr>
        <w:t>zasedání ČNB 27. listopadu.</w:t>
      </w:r>
    </w:p>
    <w:p w14:paraId="4A7C2A28" w14:textId="56C42C6E" w:rsidR="00425883" w:rsidRPr="002B35B7" w:rsidRDefault="00425883" w:rsidP="00425883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 w:rsidRPr="003F159E">
        <w:rPr>
          <w:rFonts w:ascii="Calibri" w:hAnsi="Calibri" w:cs="Calibri"/>
          <w:b/>
          <w:color w:val="13576B"/>
          <w:sz w:val="23"/>
          <w:szCs w:val="23"/>
        </w:rPr>
        <w:t xml:space="preserve">Tabulka č. 1: Shrnutí objemu poskytnutých hypoték a průměrných úrokových sazeb za </w:t>
      </w:r>
      <w:r w:rsidR="006E381D">
        <w:rPr>
          <w:rFonts w:ascii="Calibri" w:hAnsi="Calibri" w:cs="Calibri"/>
          <w:b/>
          <w:color w:val="13576B"/>
          <w:sz w:val="23"/>
          <w:szCs w:val="23"/>
        </w:rPr>
        <w:t>říjen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2025 a za dosavadní průběh letošního roku</w:t>
      </w: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102"/>
        <w:gridCol w:w="960"/>
        <w:gridCol w:w="960"/>
        <w:gridCol w:w="242"/>
        <w:gridCol w:w="993"/>
        <w:gridCol w:w="850"/>
        <w:gridCol w:w="916"/>
      </w:tblGrid>
      <w:tr w:rsidR="00425883" w:rsidRPr="002138C0" w14:paraId="02897C33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6A0B8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</w:tcBorders>
            <w:shd w:val="clear" w:color="000000" w:fill="FFFFFF"/>
            <w:vAlign w:val="bottom"/>
          </w:tcPr>
          <w:p w14:paraId="374959C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měsíční hodnoty</w:t>
            </w:r>
          </w:p>
        </w:tc>
        <w:tc>
          <w:tcPr>
            <w:tcW w:w="242" w:type="dxa"/>
            <w:tcBorders>
              <w:top w:val="nil"/>
              <w:right w:val="nil"/>
            </w:tcBorders>
            <w:vAlign w:val="bottom"/>
          </w:tcPr>
          <w:p w14:paraId="14067E1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820EF4F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hodnoty od začátku roku</w:t>
            </w:r>
          </w:p>
        </w:tc>
      </w:tr>
      <w:tr w:rsidR="00425883" w:rsidRPr="002138C0" w14:paraId="4890C22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637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2CF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006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A53E9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242" w:type="dxa"/>
            <w:tcBorders>
              <w:left w:val="nil"/>
              <w:right w:val="nil"/>
            </w:tcBorders>
            <w:vAlign w:val="bottom"/>
          </w:tcPr>
          <w:p w14:paraId="2C5E5350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9AEE99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Objem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45BA4" w14:textId="77777777" w:rsidR="00425883" w:rsidRPr="00A06A94" w:rsidRDefault="00425883" w:rsidP="003E009F">
            <w:pPr>
              <w:overflowPunct/>
              <w:autoSpaceDE/>
              <w:autoSpaceDN/>
              <w:adjustRightInd/>
              <w:ind w:left="-73" w:firstLine="73"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bottom"/>
          </w:tcPr>
          <w:p w14:paraId="077C59E1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Sazba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425883" w:rsidRPr="002138C0" w14:paraId="58F15C0C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58C49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D437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1A06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01C1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center"/>
          </w:tcPr>
          <w:p w14:paraId="3D91816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1D51D7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9524A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36A8A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</w:tr>
      <w:tr w:rsidR="00863D50" w:rsidRPr="002138C0" w14:paraId="0D31970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50D8E" w14:textId="77777777" w:rsidR="00863D50" w:rsidRPr="00072DB9" w:rsidRDefault="00863D50" w:rsidP="00863D5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C838" w14:textId="6F25609A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D8B2" w14:textId="4B98276B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8 952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C0207" w14:textId="09734E43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48168675" w14:textId="48CA9F5A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0E06" w14:textId="1E448B30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292,9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3B5A7" w14:textId="7902560E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72 941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8C875B" w14:textId="1380C4ED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4,60</w:t>
            </w:r>
          </w:p>
        </w:tc>
      </w:tr>
      <w:tr w:rsidR="00863D50" w:rsidRPr="002138C0" w14:paraId="4CCF9803" w14:textId="77777777" w:rsidTr="00883A3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427BFA1A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9369C60" w14:textId="125E564C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F19DC0D" w14:textId="427F1684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6 795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0E1BBC03" w14:textId="4236D1CE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vAlign w:val="bottom"/>
          </w:tcPr>
          <w:p w14:paraId="59087809" w14:textId="580EFAFB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4F1CCE8" w14:textId="420607E9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235,1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B4EBFBE" w14:textId="12F156D2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56 532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AF3EA" w:fill="C1F7E9"/>
            <w:vAlign w:val="center"/>
          </w:tcPr>
          <w:p w14:paraId="571E9F3C" w14:textId="3F7E0B45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4,61</w:t>
            </w:r>
          </w:p>
        </w:tc>
      </w:tr>
      <w:tr w:rsidR="00863D50" w:rsidRPr="002138C0" w14:paraId="7681A9A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956A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D3AE" w14:textId="5AD2597A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A1B0" w14:textId="17C9805E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B0DB" w14:textId="6273425E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AC2F" w14:textId="129DDAA7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964CC2" w14:textId="01DA1D0F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0B8577" w14:textId="46CF3DCA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20C2204" w14:textId="7AE03279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</w:tr>
      <w:tr w:rsidR="00863D50" w:rsidRPr="002138C0" w14:paraId="044C41DA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457A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37F4" w14:textId="181E2485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754B" w14:textId="5E125169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5 348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27610" w14:textId="075C6722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85060" w14:textId="7A72B6FE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F069C9" w14:textId="5FA2069C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187,8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1727F9" w14:textId="0A3630FA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44 290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8656123" w14:textId="43BD1077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4,60</w:t>
            </w:r>
          </w:p>
        </w:tc>
      </w:tr>
      <w:tr w:rsidR="00863D50" w:rsidRPr="002138C0" w14:paraId="2F24DA4A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FC44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C61F" w14:textId="6B914961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7232" w14:textId="34B48D1E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AC752" w14:textId="6048A089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88DB" w14:textId="72CEC404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D7FAE5" w14:textId="353A60B0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35,5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C10C04" w14:textId="4F730F02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8 756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3F6D3B8" w14:textId="65565419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863D50" w:rsidRPr="002138C0" w14:paraId="6C466F0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71550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5C07" w14:textId="02F26249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5AB3" w14:textId="56704821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A05CEB" w14:textId="0FDC6047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6B197FAE" w14:textId="5554D7EC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2E05" w14:textId="62D21607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60BD" w14:textId="1FE9B6D0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3 486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DA1437" w14:textId="618E9373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4,79</w:t>
            </w:r>
          </w:p>
        </w:tc>
      </w:tr>
      <w:tr w:rsidR="00863D50" w:rsidRPr="002138C0" w14:paraId="1203508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D37ED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72B7" w14:textId="312C5AB0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945F" w14:textId="48172624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60DBB2" w14:textId="32701756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70D93E09" w14:textId="32ADEE8E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DE192" w14:textId="765A978A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7315" w14:textId="6C6F694D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13 555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D2CCAF" w14:textId="5127D24D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4,56</w:t>
            </w:r>
          </w:p>
        </w:tc>
      </w:tr>
      <w:tr w:rsidR="00863D50" w:rsidRPr="002138C0" w14:paraId="01014CF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54E05" w14:textId="77777777" w:rsidR="00863D50" w:rsidRPr="00072DB9" w:rsidRDefault="00863D50" w:rsidP="00863D50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, navýšené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DCC6" w14:textId="472A49AF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724A" w14:textId="53A932A5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58356" w14:textId="75765B87" w:rsidR="00863D50" w:rsidRPr="00072DB9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05BC36DD" w14:textId="7A723ADA" w:rsidR="00863D50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6DBD" w14:textId="5D91FB89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C102" w14:textId="6FDC2838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2 854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9818EE" w14:textId="500C37AE" w:rsidR="00863D50" w:rsidRPr="00A06A94" w:rsidRDefault="00863D50" w:rsidP="0086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425883" w:rsidRPr="002138C0" w14:paraId="6F1DAD0F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4AF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072DB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  <w:p w14:paraId="28D4921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  <w:p w14:paraId="7DF4299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84A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899A2" w14:textId="79BFB73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867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D162A7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6761BB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1D289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ABD52C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</w:tbl>
    <w:p w14:paraId="1454B136" w14:textId="77777777" w:rsidR="006A4CF3" w:rsidRDefault="006A4CF3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2" w:name="_Hlk111121228"/>
      <w:bookmarkStart w:id="3" w:name="_Hlk119308742"/>
    </w:p>
    <w:p w14:paraId="0A5C07AA" w14:textId="7EEB1805" w:rsidR="006A4CF3" w:rsidRPr="00882EFB" w:rsidRDefault="00D16FB5" w:rsidP="006A4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EE0000"/>
          <w:sz w:val="22"/>
          <w:szCs w:val="22"/>
        </w:rPr>
      </w:pPr>
      <w:r w:rsidRPr="00D16FB5">
        <w:rPr>
          <w:rFonts w:ascii="Calibri" w:hAnsi="Calibri" w:cs="Calibri"/>
          <w:i/>
          <w:iCs/>
          <w:color w:val="000000" w:themeColor="text1"/>
          <w:sz w:val="22"/>
          <w:szCs w:val="22"/>
        </w:rPr>
        <w:lastRenderedPageBreak/>
        <w:t>„Navzdory říjnové korekci zůstávají hypoteční čísla velmi silná. Objem nově poskytnutých hypoték se v posledních měsících drží kolem 29 miliard korun. Na vyšších úrovních se drží i jejich počty, které letos pravděpodobně o zhruba čtvrtinu překonají loňský rok, přičemž vyšší ceny nemovitostí posunou celkový objem nových úvěrů o více než třetinu. Hypoteční trh však potřebuje pozitivní nabídkové impulsy – takové, které by ulevily cenám nemovitostí a zároveň pomohly vrátit tržní úrokové sazby na nižší úrovně</w:t>
      </w:r>
      <w:r w:rsidR="007C1E59">
        <w:rPr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 w:rsidRPr="00882EFB">
        <w:rPr>
          <w:rFonts w:ascii="Calibri" w:hAnsi="Calibri" w:cs="Calibri"/>
          <w:i/>
          <w:iCs/>
          <w:sz w:val="22"/>
          <w:szCs w:val="22"/>
        </w:rPr>
        <w:t>“</w:t>
      </w:r>
      <w:r w:rsidR="006A4CF3" w:rsidRPr="00882EF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A4CF3" w:rsidRPr="00882EFB">
        <w:rPr>
          <w:rFonts w:ascii="Calibri" w:hAnsi="Calibri" w:cs="Calibri"/>
          <w:sz w:val="22"/>
          <w:szCs w:val="22"/>
        </w:rPr>
        <w:t xml:space="preserve">uvádí </w:t>
      </w:r>
      <w:r w:rsidR="006A4CF3">
        <w:rPr>
          <w:rFonts w:ascii="Calibri" w:hAnsi="Calibri" w:cs="Calibri"/>
          <w:b/>
          <w:bCs/>
          <w:sz w:val="22"/>
          <w:szCs w:val="22"/>
        </w:rPr>
        <w:t xml:space="preserve">Jaromír Šindel, hlavní ekonom České bankovní asociace. </w:t>
      </w:r>
    </w:p>
    <w:p w14:paraId="6B7D1662" w14:textId="46F3757A" w:rsidR="00677FE7" w:rsidRDefault="00882EFB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noProof/>
          <w:color w:val="13576B"/>
          <w:sz w:val="23"/>
          <w:szCs w:val="23"/>
        </w:rPr>
        <w:drawing>
          <wp:inline distT="0" distB="0" distL="0" distR="0" wp14:anchorId="4015C194" wp14:editId="4233AA3A">
            <wp:extent cx="6479429" cy="5430188"/>
            <wp:effectExtent l="0" t="0" r="0" b="0"/>
            <wp:docPr id="8373237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7" cy="547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1897D" w14:textId="02551025" w:rsidR="00E16BD3" w:rsidRPr="00EC7C40" w:rsidRDefault="00E16BD3" w:rsidP="00EC7C40">
      <w:pPr>
        <w:overflowPunct/>
        <w:autoSpaceDE/>
        <w:autoSpaceDN/>
        <w:adjustRightInd/>
        <w:jc w:val="left"/>
        <w:textAlignment w:val="auto"/>
        <w:rPr>
          <w:rFonts w:ascii="Calibri Light" w:hAnsi="Calibri Light" w:cs="Calibri Light"/>
          <w:color w:val="13576B"/>
          <w:sz w:val="20"/>
        </w:rPr>
      </w:pPr>
      <w:r w:rsidRPr="00E16BD3">
        <w:rPr>
          <w:rFonts w:ascii="Calibri Light" w:hAnsi="Calibri Light" w:cs="Calibri Light"/>
          <w:color w:val="13576B"/>
          <w:sz w:val="20"/>
        </w:rPr>
        <w:t>Poznámka: výhled do konce roku je momentový – vychází z aktuálního trendu, nikoli z modelové predikce.</w:t>
      </w:r>
    </w:p>
    <w:p w14:paraId="318142AF" w14:textId="6E7BD4AD" w:rsidR="00E924A8" w:rsidRDefault="00303B0E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>Silná letní hypoteční aktivita pokračovala i v říjnu</w:t>
      </w:r>
      <w:r w:rsidR="00B97D8D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</w:p>
    <w:p w14:paraId="31F6F9BA" w14:textId="4556584A" w:rsidR="00554FF2" w:rsidRDefault="00303B0E" w:rsidP="002B35B7">
      <w:pPr>
        <w:spacing w:before="240" w:after="120"/>
        <w:rPr>
          <w:rFonts w:ascii="Calibri" w:hAnsi="Calibri" w:cs="Calibri"/>
          <w:color w:val="000000"/>
          <w:sz w:val="22"/>
          <w:szCs w:val="22"/>
        </w:rPr>
      </w:pPr>
      <w:r w:rsidRPr="00303B0E">
        <w:rPr>
          <w:rFonts w:ascii="Calibri" w:hAnsi="Calibri" w:cs="Calibri"/>
          <w:b/>
          <w:bCs/>
          <w:color w:val="000000"/>
          <w:sz w:val="22"/>
          <w:szCs w:val="22"/>
        </w:rPr>
        <w:t xml:space="preserve">V říjnu poskytly banky a stavební spořitelny skutečně nové hypoteční úvěry za 29,4 mld. </w:t>
      </w:r>
      <w:r w:rsidR="00554FF2" w:rsidRPr="00554FF2">
        <w:rPr>
          <w:rFonts w:ascii="Calibri" w:hAnsi="Calibri" w:cs="Calibri"/>
          <w:color w:val="000000"/>
          <w:sz w:val="22"/>
          <w:szCs w:val="22"/>
        </w:rPr>
        <w:t xml:space="preserve">Po sezónní úpravě přinesla říjnová čísla nových hypoték 7,5% zhoršení na 28,9 mld. Kč ve srovnání s zářijovými 31,3 mld. a </w:t>
      </w:r>
      <w:r w:rsidR="00554FF2">
        <w:rPr>
          <w:rFonts w:ascii="Calibri" w:hAnsi="Calibri" w:cs="Calibri"/>
          <w:color w:val="000000"/>
          <w:sz w:val="22"/>
          <w:szCs w:val="22"/>
        </w:rPr>
        <w:t xml:space="preserve">nachází se tak </w:t>
      </w:r>
      <w:r w:rsidR="00554FF2" w:rsidRPr="00554FF2">
        <w:rPr>
          <w:rFonts w:ascii="Calibri" w:hAnsi="Calibri" w:cs="Calibri"/>
          <w:color w:val="000000"/>
          <w:sz w:val="22"/>
          <w:szCs w:val="22"/>
        </w:rPr>
        <w:t xml:space="preserve">poblíž průměrného objemu z předchozích tří měsíců (28,8 mld. Kč). Objem nově poskytnutých hypoték </w:t>
      </w:r>
      <w:r w:rsidR="00554FF2">
        <w:rPr>
          <w:rFonts w:ascii="Calibri" w:hAnsi="Calibri" w:cs="Calibri"/>
          <w:color w:val="000000"/>
          <w:sz w:val="22"/>
          <w:szCs w:val="22"/>
        </w:rPr>
        <w:t>byl</w:t>
      </w:r>
      <w:r w:rsidR="00554FF2" w:rsidRPr="00554FF2">
        <w:rPr>
          <w:rFonts w:ascii="Calibri" w:hAnsi="Calibri" w:cs="Calibri"/>
          <w:color w:val="000000"/>
          <w:sz w:val="22"/>
          <w:szCs w:val="22"/>
        </w:rPr>
        <w:t xml:space="preserve"> v říjnu </w:t>
      </w:r>
      <w:r w:rsidR="00554FF2">
        <w:rPr>
          <w:rFonts w:ascii="Calibri" w:hAnsi="Calibri" w:cs="Calibri"/>
          <w:color w:val="000000"/>
          <w:sz w:val="22"/>
          <w:szCs w:val="22"/>
        </w:rPr>
        <w:t xml:space="preserve">přibližně o třetinu vyšší než ve druhém loňském pololetí, zatímco v minulém roce objem nových hypoték vzrostl o 83 %. </w:t>
      </w:r>
    </w:p>
    <w:p w14:paraId="115F55C1" w14:textId="28D915D5" w:rsidR="001808FE" w:rsidRPr="004E3F0C" w:rsidRDefault="001808FE" w:rsidP="0018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6337E7">
        <w:rPr>
          <w:rFonts w:ascii="Calibri" w:hAnsi="Calibri" w:cs="Calibri"/>
          <w:i/>
          <w:iCs/>
          <w:color w:val="000000" w:themeColor="text1"/>
          <w:sz w:val="22"/>
          <w:szCs w:val="22"/>
        </w:rPr>
        <w:lastRenderedPageBreak/>
        <w:t>„</w:t>
      </w:r>
      <w:r w:rsidR="006337E7" w:rsidRPr="006337E7">
        <w:rPr>
          <w:rFonts w:ascii="Calibri" w:hAnsi="Calibri" w:cs="Calibri"/>
          <w:i/>
          <w:iCs/>
          <w:color w:val="000000" w:themeColor="text1"/>
          <w:sz w:val="22"/>
          <w:szCs w:val="22"/>
        </w:rPr>
        <w:t>Poptávka po hypotékách stále stoupá. V říjnu jsme přijali rekordní počet žádostí v tomto roce, ten meziměsíčně vzrostl o třetinu. Zároveň jsme uzavřeli hypotéky v rekordním objemu, čemuž pomohlo mírné zvýšení zájmu o refinancov</w:t>
      </w:r>
      <w:r w:rsidR="00867AC6">
        <w:rPr>
          <w:rFonts w:ascii="Calibri" w:hAnsi="Calibri" w:cs="Calibri"/>
          <w:i/>
          <w:iCs/>
          <w:color w:val="000000" w:themeColor="text1"/>
          <w:sz w:val="22"/>
          <w:szCs w:val="22"/>
        </w:rPr>
        <w:t>á</w:t>
      </w:r>
      <w:r w:rsidR="006337E7" w:rsidRPr="006337E7">
        <w:rPr>
          <w:rFonts w:ascii="Calibri" w:hAnsi="Calibri" w:cs="Calibri"/>
          <w:i/>
          <w:iCs/>
          <w:color w:val="000000" w:themeColor="text1"/>
          <w:sz w:val="22"/>
          <w:szCs w:val="22"/>
        </w:rPr>
        <w:t>n</w:t>
      </w:r>
      <w:r w:rsidR="00D76233">
        <w:rPr>
          <w:rFonts w:ascii="Calibri" w:hAnsi="Calibri" w:cs="Calibri"/>
          <w:i/>
          <w:iCs/>
          <w:color w:val="000000" w:themeColor="text1"/>
          <w:sz w:val="22"/>
          <w:szCs w:val="22"/>
        </w:rPr>
        <w:t>í</w:t>
      </w:r>
      <w:r w:rsidR="006337E7" w:rsidRPr="006337E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úvěrů. Toliko dobrých zpráv. Tou horší je, že se pomalu začínají zvedat úrokové sazby a pokud bude tento trend pokračovat, bude neudržitelné držet hypoteční úvěry na stávající průměrné sazbě kolem 4,5 %</w:t>
      </w:r>
      <w:r w:rsidRPr="006337E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,“ </w:t>
      </w:r>
      <w:r w:rsidRPr="006337E7">
        <w:rPr>
          <w:rFonts w:ascii="Calibri" w:hAnsi="Calibri" w:cs="Calibri"/>
          <w:color w:val="000000" w:themeColor="text1"/>
          <w:sz w:val="22"/>
          <w:szCs w:val="22"/>
        </w:rPr>
        <w:t xml:space="preserve">podotýká </w:t>
      </w:r>
      <w:r w:rsidR="006337E7">
        <w:rPr>
          <w:rFonts w:ascii="Calibri" w:hAnsi="Calibri" w:cs="Calibri"/>
          <w:b/>
          <w:bCs/>
          <w:color w:val="000000" w:themeColor="text1"/>
          <w:sz w:val="22"/>
          <w:szCs w:val="22"/>
        </w:rPr>
        <w:t>Milan Voldřich</w:t>
      </w:r>
      <w:r w:rsidRPr="004E3F0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6337E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produktový manažer úvěrů na bydlení </w:t>
      </w:r>
      <w:r w:rsidR="00867AC6">
        <w:rPr>
          <w:rFonts w:ascii="Calibri" w:hAnsi="Calibri" w:cs="Calibri"/>
          <w:b/>
          <w:bCs/>
          <w:color w:val="000000" w:themeColor="text1"/>
          <w:sz w:val="22"/>
          <w:szCs w:val="22"/>
        </w:rPr>
        <w:t>Raiffeisenbank</w:t>
      </w:r>
      <w:r w:rsidR="006337E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</w:p>
    <w:p w14:paraId="11698F21" w14:textId="77777777" w:rsidR="001808FE" w:rsidRDefault="001808FE" w:rsidP="001808FE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sz w:val="22"/>
          <w:szCs w:val="22"/>
        </w:rPr>
      </w:pPr>
    </w:p>
    <w:p w14:paraId="60FFBB1D" w14:textId="2288C5CE" w:rsidR="006F3240" w:rsidRDefault="00303B0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03B0E">
        <w:rPr>
          <w:rFonts w:ascii="Calibri" w:hAnsi="Calibri" w:cs="Calibri"/>
          <w:b/>
          <w:bCs/>
          <w:color w:val="000000"/>
          <w:sz w:val="22"/>
          <w:szCs w:val="22"/>
        </w:rPr>
        <w:t xml:space="preserve">Počet nových hypoték v říjnu </w:t>
      </w:r>
      <w:r w:rsidR="006102C4">
        <w:rPr>
          <w:rFonts w:ascii="Calibri" w:hAnsi="Calibri" w:cs="Calibri"/>
          <w:b/>
          <w:bCs/>
          <w:color w:val="000000"/>
          <w:sz w:val="22"/>
          <w:szCs w:val="22"/>
        </w:rPr>
        <w:t xml:space="preserve">rovněž nepatrně </w:t>
      </w:r>
      <w:r w:rsidRPr="00303B0E">
        <w:rPr>
          <w:rFonts w:ascii="Calibri" w:hAnsi="Calibri" w:cs="Calibri"/>
          <w:b/>
          <w:bCs/>
          <w:color w:val="000000"/>
          <w:sz w:val="22"/>
          <w:szCs w:val="22"/>
        </w:rPr>
        <w:t xml:space="preserve">poklesl na </w:t>
      </w:r>
      <w:r w:rsidR="006102C4">
        <w:rPr>
          <w:rFonts w:ascii="Calibri" w:hAnsi="Calibri" w:cs="Calibri"/>
          <w:b/>
          <w:bCs/>
          <w:color w:val="000000"/>
          <w:sz w:val="22"/>
          <w:szCs w:val="22"/>
        </w:rPr>
        <w:t xml:space="preserve">necelých </w:t>
      </w:r>
      <w:r w:rsidRPr="00303B0E">
        <w:rPr>
          <w:rFonts w:ascii="Calibri" w:hAnsi="Calibri" w:cs="Calibri"/>
          <w:b/>
          <w:bCs/>
          <w:color w:val="000000"/>
          <w:sz w:val="22"/>
          <w:szCs w:val="22"/>
        </w:rPr>
        <w:t xml:space="preserve">6 </w:t>
      </w:r>
      <w:r w:rsidR="006102C4">
        <w:rPr>
          <w:rFonts w:ascii="Calibri" w:hAnsi="Calibri" w:cs="Calibri"/>
          <w:b/>
          <w:bCs/>
          <w:color w:val="000000"/>
          <w:sz w:val="22"/>
          <w:szCs w:val="22"/>
        </w:rPr>
        <w:t>800</w:t>
      </w:r>
      <w:r w:rsidRPr="00303B0E">
        <w:rPr>
          <w:rFonts w:ascii="Calibri" w:hAnsi="Calibri" w:cs="Calibri"/>
          <w:b/>
          <w:bCs/>
          <w:color w:val="000000"/>
          <w:sz w:val="22"/>
          <w:szCs w:val="22"/>
        </w:rPr>
        <w:t xml:space="preserve"> kusů, což je o 18 % více než před rokem. </w:t>
      </w:r>
      <w:r w:rsidRPr="00303B0E">
        <w:rPr>
          <w:rFonts w:ascii="Calibri" w:hAnsi="Calibri" w:cs="Calibri"/>
          <w:color w:val="000000"/>
          <w:sz w:val="22"/>
          <w:szCs w:val="22"/>
        </w:rPr>
        <w:t xml:space="preserve">Odhadujeme, že po sezónním očištění se jejich počet pohybuje </w:t>
      </w:r>
      <w:r w:rsidR="006102C4">
        <w:rPr>
          <w:rFonts w:ascii="Calibri" w:hAnsi="Calibri" w:cs="Calibri"/>
          <w:color w:val="000000"/>
          <w:sz w:val="22"/>
          <w:szCs w:val="22"/>
        </w:rPr>
        <w:t>přes</w:t>
      </w:r>
      <w:r w:rsidRPr="00303B0E">
        <w:rPr>
          <w:rFonts w:ascii="Calibri" w:hAnsi="Calibri" w:cs="Calibri"/>
          <w:color w:val="000000"/>
          <w:sz w:val="22"/>
          <w:szCs w:val="22"/>
        </w:rPr>
        <w:t xml:space="preserve"> 6 7</w:t>
      </w:r>
      <w:r w:rsidR="006102C4">
        <w:rPr>
          <w:rFonts w:ascii="Calibri" w:hAnsi="Calibri" w:cs="Calibri"/>
          <w:color w:val="000000"/>
          <w:sz w:val="22"/>
          <w:szCs w:val="22"/>
        </w:rPr>
        <w:t>00</w:t>
      </w:r>
      <w:r w:rsidRPr="00303B0E">
        <w:rPr>
          <w:rFonts w:ascii="Calibri" w:hAnsi="Calibri" w:cs="Calibri"/>
          <w:color w:val="000000"/>
          <w:sz w:val="22"/>
          <w:szCs w:val="22"/>
        </w:rPr>
        <w:t>, přibližně 1 % pod průměrným počtem (6 792) v předchozích třech měsících. Od počátku roku dosáhl počet nových hypoték 63,3 tisíc kusů (+24,5 % meziročně). Dynamika počtu nových hypoték z posledních tří měsíců, tedy za srpen až září implikuje jejich letošní nárůst na celkový počet okolo 76,3 tisíc</w:t>
      </w:r>
      <w:r w:rsidR="006102C4">
        <w:rPr>
          <w:rFonts w:ascii="Calibri" w:hAnsi="Calibri" w:cs="Calibri"/>
          <w:color w:val="000000"/>
          <w:sz w:val="22"/>
          <w:szCs w:val="22"/>
        </w:rPr>
        <w:t xml:space="preserve">. To </w:t>
      </w:r>
      <w:r w:rsidRPr="00303B0E">
        <w:rPr>
          <w:rFonts w:ascii="Calibri" w:hAnsi="Calibri" w:cs="Calibri"/>
          <w:color w:val="000000"/>
          <w:sz w:val="22"/>
          <w:szCs w:val="22"/>
        </w:rPr>
        <w:t xml:space="preserve">by bylo téměř o 24 % více než v loňském roce a </w:t>
      </w:r>
      <w:r w:rsidR="006102C4">
        <w:rPr>
          <w:rFonts w:ascii="Calibri" w:hAnsi="Calibri" w:cs="Calibri"/>
          <w:color w:val="000000"/>
          <w:sz w:val="22"/>
          <w:szCs w:val="22"/>
        </w:rPr>
        <w:t>mezi úrovní z let 2019 a 2020. Ovšem</w:t>
      </w:r>
      <w:r w:rsidRPr="00303B0E">
        <w:rPr>
          <w:rFonts w:ascii="Calibri" w:hAnsi="Calibri" w:cs="Calibri"/>
          <w:color w:val="000000"/>
          <w:sz w:val="22"/>
          <w:szCs w:val="22"/>
        </w:rPr>
        <w:t xml:space="preserve"> letošní počet zůstane pod průměrnými počty okolo 95 tisíc z let 2016 až 2018 či pod 114 tisíci z roku 2021.</w:t>
      </w:r>
    </w:p>
    <w:p w14:paraId="0D6F3569" w14:textId="77777777" w:rsidR="00303B0E" w:rsidRDefault="00303B0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7C722CDA" w14:textId="77777777" w:rsidR="00606031" w:rsidRDefault="00606031" w:rsidP="00D24B00">
      <w:pPr>
        <w:rPr>
          <w:rFonts w:ascii="Calibri" w:hAnsi="Calibri" w:cs="Calibri"/>
          <w:b/>
          <w:color w:val="13576B"/>
          <w:sz w:val="23"/>
          <w:szCs w:val="23"/>
        </w:rPr>
        <w:sectPr w:rsidR="00606031" w:rsidSect="00A06A94">
          <w:headerReference w:type="default" r:id="rId12"/>
          <w:footerReference w:type="default" r:id="rId13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41B8EC1D" w14:textId="2EDED606" w:rsidR="00D24B00" w:rsidRPr="00D24B00" w:rsidRDefault="00893E0C" w:rsidP="00D24B00">
      <w:pPr>
        <w:rPr>
          <w:rFonts w:ascii="Calibri" w:hAnsi="Calibri" w:cs="Calibri"/>
          <w:b/>
          <w:color w:val="EE0000"/>
          <w:sz w:val="24"/>
          <w:szCs w:val="24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>1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 xml:space="preserve">Nově </w:t>
      </w:r>
      <w:r w:rsidR="00277397" w:rsidRPr="00395026">
        <w:rPr>
          <w:rFonts w:ascii="Calibri" w:hAnsi="Calibri" w:cs="Calibri"/>
          <w:b/>
          <w:color w:val="13576B"/>
          <w:sz w:val="23"/>
          <w:szCs w:val="23"/>
        </w:rPr>
        <w:t>poskytnuté hypotéky bez refinancování</w:t>
      </w:r>
      <w:r w:rsidR="00D24B00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</w:p>
    <w:p w14:paraId="3A211631" w14:textId="0AD03D97" w:rsidR="00EA6103" w:rsidRDefault="004A5428" w:rsidP="004A5428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4A5428">
        <w:rPr>
          <w:rFonts w:ascii="Calibri" w:hAnsi="Calibri" w:cs="Calibri"/>
          <w:bCs/>
          <w:i/>
          <w:iCs/>
          <w:color w:val="13576B"/>
          <w:sz w:val="23"/>
          <w:szCs w:val="23"/>
        </w:rPr>
        <w:t>V říjnu 2025 poskytly banky a stavební spořitelny nové hypotéky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méně než v září, a to</w:t>
      </w:r>
      <w:r w:rsidRPr="004A542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za 29,4 miliardy Kč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či za 28,9 miliard po sezónním očištění. </w:t>
      </w:r>
      <w:r w:rsidRPr="004A542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  <w:r w:rsidRPr="004A5428">
        <w:rPr>
          <w:rFonts w:ascii="Calibri" w:hAnsi="Calibri" w:cs="Calibri"/>
          <w:bCs/>
          <w:i/>
          <w:iCs/>
          <w:color w:val="13576B"/>
          <w:sz w:val="23"/>
          <w:szCs w:val="23"/>
        </w:rPr>
        <w:tab/>
      </w:r>
    </w:p>
    <w:p w14:paraId="52456E65" w14:textId="5121121B" w:rsidR="00893E0C" w:rsidRPr="00606031" w:rsidRDefault="004A5428" w:rsidP="00606031">
      <w:pPr>
        <w:rPr>
          <w:rFonts w:ascii="Calibri" w:hAnsi="Calibri" w:cs="Calibri"/>
          <w:bCs/>
          <w:i/>
          <w:iCs/>
          <w:color w:val="EE0000"/>
          <w:sz w:val="23"/>
          <w:szCs w:val="23"/>
        </w:rPr>
      </w:pPr>
      <w:r>
        <w:rPr>
          <w:rFonts w:ascii="Calibri" w:hAnsi="Calibri" w:cs="Calibri"/>
          <w:bCs/>
          <w:i/>
          <w:iCs/>
          <w:noProof/>
          <w:color w:val="EE0000"/>
          <w:sz w:val="23"/>
          <w:szCs w:val="23"/>
        </w:rPr>
        <w:drawing>
          <wp:inline distT="0" distB="0" distL="0" distR="0" wp14:anchorId="094602B1" wp14:editId="6931F0FB">
            <wp:extent cx="3343275" cy="2195965"/>
            <wp:effectExtent l="0" t="0" r="0" b="0"/>
            <wp:docPr id="2659838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856" cy="2210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7397" w:rsidRPr="00277397">
        <w:rPr>
          <w:rFonts w:ascii="Calibri Light" w:hAnsi="Calibri Light" w:cs="Calibri Light"/>
          <w:color w:val="13576B"/>
          <w:sz w:val="20"/>
        </w:rPr>
        <w:t xml:space="preserve">Pramen: ČNB, ČBA </w:t>
      </w:r>
      <w:proofErr w:type="spellStart"/>
      <w:r w:rsidR="00277397" w:rsidRPr="00277397">
        <w:rPr>
          <w:rFonts w:ascii="Calibri Light" w:hAnsi="Calibri Light" w:cs="Calibri Light"/>
          <w:color w:val="13576B"/>
          <w:sz w:val="20"/>
        </w:rPr>
        <w:t>Hypomonitor</w:t>
      </w:r>
      <w:proofErr w:type="spellEnd"/>
      <w:r w:rsidR="00277397" w:rsidRPr="00277397">
        <w:rPr>
          <w:rFonts w:ascii="Calibri Light" w:hAnsi="Calibri Light" w:cs="Calibri Light"/>
          <w:color w:val="13576B"/>
          <w:sz w:val="20"/>
        </w:rPr>
        <w:t xml:space="preserve"> (před rokem 2020 jsou objemy ze statistiky ČNB).</w:t>
      </w:r>
    </w:p>
    <w:p w14:paraId="5B79222D" w14:textId="77777777" w:rsidR="00606031" w:rsidRDefault="00606031" w:rsidP="00237E0B">
      <w:pPr>
        <w:spacing w:before="120" w:after="120"/>
        <w:rPr>
          <w:rFonts w:ascii="Calibri Light" w:hAnsi="Calibri Light" w:cs="Calibri Light"/>
          <w:color w:val="13576B"/>
          <w:sz w:val="20"/>
        </w:rPr>
      </w:pPr>
    </w:p>
    <w:p w14:paraId="57E04EB3" w14:textId="4C7D6951" w:rsidR="004A5428" w:rsidRDefault="004A5428" w:rsidP="004A542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6527F6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C42E87">
        <w:rPr>
          <w:rFonts w:ascii="Calibri" w:hAnsi="Calibri" w:cs="Calibri"/>
          <w:b/>
          <w:color w:val="13576B"/>
          <w:sz w:val="23"/>
          <w:szCs w:val="23"/>
        </w:rPr>
        <w:t>: Průměrná výše skutečně nově poskytnuté hypotéky podle účelu</w:t>
      </w:r>
    </w:p>
    <w:p w14:paraId="533810A7" w14:textId="4E08D868" w:rsidR="004A5428" w:rsidRPr="006C6628" w:rsidRDefault="004A5428" w:rsidP="00606031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4A542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Průměrná velikost skutečně nově poskytnuté hypotéky v říjnu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zůstala v podstatě beze změny okolo </w:t>
      </w:r>
      <w:r w:rsidRPr="004A542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4,34 mil. Kč, </w:t>
      </w:r>
      <w:r w:rsidR="00D2301A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a její průměrná úroveň je v letošním roce o více než 6 % vyšší než ve stejném období loňského roku. </w:t>
      </w:r>
      <w:r w:rsidRPr="004A542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</w:p>
    <w:p w14:paraId="28E3B887" w14:textId="077CB39E" w:rsidR="004A5428" w:rsidRDefault="004A5428" w:rsidP="004A5428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4DD0766A" w14:textId="761E67B0" w:rsidR="00D2301A" w:rsidRPr="00D24B00" w:rsidRDefault="00D2301A" w:rsidP="004A5428">
      <w:pPr>
        <w:rPr>
          <w:rFonts w:ascii="Calibri" w:hAnsi="Calibri" w:cs="Calibri"/>
          <w:b/>
          <w:bCs/>
          <w:sz w:val="22"/>
          <w:szCs w:val="22"/>
          <w:highlight w:val="yellow"/>
        </w:rPr>
      </w:pPr>
      <w:r>
        <w:rPr>
          <w:rFonts w:ascii="Calibri" w:hAnsi="Calibri" w:cs="Calibri"/>
          <w:b/>
          <w:bCs/>
          <w:noProof/>
          <w:sz w:val="22"/>
          <w:szCs w:val="22"/>
          <w:highlight w:val="yellow"/>
        </w:rPr>
        <w:drawing>
          <wp:inline distT="0" distB="0" distL="0" distR="0" wp14:anchorId="457614E3" wp14:editId="4F64CDA4">
            <wp:extent cx="3165247" cy="2023386"/>
            <wp:effectExtent l="0" t="0" r="0" b="0"/>
            <wp:docPr id="10242774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633" cy="2041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F9ABC" w14:textId="77777777" w:rsidR="00606031" w:rsidRDefault="004A5428" w:rsidP="004A5428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  <w:sectPr w:rsidR="00606031" w:rsidSect="00606031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bookmarkEnd w:id="1"/>
    <w:bookmarkEnd w:id="2"/>
    <w:bookmarkEnd w:id="3"/>
    <w:p w14:paraId="1C02AA3E" w14:textId="4CB0E30C" w:rsidR="00303B0E" w:rsidRDefault="00303B0E" w:rsidP="0020488B">
      <w:pPr>
        <w:rPr>
          <w:rFonts w:ascii="Calibri" w:hAnsi="Calibri" w:cs="Calibri"/>
          <w:color w:val="000000"/>
          <w:sz w:val="22"/>
          <w:szCs w:val="22"/>
        </w:rPr>
      </w:pPr>
      <w:r w:rsidRPr="006102C4">
        <w:rPr>
          <w:rFonts w:ascii="Calibri" w:hAnsi="Calibri" w:cs="Calibri"/>
          <w:b/>
          <w:bCs/>
          <w:color w:val="000000"/>
          <w:sz w:val="22"/>
          <w:szCs w:val="22"/>
        </w:rPr>
        <w:t>Objem refinancovaných a navýšených úvěrů (interně či z jiné instituce) v říjnu stoupl na 9,4 mld. Kč.</w:t>
      </w:r>
      <w:r w:rsidRPr="00303B0E">
        <w:rPr>
          <w:rFonts w:ascii="Calibri" w:hAnsi="Calibri" w:cs="Calibri"/>
          <w:color w:val="000000"/>
          <w:sz w:val="22"/>
          <w:szCs w:val="22"/>
        </w:rPr>
        <w:t xml:space="preserve"> To je </w:t>
      </w:r>
      <w:r w:rsidR="006102C4">
        <w:rPr>
          <w:rFonts w:ascii="Calibri" w:hAnsi="Calibri" w:cs="Calibri"/>
          <w:color w:val="000000"/>
          <w:sz w:val="22"/>
          <w:szCs w:val="22"/>
        </w:rPr>
        <w:t xml:space="preserve">téměř 1,5krát </w:t>
      </w:r>
      <w:r w:rsidRPr="00303B0E">
        <w:rPr>
          <w:rFonts w:ascii="Calibri" w:hAnsi="Calibri" w:cs="Calibri"/>
          <w:color w:val="000000"/>
          <w:sz w:val="22"/>
          <w:szCs w:val="22"/>
        </w:rPr>
        <w:t xml:space="preserve">více než průměrných 3,9 miliardy refinancovaných v loňském roce a </w:t>
      </w:r>
      <w:r w:rsidR="006102C4">
        <w:rPr>
          <w:rFonts w:ascii="Calibri" w:hAnsi="Calibri" w:cs="Calibri"/>
          <w:color w:val="000000"/>
          <w:sz w:val="22"/>
          <w:szCs w:val="22"/>
        </w:rPr>
        <w:t>více než trojnásobně více ve srovnání s rokem</w:t>
      </w:r>
      <w:r w:rsidRPr="00303B0E">
        <w:rPr>
          <w:rFonts w:ascii="Calibri" w:hAnsi="Calibri" w:cs="Calibri"/>
          <w:color w:val="000000"/>
          <w:sz w:val="22"/>
          <w:szCs w:val="22"/>
        </w:rPr>
        <w:t xml:space="preserve"> 2023. Podíl refinancovaných úvěrů na celkovém objemu poskytnutých hypoték pak vzrostl na 24,2 %, což je nad </w:t>
      </w:r>
      <w:r w:rsidR="006102C4">
        <w:rPr>
          <w:rFonts w:ascii="Calibri" w:hAnsi="Calibri" w:cs="Calibri"/>
          <w:color w:val="000000"/>
          <w:sz w:val="22"/>
          <w:szCs w:val="22"/>
        </w:rPr>
        <w:t xml:space="preserve">téměř </w:t>
      </w:r>
      <w:proofErr w:type="gramStart"/>
      <w:r w:rsidR="006102C4">
        <w:rPr>
          <w:rFonts w:ascii="Calibri" w:hAnsi="Calibri" w:cs="Calibri"/>
          <w:color w:val="000000"/>
          <w:sz w:val="22"/>
          <w:szCs w:val="22"/>
        </w:rPr>
        <w:t>17%</w:t>
      </w:r>
      <w:proofErr w:type="gramEnd"/>
      <w:r w:rsidRPr="00303B0E">
        <w:rPr>
          <w:rFonts w:ascii="Calibri" w:hAnsi="Calibri" w:cs="Calibri"/>
          <w:color w:val="000000"/>
          <w:sz w:val="22"/>
          <w:szCs w:val="22"/>
        </w:rPr>
        <w:t xml:space="preserve"> průměrem</w:t>
      </w:r>
      <w:r w:rsidR="006102C4">
        <w:rPr>
          <w:rFonts w:ascii="Calibri" w:hAnsi="Calibri" w:cs="Calibri"/>
          <w:color w:val="000000"/>
          <w:sz w:val="22"/>
          <w:szCs w:val="22"/>
        </w:rPr>
        <w:t xml:space="preserve"> v předcházejících třech letech. Ovšem podíl stále zůstává </w:t>
      </w:r>
      <w:r w:rsidRPr="00303B0E">
        <w:rPr>
          <w:rFonts w:ascii="Calibri" w:hAnsi="Calibri" w:cs="Calibri"/>
          <w:color w:val="000000"/>
          <w:sz w:val="22"/>
          <w:szCs w:val="22"/>
        </w:rPr>
        <w:t xml:space="preserve">téměř 29% podílem z </w:t>
      </w:r>
      <w:r w:rsidR="006102C4">
        <w:rPr>
          <w:rFonts w:ascii="Calibri" w:hAnsi="Calibri" w:cs="Calibri"/>
          <w:color w:val="000000"/>
          <w:sz w:val="22"/>
          <w:szCs w:val="22"/>
        </w:rPr>
        <w:t>let</w:t>
      </w:r>
      <w:r w:rsidRPr="00303B0E">
        <w:rPr>
          <w:rFonts w:ascii="Calibri" w:hAnsi="Calibri" w:cs="Calibri"/>
          <w:color w:val="000000"/>
          <w:sz w:val="22"/>
          <w:szCs w:val="22"/>
        </w:rPr>
        <w:t xml:space="preserve"> 2020-2021, kdy domácnosti refinancovaly za hypoteční sazbu 2,14 %. V říjnu 2025 se domácnosti refinancovaly za úrokovou sazbu 4,46 %, což je o 0,3 % bodu méně než 4,76 % před rokem.</w:t>
      </w:r>
    </w:p>
    <w:p w14:paraId="33D9EA59" w14:textId="77777777" w:rsidR="006102C4" w:rsidRDefault="006102C4" w:rsidP="0020488B">
      <w:pPr>
        <w:rPr>
          <w:rFonts w:ascii="Calibri" w:hAnsi="Calibri" w:cs="Calibri"/>
          <w:color w:val="000000"/>
          <w:sz w:val="22"/>
          <w:szCs w:val="22"/>
        </w:rPr>
      </w:pPr>
    </w:p>
    <w:p w14:paraId="4E9FB443" w14:textId="1F965A23" w:rsidR="006102C4" w:rsidRPr="00CC5202" w:rsidRDefault="006102C4" w:rsidP="00610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i/>
          <w:iCs/>
          <w:sz w:val="22"/>
          <w:szCs w:val="22"/>
        </w:rPr>
      </w:pPr>
      <w:r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Banky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aktuálne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riešia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refixácie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vysokých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objemov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veľkej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časti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klientov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s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nízkymi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úrokovými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sadzbami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. To znamená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zvýšenú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aktivitu –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snažia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sa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udržať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klientov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ponúknuť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im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stabilitu a férové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podmienky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Pre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klienta je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najvýhodnejšie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komunikovať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so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svojou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bankou a v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prípade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prechodu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do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novej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banky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poznať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reálnu úsporu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pri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refinancovaní,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vrátane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všetkých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>poplatkov</w:t>
      </w:r>
      <w:proofErr w:type="spellEnd"/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,“ </w:t>
      </w:r>
      <w:r>
        <w:rPr>
          <w:rFonts w:ascii="Calibri" w:hAnsi="Calibri" w:cs="Calibri"/>
          <w:color w:val="000000" w:themeColor="text1"/>
          <w:sz w:val="22"/>
          <w:szCs w:val="22"/>
        </w:rPr>
        <w:t>domnívá se</w:t>
      </w:r>
      <w:r w:rsidRPr="002F6A6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B2D3F">
        <w:rPr>
          <w:rFonts w:ascii="Calibri" w:hAnsi="Calibri" w:cs="Calibri"/>
          <w:b/>
          <w:bCs/>
          <w:color w:val="000000" w:themeColor="text1"/>
          <w:sz w:val="22"/>
          <w:szCs w:val="22"/>
        </w:rPr>
        <w:t>Soň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Pr="008B2D3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Holíkov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á</w:t>
      </w:r>
      <w:r w:rsidRPr="002F6A6D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manažerka hypoték mBank</w:t>
      </w:r>
      <w:r w:rsidRPr="00882EFB">
        <w:rPr>
          <w:rFonts w:ascii="Calibri" w:eastAsia="Calibri" w:hAnsi="Calibri" w:cs="Calibri"/>
          <w:i/>
          <w:iCs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FD34481" w14:textId="77777777" w:rsidR="006102C4" w:rsidRDefault="006102C4" w:rsidP="006102C4">
      <w:pPr>
        <w:rPr>
          <w:rFonts w:ascii="Calibri" w:hAnsi="Calibri" w:cs="Calibri"/>
          <w:color w:val="000000"/>
          <w:sz w:val="22"/>
          <w:szCs w:val="22"/>
        </w:rPr>
      </w:pPr>
    </w:p>
    <w:p w14:paraId="136E448A" w14:textId="3DD8B56F" w:rsidR="001808FE" w:rsidRDefault="00303B0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102C4">
        <w:rPr>
          <w:rFonts w:ascii="Calibri" w:hAnsi="Calibri" w:cs="Calibri"/>
          <w:b/>
          <w:bCs/>
          <w:color w:val="000000"/>
          <w:sz w:val="22"/>
          <w:szCs w:val="22"/>
        </w:rPr>
        <w:t xml:space="preserve">Celkově tak banky a stavební spořitelny v říjnu poskytly nové a refinancované hypotéky v objemu 38,8 mld. Kč, což je o 3,2 % více než před měsícem. </w:t>
      </w:r>
      <w:r w:rsidRPr="00303B0E">
        <w:rPr>
          <w:rFonts w:ascii="Calibri" w:hAnsi="Calibri" w:cs="Calibri"/>
          <w:color w:val="000000"/>
          <w:sz w:val="22"/>
          <w:szCs w:val="22"/>
        </w:rPr>
        <w:t>Jejich celkový objem tak v letošním roce prozatím dosáhl 332 mld. Kč, což představuje 47% nárůst ve srovnání s lednem až říjnem předcházejícího roku.</w:t>
      </w:r>
    </w:p>
    <w:p w14:paraId="2CC91888" w14:textId="77777777" w:rsidR="004803D6" w:rsidRDefault="004803D6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5A1704D2" w14:textId="633C0F24" w:rsid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Průměrná hypoteční sazba </w:t>
      </w:r>
      <w:r w:rsidR="001808FE">
        <w:rPr>
          <w:rFonts w:ascii="Calibri" w:hAnsi="Calibri" w:cs="Calibri"/>
          <w:b/>
          <w:color w:val="13576B"/>
          <w:sz w:val="23"/>
          <w:szCs w:val="23"/>
        </w:rPr>
        <w:t>se v</w:t>
      </w:r>
      <w:r w:rsidR="004803D6">
        <w:rPr>
          <w:rFonts w:ascii="Calibri" w:hAnsi="Calibri" w:cs="Calibri"/>
          <w:b/>
          <w:color w:val="13576B"/>
          <w:sz w:val="23"/>
          <w:szCs w:val="23"/>
        </w:rPr>
        <w:t> říjnu posunula níže na 4,48 %</w:t>
      </w:r>
    </w:p>
    <w:p w14:paraId="6B970EF6" w14:textId="050D6F9F" w:rsidR="008B048B" w:rsidRPr="008B048B" w:rsidRDefault="008B048B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036901C8" w14:textId="660CAE01" w:rsidR="004803D6" w:rsidRPr="004803D6" w:rsidRDefault="004803D6" w:rsidP="00F625CA">
      <w:pPr>
        <w:rPr>
          <w:rFonts w:ascii="Calibri" w:hAnsi="Calibri" w:cs="Calibri"/>
          <w:color w:val="000000"/>
          <w:sz w:val="22"/>
          <w:szCs w:val="22"/>
        </w:rPr>
      </w:pPr>
      <w:r w:rsidRPr="004803D6">
        <w:rPr>
          <w:rFonts w:ascii="Calibri" w:hAnsi="Calibri" w:cs="Calibri"/>
          <w:b/>
          <w:bCs/>
          <w:color w:val="000000"/>
          <w:sz w:val="22"/>
          <w:szCs w:val="22"/>
        </w:rPr>
        <w:t>Průměrná realizovaná úroková sazba u nových hypoték v říjnu nepatrně dále klesla na 4,48 % z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 w:rsidRPr="004803D6">
        <w:rPr>
          <w:rFonts w:ascii="Calibri" w:hAnsi="Calibri" w:cs="Calibri"/>
          <w:b/>
          <w:bCs/>
          <w:color w:val="000000"/>
          <w:sz w:val="22"/>
          <w:szCs w:val="22"/>
        </w:rPr>
        <w:t xml:space="preserve"> zářijových 4,52 %. </w:t>
      </w:r>
      <w:r w:rsidRPr="004803D6">
        <w:rPr>
          <w:rFonts w:ascii="Calibri" w:hAnsi="Calibri" w:cs="Calibri"/>
          <w:color w:val="000000"/>
          <w:sz w:val="22"/>
          <w:szCs w:val="22"/>
        </w:rPr>
        <w:t xml:space="preserve">Její snížení tak potvrzuje klesající trend pod 5 % naposledy zaznamenanými v červenci 2024. Její říjnová úroveň je tak o </w:t>
      </w:r>
      <w:proofErr w:type="gramStart"/>
      <w:r w:rsidRPr="004803D6">
        <w:rPr>
          <w:rFonts w:ascii="Calibri" w:hAnsi="Calibri" w:cs="Calibri"/>
          <w:color w:val="000000"/>
          <w:sz w:val="22"/>
          <w:szCs w:val="22"/>
        </w:rPr>
        <w:t>0,42%</w:t>
      </w:r>
      <w:proofErr w:type="gramEnd"/>
      <w:r w:rsidRPr="004803D6">
        <w:rPr>
          <w:rFonts w:ascii="Calibri" w:hAnsi="Calibri" w:cs="Calibri"/>
          <w:color w:val="000000"/>
          <w:sz w:val="22"/>
          <w:szCs w:val="22"/>
        </w:rPr>
        <w:t xml:space="preserve"> bodu níže než 4,9% sazba před rokem, což snižuje měsíční splátky hypotéky přibližně o 1,1 % čistého příjmu žadatele, tedy o 1 tis. Kč. Pro srovnání průměrná hodnota hypoteční sazby v roce 2024 dosáhla 5,07 % v porovnání se sazbou 5,81 % v roce 2023.</w:t>
      </w:r>
    </w:p>
    <w:p w14:paraId="6C754223" w14:textId="77777777" w:rsidR="00883A3C" w:rsidRDefault="00883A3C" w:rsidP="00F625CA">
      <w:pPr>
        <w:rPr>
          <w:rFonts w:ascii="Calibri" w:hAnsi="Calibri" w:cs="Calibri"/>
          <w:bCs/>
          <w:sz w:val="22"/>
          <w:szCs w:val="22"/>
        </w:rPr>
      </w:pPr>
    </w:p>
    <w:p w14:paraId="0230887A" w14:textId="77777777" w:rsidR="00606031" w:rsidRDefault="00606031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  <w:sectPr w:rsidR="00606031" w:rsidSect="00606031">
          <w:type w:val="continuous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6492840A" w14:textId="0A9DE84D" w:rsidR="005874B8" w:rsidRDefault="005874B8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6527F6">
        <w:rPr>
          <w:rFonts w:ascii="Calibri" w:hAnsi="Calibri" w:cs="Calibri"/>
          <w:b/>
          <w:color w:val="13576B"/>
          <w:sz w:val="23"/>
          <w:szCs w:val="23"/>
        </w:rPr>
        <w:t>3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Průměrná hypoteční sazba – nové obchody</w:t>
      </w:r>
    </w:p>
    <w:p w14:paraId="0F619A9F" w14:textId="0F7C4C89" w:rsidR="0080372E" w:rsidRPr="0080372E" w:rsidRDefault="00D2301A" w:rsidP="000B064D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H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>ypoteční sazb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a v říjnu nepatrně poklesla na 4,48 %, a </w:t>
      </w:r>
      <w:r w:rsidRPr="00D2301A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je tak o </w:t>
      </w:r>
      <w:proofErr w:type="gramStart"/>
      <w:r w:rsidRPr="00D2301A">
        <w:rPr>
          <w:rFonts w:ascii="Calibri" w:hAnsi="Calibri" w:cs="Calibri"/>
          <w:bCs/>
          <w:i/>
          <w:iCs/>
          <w:color w:val="13576B"/>
          <w:sz w:val="23"/>
          <w:szCs w:val="23"/>
        </w:rPr>
        <w:t>0,42%</w:t>
      </w:r>
      <w:proofErr w:type="gramEnd"/>
      <w:r w:rsidRPr="00D2301A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bodu níže než 4,9% sazba před rokem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.</w:t>
      </w:r>
    </w:p>
    <w:p w14:paraId="5C054A6D" w14:textId="2A49917E" w:rsidR="00D2301A" w:rsidRPr="002138C0" w:rsidRDefault="00D2301A" w:rsidP="005874B8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noProof/>
          <w:sz w:val="22"/>
          <w:szCs w:val="22"/>
          <w:highlight w:val="yellow"/>
        </w:rPr>
        <w:drawing>
          <wp:inline distT="0" distB="0" distL="0" distR="0" wp14:anchorId="764321C0" wp14:editId="1AC69592">
            <wp:extent cx="3248168" cy="2038034"/>
            <wp:effectExtent l="0" t="0" r="0" b="635"/>
            <wp:docPr id="11319939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224" cy="2045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03265" w14:textId="08C20C0B" w:rsidR="00F20967" w:rsidRDefault="00691287" w:rsidP="00691287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5558D42A" w14:textId="77777777" w:rsidR="00F20967" w:rsidRDefault="00F20967" w:rsidP="00691287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44B0F692" w14:textId="0C6033EC" w:rsidR="006337E7" w:rsidRPr="00813D03" w:rsidRDefault="006337E7" w:rsidP="006337E7">
      <w:pPr>
        <w:rPr>
          <w:rFonts w:ascii="Calibri" w:hAnsi="Calibri" w:cs="Calibri"/>
          <w:b/>
          <w:color w:val="13576B"/>
          <w:sz w:val="23"/>
          <w:szCs w:val="23"/>
        </w:rPr>
      </w:pPr>
      <w:bookmarkStart w:id="4" w:name="_Hlk137652102"/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6527F6">
        <w:rPr>
          <w:rFonts w:ascii="Calibri" w:hAnsi="Calibri" w:cs="Calibri"/>
          <w:b/>
          <w:color w:val="13576B"/>
          <w:sz w:val="23"/>
          <w:szCs w:val="23"/>
        </w:rPr>
        <w:t>4</w:t>
      </w:r>
      <w:r>
        <w:rPr>
          <w:rFonts w:ascii="Calibri" w:hAnsi="Calibri" w:cs="Calibri"/>
          <w:b/>
          <w:color w:val="13576B"/>
          <w:sz w:val="23"/>
          <w:szCs w:val="23"/>
        </w:rPr>
        <w:t>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F20967">
        <w:rPr>
          <w:rFonts w:ascii="Calibri" w:hAnsi="Calibri" w:cs="Calibri"/>
          <w:b/>
          <w:color w:val="13576B"/>
          <w:sz w:val="23"/>
          <w:szCs w:val="23"/>
        </w:rPr>
        <w:t>Stále vyšší inflace, silnější růst ekonomiky, ale i povolební výsledek drží t</w:t>
      </w:r>
      <w:r w:rsidRPr="00813D03">
        <w:rPr>
          <w:rFonts w:ascii="Calibri" w:hAnsi="Calibri" w:cs="Calibri"/>
          <w:b/>
          <w:color w:val="13576B"/>
          <w:sz w:val="23"/>
          <w:szCs w:val="23"/>
        </w:rPr>
        <w:t xml:space="preserve">ržní dlouhodobé sazby </w:t>
      </w:r>
      <w:r w:rsidR="00F20967">
        <w:rPr>
          <w:rFonts w:ascii="Calibri" w:hAnsi="Calibri" w:cs="Calibri"/>
          <w:b/>
          <w:color w:val="13576B"/>
          <w:sz w:val="23"/>
          <w:szCs w:val="23"/>
        </w:rPr>
        <w:t>výše</w:t>
      </w:r>
    </w:p>
    <w:p w14:paraId="53F00851" w14:textId="40A07729" w:rsidR="006337E7" w:rsidRDefault="00055000" w:rsidP="006337E7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0CB684D4" wp14:editId="55F0B911">
            <wp:extent cx="3058160" cy="1946547"/>
            <wp:effectExtent l="0" t="0" r="8890" b="0"/>
            <wp:docPr id="17727525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806" cy="1949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50194" w14:textId="105A8D9F" w:rsidR="00F20967" w:rsidRDefault="006337E7" w:rsidP="00DD1BFF">
      <w:pPr>
        <w:rPr>
          <w:rFonts w:asciiTheme="minorHAnsi" w:hAnsiTheme="minorHAnsi" w:cstheme="minorHAnsi"/>
          <w:color w:val="13576B"/>
          <w:sz w:val="20"/>
        </w:rPr>
      </w:pPr>
      <w:r w:rsidRPr="00AA62A7">
        <w:rPr>
          <w:rFonts w:asciiTheme="minorHAnsi" w:hAnsiTheme="minorHAnsi" w:cstheme="minorHAnsi"/>
          <w:color w:val="2F5496" w:themeColor="accent5" w:themeShade="BF"/>
          <w:sz w:val="20"/>
        </w:rPr>
        <w:t>Pramen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: </w:t>
      </w:r>
      <w:r>
        <w:rPr>
          <w:rFonts w:asciiTheme="minorHAnsi" w:hAnsiTheme="minorHAnsi" w:cstheme="minorHAnsi"/>
          <w:color w:val="13576B"/>
          <w:sz w:val="20"/>
        </w:rPr>
        <w:t xml:space="preserve">LSEG, </w:t>
      </w:r>
      <w:proofErr w:type="spellStart"/>
      <w:r>
        <w:rPr>
          <w:rFonts w:asciiTheme="minorHAnsi" w:hAnsiTheme="minorHAnsi" w:cstheme="minorHAnsi"/>
          <w:color w:val="13576B"/>
          <w:sz w:val="20"/>
        </w:rPr>
        <w:t>Macrobond</w:t>
      </w:r>
      <w:proofErr w:type="spellEnd"/>
      <w:r>
        <w:rPr>
          <w:rFonts w:asciiTheme="minorHAnsi" w:hAnsiTheme="minorHAnsi" w:cstheme="minorHAnsi"/>
          <w:color w:val="13576B"/>
          <w:sz w:val="20"/>
        </w:rPr>
        <w:t xml:space="preserve"> (1</w:t>
      </w:r>
      <w:r w:rsidR="00055000">
        <w:rPr>
          <w:rFonts w:asciiTheme="minorHAnsi" w:hAnsiTheme="minorHAnsi" w:cstheme="minorHAnsi"/>
          <w:color w:val="13576B"/>
          <w:sz w:val="20"/>
        </w:rPr>
        <w:t>1</w:t>
      </w:r>
      <w:r>
        <w:rPr>
          <w:rFonts w:asciiTheme="minorHAnsi" w:hAnsiTheme="minorHAnsi" w:cstheme="minorHAnsi"/>
          <w:color w:val="13576B"/>
          <w:sz w:val="20"/>
        </w:rPr>
        <w:t xml:space="preserve">. </w:t>
      </w:r>
      <w:r w:rsidR="00055000">
        <w:rPr>
          <w:rFonts w:asciiTheme="minorHAnsi" w:hAnsiTheme="minorHAnsi" w:cstheme="minorHAnsi"/>
          <w:color w:val="13576B"/>
          <w:sz w:val="20"/>
        </w:rPr>
        <w:t xml:space="preserve">listopadu </w:t>
      </w:r>
      <w:r>
        <w:rPr>
          <w:rFonts w:asciiTheme="minorHAnsi" w:hAnsiTheme="minorHAnsi" w:cstheme="minorHAnsi"/>
          <w:color w:val="13576B"/>
          <w:sz w:val="20"/>
        </w:rPr>
        <w:t xml:space="preserve">2025), </w:t>
      </w:r>
      <w:r w:rsidRPr="00AA62A7">
        <w:rPr>
          <w:rFonts w:asciiTheme="minorHAnsi" w:hAnsiTheme="minorHAnsi" w:cstheme="minorHAnsi"/>
          <w:color w:val="13576B"/>
          <w:sz w:val="20"/>
        </w:rPr>
        <w:t>ČB</w:t>
      </w:r>
      <w:r w:rsidR="00F20967">
        <w:rPr>
          <w:rFonts w:asciiTheme="minorHAnsi" w:hAnsiTheme="minorHAnsi" w:cstheme="minorHAnsi"/>
          <w:color w:val="13576B"/>
          <w:sz w:val="20"/>
        </w:rPr>
        <w:t>A</w:t>
      </w:r>
    </w:p>
    <w:p w14:paraId="460FC76C" w14:textId="77777777" w:rsidR="00F20967" w:rsidRDefault="00F20967" w:rsidP="00DD1BFF">
      <w:pPr>
        <w:rPr>
          <w:rFonts w:asciiTheme="minorHAnsi" w:hAnsiTheme="minorHAnsi" w:cstheme="minorHAnsi"/>
          <w:color w:val="13576B"/>
          <w:sz w:val="20"/>
        </w:rPr>
      </w:pPr>
    </w:p>
    <w:p w14:paraId="616AF107" w14:textId="77777777" w:rsidR="00F20967" w:rsidRDefault="00F20967" w:rsidP="00DD1BFF">
      <w:pPr>
        <w:rPr>
          <w:rFonts w:asciiTheme="minorHAnsi" w:hAnsiTheme="minorHAnsi" w:cstheme="minorHAnsi"/>
          <w:color w:val="13576B"/>
          <w:sz w:val="20"/>
        </w:rPr>
      </w:pPr>
    </w:p>
    <w:p w14:paraId="4066BA4E" w14:textId="77777777" w:rsidR="00F20967" w:rsidRDefault="00F20967" w:rsidP="00DD1BFF">
      <w:pPr>
        <w:rPr>
          <w:rFonts w:asciiTheme="minorHAnsi" w:hAnsiTheme="minorHAnsi" w:cstheme="minorHAnsi"/>
          <w:color w:val="13576B"/>
          <w:sz w:val="20"/>
        </w:rPr>
      </w:pPr>
    </w:p>
    <w:p w14:paraId="1AF065D2" w14:textId="464EA7CD" w:rsidR="00F20967" w:rsidRPr="00606031" w:rsidRDefault="00F20967" w:rsidP="00DD1BFF">
      <w:pPr>
        <w:rPr>
          <w:rFonts w:ascii="Calibri" w:hAnsi="Calibri" w:cs="Calibri"/>
          <w:color w:val="000000" w:themeColor="text1"/>
          <w:sz w:val="22"/>
          <w:szCs w:val="22"/>
        </w:rPr>
        <w:sectPr w:rsidR="00F20967" w:rsidRPr="00606031" w:rsidSect="00606031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</w:p>
    <w:p w14:paraId="5D28B09E" w14:textId="4F254561" w:rsidR="007208AB" w:rsidRDefault="008F4916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České t</w:t>
      </w:r>
      <w:r w:rsidR="00055000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ržní úrokové sazby,</w:t>
      </w:r>
      <w:r w:rsidR="00055000" w:rsidRPr="008F4916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55000" w:rsidRPr="008F4916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footnoteReference w:id="1"/>
      </w:r>
      <w:r w:rsidR="00055000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které mají klíčový vliv na hypoteční sazby, v říjnu </w:t>
      </w:r>
      <w:r w:rsidR="000B32E2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zůstaly na vyšších úrovních</w:t>
      </w:r>
      <w:r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 na tříletém horizontu v listopadu </w:t>
      </w:r>
      <w:proofErr w:type="spellStart"/>
      <w:r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zaceňovaly</w:t>
      </w:r>
      <w:proofErr w:type="spellEnd"/>
      <w:r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přibližně dvoje zvýšení úrokové sazby ČNB. Tedy ne</w:t>
      </w:r>
      <w:r w:rsidR="000B32E2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jen, že limitují cestu </w:t>
      </w:r>
      <w:r w:rsidR="00055000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k </w:t>
      </w:r>
      <w:r w:rsidR="000B32E2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v</w:t>
      </w:r>
      <w:r w:rsidR="00055000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ýraznějšímu poklesu hypotečních sazeb</w:t>
      </w:r>
      <w:r w:rsidR="000B32E2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, ale</w:t>
      </w:r>
      <w:r w:rsidR="0060603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v podstatě</w:t>
      </w:r>
      <w:r w:rsidR="000B32E2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zvedají otázku ohledně jejich možné</w:t>
      </w:r>
      <w:r w:rsidR="007149B8">
        <w:rPr>
          <w:rFonts w:ascii="Calibri" w:hAnsi="Calibri" w:cs="Calibri"/>
          <w:b/>
          <w:bCs/>
          <w:color w:val="000000" w:themeColor="text1"/>
          <w:sz w:val="22"/>
          <w:szCs w:val="22"/>
        </w:rPr>
        <w:t>ho</w:t>
      </w:r>
      <w:r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budoucího růstu.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55000" w:rsidRPr="00055000">
        <w:rPr>
          <w:rFonts w:ascii="Calibri" w:hAnsi="Calibri" w:cs="Calibri"/>
          <w:color w:val="000000" w:themeColor="text1"/>
          <w:sz w:val="22"/>
          <w:szCs w:val="22"/>
        </w:rPr>
        <w:t>České pětileté úrokové swapy</w:t>
      </w:r>
      <w:r w:rsidR="007208AB">
        <w:rPr>
          <w:rFonts w:ascii="Calibri" w:hAnsi="Calibri" w:cs="Calibri"/>
          <w:color w:val="000000" w:themeColor="text1"/>
          <w:sz w:val="22"/>
          <w:szCs w:val="22"/>
        </w:rPr>
        <w:t xml:space="preserve"> byly</w:t>
      </w:r>
      <w:r w:rsidR="00055000"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 v říjnu </w:t>
      </w:r>
      <w:r w:rsidR="007208AB">
        <w:rPr>
          <w:rFonts w:ascii="Calibri" w:hAnsi="Calibri" w:cs="Calibri"/>
          <w:color w:val="000000" w:themeColor="text1"/>
          <w:sz w:val="22"/>
          <w:szCs w:val="22"/>
        </w:rPr>
        <w:t>na pomyslné houpačce, ale v průměru se posunuly nepatrně výše na 3,8 % a na začátku listopadu pokračovaly v růstu k 3,9 %. Nacházejí se tak nejvýše od června 2024, kdy úroková sazba ČNB byla 4,75 %, tedy o třičtvrtě procenta nad její současnou hodnoto</w:t>
      </w:r>
      <w:r w:rsidR="007149B8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7208AB">
        <w:rPr>
          <w:rFonts w:ascii="Calibri" w:hAnsi="Calibri" w:cs="Calibri"/>
          <w:color w:val="000000" w:themeColor="text1"/>
          <w:sz w:val="22"/>
          <w:szCs w:val="22"/>
        </w:rPr>
        <w:t xml:space="preserve">, tedy mimo rozmezí jejích měsíčních průměrů mezi </w:t>
      </w:r>
      <w:r w:rsidR="007208AB" w:rsidRPr="00055000">
        <w:rPr>
          <w:rFonts w:ascii="Calibri" w:hAnsi="Calibri" w:cs="Calibri"/>
          <w:color w:val="000000" w:themeColor="text1"/>
          <w:sz w:val="22"/>
          <w:szCs w:val="22"/>
        </w:rPr>
        <w:t>3,29 % (v dubnu 2025) a 3,81 % (z října 2025)</w:t>
      </w:r>
      <w:r w:rsidR="007208AB">
        <w:rPr>
          <w:rFonts w:ascii="Calibri" w:hAnsi="Calibri" w:cs="Calibri"/>
          <w:color w:val="000000" w:themeColor="text1"/>
          <w:sz w:val="22"/>
          <w:szCs w:val="22"/>
        </w:rPr>
        <w:t xml:space="preserve"> v posledních 12 měsících.</w:t>
      </w:r>
      <w:r w:rsidR="000B32E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Americké </w:t>
      </w:r>
      <w:r w:rsidR="00606031">
        <w:rPr>
          <w:rFonts w:ascii="Calibri" w:hAnsi="Calibri" w:cs="Calibri"/>
          <w:color w:val="000000" w:themeColor="text1"/>
          <w:sz w:val="22"/>
          <w:szCs w:val="22"/>
        </w:rPr>
        <w:t>úroky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se rovněž v </w:t>
      </w:r>
      <w:r w:rsidR="00606031">
        <w:rPr>
          <w:rFonts w:ascii="Calibri" w:hAnsi="Calibri" w:cs="Calibri"/>
          <w:color w:val="000000" w:themeColor="text1"/>
          <w:sz w:val="22"/>
          <w:szCs w:val="22"/>
        </w:rPr>
        <w:t>listopadu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posunuly </w:t>
      </w:r>
      <w:r w:rsidR="00606031">
        <w:rPr>
          <w:rFonts w:ascii="Calibri" w:hAnsi="Calibri" w:cs="Calibri"/>
          <w:color w:val="000000" w:themeColor="text1"/>
          <w:sz w:val="22"/>
          <w:szCs w:val="22"/>
        </w:rPr>
        <w:t>výše. 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eurové, ale ty méně. Nárůst českých úrokových sazeb odrážel </w:t>
      </w:r>
      <w:r w:rsidR="00606031">
        <w:rPr>
          <w:rFonts w:ascii="Calibri" w:hAnsi="Calibri" w:cs="Calibri"/>
          <w:color w:val="000000" w:themeColor="text1"/>
          <w:sz w:val="22"/>
          <w:szCs w:val="22"/>
        </w:rPr>
        <w:t>pokračující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18" w:history="1">
        <w:r w:rsidRPr="00F20967">
          <w:rPr>
            <w:rStyle w:val="Hypertextovodkaz"/>
            <w:rFonts w:ascii="Calibri" w:hAnsi="Calibri" w:cs="Calibri"/>
            <w:sz w:val="22"/>
            <w:szCs w:val="22"/>
          </w:rPr>
          <w:t>vyšší růst jádrové inflace</w:t>
        </w:r>
      </w:hyperlink>
      <w:r w:rsidR="00F20967">
        <w:rPr>
          <w:rFonts w:ascii="Calibri" w:hAnsi="Calibri" w:cs="Calibri"/>
          <w:color w:val="000000" w:themeColor="text1"/>
          <w:sz w:val="22"/>
          <w:szCs w:val="22"/>
        </w:rPr>
        <w:t xml:space="preserve"> jejíž </w:t>
      </w:r>
      <w:proofErr w:type="spellStart"/>
      <w:r w:rsidR="00F20967">
        <w:rPr>
          <w:rFonts w:ascii="Calibri" w:hAnsi="Calibri" w:cs="Calibri"/>
          <w:color w:val="000000" w:themeColor="text1"/>
          <w:sz w:val="22"/>
          <w:szCs w:val="22"/>
        </w:rPr>
        <w:t>momentum</w:t>
      </w:r>
      <w:proofErr w:type="spellEnd"/>
      <w:r w:rsidR="00F20967">
        <w:rPr>
          <w:rFonts w:ascii="Calibri" w:hAnsi="Calibri" w:cs="Calibri"/>
          <w:color w:val="000000" w:themeColor="text1"/>
          <w:sz w:val="22"/>
          <w:szCs w:val="22"/>
        </w:rPr>
        <w:t xml:space="preserve"> není v souladu s inflačním cílem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F20967">
        <w:rPr>
          <w:rFonts w:ascii="Calibri" w:hAnsi="Calibri" w:cs="Calibri"/>
          <w:color w:val="000000" w:themeColor="text1"/>
          <w:sz w:val="22"/>
          <w:szCs w:val="22"/>
        </w:rPr>
        <w:t xml:space="preserve">překvapivě </w:t>
      </w:r>
      <w:hyperlink r:id="rId19" w:history="1">
        <w:r w:rsidR="00F20967" w:rsidRPr="00F20967">
          <w:rPr>
            <w:rStyle w:val="Hypertextovodkaz"/>
            <w:rFonts w:ascii="Calibri" w:hAnsi="Calibri" w:cs="Calibri"/>
            <w:sz w:val="22"/>
            <w:szCs w:val="22"/>
          </w:rPr>
          <w:t>silnější růst HDP ve třetím kvartále</w:t>
        </w:r>
      </w:hyperlink>
      <w:r w:rsidR="00F20967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606031">
        <w:rPr>
          <w:rFonts w:ascii="Calibri" w:hAnsi="Calibri" w:cs="Calibri"/>
          <w:color w:val="000000" w:themeColor="text1"/>
          <w:sz w:val="22"/>
          <w:szCs w:val="22"/>
        </w:rPr>
        <w:t>ale</w:t>
      </w:r>
      <w:r w:rsidR="00F20967">
        <w:rPr>
          <w:rFonts w:ascii="Calibri" w:hAnsi="Calibri" w:cs="Calibri"/>
          <w:color w:val="000000" w:themeColor="text1"/>
          <w:sz w:val="22"/>
          <w:szCs w:val="22"/>
        </w:rPr>
        <w:t xml:space="preserve"> trh i zacenil spíše proinflační výsledek </w:t>
      </w:r>
      <w:r w:rsidR="00606031">
        <w:rPr>
          <w:rFonts w:ascii="Calibri" w:hAnsi="Calibri" w:cs="Calibri"/>
          <w:color w:val="000000" w:themeColor="text1"/>
          <w:sz w:val="22"/>
          <w:szCs w:val="22"/>
        </w:rPr>
        <w:t xml:space="preserve">parlamentních voleb. </w:t>
      </w:r>
    </w:p>
    <w:p w14:paraId="5A4EAC1D" w14:textId="77777777" w:rsidR="00055000" w:rsidRPr="00055000" w:rsidRDefault="00055000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F32535F" w14:textId="43BAB808" w:rsidR="00CB2E9C" w:rsidRPr="00055000" w:rsidRDefault="00055000" w:rsidP="008F7CC9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55000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Úroková hypoteční sazba na nové hypotéky dle ČBA </w:t>
      </w:r>
      <w:proofErr w:type="spellStart"/>
      <w:r w:rsidRPr="00055000">
        <w:rPr>
          <w:rFonts w:ascii="Calibri" w:hAnsi="Calibri" w:cs="Calibri"/>
          <w:color w:val="000000" w:themeColor="text1"/>
          <w:sz w:val="22"/>
          <w:szCs w:val="22"/>
        </w:rPr>
        <w:t>Hypomonitoru</w:t>
      </w:r>
      <w:proofErr w:type="spellEnd"/>
      <w:r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 v říjnu nepatrně klesla na 4,48 % a nacházela se tak přibližně </w:t>
      </w:r>
      <w:proofErr w:type="gramStart"/>
      <w:r w:rsidRPr="00055000">
        <w:rPr>
          <w:rFonts w:ascii="Calibri" w:hAnsi="Calibri" w:cs="Calibri"/>
          <w:color w:val="000000" w:themeColor="text1"/>
          <w:sz w:val="22"/>
          <w:szCs w:val="22"/>
        </w:rPr>
        <w:t>0,85%</w:t>
      </w:r>
      <w:proofErr w:type="gramEnd"/>
      <w:r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 bodu nad průměrnými tržními swapovými sazbami. To je přibližně </w:t>
      </w:r>
      <w:proofErr w:type="gramStart"/>
      <w:r w:rsidRPr="00055000">
        <w:rPr>
          <w:rFonts w:ascii="Calibri" w:hAnsi="Calibri" w:cs="Calibri"/>
          <w:color w:val="000000" w:themeColor="text1"/>
          <w:sz w:val="22"/>
          <w:szCs w:val="22"/>
        </w:rPr>
        <w:t>0,22%</w:t>
      </w:r>
      <w:proofErr w:type="gramEnd"/>
      <w:r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 bodu pod dlouhodobým průměrem od roku 2014 (</w:t>
      </w:r>
      <w:proofErr w:type="gramStart"/>
      <w:r w:rsidRPr="00055000">
        <w:rPr>
          <w:rFonts w:ascii="Calibri" w:hAnsi="Calibri" w:cs="Calibri"/>
          <w:color w:val="000000" w:themeColor="text1"/>
          <w:sz w:val="22"/>
          <w:szCs w:val="22"/>
        </w:rPr>
        <w:t>1,07%</w:t>
      </w:r>
      <w:proofErr w:type="gramEnd"/>
      <w:r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 bodu)</w:t>
      </w:r>
      <w:r w:rsidR="0060603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F9E18AA" w14:textId="77777777" w:rsidR="008F7CC9" w:rsidRPr="00452B0E" w:rsidRDefault="008F7CC9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72E83631" w14:textId="6089BF30" w:rsidR="00B04FE2" w:rsidRDefault="00D03B38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  <w:r w:rsidRPr="00D03B38">
        <w:rPr>
          <w:rFonts w:ascii="Calibri" w:hAnsi="Calibri" w:cs="Calibri"/>
          <w:b/>
          <w:color w:val="13576B"/>
          <w:sz w:val="24"/>
          <w:szCs w:val="24"/>
        </w:rPr>
        <w:t>Průměrná velikost skutečně nově poskytnuté hypotéky v říjnu neznatelně klesla na 4,34 mil. Kč</w:t>
      </w:r>
    </w:p>
    <w:p w14:paraId="417F8A0F" w14:textId="77777777" w:rsidR="008569DC" w:rsidRPr="00A02F5D" w:rsidRDefault="008569DC" w:rsidP="00B04FE2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563E961C" w14:textId="220B5832" w:rsidR="00055000" w:rsidRDefault="004803D6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4803D6">
        <w:rPr>
          <w:rFonts w:ascii="Calibri" w:hAnsi="Calibri" w:cs="Calibri"/>
          <w:color w:val="000000"/>
          <w:sz w:val="22"/>
          <w:szCs w:val="22"/>
        </w:rPr>
        <w:t>Její velikost je ovšem stále o 15 % vyšší než 3,</w:t>
      </w:r>
      <w:r w:rsidR="00D03B38">
        <w:rPr>
          <w:rFonts w:ascii="Calibri" w:hAnsi="Calibri" w:cs="Calibri"/>
          <w:color w:val="000000"/>
          <w:sz w:val="22"/>
          <w:szCs w:val="22"/>
        </w:rPr>
        <w:t>8</w:t>
      </w:r>
      <w:r w:rsidRPr="004803D6">
        <w:rPr>
          <w:rFonts w:ascii="Calibri" w:hAnsi="Calibri" w:cs="Calibri"/>
          <w:color w:val="000000"/>
          <w:sz w:val="22"/>
          <w:szCs w:val="22"/>
        </w:rPr>
        <w:t xml:space="preserve"> mil. Kč před rokem. Dosáhnout na vyšší hypotéku</w:t>
      </w:r>
      <w:r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 umožňuje postupný pokles hypotečních sazeb, či postupný růst reálných příjmů domácností (</w:t>
      </w:r>
      <w:r w:rsidR="00055000"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3,9 % meziročně </w:t>
      </w:r>
      <w:r w:rsidR="00055000">
        <w:rPr>
          <w:rFonts w:ascii="Calibri" w:hAnsi="Calibri" w:cs="Calibri"/>
          <w:color w:val="000000"/>
          <w:sz w:val="22"/>
          <w:szCs w:val="22"/>
        </w:rPr>
        <w:t>v </w:t>
      </w:r>
      <w:hyperlink r:id="rId20" w:history="1">
        <w:r w:rsidR="00055000" w:rsidRPr="00E96618">
          <w:rPr>
            <w:rStyle w:val="Hypertextovodkaz"/>
            <w:rFonts w:ascii="Calibri" w:hAnsi="Calibri" w:cs="Calibri"/>
            <w:sz w:val="22"/>
            <w:szCs w:val="22"/>
          </w:rPr>
          <w:t>Q</w:t>
        </w:r>
        <w:r w:rsidR="00055000">
          <w:rPr>
            <w:rStyle w:val="Hypertextovodkaz"/>
            <w:rFonts w:ascii="Calibri" w:hAnsi="Calibri" w:cs="Calibri"/>
            <w:sz w:val="22"/>
            <w:szCs w:val="22"/>
          </w:rPr>
          <w:t>2</w:t>
        </w:r>
        <w:r w:rsidR="00055000" w:rsidRPr="00E96618">
          <w:rPr>
            <w:rStyle w:val="Hypertextovodkaz"/>
            <w:rFonts w:ascii="Calibri" w:hAnsi="Calibri" w:cs="Calibri"/>
            <w:sz w:val="22"/>
            <w:szCs w:val="22"/>
          </w:rPr>
          <w:t>-2025</w:t>
        </w:r>
      </w:hyperlink>
      <w:r w:rsidR="00055000">
        <w:t xml:space="preserve"> </w:t>
      </w:r>
      <w:r w:rsidR="00055000" w:rsidRPr="009C040E">
        <w:rPr>
          <w:rFonts w:ascii="Calibri" w:hAnsi="Calibri" w:cs="Calibri"/>
          <w:sz w:val="22"/>
          <w:szCs w:val="22"/>
        </w:rPr>
        <w:t xml:space="preserve">či graficky </w:t>
      </w:r>
      <w:hyperlink r:id="rId21" w:history="1">
        <w:r w:rsidR="00055000" w:rsidRPr="009C040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Pr="004803D6">
        <w:rPr>
          <w:rFonts w:ascii="Calibri" w:hAnsi="Calibri" w:cs="Calibri"/>
          <w:color w:val="000000"/>
          <w:sz w:val="22"/>
          <w:szCs w:val="22"/>
        </w:rPr>
        <w:t xml:space="preserve">), společně s pokračujícími uvolněnými </w:t>
      </w:r>
      <w:proofErr w:type="spellStart"/>
      <w:r w:rsidRPr="004803D6">
        <w:rPr>
          <w:rFonts w:ascii="Calibri" w:hAnsi="Calibri" w:cs="Calibri"/>
          <w:color w:val="000000"/>
          <w:sz w:val="22"/>
          <w:szCs w:val="22"/>
        </w:rPr>
        <w:t>makroobezřetnostními</w:t>
      </w:r>
      <w:proofErr w:type="spellEnd"/>
      <w:r w:rsidRPr="004803D6">
        <w:rPr>
          <w:rFonts w:ascii="Calibri" w:hAnsi="Calibri" w:cs="Calibri"/>
          <w:color w:val="000000"/>
          <w:sz w:val="22"/>
          <w:szCs w:val="22"/>
        </w:rPr>
        <w:t xml:space="preserve"> limity ohledně příjmů ze strany ČNB (pouze 80% limit LTV či </w:t>
      </w:r>
      <w:proofErr w:type="gramStart"/>
      <w:r w:rsidRPr="004803D6">
        <w:rPr>
          <w:rFonts w:ascii="Calibri" w:hAnsi="Calibri" w:cs="Calibri"/>
          <w:color w:val="000000"/>
          <w:sz w:val="22"/>
          <w:szCs w:val="22"/>
        </w:rPr>
        <w:t>90%</w:t>
      </w:r>
      <w:proofErr w:type="gramEnd"/>
      <w:r w:rsidRPr="004803D6">
        <w:rPr>
          <w:rFonts w:ascii="Calibri" w:hAnsi="Calibri" w:cs="Calibri"/>
          <w:color w:val="000000"/>
          <w:sz w:val="22"/>
          <w:szCs w:val="22"/>
        </w:rPr>
        <w:t xml:space="preserve"> v případě žadatelů mladších 36 let). Výše hypotéky pak souvisí také s vývojem cen nemovitostí, které 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si dle údajů společnosti </w:t>
      </w:r>
      <w:proofErr w:type="spellStart"/>
      <w:r w:rsidR="00055000">
        <w:rPr>
          <w:rFonts w:ascii="Calibri" w:hAnsi="Calibri" w:cs="Calibri"/>
          <w:color w:val="000000"/>
          <w:sz w:val="22"/>
          <w:szCs w:val="22"/>
        </w:rPr>
        <w:t>Flat</w:t>
      </w:r>
      <w:proofErr w:type="spellEnd"/>
      <w:r w:rsidR="0005500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55000">
        <w:rPr>
          <w:rFonts w:ascii="Calibri" w:hAnsi="Calibri" w:cs="Calibri"/>
          <w:color w:val="000000"/>
          <w:sz w:val="22"/>
          <w:szCs w:val="22"/>
        </w:rPr>
        <w:t>Zone</w:t>
      </w:r>
      <w:proofErr w:type="spellEnd"/>
      <w:r w:rsidR="00055000">
        <w:rPr>
          <w:rFonts w:ascii="Calibri" w:hAnsi="Calibri" w:cs="Calibri"/>
          <w:color w:val="000000"/>
          <w:sz w:val="22"/>
          <w:szCs w:val="22"/>
        </w:rPr>
        <w:t xml:space="preserve"> v druhém čtvrtletí roku 2025 udržely stále silný 10% meziroční růst </w:t>
      </w:r>
      <w:r w:rsidR="00055000" w:rsidRPr="002725DA">
        <w:rPr>
          <w:rFonts w:ascii="Calibri" w:hAnsi="Calibri" w:cs="Calibri"/>
          <w:color w:val="000000"/>
          <w:sz w:val="22"/>
          <w:szCs w:val="22"/>
        </w:rPr>
        <w:t xml:space="preserve">(viz 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grafy na </w:t>
      </w:r>
      <w:r w:rsidR="00055000" w:rsidRPr="002725DA">
        <w:rPr>
          <w:rFonts w:ascii="Calibri" w:hAnsi="Calibri" w:cs="Calibri"/>
          <w:color w:val="000000"/>
          <w:sz w:val="22"/>
          <w:szCs w:val="22"/>
        </w:rPr>
        <w:t>ČBA Monitor</w:t>
      </w:r>
      <w:r w:rsidR="00055000">
        <w:rPr>
          <w:rFonts w:ascii="Calibri" w:hAnsi="Calibri" w:cs="Calibri"/>
          <w:color w:val="000000"/>
          <w:sz w:val="22"/>
          <w:szCs w:val="22"/>
        </w:rPr>
        <w:t>u</w:t>
      </w:r>
      <w:r w:rsidR="00055000" w:rsidRPr="002725DA">
        <w:rPr>
          <w:rFonts w:ascii="Calibri" w:hAnsi="Calibri" w:cs="Calibri"/>
          <w:color w:val="000000"/>
          <w:sz w:val="22"/>
          <w:szCs w:val="22"/>
        </w:rPr>
        <w:t xml:space="preserve"> - </w:t>
      </w:r>
      <w:hyperlink r:id="rId22" w:history="1">
        <w:r w:rsidR="00055000" w:rsidRPr="00436F5C">
          <w:rPr>
            <w:rStyle w:val="Hypertextovodkaz"/>
            <w:rFonts w:ascii="Calibri" w:hAnsi="Calibri" w:cs="Calibri"/>
            <w:sz w:val="22"/>
            <w:szCs w:val="22"/>
          </w:rPr>
          <w:t>ČBA Monitor</w:t>
        </w:r>
      </w:hyperlink>
      <w:r w:rsidR="00055000">
        <w:t xml:space="preserve"> </w:t>
      </w:r>
      <w:r w:rsidR="00055000" w:rsidRPr="00E96618">
        <w:rPr>
          <w:rFonts w:ascii="Calibri" w:hAnsi="Calibri" w:cs="Calibri"/>
          <w:color w:val="000000"/>
          <w:sz w:val="22"/>
          <w:szCs w:val="22"/>
        </w:rPr>
        <w:t xml:space="preserve">či 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v komentáři </w:t>
      </w:r>
      <w:hyperlink r:id="rId23" w:history="1">
        <w:r w:rsidR="00055000" w:rsidRPr="004951F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055000" w:rsidRPr="002725DA">
        <w:rPr>
          <w:rFonts w:ascii="Calibri" w:hAnsi="Calibri" w:cs="Calibri"/>
          <w:color w:val="000000"/>
          <w:sz w:val="22"/>
          <w:szCs w:val="22"/>
        </w:rPr>
        <w:t>).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Data ČSÚ poukazují na nárůst cen bytů okolo 15 % meziročně a celkový index cen nemovitostí okolo 10 % meziročně v prvním čtvrtletí 2015 (viz komentář </w:t>
      </w:r>
      <w:hyperlink r:id="rId24" w:history="1">
        <w:r w:rsidR="00055000" w:rsidRPr="00665F6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055000">
        <w:rPr>
          <w:rFonts w:ascii="Calibri" w:hAnsi="Calibri" w:cs="Calibri"/>
          <w:color w:val="000000"/>
          <w:sz w:val="22"/>
          <w:szCs w:val="22"/>
        </w:rPr>
        <w:t xml:space="preserve">). </w:t>
      </w:r>
    </w:p>
    <w:p w14:paraId="4E462F23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5F044CF" w14:textId="2B26DE9B" w:rsidR="005343BA" w:rsidRDefault="004803D6" w:rsidP="005343BA">
      <w:pPr>
        <w:rPr>
          <w:rFonts w:ascii="Calibri" w:hAnsi="Calibri" w:cs="Calibri"/>
          <w:b/>
          <w:color w:val="13576B"/>
          <w:sz w:val="24"/>
          <w:szCs w:val="24"/>
        </w:rPr>
      </w:pPr>
      <w:r w:rsidRPr="004803D6">
        <w:rPr>
          <w:rFonts w:ascii="Calibri" w:hAnsi="Calibri" w:cs="Calibri"/>
          <w:b/>
          <w:color w:val="13576B"/>
          <w:sz w:val="24"/>
          <w:szCs w:val="24"/>
        </w:rPr>
        <w:t>Dopady na průměrnou měsíční hypoteční splátku okolo 23,2 tisíc Kč</w:t>
      </w:r>
    </w:p>
    <w:p w14:paraId="50D3F3A4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F9AC3E2" w14:textId="6EBE861F" w:rsidR="004803D6" w:rsidRDefault="004803D6" w:rsidP="007A19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803D6">
        <w:rPr>
          <w:rFonts w:ascii="Calibri" w:hAnsi="Calibri" w:cs="Calibri"/>
          <w:b/>
          <w:bCs/>
          <w:color w:val="000000" w:themeColor="text1"/>
          <w:sz w:val="22"/>
          <w:szCs w:val="22"/>
        </w:rPr>
        <w:t>Kombinace poklesu úrokové sazby a vyšší průměrné výše hypotéky v říjnu 2025 ve srovnání s průměrnými hodnotami z roku 2024 zvýšily průměrnou měsíční splátku hypotéky o 2,3 tis. Kč.</w:t>
      </w:r>
      <w:r w:rsidRPr="004803D6">
        <w:rPr>
          <w:rFonts w:ascii="Calibri" w:hAnsi="Calibri" w:cs="Calibri"/>
          <w:color w:val="000000" w:themeColor="text1"/>
          <w:sz w:val="22"/>
          <w:szCs w:val="22"/>
        </w:rPr>
        <w:t xml:space="preserve"> Scénáře vývoje měsíční splátky pro různé délky splatnosti hypotéky znázorňuje tabulka č. 2. Ta napovídá, že pokles hypotečních sazeb bezmála o </w:t>
      </w:r>
      <w:proofErr w:type="gramStart"/>
      <w:r w:rsidRPr="004803D6">
        <w:rPr>
          <w:rFonts w:ascii="Calibri" w:hAnsi="Calibri" w:cs="Calibri"/>
          <w:color w:val="000000" w:themeColor="text1"/>
          <w:sz w:val="22"/>
          <w:szCs w:val="22"/>
        </w:rPr>
        <w:t>0,6%</w:t>
      </w:r>
      <w:proofErr w:type="gramEnd"/>
      <w:r w:rsidRPr="004803D6">
        <w:rPr>
          <w:rFonts w:ascii="Calibri" w:hAnsi="Calibri" w:cs="Calibri"/>
          <w:color w:val="000000" w:themeColor="text1"/>
          <w:sz w:val="22"/>
          <w:szCs w:val="22"/>
        </w:rPr>
        <w:t xml:space="preserve"> bodu vůči jejich průměrné výši 5,07 % v roce 2024 přinesl, pro průměrnou velikost hypotéky při jejím obvyklém přibližně 26,8letém splácení, snížení měsíční splátky o necelých 1 500 Kč na přibližně 23,2 tis. Kč, tedy o 1,6 % čistého příjmu žadatele v porovnání s průměrnou splátkou v minulém roce. Ve srovnání s průměrnou hypoteční sazbou 5,81 % v roce 2023 dosáhla úspora kvůli úrokové sazbě necelých 3 400 Kč pro hypotéku v její aktuální průměrné hodnotě. </w:t>
      </w:r>
    </w:p>
    <w:p w14:paraId="166F2C06" w14:textId="77777777" w:rsidR="004803D6" w:rsidRDefault="004803D6" w:rsidP="007A19E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C8FB3A0" w14:textId="1E2C4BF9" w:rsidR="004803D6" w:rsidRDefault="004803D6" w:rsidP="007A19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803D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Ovšem současná průměrná výše hypotéky je o 18 % vyšší než její průměrná výše v roce 2024, což přispívá k navýšení měsíční splátky o 3,6 tis. Kč </w:t>
      </w:r>
      <w:r w:rsidRPr="00FB5A27">
        <w:rPr>
          <w:rFonts w:ascii="Calibri" w:hAnsi="Calibri" w:cs="Calibri"/>
          <w:color w:val="000000" w:themeColor="text1"/>
          <w:sz w:val="22"/>
          <w:szCs w:val="22"/>
        </w:rPr>
        <w:t>ve</w:t>
      </w:r>
      <w:r w:rsidRPr="004803D6">
        <w:rPr>
          <w:rFonts w:ascii="Calibri" w:hAnsi="Calibri" w:cs="Calibri"/>
          <w:color w:val="000000" w:themeColor="text1"/>
          <w:sz w:val="22"/>
          <w:szCs w:val="22"/>
        </w:rPr>
        <w:t xml:space="preserve"> srovnání s průměrnou měsíční splátkou v minulém roce navázanou na loňskou průměrnou výši hypotéky</w:t>
      </w:r>
      <w:r w:rsidR="009E1548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803D6">
        <w:rPr>
          <w:rFonts w:ascii="Calibri" w:hAnsi="Calibri" w:cs="Calibri"/>
          <w:color w:val="000000" w:themeColor="text1"/>
          <w:sz w:val="22"/>
          <w:szCs w:val="22"/>
        </w:rPr>
        <w:t xml:space="preserve"> ovšem při současné úrokové sazbě. Splátka hypotéky ve výši jednoho milionu korun s 30letou splatností se se současnými úrokovými sazbami pohybuje okolo 5,1 tisíce Kč.</w:t>
      </w:r>
    </w:p>
    <w:p w14:paraId="02C704BA" w14:textId="77777777" w:rsidR="007A19E3" w:rsidRDefault="007A19E3" w:rsidP="007A19E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B1895C0" w14:textId="35F3B209" w:rsidR="004803D6" w:rsidRDefault="004803D6" w:rsidP="007A19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803D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Naopak, ve srovnání s průměrnou </w:t>
      </w:r>
      <w:proofErr w:type="gramStart"/>
      <w:r w:rsidRPr="004803D6">
        <w:rPr>
          <w:rFonts w:ascii="Calibri" w:hAnsi="Calibri" w:cs="Calibri"/>
          <w:b/>
          <w:bCs/>
          <w:color w:val="000000" w:themeColor="text1"/>
          <w:sz w:val="22"/>
          <w:szCs w:val="22"/>
        </w:rPr>
        <w:t>2,8%</w:t>
      </w:r>
      <w:proofErr w:type="gramEnd"/>
      <w:r w:rsidRPr="004803D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úrokovou hypoteční sazbou pro nové hypotéky v roce 2019</w:t>
      </w:r>
      <w:r w:rsidRPr="004803D6">
        <w:rPr>
          <w:rFonts w:ascii="Calibri" w:hAnsi="Calibri" w:cs="Calibri"/>
          <w:color w:val="000000" w:themeColor="text1"/>
          <w:sz w:val="22"/>
          <w:szCs w:val="22"/>
        </w:rPr>
        <w:t>, tak současná hypoteční sazba pro refinancování ve výši 4,46 % při zkrácení splatnosti úvěru zvedá měsíční splátky u průměrné hypotéky více než 1600 Kč, tedy asi o 3,2 % současné hrubé průměrné mzdy.</w:t>
      </w:r>
    </w:p>
    <w:p w14:paraId="4482CE93" w14:textId="77777777" w:rsidR="008569DC" w:rsidRDefault="008569DC" w:rsidP="008569D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A267256" w14:textId="12E300F9" w:rsidR="009D3067" w:rsidRPr="00515ECA" w:rsidRDefault="009D3067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 hypotéky v závislosti na délce splatnosti a úrokové sazbě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48"/>
        <w:gridCol w:w="955"/>
        <w:gridCol w:w="955"/>
        <w:gridCol w:w="955"/>
        <w:gridCol w:w="955"/>
        <w:gridCol w:w="955"/>
        <w:gridCol w:w="955"/>
      </w:tblGrid>
      <w:tr w:rsidR="004803D6" w:rsidRPr="002138C0" w14:paraId="2E0F9EE8" w14:textId="77777777" w:rsidTr="00EB1892">
        <w:trPr>
          <w:trHeight w:val="555"/>
        </w:trPr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E9691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2DFCA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01B2E" w14:textId="3B096246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F8289" w14:textId="637C850E" w:rsidR="004803D6" w:rsidRPr="00F23602" w:rsidRDefault="004803D6" w:rsidP="004803D6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4 343 490</w:t>
            </w:r>
          </w:p>
        </w:tc>
      </w:tr>
      <w:tr w:rsidR="00F23602" w:rsidRPr="002138C0" w14:paraId="3A9D14C4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51C0E365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4803D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4803D6" w:rsidRPr="002138C0" w14:paraId="0A342D01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8443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EE9A3" w14:textId="21CDF506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75F03F" w14:textId="2305614C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27 950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E9F84" w14:textId="5D559E8F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A63E5" w14:textId="6F6394E5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32 130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637E3B33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33 190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54027D41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34 350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0922" w14:textId="5E8F5611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36 650</w:t>
            </w:r>
          </w:p>
        </w:tc>
      </w:tr>
      <w:tr w:rsidR="004803D6" w:rsidRPr="002138C0" w14:paraId="4A78BEF2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3610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9CE37" w14:textId="0DCAB82D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28FBFB" w14:textId="756FEC80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21 970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7AA86" w14:textId="2405ACF4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24 090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7E18" w14:textId="1BEBC921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26 320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06D5FA09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27 440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60858F3E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28 670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BDBD" w14:textId="505E376A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31 120</w:t>
            </w:r>
          </w:p>
        </w:tc>
      </w:tr>
      <w:tr w:rsidR="004803D6" w:rsidRPr="002138C0" w14:paraId="6CF32913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281A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92D49" w14:textId="78F991B7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1B1A11" w14:textId="68E17031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18 410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E222" w14:textId="4EE163A8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20 600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6F1AB" w14:textId="4EEA65F1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22 930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1F54C88D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24 100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69D43AA4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25 390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D8C7" w14:textId="12D577DB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27 990</w:t>
            </w:r>
          </w:p>
        </w:tc>
      </w:tr>
      <w:tr w:rsidR="004803D6" w:rsidRPr="002138C0" w14:paraId="2841560E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465CE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F3EA"/>
            <w:noWrap/>
            <w:vAlign w:val="center"/>
          </w:tcPr>
          <w:p w14:paraId="088256B9" w14:textId="44522C32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B45A43E" w14:textId="694C199C" w:rsidR="004803D6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17 480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9BA985F" w14:textId="5D83FEF2" w:rsidR="004803D6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19 690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567430AE" w14:textId="29605ECD" w:rsidR="004803D6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22 050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427C5795" w14:textId="341638D7" w:rsidR="004803D6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23 250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3738B6D6" w14:textId="400E3884" w:rsidR="004803D6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24 560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15CB0311" w14:textId="61FA6092" w:rsidR="004803D6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27 200</w:t>
            </w:r>
          </w:p>
        </w:tc>
      </w:tr>
      <w:tr w:rsidR="004803D6" w:rsidRPr="002138C0" w14:paraId="46B86678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BB57D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25A" w14:textId="7A89106D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A2DA6" w14:textId="05CEF08D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16 050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602F5" w14:textId="62605B06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C600D" w14:textId="44AF8772" w:rsidR="004803D6" w:rsidRPr="00F23602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20 740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25900E68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21 970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7364A479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23 320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81B34" w14:textId="531A8798" w:rsidR="004803D6" w:rsidRPr="002138C0" w:rsidRDefault="004803D6" w:rsidP="004803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26 040</w:t>
            </w:r>
          </w:p>
        </w:tc>
      </w:tr>
      <w:tr w:rsidR="00D5517C" w:rsidRPr="002138C0" w14:paraId="58395EC8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D57F" w14:textId="5396F87E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2F5496" w:themeColor="accent5" w:themeShade="BF"/>
                <w:sz w:val="20"/>
              </w:rPr>
              <w:lastRenderedPageBreak/>
              <w:t>Pramen</w:t>
            </w: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: ČBA</w:t>
            </w:r>
            <w:r w:rsidR="00952AEF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 </w:t>
            </w:r>
            <w:r w:rsidR="00952AEF" w:rsidRPr="00AA62A7">
              <w:rPr>
                <w:rStyle w:val="Znakapoznpodarou"/>
                <w:rFonts w:asciiTheme="minorHAnsi" w:hAnsiTheme="minorHAnsi" w:cstheme="minorHAnsi"/>
                <w:color w:val="2F5496" w:themeColor="accent5" w:themeShade="BF"/>
                <w:sz w:val="20"/>
              </w:rPr>
              <w:footnoteReference w:id="2"/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43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25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1F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AAF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6A2A" w14:textId="77777777" w:rsidR="00D5517C" w:rsidRPr="00AA62A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D15A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72E4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EB1892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0336" w14:textId="02728D43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Pozn.: barevný sloupec odpovídá úrokové sazbě posledního ČBA </w:t>
            </w:r>
            <w:proofErr w:type="spellStart"/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Hypomonitoru</w:t>
            </w:r>
            <w:proofErr w:type="spellEnd"/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, ostatní sazby jsou ilustrační</w:t>
            </w:r>
            <w:r w:rsidR="00EB1892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; barevný řádek odpovídá průměrné splatnosti nových hypoték podle dat ČNB; částky jsou zaokrouhleny na desítky korun. </w:t>
            </w:r>
          </w:p>
        </w:tc>
      </w:tr>
    </w:tbl>
    <w:p w14:paraId="596DABCB" w14:textId="77777777" w:rsidR="008569DC" w:rsidRDefault="008569DC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37433820" w14:textId="67869EE4" w:rsidR="00573D34" w:rsidRDefault="00EB1892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FB5A27">
        <w:rPr>
          <w:rFonts w:ascii="Calibri" w:hAnsi="Calibri" w:cs="Calibri"/>
          <w:b/>
          <w:color w:val="13576B"/>
          <w:sz w:val="23"/>
          <w:szCs w:val="23"/>
        </w:rPr>
        <w:t>5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Ilustrativní srovnání výše měsíční splátky průměrné hypotéky s obdobím před rokem v závislosti na výši úroku, velikosti hypotéky a její splatnosti v</w:t>
      </w:r>
      <w:r w:rsidR="00573D34">
        <w:rPr>
          <w:rFonts w:ascii="Calibri" w:hAnsi="Calibri" w:cs="Calibri"/>
          <w:b/>
          <w:color w:val="13576B"/>
          <w:sz w:val="23"/>
          <w:szCs w:val="23"/>
        </w:rPr>
        <w:t> 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letech</w:t>
      </w:r>
    </w:p>
    <w:p w14:paraId="2A15E5D2" w14:textId="11DE9A1C" w:rsidR="004803D6" w:rsidRDefault="004803D6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4803D6">
        <w:rPr>
          <w:rFonts w:ascii="Calibri" w:hAnsi="Calibri" w:cs="Calibri"/>
          <w:bCs/>
          <w:i/>
          <w:iCs/>
          <w:color w:val="13576B"/>
          <w:sz w:val="23"/>
          <w:szCs w:val="23"/>
        </w:rPr>
        <w:t>V meziročním srovnání přinesl pokles hypoteční sazby úsporu průměrné měsíční splátky o 1 050 Kč, ovšem růst průměrné výše hypotéky způsobil její navýšení o 2 980 Kč.</w:t>
      </w:r>
    </w:p>
    <w:p w14:paraId="76AF5FBF" w14:textId="0C45E888" w:rsidR="004803D6" w:rsidRDefault="004803D6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  <w:drawing>
          <wp:inline distT="0" distB="0" distL="0" distR="0" wp14:anchorId="2CE53851" wp14:editId="5AABCF8B">
            <wp:extent cx="5767070" cy="3871595"/>
            <wp:effectExtent l="0" t="0" r="5080" b="0"/>
            <wp:docPr id="6806501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87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D4172" w14:textId="314DF59A" w:rsidR="008A56CE" w:rsidRDefault="008A56CE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7ECA69B5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A72B105" w14:textId="5EE70E11" w:rsidR="002E4EFD" w:rsidRPr="00D24B00" w:rsidRDefault="008723A8" w:rsidP="002E4EFD">
      <w:pPr>
        <w:rPr>
          <w:rFonts w:ascii="Calibri" w:hAnsi="Calibri" w:cs="Calibri"/>
          <w:b/>
          <w:color w:val="EE0000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Statistická příloha</w:t>
      </w:r>
    </w:p>
    <w:p w14:paraId="384BA2E5" w14:textId="381647A3" w:rsidR="0033440C" w:rsidRDefault="004803D6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4803D6">
        <w:rPr>
          <w:noProof/>
        </w:rPr>
        <w:lastRenderedPageBreak/>
        <w:drawing>
          <wp:inline distT="0" distB="0" distL="0" distR="0" wp14:anchorId="72701472" wp14:editId="6DF6F01B">
            <wp:extent cx="6480810" cy="4178300"/>
            <wp:effectExtent l="0" t="0" r="0" b="0"/>
            <wp:docPr id="16759269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E5F5" w14:textId="68A6E96C" w:rsidR="0033440C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03530238" w14:textId="378A1F3A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</w:t>
      </w:r>
      <w:r w:rsidR="006E2E7E">
        <w:rPr>
          <w:rFonts w:ascii="Calibri Light" w:hAnsi="Calibri Light" w:cs="Calibri Light"/>
          <w:color w:val="13576B"/>
          <w:sz w:val="20"/>
        </w:rPr>
        <w:t xml:space="preserve">Jedná se o skutečně nové hypotéky (tedy </w:t>
      </w:r>
      <w:r w:rsidR="00F50DD0">
        <w:rPr>
          <w:rFonts w:ascii="Calibri Light" w:hAnsi="Calibri Light" w:cs="Calibri Light"/>
          <w:color w:val="13576B"/>
          <w:sz w:val="20"/>
        </w:rPr>
        <w:t xml:space="preserve">bez </w:t>
      </w:r>
      <w:r w:rsidR="006E2E7E">
        <w:rPr>
          <w:rFonts w:ascii="Calibri Light" w:hAnsi="Calibri Light" w:cs="Calibri Light"/>
          <w:color w:val="13576B"/>
          <w:sz w:val="20"/>
        </w:rPr>
        <w:t xml:space="preserve">refinancování a navýšeni). </w:t>
      </w:r>
      <w:r>
        <w:rPr>
          <w:rFonts w:ascii="Calibri Light" w:hAnsi="Calibri Light" w:cs="Calibri Light"/>
          <w:color w:val="13576B"/>
          <w:sz w:val="20"/>
        </w:rPr>
        <w:t xml:space="preserve">Podkladová data jsou </w:t>
      </w:r>
      <w:r w:rsidRPr="008723A8">
        <w:rPr>
          <w:rFonts w:ascii="Calibri Light" w:hAnsi="Calibri Light" w:cs="Calibri Light"/>
          <w:color w:val="13576B"/>
          <w:sz w:val="20"/>
        </w:rPr>
        <w:t xml:space="preserve">k dispozici v souboru </w:t>
      </w:r>
      <w:proofErr w:type="spellStart"/>
      <w:r w:rsidRPr="008723A8">
        <w:rPr>
          <w:rFonts w:ascii="Calibri Light" w:hAnsi="Calibri Light" w:cs="Calibri Light"/>
          <w:color w:val="13576B"/>
          <w:sz w:val="20"/>
        </w:rPr>
        <w:t>xls</w:t>
      </w:r>
      <w:proofErr w:type="spellEnd"/>
      <w:r w:rsidRPr="008723A8">
        <w:rPr>
          <w:rFonts w:ascii="Calibri Light" w:hAnsi="Calibri Light" w:cs="Calibri Light"/>
          <w:color w:val="13576B"/>
          <w:sz w:val="20"/>
        </w:rPr>
        <w:t xml:space="preserve"> přiloženém na webových stránkách ČBA </w:t>
      </w:r>
      <w:proofErr w:type="spellStart"/>
      <w:r w:rsidRPr="008723A8">
        <w:rPr>
          <w:rFonts w:ascii="Calibri Light" w:hAnsi="Calibri Light" w:cs="Calibri Light"/>
          <w:color w:val="13576B"/>
          <w:sz w:val="20"/>
        </w:rPr>
        <w:t>Hypomonitoru</w:t>
      </w:r>
      <w:proofErr w:type="spellEnd"/>
      <w:r w:rsidR="00E16BD3">
        <w:rPr>
          <w:rFonts w:ascii="Calibri Light" w:hAnsi="Calibri Light" w:cs="Calibri Light"/>
          <w:color w:val="13576B"/>
          <w:sz w:val="20"/>
        </w:rPr>
        <w:t>. V</w:t>
      </w:r>
      <w:r w:rsidR="00E16BD3" w:rsidRPr="00E16BD3">
        <w:rPr>
          <w:rFonts w:ascii="Calibri Light" w:hAnsi="Calibri Light" w:cs="Calibri Light"/>
          <w:color w:val="13576B"/>
          <w:sz w:val="20"/>
        </w:rPr>
        <w:t>ýhled do konce roku</w:t>
      </w:r>
      <w:r w:rsidR="00E16BD3">
        <w:rPr>
          <w:rFonts w:ascii="Calibri Light" w:hAnsi="Calibri Light" w:cs="Calibri Light"/>
          <w:color w:val="13576B"/>
          <w:sz w:val="20"/>
        </w:rPr>
        <w:t xml:space="preserve"> (</w:t>
      </w:r>
      <w:proofErr w:type="spellStart"/>
      <w:r w:rsidR="00E16BD3">
        <w:rPr>
          <w:rFonts w:ascii="Calibri Light" w:hAnsi="Calibri Light" w:cs="Calibri Light"/>
          <w:color w:val="13576B"/>
          <w:sz w:val="20"/>
        </w:rPr>
        <w:t>fcst</w:t>
      </w:r>
      <w:proofErr w:type="spellEnd"/>
      <w:r w:rsidR="00E16BD3">
        <w:rPr>
          <w:rFonts w:ascii="Calibri Light" w:hAnsi="Calibri Light" w:cs="Calibri Light"/>
          <w:color w:val="13576B"/>
          <w:sz w:val="20"/>
        </w:rPr>
        <w:t>)</w:t>
      </w:r>
      <w:r w:rsidR="00E16BD3" w:rsidRPr="00E16BD3">
        <w:rPr>
          <w:rFonts w:ascii="Calibri Light" w:hAnsi="Calibri Light" w:cs="Calibri Light"/>
          <w:color w:val="13576B"/>
          <w:sz w:val="20"/>
        </w:rPr>
        <w:t xml:space="preserve"> je momentový – vychází z aktuálního trendu, nikoli z modelové predikce.</w:t>
      </w:r>
    </w:p>
    <w:p w14:paraId="50F3BD64" w14:textId="77777777" w:rsidR="0033440C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303965F" w14:textId="77777777" w:rsidR="0033440C" w:rsidRPr="00616069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bookmarkEnd w:id="6"/>
    <w:p w14:paraId="0D5FBC63" w14:textId="77777777" w:rsidR="002A5D11" w:rsidRPr="002A5D11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2024: Rekordní růst o 83 %</w:t>
      </w:r>
    </w:p>
    <w:p w14:paraId="4743E758" w14:textId="77777777" w:rsidR="001002CD" w:rsidRPr="00840F7C" w:rsidRDefault="001002CD" w:rsidP="003E393C">
      <w:pPr>
        <w:rPr>
          <w:rFonts w:ascii="Calibri" w:hAnsi="Calibri" w:cs="Calibri"/>
          <w:b/>
          <w:bCs/>
          <w:sz w:val="22"/>
          <w:szCs w:val="22"/>
        </w:rPr>
      </w:pPr>
    </w:p>
    <w:p w14:paraId="2BEF2B35" w14:textId="32E98697" w:rsidR="003E393C" w:rsidRPr="002138C0" w:rsidRDefault="001002CD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celý rok 2024 poskytly banky a stavební spořitelny nové hypoteční úvěry v objemu 228 miliard Kč.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 více než 83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%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skok vůči objemu z roku 2023. K tomu se navíc refinancovaly hypotéky v rozsahu 47 miliard Kč a celý hypoteční trh tak v roce 2024 narostl na 275 miliard Kč ze 150 miliard v roce 2023. Pokud upravíme objemy o nárůst cen nemovitostí o </w:t>
      </w:r>
      <w:r w:rsidR="00A30764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-8 % (dle různých statistik), objem nových hypoték vzrostl reálně o něco méně. To odpovídá i mírnějšímu nárůstu počtu nových hypoték v roce 2024 o 53 % meziročně na téměř 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62 tisíc a téměř 20% nárůstu průměrné výše poskytnuté nové hypotéky na 3,7 milion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</w:t>
      </w:r>
      <w:r w:rsidR="00693034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>Ve srovnání s předpandemickými roky 2017-2019 byl objem poskytnutých</w:t>
      </w:r>
      <w:r w:rsidR="00872E78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nových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hypoték v roce 202</w:t>
      </w:r>
      <w:r w:rsidR="003E4820" w:rsidRPr="00872E78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zhruba o </w:t>
      </w:r>
      <w:r w:rsidR="00FE400F" w:rsidRPr="00872E78">
        <w:rPr>
          <w:rFonts w:ascii="Calibri" w:hAnsi="Calibri" w:cs="Calibri"/>
          <w:color w:val="000000" w:themeColor="text1"/>
          <w:sz w:val="22"/>
          <w:szCs w:val="22"/>
        </w:rPr>
        <w:t>necelou pětinu vyšší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FD17B82" w14:textId="77777777" w:rsidR="005F105B" w:rsidRDefault="005F105B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506699D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70B01570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0514B5D2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590DDD4C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AA631AE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27A57DD1" w14:textId="77777777" w:rsidR="001E4370" w:rsidRPr="002138C0" w:rsidRDefault="001E4370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1595CC2" w14:textId="509E1154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lastRenderedPageBreak/>
        <w:t xml:space="preserve">Graf č. </w:t>
      </w:r>
      <w:r w:rsidR="00FB5A27">
        <w:rPr>
          <w:rFonts w:ascii="Calibri" w:hAnsi="Calibri" w:cs="Calibri"/>
          <w:b/>
          <w:color w:val="13576B"/>
          <w:sz w:val="23"/>
          <w:szCs w:val="23"/>
        </w:rPr>
        <w:t>6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,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počet 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a průměrná výše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poskytnutých hypoték v letech 202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>0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 až 202</w:t>
      </w:r>
      <w:r w:rsidR="002138C0" w:rsidRPr="002F4CBD">
        <w:rPr>
          <w:rFonts w:ascii="Calibri" w:hAnsi="Calibri" w:cs="Calibri"/>
          <w:b/>
          <w:color w:val="13576B"/>
          <w:sz w:val="23"/>
          <w:szCs w:val="23"/>
        </w:rPr>
        <w:t>4</w:t>
      </w:r>
    </w:p>
    <w:p w14:paraId="6B4EF12D" w14:textId="28831766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</w:p>
    <w:p w14:paraId="2F4D295D" w14:textId="6B9E4D05" w:rsidR="002F4CBD" w:rsidRPr="002F4CBD" w:rsidRDefault="003D57E2" w:rsidP="003E393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2FD9A30" wp14:editId="5FC9F4F0">
            <wp:extent cx="6480810" cy="1790065"/>
            <wp:effectExtent l="0" t="0" r="0" b="635"/>
            <wp:docPr id="204938162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8162" name="Picture 1" descr="A graph of different colored bars&#10;&#10;AI-generated content may b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28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29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Hypomonitor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1B58C64B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Partners Banka,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BRIQIAABgEAAAOAAAAZHJzL2Uyb0RvYy54bWysU9tu2zAMfR+wfxD0vthx41yMOEWbrsOA&#10;7gJ0+wBZlmNhsqhJSuzu60vJbpptb8P0IIgidUgeHm2vh06Rk7BOgi7pfJZSIjSHWupDSb9/u3+3&#10;psR5pmumQIuSPglHr3dv32x7U4gMWlC1sARBtCt6U9LWe1MkieOt6JibgREanQ3Yjnk07SGpLesR&#10;vVNJlqbLpAdbGwtcOIe3d6OT7iJ+0wjuvzSNE56okmJtPu427lXYk92WFQfLTCv5VAb7hyo6JjUm&#10;PUPdMc/I0cq/oDrJLTho/IxDl0DTSC5iD9jNPP2jm8eWGRF7QXKcOdPk/h8s/3x6NF8t8cMtDDjA&#10;2IQzD8B/OKJh3zJ9EDfWQt8KVmPieaAs6Y0rpqeBale4AFL1n6DGIbOjhwg0NLYLrGCfBNFxAE9n&#10;0sXgCcfLZb5arDbo4uhbLFd5nuYxBytenhvr/AcBHQmHklqcaoRnpwfnQzmseAkJ2RwoWd9LpaJh&#10;D9VeWXJiqID5Vb5a3o5vlWnZeLu+2mTZlNKN4RHzNxylSV/STZ7l8bmGkCCqp5MeJaxkV9J1GtYo&#10;qsDXe13HEM+kGs9YqtITgYGzkT0/VAMGBiIrqJ+QSgujVPFr4aEF+4uSHmVaUvfzyKygRH3UOI7N&#10;fLEIuo7GIl9laNhLT3XpYZojVEk9JeNx7+NfCERpuMGxNTIS+lrJVCvKL3IyfZWg70s7Rr1+6N0z&#10;AAAA//8DAFBLAwQUAAYACAAAACEAgyt76+AAAAAIAQAADwAAAGRycy9kb3ducmV2LnhtbEyPzU7D&#10;MBCE70i8g7VI3KhdmlITsqkQEocKDqX8SL25sYkj7HUUu2369rgnOI5mNPNNtRy9YwczxC4QwnQi&#10;gBlqgu6oRfh4f76RwGJSpJULZBBOJsKyvryoVKnDkd7MYZNalksolgrBptSXnMfGGq/iJPSGsvcd&#10;Bq9SlkPL9aCOudw7fivEHfeqo7xgVW+erGl+NnuPsF2dCvm6aqWbfq1f7OzzfrH1CfH6anx8AJbM&#10;mP7CcMbP6FBnpl3Yk47MIeQjCaEo5sDOrpjNC2A7hIUUEnhd8f8H6l8AAAD//wMAUEsBAi0AFAAG&#10;AAgAAAAhALaDOJL+AAAA4QEAABMAAAAAAAAAAAAAAAAAAAAAAFtDb250ZW50X1R5cGVzXS54bWxQ&#10;SwECLQAUAAYACAAAACEAOP0h/9YAAACUAQAACwAAAAAAAAAAAAAAAAAvAQAAX3JlbHMvLnJlbHNQ&#10;SwECLQAUAAYACAAAACEAQvPwUSECAAAYBAAADgAAAAAAAAAAAAAAAAAuAgAAZHJzL2Uyb0RvYy54&#10;bWxQSwECLQAUAAYACAAAACEAgyt76+AAAAAIAQAADwAAAAAAAAAAAAAAAAB7BAAAZHJzL2Rvd25y&#10;ZXYueG1sUEsFBgAAAAAEAAQA8wAAAIg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Metodika ČBA Hypomonitoru</w:t>
                      </w:r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Hypomonitor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podílu,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1B58C64B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Partners Banka,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606031">
      <w:type w:val="continuous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2C2F" w14:textId="77777777" w:rsidR="00EB3A47" w:rsidRPr="00616069" w:rsidRDefault="00EB3A47" w:rsidP="00F573F1">
      <w:r w:rsidRPr="00616069">
        <w:separator/>
      </w:r>
    </w:p>
  </w:endnote>
  <w:endnote w:type="continuationSeparator" w:id="0">
    <w:p w14:paraId="7D18D5C3" w14:textId="77777777" w:rsidR="00EB3A47" w:rsidRPr="00616069" w:rsidRDefault="00EB3A47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566919382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446E" w14:textId="77777777" w:rsidR="00EB3A47" w:rsidRPr="00616069" w:rsidRDefault="00EB3A47" w:rsidP="00F573F1">
      <w:r w:rsidRPr="00616069">
        <w:separator/>
      </w:r>
    </w:p>
  </w:footnote>
  <w:footnote w:type="continuationSeparator" w:id="0">
    <w:p w14:paraId="1E54817F" w14:textId="77777777" w:rsidR="00EB3A47" w:rsidRPr="00616069" w:rsidRDefault="00EB3A47" w:rsidP="00F573F1">
      <w:r w:rsidRPr="00616069">
        <w:continuationSeparator/>
      </w:r>
    </w:p>
  </w:footnote>
  <w:footnote w:id="1">
    <w:p w14:paraId="092EC34E" w14:textId="77777777" w:rsidR="00055000" w:rsidRPr="00616069" w:rsidRDefault="00055000" w:rsidP="00055000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3F408451" w14:textId="77777777" w:rsidR="00952AEF" w:rsidRPr="00952AEF" w:rsidRDefault="00952AEF" w:rsidP="00952AEF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Tabulka je k dispozici v souboru xls přiloženém na webových stránkách 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622019C8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622019C8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12723202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68288928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57C8A335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2F43DE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  <w:r w:rsidR="00F713ED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  <w:r w:rsidR="009C040E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F713ED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28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57C8A335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2F43DE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  <w:r w:rsidR="00F713ED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  <w:r w:rsidR="009C040E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F713ED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A48A1"/>
    <w:multiLevelType w:val="hybridMultilevel"/>
    <w:tmpl w:val="6E121294"/>
    <w:lvl w:ilvl="0" w:tplc="BEC07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3"/>
  </w:num>
  <w:num w:numId="2" w16cid:durableId="1910113698">
    <w:abstractNumId w:val="9"/>
  </w:num>
  <w:num w:numId="3" w16cid:durableId="405613309">
    <w:abstractNumId w:val="26"/>
  </w:num>
  <w:num w:numId="4" w16cid:durableId="240213499">
    <w:abstractNumId w:val="15"/>
  </w:num>
  <w:num w:numId="5" w16cid:durableId="740492638">
    <w:abstractNumId w:val="5"/>
  </w:num>
  <w:num w:numId="6" w16cid:durableId="211576891">
    <w:abstractNumId w:val="24"/>
  </w:num>
  <w:num w:numId="7" w16cid:durableId="1918248069">
    <w:abstractNumId w:val="7"/>
  </w:num>
  <w:num w:numId="8" w16cid:durableId="1159419045">
    <w:abstractNumId w:val="29"/>
  </w:num>
  <w:num w:numId="9" w16cid:durableId="1798374138">
    <w:abstractNumId w:val="6"/>
  </w:num>
  <w:num w:numId="10" w16cid:durableId="1530677457">
    <w:abstractNumId w:val="25"/>
  </w:num>
  <w:num w:numId="11" w16cid:durableId="984315201">
    <w:abstractNumId w:val="2"/>
  </w:num>
  <w:num w:numId="12" w16cid:durableId="77621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6"/>
  </w:num>
  <w:num w:numId="15" w16cid:durableId="1323195451">
    <w:abstractNumId w:val="13"/>
  </w:num>
  <w:num w:numId="16" w16cid:durableId="467165265">
    <w:abstractNumId w:val="10"/>
  </w:num>
  <w:num w:numId="17" w16cid:durableId="676033370">
    <w:abstractNumId w:val="12"/>
  </w:num>
  <w:num w:numId="18" w16cid:durableId="1742554342">
    <w:abstractNumId w:val="18"/>
  </w:num>
  <w:num w:numId="19" w16cid:durableId="613287013">
    <w:abstractNumId w:val="21"/>
  </w:num>
  <w:num w:numId="20" w16cid:durableId="8067070">
    <w:abstractNumId w:val="11"/>
  </w:num>
  <w:num w:numId="21" w16cid:durableId="825434180">
    <w:abstractNumId w:val="0"/>
  </w:num>
  <w:num w:numId="22" w16cid:durableId="1082681076">
    <w:abstractNumId w:val="23"/>
  </w:num>
  <w:num w:numId="23" w16cid:durableId="1901165520">
    <w:abstractNumId w:val="28"/>
  </w:num>
  <w:num w:numId="24" w16cid:durableId="1991010767">
    <w:abstractNumId w:val="22"/>
  </w:num>
  <w:num w:numId="25" w16cid:durableId="1542282676">
    <w:abstractNumId w:val="17"/>
  </w:num>
  <w:num w:numId="26" w16cid:durableId="986973659">
    <w:abstractNumId w:val="14"/>
  </w:num>
  <w:num w:numId="27" w16cid:durableId="815336034">
    <w:abstractNumId w:val="27"/>
  </w:num>
  <w:num w:numId="28" w16cid:durableId="1895651473">
    <w:abstractNumId w:val="8"/>
  </w:num>
  <w:num w:numId="29" w16cid:durableId="1858687908">
    <w:abstractNumId w:val="4"/>
  </w:num>
  <w:num w:numId="30" w16cid:durableId="1758164458">
    <w:abstractNumId w:val="20"/>
  </w:num>
  <w:num w:numId="31" w16cid:durableId="142554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4B72"/>
    <w:rsid w:val="00005419"/>
    <w:rsid w:val="000054D2"/>
    <w:rsid w:val="00005B3F"/>
    <w:rsid w:val="00005DB1"/>
    <w:rsid w:val="00006511"/>
    <w:rsid w:val="00006C79"/>
    <w:rsid w:val="000070E2"/>
    <w:rsid w:val="00010564"/>
    <w:rsid w:val="000118C2"/>
    <w:rsid w:val="00011AF5"/>
    <w:rsid w:val="0001227F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21E0"/>
    <w:rsid w:val="00023E9F"/>
    <w:rsid w:val="00024480"/>
    <w:rsid w:val="0002473E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1985"/>
    <w:rsid w:val="000427B8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000"/>
    <w:rsid w:val="000559DE"/>
    <w:rsid w:val="00055CBC"/>
    <w:rsid w:val="000563EB"/>
    <w:rsid w:val="00056A4F"/>
    <w:rsid w:val="00057396"/>
    <w:rsid w:val="000606C6"/>
    <w:rsid w:val="00060D7F"/>
    <w:rsid w:val="00063DEB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00C9"/>
    <w:rsid w:val="0009101B"/>
    <w:rsid w:val="00091B3B"/>
    <w:rsid w:val="00093324"/>
    <w:rsid w:val="0009491E"/>
    <w:rsid w:val="00097293"/>
    <w:rsid w:val="000976B9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481"/>
    <w:rsid w:val="000A664C"/>
    <w:rsid w:val="000B064D"/>
    <w:rsid w:val="000B083D"/>
    <w:rsid w:val="000B0992"/>
    <w:rsid w:val="000B2005"/>
    <w:rsid w:val="000B32E2"/>
    <w:rsid w:val="000B3BFA"/>
    <w:rsid w:val="000B4C8F"/>
    <w:rsid w:val="000B510F"/>
    <w:rsid w:val="000B51A4"/>
    <w:rsid w:val="000B70C8"/>
    <w:rsid w:val="000B79A4"/>
    <w:rsid w:val="000C045B"/>
    <w:rsid w:val="000C11CC"/>
    <w:rsid w:val="000C12D3"/>
    <w:rsid w:val="000C12F1"/>
    <w:rsid w:val="000C1E4E"/>
    <w:rsid w:val="000C234E"/>
    <w:rsid w:val="000C3211"/>
    <w:rsid w:val="000C4910"/>
    <w:rsid w:val="000C502F"/>
    <w:rsid w:val="000C5651"/>
    <w:rsid w:val="000C6834"/>
    <w:rsid w:val="000C78A3"/>
    <w:rsid w:val="000D011A"/>
    <w:rsid w:val="000D02A4"/>
    <w:rsid w:val="000D0E5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2A4"/>
    <w:rsid w:val="000E4810"/>
    <w:rsid w:val="000E4ABC"/>
    <w:rsid w:val="000E563F"/>
    <w:rsid w:val="000E59CE"/>
    <w:rsid w:val="000E5F43"/>
    <w:rsid w:val="000F02C1"/>
    <w:rsid w:val="000F02FD"/>
    <w:rsid w:val="000F0342"/>
    <w:rsid w:val="000F0636"/>
    <w:rsid w:val="000F0A03"/>
    <w:rsid w:val="000F0B04"/>
    <w:rsid w:val="000F30E9"/>
    <w:rsid w:val="000F3195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0E3B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9DC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4F6E"/>
    <w:rsid w:val="001361CA"/>
    <w:rsid w:val="00136519"/>
    <w:rsid w:val="0013679D"/>
    <w:rsid w:val="00136825"/>
    <w:rsid w:val="00136D3A"/>
    <w:rsid w:val="00136EC9"/>
    <w:rsid w:val="00136FC5"/>
    <w:rsid w:val="00136FC7"/>
    <w:rsid w:val="00137050"/>
    <w:rsid w:val="0013716D"/>
    <w:rsid w:val="00137560"/>
    <w:rsid w:val="00140854"/>
    <w:rsid w:val="00140E10"/>
    <w:rsid w:val="001438F4"/>
    <w:rsid w:val="00143BF5"/>
    <w:rsid w:val="00143DCC"/>
    <w:rsid w:val="00144794"/>
    <w:rsid w:val="00144D53"/>
    <w:rsid w:val="00144D9A"/>
    <w:rsid w:val="00145506"/>
    <w:rsid w:val="001457AA"/>
    <w:rsid w:val="00145E7A"/>
    <w:rsid w:val="00146F46"/>
    <w:rsid w:val="0015125A"/>
    <w:rsid w:val="00151A74"/>
    <w:rsid w:val="001526EE"/>
    <w:rsid w:val="0015278B"/>
    <w:rsid w:val="0015295E"/>
    <w:rsid w:val="00152A73"/>
    <w:rsid w:val="001534F6"/>
    <w:rsid w:val="00153692"/>
    <w:rsid w:val="00154B70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0CF6"/>
    <w:rsid w:val="001715A2"/>
    <w:rsid w:val="0017388B"/>
    <w:rsid w:val="00173D31"/>
    <w:rsid w:val="0017441E"/>
    <w:rsid w:val="0017486D"/>
    <w:rsid w:val="00175839"/>
    <w:rsid w:val="00175A85"/>
    <w:rsid w:val="00175E6C"/>
    <w:rsid w:val="00175FBC"/>
    <w:rsid w:val="00176669"/>
    <w:rsid w:val="001766FF"/>
    <w:rsid w:val="00176C20"/>
    <w:rsid w:val="00176DFC"/>
    <w:rsid w:val="00177598"/>
    <w:rsid w:val="00180856"/>
    <w:rsid w:val="001808FE"/>
    <w:rsid w:val="0018097B"/>
    <w:rsid w:val="00180A13"/>
    <w:rsid w:val="00182C97"/>
    <w:rsid w:val="00183066"/>
    <w:rsid w:val="001833C7"/>
    <w:rsid w:val="00183FB4"/>
    <w:rsid w:val="00184412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2B23"/>
    <w:rsid w:val="001B3197"/>
    <w:rsid w:val="001B39D3"/>
    <w:rsid w:val="001B4DA8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1C52"/>
    <w:rsid w:val="001F2A1F"/>
    <w:rsid w:val="001F3DF4"/>
    <w:rsid w:val="001F49EA"/>
    <w:rsid w:val="001F5CF7"/>
    <w:rsid w:val="001F64C3"/>
    <w:rsid w:val="001F6A78"/>
    <w:rsid w:val="001F6E8A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3F87"/>
    <w:rsid w:val="002045A5"/>
    <w:rsid w:val="0020488B"/>
    <w:rsid w:val="00204F09"/>
    <w:rsid w:val="0020667A"/>
    <w:rsid w:val="0020698C"/>
    <w:rsid w:val="00206F7E"/>
    <w:rsid w:val="00207AE7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07C1"/>
    <w:rsid w:val="0023165F"/>
    <w:rsid w:val="00231F3A"/>
    <w:rsid w:val="002328F4"/>
    <w:rsid w:val="0023390F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10C"/>
    <w:rsid w:val="00262B7F"/>
    <w:rsid w:val="00263207"/>
    <w:rsid w:val="00264741"/>
    <w:rsid w:val="00264C92"/>
    <w:rsid w:val="0026639E"/>
    <w:rsid w:val="00266980"/>
    <w:rsid w:val="00266ACC"/>
    <w:rsid w:val="00267ACA"/>
    <w:rsid w:val="002707C5"/>
    <w:rsid w:val="00270A4E"/>
    <w:rsid w:val="00270E60"/>
    <w:rsid w:val="00270F52"/>
    <w:rsid w:val="00271563"/>
    <w:rsid w:val="00271569"/>
    <w:rsid w:val="00272177"/>
    <w:rsid w:val="002725DA"/>
    <w:rsid w:val="00274645"/>
    <w:rsid w:val="002748F6"/>
    <w:rsid w:val="00274D15"/>
    <w:rsid w:val="00275209"/>
    <w:rsid w:val="00277397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7580"/>
    <w:rsid w:val="00290498"/>
    <w:rsid w:val="0029071C"/>
    <w:rsid w:val="00291656"/>
    <w:rsid w:val="0029179B"/>
    <w:rsid w:val="00291BE8"/>
    <w:rsid w:val="00293122"/>
    <w:rsid w:val="0029502E"/>
    <w:rsid w:val="00296021"/>
    <w:rsid w:val="0029774E"/>
    <w:rsid w:val="00297B85"/>
    <w:rsid w:val="002A0002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5B7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C5B51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4EFD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3DE"/>
    <w:rsid w:val="002F477C"/>
    <w:rsid w:val="002F4A74"/>
    <w:rsid w:val="002F4CBD"/>
    <w:rsid w:val="002F4CDA"/>
    <w:rsid w:val="002F506A"/>
    <w:rsid w:val="002F52DA"/>
    <w:rsid w:val="002F557F"/>
    <w:rsid w:val="002F6432"/>
    <w:rsid w:val="002F6A6D"/>
    <w:rsid w:val="003012B9"/>
    <w:rsid w:val="0030161E"/>
    <w:rsid w:val="00301915"/>
    <w:rsid w:val="003028DC"/>
    <w:rsid w:val="003029D1"/>
    <w:rsid w:val="0030348A"/>
    <w:rsid w:val="00303B0E"/>
    <w:rsid w:val="003045DD"/>
    <w:rsid w:val="00304727"/>
    <w:rsid w:val="0030613B"/>
    <w:rsid w:val="00306844"/>
    <w:rsid w:val="003077DD"/>
    <w:rsid w:val="003111F3"/>
    <w:rsid w:val="003131EC"/>
    <w:rsid w:val="003134AE"/>
    <w:rsid w:val="00313DD8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58C4"/>
    <w:rsid w:val="00327407"/>
    <w:rsid w:val="00327CB6"/>
    <w:rsid w:val="00330A92"/>
    <w:rsid w:val="003315E9"/>
    <w:rsid w:val="0033298A"/>
    <w:rsid w:val="00333B31"/>
    <w:rsid w:val="00334257"/>
    <w:rsid w:val="0033440C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46E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026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B7AE1"/>
    <w:rsid w:val="003C0B1B"/>
    <w:rsid w:val="003C1195"/>
    <w:rsid w:val="003C12B6"/>
    <w:rsid w:val="003C185F"/>
    <w:rsid w:val="003C2D27"/>
    <w:rsid w:val="003C373E"/>
    <w:rsid w:val="003C3D7F"/>
    <w:rsid w:val="003C41DD"/>
    <w:rsid w:val="003C4DE7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2390"/>
    <w:rsid w:val="003D2EFA"/>
    <w:rsid w:val="003D3759"/>
    <w:rsid w:val="003D45D4"/>
    <w:rsid w:val="003D57E2"/>
    <w:rsid w:val="003D613B"/>
    <w:rsid w:val="003D684B"/>
    <w:rsid w:val="003D749F"/>
    <w:rsid w:val="003D7D9E"/>
    <w:rsid w:val="003E0FC6"/>
    <w:rsid w:val="003E14DF"/>
    <w:rsid w:val="003E1AAB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3922"/>
    <w:rsid w:val="003F470D"/>
    <w:rsid w:val="003F512D"/>
    <w:rsid w:val="003F56A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4E84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883"/>
    <w:rsid w:val="00425A84"/>
    <w:rsid w:val="00425B3B"/>
    <w:rsid w:val="0042602B"/>
    <w:rsid w:val="004279BD"/>
    <w:rsid w:val="00430F3C"/>
    <w:rsid w:val="004325D3"/>
    <w:rsid w:val="00435176"/>
    <w:rsid w:val="00436F5C"/>
    <w:rsid w:val="004371EE"/>
    <w:rsid w:val="00437589"/>
    <w:rsid w:val="0043780A"/>
    <w:rsid w:val="00440A53"/>
    <w:rsid w:val="00442170"/>
    <w:rsid w:val="0044352D"/>
    <w:rsid w:val="004444EE"/>
    <w:rsid w:val="004445E7"/>
    <w:rsid w:val="00444BDA"/>
    <w:rsid w:val="00445609"/>
    <w:rsid w:val="004464CF"/>
    <w:rsid w:val="00446AAD"/>
    <w:rsid w:val="004476C2"/>
    <w:rsid w:val="00451368"/>
    <w:rsid w:val="004522D4"/>
    <w:rsid w:val="00452B0E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03D6"/>
    <w:rsid w:val="00480B75"/>
    <w:rsid w:val="00483136"/>
    <w:rsid w:val="0048354D"/>
    <w:rsid w:val="00483FA6"/>
    <w:rsid w:val="0048489E"/>
    <w:rsid w:val="004852E3"/>
    <w:rsid w:val="00485ADC"/>
    <w:rsid w:val="00486858"/>
    <w:rsid w:val="00486C1D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1FE"/>
    <w:rsid w:val="00495C6A"/>
    <w:rsid w:val="004969D8"/>
    <w:rsid w:val="00496A0D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428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2E1A"/>
    <w:rsid w:val="004B3889"/>
    <w:rsid w:val="004B3E0D"/>
    <w:rsid w:val="004B3F04"/>
    <w:rsid w:val="004B441B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3F0C"/>
    <w:rsid w:val="004E4B5B"/>
    <w:rsid w:val="004E5779"/>
    <w:rsid w:val="004E5E51"/>
    <w:rsid w:val="004E642B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072"/>
    <w:rsid w:val="00502C28"/>
    <w:rsid w:val="00503D06"/>
    <w:rsid w:val="00504229"/>
    <w:rsid w:val="00504370"/>
    <w:rsid w:val="00505434"/>
    <w:rsid w:val="005063FD"/>
    <w:rsid w:val="0050674F"/>
    <w:rsid w:val="005069C2"/>
    <w:rsid w:val="005070EC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43BA"/>
    <w:rsid w:val="0053589B"/>
    <w:rsid w:val="00535CDB"/>
    <w:rsid w:val="00535E49"/>
    <w:rsid w:val="0053659F"/>
    <w:rsid w:val="00537D18"/>
    <w:rsid w:val="00537D95"/>
    <w:rsid w:val="005417AF"/>
    <w:rsid w:val="00541D7D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5FE"/>
    <w:rsid w:val="00554717"/>
    <w:rsid w:val="00554FF2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9C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D34"/>
    <w:rsid w:val="00573F62"/>
    <w:rsid w:val="00574588"/>
    <w:rsid w:val="00574592"/>
    <w:rsid w:val="00574619"/>
    <w:rsid w:val="005746F6"/>
    <w:rsid w:val="00574E2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90E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1B6C"/>
    <w:rsid w:val="005B2B4F"/>
    <w:rsid w:val="005B2CB5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232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E7C7D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031"/>
    <w:rsid w:val="00606E04"/>
    <w:rsid w:val="00607B8A"/>
    <w:rsid w:val="006102C4"/>
    <w:rsid w:val="00611A97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8C3"/>
    <w:rsid w:val="00622D62"/>
    <w:rsid w:val="00622D80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20CB"/>
    <w:rsid w:val="0063314F"/>
    <w:rsid w:val="006337E7"/>
    <w:rsid w:val="0063422F"/>
    <w:rsid w:val="006354FF"/>
    <w:rsid w:val="00635832"/>
    <w:rsid w:val="00635AB6"/>
    <w:rsid w:val="006361B1"/>
    <w:rsid w:val="006365E9"/>
    <w:rsid w:val="00636E18"/>
    <w:rsid w:val="0063705B"/>
    <w:rsid w:val="00637228"/>
    <w:rsid w:val="006406FA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7A7A"/>
    <w:rsid w:val="00650724"/>
    <w:rsid w:val="0065124E"/>
    <w:rsid w:val="006513A0"/>
    <w:rsid w:val="006527F6"/>
    <w:rsid w:val="00652C4F"/>
    <w:rsid w:val="0065308E"/>
    <w:rsid w:val="006534DC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0DB9"/>
    <w:rsid w:val="00661956"/>
    <w:rsid w:val="00661C43"/>
    <w:rsid w:val="00662C23"/>
    <w:rsid w:val="00663A53"/>
    <w:rsid w:val="0066473E"/>
    <w:rsid w:val="00664F66"/>
    <w:rsid w:val="00665069"/>
    <w:rsid w:val="0066537B"/>
    <w:rsid w:val="00665718"/>
    <w:rsid w:val="00665E8C"/>
    <w:rsid w:val="00665F6E"/>
    <w:rsid w:val="0066692E"/>
    <w:rsid w:val="00666CC6"/>
    <w:rsid w:val="006677D7"/>
    <w:rsid w:val="00667828"/>
    <w:rsid w:val="00667AF6"/>
    <w:rsid w:val="00670CDD"/>
    <w:rsid w:val="00670F37"/>
    <w:rsid w:val="00672277"/>
    <w:rsid w:val="00674930"/>
    <w:rsid w:val="00676079"/>
    <w:rsid w:val="00676326"/>
    <w:rsid w:val="006777C7"/>
    <w:rsid w:val="00677FE7"/>
    <w:rsid w:val="006830CE"/>
    <w:rsid w:val="006839E8"/>
    <w:rsid w:val="00683D65"/>
    <w:rsid w:val="00684AB4"/>
    <w:rsid w:val="00684FDE"/>
    <w:rsid w:val="006851CB"/>
    <w:rsid w:val="00685F12"/>
    <w:rsid w:val="00687672"/>
    <w:rsid w:val="00690239"/>
    <w:rsid w:val="00690FB6"/>
    <w:rsid w:val="00691287"/>
    <w:rsid w:val="006919FC"/>
    <w:rsid w:val="00693034"/>
    <w:rsid w:val="0069373F"/>
    <w:rsid w:val="00693FDC"/>
    <w:rsid w:val="006963D2"/>
    <w:rsid w:val="00696748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4CF3"/>
    <w:rsid w:val="006A7BEA"/>
    <w:rsid w:val="006A7D62"/>
    <w:rsid w:val="006B120F"/>
    <w:rsid w:val="006B1FE2"/>
    <w:rsid w:val="006B220A"/>
    <w:rsid w:val="006B2EBD"/>
    <w:rsid w:val="006B2F86"/>
    <w:rsid w:val="006B3690"/>
    <w:rsid w:val="006B37A6"/>
    <w:rsid w:val="006B3C0D"/>
    <w:rsid w:val="006B4649"/>
    <w:rsid w:val="006C0355"/>
    <w:rsid w:val="006C090C"/>
    <w:rsid w:val="006C13D5"/>
    <w:rsid w:val="006C3A40"/>
    <w:rsid w:val="006C3F79"/>
    <w:rsid w:val="006C4E8E"/>
    <w:rsid w:val="006C53A0"/>
    <w:rsid w:val="006C5E9B"/>
    <w:rsid w:val="006C6628"/>
    <w:rsid w:val="006C6D77"/>
    <w:rsid w:val="006C7240"/>
    <w:rsid w:val="006C74D6"/>
    <w:rsid w:val="006C7663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7E"/>
    <w:rsid w:val="006E2EFD"/>
    <w:rsid w:val="006E3420"/>
    <w:rsid w:val="006E381D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240"/>
    <w:rsid w:val="006F3620"/>
    <w:rsid w:val="006F3D73"/>
    <w:rsid w:val="006F5A87"/>
    <w:rsid w:val="006F747C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217"/>
    <w:rsid w:val="007116F8"/>
    <w:rsid w:val="00712900"/>
    <w:rsid w:val="007133E9"/>
    <w:rsid w:val="007137B3"/>
    <w:rsid w:val="00713BD4"/>
    <w:rsid w:val="00714542"/>
    <w:rsid w:val="007146AA"/>
    <w:rsid w:val="00714837"/>
    <w:rsid w:val="007149B8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8AB"/>
    <w:rsid w:val="00720B68"/>
    <w:rsid w:val="00720DE3"/>
    <w:rsid w:val="00721C6A"/>
    <w:rsid w:val="007222B0"/>
    <w:rsid w:val="007227EC"/>
    <w:rsid w:val="00722F2C"/>
    <w:rsid w:val="00723293"/>
    <w:rsid w:val="00723439"/>
    <w:rsid w:val="00723CB3"/>
    <w:rsid w:val="00724D46"/>
    <w:rsid w:val="007252D4"/>
    <w:rsid w:val="007263EF"/>
    <w:rsid w:val="00727012"/>
    <w:rsid w:val="0072723A"/>
    <w:rsid w:val="007279EC"/>
    <w:rsid w:val="00727D29"/>
    <w:rsid w:val="00730818"/>
    <w:rsid w:val="00730E2D"/>
    <w:rsid w:val="0073142D"/>
    <w:rsid w:val="0073237F"/>
    <w:rsid w:val="007323B9"/>
    <w:rsid w:val="007330A4"/>
    <w:rsid w:val="00733C05"/>
    <w:rsid w:val="00734568"/>
    <w:rsid w:val="0073460E"/>
    <w:rsid w:val="007349F9"/>
    <w:rsid w:val="00734A12"/>
    <w:rsid w:val="00735CDE"/>
    <w:rsid w:val="00736EAE"/>
    <w:rsid w:val="00737178"/>
    <w:rsid w:val="00737F9B"/>
    <w:rsid w:val="007402C2"/>
    <w:rsid w:val="0074044C"/>
    <w:rsid w:val="007405B1"/>
    <w:rsid w:val="00740AF0"/>
    <w:rsid w:val="007419ED"/>
    <w:rsid w:val="00742174"/>
    <w:rsid w:val="00742C4C"/>
    <w:rsid w:val="007431F0"/>
    <w:rsid w:val="00743577"/>
    <w:rsid w:val="007435D3"/>
    <w:rsid w:val="00744220"/>
    <w:rsid w:val="00744C66"/>
    <w:rsid w:val="007464CC"/>
    <w:rsid w:val="00747238"/>
    <w:rsid w:val="00747B4B"/>
    <w:rsid w:val="00747D5E"/>
    <w:rsid w:val="00750679"/>
    <w:rsid w:val="00751EDA"/>
    <w:rsid w:val="00754003"/>
    <w:rsid w:val="00754851"/>
    <w:rsid w:val="007575D0"/>
    <w:rsid w:val="00757649"/>
    <w:rsid w:val="00760944"/>
    <w:rsid w:val="007609D5"/>
    <w:rsid w:val="00760C75"/>
    <w:rsid w:val="007611AD"/>
    <w:rsid w:val="0076126B"/>
    <w:rsid w:val="007613B3"/>
    <w:rsid w:val="00762FBA"/>
    <w:rsid w:val="0076316D"/>
    <w:rsid w:val="00763FB6"/>
    <w:rsid w:val="0076473F"/>
    <w:rsid w:val="00764748"/>
    <w:rsid w:val="00765515"/>
    <w:rsid w:val="00765F2A"/>
    <w:rsid w:val="00766F28"/>
    <w:rsid w:val="007713E8"/>
    <w:rsid w:val="00771967"/>
    <w:rsid w:val="00771AA1"/>
    <w:rsid w:val="00772FC8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2C45"/>
    <w:rsid w:val="00793842"/>
    <w:rsid w:val="00794379"/>
    <w:rsid w:val="007953B5"/>
    <w:rsid w:val="00795F3C"/>
    <w:rsid w:val="00796271"/>
    <w:rsid w:val="00796431"/>
    <w:rsid w:val="007964DC"/>
    <w:rsid w:val="007967E6"/>
    <w:rsid w:val="00797D07"/>
    <w:rsid w:val="00797EC1"/>
    <w:rsid w:val="007A03B9"/>
    <w:rsid w:val="007A06C5"/>
    <w:rsid w:val="007A0B4E"/>
    <w:rsid w:val="007A117C"/>
    <w:rsid w:val="007A19E3"/>
    <w:rsid w:val="007A2635"/>
    <w:rsid w:val="007A3BFB"/>
    <w:rsid w:val="007A5DE7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0E2D"/>
    <w:rsid w:val="007C1271"/>
    <w:rsid w:val="007C12F0"/>
    <w:rsid w:val="007C15B2"/>
    <w:rsid w:val="007C1E59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690B"/>
    <w:rsid w:val="007F6FBE"/>
    <w:rsid w:val="007F742B"/>
    <w:rsid w:val="007F7CBC"/>
    <w:rsid w:val="00800C45"/>
    <w:rsid w:val="0080130F"/>
    <w:rsid w:val="008026FE"/>
    <w:rsid w:val="00802F9F"/>
    <w:rsid w:val="0080372E"/>
    <w:rsid w:val="00803E55"/>
    <w:rsid w:val="00804358"/>
    <w:rsid w:val="00804F92"/>
    <w:rsid w:val="00807F19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3D03"/>
    <w:rsid w:val="00814399"/>
    <w:rsid w:val="00815A51"/>
    <w:rsid w:val="00817CF6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4FF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46F"/>
    <w:rsid w:val="00853C4A"/>
    <w:rsid w:val="00854190"/>
    <w:rsid w:val="00854682"/>
    <w:rsid w:val="00855DA1"/>
    <w:rsid w:val="00856359"/>
    <w:rsid w:val="008569DC"/>
    <w:rsid w:val="00856DA4"/>
    <w:rsid w:val="00857078"/>
    <w:rsid w:val="00857A3C"/>
    <w:rsid w:val="00860613"/>
    <w:rsid w:val="00861279"/>
    <w:rsid w:val="008612B4"/>
    <w:rsid w:val="00862A90"/>
    <w:rsid w:val="00863D31"/>
    <w:rsid w:val="00863D50"/>
    <w:rsid w:val="0086454A"/>
    <w:rsid w:val="0086464C"/>
    <w:rsid w:val="00866E95"/>
    <w:rsid w:val="00867AC6"/>
    <w:rsid w:val="00867E88"/>
    <w:rsid w:val="00870102"/>
    <w:rsid w:val="00870456"/>
    <w:rsid w:val="008721A5"/>
    <w:rsid w:val="008723A8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F7D"/>
    <w:rsid w:val="008811FC"/>
    <w:rsid w:val="00881D54"/>
    <w:rsid w:val="008825CE"/>
    <w:rsid w:val="00882EFB"/>
    <w:rsid w:val="0088366A"/>
    <w:rsid w:val="00883A3C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0C"/>
    <w:rsid w:val="00893E72"/>
    <w:rsid w:val="00896BC2"/>
    <w:rsid w:val="00896C06"/>
    <w:rsid w:val="008A072D"/>
    <w:rsid w:val="008A1815"/>
    <w:rsid w:val="008A1C42"/>
    <w:rsid w:val="008A2D63"/>
    <w:rsid w:val="008A2FA0"/>
    <w:rsid w:val="008A3348"/>
    <w:rsid w:val="008A3666"/>
    <w:rsid w:val="008A3889"/>
    <w:rsid w:val="008A4BAF"/>
    <w:rsid w:val="008A56CE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D3F"/>
    <w:rsid w:val="008B2E9A"/>
    <w:rsid w:val="008B2EB5"/>
    <w:rsid w:val="008B3ADE"/>
    <w:rsid w:val="008B44C3"/>
    <w:rsid w:val="008B5255"/>
    <w:rsid w:val="008B5613"/>
    <w:rsid w:val="008B62E9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22DA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3D1C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4916"/>
    <w:rsid w:val="008F6034"/>
    <w:rsid w:val="008F7859"/>
    <w:rsid w:val="008F7ADB"/>
    <w:rsid w:val="008F7CC9"/>
    <w:rsid w:val="009001B0"/>
    <w:rsid w:val="00900940"/>
    <w:rsid w:val="00900CC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2D34"/>
    <w:rsid w:val="009139AF"/>
    <w:rsid w:val="009148EC"/>
    <w:rsid w:val="00914BFD"/>
    <w:rsid w:val="00914CD2"/>
    <w:rsid w:val="00915EF9"/>
    <w:rsid w:val="009174DB"/>
    <w:rsid w:val="009174F6"/>
    <w:rsid w:val="00917A99"/>
    <w:rsid w:val="00920831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272E3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0DF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B5B"/>
    <w:rsid w:val="00960F24"/>
    <w:rsid w:val="00960FAF"/>
    <w:rsid w:val="00960FBE"/>
    <w:rsid w:val="0096172B"/>
    <w:rsid w:val="00961C91"/>
    <w:rsid w:val="009628F6"/>
    <w:rsid w:val="00962AB8"/>
    <w:rsid w:val="00962CB7"/>
    <w:rsid w:val="00962E64"/>
    <w:rsid w:val="00963AA3"/>
    <w:rsid w:val="00963B80"/>
    <w:rsid w:val="00964478"/>
    <w:rsid w:val="009651FA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6F97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57EB"/>
    <w:rsid w:val="00986110"/>
    <w:rsid w:val="009869D5"/>
    <w:rsid w:val="00987232"/>
    <w:rsid w:val="009877E3"/>
    <w:rsid w:val="0099047A"/>
    <w:rsid w:val="009905A0"/>
    <w:rsid w:val="00990EC7"/>
    <w:rsid w:val="00991B95"/>
    <w:rsid w:val="00991D3E"/>
    <w:rsid w:val="00992630"/>
    <w:rsid w:val="00992840"/>
    <w:rsid w:val="00993064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40E"/>
    <w:rsid w:val="009C0544"/>
    <w:rsid w:val="009C0DD6"/>
    <w:rsid w:val="009C1B29"/>
    <w:rsid w:val="009C1C07"/>
    <w:rsid w:val="009C1F84"/>
    <w:rsid w:val="009C38A8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548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CE1"/>
    <w:rsid w:val="009F1E76"/>
    <w:rsid w:val="009F2FEB"/>
    <w:rsid w:val="009F3268"/>
    <w:rsid w:val="009F4230"/>
    <w:rsid w:val="009F4860"/>
    <w:rsid w:val="009F58F4"/>
    <w:rsid w:val="009F5F2C"/>
    <w:rsid w:val="009F6749"/>
    <w:rsid w:val="009F6A7F"/>
    <w:rsid w:val="009F6C56"/>
    <w:rsid w:val="00A0021A"/>
    <w:rsid w:val="00A0178C"/>
    <w:rsid w:val="00A01D67"/>
    <w:rsid w:val="00A01EAA"/>
    <w:rsid w:val="00A0206E"/>
    <w:rsid w:val="00A02A33"/>
    <w:rsid w:val="00A02F5D"/>
    <w:rsid w:val="00A031CC"/>
    <w:rsid w:val="00A0323B"/>
    <w:rsid w:val="00A04192"/>
    <w:rsid w:val="00A04474"/>
    <w:rsid w:val="00A0482C"/>
    <w:rsid w:val="00A06A94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39A"/>
    <w:rsid w:val="00A2295F"/>
    <w:rsid w:val="00A22A52"/>
    <w:rsid w:val="00A23246"/>
    <w:rsid w:val="00A24A2E"/>
    <w:rsid w:val="00A25215"/>
    <w:rsid w:val="00A25889"/>
    <w:rsid w:val="00A2710F"/>
    <w:rsid w:val="00A3034C"/>
    <w:rsid w:val="00A30764"/>
    <w:rsid w:val="00A325EE"/>
    <w:rsid w:val="00A338A1"/>
    <w:rsid w:val="00A349CB"/>
    <w:rsid w:val="00A34E5A"/>
    <w:rsid w:val="00A3508F"/>
    <w:rsid w:val="00A35D8A"/>
    <w:rsid w:val="00A364F7"/>
    <w:rsid w:val="00A36CE8"/>
    <w:rsid w:val="00A36DDD"/>
    <w:rsid w:val="00A378ED"/>
    <w:rsid w:val="00A37C13"/>
    <w:rsid w:val="00A425BA"/>
    <w:rsid w:val="00A42D6B"/>
    <w:rsid w:val="00A42EEB"/>
    <w:rsid w:val="00A430E2"/>
    <w:rsid w:val="00A4316F"/>
    <w:rsid w:val="00A447E7"/>
    <w:rsid w:val="00A44A0C"/>
    <w:rsid w:val="00A454B6"/>
    <w:rsid w:val="00A4559F"/>
    <w:rsid w:val="00A45FC0"/>
    <w:rsid w:val="00A46558"/>
    <w:rsid w:val="00A472F8"/>
    <w:rsid w:val="00A50571"/>
    <w:rsid w:val="00A50AEA"/>
    <w:rsid w:val="00A5314F"/>
    <w:rsid w:val="00A53F81"/>
    <w:rsid w:val="00A54055"/>
    <w:rsid w:val="00A54B25"/>
    <w:rsid w:val="00A54D53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054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B36"/>
    <w:rsid w:val="00A82F07"/>
    <w:rsid w:val="00A832BA"/>
    <w:rsid w:val="00A8331B"/>
    <w:rsid w:val="00A83BF6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0D5A"/>
    <w:rsid w:val="00AA17F7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1ED1"/>
    <w:rsid w:val="00AB23B0"/>
    <w:rsid w:val="00AB2567"/>
    <w:rsid w:val="00AB3273"/>
    <w:rsid w:val="00AB3537"/>
    <w:rsid w:val="00AB365A"/>
    <w:rsid w:val="00AB3A63"/>
    <w:rsid w:val="00AB4201"/>
    <w:rsid w:val="00AB453D"/>
    <w:rsid w:val="00AB48D1"/>
    <w:rsid w:val="00AB4CFC"/>
    <w:rsid w:val="00AB5363"/>
    <w:rsid w:val="00AB58F2"/>
    <w:rsid w:val="00AB5E9F"/>
    <w:rsid w:val="00AB61EF"/>
    <w:rsid w:val="00AB689B"/>
    <w:rsid w:val="00AB7541"/>
    <w:rsid w:val="00AB7CDE"/>
    <w:rsid w:val="00AC0AAA"/>
    <w:rsid w:val="00AC0D62"/>
    <w:rsid w:val="00AC1771"/>
    <w:rsid w:val="00AC1934"/>
    <w:rsid w:val="00AC277A"/>
    <w:rsid w:val="00AC41F9"/>
    <w:rsid w:val="00AC4EEC"/>
    <w:rsid w:val="00AC5B51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485D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53A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2CD"/>
    <w:rsid w:val="00AF58F3"/>
    <w:rsid w:val="00AF5ABA"/>
    <w:rsid w:val="00AF6D94"/>
    <w:rsid w:val="00B00317"/>
    <w:rsid w:val="00B0149D"/>
    <w:rsid w:val="00B014EC"/>
    <w:rsid w:val="00B04FE2"/>
    <w:rsid w:val="00B05126"/>
    <w:rsid w:val="00B05277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0A4E"/>
    <w:rsid w:val="00B31A01"/>
    <w:rsid w:val="00B31E3C"/>
    <w:rsid w:val="00B32C18"/>
    <w:rsid w:val="00B33037"/>
    <w:rsid w:val="00B33732"/>
    <w:rsid w:val="00B3483B"/>
    <w:rsid w:val="00B35C7E"/>
    <w:rsid w:val="00B35D32"/>
    <w:rsid w:val="00B36448"/>
    <w:rsid w:val="00B377F6"/>
    <w:rsid w:val="00B40FEB"/>
    <w:rsid w:val="00B416B1"/>
    <w:rsid w:val="00B418F4"/>
    <w:rsid w:val="00B426A2"/>
    <w:rsid w:val="00B42D4E"/>
    <w:rsid w:val="00B43376"/>
    <w:rsid w:val="00B43E68"/>
    <w:rsid w:val="00B44209"/>
    <w:rsid w:val="00B44CCC"/>
    <w:rsid w:val="00B44EAC"/>
    <w:rsid w:val="00B465C8"/>
    <w:rsid w:val="00B472C9"/>
    <w:rsid w:val="00B47C1C"/>
    <w:rsid w:val="00B47F43"/>
    <w:rsid w:val="00B506AC"/>
    <w:rsid w:val="00B50773"/>
    <w:rsid w:val="00B50D1B"/>
    <w:rsid w:val="00B50E2C"/>
    <w:rsid w:val="00B51364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2D75"/>
    <w:rsid w:val="00B63850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2A9B"/>
    <w:rsid w:val="00B73636"/>
    <w:rsid w:val="00B7370E"/>
    <w:rsid w:val="00B7381A"/>
    <w:rsid w:val="00B73C08"/>
    <w:rsid w:val="00B7439C"/>
    <w:rsid w:val="00B743D7"/>
    <w:rsid w:val="00B7534C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031"/>
    <w:rsid w:val="00B9335D"/>
    <w:rsid w:val="00B94400"/>
    <w:rsid w:val="00B95673"/>
    <w:rsid w:val="00B961C8"/>
    <w:rsid w:val="00B96C2A"/>
    <w:rsid w:val="00B96FD4"/>
    <w:rsid w:val="00B97971"/>
    <w:rsid w:val="00B97D8D"/>
    <w:rsid w:val="00BA04E1"/>
    <w:rsid w:val="00BA18D1"/>
    <w:rsid w:val="00BA19E0"/>
    <w:rsid w:val="00BA1F8A"/>
    <w:rsid w:val="00BA258C"/>
    <w:rsid w:val="00BA280D"/>
    <w:rsid w:val="00BA321E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C6876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BF77A4"/>
    <w:rsid w:val="00C00471"/>
    <w:rsid w:val="00C011B3"/>
    <w:rsid w:val="00C014C6"/>
    <w:rsid w:val="00C01839"/>
    <w:rsid w:val="00C01BF8"/>
    <w:rsid w:val="00C02043"/>
    <w:rsid w:val="00C04A40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21D"/>
    <w:rsid w:val="00C16E21"/>
    <w:rsid w:val="00C17244"/>
    <w:rsid w:val="00C2000C"/>
    <w:rsid w:val="00C2020E"/>
    <w:rsid w:val="00C20265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973"/>
    <w:rsid w:val="00C30F85"/>
    <w:rsid w:val="00C31129"/>
    <w:rsid w:val="00C313E7"/>
    <w:rsid w:val="00C3210B"/>
    <w:rsid w:val="00C326A9"/>
    <w:rsid w:val="00C34EEE"/>
    <w:rsid w:val="00C3561D"/>
    <w:rsid w:val="00C3654D"/>
    <w:rsid w:val="00C369FE"/>
    <w:rsid w:val="00C410EB"/>
    <w:rsid w:val="00C4196A"/>
    <w:rsid w:val="00C41CF2"/>
    <w:rsid w:val="00C41E47"/>
    <w:rsid w:val="00C42E87"/>
    <w:rsid w:val="00C42F00"/>
    <w:rsid w:val="00C43453"/>
    <w:rsid w:val="00C44924"/>
    <w:rsid w:val="00C45097"/>
    <w:rsid w:val="00C45C93"/>
    <w:rsid w:val="00C461EB"/>
    <w:rsid w:val="00C50077"/>
    <w:rsid w:val="00C51720"/>
    <w:rsid w:val="00C51E03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2BF"/>
    <w:rsid w:val="00C6749F"/>
    <w:rsid w:val="00C676D3"/>
    <w:rsid w:val="00C7054B"/>
    <w:rsid w:val="00C70598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77FDD"/>
    <w:rsid w:val="00C81867"/>
    <w:rsid w:val="00C81AAE"/>
    <w:rsid w:val="00C81EBC"/>
    <w:rsid w:val="00C82FE1"/>
    <w:rsid w:val="00C847AA"/>
    <w:rsid w:val="00C84C3A"/>
    <w:rsid w:val="00C86300"/>
    <w:rsid w:val="00C8679C"/>
    <w:rsid w:val="00C8685C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2E9C"/>
    <w:rsid w:val="00CB4072"/>
    <w:rsid w:val="00CB484D"/>
    <w:rsid w:val="00CB517A"/>
    <w:rsid w:val="00CB5E18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8CF"/>
    <w:rsid w:val="00CC3988"/>
    <w:rsid w:val="00CC5202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3D23"/>
    <w:rsid w:val="00CD3FDF"/>
    <w:rsid w:val="00CD561D"/>
    <w:rsid w:val="00CD6EF5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07C"/>
    <w:rsid w:val="00CF5293"/>
    <w:rsid w:val="00CF72AC"/>
    <w:rsid w:val="00D0011E"/>
    <w:rsid w:val="00D004E5"/>
    <w:rsid w:val="00D0136A"/>
    <w:rsid w:val="00D0142A"/>
    <w:rsid w:val="00D0150B"/>
    <w:rsid w:val="00D02111"/>
    <w:rsid w:val="00D0280B"/>
    <w:rsid w:val="00D038D7"/>
    <w:rsid w:val="00D03B38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6FB5"/>
    <w:rsid w:val="00D1722E"/>
    <w:rsid w:val="00D176B7"/>
    <w:rsid w:val="00D20B08"/>
    <w:rsid w:val="00D211A5"/>
    <w:rsid w:val="00D2261D"/>
    <w:rsid w:val="00D228B8"/>
    <w:rsid w:val="00D2301A"/>
    <w:rsid w:val="00D24515"/>
    <w:rsid w:val="00D24B00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2B2A"/>
    <w:rsid w:val="00D736FB"/>
    <w:rsid w:val="00D73AAF"/>
    <w:rsid w:val="00D73B35"/>
    <w:rsid w:val="00D74B08"/>
    <w:rsid w:val="00D75461"/>
    <w:rsid w:val="00D75B0B"/>
    <w:rsid w:val="00D76233"/>
    <w:rsid w:val="00D77388"/>
    <w:rsid w:val="00D775D2"/>
    <w:rsid w:val="00D77855"/>
    <w:rsid w:val="00D8078E"/>
    <w:rsid w:val="00D80D94"/>
    <w:rsid w:val="00D8118D"/>
    <w:rsid w:val="00D82637"/>
    <w:rsid w:val="00D83283"/>
    <w:rsid w:val="00D83860"/>
    <w:rsid w:val="00D83B8A"/>
    <w:rsid w:val="00D83D34"/>
    <w:rsid w:val="00D85155"/>
    <w:rsid w:val="00D85F3F"/>
    <w:rsid w:val="00D86169"/>
    <w:rsid w:val="00D8652F"/>
    <w:rsid w:val="00D86BF7"/>
    <w:rsid w:val="00D86C18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2CB5"/>
    <w:rsid w:val="00DB2F25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1BFF"/>
    <w:rsid w:val="00DD2278"/>
    <w:rsid w:val="00DD2ADC"/>
    <w:rsid w:val="00DD4F3E"/>
    <w:rsid w:val="00DD5FFB"/>
    <w:rsid w:val="00DD67A9"/>
    <w:rsid w:val="00DD6EA5"/>
    <w:rsid w:val="00DD75C0"/>
    <w:rsid w:val="00DD7C85"/>
    <w:rsid w:val="00DE2574"/>
    <w:rsid w:val="00DE2C5D"/>
    <w:rsid w:val="00DE36B6"/>
    <w:rsid w:val="00DE4BD0"/>
    <w:rsid w:val="00DE58C9"/>
    <w:rsid w:val="00DE58D7"/>
    <w:rsid w:val="00DE5D98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5CAF"/>
    <w:rsid w:val="00DF62C6"/>
    <w:rsid w:val="00DF6D21"/>
    <w:rsid w:val="00DF75FB"/>
    <w:rsid w:val="00DF7C00"/>
    <w:rsid w:val="00E00BBD"/>
    <w:rsid w:val="00E00C89"/>
    <w:rsid w:val="00E013E3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4850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BD3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350"/>
    <w:rsid w:val="00E407AC"/>
    <w:rsid w:val="00E413A5"/>
    <w:rsid w:val="00E41AF8"/>
    <w:rsid w:val="00E422BE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ABC"/>
    <w:rsid w:val="00E64E57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89E"/>
    <w:rsid w:val="00E85DE8"/>
    <w:rsid w:val="00E86672"/>
    <w:rsid w:val="00E86705"/>
    <w:rsid w:val="00E86E0C"/>
    <w:rsid w:val="00E87FB1"/>
    <w:rsid w:val="00E900CF"/>
    <w:rsid w:val="00E908C6"/>
    <w:rsid w:val="00E924A8"/>
    <w:rsid w:val="00E93450"/>
    <w:rsid w:val="00E9372A"/>
    <w:rsid w:val="00E93AFD"/>
    <w:rsid w:val="00E95441"/>
    <w:rsid w:val="00E96618"/>
    <w:rsid w:val="00E97970"/>
    <w:rsid w:val="00E979A5"/>
    <w:rsid w:val="00E97C50"/>
    <w:rsid w:val="00EA03D8"/>
    <w:rsid w:val="00EA0DB1"/>
    <w:rsid w:val="00EA507E"/>
    <w:rsid w:val="00EA5747"/>
    <w:rsid w:val="00EA6103"/>
    <w:rsid w:val="00EA73BA"/>
    <w:rsid w:val="00EA7745"/>
    <w:rsid w:val="00EB0F28"/>
    <w:rsid w:val="00EB1892"/>
    <w:rsid w:val="00EB2336"/>
    <w:rsid w:val="00EB3A47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1FA6"/>
    <w:rsid w:val="00EC202F"/>
    <w:rsid w:val="00EC25AB"/>
    <w:rsid w:val="00EC3DF9"/>
    <w:rsid w:val="00EC4F93"/>
    <w:rsid w:val="00EC515F"/>
    <w:rsid w:val="00EC5679"/>
    <w:rsid w:val="00EC5764"/>
    <w:rsid w:val="00EC5DBE"/>
    <w:rsid w:val="00EC5DE6"/>
    <w:rsid w:val="00EC6263"/>
    <w:rsid w:val="00EC6C65"/>
    <w:rsid w:val="00EC7C40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5DB"/>
    <w:rsid w:val="00ED6AF2"/>
    <w:rsid w:val="00ED7BC1"/>
    <w:rsid w:val="00EE04D4"/>
    <w:rsid w:val="00EE0C34"/>
    <w:rsid w:val="00EE0C71"/>
    <w:rsid w:val="00EE29BE"/>
    <w:rsid w:val="00EE3C34"/>
    <w:rsid w:val="00EE3CDA"/>
    <w:rsid w:val="00EE4C9E"/>
    <w:rsid w:val="00EE5884"/>
    <w:rsid w:val="00EF038F"/>
    <w:rsid w:val="00EF07C3"/>
    <w:rsid w:val="00EF1944"/>
    <w:rsid w:val="00EF26AE"/>
    <w:rsid w:val="00EF27B5"/>
    <w:rsid w:val="00EF43EA"/>
    <w:rsid w:val="00EF46B1"/>
    <w:rsid w:val="00EF493E"/>
    <w:rsid w:val="00EF5D73"/>
    <w:rsid w:val="00EF607A"/>
    <w:rsid w:val="00EF6331"/>
    <w:rsid w:val="00EF6482"/>
    <w:rsid w:val="00EF71FF"/>
    <w:rsid w:val="00EF7662"/>
    <w:rsid w:val="00EF773B"/>
    <w:rsid w:val="00F00241"/>
    <w:rsid w:val="00F00777"/>
    <w:rsid w:val="00F00887"/>
    <w:rsid w:val="00F01AED"/>
    <w:rsid w:val="00F02876"/>
    <w:rsid w:val="00F06185"/>
    <w:rsid w:val="00F064C3"/>
    <w:rsid w:val="00F06A82"/>
    <w:rsid w:val="00F109A7"/>
    <w:rsid w:val="00F10BFD"/>
    <w:rsid w:val="00F10D7E"/>
    <w:rsid w:val="00F11D60"/>
    <w:rsid w:val="00F12451"/>
    <w:rsid w:val="00F12F74"/>
    <w:rsid w:val="00F1303C"/>
    <w:rsid w:val="00F132E8"/>
    <w:rsid w:val="00F14FD4"/>
    <w:rsid w:val="00F15550"/>
    <w:rsid w:val="00F15E8D"/>
    <w:rsid w:val="00F175AF"/>
    <w:rsid w:val="00F205FB"/>
    <w:rsid w:val="00F20879"/>
    <w:rsid w:val="00F20967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596"/>
    <w:rsid w:val="00F31EFE"/>
    <w:rsid w:val="00F3277D"/>
    <w:rsid w:val="00F32822"/>
    <w:rsid w:val="00F32EC1"/>
    <w:rsid w:val="00F3329B"/>
    <w:rsid w:val="00F33D35"/>
    <w:rsid w:val="00F340F0"/>
    <w:rsid w:val="00F343CC"/>
    <w:rsid w:val="00F34F38"/>
    <w:rsid w:val="00F350F7"/>
    <w:rsid w:val="00F35253"/>
    <w:rsid w:val="00F36405"/>
    <w:rsid w:val="00F36809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7502"/>
    <w:rsid w:val="00F47697"/>
    <w:rsid w:val="00F50DD0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3ED"/>
    <w:rsid w:val="00F71668"/>
    <w:rsid w:val="00F73140"/>
    <w:rsid w:val="00F74364"/>
    <w:rsid w:val="00F74666"/>
    <w:rsid w:val="00F751A4"/>
    <w:rsid w:val="00F7568A"/>
    <w:rsid w:val="00F77C1A"/>
    <w:rsid w:val="00F77E91"/>
    <w:rsid w:val="00F81073"/>
    <w:rsid w:val="00F812E4"/>
    <w:rsid w:val="00F815BB"/>
    <w:rsid w:val="00F825C9"/>
    <w:rsid w:val="00F8344B"/>
    <w:rsid w:val="00F83C40"/>
    <w:rsid w:val="00F83EEA"/>
    <w:rsid w:val="00F8461A"/>
    <w:rsid w:val="00F84BEC"/>
    <w:rsid w:val="00F852BE"/>
    <w:rsid w:val="00F8731D"/>
    <w:rsid w:val="00F879C5"/>
    <w:rsid w:val="00F87CAF"/>
    <w:rsid w:val="00F87FA4"/>
    <w:rsid w:val="00F90063"/>
    <w:rsid w:val="00F90A3D"/>
    <w:rsid w:val="00F90EC0"/>
    <w:rsid w:val="00F91222"/>
    <w:rsid w:val="00F92352"/>
    <w:rsid w:val="00F9267B"/>
    <w:rsid w:val="00F93469"/>
    <w:rsid w:val="00F93B7A"/>
    <w:rsid w:val="00F94ACE"/>
    <w:rsid w:val="00F94AE5"/>
    <w:rsid w:val="00F94C20"/>
    <w:rsid w:val="00F94EAF"/>
    <w:rsid w:val="00F96581"/>
    <w:rsid w:val="00F96AF2"/>
    <w:rsid w:val="00F96D11"/>
    <w:rsid w:val="00F96F50"/>
    <w:rsid w:val="00F970A7"/>
    <w:rsid w:val="00F9731E"/>
    <w:rsid w:val="00F9738D"/>
    <w:rsid w:val="00FA1622"/>
    <w:rsid w:val="00FA1A3F"/>
    <w:rsid w:val="00FA20C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92C"/>
    <w:rsid w:val="00FB4A1C"/>
    <w:rsid w:val="00FB5A27"/>
    <w:rsid w:val="00FB60CC"/>
    <w:rsid w:val="00FB60FB"/>
    <w:rsid w:val="00FB6635"/>
    <w:rsid w:val="00FB6B37"/>
    <w:rsid w:val="00FB7510"/>
    <w:rsid w:val="00FC08D8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281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587"/>
    <w:rsid w:val="00FD47F8"/>
    <w:rsid w:val="00FD57E2"/>
    <w:rsid w:val="00FD5B9B"/>
    <w:rsid w:val="00FD66DD"/>
    <w:rsid w:val="00FD6921"/>
    <w:rsid w:val="00FD77C2"/>
    <w:rsid w:val="00FE175F"/>
    <w:rsid w:val="00FE1F8E"/>
    <w:rsid w:val="00FE26DD"/>
    <w:rsid w:val="00FE2ED7"/>
    <w:rsid w:val="00FE329D"/>
    <w:rsid w:val="00FE34B0"/>
    <w:rsid w:val="00FE379B"/>
    <w:rsid w:val="00FE3AFB"/>
    <w:rsid w:val="00FE3E6F"/>
    <w:rsid w:val="00FE400F"/>
    <w:rsid w:val="00FE4187"/>
    <w:rsid w:val="00FE469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E5C"/>
    <w:rsid w:val="00FF4658"/>
    <w:rsid w:val="00FF473D"/>
    <w:rsid w:val="00FF4E8A"/>
    <w:rsid w:val="00FF556A"/>
    <w:rsid w:val="00FF5D50"/>
    <w:rsid w:val="00FF5E33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C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cbamonitor.cz/aktuality/rijnova-spotrebitelska-inflace-na-25-a-pokracujici-rust-nezamestnanosti-udrzi-cnb-v-napeti" TargetMode="External"/><Relationship Id="rId26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hyperlink" Target="https://www.cbamonitor.cz/statistika/dynamika-mezd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cbamonitor.cz/aktuality/prumyslova-vyroba-v-cervenci" TargetMode="External"/><Relationship Id="rId29" Type="http://schemas.openxmlformats.org/officeDocument/2006/relationships/hyperlink" Target="https://www.cbamonitor.cz/kategorie/cba-hypomonit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bamonitor.cz/aktuality/kompletni-ceny-nemovitosti-dle-csu-ukazuji-pro-q1-2025-mirnejsi-narust-nez-ceny-bytu-nahled-a-vyzva-do-metodicke-kuchynky-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cbamonitor.cz/aktuality/pokles-transakcnich-cen-bytu-ve-druhem-ctvrtleti-souvisi-spise-s-transakcemi-nez-s-poklesem-cen" TargetMode="External"/><Relationship Id="rId28" Type="http://schemas.openxmlformats.org/officeDocument/2006/relationships/hyperlink" Target="http://www.cbaonline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bamonitor.cz/aktuality/ekonomika-ve-tretim-kvartale-prekvapila-svym-rustem-s-vyssi-produktivitou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cbamonitor.cz/kategorie/ceny-nemovitosti" TargetMode="Externa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3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9</Pages>
  <Words>2379</Words>
  <Characters>14042</Characters>
  <Application>Microsoft Office Word</Application>
  <DocSecurity>0</DocSecurity>
  <Lines>117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6</cp:revision>
  <cp:lastPrinted>2025-08-14T09:13:00Z</cp:lastPrinted>
  <dcterms:created xsi:type="dcterms:W3CDTF">2025-11-13T11:15:00Z</dcterms:created>
  <dcterms:modified xsi:type="dcterms:W3CDTF">2025-11-14T04:56:00Z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