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5735" w14:textId="0E21C56A" w:rsidR="00DF154D" w:rsidRPr="002F43DE" w:rsidRDefault="003D3759" w:rsidP="003D3759">
      <w:pPr>
        <w:rPr>
          <w:rFonts w:ascii="Calibri" w:hAnsi="Calibri" w:cs="Calibri"/>
          <w:b/>
          <w:color w:val="EE0000"/>
          <w:sz w:val="32"/>
          <w:szCs w:val="32"/>
        </w:rPr>
      </w:pPr>
      <w:bookmarkStart w:id="0" w:name="_Hlk111121205"/>
      <w:bookmarkStart w:id="1" w:name="_Hlk116472656"/>
      <w:r w:rsidRPr="00616069">
        <w:rPr>
          <w:rFonts w:ascii="Calibri" w:hAnsi="Calibri" w:cs="Calibri"/>
          <w:b/>
          <w:color w:val="13576B"/>
          <w:sz w:val="32"/>
          <w:szCs w:val="32"/>
        </w:rPr>
        <w:t>ČBA Hypomonito</w:t>
      </w:r>
      <w:r w:rsidR="007C0E2D">
        <w:rPr>
          <w:rFonts w:ascii="Calibri" w:hAnsi="Calibri" w:cs="Calibri"/>
          <w:b/>
          <w:color w:val="13576B"/>
          <w:sz w:val="32"/>
          <w:szCs w:val="32"/>
        </w:rPr>
        <w:t>r</w:t>
      </w:r>
      <w:r w:rsidRPr="00616069">
        <w:rPr>
          <w:rFonts w:ascii="Calibri" w:hAnsi="Calibri" w:cs="Calibri"/>
          <w:b/>
          <w:color w:val="13576B"/>
          <w:sz w:val="32"/>
          <w:szCs w:val="32"/>
        </w:rPr>
        <w:t xml:space="preserve">: </w:t>
      </w:r>
      <w:r w:rsidR="00E16BD3">
        <w:rPr>
          <w:rFonts w:ascii="Calibri" w:hAnsi="Calibri" w:cs="Calibri"/>
          <w:b/>
          <w:color w:val="13576B"/>
          <w:sz w:val="32"/>
          <w:szCs w:val="32"/>
        </w:rPr>
        <w:t xml:space="preserve">Babí léto silných hypoték při stabilní sazbě </w:t>
      </w:r>
      <w:r w:rsidR="00BA280D" w:rsidRPr="003B7AE1">
        <w:rPr>
          <w:rFonts w:ascii="Calibri" w:hAnsi="Calibri" w:cs="Calibri"/>
          <w:b/>
          <w:color w:val="13576B"/>
          <w:sz w:val="32"/>
          <w:szCs w:val="32"/>
        </w:rPr>
        <w:t>4,5</w:t>
      </w:r>
      <w:r w:rsidR="003B7AE1" w:rsidRPr="003B7AE1">
        <w:rPr>
          <w:rFonts w:ascii="Calibri" w:hAnsi="Calibri" w:cs="Calibri"/>
          <w:b/>
          <w:color w:val="13576B"/>
          <w:sz w:val="32"/>
          <w:szCs w:val="32"/>
        </w:rPr>
        <w:t>2</w:t>
      </w:r>
      <w:r w:rsidR="00BA280D" w:rsidRPr="003B7AE1">
        <w:rPr>
          <w:rFonts w:ascii="Calibri" w:hAnsi="Calibri" w:cs="Calibri"/>
          <w:b/>
          <w:color w:val="13576B"/>
          <w:sz w:val="32"/>
          <w:szCs w:val="32"/>
        </w:rPr>
        <w:t xml:space="preserve"> %</w:t>
      </w:r>
      <w:r w:rsidR="00BA280D" w:rsidRPr="002F43DE">
        <w:rPr>
          <w:rFonts w:ascii="Calibri" w:hAnsi="Calibri" w:cs="Calibri"/>
          <w:b/>
          <w:color w:val="EE0000"/>
          <w:sz w:val="32"/>
          <w:szCs w:val="32"/>
        </w:rPr>
        <w:t xml:space="preserve"> </w:t>
      </w:r>
    </w:p>
    <w:bookmarkEnd w:id="0"/>
    <w:p w14:paraId="5B3FADD7" w14:textId="029B5284" w:rsidR="00574E26" w:rsidRDefault="007967E6" w:rsidP="00574E26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color w:val="13576B"/>
          <w:sz w:val="22"/>
          <w:szCs w:val="22"/>
        </w:rPr>
      </w:pPr>
      <w:r w:rsidRPr="00FB492C">
        <w:rPr>
          <w:rFonts w:ascii="Calibri" w:hAnsi="Calibri" w:cs="Calibri"/>
          <w:color w:val="13576B"/>
          <w:sz w:val="22"/>
          <w:szCs w:val="22"/>
        </w:rPr>
        <w:t>Praha, 1</w:t>
      </w:r>
      <w:r w:rsidR="00136FC7">
        <w:rPr>
          <w:rFonts w:ascii="Calibri" w:hAnsi="Calibri" w:cs="Calibri"/>
          <w:color w:val="13576B"/>
          <w:sz w:val="22"/>
          <w:szCs w:val="22"/>
        </w:rPr>
        <w:t>4</w:t>
      </w:r>
      <w:r w:rsidRPr="00FB492C">
        <w:rPr>
          <w:rFonts w:ascii="Calibri" w:hAnsi="Calibri" w:cs="Calibri"/>
          <w:color w:val="13576B"/>
          <w:sz w:val="22"/>
          <w:szCs w:val="22"/>
        </w:rPr>
        <w:t xml:space="preserve">. </w:t>
      </w:r>
      <w:r w:rsidR="009C040E">
        <w:rPr>
          <w:rFonts w:ascii="Calibri" w:hAnsi="Calibri" w:cs="Calibri"/>
          <w:color w:val="13576B"/>
          <w:sz w:val="22"/>
          <w:szCs w:val="22"/>
        </w:rPr>
        <w:t>říjn</w:t>
      </w:r>
      <w:r w:rsidR="00B51DA1">
        <w:rPr>
          <w:rFonts w:ascii="Calibri" w:hAnsi="Calibri" w:cs="Calibri"/>
          <w:color w:val="13576B"/>
          <w:sz w:val="22"/>
          <w:szCs w:val="22"/>
        </w:rPr>
        <w:t>a</w:t>
      </w:r>
      <w:r w:rsidRPr="00FB492C">
        <w:rPr>
          <w:rFonts w:ascii="Calibri" w:hAnsi="Calibri" w:cs="Calibri"/>
          <w:color w:val="13576B"/>
          <w:sz w:val="22"/>
          <w:szCs w:val="22"/>
        </w:rPr>
        <w:t xml:space="preserve"> </w:t>
      </w:r>
      <w:r w:rsidR="00FC08D8" w:rsidRPr="00FB492C">
        <w:rPr>
          <w:rFonts w:ascii="Calibri" w:hAnsi="Calibri" w:cs="Calibri"/>
          <w:color w:val="13576B"/>
          <w:sz w:val="22"/>
          <w:szCs w:val="22"/>
        </w:rPr>
        <w:t>2025</w:t>
      </w:r>
      <w:r w:rsidR="006320CB">
        <w:rPr>
          <w:rFonts w:ascii="Calibri" w:hAnsi="Calibri" w:cs="Calibri"/>
          <w:color w:val="13576B"/>
          <w:sz w:val="22"/>
          <w:szCs w:val="22"/>
        </w:rPr>
        <w:t xml:space="preserve"> </w:t>
      </w:r>
      <w:r w:rsidR="00FC08D8" w:rsidRPr="00FC08D8">
        <w:rPr>
          <w:rFonts w:ascii="Calibri" w:hAnsi="Calibri" w:cs="Calibri"/>
          <w:color w:val="13576B"/>
          <w:sz w:val="22"/>
          <w:szCs w:val="22"/>
        </w:rPr>
        <w:t>–</w:t>
      </w:r>
      <w:r w:rsidR="00BF77A4">
        <w:rPr>
          <w:rFonts w:ascii="Calibri" w:hAnsi="Calibri" w:cs="Calibri"/>
          <w:color w:val="13576B"/>
          <w:sz w:val="22"/>
          <w:szCs w:val="22"/>
        </w:rPr>
        <w:t xml:space="preserve"> </w:t>
      </w:r>
      <w:r w:rsidR="00BF77A4" w:rsidRPr="00BF77A4">
        <w:rPr>
          <w:rFonts w:ascii="Calibri" w:hAnsi="Calibri" w:cs="Calibri"/>
          <w:b/>
          <w:bCs/>
          <w:color w:val="13576B"/>
          <w:sz w:val="22"/>
          <w:szCs w:val="22"/>
        </w:rPr>
        <w:t xml:space="preserve">V září </w:t>
      </w:r>
      <w:r w:rsidR="00BF77A4" w:rsidRPr="00574E26">
        <w:rPr>
          <w:rFonts w:ascii="Calibri" w:hAnsi="Calibri" w:cs="Calibri"/>
          <w:b/>
          <w:bCs/>
          <w:color w:val="13576B"/>
          <w:sz w:val="22"/>
          <w:szCs w:val="22"/>
        </w:rPr>
        <w:t xml:space="preserve">2025 poskytly banky a stavební spořitelny nové hypotéky za 29,6 miliardy Kč. Oproti srpnu aktivita objemově zesílila o 14 %, </w:t>
      </w:r>
      <w:r w:rsidR="00574E26" w:rsidRPr="00574E26">
        <w:rPr>
          <w:rFonts w:ascii="Calibri" w:hAnsi="Calibri" w:cs="Calibri"/>
          <w:b/>
          <w:bCs/>
          <w:color w:val="13576B"/>
          <w:sz w:val="22"/>
          <w:szCs w:val="22"/>
        </w:rPr>
        <w:t>což potvrzují i sezónně očištěná čísla</w:t>
      </w:r>
      <w:r w:rsidR="00574E26">
        <w:rPr>
          <w:rFonts w:ascii="Calibri" w:hAnsi="Calibri" w:cs="Calibri"/>
          <w:b/>
          <w:bCs/>
          <w:color w:val="13576B"/>
          <w:sz w:val="22"/>
          <w:szCs w:val="22"/>
        </w:rPr>
        <w:t xml:space="preserve"> s odhadnutým objemem nových hypoték přes 31 miliard korun a více než 7,2 tisíci kusy</w:t>
      </w:r>
      <w:r w:rsidR="00BF77A4" w:rsidRPr="00574E26">
        <w:rPr>
          <w:rFonts w:ascii="Calibri" w:hAnsi="Calibri" w:cs="Calibri"/>
          <w:b/>
          <w:bCs/>
          <w:color w:val="13576B"/>
          <w:sz w:val="22"/>
          <w:szCs w:val="22"/>
        </w:rPr>
        <w:t xml:space="preserve">. Od začátku roku tak objem </w:t>
      </w:r>
      <w:r w:rsidR="00574E26">
        <w:rPr>
          <w:rFonts w:ascii="Calibri" w:hAnsi="Calibri" w:cs="Calibri"/>
          <w:b/>
          <w:bCs/>
          <w:color w:val="13576B"/>
          <w:sz w:val="22"/>
          <w:szCs w:val="22"/>
        </w:rPr>
        <w:t xml:space="preserve">nových hypoték </w:t>
      </w:r>
      <w:r w:rsidR="00BF77A4" w:rsidRPr="00574E26">
        <w:rPr>
          <w:rFonts w:ascii="Calibri" w:hAnsi="Calibri" w:cs="Calibri"/>
          <w:b/>
          <w:bCs/>
          <w:color w:val="13576B"/>
          <w:sz w:val="22"/>
          <w:szCs w:val="22"/>
        </w:rPr>
        <w:t xml:space="preserve">dosáhl 235 miliard korun, tedy o 70 miliard více než před rokem. </w:t>
      </w:r>
      <w:r w:rsidR="00574E26" w:rsidRPr="00574E26">
        <w:rPr>
          <w:rFonts w:ascii="Calibri" w:hAnsi="Calibri" w:cs="Calibri"/>
          <w:b/>
          <w:bCs/>
          <w:color w:val="13576B"/>
          <w:sz w:val="22"/>
          <w:szCs w:val="22"/>
        </w:rPr>
        <w:t>Rostoucí tržní úrokové sazby ponechaly p</w:t>
      </w:r>
      <w:r w:rsidR="00BF77A4" w:rsidRPr="00574E26">
        <w:rPr>
          <w:rFonts w:ascii="Calibri" w:hAnsi="Calibri" w:cs="Calibri"/>
          <w:b/>
          <w:bCs/>
          <w:color w:val="13576B"/>
          <w:sz w:val="22"/>
          <w:szCs w:val="22"/>
        </w:rPr>
        <w:t>růměrn</w:t>
      </w:r>
      <w:r w:rsidR="00574E26" w:rsidRPr="00574E26">
        <w:rPr>
          <w:rFonts w:ascii="Calibri" w:hAnsi="Calibri" w:cs="Calibri"/>
          <w:b/>
          <w:bCs/>
          <w:color w:val="13576B"/>
          <w:sz w:val="22"/>
          <w:szCs w:val="22"/>
        </w:rPr>
        <w:t>ou</w:t>
      </w:r>
      <w:r w:rsidR="00BF77A4" w:rsidRPr="00574E26">
        <w:rPr>
          <w:rFonts w:ascii="Calibri" w:hAnsi="Calibri" w:cs="Calibri"/>
          <w:b/>
          <w:bCs/>
          <w:color w:val="13576B"/>
          <w:sz w:val="22"/>
          <w:szCs w:val="22"/>
        </w:rPr>
        <w:t xml:space="preserve"> realizovan</w:t>
      </w:r>
      <w:r w:rsidR="00574E26" w:rsidRPr="00574E26">
        <w:rPr>
          <w:rFonts w:ascii="Calibri" w:hAnsi="Calibri" w:cs="Calibri"/>
          <w:b/>
          <w:bCs/>
          <w:color w:val="13576B"/>
          <w:sz w:val="22"/>
          <w:szCs w:val="22"/>
        </w:rPr>
        <w:t>ou</w:t>
      </w:r>
      <w:r w:rsidR="00BF77A4" w:rsidRPr="00574E26">
        <w:rPr>
          <w:rFonts w:ascii="Calibri" w:hAnsi="Calibri" w:cs="Calibri"/>
          <w:b/>
          <w:bCs/>
          <w:color w:val="13576B"/>
          <w:sz w:val="22"/>
          <w:szCs w:val="22"/>
        </w:rPr>
        <w:t xml:space="preserve"> sazb</w:t>
      </w:r>
      <w:r w:rsidR="00136FC7">
        <w:rPr>
          <w:rFonts w:ascii="Calibri" w:hAnsi="Calibri" w:cs="Calibri"/>
          <w:b/>
          <w:bCs/>
          <w:color w:val="13576B"/>
          <w:sz w:val="22"/>
          <w:szCs w:val="22"/>
        </w:rPr>
        <w:t>u</w:t>
      </w:r>
      <w:r w:rsidR="00BF77A4" w:rsidRPr="00574E26">
        <w:rPr>
          <w:rFonts w:ascii="Calibri" w:hAnsi="Calibri" w:cs="Calibri"/>
          <w:b/>
          <w:bCs/>
          <w:color w:val="13576B"/>
          <w:sz w:val="22"/>
          <w:szCs w:val="22"/>
        </w:rPr>
        <w:t xml:space="preserve"> hypoték na 4,52 %</w:t>
      </w:r>
      <w:r w:rsidR="00574E26" w:rsidRPr="00574E26">
        <w:rPr>
          <w:rFonts w:ascii="Calibri" w:hAnsi="Calibri" w:cs="Calibri"/>
          <w:b/>
          <w:bCs/>
          <w:color w:val="13576B"/>
          <w:sz w:val="22"/>
          <w:szCs w:val="22"/>
        </w:rPr>
        <w:t>, poté co již v srpnu pouze nepatrně klesla z červencových 4,53 %.</w:t>
      </w:r>
      <w:r w:rsidR="00BF77A4" w:rsidRPr="00574E26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574E26" w:rsidRPr="00574E26">
        <w:rPr>
          <w:rFonts w:ascii="Calibri" w:hAnsi="Calibri" w:cs="Calibri"/>
          <w:b/>
          <w:bCs/>
          <w:color w:val="13576B"/>
          <w:sz w:val="22"/>
          <w:szCs w:val="22"/>
        </w:rPr>
        <w:t>Uvedené</w:t>
      </w:r>
      <w:r w:rsidR="00574E26" w:rsidRPr="00BF77A4">
        <w:rPr>
          <w:rFonts w:ascii="Calibri" w:hAnsi="Calibri" w:cs="Calibri"/>
          <w:b/>
          <w:bCs/>
          <w:color w:val="13576B"/>
          <w:sz w:val="22"/>
          <w:szCs w:val="22"/>
        </w:rPr>
        <w:t xml:space="preserve"> informace plynou z údajů ČBA Hypomonitoru, který zachycuje data všech tuzemských bank a stavebních spořitelen poskytujících hypoteční úvěry.</w:t>
      </w:r>
      <w:r w:rsidR="000D0E54">
        <w:rPr>
          <w:rFonts w:ascii="Calibri" w:hAnsi="Calibri" w:cs="Calibri"/>
          <w:b/>
          <w:bCs/>
          <w:color w:val="13576B"/>
          <w:sz w:val="22"/>
          <w:szCs w:val="22"/>
        </w:rPr>
        <w:t xml:space="preserve"> Hypoteční trh v Česku slaví 30 let. Výročí připomene konference </w:t>
      </w:r>
      <w:hyperlink r:id="rId11" w:history="1">
        <w:r w:rsidR="000D0E54" w:rsidRPr="000D0E54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30 let hypoték</w:t>
        </w:r>
      </w:hyperlink>
      <w:r w:rsidR="000D0E54">
        <w:rPr>
          <w:rFonts w:ascii="Calibri" w:hAnsi="Calibri" w:cs="Calibri"/>
          <w:b/>
          <w:bCs/>
          <w:color w:val="13576B"/>
          <w:sz w:val="22"/>
          <w:szCs w:val="22"/>
        </w:rPr>
        <w:t xml:space="preserve">. </w:t>
      </w:r>
    </w:p>
    <w:p w14:paraId="41FA5D08" w14:textId="67A80FAB" w:rsidR="00BF77A4" w:rsidRDefault="00574E26" w:rsidP="00A37C13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color w:val="13576B"/>
          <w:sz w:val="22"/>
          <w:szCs w:val="22"/>
        </w:rPr>
      </w:pPr>
      <w:r>
        <w:rPr>
          <w:rFonts w:ascii="Calibri" w:hAnsi="Calibri" w:cs="Calibri"/>
          <w:b/>
          <w:bCs/>
          <w:color w:val="13576B"/>
          <w:sz w:val="22"/>
          <w:szCs w:val="22"/>
        </w:rPr>
        <w:t>M</w:t>
      </w:r>
      <w:r w:rsidR="00BF77A4" w:rsidRPr="00574E26">
        <w:rPr>
          <w:rFonts w:ascii="Calibri" w:hAnsi="Calibri" w:cs="Calibri"/>
          <w:b/>
          <w:bCs/>
          <w:color w:val="13576B"/>
          <w:sz w:val="22"/>
          <w:szCs w:val="22"/>
        </w:rPr>
        <w:t xml:space="preserve">eziroční pokles 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 xml:space="preserve">hypoteční sazby </w:t>
      </w:r>
      <w:r w:rsidR="00BF77A4" w:rsidRPr="00574E26">
        <w:rPr>
          <w:rFonts w:ascii="Calibri" w:hAnsi="Calibri" w:cs="Calibri"/>
          <w:b/>
          <w:bCs/>
          <w:color w:val="13576B"/>
          <w:sz w:val="22"/>
          <w:szCs w:val="22"/>
        </w:rPr>
        <w:t xml:space="preserve">o 0,44% bodu snižuje měsíční splátky přibližně o více než 1,1 tis. Kč, tedy o 1,2 % čistého příjmu žadatele o hypotéku. Průměrná velikost nově poskytnuté hypotéky </w:t>
      </w:r>
      <w:r w:rsidRPr="00574E26">
        <w:rPr>
          <w:rFonts w:ascii="Calibri" w:hAnsi="Calibri" w:cs="Calibri"/>
          <w:b/>
          <w:bCs/>
          <w:color w:val="13576B"/>
          <w:sz w:val="22"/>
          <w:szCs w:val="22"/>
        </w:rPr>
        <w:t xml:space="preserve">se </w:t>
      </w:r>
      <w:r w:rsidR="00BF77A4" w:rsidRPr="00574E26">
        <w:rPr>
          <w:rFonts w:ascii="Calibri" w:hAnsi="Calibri" w:cs="Calibri"/>
          <w:b/>
          <w:bCs/>
          <w:color w:val="13576B"/>
          <w:sz w:val="22"/>
          <w:szCs w:val="22"/>
        </w:rPr>
        <w:t xml:space="preserve">v září </w:t>
      </w:r>
      <w:r w:rsidRPr="00574E26">
        <w:rPr>
          <w:rFonts w:ascii="Calibri" w:hAnsi="Calibri" w:cs="Calibri"/>
          <w:b/>
          <w:bCs/>
          <w:color w:val="13576B"/>
          <w:sz w:val="22"/>
          <w:szCs w:val="22"/>
        </w:rPr>
        <w:t xml:space="preserve">vrátila k růstu </w:t>
      </w:r>
      <w:r w:rsidR="00BF77A4" w:rsidRPr="00574E26">
        <w:rPr>
          <w:rFonts w:ascii="Calibri" w:hAnsi="Calibri" w:cs="Calibri"/>
          <w:b/>
          <w:bCs/>
          <w:color w:val="13576B"/>
          <w:sz w:val="22"/>
          <w:szCs w:val="22"/>
        </w:rPr>
        <w:t xml:space="preserve">na 4,35 milionu korun. Její meziroční nárůst o 590 tisíc korun tak zvedl průměrnou měsíční splátku téměř o 3,2 tis. Kč, tedy přibližně o 3,4 % příjmu žadatele. </w:t>
      </w:r>
    </w:p>
    <w:p w14:paraId="792E63D0" w14:textId="2038CA35" w:rsidR="00BF77A4" w:rsidRPr="00B97D8D" w:rsidRDefault="00BF77A4" w:rsidP="00A37C13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 w:rsidRPr="00BF77A4">
        <w:rPr>
          <w:rFonts w:ascii="Calibri" w:hAnsi="Calibri" w:cs="Calibri"/>
          <w:b/>
          <w:bCs/>
          <w:color w:val="13576B"/>
          <w:sz w:val="22"/>
          <w:szCs w:val="22"/>
        </w:rPr>
        <w:t>Pokud hypotéky udrží dynamiku z </w:t>
      </w:r>
      <w:r w:rsidR="001209DC">
        <w:rPr>
          <w:rFonts w:ascii="Calibri" w:hAnsi="Calibri" w:cs="Calibri"/>
          <w:b/>
          <w:bCs/>
          <w:color w:val="13576B"/>
          <w:sz w:val="22"/>
          <w:szCs w:val="22"/>
        </w:rPr>
        <w:t>posledních</w:t>
      </w:r>
      <w:r w:rsidRPr="00BF77A4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>čtyř</w:t>
      </w:r>
      <w:r w:rsidRPr="00BF77A4">
        <w:rPr>
          <w:rFonts w:ascii="Calibri" w:hAnsi="Calibri" w:cs="Calibri"/>
          <w:b/>
          <w:bCs/>
          <w:color w:val="13576B"/>
          <w:sz w:val="22"/>
          <w:szCs w:val="22"/>
        </w:rPr>
        <w:t xml:space="preserve"> měsíců, tedy za červen až 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>září</w:t>
      </w:r>
      <w:r w:rsidRPr="00BF77A4">
        <w:rPr>
          <w:rFonts w:ascii="Calibri" w:hAnsi="Calibri" w:cs="Calibri"/>
          <w:b/>
          <w:bCs/>
          <w:color w:val="13576B"/>
          <w:sz w:val="22"/>
          <w:szCs w:val="22"/>
        </w:rPr>
        <w:t xml:space="preserve">, pak by v roce 2025 mohl objem nových hypoték bez refinancování dosáhnout úrovně 316 miliard Kč, +38 % v porovnání s loňskem. 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>Nedávný trend tak vede k lepšímu ročnímu výhledu než před měsícem či třemi, kdy se odhad pohyboval blíže 300 mld. korun</w:t>
      </w:r>
      <w:r w:rsidRPr="00BF77A4">
        <w:rPr>
          <w:rFonts w:ascii="Calibri" w:hAnsi="Calibri" w:cs="Calibri"/>
          <w:b/>
          <w:bCs/>
          <w:color w:val="13576B"/>
          <w:sz w:val="22"/>
          <w:szCs w:val="22"/>
        </w:rPr>
        <w:t>.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 xml:space="preserve"> Výhled na silnější objemy rovněž </w:t>
      </w:r>
      <w:r w:rsidRPr="00BF77A4">
        <w:rPr>
          <w:rFonts w:ascii="Calibri" w:hAnsi="Calibri" w:cs="Calibri"/>
          <w:b/>
          <w:bCs/>
          <w:color w:val="13576B"/>
          <w:sz w:val="22"/>
          <w:szCs w:val="22"/>
        </w:rPr>
        <w:t>doprováz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>í</w:t>
      </w:r>
      <w:r w:rsidRPr="00BF77A4">
        <w:rPr>
          <w:rFonts w:ascii="Calibri" w:hAnsi="Calibri" w:cs="Calibri"/>
          <w:b/>
          <w:bCs/>
          <w:color w:val="13576B"/>
          <w:sz w:val="22"/>
          <w:szCs w:val="22"/>
        </w:rPr>
        <w:t xml:space="preserve"> lepší odhad počtu nových hypoték v letošním roce na úrovni 75,9 tisíc, což je nad průměrným odhadem z předcházejících tří měsíců (73 tisíc kusů).</w:t>
      </w:r>
    </w:p>
    <w:p w14:paraId="65DC7611" w14:textId="76F81900" w:rsidR="00E013E3" w:rsidRPr="00B97D8D" w:rsidRDefault="00E013E3" w:rsidP="00425883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 w:rsidRPr="00B97D8D">
        <w:rPr>
          <w:rFonts w:ascii="Calibri" w:hAnsi="Calibri" w:cs="Calibri"/>
          <w:b/>
          <w:bCs/>
          <w:color w:val="13576B"/>
          <w:sz w:val="22"/>
          <w:szCs w:val="22"/>
        </w:rPr>
        <w:t xml:space="preserve">Nová </w:t>
      </w:r>
      <w:r w:rsidR="00B97D8D">
        <w:rPr>
          <w:rFonts w:ascii="Calibri" w:hAnsi="Calibri" w:cs="Calibri"/>
          <w:b/>
          <w:bCs/>
          <w:color w:val="13576B"/>
          <w:sz w:val="22"/>
          <w:szCs w:val="22"/>
        </w:rPr>
        <w:t xml:space="preserve">hypoteční </w:t>
      </w:r>
      <w:r w:rsidRPr="00B97D8D">
        <w:rPr>
          <w:rFonts w:ascii="Calibri" w:hAnsi="Calibri" w:cs="Calibri"/>
          <w:b/>
          <w:bCs/>
          <w:color w:val="13576B"/>
          <w:sz w:val="22"/>
          <w:szCs w:val="22"/>
        </w:rPr>
        <w:t xml:space="preserve">čísla </w:t>
      </w:r>
      <w:r w:rsidR="00BF77A4" w:rsidRPr="00B97D8D">
        <w:rPr>
          <w:rFonts w:ascii="Calibri" w:hAnsi="Calibri" w:cs="Calibri"/>
          <w:b/>
          <w:bCs/>
          <w:color w:val="13576B"/>
          <w:sz w:val="22"/>
          <w:szCs w:val="22"/>
        </w:rPr>
        <w:t>zesilují nedávný</w:t>
      </w:r>
      <w:r w:rsidRPr="00B97D8D">
        <w:rPr>
          <w:rFonts w:ascii="Calibri" w:hAnsi="Calibri" w:cs="Calibri"/>
          <w:b/>
          <w:bCs/>
          <w:color w:val="13576B"/>
          <w:sz w:val="22"/>
          <w:szCs w:val="22"/>
        </w:rPr>
        <w:t xml:space="preserve"> trend</w:t>
      </w:r>
      <w:r w:rsidR="00B97D8D">
        <w:rPr>
          <w:rFonts w:ascii="Calibri" w:hAnsi="Calibri" w:cs="Calibri"/>
          <w:b/>
          <w:bCs/>
          <w:color w:val="13576B"/>
          <w:sz w:val="22"/>
          <w:szCs w:val="22"/>
        </w:rPr>
        <w:t>,</w:t>
      </w:r>
      <w:r w:rsidR="00BF77A4" w:rsidRPr="00B97D8D">
        <w:rPr>
          <w:rFonts w:ascii="Calibri" w:hAnsi="Calibri" w:cs="Calibri"/>
          <w:b/>
          <w:bCs/>
          <w:color w:val="13576B"/>
          <w:sz w:val="22"/>
          <w:szCs w:val="22"/>
        </w:rPr>
        <w:t xml:space="preserve"> a tak asi nadále </w:t>
      </w:r>
      <w:r w:rsidRPr="00B97D8D">
        <w:rPr>
          <w:rFonts w:ascii="Calibri" w:hAnsi="Calibri" w:cs="Calibri"/>
          <w:b/>
          <w:bCs/>
          <w:color w:val="13576B"/>
          <w:sz w:val="22"/>
          <w:szCs w:val="22"/>
        </w:rPr>
        <w:t>budou představovat proinflační riziko</w:t>
      </w:r>
      <w:r w:rsidR="00BF77A4" w:rsidRPr="00B97D8D">
        <w:rPr>
          <w:rFonts w:ascii="Calibri" w:hAnsi="Calibri" w:cs="Calibri"/>
          <w:b/>
          <w:bCs/>
          <w:color w:val="13576B"/>
          <w:sz w:val="22"/>
          <w:szCs w:val="22"/>
        </w:rPr>
        <w:t xml:space="preserve"> vůči nastavení měnové politiky </w:t>
      </w:r>
      <w:r w:rsidRPr="00B97D8D">
        <w:rPr>
          <w:rFonts w:ascii="Calibri" w:hAnsi="Calibri" w:cs="Calibri"/>
          <w:b/>
          <w:bCs/>
          <w:color w:val="13576B"/>
          <w:sz w:val="22"/>
          <w:szCs w:val="22"/>
        </w:rPr>
        <w:t xml:space="preserve">ČNB (2týdenní repo </w:t>
      </w:r>
      <w:r w:rsidR="00BF77A4" w:rsidRPr="00B97D8D">
        <w:rPr>
          <w:rFonts w:ascii="Calibri" w:hAnsi="Calibri" w:cs="Calibri"/>
          <w:b/>
          <w:bCs/>
          <w:color w:val="13576B"/>
          <w:sz w:val="22"/>
          <w:szCs w:val="22"/>
        </w:rPr>
        <w:t xml:space="preserve">nyní </w:t>
      </w:r>
      <w:r w:rsidRPr="00B97D8D">
        <w:rPr>
          <w:rFonts w:ascii="Calibri" w:hAnsi="Calibri" w:cs="Calibri"/>
          <w:b/>
          <w:bCs/>
          <w:color w:val="13576B"/>
          <w:sz w:val="22"/>
          <w:szCs w:val="22"/>
        </w:rPr>
        <w:t>na 3,5 %)</w:t>
      </w:r>
      <w:r w:rsidR="006830CE" w:rsidRPr="00B97D8D">
        <w:rPr>
          <w:rFonts w:ascii="Calibri" w:hAnsi="Calibri" w:cs="Calibri"/>
          <w:b/>
          <w:bCs/>
          <w:color w:val="13576B"/>
          <w:sz w:val="22"/>
          <w:szCs w:val="22"/>
        </w:rPr>
        <w:t xml:space="preserve"> a </w:t>
      </w:r>
      <w:r w:rsidRPr="00B97D8D">
        <w:rPr>
          <w:rFonts w:ascii="Calibri" w:hAnsi="Calibri" w:cs="Calibri"/>
          <w:b/>
          <w:bCs/>
          <w:color w:val="13576B"/>
          <w:sz w:val="22"/>
          <w:szCs w:val="22"/>
        </w:rPr>
        <w:t xml:space="preserve">také pravděpodobně udrží netriviální diskusi nad nastavením </w:t>
      </w:r>
      <w:r w:rsidR="006830CE" w:rsidRPr="00B97D8D">
        <w:rPr>
          <w:rFonts w:ascii="Calibri" w:hAnsi="Calibri" w:cs="Calibri"/>
          <w:b/>
          <w:bCs/>
          <w:color w:val="13576B"/>
          <w:sz w:val="22"/>
          <w:szCs w:val="22"/>
        </w:rPr>
        <w:t xml:space="preserve">makroobezřetnostní politiky, jejíž další rozhodnutí je naplánováno na </w:t>
      </w:r>
      <w:r w:rsidRPr="00B97D8D">
        <w:rPr>
          <w:rFonts w:ascii="Calibri" w:hAnsi="Calibri" w:cs="Calibri"/>
          <w:b/>
          <w:bCs/>
          <w:color w:val="13576B"/>
          <w:sz w:val="22"/>
          <w:szCs w:val="22"/>
        </w:rPr>
        <w:t>27. listopadu.</w:t>
      </w:r>
    </w:p>
    <w:p w14:paraId="5AD409BA" w14:textId="77777777" w:rsidR="00574E26" w:rsidRDefault="00574E26" w:rsidP="00425883">
      <w:pPr>
        <w:spacing w:before="240" w:after="120"/>
        <w:rPr>
          <w:rFonts w:ascii="Calibri" w:hAnsi="Calibri" w:cs="Calibri"/>
          <w:b/>
          <w:color w:val="13576B"/>
          <w:sz w:val="23"/>
          <w:szCs w:val="23"/>
        </w:rPr>
      </w:pPr>
    </w:p>
    <w:p w14:paraId="4A7C2A28" w14:textId="356E12CD" w:rsidR="00425883" w:rsidRPr="002B35B7" w:rsidRDefault="00425883" w:rsidP="00425883">
      <w:pPr>
        <w:spacing w:before="240" w:after="120"/>
        <w:rPr>
          <w:rFonts w:ascii="Calibri" w:hAnsi="Calibri" w:cs="Calibri"/>
          <w:b/>
          <w:color w:val="13576B"/>
          <w:sz w:val="23"/>
          <w:szCs w:val="23"/>
        </w:rPr>
      </w:pPr>
      <w:r w:rsidRPr="003F159E">
        <w:rPr>
          <w:rFonts w:ascii="Calibri" w:hAnsi="Calibri" w:cs="Calibri"/>
          <w:b/>
          <w:color w:val="13576B"/>
          <w:sz w:val="23"/>
          <w:szCs w:val="23"/>
        </w:rPr>
        <w:t xml:space="preserve">Tabulka č. 1: Shrnutí objemu poskytnutých hypoték a průměrných úrokových sazeb za </w:t>
      </w:r>
      <w:r w:rsidR="00863D50">
        <w:rPr>
          <w:rFonts w:ascii="Calibri" w:hAnsi="Calibri" w:cs="Calibri"/>
          <w:b/>
          <w:color w:val="13576B"/>
          <w:sz w:val="23"/>
          <w:szCs w:val="23"/>
        </w:rPr>
        <w:t>září</w:t>
      </w:r>
      <w:r>
        <w:rPr>
          <w:rFonts w:ascii="Calibri" w:hAnsi="Calibri" w:cs="Calibri"/>
          <w:b/>
          <w:color w:val="13576B"/>
          <w:sz w:val="23"/>
          <w:szCs w:val="23"/>
        </w:rPr>
        <w:t xml:space="preserve"> 2025 a za dosavadní průběh letošního roku</w:t>
      </w:r>
    </w:p>
    <w:tbl>
      <w:tblPr>
        <w:tblW w:w="95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102"/>
        <w:gridCol w:w="960"/>
        <w:gridCol w:w="960"/>
        <w:gridCol w:w="242"/>
        <w:gridCol w:w="993"/>
        <w:gridCol w:w="850"/>
        <w:gridCol w:w="916"/>
      </w:tblGrid>
      <w:tr w:rsidR="00425883" w:rsidRPr="002138C0" w14:paraId="02897C33" w14:textId="77777777" w:rsidTr="003E009F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6A0B8A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</w:tcBorders>
            <w:shd w:val="clear" w:color="000000" w:fill="FFFFFF"/>
            <w:vAlign w:val="bottom"/>
          </w:tcPr>
          <w:p w14:paraId="374959CA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měsíční hodnoty</w:t>
            </w:r>
          </w:p>
        </w:tc>
        <w:tc>
          <w:tcPr>
            <w:tcW w:w="242" w:type="dxa"/>
            <w:tcBorders>
              <w:top w:val="nil"/>
              <w:right w:val="nil"/>
            </w:tcBorders>
            <w:vAlign w:val="bottom"/>
          </w:tcPr>
          <w:p w14:paraId="14067E1E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5820EF4F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hodnoty od začátku roku</w:t>
            </w:r>
          </w:p>
        </w:tc>
      </w:tr>
      <w:tr w:rsidR="00425883" w:rsidRPr="002138C0" w14:paraId="4890C229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E637A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2D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 w:val="restart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B2CF1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Objem</w:t>
            </w: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8006D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960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A53E93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Sazba</w:t>
            </w: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242" w:type="dxa"/>
            <w:tcBorders>
              <w:left w:val="nil"/>
              <w:right w:val="nil"/>
            </w:tcBorders>
            <w:vAlign w:val="bottom"/>
          </w:tcPr>
          <w:p w14:paraId="2C5E5350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39AEE999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Objem</w:t>
            </w: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45BA4" w14:textId="77777777" w:rsidR="00425883" w:rsidRPr="00A06A94" w:rsidRDefault="00425883" w:rsidP="003E009F">
            <w:pPr>
              <w:overflowPunct/>
              <w:autoSpaceDE/>
              <w:autoSpaceDN/>
              <w:adjustRightInd/>
              <w:ind w:left="-73" w:firstLine="73"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bottom"/>
          </w:tcPr>
          <w:p w14:paraId="077C59E1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Sazba</w:t>
            </w: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br/>
              <w:t xml:space="preserve"> (%)</w:t>
            </w:r>
          </w:p>
        </w:tc>
      </w:tr>
      <w:tr w:rsidR="00425883" w:rsidRPr="002138C0" w14:paraId="58F15C0C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758C49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3D437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11A06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901C11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center"/>
          </w:tcPr>
          <w:p w14:paraId="3D918162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21D51D7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D9524A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136A8A9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</w:p>
        </w:tc>
      </w:tr>
      <w:tr w:rsidR="00863D50" w:rsidRPr="002138C0" w14:paraId="0D319709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650D8E" w14:textId="77777777" w:rsidR="00863D50" w:rsidRPr="00072DB9" w:rsidRDefault="00863D50" w:rsidP="00863D5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5C838" w14:textId="6F25609A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ED8B2" w14:textId="4B98276B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8 952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EC0207" w14:textId="09734E43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48168675" w14:textId="48CA9F5A" w:rsidR="00863D50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10E06" w14:textId="1E448B30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292,9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3B5A7" w14:textId="7902560E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72 941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8C875B" w14:textId="1380C4ED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4,60</w:t>
            </w:r>
          </w:p>
        </w:tc>
      </w:tr>
      <w:tr w:rsidR="00863D50" w:rsidRPr="002138C0" w14:paraId="4CCF9803" w14:textId="77777777" w:rsidTr="00883A3C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bottom"/>
            <w:hideMark/>
          </w:tcPr>
          <w:p w14:paraId="427BFA1A" w14:textId="77777777" w:rsidR="00863D50" w:rsidRPr="00072DB9" w:rsidRDefault="00863D50" w:rsidP="00863D50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Nové úvěry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29369C60" w14:textId="125E564C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29,6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2F19DC0D" w14:textId="427F1684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6 795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center"/>
            <w:hideMark/>
          </w:tcPr>
          <w:p w14:paraId="0E1BBC03" w14:textId="4236D1CE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242" w:type="dxa"/>
            <w:tcBorders>
              <w:left w:val="nil"/>
              <w:bottom w:val="nil"/>
              <w:right w:val="nil"/>
            </w:tcBorders>
            <w:vAlign w:val="bottom"/>
          </w:tcPr>
          <w:p w14:paraId="59087809" w14:textId="580EFAFB" w:rsidR="00863D50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vAlign w:val="center"/>
          </w:tcPr>
          <w:p w14:paraId="34F1CCE8" w14:textId="420607E9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808080"/>
                <w:sz w:val="22"/>
                <w:szCs w:val="22"/>
              </w:rPr>
              <w:t>235,1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DAF3EA" w:fill="C1F7E9"/>
            <w:vAlign w:val="center"/>
          </w:tcPr>
          <w:p w14:paraId="3B4EBFBE" w14:textId="12F156D2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808080"/>
                <w:sz w:val="22"/>
                <w:szCs w:val="22"/>
              </w:rPr>
              <w:t>56 532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solid" w:color="DAF3EA" w:fill="C1F7E9"/>
            <w:vAlign w:val="center"/>
          </w:tcPr>
          <w:p w14:paraId="571E9F3C" w14:textId="3F7E0B45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808080"/>
                <w:sz w:val="22"/>
                <w:szCs w:val="22"/>
              </w:rPr>
              <w:t>4,61</w:t>
            </w:r>
          </w:p>
        </w:tc>
      </w:tr>
      <w:tr w:rsidR="00863D50" w:rsidRPr="002138C0" w14:paraId="7681A9A0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7956A" w14:textId="77777777" w:rsidR="00863D50" w:rsidRPr="00072DB9" w:rsidRDefault="00863D50" w:rsidP="00863D50">
            <w:pPr>
              <w:overflowPunct/>
              <w:autoSpaceDE/>
              <w:autoSpaceDN/>
              <w:adjustRightInd/>
              <w:ind w:firstLineChars="200" w:firstLine="44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z toho: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BD3AE" w14:textId="5AD2597A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4A1B0" w14:textId="17C9805E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BB0DB" w14:textId="6273425E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CAC2F" w14:textId="129DDAA7" w:rsidR="00863D50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964CC2" w14:textId="01DA1D0F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10B8577" w14:textId="46CF3DCA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20C2204" w14:textId="7AE03279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 </w:t>
            </w:r>
          </w:p>
        </w:tc>
      </w:tr>
      <w:tr w:rsidR="00863D50" w:rsidRPr="002138C0" w14:paraId="044C41DA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5457A" w14:textId="77777777" w:rsidR="00863D50" w:rsidRPr="00072DB9" w:rsidRDefault="00863D50" w:rsidP="00863D50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koupi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737F4" w14:textId="181E2485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A754B" w14:textId="5E125169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5 348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27610" w14:textId="075C6722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4,51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85060" w14:textId="7A72B6FE" w:rsidR="00863D50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F069C9" w14:textId="5FA2069C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187,8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91727F9" w14:textId="0A3630FA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44 290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8656123" w14:textId="43BD1077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4,60</w:t>
            </w:r>
          </w:p>
        </w:tc>
      </w:tr>
      <w:tr w:rsidR="00863D50" w:rsidRPr="002138C0" w14:paraId="2F24DA4A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6FC44" w14:textId="77777777" w:rsidR="00863D50" w:rsidRPr="00072DB9" w:rsidRDefault="00863D50" w:rsidP="00863D50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výstavbu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8C61F" w14:textId="6B914961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57232" w14:textId="34B48D1E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AC752" w14:textId="6048A089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D88DB" w14:textId="72CEC404" w:rsidR="00863D50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D7FAE5" w14:textId="353A60B0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35,5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7C10C04" w14:textId="4F730F02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8 756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3F6D3B8" w14:textId="65565419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4,57</w:t>
            </w:r>
          </w:p>
        </w:tc>
      </w:tr>
      <w:tr w:rsidR="00863D50" w:rsidRPr="002138C0" w14:paraId="6C466F00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D71550" w14:textId="77777777" w:rsidR="00863D50" w:rsidRPr="00072DB9" w:rsidRDefault="00863D50" w:rsidP="00863D50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95C07" w14:textId="02F26249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C5AB3" w14:textId="56704821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A05CEB" w14:textId="0FDC6047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6B197FAE" w14:textId="5554D7EC" w:rsidR="00863D50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42E05" w14:textId="62D21607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11,9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660BD" w14:textId="1FE9B6D0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3 486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DA1437" w14:textId="618E9373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4,79</w:t>
            </w:r>
          </w:p>
        </w:tc>
      </w:tr>
      <w:tr w:rsidR="00863D50" w:rsidRPr="002138C0" w14:paraId="12035089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1D37ED" w14:textId="77777777" w:rsidR="00863D50" w:rsidRPr="00072DB9" w:rsidRDefault="00863D50" w:rsidP="00863D50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z jiné instituce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772B7" w14:textId="312C5AB0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8945F" w14:textId="48172624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1 845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60DBB2" w14:textId="32701756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4,49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70D93E09" w14:textId="32ADEE8E" w:rsidR="00863D50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DE192" w14:textId="765A978A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47,3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37315" w14:textId="6C6F694D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13 555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D2CCAF" w14:textId="5127D24D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4,56</w:t>
            </w:r>
          </w:p>
        </w:tc>
      </w:tr>
      <w:tr w:rsidR="00863D50" w:rsidRPr="002138C0" w14:paraId="01014CF0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354E05" w14:textId="77777777" w:rsidR="00863D50" w:rsidRPr="00072DB9" w:rsidRDefault="00863D50" w:rsidP="00863D50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interně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, navýšené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EDCC6" w14:textId="472A49AF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8724A" w14:textId="53A932A5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F58356" w14:textId="75765B87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4,54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05BC36DD" w14:textId="7A723ADA" w:rsidR="00863D50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16DBD" w14:textId="5D91FB89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BC102" w14:textId="6FDC2838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2 854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9818EE" w14:textId="500C37AE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4,57</w:t>
            </w:r>
          </w:p>
        </w:tc>
      </w:tr>
      <w:tr w:rsidR="00425883" w:rsidRPr="002138C0" w14:paraId="6F1DAD0F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14AF0" w14:textId="77777777" w:rsidR="00425883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 w:rsidRPr="00072DB9">
              <w:rPr>
                <w:rFonts w:ascii="Calibri Light" w:hAnsi="Calibri Light" w:cs="Calibri Light"/>
                <w:color w:val="13576B"/>
                <w:sz w:val="20"/>
              </w:rPr>
              <w:t>Pramen: ČBA Hypomonitor</w:t>
            </w:r>
          </w:p>
          <w:p w14:paraId="28D49210" w14:textId="77777777" w:rsidR="00425883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</w:p>
          <w:p w14:paraId="7DF4299E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D84A1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899A2" w14:textId="79BFB73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A867D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4D162A73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6761BB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1D289D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ABD52C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</w:tbl>
    <w:p w14:paraId="6B7D1662" w14:textId="7D1E6DF8" w:rsidR="00677FE7" w:rsidRDefault="00E16BD3" w:rsidP="002B35B7">
      <w:pPr>
        <w:spacing w:before="240" w:after="120"/>
        <w:rPr>
          <w:rFonts w:ascii="Calibri" w:hAnsi="Calibri" w:cs="Calibri"/>
          <w:b/>
          <w:color w:val="13576B"/>
          <w:sz w:val="23"/>
          <w:szCs w:val="23"/>
        </w:rPr>
      </w:pPr>
      <w:bookmarkStart w:id="2" w:name="_Hlk111121228"/>
      <w:bookmarkStart w:id="3" w:name="_Hlk119308742"/>
      <w:r>
        <w:rPr>
          <w:rFonts w:ascii="Calibri" w:hAnsi="Calibri" w:cs="Calibri"/>
          <w:b/>
          <w:noProof/>
          <w:color w:val="13576B"/>
          <w:sz w:val="23"/>
          <w:szCs w:val="23"/>
        </w:rPr>
        <w:lastRenderedPageBreak/>
        <w:drawing>
          <wp:inline distT="0" distB="0" distL="0" distR="0" wp14:anchorId="6024BFE3" wp14:editId="76C70646">
            <wp:extent cx="6228369" cy="5139690"/>
            <wp:effectExtent l="0" t="0" r="1270" b="3810"/>
            <wp:docPr id="85713358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527" cy="5144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04542E" w14:textId="77777777" w:rsidR="00E16BD3" w:rsidRPr="00E16BD3" w:rsidRDefault="00E16BD3" w:rsidP="00E16BD3">
      <w:pPr>
        <w:overflowPunct/>
        <w:autoSpaceDE/>
        <w:autoSpaceDN/>
        <w:adjustRightInd/>
        <w:jc w:val="left"/>
        <w:textAlignment w:val="auto"/>
        <w:rPr>
          <w:rFonts w:ascii="Calibri Light" w:hAnsi="Calibri Light" w:cs="Calibri Light"/>
          <w:color w:val="13576B"/>
          <w:sz w:val="20"/>
        </w:rPr>
      </w:pPr>
      <w:r w:rsidRPr="00E16BD3">
        <w:rPr>
          <w:rFonts w:ascii="Calibri Light" w:hAnsi="Calibri Light" w:cs="Calibri Light"/>
          <w:color w:val="13576B"/>
          <w:sz w:val="20"/>
        </w:rPr>
        <w:t>Poznámka: výhled do konce roku je momentový – vychází z aktuálního trendu, nikoli z modelové predikce.</w:t>
      </w:r>
    </w:p>
    <w:p w14:paraId="318142AF" w14:textId="79B43D52" w:rsidR="00E924A8" w:rsidRDefault="00B97D8D" w:rsidP="002B35B7">
      <w:pPr>
        <w:spacing w:before="240" w:after="120"/>
        <w:rPr>
          <w:rFonts w:ascii="Calibri" w:hAnsi="Calibri" w:cs="Calibri"/>
          <w:b/>
          <w:color w:val="13576B"/>
          <w:sz w:val="23"/>
          <w:szCs w:val="23"/>
        </w:rPr>
      </w:pPr>
      <w:r>
        <w:rPr>
          <w:rFonts w:ascii="Calibri" w:hAnsi="Calibri" w:cs="Calibri"/>
          <w:b/>
          <w:color w:val="13576B"/>
          <w:sz w:val="23"/>
          <w:szCs w:val="23"/>
        </w:rPr>
        <w:t xml:space="preserve">Poprázdninový návrat k silnému objemu hypoték po mírnější srpnové korekci </w:t>
      </w:r>
    </w:p>
    <w:p w14:paraId="4447F4B3" w14:textId="6D4947B8" w:rsidR="00B97D8D" w:rsidRDefault="00B97D8D" w:rsidP="002B35B7">
      <w:pPr>
        <w:spacing w:before="240" w:after="120"/>
        <w:rPr>
          <w:rFonts w:ascii="Calibri" w:hAnsi="Calibri" w:cs="Calibri"/>
          <w:color w:val="000000"/>
          <w:sz w:val="22"/>
          <w:szCs w:val="22"/>
        </w:rPr>
      </w:pPr>
      <w:r w:rsidRPr="00B97D8D">
        <w:rPr>
          <w:rFonts w:ascii="Calibri" w:hAnsi="Calibri" w:cs="Calibri"/>
          <w:b/>
          <w:bCs/>
          <w:color w:val="000000"/>
          <w:sz w:val="22"/>
          <w:szCs w:val="22"/>
        </w:rPr>
        <w:t>V září poskytly banky a stavební spořitelny skutečně nové hypoteční úvěry za 29,6 mld. Kč a k tomu klienti navíc refinancovali či navýšili své hypotéky v rozsahu 8 mld. Kč.</w:t>
      </w:r>
      <w:r w:rsidRPr="00B97D8D">
        <w:rPr>
          <w:rFonts w:ascii="Calibri" w:hAnsi="Calibri" w:cs="Calibri"/>
          <w:color w:val="000000"/>
          <w:sz w:val="22"/>
          <w:szCs w:val="22"/>
        </w:rPr>
        <w:t xml:space="preserve"> Oproti srpnu tak nová hypoteční aktivita objemově stoupla přibližně o 14 %. Po sezónní úpravě přinesla zářijová čísla nových hypoték nárůst na 31,3 mld. Kč. To představuje 20,6% zlepšení ve srovnání s</w:t>
      </w:r>
      <w:r w:rsidR="001209DC">
        <w:rPr>
          <w:rFonts w:ascii="Calibri" w:hAnsi="Calibri" w:cs="Calibri"/>
          <w:color w:val="000000"/>
          <w:sz w:val="22"/>
          <w:szCs w:val="22"/>
        </w:rPr>
        <w:t>e</w:t>
      </w:r>
      <w:r w:rsidRPr="00B97D8D">
        <w:rPr>
          <w:rFonts w:ascii="Calibri" w:hAnsi="Calibri" w:cs="Calibri"/>
          <w:color w:val="000000"/>
          <w:sz w:val="22"/>
          <w:szCs w:val="22"/>
        </w:rPr>
        <w:t xml:space="preserve"> srpnovými 25,9 mld. a zároveň se nachází nad průměrným objemem z předchozích tří měsíců (26,6 mld. Kč). V meziročním vyjádření </w:t>
      </w:r>
      <w:r>
        <w:rPr>
          <w:rFonts w:ascii="Calibri" w:hAnsi="Calibri" w:cs="Calibri"/>
          <w:color w:val="000000"/>
          <w:sz w:val="22"/>
          <w:szCs w:val="22"/>
        </w:rPr>
        <w:t xml:space="preserve">se </w:t>
      </w:r>
      <w:r w:rsidRPr="00B97D8D">
        <w:rPr>
          <w:rFonts w:ascii="Calibri" w:hAnsi="Calibri" w:cs="Calibri"/>
          <w:color w:val="000000"/>
          <w:sz w:val="22"/>
          <w:szCs w:val="22"/>
        </w:rPr>
        <w:t xml:space="preserve">růst objemu poskytnutých hypoték v září </w:t>
      </w:r>
      <w:r>
        <w:rPr>
          <w:rFonts w:ascii="Calibri" w:hAnsi="Calibri" w:cs="Calibri"/>
          <w:color w:val="000000"/>
          <w:sz w:val="22"/>
          <w:szCs w:val="22"/>
        </w:rPr>
        <w:t>vrátil</w:t>
      </w:r>
      <w:r w:rsidRPr="00B97D8D">
        <w:rPr>
          <w:rFonts w:ascii="Calibri" w:hAnsi="Calibri" w:cs="Calibri"/>
          <w:color w:val="000000"/>
          <w:sz w:val="22"/>
          <w:szCs w:val="22"/>
        </w:rPr>
        <w:t xml:space="preserve"> na 50 % </w:t>
      </w:r>
      <w:r>
        <w:rPr>
          <w:rFonts w:ascii="Calibri" w:hAnsi="Calibri" w:cs="Calibri"/>
          <w:color w:val="000000"/>
          <w:sz w:val="22"/>
          <w:szCs w:val="22"/>
        </w:rPr>
        <w:t xml:space="preserve">po krátkodobém zpomalení na 1 % meziročního růstu v srpnu (silný bazický efekt spojený se silnými objemy v srpnu 2024 kvůli novele zákona o </w:t>
      </w:r>
      <w:r w:rsidR="006B4649">
        <w:rPr>
          <w:rFonts w:ascii="Calibri" w:hAnsi="Calibri" w:cs="Calibri"/>
          <w:color w:val="000000"/>
          <w:sz w:val="22"/>
          <w:szCs w:val="22"/>
        </w:rPr>
        <w:t>uznatelných nákladech</w:t>
      </w:r>
      <w:r>
        <w:rPr>
          <w:rFonts w:ascii="Calibri" w:hAnsi="Calibri" w:cs="Calibri"/>
          <w:color w:val="000000"/>
          <w:sz w:val="22"/>
          <w:szCs w:val="22"/>
        </w:rPr>
        <w:t xml:space="preserve">) a </w:t>
      </w:r>
      <w:r w:rsidRPr="00B97D8D">
        <w:rPr>
          <w:rFonts w:ascii="Calibri" w:hAnsi="Calibri" w:cs="Calibri"/>
          <w:color w:val="000000"/>
          <w:sz w:val="22"/>
          <w:szCs w:val="22"/>
        </w:rPr>
        <w:t>po</w:t>
      </w:r>
      <w:r>
        <w:rPr>
          <w:rFonts w:ascii="Calibri" w:hAnsi="Calibri" w:cs="Calibri"/>
          <w:color w:val="000000"/>
          <w:sz w:val="22"/>
          <w:szCs w:val="22"/>
        </w:rPr>
        <w:t xml:space="preserve"> průměrném</w:t>
      </w:r>
      <w:r w:rsidRPr="00B97D8D">
        <w:rPr>
          <w:rFonts w:ascii="Calibri" w:hAnsi="Calibri" w:cs="Calibri"/>
          <w:color w:val="000000"/>
          <w:sz w:val="22"/>
          <w:szCs w:val="22"/>
        </w:rPr>
        <w:t xml:space="preserve"> 83% meziročním nárůstu v minulém roce.</w:t>
      </w:r>
    </w:p>
    <w:p w14:paraId="115F55C1" w14:textId="5994F682" w:rsidR="001808FE" w:rsidRPr="004E3F0C" w:rsidRDefault="001808FE" w:rsidP="00180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 w:rsidRPr="006B4649">
        <w:rPr>
          <w:rFonts w:ascii="Calibri" w:hAnsi="Calibri" w:cs="Calibri"/>
          <w:i/>
          <w:iCs/>
          <w:color w:val="000000" w:themeColor="text1"/>
          <w:sz w:val="22"/>
          <w:szCs w:val="22"/>
        </w:rPr>
        <w:t>„</w:t>
      </w:r>
      <w:r w:rsidRPr="001808FE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Zářijová čísla potvrdila, že silná letní aktivita na hypotečním trhu nebyla výjimkou. Hypoteční trh zůstává nadále velmi živý – roste jak počet, tak i objem nově poskytnutých úvěrů. Průměrná výše nové hypotéky 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poprvé </w:t>
      </w:r>
      <w:r w:rsidRPr="001808FE">
        <w:rPr>
          <w:rFonts w:ascii="Calibri" w:hAnsi="Calibri" w:cs="Calibri"/>
          <w:i/>
          <w:iCs/>
          <w:color w:val="000000" w:themeColor="text1"/>
          <w:sz w:val="22"/>
          <w:szCs w:val="22"/>
        </w:rPr>
        <w:t>přesáhla 4,3 milionu korun a její medián se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pravděpodobně </w:t>
      </w:r>
      <w:r w:rsidRPr="001808FE">
        <w:rPr>
          <w:rFonts w:ascii="Calibri" w:hAnsi="Calibri" w:cs="Calibri"/>
          <w:i/>
          <w:iCs/>
          <w:color w:val="000000" w:themeColor="text1"/>
          <w:sz w:val="22"/>
          <w:szCs w:val="22"/>
        </w:rPr>
        <w:t>pohybuje okolo 3,4 milionu</w:t>
      </w:r>
      <w:r w:rsidRPr="006B4649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,“ </w:t>
      </w:r>
      <w:r>
        <w:rPr>
          <w:rFonts w:ascii="Calibri" w:hAnsi="Calibri" w:cs="Calibri"/>
          <w:color w:val="000000" w:themeColor="text1"/>
          <w:sz w:val="22"/>
          <w:szCs w:val="22"/>
        </w:rPr>
        <w:t>podotýká</w:t>
      </w:r>
      <w:r w:rsidRPr="004E3F0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4E3F0C">
        <w:rPr>
          <w:rFonts w:ascii="Calibri" w:hAnsi="Calibri" w:cs="Calibri"/>
          <w:b/>
          <w:bCs/>
          <w:color w:val="000000" w:themeColor="text1"/>
          <w:sz w:val="22"/>
          <w:szCs w:val="22"/>
        </w:rPr>
        <w:t>Jaromír Šindel, hlavní ekonom České bankovní asociace</w:t>
      </w:r>
      <w:r w:rsidRPr="004E3F0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11698F21" w14:textId="77777777" w:rsidR="001808FE" w:rsidRDefault="001808FE" w:rsidP="001808FE">
      <w:pPr>
        <w:overflowPunct/>
        <w:autoSpaceDE/>
        <w:autoSpaceDN/>
        <w:adjustRightInd/>
        <w:textAlignment w:val="auto"/>
        <w:rPr>
          <w:rFonts w:ascii="Calibri" w:hAnsi="Calibri" w:cs="Calibri"/>
          <w:i/>
          <w:iCs/>
          <w:sz w:val="22"/>
          <w:szCs w:val="22"/>
        </w:rPr>
      </w:pPr>
    </w:p>
    <w:p w14:paraId="0355E5D9" w14:textId="77777777" w:rsidR="001808FE" w:rsidRPr="00A37C13" w:rsidRDefault="001808FE" w:rsidP="002B35B7">
      <w:pPr>
        <w:spacing w:before="240" w:after="120"/>
        <w:rPr>
          <w:rFonts w:ascii="Calibri" w:hAnsi="Calibri" w:cs="Calibri"/>
          <w:color w:val="000000"/>
          <w:sz w:val="22"/>
          <w:szCs w:val="22"/>
        </w:rPr>
      </w:pPr>
    </w:p>
    <w:p w14:paraId="504110D7" w14:textId="6750CD70" w:rsidR="006B4649" w:rsidRDefault="006B4649" w:rsidP="006228C3">
      <w:pPr>
        <w:spacing w:before="120" w:after="12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Poč</w:t>
      </w:r>
      <w:r w:rsidRPr="00EA610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et nových hypoték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v září dosáhl 44měsíčního maxima a letošní rok </w:t>
      </w:r>
      <w:r w:rsidRPr="00EA6103">
        <w:rPr>
          <w:rFonts w:ascii="Calibri" w:hAnsi="Calibri" w:cs="Calibri"/>
          <w:b/>
          <w:bCs/>
          <w:color w:val="000000" w:themeColor="text1"/>
          <w:sz w:val="22"/>
          <w:szCs w:val="22"/>
        </w:rPr>
        <w:t>překon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á</w:t>
      </w:r>
      <w:r w:rsidRPr="00EA610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úroveň z roku 2019. </w:t>
      </w:r>
      <w:r w:rsidRPr="006B4649">
        <w:rPr>
          <w:rFonts w:ascii="Calibri" w:hAnsi="Calibri" w:cs="Calibri"/>
          <w:color w:val="000000" w:themeColor="text1"/>
          <w:sz w:val="22"/>
          <w:szCs w:val="22"/>
        </w:rPr>
        <w:t xml:space="preserve">Počet nových hypoték v září narostl o 11,6 % meziměsíčně na 6 795 kusů, což je o 30 % více než před rokem. Odhadujeme, že po sezónním očištění jejich počet </w:t>
      </w:r>
      <w:r>
        <w:rPr>
          <w:rFonts w:ascii="Calibri" w:hAnsi="Calibri" w:cs="Calibri"/>
          <w:color w:val="000000" w:themeColor="text1"/>
          <w:sz w:val="22"/>
          <w:szCs w:val="22"/>
        </w:rPr>
        <w:t>dosáhl</w:t>
      </w:r>
      <w:r w:rsidRPr="006B4649">
        <w:rPr>
          <w:rFonts w:ascii="Calibri" w:hAnsi="Calibri" w:cs="Calibri"/>
          <w:color w:val="000000" w:themeColor="text1"/>
          <w:sz w:val="22"/>
          <w:szCs w:val="22"/>
        </w:rPr>
        <w:t xml:space="preserve"> okolo 7 244, přibližně 14 % nad průměrným počtem (6 346) v předchozích třech měsících. Od počátku roku dosáhl počet nových hypoték 56,5 tisíc</w:t>
      </w:r>
      <w:r w:rsidR="001209DC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006B4649">
        <w:rPr>
          <w:rFonts w:ascii="Calibri" w:hAnsi="Calibri" w:cs="Calibri"/>
          <w:color w:val="000000" w:themeColor="text1"/>
          <w:sz w:val="22"/>
          <w:szCs w:val="22"/>
        </w:rPr>
        <w:t xml:space="preserve"> kusů (+25,5 % meziročně). Dynamika počtu nových hypoték z předcházejících čtyř měsíců, tedy za červen až </w:t>
      </w:r>
      <w:r>
        <w:rPr>
          <w:rFonts w:ascii="Calibri" w:hAnsi="Calibri" w:cs="Calibri"/>
          <w:color w:val="000000" w:themeColor="text1"/>
          <w:sz w:val="22"/>
          <w:szCs w:val="22"/>
        </w:rPr>
        <w:t>září</w:t>
      </w:r>
      <w:r w:rsidRPr="006B4649">
        <w:rPr>
          <w:rFonts w:ascii="Calibri" w:hAnsi="Calibri" w:cs="Calibri"/>
          <w:color w:val="000000" w:themeColor="text1"/>
          <w:sz w:val="22"/>
          <w:szCs w:val="22"/>
        </w:rPr>
        <w:t xml:space="preserve"> implikuje jejich letošní nárůst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k </w:t>
      </w:r>
      <w:r w:rsidRPr="006B4649">
        <w:rPr>
          <w:rFonts w:ascii="Calibri" w:hAnsi="Calibri" w:cs="Calibri"/>
          <w:color w:val="000000" w:themeColor="text1"/>
          <w:sz w:val="22"/>
          <w:szCs w:val="22"/>
        </w:rPr>
        <w:t>75,9 tisíc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ům. To </w:t>
      </w:r>
      <w:r w:rsidRPr="006B4649">
        <w:rPr>
          <w:rFonts w:ascii="Calibri" w:hAnsi="Calibri" w:cs="Calibri"/>
          <w:color w:val="000000" w:themeColor="text1"/>
          <w:sz w:val="22"/>
          <w:szCs w:val="22"/>
        </w:rPr>
        <w:t xml:space="preserve">by bylo téměř o 23 % více než v loňském roce a </w:t>
      </w:r>
      <w:r w:rsidR="001808FE">
        <w:rPr>
          <w:rFonts w:ascii="Calibri" w:hAnsi="Calibri" w:cs="Calibri"/>
          <w:color w:val="000000" w:themeColor="text1"/>
          <w:sz w:val="22"/>
          <w:szCs w:val="22"/>
        </w:rPr>
        <w:t>nad</w:t>
      </w:r>
      <w:r w:rsidRPr="006B4649">
        <w:rPr>
          <w:rFonts w:ascii="Calibri" w:hAnsi="Calibri" w:cs="Calibri"/>
          <w:color w:val="000000" w:themeColor="text1"/>
          <w:sz w:val="22"/>
          <w:szCs w:val="22"/>
        </w:rPr>
        <w:t xml:space="preserve"> 72 tisí</w:t>
      </w:r>
      <w:r w:rsidR="001808FE">
        <w:rPr>
          <w:rFonts w:ascii="Calibri" w:hAnsi="Calibri" w:cs="Calibri"/>
          <w:color w:val="000000" w:themeColor="text1"/>
          <w:sz w:val="22"/>
          <w:szCs w:val="22"/>
        </w:rPr>
        <w:t>ci</w:t>
      </w:r>
      <w:r w:rsidRPr="006B4649">
        <w:rPr>
          <w:rFonts w:ascii="Calibri" w:hAnsi="Calibri" w:cs="Calibri"/>
          <w:color w:val="000000" w:themeColor="text1"/>
          <w:sz w:val="22"/>
          <w:szCs w:val="22"/>
        </w:rPr>
        <w:t xml:space="preserve"> roku 2019</w:t>
      </w:r>
      <w:r>
        <w:rPr>
          <w:rFonts w:ascii="Calibri" w:hAnsi="Calibri" w:cs="Calibri"/>
          <w:color w:val="000000" w:themeColor="text1"/>
          <w:sz w:val="22"/>
          <w:szCs w:val="22"/>
        </w:rPr>
        <w:t>, ale</w:t>
      </w:r>
      <w:r w:rsidR="001808FE">
        <w:rPr>
          <w:rFonts w:ascii="Calibri" w:hAnsi="Calibri" w:cs="Calibri"/>
          <w:color w:val="000000" w:themeColor="text1"/>
          <w:sz w:val="22"/>
          <w:szCs w:val="22"/>
        </w:rPr>
        <w:t xml:space="preserve"> letošní počet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zůstane pod průměrnými počty okolo 95 tisíc z let 2016 až 2018 či pod 114 tisíci z roku 2021. </w:t>
      </w:r>
    </w:p>
    <w:p w14:paraId="60FFBB1D" w14:textId="77777777" w:rsidR="006F3240" w:rsidRDefault="006F3240" w:rsidP="00B40FEB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41B8EC1D" w14:textId="2EDED606" w:rsidR="00D24B00" w:rsidRPr="00D24B00" w:rsidRDefault="00893E0C" w:rsidP="00D24B00">
      <w:pPr>
        <w:rPr>
          <w:rFonts w:ascii="Calibri" w:hAnsi="Calibri" w:cs="Calibri"/>
          <w:b/>
          <w:color w:val="EE0000"/>
          <w:sz w:val="24"/>
          <w:szCs w:val="24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277397">
        <w:rPr>
          <w:rFonts w:ascii="Calibri" w:hAnsi="Calibri" w:cs="Calibri"/>
          <w:b/>
          <w:color w:val="13576B"/>
          <w:sz w:val="23"/>
          <w:szCs w:val="23"/>
        </w:rPr>
        <w:t>1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: </w:t>
      </w:r>
      <w:r w:rsidR="00277397">
        <w:rPr>
          <w:rFonts w:ascii="Calibri" w:hAnsi="Calibri" w:cs="Calibri"/>
          <w:b/>
          <w:color w:val="13576B"/>
          <w:sz w:val="23"/>
          <w:szCs w:val="23"/>
        </w:rPr>
        <w:t xml:space="preserve">Nově </w:t>
      </w:r>
      <w:r w:rsidR="00277397" w:rsidRPr="00395026">
        <w:rPr>
          <w:rFonts w:ascii="Calibri" w:hAnsi="Calibri" w:cs="Calibri"/>
          <w:b/>
          <w:color w:val="13576B"/>
          <w:sz w:val="23"/>
          <w:szCs w:val="23"/>
        </w:rPr>
        <w:t>poskytnuté hypotéky bez refinancování</w:t>
      </w:r>
      <w:r w:rsidR="00D24B00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</w:p>
    <w:p w14:paraId="3A211631" w14:textId="682FC64B" w:rsidR="00EA6103" w:rsidRPr="00EA6103" w:rsidRDefault="004E3F0C" w:rsidP="004E3F0C">
      <w:pPr>
        <w:rPr>
          <w:rFonts w:ascii="Calibri" w:hAnsi="Calibri" w:cs="Calibri"/>
          <w:bCs/>
          <w:i/>
          <w:iCs/>
          <w:color w:val="EE0000"/>
          <w:sz w:val="23"/>
          <w:szCs w:val="23"/>
        </w:rPr>
      </w:pPr>
      <w:r w:rsidRPr="004E3F0C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V září 2025 poskytly banky a stavební spořitelny nové hypotéky za 29,6 miliardy Kč, tedy o 14 % více než v srpnu. 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Sezónní úprava naznačuje více než 20% </w:t>
      </w:r>
      <w:r w:rsidRPr="004E3F0C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zlepšení na 31,3 mld. Kč. </w:t>
      </w:r>
    </w:p>
    <w:p w14:paraId="4CCB83B3" w14:textId="339817DE" w:rsidR="00893E0C" w:rsidRDefault="004E3F0C" w:rsidP="00237E0B">
      <w:pPr>
        <w:spacing w:before="120" w:after="12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noProof/>
          <w:color w:val="000000"/>
          <w:sz w:val="22"/>
          <w:szCs w:val="22"/>
        </w:rPr>
        <w:drawing>
          <wp:inline distT="0" distB="0" distL="0" distR="0" wp14:anchorId="258E62AF" wp14:editId="6FBFFE9F">
            <wp:extent cx="5876925" cy="3816350"/>
            <wp:effectExtent l="0" t="0" r="9525" b="0"/>
            <wp:docPr id="58114903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81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456E65" w14:textId="0C9E85D9" w:rsidR="00893E0C" w:rsidRDefault="00277397" w:rsidP="00237E0B">
      <w:pPr>
        <w:spacing w:before="120" w:after="12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77397">
        <w:rPr>
          <w:rFonts w:ascii="Calibri Light" w:hAnsi="Calibri Light" w:cs="Calibri Light"/>
          <w:color w:val="13576B"/>
          <w:sz w:val="20"/>
        </w:rPr>
        <w:t>Pramen: ČNB, ČBA Hypomonitor (před rokem 2020 jsou objemy ze statistiky ČNB).</w:t>
      </w:r>
    </w:p>
    <w:bookmarkEnd w:id="1"/>
    <w:bookmarkEnd w:id="2"/>
    <w:bookmarkEnd w:id="3"/>
    <w:p w14:paraId="30B6542C" w14:textId="610834A0" w:rsidR="00541D7D" w:rsidRDefault="00B40FEB" w:rsidP="0020488B">
      <w:pPr>
        <w:rPr>
          <w:rFonts w:ascii="Calibri" w:hAnsi="Calibri" w:cs="Calibri"/>
          <w:color w:val="000000"/>
          <w:sz w:val="22"/>
          <w:szCs w:val="22"/>
        </w:rPr>
      </w:pPr>
      <w:r w:rsidRPr="00B40FEB">
        <w:rPr>
          <w:rFonts w:ascii="Calibri" w:hAnsi="Calibri" w:cs="Calibri"/>
          <w:b/>
          <w:bCs/>
          <w:color w:val="000000"/>
          <w:sz w:val="22"/>
          <w:szCs w:val="22"/>
        </w:rPr>
        <w:t>Větší poměr refinancovaných úvěrů odpovídá současnému trendu a bude pravděpodobně sílit.</w:t>
      </w:r>
      <w:r w:rsidR="001808FE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1808FE" w:rsidRPr="001808FE">
        <w:rPr>
          <w:rFonts w:ascii="Calibri" w:hAnsi="Calibri" w:cs="Calibri"/>
          <w:color w:val="000000"/>
          <w:sz w:val="22"/>
          <w:szCs w:val="22"/>
        </w:rPr>
        <w:t xml:space="preserve">Objem refinancovaných a navýšených úvěrů (interně či z jiné instituce) v září stoupl na 8 mld. Kč. To je o 104 % více než průměrných 3,9 miliardy refinancovaných v loňském roce a o 272 % nad 2,2 miliardami refinancovanými v roce 2023. Podíl refinancovaných úvěrů na celkovém objemu poskytnutých hypoték </w:t>
      </w:r>
      <w:r w:rsidR="001808FE">
        <w:rPr>
          <w:rFonts w:ascii="Calibri" w:hAnsi="Calibri" w:cs="Calibri"/>
          <w:color w:val="000000"/>
          <w:sz w:val="22"/>
          <w:szCs w:val="22"/>
        </w:rPr>
        <w:t xml:space="preserve">nepatrně </w:t>
      </w:r>
      <w:r w:rsidR="001808FE" w:rsidRPr="001808FE">
        <w:rPr>
          <w:rFonts w:ascii="Calibri" w:hAnsi="Calibri" w:cs="Calibri"/>
          <w:color w:val="000000"/>
          <w:sz w:val="22"/>
          <w:szCs w:val="22"/>
        </w:rPr>
        <w:t>klesl na 21,3 %</w:t>
      </w:r>
      <w:r w:rsidR="001808FE">
        <w:rPr>
          <w:rFonts w:ascii="Calibri" w:hAnsi="Calibri" w:cs="Calibri"/>
          <w:color w:val="000000"/>
          <w:sz w:val="22"/>
          <w:szCs w:val="22"/>
        </w:rPr>
        <w:t xml:space="preserve">. Ovšem zůstává výrazně </w:t>
      </w:r>
      <w:r w:rsidR="001808FE" w:rsidRPr="001808FE">
        <w:rPr>
          <w:rFonts w:ascii="Calibri" w:hAnsi="Calibri" w:cs="Calibri"/>
          <w:color w:val="000000"/>
          <w:sz w:val="22"/>
          <w:szCs w:val="22"/>
        </w:rPr>
        <w:t xml:space="preserve">nad loňským </w:t>
      </w:r>
      <w:r w:rsidR="001808FE">
        <w:rPr>
          <w:rFonts w:ascii="Calibri" w:hAnsi="Calibri" w:cs="Calibri"/>
          <w:color w:val="000000"/>
          <w:sz w:val="22"/>
          <w:szCs w:val="22"/>
        </w:rPr>
        <w:t xml:space="preserve">17% </w:t>
      </w:r>
      <w:r w:rsidR="001808FE" w:rsidRPr="001808FE">
        <w:rPr>
          <w:rFonts w:ascii="Calibri" w:hAnsi="Calibri" w:cs="Calibri"/>
          <w:color w:val="000000"/>
          <w:sz w:val="22"/>
          <w:szCs w:val="22"/>
        </w:rPr>
        <w:t>průměrem</w:t>
      </w:r>
      <w:r w:rsidR="001808FE">
        <w:rPr>
          <w:rFonts w:ascii="Calibri" w:hAnsi="Calibri" w:cs="Calibri"/>
          <w:color w:val="000000"/>
          <w:sz w:val="22"/>
          <w:szCs w:val="22"/>
        </w:rPr>
        <w:t xml:space="preserve"> či </w:t>
      </w:r>
      <w:r w:rsidR="001808FE" w:rsidRPr="001808FE">
        <w:rPr>
          <w:rFonts w:ascii="Calibri" w:hAnsi="Calibri" w:cs="Calibri"/>
          <w:color w:val="000000"/>
          <w:sz w:val="22"/>
          <w:szCs w:val="22"/>
        </w:rPr>
        <w:t xml:space="preserve">z let 2022-2023, </w:t>
      </w:r>
      <w:r w:rsidR="001808FE">
        <w:rPr>
          <w:rFonts w:ascii="Calibri" w:hAnsi="Calibri" w:cs="Calibri"/>
          <w:color w:val="000000"/>
          <w:sz w:val="22"/>
          <w:szCs w:val="22"/>
        </w:rPr>
        <w:t xml:space="preserve">ale zůstává </w:t>
      </w:r>
      <w:r w:rsidR="001808FE" w:rsidRPr="001808FE">
        <w:rPr>
          <w:rFonts w:ascii="Calibri" w:hAnsi="Calibri" w:cs="Calibri"/>
          <w:color w:val="000000"/>
          <w:sz w:val="22"/>
          <w:szCs w:val="22"/>
        </w:rPr>
        <w:t>pod téměř 29% podílem z období 2020-2021, kdy domácnosti refinancovaly za hypoteční sazbu 2,14 %. V září 2025 se domácnosti refinancovaly za úrokovou sazbu 4,5 %, což je ovšem stále o výrazných 0,36 % bodu méně než 4,86 % před rokem.</w:t>
      </w:r>
      <w:r w:rsidR="001808FE" w:rsidRPr="001808FE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3C323A5B" w14:textId="77777777" w:rsidR="00883A3C" w:rsidRPr="00F94C20" w:rsidRDefault="00883A3C" w:rsidP="0020488B">
      <w:pPr>
        <w:rPr>
          <w:rFonts w:ascii="Calibri" w:hAnsi="Calibri" w:cs="Calibri"/>
          <w:color w:val="FF0000"/>
          <w:sz w:val="22"/>
          <w:szCs w:val="22"/>
        </w:rPr>
      </w:pPr>
    </w:p>
    <w:p w14:paraId="3D3D9E06" w14:textId="10A15D4B" w:rsidR="00B40FEB" w:rsidRDefault="001808FE" w:rsidP="00B40FEB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1808FE">
        <w:rPr>
          <w:rFonts w:ascii="Calibri" w:hAnsi="Calibri" w:cs="Calibri"/>
          <w:color w:val="000000"/>
          <w:sz w:val="22"/>
          <w:szCs w:val="22"/>
        </w:rPr>
        <w:t>Celkově tak banky a stavební spořitelny v září poskytly nové a refinancované hypotéky v objemu 37,6 mld. Kč, což je o 13,3 % více než před měsícem. Jejich celkový objem tak v letošním roce prozatím dosáhl 293 mld. Kč, což představuje 47% nárůst ve srovnání s lednem až zářím předcházejícího roku.</w:t>
      </w:r>
    </w:p>
    <w:p w14:paraId="136E448A" w14:textId="77777777" w:rsidR="001808FE" w:rsidRDefault="001808FE" w:rsidP="00B40FEB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5A1704D2" w14:textId="0C26DD65" w:rsidR="009A044E" w:rsidRDefault="009A044E" w:rsidP="009A044E">
      <w:pPr>
        <w:rPr>
          <w:rFonts w:ascii="Calibri" w:hAnsi="Calibri" w:cs="Calibri"/>
          <w:b/>
          <w:color w:val="13576B"/>
          <w:sz w:val="23"/>
          <w:szCs w:val="23"/>
        </w:rPr>
      </w:pPr>
      <w:r w:rsidRPr="008B048B">
        <w:rPr>
          <w:rFonts w:ascii="Calibri" w:hAnsi="Calibri" w:cs="Calibri"/>
          <w:b/>
          <w:color w:val="13576B"/>
          <w:sz w:val="23"/>
          <w:szCs w:val="23"/>
        </w:rPr>
        <w:t xml:space="preserve">Průměrná hypoteční sazba </w:t>
      </w:r>
      <w:r w:rsidR="001808FE">
        <w:rPr>
          <w:rFonts w:ascii="Calibri" w:hAnsi="Calibri" w:cs="Calibri"/>
          <w:b/>
          <w:color w:val="13576B"/>
          <w:sz w:val="23"/>
          <w:szCs w:val="23"/>
        </w:rPr>
        <w:t xml:space="preserve">se v září stabilizovala </w:t>
      </w:r>
      <w:r w:rsidR="00395026">
        <w:rPr>
          <w:rFonts w:ascii="Calibri" w:hAnsi="Calibri" w:cs="Calibri"/>
          <w:b/>
          <w:color w:val="13576B"/>
          <w:sz w:val="23"/>
          <w:szCs w:val="23"/>
        </w:rPr>
        <w:t>na 4,</w:t>
      </w:r>
      <w:r w:rsidR="00266ACC">
        <w:rPr>
          <w:rFonts w:ascii="Calibri" w:hAnsi="Calibri" w:cs="Calibri"/>
          <w:b/>
          <w:color w:val="13576B"/>
          <w:sz w:val="23"/>
          <w:szCs w:val="23"/>
        </w:rPr>
        <w:t>5</w:t>
      </w:r>
      <w:r w:rsidR="00883A3C">
        <w:rPr>
          <w:rFonts w:ascii="Calibri" w:hAnsi="Calibri" w:cs="Calibri"/>
          <w:b/>
          <w:color w:val="13576B"/>
          <w:sz w:val="23"/>
          <w:szCs w:val="23"/>
        </w:rPr>
        <w:t>2</w:t>
      </w:r>
      <w:r w:rsidR="00395026">
        <w:rPr>
          <w:rFonts w:ascii="Calibri" w:hAnsi="Calibri" w:cs="Calibri"/>
          <w:b/>
          <w:color w:val="13576B"/>
          <w:sz w:val="23"/>
          <w:szCs w:val="23"/>
        </w:rPr>
        <w:t xml:space="preserve"> %</w:t>
      </w:r>
    </w:p>
    <w:p w14:paraId="6B970EF6" w14:textId="050D6F9F" w:rsidR="008B048B" w:rsidRPr="008B048B" w:rsidRDefault="008B048B" w:rsidP="009A044E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5D77572D" w14:textId="79134FC6" w:rsidR="001808FE" w:rsidRDefault="001808FE" w:rsidP="00F625CA">
      <w:pPr>
        <w:rPr>
          <w:rFonts w:ascii="Calibri" w:hAnsi="Calibri" w:cs="Calibri"/>
          <w:color w:val="000000"/>
          <w:sz w:val="22"/>
          <w:szCs w:val="22"/>
        </w:rPr>
      </w:pPr>
      <w:r w:rsidRPr="007A19E3">
        <w:rPr>
          <w:rFonts w:ascii="Calibri" w:hAnsi="Calibri" w:cs="Calibri"/>
          <w:b/>
          <w:bCs/>
          <w:color w:val="000000"/>
          <w:sz w:val="22"/>
          <w:szCs w:val="22"/>
        </w:rPr>
        <w:t>Průměrná realizovaná úroková sazba u nových hypoték v září zůstává v podstatě beze změny na 4,52 %, poté co již v srpnu pouze lehce poklesla z červencových 4,53 %.</w:t>
      </w:r>
      <w:r w:rsidRPr="001808FE">
        <w:rPr>
          <w:rFonts w:ascii="Calibri" w:hAnsi="Calibri" w:cs="Calibri"/>
          <w:color w:val="000000"/>
          <w:sz w:val="22"/>
          <w:szCs w:val="22"/>
        </w:rPr>
        <w:t xml:space="preserve"> Její zářijová úroveň je </w:t>
      </w:r>
      <w:r w:rsidR="007A19E3">
        <w:rPr>
          <w:rFonts w:ascii="Calibri" w:hAnsi="Calibri" w:cs="Calibri"/>
          <w:color w:val="000000"/>
          <w:sz w:val="22"/>
          <w:szCs w:val="22"/>
        </w:rPr>
        <w:t xml:space="preserve">ovšem stále </w:t>
      </w:r>
      <w:r w:rsidRPr="001808FE">
        <w:rPr>
          <w:rFonts w:ascii="Calibri" w:hAnsi="Calibri" w:cs="Calibri"/>
          <w:color w:val="000000"/>
          <w:sz w:val="22"/>
          <w:szCs w:val="22"/>
        </w:rPr>
        <w:t>o 0,44 % bodu níže než 4,96% sazba před rokem, což snižuje měsíční splátky hypotéky přibližně o 1,2 % čistého příjmu žadatele, tedy o 1,1 tis. Kč. Pro srovnání průměrná hodnota hypoteční sazby v roce 2024 dosáhla 5,07 % v porovnání se sazbou 5,81 % v roce 2023.</w:t>
      </w:r>
    </w:p>
    <w:p w14:paraId="44A17CB7" w14:textId="77777777" w:rsidR="001808FE" w:rsidRDefault="001808FE" w:rsidP="00F625CA">
      <w:pPr>
        <w:rPr>
          <w:rFonts w:ascii="Calibri" w:hAnsi="Calibri" w:cs="Calibri"/>
          <w:color w:val="000000"/>
          <w:sz w:val="22"/>
          <w:szCs w:val="22"/>
        </w:rPr>
      </w:pPr>
    </w:p>
    <w:p w14:paraId="28692508" w14:textId="77777777" w:rsidR="001808FE" w:rsidRPr="00CC5202" w:rsidRDefault="001808FE" w:rsidP="00180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i/>
          <w:iCs/>
          <w:sz w:val="22"/>
          <w:szCs w:val="22"/>
        </w:rPr>
      </w:pPr>
      <w:r w:rsidRPr="002F6A6D">
        <w:rPr>
          <w:rFonts w:ascii="Calibri" w:hAnsi="Calibri" w:cs="Calibri"/>
          <w:i/>
          <w:iCs/>
          <w:color w:val="000000" w:themeColor="text1"/>
          <w:sz w:val="22"/>
          <w:szCs w:val="22"/>
        </w:rPr>
        <w:t>„</w:t>
      </w:r>
      <w:r w:rsidRPr="00110E3B">
        <w:rPr>
          <w:rFonts w:ascii="Calibri" w:hAnsi="Calibri" w:cs="Calibri"/>
          <w:i/>
          <w:iCs/>
          <w:color w:val="000000" w:themeColor="text1"/>
          <w:sz w:val="22"/>
          <w:szCs w:val="22"/>
        </w:rPr>
        <w:t>Průměrná úroková sazba se na hypotékách v podstatě nemění. Na začátku října sice swapové sazby mírně klesly, a to i s ohledem na nižší než očekávanou inflaci, stále se ale pohybují blízko nejvyšších hodnot za poslední rok. Výrazné zlevnění hypoték tak čekat nejspíš nemůžeme</w:t>
      </w:r>
      <w:r w:rsidRPr="002F6A6D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,“ </w:t>
      </w:r>
      <w:r>
        <w:rPr>
          <w:rFonts w:ascii="Calibri" w:hAnsi="Calibri" w:cs="Calibri"/>
          <w:color w:val="000000" w:themeColor="text1"/>
          <w:sz w:val="22"/>
          <w:szCs w:val="22"/>
        </w:rPr>
        <w:t>domnívá se</w:t>
      </w:r>
      <w:r w:rsidRPr="002F6A6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Petr Gapko</w:t>
      </w:r>
      <w:r w:rsidRPr="002F6A6D">
        <w:rPr>
          <w:rFonts w:ascii="Calibri" w:hAnsi="Calibri" w:cs="Calibri"/>
          <w:b/>
          <w:bCs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</w:rPr>
        <w:t>hlavní ekonom Moneta banky</w:t>
      </w:r>
      <w:r w:rsidRPr="00380727">
        <w:rPr>
          <w:rFonts w:ascii="Calibri" w:eastAsia="Calibri" w:hAnsi="Calibri" w:cs="Calibri"/>
          <w:i/>
          <w:iCs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45E8034" w14:textId="77777777" w:rsidR="001808FE" w:rsidRDefault="001808FE" w:rsidP="00F625CA">
      <w:pPr>
        <w:rPr>
          <w:rFonts w:ascii="Calibri" w:hAnsi="Calibri" w:cs="Calibri"/>
          <w:color w:val="000000"/>
          <w:sz w:val="22"/>
          <w:szCs w:val="22"/>
        </w:rPr>
      </w:pPr>
    </w:p>
    <w:p w14:paraId="6C754223" w14:textId="77777777" w:rsidR="00883A3C" w:rsidRDefault="00883A3C" w:rsidP="00F625CA">
      <w:pPr>
        <w:rPr>
          <w:rFonts w:ascii="Calibri" w:hAnsi="Calibri" w:cs="Calibri"/>
          <w:bCs/>
          <w:sz w:val="22"/>
          <w:szCs w:val="22"/>
        </w:rPr>
      </w:pPr>
    </w:p>
    <w:p w14:paraId="6492840A" w14:textId="49E7A20E" w:rsidR="005874B8" w:rsidRDefault="005874B8" w:rsidP="005874B8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893E0C">
        <w:rPr>
          <w:rFonts w:ascii="Calibri" w:hAnsi="Calibri" w:cs="Calibri"/>
          <w:b/>
          <w:color w:val="13576B"/>
          <w:sz w:val="23"/>
          <w:szCs w:val="23"/>
        </w:rPr>
        <w:t>2: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 Průměrná hypoteční sazba – nové obchody</w:t>
      </w:r>
    </w:p>
    <w:p w14:paraId="0F619A9F" w14:textId="04092527" w:rsidR="0080372E" w:rsidRPr="0080372E" w:rsidRDefault="006F3240" w:rsidP="000B064D">
      <w:pPr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Zářijová</w:t>
      </w:r>
      <w:r w:rsidR="0080372E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výše hypoteční sazby 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se stabilizovala na </w:t>
      </w:r>
      <w:r w:rsidR="0080372E">
        <w:rPr>
          <w:rFonts w:ascii="Calibri" w:hAnsi="Calibri" w:cs="Calibri"/>
          <w:bCs/>
          <w:i/>
          <w:iCs/>
          <w:color w:val="13576B"/>
          <w:sz w:val="23"/>
          <w:szCs w:val="23"/>
        </w:rPr>
        <w:t>4,</w:t>
      </w:r>
      <w:r w:rsidR="007222B0">
        <w:rPr>
          <w:rFonts w:ascii="Calibri" w:hAnsi="Calibri" w:cs="Calibri"/>
          <w:bCs/>
          <w:i/>
          <w:iCs/>
          <w:color w:val="13576B"/>
          <w:sz w:val="23"/>
          <w:szCs w:val="23"/>
        </w:rPr>
        <w:t>5</w:t>
      </w:r>
      <w:r w:rsidR="00883A3C">
        <w:rPr>
          <w:rFonts w:ascii="Calibri" w:hAnsi="Calibri" w:cs="Calibri"/>
          <w:bCs/>
          <w:i/>
          <w:iCs/>
          <w:color w:val="13576B"/>
          <w:sz w:val="23"/>
          <w:szCs w:val="23"/>
        </w:rPr>
        <w:t>2</w:t>
      </w:r>
      <w:r w:rsidR="0080372E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%</w:t>
      </w:r>
      <w:r w:rsid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s meziročním poklesem </w:t>
      </w:r>
      <w:r w:rsidR="00883A3C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o necelý </w:t>
      </w:r>
      <w:r w:rsidR="0080372E">
        <w:rPr>
          <w:rFonts w:ascii="Calibri" w:hAnsi="Calibri" w:cs="Calibri"/>
          <w:bCs/>
          <w:i/>
          <w:iCs/>
          <w:color w:val="13576B"/>
          <w:sz w:val="23"/>
          <w:szCs w:val="23"/>
        </w:rPr>
        <w:t>půl procentní bo</w:t>
      </w:r>
      <w:r w:rsidR="000427B8">
        <w:rPr>
          <w:rFonts w:ascii="Calibri" w:hAnsi="Calibri" w:cs="Calibri"/>
          <w:bCs/>
          <w:i/>
          <w:iCs/>
          <w:color w:val="13576B"/>
          <w:sz w:val="23"/>
          <w:szCs w:val="23"/>
        </w:rPr>
        <w:t>d.</w:t>
      </w:r>
    </w:p>
    <w:p w14:paraId="29B8C373" w14:textId="0973552B" w:rsidR="007F690B" w:rsidRPr="002138C0" w:rsidRDefault="006F3240" w:rsidP="005874B8">
      <w:pPr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noProof/>
          <w:sz w:val="22"/>
          <w:szCs w:val="22"/>
          <w:highlight w:val="yellow"/>
        </w:rPr>
        <w:drawing>
          <wp:inline distT="0" distB="0" distL="0" distR="0" wp14:anchorId="08D6AB17" wp14:editId="6BC5419F">
            <wp:extent cx="5053965" cy="3188335"/>
            <wp:effectExtent l="0" t="0" r="0" b="0"/>
            <wp:docPr id="161083256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318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5F729" w14:textId="08370F86" w:rsidR="00691287" w:rsidRPr="00616069" w:rsidRDefault="00691287" w:rsidP="00691287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</w:t>
      </w:r>
      <w:r w:rsidR="006F74BF">
        <w:rPr>
          <w:rFonts w:ascii="Calibri Light" w:hAnsi="Calibri Light" w:cs="Calibri Light"/>
          <w:color w:val="13576B"/>
          <w:sz w:val="20"/>
        </w:rPr>
        <w:t xml:space="preserve">ČNB, </w:t>
      </w:r>
      <w:r w:rsidRPr="002F4CBD">
        <w:rPr>
          <w:rFonts w:ascii="Calibri Light" w:hAnsi="Calibri Light" w:cs="Calibri Light"/>
          <w:color w:val="13576B"/>
          <w:sz w:val="20"/>
        </w:rPr>
        <w:t>ČBA Hypomonitor</w:t>
      </w:r>
    </w:p>
    <w:p w14:paraId="6C7EAB99" w14:textId="77777777" w:rsidR="0013679D" w:rsidRPr="00A36CE8" w:rsidRDefault="0013679D" w:rsidP="00DD1BFF">
      <w:pPr>
        <w:rPr>
          <w:rFonts w:ascii="Calibri" w:hAnsi="Calibri" w:cs="Calibri"/>
          <w:b/>
          <w:bCs/>
          <w:color w:val="EE0000"/>
          <w:sz w:val="22"/>
          <w:szCs w:val="22"/>
        </w:rPr>
      </w:pPr>
      <w:bookmarkStart w:id="4" w:name="_Hlk137652102"/>
    </w:p>
    <w:p w14:paraId="19FA5457" w14:textId="77777777" w:rsidR="007A19E3" w:rsidRDefault="007A19E3" w:rsidP="007A19E3">
      <w:pPr>
        <w:rPr>
          <w:rFonts w:ascii="Calibri" w:hAnsi="Calibri" w:cs="Calibri"/>
          <w:sz w:val="22"/>
          <w:szCs w:val="22"/>
          <w:highlight w:val="yellow"/>
        </w:rPr>
      </w:pPr>
    </w:p>
    <w:p w14:paraId="00677573" w14:textId="77777777" w:rsidR="00380727" w:rsidRDefault="00380727" w:rsidP="007A19E3">
      <w:pPr>
        <w:rPr>
          <w:rFonts w:ascii="Calibri" w:hAnsi="Calibri" w:cs="Calibri"/>
          <w:sz w:val="22"/>
          <w:szCs w:val="22"/>
          <w:highlight w:val="yellow"/>
        </w:rPr>
      </w:pPr>
    </w:p>
    <w:p w14:paraId="65459130" w14:textId="77777777" w:rsidR="00380727" w:rsidRDefault="00380727" w:rsidP="007A19E3">
      <w:pPr>
        <w:rPr>
          <w:rFonts w:ascii="Calibri" w:hAnsi="Calibri" w:cs="Calibri"/>
          <w:sz w:val="22"/>
          <w:szCs w:val="22"/>
          <w:highlight w:val="yellow"/>
        </w:rPr>
      </w:pPr>
    </w:p>
    <w:p w14:paraId="7D704223" w14:textId="77777777" w:rsidR="00380727" w:rsidRDefault="00380727" w:rsidP="007A19E3">
      <w:pPr>
        <w:rPr>
          <w:rFonts w:ascii="Calibri" w:hAnsi="Calibri" w:cs="Calibri"/>
          <w:sz w:val="22"/>
          <w:szCs w:val="22"/>
          <w:highlight w:val="yellow"/>
        </w:rPr>
      </w:pPr>
    </w:p>
    <w:p w14:paraId="338257C9" w14:textId="515466F0" w:rsidR="007A19E3" w:rsidRPr="00287580" w:rsidRDefault="007A19E3" w:rsidP="007A1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2F6A6D">
        <w:rPr>
          <w:rFonts w:ascii="Calibri" w:hAnsi="Calibri" w:cs="Calibri"/>
          <w:i/>
          <w:iCs/>
          <w:color w:val="000000" w:themeColor="text1"/>
          <w:sz w:val="22"/>
          <w:szCs w:val="22"/>
        </w:rPr>
        <w:lastRenderedPageBreak/>
        <w:t>„</w:t>
      </w:r>
      <w:r w:rsidR="00765F2A" w:rsidRPr="00380727">
        <w:rPr>
          <w:rFonts w:ascii="Calibri" w:hAnsi="Calibri" w:cs="Calibri"/>
          <w:i/>
          <w:iCs/>
          <w:sz w:val="22"/>
          <w:szCs w:val="22"/>
        </w:rPr>
        <w:t xml:space="preserve">Čísla o produkci hypoték v měsíci září ukazují, že prostor a podmínky pro další snižování úrokových sazeb jsou nyní omezené a s dalším posunem níže nelze příliš počítat. Naproti tomu ceny všech typů nemovitostí strmě rostou, podle našeho ČSOB Indexu bydlení třeba byty ve druhém čtvrtletí meziročně vyskočily dokonce o 13,8 procenta. Za této situace je tedy pro zájemce o vlastní bydlení lepší neváhat a využívat ještě současných cen nemovitostí a podmínek hypotečních úvěrů k zajištění financování vyhlédnutých bytů nebo domů,“ </w:t>
      </w:r>
      <w:r w:rsidR="00765F2A" w:rsidRPr="00380727">
        <w:rPr>
          <w:rFonts w:ascii="Calibri" w:hAnsi="Calibri" w:cs="Calibri"/>
          <w:sz w:val="22"/>
          <w:szCs w:val="22"/>
        </w:rPr>
        <w:t xml:space="preserve">uvádí </w:t>
      </w:r>
      <w:r w:rsidR="00765F2A" w:rsidRPr="00380727">
        <w:rPr>
          <w:rFonts w:ascii="Calibri" w:hAnsi="Calibri" w:cs="Calibri"/>
          <w:b/>
          <w:bCs/>
          <w:sz w:val="22"/>
          <w:szCs w:val="22"/>
        </w:rPr>
        <w:t>generální ředitel ČSOB Hypoteční banky Martin Vašek.</w:t>
      </w:r>
    </w:p>
    <w:p w14:paraId="31A1D0C7" w14:textId="77777777" w:rsidR="007A19E3" w:rsidRDefault="007A19E3" w:rsidP="00041985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A249F26" w14:textId="77777777" w:rsidR="007A19E3" w:rsidRDefault="007A19E3" w:rsidP="00041985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A105785" w14:textId="4AF54C44" w:rsidR="007A19E3" w:rsidRPr="00E013E3" w:rsidRDefault="00541D7D" w:rsidP="00041985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8569DC">
        <w:rPr>
          <w:rFonts w:ascii="Calibri" w:hAnsi="Calibri" w:cs="Calibri"/>
          <w:b/>
          <w:bCs/>
          <w:color w:val="000000" w:themeColor="text1"/>
          <w:sz w:val="22"/>
          <w:szCs w:val="22"/>
        </w:rPr>
        <w:t>Tržní úrokové sazby,</w:t>
      </w:r>
      <w:r w:rsidRPr="008569DC">
        <w:rPr>
          <w:rStyle w:val="Znakapoznpodarou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8569DC">
        <w:rPr>
          <w:rStyle w:val="Znakapoznpodarou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footnoteReference w:id="1"/>
      </w:r>
      <w:r w:rsidRPr="008569D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které mají klíčový vliv na hypoteční sazby, </w:t>
      </w:r>
      <w:r w:rsidR="007A19E3">
        <w:rPr>
          <w:rFonts w:ascii="Calibri" w:hAnsi="Calibri" w:cs="Calibri"/>
          <w:b/>
          <w:bCs/>
          <w:color w:val="000000" w:themeColor="text1"/>
          <w:sz w:val="22"/>
          <w:szCs w:val="22"/>
        </w:rPr>
        <w:t>v září dále vzrostly (také kvůli volbám a očekávaní volnější fiskální politiky)</w:t>
      </w:r>
      <w:r w:rsidR="00B40FEB" w:rsidRPr="008569D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což bude v budoucnu asi limitovat </w:t>
      </w:r>
      <w:r w:rsidR="009C38A8" w:rsidRPr="008569DC">
        <w:rPr>
          <w:rFonts w:ascii="Calibri" w:hAnsi="Calibri" w:cs="Calibri"/>
          <w:b/>
          <w:bCs/>
          <w:color w:val="000000" w:themeColor="text1"/>
          <w:sz w:val="22"/>
          <w:szCs w:val="22"/>
        </w:rPr>
        <w:t>d</w:t>
      </w:r>
      <w:r w:rsidRPr="008569DC">
        <w:rPr>
          <w:rFonts w:ascii="Calibri" w:hAnsi="Calibri" w:cs="Calibri"/>
          <w:b/>
          <w:bCs/>
          <w:color w:val="000000" w:themeColor="text1"/>
          <w:sz w:val="22"/>
          <w:szCs w:val="22"/>
        </w:rPr>
        <w:t>alší</w:t>
      </w:r>
      <w:r w:rsidR="00B40FEB" w:rsidRPr="008569D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výraznější pokles </w:t>
      </w:r>
      <w:r w:rsidRPr="008569DC">
        <w:rPr>
          <w:rFonts w:ascii="Calibri" w:hAnsi="Calibri" w:cs="Calibri"/>
          <w:b/>
          <w:bCs/>
          <w:color w:val="000000" w:themeColor="text1"/>
          <w:sz w:val="22"/>
          <w:szCs w:val="22"/>
        </w:rPr>
        <w:t>hypotečních sazeb.</w:t>
      </w:r>
      <w:r w:rsidRPr="008569D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A19E3" w:rsidRPr="007A19E3">
        <w:rPr>
          <w:rFonts w:ascii="Calibri" w:hAnsi="Calibri" w:cs="Calibri"/>
          <w:color w:val="000000"/>
          <w:sz w:val="22"/>
          <w:szCs w:val="22"/>
        </w:rPr>
        <w:t>České pětileté úrokové swapy v září stouply o 0,11% bodu na 3,78 % z</w:t>
      </w:r>
      <w:r w:rsidR="007A19E3">
        <w:rPr>
          <w:rFonts w:ascii="Calibri" w:hAnsi="Calibri" w:cs="Calibri"/>
          <w:color w:val="000000"/>
          <w:sz w:val="22"/>
          <w:szCs w:val="22"/>
        </w:rPr>
        <w:t>e</w:t>
      </w:r>
      <w:r w:rsidR="007A19E3" w:rsidRPr="007A19E3">
        <w:rPr>
          <w:rFonts w:ascii="Calibri" w:hAnsi="Calibri" w:cs="Calibri"/>
          <w:color w:val="000000"/>
          <w:sz w:val="22"/>
          <w:szCs w:val="22"/>
        </w:rPr>
        <w:t> srpnových 3,67 % a nacházely se nad červencovými 3,65 %. Jejich zářijová úroveň je o 0,12% bodu pod 3,66 % z předcházejícího druhého čtvrtletí. V posledních dvanácti měsících se české pětileté swapy pohybovaly v rozmezí měsíčních průměrů 3,29 % (v dubnu 2025) a 3,78 % (</w:t>
      </w:r>
      <w:r w:rsidR="007A19E3">
        <w:rPr>
          <w:rFonts w:ascii="Calibri" w:hAnsi="Calibri" w:cs="Calibri"/>
          <w:color w:val="000000"/>
          <w:sz w:val="22"/>
          <w:szCs w:val="22"/>
        </w:rPr>
        <w:t>v</w:t>
      </w:r>
      <w:r w:rsidR="007A19E3" w:rsidRPr="007A19E3">
        <w:rPr>
          <w:rFonts w:ascii="Calibri" w:hAnsi="Calibri" w:cs="Calibri"/>
          <w:color w:val="000000"/>
          <w:sz w:val="22"/>
          <w:szCs w:val="22"/>
        </w:rPr>
        <w:t xml:space="preserve"> září 2025). V porovnání s průměrnou úrovní pětiletých swapů v roce 2025 byly zářijové úroky o 0,2% bodu výše. V případě amerických pětiletých úrokových swapů došlo v září k jejich poklesu na 3,57 % z</w:t>
      </w:r>
      <w:r w:rsidR="007A19E3">
        <w:rPr>
          <w:rFonts w:ascii="Calibri" w:hAnsi="Calibri" w:cs="Calibri"/>
          <w:color w:val="000000"/>
          <w:sz w:val="22"/>
          <w:szCs w:val="22"/>
        </w:rPr>
        <w:t>e</w:t>
      </w:r>
      <w:r w:rsidR="007A19E3" w:rsidRPr="007A19E3">
        <w:rPr>
          <w:rFonts w:ascii="Calibri" w:hAnsi="Calibri" w:cs="Calibri"/>
          <w:color w:val="000000"/>
          <w:sz w:val="22"/>
          <w:szCs w:val="22"/>
        </w:rPr>
        <w:t xml:space="preserve"> srpnových 3,69 % </w:t>
      </w:r>
      <w:r w:rsidR="007A19E3">
        <w:rPr>
          <w:rFonts w:ascii="Calibri" w:hAnsi="Calibri" w:cs="Calibri"/>
          <w:color w:val="000000"/>
          <w:sz w:val="22"/>
          <w:szCs w:val="22"/>
        </w:rPr>
        <w:t xml:space="preserve">(v očekávání dalšího snižování úrokové sazby centrální banky) </w:t>
      </w:r>
      <w:r w:rsidR="007A19E3" w:rsidRPr="007A19E3">
        <w:rPr>
          <w:rFonts w:ascii="Calibri" w:hAnsi="Calibri" w:cs="Calibri"/>
          <w:color w:val="000000"/>
          <w:sz w:val="22"/>
          <w:szCs w:val="22"/>
        </w:rPr>
        <w:t xml:space="preserve">a nacházely se 0,55% bodu pod jejich průměrnou hodnotou z roku 2024. Eurové pětileté swapy v září zůstaly v podstatě beze změny na 2,36 % </w:t>
      </w:r>
      <w:r w:rsidR="007A19E3">
        <w:rPr>
          <w:rFonts w:ascii="Calibri" w:hAnsi="Calibri" w:cs="Calibri"/>
          <w:color w:val="000000"/>
          <w:sz w:val="22"/>
          <w:szCs w:val="22"/>
        </w:rPr>
        <w:t xml:space="preserve">(což také odráží očekávání nezměněné úrokové sazby ECB) </w:t>
      </w:r>
      <w:r w:rsidR="007A19E3" w:rsidRPr="007A19E3">
        <w:rPr>
          <w:rFonts w:ascii="Calibri" w:hAnsi="Calibri" w:cs="Calibri"/>
          <w:color w:val="000000"/>
          <w:sz w:val="22"/>
          <w:szCs w:val="22"/>
        </w:rPr>
        <w:t>a byly 0,22% bodu pod jejich průměrnou loňskou úrovní 2,58 %.</w:t>
      </w:r>
    </w:p>
    <w:p w14:paraId="2F32535F" w14:textId="77777777" w:rsidR="00CB2E9C" w:rsidRPr="00E013E3" w:rsidRDefault="00CB2E9C" w:rsidP="008F7CC9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18C2868" w14:textId="5F18931D" w:rsidR="007A19E3" w:rsidRPr="00B42D4E" w:rsidRDefault="007A19E3" w:rsidP="00DD1BF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7A19E3">
        <w:rPr>
          <w:rFonts w:ascii="Calibri" w:hAnsi="Calibri" w:cs="Calibri"/>
          <w:color w:val="000000" w:themeColor="text1"/>
          <w:sz w:val="22"/>
          <w:szCs w:val="22"/>
        </w:rPr>
        <w:t xml:space="preserve">Úroková hypoteční sazba na nové hypotéky dle ČBA Hypomonitoru v září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zůstala </w:t>
      </w:r>
      <w:r w:rsidRPr="007A19E3">
        <w:rPr>
          <w:rFonts w:ascii="Calibri" w:hAnsi="Calibri" w:cs="Calibri"/>
          <w:color w:val="000000" w:themeColor="text1"/>
          <w:sz w:val="22"/>
          <w:szCs w:val="22"/>
        </w:rPr>
        <w:t>na 4,52 % a nacházela se tak přibližně 0,91% bodu nad průměrnými tržními swapovými sazbami. To je přibližně 0,17% bodu pod dlouhodobým průměrem od roku 2014 (1,08% bodu), zatímco v předešlých třech měsících tento spread vůči dlouhodobému průměru činil -0,04% bodu.</w:t>
      </w:r>
    </w:p>
    <w:p w14:paraId="72BA0646" w14:textId="77777777" w:rsidR="008F7CC9" w:rsidRDefault="008F7CC9" w:rsidP="00DD1BF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AEA41E0" w14:textId="7F2BF4E9" w:rsidR="008F7CC9" w:rsidRPr="00813D03" w:rsidRDefault="00813D03" w:rsidP="008F7CC9">
      <w:pPr>
        <w:rPr>
          <w:rFonts w:ascii="Calibri" w:hAnsi="Calibri" w:cs="Calibri"/>
          <w:b/>
          <w:color w:val="13576B"/>
          <w:sz w:val="23"/>
          <w:szCs w:val="23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>
        <w:rPr>
          <w:rFonts w:ascii="Calibri" w:hAnsi="Calibri" w:cs="Calibri"/>
          <w:b/>
          <w:color w:val="13576B"/>
          <w:sz w:val="23"/>
          <w:szCs w:val="23"/>
        </w:rPr>
        <w:t>3: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8F7CC9" w:rsidRPr="00813D03">
        <w:rPr>
          <w:rFonts w:ascii="Calibri" w:hAnsi="Calibri" w:cs="Calibri"/>
          <w:b/>
          <w:color w:val="13576B"/>
          <w:sz w:val="23"/>
          <w:szCs w:val="23"/>
        </w:rPr>
        <w:t xml:space="preserve">Tržní dlouhodobé sazby </w:t>
      </w:r>
      <w:r w:rsidRPr="00813D03">
        <w:rPr>
          <w:rFonts w:ascii="Calibri" w:hAnsi="Calibri" w:cs="Calibri"/>
          <w:b/>
          <w:color w:val="13576B"/>
          <w:sz w:val="23"/>
          <w:szCs w:val="23"/>
        </w:rPr>
        <w:t>v září pokračovaly v růstu následovány mírnou korekcí na počátku října v reakci na povolební výsledek a nižší než očekávanou zářijovou inflaci</w:t>
      </w:r>
    </w:p>
    <w:p w14:paraId="522B8972" w14:textId="451F13E3" w:rsidR="008F7CC9" w:rsidRDefault="00813D03" w:rsidP="00DD1BFF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noProof/>
          <w:color w:val="000000" w:themeColor="text1"/>
          <w:sz w:val="22"/>
          <w:szCs w:val="22"/>
        </w:rPr>
        <w:drawing>
          <wp:inline distT="0" distB="0" distL="0" distR="0" wp14:anchorId="02707FD0" wp14:editId="7A73BCCE">
            <wp:extent cx="3615055" cy="2273935"/>
            <wp:effectExtent l="0" t="0" r="4445" b="0"/>
            <wp:docPr id="208047770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27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087822" w14:textId="424B1865" w:rsidR="008F7CC9" w:rsidRDefault="008F7CC9" w:rsidP="00DD1BF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AA62A7">
        <w:rPr>
          <w:rFonts w:asciiTheme="minorHAnsi" w:hAnsiTheme="minorHAnsi" w:cstheme="minorHAnsi"/>
          <w:color w:val="2F5496" w:themeColor="accent5" w:themeShade="BF"/>
          <w:sz w:val="20"/>
        </w:rPr>
        <w:t>Pramen</w:t>
      </w:r>
      <w:r w:rsidRPr="00AA62A7">
        <w:rPr>
          <w:rFonts w:asciiTheme="minorHAnsi" w:hAnsiTheme="minorHAnsi" w:cstheme="minorHAnsi"/>
          <w:color w:val="13576B"/>
          <w:sz w:val="20"/>
        </w:rPr>
        <w:t xml:space="preserve">: </w:t>
      </w:r>
      <w:r w:rsidR="00B35D32">
        <w:rPr>
          <w:rFonts w:asciiTheme="minorHAnsi" w:hAnsiTheme="minorHAnsi" w:cstheme="minorHAnsi"/>
          <w:color w:val="13576B"/>
          <w:sz w:val="20"/>
        </w:rPr>
        <w:t>LSEG</w:t>
      </w:r>
      <w:r w:rsidR="00813D03">
        <w:rPr>
          <w:rFonts w:asciiTheme="minorHAnsi" w:hAnsiTheme="minorHAnsi" w:cstheme="minorHAnsi"/>
          <w:color w:val="13576B"/>
          <w:sz w:val="20"/>
        </w:rPr>
        <w:t>, Macrobond</w:t>
      </w:r>
      <w:r w:rsidR="00B35D32">
        <w:rPr>
          <w:rFonts w:asciiTheme="minorHAnsi" w:hAnsiTheme="minorHAnsi" w:cstheme="minorHAnsi"/>
          <w:color w:val="13576B"/>
          <w:sz w:val="20"/>
        </w:rPr>
        <w:t xml:space="preserve"> (</w:t>
      </w:r>
      <w:r w:rsidR="00813D03">
        <w:rPr>
          <w:rFonts w:asciiTheme="minorHAnsi" w:hAnsiTheme="minorHAnsi" w:cstheme="minorHAnsi"/>
          <w:color w:val="13576B"/>
          <w:sz w:val="20"/>
        </w:rPr>
        <w:t>13</w:t>
      </w:r>
      <w:r w:rsidR="00B35D32">
        <w:rPr>
          <w:rFonts w:asciiTheme="minorHAnsi" w:hAnsiTheme="minorHAnsi" w:cstheme="minorHAnsi"/>
          <w:color w:val="13576B"/>
          <w:sz w:val="20"/>
        </w:rPr>
        <w:t xml:space="preserve">. </w:t>
      </w:r>
      <w:r w:rsidR="00813D03">
        <w:rPr>
          <w:rFonts w:asciiTheme="minorHAnsi" w:hAnsiTheme="minorHAnsi" w:cstheme="minorHAnsi"/>
          <w:color w:val="13576B"/>
          <w:sz w:val="20"/>
        </w:rPr>
        <w:t>října</w:t>
      </w:r>
      <w:r w:rsidR="00B35D32">
        <w:rPr>
          <w:rFonts w:asciiTheme="minorHAnsi" w:hAnsiTheme="minorHAnsi" w:cstheme="minorHAnsi"/>
          <w:color w:val="13576B"/>
          <w:sz w:val="20"/>
        </w:rPr>
        <w:t xml:space="preserve"> 2025)</w:t>
      </w:r>
      <w:r>
        <w:rPr>
          <w:rFonts w:asciiTheme="minorHAnsi" w:hAnsiTheme="minorHAnsi" w:cstheme="minorHAnsi"/>
          <w:color w:val="13576B"/>
          <w:sz w:val="20"/>
        </w:rPr>
        <w:t xml:space="preserve">, </w:t>
      </w:r>
      <w:r w:rsidRPr="00AA62A7">
        <w:rPr>
          <w:rFonts w:asciiTheme="minorHAnsi" w:hAnsiTheme="minorHAnsi" w:cstheme="minorHAnsi"/>
          <w:color w:val="13576B"/>
          <w:sz w:val="20"/>
        </w:rPr>
        <w:t>ČBA</w:t>
      </w:r>
    </w:p>
    <w:p w14:paraId="4F9E18AA" w14:textId="77777777" w:rsidR="008F7CC9" w:rsidRPr="00452B0E" w:rsidRDefault="008F7CC9" w:rsidP="00DD1BFF">
      <w:pPr>
        <w:rPr>
          <w:rFonts w:ascii="Calibri" w:hAnsi="Calibri" w:cs="Calibri"/>
          <w:color w:val="FF0000"/>
          <w:sz w:val="22"/>
          <w:szCs w:val="22"/>
        </w:rPr>
      </w:pPr>
    </w:p>
    <w:p w14:paraId="72E83631" w14:textId="4F5741EA" w:rsidR="00B04FE2" w:rsidRDefault="00E4296A" w:rsidP="00B04FE2">
      <w:pPr>
        <w:rPr>
          <w:rFonts w:ascii="Calibri" w:hAnsi="Calibri" w:cs="Calibri"/>
          <w:b/>
          <w:color w:val="13576B"/>
          <w:sz w:val="24"/>
          <w:szCs w:val="24"/>
        </w:rPr>
      </w:pPr>
      <w:bookmarkStart w:id="5" w:name="_Hlk100672905"/>
      <w:bookmarkEnd w:id="4"/>
      <w:r w:rsidRPr="00A02F5D">
        <w:rPr>
          <w:rFonts w:ascii="Calibri" w:hAnsi="Calibri" w:cs="Calibri"/>
          <w:b/>
          <w:color w:val="13576B"/>
          <w:sz w:val="24"/>
          <w:szCs w:val="24"/>
        </w:rPr>
        <w:t xml:space="preserve">Průměrná velikost </w:t>
      </w:r>
      <w:r w:rsidR="007A19E3">
        <w:rPr>
          <w:rFonts w:ascii="Calibri" w:hAnsi="Calibri" w:cs="Calibri"/>
          <w:b/>
          <w:color w:val="13576B"/>
          <w:sz w:val="24"/>
          <w:szCs w:val="24"/>
        </w:rPr>
        <w:t xml:space="preserve">nové </w:t>
      </w:r>
      <w:r w:rsidR="00D73AAF" w:rsidRPr="00A02F5D">
        <w:rPr>
          <w:rFonts w:ascii="Calibri" w:hAnsi="Calibri" w:cs="Calibri"/>
          <w:b/>
          <w:color w:val="13576B"/>
          <w:sz w:val="24"/>
          <w:szCs w:val="24"/>
        </w:rPr>
        <w:t xml:space="preserve">hypotéky </w:t>
      </w:r>
      <w:r w:rsidR="007A19E3">
        <w:rPr>
          <w:rFonts w:ascii="Calibri" w:hAnsi="Calibri" w:cs="Calibri"/>
          <w:b/>
          <w:color w:val="13576B"/>
          <w:sz w:val="24"/>
          <w:szCs w:val="24"/>
        </w:rPr>
        <w:t xml:space="preserve">se v září vrátila k růstu, a to na </w:t>
      </w:r>
      <w:r w:rsidR="000427B8">
        <w:rPr>
          <w:rFonts w:ascii="Calibri" w:hAnsi="Calibri" w:cs="Calibri"/>
          <w:b/>
          <w:color w:val="13576B"/>
          <w:sz w:val="24"/>
          <w:szCs w:val="24"/>
        </w:rPr>
        <w:t>4,</w:t>
      </w:r>
      <w:r w:rsidR="007A19E3">
        <w:rPr>
          <w:rFonts w:ascii="Calibri" w:hAnsi="Calibri" w:cs="Calibri"/>
          <w:b/>
          <w:color w:val="13576B"/>
          <w:sz w:val="24"/>
          <w:szCs w:val="24"/>
        </w:rPr>
        <w:t>35</w:t>
      </w:r>
      <w:r w:rsidR="000427B8">
        <w:rPr>
          <w:rFonts w:ascii="Calibri" w:hAnsi="Calibri" w:cs="Calibri"/>
          <w:b/>
          <w:color w:val="13576B"/>
          <w:sz w:val="24"/>
          <w:szCs w:val="24"/>
        </w:rPr>
        <w:t xml:space="preserve"> mil. Kč</w:t>
      </w:r>
      <w:r w:rsidR="007A19E3">
        <w:rPr>
          <w:rFonts w:ascii="Calibri" w:hAnsi="Calibri" w:cs="Calibri"/>
          <w:b/>
          <w:color w:val="13576B"/>
          <w:sz w:val="24"/>
          <w:szCs w:val="24"/>
        </w:rPr>
        <w:t>,</w:t>
      </w:r>
      <w:r w:rsidR="00883A3C">
        <w:rPr>
          <w:rFonts w:ascii="Calibri" w:hAnsi="Calibri" w:cs="Calibri"/>
          <w:b/>
          <w:color w:val="13576B"/>
          <w:sz w:val="24"/>
          <w:szCs w:val="24"/>
        </w:rPr>
        <w:t xml:space="preserve"> a </w:t>
      </w:r>
      <w:r w:rsidR="007A19E3">
        <w:rPr>
          <w:rFonts w:ascii="Calibri" w:hAnsi="Calibri" w:cs="Calibri"/>
          <w:b/>
          <w:color w:val="13576B"/>
          <w:sz w:val="24"/>
          <w:szCs w:val="24"/>
        </w:rPr>
        <w:t>nové</w:t>
      </w:r>
      <w:r w:rsidR="000427B8">
        <w:rPr>
          <w:rFonts w:ascii="Calibri" w:hAnsi="Calibri" w:cs="Calibri"/>
          <w:b/>
          <w:color w:val="13576B"/>
          <w:sz w:val="24"/>
          <w:szCs w:val="24"/>
        </w:rPr>
        <w:t xml:space="preserve"> hypotéky ke koupi </w:t>
      </w:r>
      <w:r w:rsidR="007A19E3">
        <w:rPr>
          <w:rFonts w:ascii="Calibri" w:hAnsi="Calibri" w:cs="Calibri"/>
          <w:b/>
          <w:color w:val="13576B"/>
          <w:sz w:val="24"/>
          <w:szCs w:val="24"/>
        </w:rPr>
        <w:t>v průměru lehce přesáhly 4,4 milionu</w:t>
      </w:r>
    </w:p>
    <w:p w14:paraId="417F8A0F" w14:textId="77777777" w:rsidR="008569DC" w:rsidRPr="00A02F5D" w:rsidRDefault="008569DC" w:rsidP="00B04FE2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17A6F1F2" w14:textId="32690D3C" w:rsidR="00A36CE8" w:rsidRDefault="007A19E3" w:rsidP="00A36CE8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7A19E3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Průměrná velikost skutečně nově poskytnuté hypotéky v září mírně stoupla na 4,35 mil. Kč, tedy více než o 2 % meziměsíčně. Její velikost je tak o 16 % vyšší než 3,76 mil. Kč před rokem</w:t>
      </w:r>
      <w:r w:rsidRPr="007A19E3">
        <w:rPr>
          <w:rFonts w:ascii="Calibri" w:hAnsi="Calibri" w:cs="Calibri"/>
          <w:color w:val="000000"/>
          <w:sz w:val="22"/>
          <w:szCs w:val="22"/>
        </w:rPr>
        <w:t xml:space="preserve">. Odhlédneme-li od mimořádné hodnoty téměř 4 mil. Kč v srpnu 2024 (vliv nové legislativy), tak průměrná hodnota od loňského dubna postupně roste a o 26 % převyšuje předcházející rekordní úroveň z listopadu 2021 ve výši 3,46 mil. Kč. </w:t>
      </w:r>
      <w:r w:rsidR="00A36CE8" w:rsidRPr="00541D7D">
        <w:rPr>
          <w:rFonts w:ascii="Calibri" w:hAnsi="Calibri" w:cs="Calibri"/>
          <w:color w:val="000000"/>
          <w:sz w:val="22"/>
          <w:szCs w:val="22"/>
        </w:rPr>
        <w:t xml:space="preserve">Dosáhnout na vyšší hypotéku umožňuje postupný pokles hypotečních sazeb, či </w:t>
      </w:r>
      <w:r w:rsidR="00A36CE8">
        <w:rPr>
          <w:rFonts w:ascii="Calibri" w:hAnsi="Calibri" w:cs="Calibri"/>
          <w:color w:val="000000"/>
          <w:sz w:val="22"/>
          <w:szCs w:val="22"/>
        </w:rPr>
        <w:t>o něco silnější</w:t>
      </w:r>
      <w:r w:rsidR="00A36CE8" w:rsidRPr="00541D7D">
        <w:rPr>
          <w:rFonts w:ascii="Calibri" w:hAnsi="Calibri" w:cs="Calibri"/>
          <w:color w:val="000000"/>
          <w:sz w:val="22"/>
          <w:szCs w:val="22"/>
        </w:rPr>
        <w:t xml:space="preserve"> růst reálných příjmů domácností </w:t>
      </w:r>
      <w:r w:rsidR="00A36CE8" w:rsidRPr="00266ACC">
        <w:rPr>
          <w:rFonts w:ascii="Calibri" w:hAnsi="Calibri" w:cs="Calibri"/>
          <w:color w:val="000000"/>
          <w:sz w:val="22"/>
          <w:szCs w:val="22"/>
        </w:rPr>
        <w:t>(</w:t>
      </w:r>
      <w:r w:rsidR="00A36CE8">
        <w:rPr>
          <w:rFonts w:ascii="Calibri" w:hAnsi="Calibri" w:cs="Calibri"/>
          <w:color w:val="000000"/>
          <w:sz w:val="22"/>
          <w:szCs w:val="22"/>
        </w:rPr>
        <w:t>3,9 % meziročně v </w:t>
      </w:r>
      <w:hyperlink r:id="rId16" w:history="1">
        <w:r w:rsidR="00A36CE8" w:rsidRPr="00E96618">
          <w:rPr>
            <w:rStyle w:val="Hypertextovodkaz"/>
            <w:rFonts w:ascii="Calibri" w:hAnsi="Calibri" w:cs="Calibri"/>
            <w:sz w:val="22"/>
            <w:szCs w:val="22"/>
          </w:rPr>
          <w:t>Q</w:t>
        </w:r>
        <w:r w:rsidR="00A36CE8">
          <w:rPr>
            <w:rStyle w:val="Hypertextovodkaz"/>
            <w:rFonts w:ascii="Calibri" w:hAnsi="Calibri" w:cs="Calibri"/>
            <w:sz w:val="22"/>
            <w:szCs w:val="22"/>
          </w:rPr>
          <w:t>2</w:t>
        </w:r>
        <w:r w:rsidR="00A36CE8" w:rsidRPr="00E96618">
          <w:rPr>
            <w:rStyle w:val="Hypertextovodkaz"/>
            <w:rFonts w:ascii="Calibri" w:hAnsi="Calibri" w:cs="Calibri"/>
            <w:sz w:val="22"/>
            <w:szCs w:val="22"/>
          </w:rPr>
          <w:t>-2025</w:t>
        </w:r>
      </w:hyperlink>
      <w:r w:rsidR="00A36CE8">
        <w:t xml:space="preserve"> </w:t>
      </w:r>
      <w:r w:rsidR="00A36CE8" w:rsidRPr="009C040E">
        <w:rPr>
          <w:rFonts w:ascii="Calibri" w:hAnsi="Calibri" w:cs="Calibri"/>
          <w:sz w:val="22"/>
          <w:szCs w:val="22"/>
        </w:rPr>
        <w:t xml:space="preserve">či graficky </w:t>
      </w:r>
      <w:hyperlink r:id="rId17" w:history="1">
        <w:r w:rsidR="00A36CE8" w:rsidRPr="009C040E">
          <w:rPr>
            <w:rStyle w:val="Hypertextovodkaz"/>
            <w:rFonts w:ascii="Calibri" w:hAnsi="Calibri" w:cs="Calibri"/>
            <w:sz w:val="22"/>
            <w:szCs w:val="22"/>
          </w:rPr>
          <w:t>zde</w:t>
        </w:r>
      </w:hyperlink>
      <w:r w:rsidR="00A36CE8" w:rsidRPr="00266ACC">
        <w:rPr>
          <w:rFonts w:ascii="Calibri" w:hAnsi="Calibri" w:cs="Calibri"/>
          <w:color w:val="000000"/>
          <w:sz w:val="22"/>
          <w:szCs w:val="22"/>
        </w:rPr>
        <w:t xml:space="preserve">), společně s pokračujícími uvolněnými makroobezřetnostními limity ohledně příjmů ze strany ČNB (pouze 80% limit LTV či 90% v případě žadatelů mladších 36 let). </w:t>
      </w:r>
      <w:r w:rsidR="00A36CE8">
        <w:rPr>
          <w:rFonts w:ascii="Calibri" w:hAnsi="Calibri" w:cs="Calibri"/>
          <w:color w:val="000000"/>
          <w:sz w:val="22"/>
          <w:szCs w:val="22"/>
        </w:rPr>
        <w:t>Rostoucí vý</w:t>
      </w:r>
      <w:r w:rsidR="00A36CE8" w:rsidRPr="00665F6E">
        <w:rPr>
          <w:rFonts w:ascii="Calibri" w:hAnsi="Calibri" w:cs="Calibri"/>
          <w:color w:val="000000" w:themeColor="text1"/>
          <w:sz w:val="22"/>
          <w:szCs w:val="22"/>
        </w:rPr>
        <w:t xml:space="preserve">še hypotéky pak souvisí </w:t>
      </w:r>
      <w:r w:rsidR="00A36CE8" w:rsidRPr="002725DA">
        <w:rPr>
          <w:rFonts w:ascii="Calibri" w:hAnsi="Calibri" w:cs="Calibri"/>
          <w:color w:val="000000"/>
          <w:sz w:val="22"/>
          <w:szCs w:val="22"/>
        </w:rPr>
        <w:t xml:space="preserve">také s vývojem cen </w:t>
      </w:r>
      <w:r w:rsidR="00A36CE8">
        <w:rPr>
          <w:rFonts w:ascii="Calibri" w:hAnsi="Calibri" w:cs="Calibri"/>
          <w:color w:val="000000"/>
          <w:sz w:val="22"/>
          <w:szCs w:val="22"/>
        </w:rPr>
        <w:t>bytů</w:t>
      </w:r>
      <w:r w:rsidR="00A36CE8" w:rsidRPr="002725DA">
        <w:rPr>
          <w:rFonts w:ascii="Calibri" w:hAnsi="Calibri" w:cs="Calibri"/>
          <w:color w:val="000000"/>
          <w:sz w:val="22"/>
          <w:szCs w:val="22"/>
        </w:rPr>
        <w:t>, které</w:t>
      </w:r>
      <w:r w:rsidR="00A36CE8">
        <w:rPr>
          <w:rFonts w:ascii="Calibri" w:hAnsi="Calibri" w:cs="Calibri"/>
          <w:color w:val="000000"/>
          <w:sz w:val="22"/>
          <w:szCs w:val="22"/>
        </w:rPr>
        <w:t xml:space="preserve"> si dle údajů společnosti Flat Zone v druhém čtvrtletí roku 2025 udržely stále silný 10% meziroční růst </w:t>
      </w:r>
      <w:r w:rsidR="00A36CE8" w:rsidRPr="002725DA">
        <w:rPr>
          <w:rFonts w:ascii="Calibri" w:hAnsi="Calibri" w:cs="Calibri"/>
          <w:color w:val="000000"/>
          <w:sz w:val="22"/>
          <w:szCs w:val="22"/>
        </w:rPr>
        <w:t xml:space="preserve">(viz </w:t>
      </w:r>
      <w:r w:rsidR="00A36CE8">
        <w:rPr>
          <w:rFonts w:ascii="Calibri" w:hAnsi="Calibri" w:cs="Calibri"/>
          <w:color w:val="000000"/>
          <w:sz w:val="22"/>
          <w:szCs w:val="22"/>
        </w:rPr>
        <w:t xml:space="preserve">grafy na </w:t>
      </w:r>
      <w:r w:rsidR="00A36CE8" w:rsidRPr="002725DA">
        <w:rPr>
          <w:rFonts w:ascii="Calibri" w:hAnsi="Calibri" w:cs="Calibri"/>
          <w:color w:val="000000"/>
          <w:sz w:val="22"/>
          <w:szCs w:val="22"/>
        </w:rPr>
        <w:t>ČBA Monitor</w:t>
      </w:r>
      <w:r w:rsidR="00A36CE8">
        <w:rPr>
          <w:rFonts w:ascii="Calibri" w:hAnsi="Calibri" w:cs="Calibri"/>
          <w:color w:val="000000"/>
          <w:sz w:val="22"/>
          <w:szCs w:val="22"/>
        </w:rPr>
        <w:t>u</w:t>
      </w:r>
      <w:r w:rsidR="00A36CE8" w:rsidRPr="002725DA">
        <w:rPr>
          <w:rFonts w:ascii="Calibri" w:hAnsi="Calibri" w:cs="Calibri"/>
          <w:color w:val="000000"/>
          <w:sz w:val="22"/>
          <w:szCs w:val="22"/>
        </w:rPr>
        <w:t xml:space="preserve"> - </w:t>
      </w:r>
      <w:hyperlink r:id="rId18" w:history="1">
        <w:r w:rsidR="00A36CE8" w:rsidRPr="00436F5C">
          <w:rPr>
            <w:rStyle w:val="Hypertextovodkaz"/>
            <w:rFonts w:ascii="Calibri" w:hAnsi="Calibri" w:cs="Calibri"/>
            <w:sz w:val="22"/>
            <w:szCs w:val="22"/>
          </w:rPr>
          <w:t>ČBA Monitor</w:t>
        </w:r>
      </w:hyperlink>
      <w:r w:rsidR="00A36CE8">
        <w:t xml:space="preserve"> </w:t>
      </w:r>
      <w:r w:rsidR="00A36CE8" w:rsidRPr="00E96618">
        <w:rPr>
          <w:rFonts w:ascii="Calibri" w:hAnsi="Calibri" w:cs="Calibri"/>
          <w:color w:val="000000"/>
          <w:sz w:val="22"/>
          <w:szCs w:val="22"/>
        </w:rPr>
        <w:t xml:space="preserve">či </w:t>
      </w:r>
      <w:r w:rsidR="00A36CE8">
        <w:rPr>
          <w:rFonts w:ascii="Calibri" w:hAnsi="Calibri" w:cs="Calibri"/>
          <w:color w:val="000000"/>
          <w:sz w:val="22"/>
          <w:szCs w:val="22"/>
        </w:rPr>
        <w:t xml:space="preserve">v komentáři </w:t>
      </w:r>
      <w:hyperlink r:id="rId19" w:history="1">
        <w:r w:rsidR="00A36CE8" w:rsidRPr="004951FE">
          <w:rPr>
            <w:rStyle w:val="Hypertextovodkaz"/>
            <w:rFonts w:ascii="Calibri" w:hAnsi="Calibri" w:cs="Calibri"/>
            <w:sz w:val="22"/>
            <w:szCs w:val="22"/>
          </w:rPr>
          <w:t>zde</w:t>
        </w:r>
      </w:hyperlink>
      <w:r w:rsidR="00A36CE8" w:rsidRPr="002725DA">
        <w:rPr>
          <w:rFonts w:ascii="Calibri" w:hAnsi="Calibri" w:cs="Calibri"/>
          <w:color w:val="000000"/>
          <w:sz w:val="22"/>
          <w:szCs w:val="22"/>
        </w:rPr>
        <w:t>).</w:t>
      </w:r>
      <w:r w:rsidR="00A36CE8">
        <w:rPr>
          <w:rFonts w:ascii="Calibri" w:hAnsi="Calibri" w:cs="Calibri"/>
          <w:color w:val="000000"/>
          <w:sz w:val="22"/>
          <w:szCs w:val="22"/>
        </w:rPr>
        <w:t xml:space="preserve"> Data ČSÚ poukazují na nárůst cen bytů okolo 15 % meziročně a celkový index cen nemovitostí okolo 10 % meziročně v prvním čtvrtletí 2015 (viz komentář </w:t>
      </w:r>
      <w:hyperlink r:id="rId20" w:history="1">
        <w:r w:rsidR="00A36CE8" w:rsidRPr="00665F6E">
          <w:rPr>
            <w:rStyle w:val="Hypertextovodkaz"/>
            <w:rFonts w:ascii="Calibri" w:hAnsi="Calibri" w:cs="Calibri"/>
            <w:sz w:val="22"/>
            <w:szCs w:val="22"/>
          </w:rPr>
          <w:t>zde</w:t>
        </w:r>
      </w:hyperlink>
      <w:r w:rsidR="00A36CE8">
        <w:rPr>
          <w:rFonts w:ascii="Calibri" w:hAnsi="Calibri" w:cs="Calibri"/>
          <w:color w:val="000000"/>
          <w:sz w:val="22"/>
          <w:szCs w:val="22"/>
        </w:rPr>
        <w:t xml:space="preserve">) </w:t>
      </w:r>
    </w:p>
    <w:p w14:paraId="7A9C8FB3" w14:textId="77777777" w:rsidR="00A36CE8" w:rsidRDefault="00A36CE8" w:rsidP="00A36CE8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1D487695" w14:textId="2B58E377" w:rsidR="00436F5C" w:rsidRDefault="00436F5C" w:rsidP="00436F5C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C42E87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0A0217">
        <w:rPr>
          <w:rFonts w:ascii="Calibri" w:hAnsi="Calibri" w:cs="Calibri"/>
          <w:b/>
          <w:color w:val="13576B"/>
          <w:sz w:val="23"/>
          <w:szCs w:val="23"/>
        </w:rPr>
        <w:t>4</w:t>
      </w:r>
      <w:r w:rsidRPr="00C42E87">
        <w:rPr>
          <w:rFonts w:ascii="Calibri" w:hAnsi="Calibri" w:cs="Calibri"/>
          <w:b/>
          <w:color w:val="13576B"/>
          <w:sz w:val="23"/>
          <w:szCs w:val="23"/>
        </w:rPr>
        <w:t>: Průměrná výše skutečně nově poskytnuté hypotéky podle účelu</w:t>
      </w:r>
    </w:p>
    <w:p w14:paraId="7FF9E8C0" w14:textId="41186FD2" w:rsidR="00436F5C" w:rsidRPr="006C6628" w:rsidRDefault="00FC6281" w:rsidP="00436F5C">
      <w:pPr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 w:rsidRP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>P</w:t>
      </w:r>
      <w:r w:rsidR="00436F5C" w:rsidRP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>růměrn</w:t>
      </w:r>
      <w:r w:rsidRP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á </w:t>
      </w:r>
      <w:r w:rsidR="00436F5C" w:rsidRP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výše hypotéky </w:t>
      </w:r>
      <w:r w:rsidR="000B083D">
        <w:rPr>
          <w:rFonts w:ascii="Calibri" w:hAnsi="Calibri" w:cs="Calibri"/>
          <w:bCs/>
          <w:i/>
          <w:iCs/>
          <w:color w:val="13576B"/>
          <w:sz w:val="23"/>
          <w:szCs w:val="23"/>
        </w:rPr>
        <w:t>se po krátké srpnové pauze vrátila k dalšímu růstu na 4,</w:t>
      </w:r>
      <w:r w:rsidR="006F3240">
        <w:rPr>
          <w:rFonts w:ascii="Calibri" w:hAnsi="Calibri" w:cs="Calibri"/>
          <w:bCs/>
          <w:i/>
          <w:iCs/>
          <w:color w:val="13576B"/>
          <w:sz w:val="23"/>
          <w:szCs w:val="23"/>
        </w:rPr>
        <w:t>3</w:t>
      </w:r>
      <w:r w:rsidR="000B083D">
        <w:rPr>
          <w:rFonts w:ascii="Calibri" w:hAnsi="Calibri" w:cs="Calibri"/>
          <w:bCs/>
          <w:i/>
          <w:iCs/>
          <w:color w:val="13576B"/>
          <w:sz w:val="23"/>
          <w:szCs w:val="23"/>
        </w:rPr>
        <w:t>5 mil. Kč</w:t>
      </w:r>
      <w:r w:rsidR="006F3240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a v průměru je prozatím letos o 7 % vyšší než před rokem. </w:t>
      </w:r>
    </w:p>
    <w:p w14:paraId="3162F78D" w14:textId="01E97D11" w:rsidR="00436F5C" w:rsidRPr="00D24B00" w:rsidRDefault="006F3240" w:rsidP="00436F5C">
      <w:pPr>
        <w:rPr>
          <w:rFonts w:ascii="Calibri" w:hAnsi="Calibri" w:cs="Calibri"/>
          <w:b/>
          <w:bCs/>
          <w:sz w:val="22"/>
          <w:szCs w:val="22"/>
          <w:highlight w:val="yellow"/>
        </w:rPr>
      </w:pPr>
      <w:r>
        <w:rPr>
          <w:rFonts w:ascii="Calibri" w:hAnsi="Calibri" w:cs="Calibri"/>
          <w:b/>
          <w:bCs/>
          <w:noProof/>
          <w:sz w:val="22"/>
          <w:szCs w:val="22"/>
          <w:highlight w:val="yellow"/>
        </w:rPr>
        <w:drawing>
          <wp:inline distT="0" distB="0" distL="0" distR="0" wp14:anchorId="419AFB60" wp14:editId="68379DD6">
            <wp:extent cx="5236234" cy="3298083"/>
            <wp:effectExtent l="0" t="0" r="2540" b="0"/>
            <wp:docPr id="148778610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604" cy="330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BFA1FB" w14:textId="77777777" w:rsidR="00436F5C" w:rsidRPr="00616069" w:rsidRDefault="00436F5C" w:rsidP="00436F5C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</w:t>
      </w:r>
      <w:r>
        <w:rPr>
          <w:rFonts w:ascii="Calibri Light" w:hAnsi="Calibri Light" w:cs="Calibri Light"/>
          <w:color w:val="13576B"/>
          <w:sz w:val="20"/>
        </w:rPr>
        <w:t xml:space="preserve">ČNB, </w:t>
      </w:r>
      <w:r w:rsidRPr="002F4CBD">
        <w:rPr>
          <w:rFonts w:ascii="Calibri Light" w:hAnsi="Calibri Light" w:cs="Calibri Light"/>
          <w:color w:val="13576B"/>
          <w:sz w:val="20"/>
        </w:rPr>
        <w:t>ČBA Hypomonitor</w:t>
      </w:r>
    </w:p>
    <w:p w14:paraId="4E462F23" w14:textId="77777777" w:rsidR="005343BA" w:rsidRDefault="005343BA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5F044CF" w14:textId="2FC2EDEF" w:rsidR="005343BA" w:rsidRDefault="005343BA" w:rsidP="005343BA">
      <w:pPr>
        <w:rPr>
          <w:rFonts w:ascii="Calibri" w:hAnsi="Calibri" w:cs="Calibri"/>
          <w:b/>
          <w:color w:val="13576B"/>
          <w:sz w:val="24"/>
          <w:szCs w:val="24"/>
        </w:rPr>
      </w:pPr>
      <w:r w:rsidRPr="00AF2306">
        <w:rPr>
          <w:rFonts w:ascii="Calibri" w:hAnsi="Calibri" w:cs="Calibri"/>
          <w:b/>
          <w:color w:val="13576B"/>
          <w:sz w:val="24"/>
          <w:szCs w:val="24"/>
        </w:rPr>
        <w:t>Dopad</w:t>
      </w:r>
      <w:r w:rsidR="00D24B00">
        <w:rPr>
          <w:rFonts w:ascii="Calibri" w:hAnsi="Calibri" w:cs="Calibri"/>
          <w:b/>
          <w:color w:val="13576B"/>
          <w:sz w:val="24"/>
          <w:szCs w:val="24"/>
        </w:rPr>
        <w:t>y</w:t>
      </w:r>
      <w:r w:rsidRPr="00AF2306">
        <w:rPr>
          <w:rFonts w:ascii="Calibri" w:hAnsi="Calibri" w:cs="Calibri"/>
          <w:b/>
          <w:color w:val="13576B"/>
          <w:sz w:val="24"/>
          <w:szCs w:val="24"/>
        </w:rPr>
        <w:t xml:space="preserve"> na průměrnou</w:t>
      </w:r>
      <w:r w:rsidR="00665F6E">
        <w:rPr>
          <w:rFonts w:ascii="Calibri" w:hAnsi="Calibri" w:cs="Calibri"/>
          <w:b/>
          <w:color w:val="13576B"/>
          <w:sz w:val="24"/>
          <w:szCs w:val="24"/>
        </w:rPr>
        <w:t xml:space="preserve"> měsíční hypoteční</w:t>
      </w:r>
      <w:r w:rsidRPr="00AF2306">
        <w:rPr>
          <w:rFonts w:ascii="Calibri" w:hAnsi="Calibri" w:cs="Calibri"/>
          <w:b/>
          <w:color w:val="13576B"/>
          <w:sz w:val="24"/>
          <w:szCs w:val="24"/>
        </w:rPr>
        <w:t xml:space="preserve"> splátku</w:t>
      </w:r>
      <w:r w:rsidR="00665F6E">
        <w:rPr>
          <w:rFonts w:ascii="Calibri" w:hAnsi="Calibri" w:cs="Calibri"/>
          <w:b/>
          <w:color w:val="13576B"/>
          <w:sz w:val="24"/>
          <w:szCs w:val="24"/>
        </w:rPr>
        <w:t xml:space="preserve"> </w:t>
      </w:r>
      <w:r w:rsidR="007A19E3">
        <w:rPr>
          <w:rFonts w:ascii="Calibri" w:hAnsi="Calibri" w:cs="Calibri"/>
          <w:b/>
          <w:color w:val="13576B"/>
          <w:sz w:val="24"/>
          <w:szCs w:val="24"/>
        </w:rPr>
        <w:t>okolo</w:t>
      </w:r>
      <w:r w:rsidR="00665F6E">
        <w:rPr>
          <w:rFonts w:ascii="Calibri" w:hAnsi="Calibri" w:cs="Calibri"/>
          <w:b/>
          <w:color w:val="13576B"/>
          <w:sz w:val="24"/>
          <w:szCs w:val="24"/>
        </w:rPr>
        <w:t xml:space="preserve"> 2</w:t>
      </w:r>
      <w:r w:rsidR="00541D7D">
        <w:rPr>
          <w:rFonts w:ascii="Calibri" w:hAnsi="Calibri" w:cs="Calibri"/>
          <w:b/>
          <w:color w:val="13576B"/>
          <w:sz w:val="24"/>
          <w:szCs w:val="24"/>
        </w:rPr>
        <w:t>3</w:t>
      </w:r>
      <w:r w:rsidR="007A19E3">
        <w:rPr>
          <w:rFonts w:ascii="Calibri" w:hAnsi="Calibri" w:cs="Calibri"/>
          <w:b/>
          <w:color w:val="13576B"/>
          <w:sz w:val="24"/>
          <w:szCs w:val="24"/>
        </w:rPr>
        <w:t>,4</w:t>
      </w:r>
      <w:r w:rsidR="00665F6E">
        <w:rPr>
          <w:rFonts w:ascii="Calibri" w:hAnsi="Calibri" w:cs="Calibri"/>
          <w:b/>
          <w:color w:val="13576B"/>
          <w:sz w:val="24"/>
          <w:szCs w:val="24"/>
        </w:rPr>
        <w:t xml:space="preserve"> tisíc Kč</w:t>
      </w:r>
    </w:p>
    <w:p w14:paraId="50D3F3A4" w14:textId="77777777" w:rsidR="005343BA" w:rsidRDefault="005343BA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32F32B1" w14:textId="4CD0AA28" w:rsidR="007A19E3" w:rsidRDefault="007A19E3" w:rsidP="007A19E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7A19E3">
        <w:rPr>
          <w:rFonts w:ascii="Calibri" w:hAnsi="Calibri" w:cs="Calibri"/>
          <w:b/>
          <w:bCs/>
          <w:color w:val="000000" w:themeColor="text1"/>
          <w:sz w:val="22"/>
          <w:szCs w:val="22"/>
        </w:rPr>
        <w:t>Kombinace poklesu úrokové sazby a vyšší průměrné výše hypotéky v září 2025 ve srovnání s průměrnými hodnotami z roku 2024 zvýšily průměrnou měsíční splátku hypotéky o 2,4 tis. Kč.</w:t>
      </w:r>
      <w:r w:rsidRPr="007A19E3">
        <w:rPr>
          <w:rFonts w:ascii="Calibri" w:hAnsi="Calibri" w:cs="Calibri"/>
          <w:color w:val="000000" w:themeColor="text1"/>
          <w:sz w:val="22"/>
          <w:szCs w:val="22"/>
        </w:rPr>
        <w:t xml:space="preserve"> Scénáře vývoje měsíční splátky pro různé délky splatnosti hypotéky znázorňuje tabulka č. 2. Ta napovídá, že pokles hypotečních sazeb bezmála o 0,6% bodu vůči jejich průměrné výši 5,07 % v roce 2024 přinesl, pro průměrnou velikost hypotéky při jejím obvyklém přibližně 26,8letém splácení, snížení měsíční splátky o necelých 1 400 Kč na přibližně 23,4 tis. Kč, tedy o 1,5 % čistého příjmu žadatele v porovnání s průměrnou splátkou v minulém roce. Ve srovnání s průměrnou hypoteční sazbou 5,81 % v roce 2023 dosáhla úspora kvůli úrokové sazbě necelých 3 300 Kč pro hypotéku v její aktuální průměrné hodnotě. </w:t>
      </w:r>
    </w:p>
    <w:p w14:paraId="02C704BA" w14:textId="77777777" w:rsidR="007A19E3" w:rsidRDefault="007A19E3" w:rsidP="007A19E3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B8D61C9" w14:textId="7C1CAC93" w:rsidR="007A19E3" w:rsidRDefault="007A19E3" w:rsidP="007A19E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7A19E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Ovšem současná průměrná výše hypotéky je o 18 % vyšší než její průměrná výše v roce 2024, což přispívá k navýšení měsíční splátky o 3,6 tis. Kč </w:t>
      </w:r>
      <w:r w:rsidRPr="007A19E3">
        <w:rPr>
          <w:rFonts w:ascii="Calibri" w:hAnsi="Calibri" w:cs="Calibri"/>
          <w:color w:val="000000" w:themeColor="text1"/>
          <w:sz w:val="22"/>
          <w:szCs w:val="22"/>
        </w:rPr>
        <w:t xml:space="preserve">ve srovnání s průměrnou měsíční splátkou v minulém roce navázanou na loňskou průměrnou výši hypotéky ovšem při současné úrokové sazbě. Splátka hypotéky ve výši jednoho milionu korun s 30letou splatností se se současnými úrokovými sazbami pohybuje okolo 5,1 tisíce Kč. </w:t>
      </w:r>
    </w:p>
    <w:p w14:paraId="3EFDD157" w14:textId="77777777" w:rsidR="007A19E3" w:rsidRPr="007A19E3" w:rsidRDefault="007A19E3" w:rsidP="007A19E3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79A032C" w14:textId="39ED387B" w:rsidR="007A19E3" w:rsidRDefault="007A19E3" w:rsidP="007A19E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7A19E3">
        <w:rPr>
          <w:rFonts w:ascii="Calibri" w:hAnsi="Calibri" w:cs="Calibri"/>
          <w:b/>
          <w:bCs/>
          <w:color w:val="000000" w:themeColor="text1"/>
          <w:sz w:val="22"/>
          <w:szCs w:val="22"/>
        </w:rPr>
        <w:t>Naopak, ve srovnání s průměrnou 2,8% úrokovou hypoteční sazbou pro nové hypotéky v roce 2019,</w:t>
      </w:r>
      <w:r w:rsidRPr="007A19E3">
        <w:rPr>
          <w:rFonts w:ascii="Calibri" w:hAnsi="Calibri" w:cs="Calibri"/>
          <w:color w:val="000000" w:themeColor="text1"/>
          <w:sz w:val="22"/>
          <w:szCs w:val="22"/>
        </w:rPr>
        <w:t xml:space="preserve"> tak současná hypoteční sazba pro refinancování ve výši 4,5 % při zkrácení splatnosti úvěru zvedá měsíční splátky u průměrné hypotéky téměř o 1700 Kč, tedy asi o 3,3 % současné hrubé průměrné mzdy.</w:t>
      </w:r>
    </w:p>
    <w:p w14:paraId="4482CE93" w14:textId="77777777" w:rsidR="008569DC" w:rsidRDefault="008569DC" w:rsidP="008569DC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A267256" w14:textId="12E300F9" w:rsidR="009D3067" w:rsidRPr="00515ECA" w:rsidRDefault="009D3067" w:rsidP="008569DC">
      <w:pPr>
        <w:overflowPunct/>
        <w:autoSpaceDE/>
        <w:autoSpaceDN/>
        <w:adjustRightInd/>
        <w:spacing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bookmarkStart w:id="6" w:name="_Hlk190458144"/>
      <w:bookmarkEnd w:id="5"/>
      <w:r w:rsidRPr="00515ECA">
        <w:rPr>
          <w:rFonts w:ascii="Calibri" w:hAnsi="Calibri" w:cs="Calibri"/>
          <w:b/>
          <w:color w:val="13576B"/>
          <w:sz w:val="23"/>
          <w:szCs w:val="23"/>
        </w:rPr>
        <w:t xml:space="preserve">Tabulka č. 2: </w:t>
      </w:r>
      <w:r w:rsidR="004B441B">
        <w:rPr>
          <w:rFonts w:ascii="Calibri" w:hAnsi="Calibri" w:cs="Calibri"/>
          <w:b/>
          <w:color w:val="13576B"/>
          <w:sz w:val="23"/>
          <w:szCs w:val="23"/>
        </w:rPr>
        <w:t>Ilustrace</w:t>
      </w:r>
      <w:r w:rsidR="00EB1892">
        <w:rPr>
          <w:rFonts w:ascii="Calibri" w:hAnsi="Calibri" w:cs="Calibri"/>
          <w:b/>
          <w:color w:val="13576B"/>
          <w:sz w:val="23"/>
          <w:szCs w:val="23"/>
        </w:rPr>
        <w:t xml:space="preserve"> m</w:t>
      </w:r>
      <w:r w:rsidRPr="00515ECA">
        <w:rPr>
          <w:rFonts w:ascii="Calibri" w:hAnsi="Calibri" w:cs="Calibri"/>
          <w:b/>
          <w:color w:val="13576B"/>
          <w:sz w:val="23"/>
          <w:szCs w:val="23"/>
        </w:rPr>
        <w:t>ěsíční splátk</w:t>
      </w:r>
      <w:r w:rsidR="004B441B">
        <w:rPr>
          <w:rFonts w:ascii="Calibri" w:hAnsi="Calibri" w:cs="Calibri"/>
          <w:b/>
          <w:color w:val="13576B"/>
          <w:sz w:val="23"/>
          <w:szCs w:val="23"/>
        </w:rPr>
        <w:t>y</w:t>
      </w:r>
      <w:r w:rsidRPr="00515ECA">
        <w:rPr>
          <w:rFonts w:ascii="Calibri" w:hAnsi="Calibri" w:cs="Calibri"/>
          <w:b/>
          <w:color w:val="13576B"/>
          <w:sz w:val="23"/>
          <w:szCs w:val="23"/>
        </w:rPr>
        <w:t xml:space="preserve"> průměrné hypotéky v závislosti na délce splatnosti a úrokové sazbě</w:t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648"/>
        <w:gridCol w:w="955"/>
        <w:gridCol w:w="955"/>
        <w:gridCol w:w="955"/>
        <w:gridCol w:w="955"/>
        <w:gridCol w:w="955"/>
        <w:gridCol w:w="955"/>
      </w:tblGrid>
      <w:tr w:rsidR="00D5517C" w:rsidRPr="002138C0" w14:paraId="2E0F9EE8" w14:textId="77777777" w:rsidTr="00EB1892">
        <w:trPr>
          <w:trHeight w:val="555"/>
        </w:trPr>
        <w:tc>
          <w:tcPr>
            <w:tcW w:w="4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FE9691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velikost nové hypotéky v Kč: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2DFCA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B01B2E" w14:textId="294A28AB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00C93" w:rsidRPr="00F236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0F8289" w14:textId="6CD992B5" w:rsidR="00490505" w:rsidRPr="00F23602" w:rsidRDefault="008A56CE" w:rsidP="005861DC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4 351 030</w:t>
            </w:r>
          </w:p>
        </w:tc>
      </w:tr>
      <w:tr w:rsidR="00F23602" w:rsidRPr="002138C0" w14:paraId="3A9D14C4" w14:textId="77777777" w:rsidTr="00EB189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FFBA8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úroková sazba v %: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6198D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BEEE92" w14:textId="18F743FA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D3214C" w14:textId="1130DD68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B1144F" w14:textId="1E0730A6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3EA"/>
            <w:noWrap/>
            <w:vAlign w:val="center"/>
            <w:hideMark/>
          </w:tcPr>
          <w:p w14:paraId="29650147" w14:textId="2CD0A2A5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</w:t>
            </w:r>
            <w:r w:rsidR="003258C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</w:t>
            </w:r>
            <w:r w:rsidR="00D24B00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22EECDD2" w14:textId="49E02541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5AC0A3" w14:textId="632AE5E6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D5517C" w:rsidRPr="002138C0" w14:paraId="4905349F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7E18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71C1EDC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8A3FA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7A7A8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798FF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Měsíční splátka:</w:t>
            </w:r>
          </w:p>
        </w:tc>
      </w:tr>
      <w:tr w:rsidR="008A56CE" w:rsidRPr="002138C0" w14:paraId="0A342D01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8443" w14:textId="77777777" w:rsidR="008A56CE" w:rsidRPr="00F23602" w:rsidRDefault="008A56CE" w:rsidP="008A56C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Splatnost hypotéky v letech: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9EE9A3" w14:textId="21CDF506" w:rsidR="008A56CE" w:rsidRPr="00F23602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75F03F" w14:textId="7955B9A0" w:rsidR="008A56CE" w:rsidRPr="00F23602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28 000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E9F84" w14:textId="0A4252C9" w:rsidR="008A56CE" w:rsidRPr="00F23602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30 050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A63E5" w14:textId="077F256D" w:rsidR="008A56CE" w:rsidRPr="00F23602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32 180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0F2712F9" w14:textId="1E2B72B1" w:rsidR="008A56CE" w:rsidRPr="002138C0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33 330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90F9892" w14:textId="1E34E34D" w:rsidR="008A56CE" w:rsidRPr="002138C0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34 410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D0922" w14:textId="2DFD3B98" w:rsidR="008A56CE" w:rsidRPr="002138C0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36 720</w:t>
            </w:r>
          </w:p>
        </w:tc>
      </w:tr>
      <w:tr w:rsidR="008A56CE" w:rsidRPr="002138C0" w14:paraId="4A78BEF2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3610" w14:textId="77777777" w:rsidR="008A56CE" w:rsidRPr="00F23602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B9CE37" w14:textId="0DCAB82D" w:rsidR="008A56CE" w:rsidRPr="00F23602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28FBFB" w14:textId="55576BFC" w:rsidR="008A56CE" w:rsidRPr="00F23602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22 010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7AA86" w14:textId="607FF2DC" w:rsidR="008A56CE" w:rsidRPr="00F23602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24 130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57E18" w14:textId="11EDE2C1" w:rsidR="008A56CE" w:rsidRPr="00F23602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26 370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6D332706" w14:textId="78F56218" w:rsidR="008A56CE" w:rsidRPr="002138C0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27 580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5E6CF5E2" w14:textId="23C8FC24" w:rsidR="008A56CE" w:rsidRPr="002138C0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28 710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1BDBD" w14:textId="24A4EDA2" w:rsidR="008A56CE" w:rsidRPr="002138C0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31 170</w:t>
            </w:r>
          </w:p>
        </w:tc>
      </w:tr>
      <w:tr w:rsidR="008A56CE" w:rsidRPr="002138C0" w14:paraId="6CF32913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281A" w14:textId="77777777" w:rsidR="008A56CE" w:rsidRPr="00F23602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092D49" w14:textId="78F991B7" w:rsidR="008A56CE" w:rsidRPr="00F23602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1B1A11" w14:textId="50EA45E0" w:rsidR="008A56CE" w:rsidRPr="00F23602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18 440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3E222" w14:textId="582ACAD7" w:rsidR="008A56CE" w:rsidRPr="00F23602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20 630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6F1AB" w14:textId="31F35B09" w:rsidR="008A56CE" w:rsidRPr="00F23602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22 970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5331F341" w14:textId="50581180" w:rsidR="008A56CE" w:rsidRPr="002138C0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24 240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E4DDF0D" w14:textId="0170C755" w:rsidR="008A56CE" w:rsidRPr="002138C0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25 440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2D8C7" w14:textId="150DFF27" w:rsidR="008A56CE" w:rsidRPr="002138C0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28 030</w:t>
            </w:r>
          </w:p>
        </w:tc>
      </w:tr>
      <w:tr w:rsidR="008A56CE" w:rsidRPr="002138C0" w14:paraId="2841560E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465CE" w14:textId="77777777" w:rsidR="008A56CE" w:rsidRPr="00F23602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F3EA"/>
            <w:noWrap/>
            <w:vAlign w:val="center"/>
          </w:tcPr>
          <w:p w14:paraId="088256B9" w14:textId="44522C32" w:rsidR="008A56CE" w:rsidRPr="00F23602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26,8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0B45A43E" w14:textId="501D5D9A" w:rsidR="008A56CE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17 510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09BA985F" w14:textId="47E5C31C" w:rsidR="008A56CE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19 720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567430AE" w14:textId="082A69DD" w:rsidR="008A56CE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22 090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427C5795" w14:textId="55E8DC8E" w:rsidR="008A56CE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23 380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3738B6D6" w14:textId="0D55D5FC" w:rsidR="008A56CE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24 600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15CB0311" w14:textId="3AE61909" w:rsidR="008A56CE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27 250</w:t>
            </w:r>
          </w:p>
        </w:tc>
      </w:tr>
      <w:tr w:rsidR="008A56CE" w:rsidRPr="002138C0" w14:paraId="46B86678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BB57D" w14:textId="77777777" w:rsidR="008A56CE" w:rsidRPr="00F23602" w:rsidRDefault="008A56CE" w:rsidP="008A56C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525A" w14:textId="7A89106D" w:rsidR="008A56CE" w:rsidRPr="00F23602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DA2DA6" w14:textId="4EB3E552" w:rsidR="008A56CE" w:rsidRPr="00F23602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16 080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1602F5" w14:textId="25A5CC34" w:rsidR="008A56CE" w:rsidRPr="00F23602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18 340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C600D" w14:textId="2B28CA5C" w:rsidR="008A56CE" w:rsidRPr="00F23602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20 770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F3EA"/>
            <w:noWrap/>
            <w:vAlign w:val="center"/>
            <w:hideMark/>
          </w:tcPr>
          <w:p w14:paraId="527D8D8A" w14:textId="1B9DA9DB" w:rsidR="008A56CE" w:rsidRPr="002138C0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5ABD787" w14:textId="6790D0B1" w:rsidR="008A56CE" w:rsidRPr="002138C0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23 360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781B34" w14:textId="3B7BBFE5" w:rsidR="008A56CE" w:rsidRPr="002138C0" w:rsidRDefault="008A56CE" w:rsidP="008A56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26 090</w:t>
            </w:r>
          </w:p>
        </w:tc>
      </w:tr>
      <w:tr w:rsidR="00D5517C" w:rsidRPr="002138C0" w14:paraId="58395EC8" w14:textId="77777777" w:rsidTr="00EB189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D57F" w14:textId="5396F87E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0"/>
              </w:rPr>
            </w:pPr>
            <w:r w:rsidRPr="00AA62A7">
              <w:rPr>
                <w:rFonts w:asciiTheme="minorHAnsi" w:hAnsiTheme="minorHAnsi" w:cstheme="minorHAnsi"/>
                <w:color w:val="2F5496" w:themeColor="accent5" w:themeShade="BF"/>
                <w:sz w:val="20"/>
              </w:rPr>
              <w:t>Pramen</w:t>
            </w:r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>: ČBA</w:t>
            </w:r>
            <w:r w:rsidR="00952AEF" w:rsidRPr="00AA62A7">
              <w:rPr>
                <w:rFonts w:asciiTheme="minorHAnsi" w:hAnsiTheme="minorHAnsi" w:cstheme="minorHAnsi"/>
                <w:color w:val="13576B"/>
                <w:sz w:val="20"/>
              </w:rPr>
              <w:t xml:space="preserve"> </w:t>
            </w:r>
            <w:r w:rsidR="00952AEF" w:rsidRPr="00AA62A7">
              <w:rPr>
                <w:rStyle w:val="Znakapoznpodarou"/>
                <w:rFonts w:asciiTheme="minorHAnsi" w:hAnsiTheme="minorHAnsi" w:cstheme="minorHAnsi"/>
                <w:color w:val="2F5496" w:themeColor="accent5" w:themeShade="BF"/>
                <w:sz w:val="20"/>
              </w:rPr>
              <w:footnoteReference w:id="2"/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430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225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1F0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2AAF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6A2A" w14:textId="77777777" w:rsidR="00D5517C" w:rsidRPr="00AA62A7" w:rsidRDefault="00D5517C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D15A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72E4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D5517C" w:rsidRPr="002138C0" w14:paraId="17E5FF51" w14:textId="77777777" w:rsidTr="00EB1892">
        <w:trPr>
          <w:trHeight w:val="30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0336" w14:textId="02728D43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0"/>
              </w:rPr>
            </w:pPr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>Pozn.: barevný sloupec odpovídá úrokové sazbě posledního ČBA Hypomonitoru, ostatní sazby jsou ilustrační</w:t>
            </w:r>
            <w:r w:rsidR="00EB1892" w:rsidRPr="00AA62A7">
              <w:rPr>
                <w:rFonts w:asciiTheme="minorHAnsi" w:hAnsiTheme="minorHAnsi" w:cstheme="minorHAnsi"/>
                <w:color w:val="13576B"/>
                <w:sz w:val="20"/>
              </w:rPr>
              <w:t xml:space="preserve">; barevný řádek odpovídá průměrné splatnosti nových hypoték podle dat ČNB; částky jsou zaokrouhleny na desítky korun. </w:t>
            </w:r>
          </w:p>
        </w:tc>
      </w:tr>
    </w:tbl>
    <w:p w14:paraId="596DABCB" w14:textId="77777777" w:rsidR="008569DC" w:rsidRDefault="008569DC" w:rsidP="00573D34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</w:p>
    <w:p w14:paraId="37433820" w14:textId="62B2E302" w:rsidR="00573D34" w:rsidRDefault="00EB1892" w:rsidP="00573D34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0A0217">
        <w:rPr>
          <w:rFonts w:ascii="Calibri" w:hAnsi="Calibri" w:cs="Calibri"/>
          <w:b/>
          <w:color w:val="13576B"/>
          <w:sz w:val="23"/>
          <w:szCs w:val="23"/>
        </w:rPr>
        <w:t xml:space="preserve">5: </w:t>
      </w:r>
      <w:r w:rsidR="009D5F35">
        <w:rPr>
          <w:rFonts w:ascii="Calibri" w:hAnsi="Calibri" w:cs="Calibri"/>
          <w:b/>
          <w:color w:val="13576B"/>
          <w:sz w:val="23"/>
          <w:szCs w:val="23"/>
        </w:rPr>
        <w:t>Ilustrativní srovnání výše měsíční splátky průměrné hypotéky s obdobím před rokem v závislosti na výši úroku, velikosti hypotéky a její splatnosti v</w:t>
      </w:r>
      <w:r w:rsidR="00573D34">
        <w:rPr>
          <w:rFonts w:ascii="Calibri" w:hAnsi="Calibri" w:cs="Calibri"/>
          <w:b/>
          <w:color w:val="13576B"/>
          <w:sz w:val="23"/>
          <w:szCs w:val="23"/>
        </w:rPr>
        <w:t> </w:t>
      </w:r>
      <w:r w:rsidR="009D5F35">
        <w:rPr>
          <w:rFonts w:ascii="Calibri" w:hAnsi="Calibri" w:cs="Calibri"/>
          <w:b/>
          <w:color w:val="13576B"/>
          <w:sz w:val="23"/>
          <w:szCs w:val="23"/>
        </w:rPr>
        <w:t>letech</w:t>
      </w:r>
    </w:p>
    <w:p w14:paraId="7D566DD6" w14:textId="1FBC0026" w:rsidR="00B44209" w:rsidRDefault="008A56CE" w:rsidP="00AA62A7">
      <w:pPr>
        <w:overflowPunct/>
        <w:autoSpaceDE/>
        <w:autoSpaceDN/>
        <w:adjustRightInd/>
        <w:spacing w:line="259" w:lineRule="auto"/>
        <w:jc w:val="left"/>
        <w:textAlignment w:val="auto"/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 w:rsidRPr="008A56CE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V meziročním srovnání přinesl pokles hypoteční sazby úsporu průměrné měsíční splátky o 1 110 Kč, ovšem růst průměrné výše hypotéky způsobil její navýšení o 3 170 Kč. </w:t>
      </w:r>
    </w:p>
    <w:p w14:paraId="6A935E6E" w14:textId="23BD540B" w:rsidR="008A56CE" w:rsidRDefault="008A56CE" w:rsidP="00AA62A7">
      <w:pPr>
        <w:overflowPunct/>
        <w:autoSpaceDE/>
        <w:autoSpaceDN/>
        <w:adjustRightInd/>
        <w:spacing w:line="259" w:lineRule="auto"/>
        <w:jc w:val="left"/>
        <w:textAlignment w:val="auto"/>
        <w:rPr>
          <w:rFonts w:ascii="Calibri" w:hAnsi="Calibri" w:cs="Calibri"/>
          <w:bCs/>
          <w:i/>
          <w:iCs/>
          <w:noProof/>
          <w:color w:val="13576B"/>
          <w:sz w:val="23"/>
          <w:szCs w:val="23"/>
        </w:rPr>
      </w:pPr>
      <w:r>
        <w:rPr>
          <w:rFonts w:ascii="Calibri" w:hAnsi="Calibri" w:cs="Calibri"/>
          <w:bCs/>
          <w:i/>
          <w:iCs/>
          <w:noProof/>
          <w:color w:val="13576B"/>
          <w:sz w:val="23"/>
          <w:szCs w:val="23"/>
        </w:rPr>
        <w:lastRenderedPageBreak/>
        <w:drawing>
          <wp:inline distT="0" distB="0" distL="0" distR="0" wp14:anchorId="6ED0B382" wp14:editId="154D74BF">
            <wp:extent cx="4800600" cy="3192119"/>
            <wp:effectExtent l="0" t="0" r="0" b="8890"/>
            <wp:docPr id="9191044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86" cy="3198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5D4172" w14:textId="314DF59A" w:rsidR="008A56CE" w:rsidRDefault="008A56CE" w:rsidP="00AA62A7">
      <w:pPr>
        <w:overflowPunct/>
        <w:autoSpaceDE/>
        <w:autoSpaceDN/>
        <w:adjustRightInd/>
        <w:spacing w:line="259" w:lineRule="auto"/>
        <w:jc w:val="left"/>
        <w:textAlignment w:val="auto"/>
        <w:rPr>
          <w:rFonts w:ascii="Calibri" w:hAnsi="Calibri" w:cs="Calibri"/>
          <w:b/>
          <w:color w:val="13576B"/>
          <w:sz w:val="24"/>
          <w:szCs w:val="24"/>
          <w:highlight w:val="yellow"/>
        </w:rPr>
      </w:pPr>
    </w:p>
    <w:p w14:paraId="2DADE1A7" w14:textId="4B9EF024" w:rsidR="009D5F35" w:rsidRDefault="009D5F35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r w:rsidRPr="002F4CBD">
        <w:rPr>
          <w:rFonts w:ascii="Calibri Light" w:hAnsi="Calibri Light" w:cs="Calibri Light"/>
          <w:color w:val="13576B"/>
          <w:sz w:val="20"/>
        </w:rPr>
        <w:t>ČBA</w:t>
      </w:r>
      <w:r w:rsidR="00AA62A7">
        <w:rPr>
          <w:rFonts w:ascii="Calibri Light" w:hAnsi="Calibri Light" w:cs="Calibri Light"/>
          <w:color w:val="13576B"/>
          <w:sz w:val="20"/>
        </w:rPr>
        <w:t xml:space="preserve">. Pozn.: </w:t>
      </w:r>
      <w:r w:rsidR="00AA62A7" w:rsidRPr="00AA62A7">
        <w:rPr>
          <w:rFonts w:ascii="Calibri Light" w:hAnsi="Calibri Light" w:cs="Calibri Light"/>
          <w:color w:val="13576B"/>
          <w:sz w:val="20"/>
        </w:rPr>
        <w:t>částky jsou zaokrouhleny na desítky korun.</w:t>
      </w:r>
    </w:p>
    <w:p w14:paraId="7ECA69B5" w14:textId="77777777" w:rsidR="00173D31" w:rsidRDefault="00173D31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5A72B105" w14:textId="5EE70E11" w:rsidR="002E4EFD" w:rsidRPr="00D24B00" w:rsidRDefault="008723A8" w:rsidP="002E4EFD">
      <w:pPr>
        <w:rPr>
          <w:rFonts w:ascii="Calibri" w:hAnsi="Calibri" w:cs="Calibri"/>
          <w:b/>
          <w:color w:val="EE0000"/>
          <w:sz w:val="24"/>
          <w:szCs w:val="24"/>
        </w:rPr>
      </w:pPr>
      <w:r>
        <w:rPr>
          <w:rFonts w:ascii="Calibri" w:hAnsi="Calibri" w:cs="Calibri"/>
          <w:b/>
          <w:color w:val="13576B"/>
          <w:sz w:val="24"/>
          <w:szCs w:val="24"/>
        </w:rPr>
        <w:t>Statistická příloha</w:t>
      </w:r>
    </w:p>
    <w:p w14:paraId="384BA2E5" w14:textId="7E516932" w:rsidR="0033440C" w:rsidRDefault="00E16BD3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E16BD3">
        <w:rPr>
          <w:noProof/>
        </w:rPr>
        <w:lastRenderedPageBreak/>
        <w:drawing>
          <wp:inline distT="0" distB="0" distL="0" distR="0" wp14:anchorId="03413470" wp14:editId="4EA9E820">
            <wp:extent cx="6480810" cy="4177030"/>
            <wp:effectExtent l="0" t="0" r="0" b="0"/>
            <wp:docPr id="147984072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17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3E5F5" w14:textId="68A6E96C" w:rsidR="0033440C" w:rsidRDefault="008723A8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r w:rsidRPr="002F4CBD">
        <w:rPr>
          <w:rFonts w:ascii="Calibri Light" w:hAnsi="Calibri Light" w:cs="Calibri Light"/>
          <w:color w:val="13576B"/>
          <w:sz w:val="20"/>
        </w:rPr>
        <w:t>ČBA</w:t>
      </w:r>
      <w:r>
        <w:rPr>
          <w:rFonts w:ascii="Calibri Light" w:hAnsi="Calibri Light" w:cs="Calibri Light"/>
          <w:color w:val="13576B"/>
          <w:sz w:val="20"/>
        </w:rPr>
        <w:t xml:space="preserve"> Hypomonitor</w:t>
      </w:r>
    </w:p>
    <w:p w14:paraId="03530238" w14:textId="378A1F3A" w:rsidR="008723A8" w:rsidRDefault="008723A8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>
        <w:rPr>
          <w:rFonts w:ascii="Calibri Light" w:hAnsi="Calibri Light" w:cs="Calibri Light"/>
          <w:color w:val="13576B"/>
          <w:sz w:val="20"/>
        </w:rPr>
        <w:t xml:space="preserve">Poznámka: </w:t>
      </w:r>
      <w:r w:rsidR="006E2E7E">
        <w:rPr>
          <w:rFonts w:ascii="Calibri Light" w:hAnsi="Calibri Light" w:cs="Calibri Light"/>
          <w:color w:val="13576B"/>
          <w:sz w:val="20"/>
        </w:rPr>
        <w:t xml:space="preserve">Jedná se o skutečně nové hypotéky (tedy </w:t>
      </w:r>
      <w:r w:rsidR="00F50DD0">
        <w:rPr>
          <w:rFonts w:ascii="Calibri Light" w:hAnsi="Calibri Light" w:cs="Calibri Light"/>
          <w:color w:val="13576B"/>
          <w:sz w:val="20"/>
        </w:rPr>
        <w:t xml:space="preserve">bez </w:t>
      </w:r>
      <w:r w:rsidR="006E2E7E">
        <w:rPr>
          <w:rFonts w:ascii="Calibri Light" w:hAnsi="Calibri Light" w:cs="Calibri Light"/>
          <w:color w:val="13576B"/>
          <w:sz w:val="20"/>
        </w:rPr>
        <w:t xml:space="preserve">refinancování a navýšeni). </w:t>
      </w:r>
      <w:r>
        <w:rPr>
          <w:rFonts w:ascii="Calibri Light" w:hAnsi="Calibri Light" w:cs="Calibri Light"/>
          <w:color w:val="13576B"/>
          <w:sz w:val="20"/>
        </w:rPr>
        <w:t xml:space="preserve">Podkladová data jsou </w:t>
      </w:r>
      <w:r w:rsidRPr="008723A8">
        <w:rPr>
          <w:rFonts w:ascii="Calibri Light" w:hAnsi="Calibri Light" w:cs="Calibri Light"/>
          <w:color w:val="13576B"/>
          <w:sz w:val="20"/>
        </w:rPr>
        <w:t>k dispozici v souboru xls přiloženém na webových stránkách ČBA Hypomonitoru</w:t>
      </w:r>
      <w:r w:rsidR="00E16BD3">
        <w:rPr>
          <w:rFonts w:ascii="Calibri Light" w:hAnsi="Calibri Light" w:cs="Calibri Light"/>
          <w:color w:val="13576B"/>
          <w:sz w:val="20"/>
        </w:rPr>
        <w:t>. V</w:t>
      </w:r>
      <w:r w:rsidR="00E16BD3" w:rsidRPr="00E16BD3">
        <w:rPr>
          <w:rFonts w:ascii="Calibri Light" w:hAnsi="Calibri Light" w:cs="Calibri Light"/>
          <w:color w:val="13576B"/>
          <w:sz w:val="20"/>
        </w:rPr>
        <w:t>ýhled do konce roku</w:t>
      </w:r>
      <w:r w:rsidR="00E16BD3">
        <w:rPr>
          <w:rFonts w:ascii="Calibri Light" w:hAnsi="Calibri Light" w:cs="Calibri Light"/>
          <w:color w:val="13576B"/>
          <w:sz w:val="20"/>
        </w:rPr>
        <w:t xml:space="preserve"> (fcst)</w:t>
      </w:r>
      <w:r w:rsidR="00E16BD3" w:rsidRPr="00E16BD3">
        <w:rPr>
          <w:rFonts w:ascii="Calibri Light" w:hAnsi="Calibri Light" w:cs="Calibri Light"/>
          <w:color w:val="13576B"/>
          <w:sz w:val="20"/>
        </w:rPr>
        <w:t xml:space="preserve"> je momentový – vychází z aktuálního trendu, nikoli z modelové predikce.</w:t>
      </w:r>
    </w:p>
    <w:p w14:paraId="50F3BD64" w14:textId="77777777" w:rsidR="0033440C" w:rsidRDefault="0033440C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5303965F" w14:textId="77777777" w:rsidR="0033440C" w:rsidRPr="00616069" w:rsidRDefault="0033440C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bookmarkEnd w:id="6"/>
    <w:p w14:paraId="0D5FBC63" w14:textId="77777777" w:rsidR="002A5D11" w:rsidRPr="002A5D11" w:rsidRDefault="002A5D11" w:rsidP="002A5D11">
      <w:pPr>
        <w:rPr>
          <w:rFonts w:ascii="Calibri" w:hAnsi="Calibri" w:cs="Calibri"/>
          <w:b/>
          <w:color w:val="13576B"/>
          <w:sz w:val="24"/>
          <w:szCs w:val="24"/>
        </w:rPr>
      </w:pPr>
      <w:r w:rsidRPr="002A5D11">
        <w:rPr>
          <w:rFonts w:ascii="Calibri" w:hAnsi="Calibri" w:cs="Calibri"/>
          <w:b/>
          <w:color w:val="13576B"/>
          <w:sz w:val="24"/>
          <w:szCs w:val="24"/>
        </w:rPr>
        <w:t>Hypoteční trh v roce 2024: Rekordní růst o 83 %</w:t>
      </w:r>
    </w:p>
    <w:p w14:paraId="4743E758" w14:textId="77777777" w:rsidR="001002CD" w:rsidRPr="00840F7C" w:rsidRDefault="001002CD" w:rsidP="003E393C">
      <w:pPr>
        <w:rPr>
          <w:rFonts w:ascii="Calibri" w:hAnsi="Calibri" w:cs="Calibri"/>
          <w:b/>
          <w:bCs/>
          <w:sz w:val="22"/>
          <w:szCs w:val="22"/>
        </w:rPr>
      </w:pPr>
    </w:p>
    <w:p w14:paraId="2BEF2B35" w14:textId="32E98697" w:rsidR="003E393C" w:rsidRPr="002138C0" w:rsidRDefault="001002CD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  <w:r w:rsidRPr="00840F7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Za celý rok 2024 poskytly banky a stavební spořitelny nové hypoteční úvěry v objemu 228 miliard Kč. 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>To je více než 83</w:t>
      </w:r>
      <w:r w:rsidR="00AE4002">
        <w:rPr>
          <w:rFonts w:ascii="Calibri" w:hAnsi="Calibri" w:cs="Calibri"/>
          <w:color w:val="000000" w:themeColor="text1"/>
          <w:sz w:val="22"/>
          <w:szCs w:val="22"/>
        </w:rPr>
        <w:t>%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 skok vůči objemu z roku 2023. K tomu se navíc refinancovaly hypotéky v rozsahu 47 miliard Kč a celý hypoteční trh tak v roce 2024 narostl na 275 miliard Kč ze 150 miliard v roce 2023. Pokud upravíme objemy o nárůst cen nemovitostí o </w:t>
      </w:r>
      <w:r w:rsidR="00A30764">
        <w:rPr>
          <w:rFonts w:ascii="Calibri" w:hAnsi="Calibri" w:cs="Calibri"/>
          <w:color w:val="000000" w:themeColor="text1"/>
          <w:sz w:val="22"/>
          <w:szCs w:val="22"/>
        </w:rPr>
        <w:t>5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-8 % (dle různých statistik), objem nových hypoték vzrostl reálně o něco méně. To odpovídá i mírnějšímu nárůstu počtu nových hypoték v roce 2024 o 53 % meziročně na téměř 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>62 tisíc a téměř 20% nárůstu průměrné výše poskytnuté nové hypotéky na 3,7 milion</w:t>
      </w:r>
      <w:r w:rsidR="00AE4002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Kč</w:t>
      </w:r>
      <w:r w:rsidR="00693034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>Ve srovnání s předpandemickými roky 2017-2019 byl objem poskytnutých</w:t>
      </w:r>
      <w:r w:rsidR="00872E78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nových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hypoték v roce 202</w:t>
      </w:r>
      <w:r w:rsidR="003E4820" w:rsidRPr="00872E78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zhruba o </w:t>
      </w:r>
      <w:r w:rsidR="00FE400F" w:rsidRPr="00872E78">
        <w:rPr>
          <w:rFonts w:ascii="Calibri" w:hAnsi="Calibri" w:cs="Calibri"/>
          <w:color w:val="000000" w:themeColor="text1"/>
          <w:sz w:val="22"/>
          <w:szCs w:val="22"/>
        </w:rPr>
        <w:t>necelou pětinu vyšší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5FD17B82" w14:textId="77777777" w:rsidR="005F105B" w:rsidRDefault="005F105B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1506699D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70B01570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0514B5D2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590DDD4C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1AA631AE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27A57DD1" w14:textId="77777777" w:rsidR="001E4370" w:rsidRPr="002138C0" w:rsidRDefault="001E4370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11595CC2" w14:textId="6C2E2977" w:rsidR="003E393C" w:rsidRPr="002F4CBD" w:rsidRDefault="003E393C" w:rsidP="003E393C">
      <w:pPr>
        <w:rPr>
          <w:rFonts w:ascii="Calibri" w:hAnsi="Calibri" w:cs="Calibri"/>
          <w:sz w:val="22"/>
          <w:szCs w:val="22"/>
        </w:rPr>
      </w:pPr>
      <w:r w:rsidRPr="002F4CBD">
        <w:rPr>
          <w:rFonts w:ascii="Calibri" w:hAnsi="Calibri" w:cs="Calibri"/>
          <w:b/>
          <w:color w:val="13576B"/>
          <w:sz w:val="23"/>
          <w:szCs w:val="23"/>
        </w:rPr>
        <w:lastRenderedPageBreak/>
        <w:t xml:space="preserve">Graf č. </w:t>
      </w:r>
      <w:r w:rsidR="000A0217">
        <w:rPr>
          <w:rFonts w:ascii="Calibri" w:hAnsi="Calibri" w:cs="Calibri"/>
          <w:b/>
          <w:color w:val="13576B"/>
          <w:sz w:val="23"/>
          <w:szCs w:val="23"/>
        </w:rPr>
        <w:t>6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>: Celoroční objem</w:t>
      </w:r>
      <w:r w:rsidR="003D57E2">
        <w:rPr>
          <w:rFonts w:ascii="Calibri" w:hAnsi="Calibri" w:cs="Calibri"/>
          <w:b/>
          <w:color w:val="13576B"/>
          <w:sz w:val="23"/>
          <w:szCs w:val="23"/>
        </w:rPr>
        <w:t xml:space="preserve">, 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počet </w:t>
      </w:r>
      <w:r w:rsidR="003D57E2">
        <w:rPr>
          <w:rFonts w:ascii="Calibri" w:hAnsi="Calibri" w:cs="Calibri"/>
          <w:b/>
          <w:color w:val="13576B"/>
          <w:sz w:val="23"/>
          <w:szCs w:val="23"/>
        </w:rPr>
        <w:t xml:space="preserve">a průměrná výše 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>poskytnutých hypoték v letech 202</w:t>
      </w:r>
      <w:r w:rsidR="003D57E2">
        <w:rPr>
          <w:rFonts w:ascii="Calibri" w:hAnsi="Calibri" w:cs="Calibri"/>
          <w:b/>
          <w:color w:val="13576B"/>
          <w:sz w:val="23"/>
          <w:szCs w:val="23"/>
        </w:rPr>
        <w:t>0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 až 202</w:t>
      </w:r>
      <w:r w:rsidR="002138C0" w:rsidRPr="002F4CBD">
        <w:rPr>
          <w:rFonts w:ascii="Calibri" w:hAnsi="Calibri" w:cs="Calibri"/>
          <w:b/>
          <w:color w:val="13576B"/>
          <w:sz w:val="23"/>
          <w:szCs w:val="23"/>
        </w:rPr>
        <w:t>4</w:t>
      </w:r>
    </w:p>
    <w:p w14:paraId="6B4EF12D" w14:textId="28831766" w:rsidR="003E393C" w:rsidRPr="002F4CBD" w:rsidRDefault="003E393C" w:rsidP="003E393C">
      <w:pPr>
        <w:rPr>
          <w:rFonts w:ascii="Calibri" w:hAnsi="Calibri" w:cs="Calibri"/>
          <w:sz w:val="22"/>
          <w:szCs w:val="22"/>
        </w:rPr>
      </w:pPr>
    </w:p>
    <w:p w14:paraId="2F4D295D" w14:textId="6B9E4D05" w:rsidR="002F4CBD" w:rsidRPr="002F4CBD" w:rsidRDefault="003D57E2" w:rsidP="003E393C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32FD9A30" wp14:editId="5FC9F4F0">
            <wp:extent cx="6480810" cy="1790065"/>
            <wp:effectExtent l="0" t="0" r="0" b="635"/>
            <wp:docPr id="204938162" name="Picture 1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38162" name="Picture 1" descr="A graph of different colored bars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749FA" w14:textId="77777777" w:rsidR="003E393C" w:rsidRPr="00616069" w:rsidRDefault="003E393C" w:rsidP="003E393C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 ČBA Hypomonitor</w:t>
      </w:r>
    </w:p>
    <w:p w14:paraId="372DD4C3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7448079E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22ED378A" w14:textId="017879D6" w:rsidR="006C53A0" w:rsidRPr="00616069" w:rsidRDefault="006C53A0" w:rsidP="007F41A0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117B780" w14:textId="3B9498AC" w:rsidR="007F41A0" w:rsidRPr="00616069" w:rsidRDefault="007F41A0" w:rsidP="007F41A0">
      <w:pPr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ČBA zveřejňuje souhrnné statistiky za celý bankovní trh</w:t>
      </w:r>
    </w:p>
    <w:p w14:paraId="55E76E82" w14:textId="019F3D7D" w:rsidR="007F41A0" w:rsidRPr="00616069" w:rsidRDefault="007F41A0" w:rsidP="007F41A0">
      <w:pPr>
        <w:rPr>
          <w:rFonts w:ascii="Calibri" w:hAnsi="Calibri" w:cs="Calibri"/>
          <w:b/>
          <w:bCs/>
          <w:sz w:val="22"/>
          <w:szCs w:val="22"/>
        </w:rPr>
      </w:pPr>
      <w:r w:rsidRPr="00616069">
        <w:rPr>
          <w:rFonts w:ascii="Calibri" w:hAnsi="Calibri" w:cs="Calibri"/>
          <w:sz w:val="22"/>
          <w:szCs w:val="22"/>
        </w:rPr>
        <w:t xml:space="preserve">Česká bankovní asociace zveřejňuje ve spolupráci s členskými bankami nové souhrnné statistiky z trhu bydlení. Jde především o objemy a počty nově poskytnutých a refinancovaných hypoték a příslušnou úrokovou sazbu. Tyto statistiky publikuje ČBA v agregované podobě za celý bankovní sektor na pravidelné bázi vždy zhruba v polovině měsíce. Šetření se účastní všechny tuzemské banky a stavební spořitelny poskytující v ČR hypotéky. Data jsou dostupná od ledna roku 2020 v přiloženém souboru na stránkách </w:t>
      </w:r>
      <w:hyperlink r:id="rId25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www.cbaonline.cz</w:t>
        </w:r>
      </w:hyperlink>
      <w:r w:rsidR="004674AA" w:rsidRPr="0061606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616069">
        <w:rPr>
          <w:rFonts w:ascii="Calibri" w:hAnsi="Calibri" w:cs="Calibri"/>
          <w:sz w:val="22"/>
          <w:szCs w:val="22"/>
        </w:rPr>
        <w:t>kde lze také příslušné statistiky najít zvlášť pro banky a stavební spořitelny. Výše uvedené hodnoty jsou pro sektor jako celek</w:t>
      </w:r>
      <w:r w:rsidR="004674AA" w:rsidRPr="00616069">
        <w:rPr>
          <w:rFonts w:ascii="Calibri" w:hAnsi="Calibri" w:cs="Calibri"/>
          <w:sz w:val="22"/>
          <w:szCs w:val="22"/>
        </w:rPr>
        <w:t>, které lze v jednoduch</w:t>
      </w:r>
      <w:r w:rsidR="004C593C">
        <w:rPr>
          <w:rFonts w:ascii="Calibri" w:hAnsi="Calibri" w:cs="Calibri"/>
          <w:sz w:val="22"/>
          <w:szCs w:val="22"/>
        </w:rPr>
        <w:t>é</w:t>
      </w:r>
      <w:r w:rsidR="004674AA" w:rsidRPr="00616069">
        <w:rPr>
          <w:rFonts w:ascii="Calibri" w:hAnsi="Calibri" w:cs="Calibri"/>
          <w:sz w:val="22"/>
          <w:szCs w:val="22"/>
        </w:rPr>
        <w:t xml:space="preserve"> grafické podobě sledovat také na stránkách </w:t>
      </w:r>
      <w:hyperlink r:id="rId26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cbamonitor.cz</w:t>
        </w:r>
      </w:hyperlink>
      <w:r w:rsidRPr="00616069">
        <w:rPr>
          <w:rFonts w:ascii="Calibri" w:hAnsi="Calibri" w:cs="Calibri"/>
          <w:sz w:val="22"/>
          <w:szCs w:val="22"/>
        </w:rPr>
        <w:t>.</w:t>
      </w:r>
      <w:r w:rsidRPr="00616069">
        <w:rPr>
          <w:rFonts w:ascii="Calibri" w:hAnsi="Calibri" w:cs="Calibri"/>
          <w:i/>
          <w:iCs/>
          <w:sz w:val="20"/>
        </w:rPr>
        <w:t xml:space="preserve"> </w:t>
      </w:r>
    </w:p>
    <w:p w14:paraId="3F99F9FA" w14:textId="6DA0884C" w:rsidR="007F41A0" w:rsidRPr="00616069" w:rsidRDefault="007F41A0" w:rsidP="003417B4">
      <w:pPr>
        <w:rPr>
          <w:rFonts w:ascii="Calibri" w:hAnsi="Calibri" w:cs="Calibri"/>
          <w:sz w:val="22"/>
          <w:szCs w:val="22"/>
        </w:rPr>
      </w:pPr>
    </w:p>
    <w:p w14:paraId="4299C957" w14:textId="36BC1F78" w:rsidR="00B50D1B" w:rsidRPr="00616069" w:rsidRDefault="00B50D1B" w:rsidP="003417B4">
      <w:pPr>
        <w:rPr>
          <w:rFonts w:ascii="Calibri" w:hAnsi="Calibri" w:cs="Calibri"/>
          <w:sz w:val="22"/>
          <w:szCs w:val="22"/>
        </w:rPr>
      </w:pPr>
    </w:p>
    <w:p w14:paraId="6A100EFD" w14:textId="3381F438" w:rsidR="00100269" w:rsidRPr="00616069" w:rsidRDefault="00100269" w:rsidP="003417B4">
      <w:pPr>
        <w:rPr>
          <w:rFonts w:ascii="Calibri" w:hAnsi="Calibri" w:cs="Calibri"/>
          <w:sz w:val="22"/>
          <w:szCs w:val="22"/>
        </w:rPr>
      </w:pPr>
    </w:p>
    <w:p w14:paraId="5F378DF9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012907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4E9F93F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5EDC910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4AE260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146C6D89" w14:textId="77777777" w:rsidR="0028530F" w:rsidRPr="00B04FE2" w:rsidRDefault="004975FD" w:rsidP="00CA3B41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i/>
          <w:iCs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5DA650" wp14:editId="15515F89">
                <wp:simplePos x="0" y="0"/>
                <wp:positionH relativeFrom="margin">
                  <wp:align>center</wp:align>
                </wp:positionH>
                <wp:positionV relativeFrom="paragraph">
                  <wp:posOffset>282527</wp:posOffset>
                </wp:positionV>
                <wp:extent cx="6574790" cy="467550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4675505"/>
                        </a:xfrm>
                        <a:prstGeom prst="rect">
                          <a:avLst/>
                        </a:prstGeom>
                        <a:solidFill>
                          <a:srgbClr val="13576B">
                            <a:alpha val="83922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681E4" w14:textId="20B4FCBA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Metodika ČBA Hypomonitoru</w:t>
                            </w:r>
                          </w:p>
                          <w:p w14:paraId="7401467C" w14:textId="77777777" w:rsidR="00414AD4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</w:p>
                          <w:p w14:paraId="1021EABD" w14:textId="16015784" w:rsidR="0001227F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ČBA Hypomonitor </w:t>
                            </w:r>
                            <w:r w:rsidR="00FB47D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rozděluje poskytnuté hypoteční úvěry 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bank a stavebních spořitelen</w:t>
                            </w:r>
                            <w:r w:rsidR="00B426A2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domácnostem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do několika kategorií tak, aby byly rozlišeny nové úvěry od refinancovaných či interních refixací</w:t>
                            </w:r>
                            <w:r w:rsidR="000B70C8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Nové úvěry jsou 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pak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vykazovány v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kategoriích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dle účelu úvěru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:</w:t>
                            </w:r>
                          </w:p>
                          <w:p w14:paraId="58E707E8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3227247A" w14:textId="11714118" w:rsidR="0001227F" w:rsidRPr="00616069" w:rsidRDefault="00E818C3" w:rsidP="00E818C3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1.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Nové úvěry</w:t>
                            </w:r>
                          </w:p>
                          <w:p w14:paraId="22AF3257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Jsou úvěry, jejichž celý objem poprvé vstupuje do ekonomiky. Do této kategorie nepatří konsolidace úvěrů anebo refinancování úvěrů. Dělí se do tří kategorií:</w:t>
                            </w:r>
                          </w:p>
                          <w:p w14:paraId="362AFB2A" w14:textId="77777777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Nákup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9F23FA5" w14:textId="6EE96893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Výstavba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včetně rekonstrukce nemovitosti </w:t>
                            </w:r>
                          </w:p>
                          <w:p w14:paraId="4D80580F" w14:textId="11E0715F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Ostatní nová ujednání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podílu, atp.</w:t>
                            </w:r>
                          </w:p>
                          <w:p w14:paraId="4FBF1D5A" w14:textId="77777777" w:rsidR="0001227F" w:rsidRPr="00616069" w:rsidRDefault="0001227F" w:rsidP="0001227F">
                            <w:pPr>
                              <w:spacing w:line="276" w:lineRule="auto"/>
                              <w:ind w:left="708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71D5E0BB" w14:textId="7D112C27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2.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Refinancované úvěry z jiné finanční instituce</w:t>
                            </w:r>
                          </w:p>
                          <w:p w14:paraId="351B5A60" w14:textId="0B5DCBB6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vznikly refinancováním jednoho nebo více úvěrů z jiné finanční instituce než </w:t>
                            </w:r>
                            <w:r w:rsidR="00973197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té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vykazující. Bez ohledu na výši refinancované částky a bez ohledu na výši případného navýšení se celková výše nově vzniklého úvěru vykazuje do této kategorie. </w:t>
                            </w:r>
                          </w:p>
                          <w:p w14:paraId="7566D2D6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04B36444" w14:textId="4F20B25F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3.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Navýšené anebo interně refinancované úvěry</w:t>
                            </w:r>
                          </w:p>
                          <w:p w14:paraId="711A3661" w14:textId="2A271010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již byly </w:t>
                            </w:r>
                            <w:r w:rsidR="00647A7A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v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předchozí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vykazované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období součástí portfolia vykazujícího subjektu, a ve vykazovaném období u nich došlo k některé z následujících změn:</w:t>
                            </w:r>
                          </w:p>
                          <w:p w14:paraId="4A6B00C0" w14:textId="77777777" w:rsidR="00E818C3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navýšení sjednané částky </w:t>
                            </w:r>
                          </w:p>
                          <w:p w14:paraId="44682079" w14:textId="72C23671" w:rsidR="0001227F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došlo k takovým změnám, že původní úvěr byl v rámci vykazujícího subjektu refinancován/převeden na nový úvěr.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de</w:t>
                            </w:r>
                            <w:r w:rsidR="00CD28EC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tak o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skutečně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novou smlouvu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nikoli např. jen </w:t>
                            </w:r>
                            <w:r w:rsidR="007B79F6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nové ujednání v rámci refi</w:t>
                            </w:r>
                            <w:r w:rsidR="000F02C1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xace 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stávající smlouvy. Proto je objem takových úvěru ve statistice ČBA nižší oproti „ostatním novým ujednáním“ ve statistice České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árodní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b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anky.</w:t>
                            </w:r>
                          </w:p>
                          <w:p w14:paraId="1FAF8B9B" w14:textId="4C474A58" w:rsidR="006F08E1" w:rsidRPr="00616069" w:rsidRDefault="006F08E1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65FC0189" w14:textId="1B58C64B" w:rsidR="006F08E1" w:rsidRPr="00616069" w:rsidRDefault="001F49EA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Data pro ČBA Hypomonitor poskytují následující banky a stavební spořitelny: Air Bank, Česká spořitelna, ČSOB, ČSOB Stavební spořitelna, Fio banka, Hypoteční banka, Komerční banka, mBank, Modrá pyramida, MONETA Money Bank, MONETA Stavební spořitelna, Oberbank, </w:t>
                            </w:r>
                            <w:r w:rsidR="003E1AAB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Partners Banka,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Raiffeisen stavební spořitelna, Raiffeisenbank, Stavební spořitelna České spořitelny, UniCredit Bank.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DA65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22.25pt;width:517.7pt;height:368.1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" fillcolor="#13576b" stroked="f">
                <v:fill opacity="54998f"/>
                <v:textbox>
                  <w:txbxContent>
                    <w:p w14:paraId="523681E4" w14:textId="20B4FCBA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Metodika ČBA Hypomonitoru</w:t>
                      </w:r>
                    </w:p>
                    <w:p w14:paraId="7401467C" w14:textId="77777777" w:rsidR="00414AD4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</w:p>
                    <w:p w14:paraId="1021EABD" w14:textId="16015784" w:rsidR="0001227F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Hypomonitor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="00FB47D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rozděluje poskytnuté hypoteční úvěry 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bank a stavebních spořitelen</w:t>
                      </w:r>
                      <w:r w:rsidR="00B426A2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domácnostem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do několika kategorií tak, aby byly rozlišeny nové úvěry od refinancovaných či interních refixací</w:t>
                      </w:r>
                      <w:r w:rsidR="000B70C8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Nové úvěry jsou 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pak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vykazovány v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kategoriích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dle účelu úvěru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:</w:t>
                      </w:r>
                    </w:p>
                    <w:p w14:paraId="58E707E8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3227247A" w14:textId="11714118" w:rsidR="0001227F" w:rsidRPr="00616069" w:rsidRDefault="00E818C3" w:rsidP="00E818C3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1.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Nové úvěry</w:t>
                      </w:r>
                    </w:p>
                    <w:p w14:paraId="22AF3257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Jsou úvěry, jejichž celý objem poprvé vstupuje do ekonomiky. Do této kategorie nepatří konsolidace úvěrů anebo refinancování úvěrů. Dělí se do tří kategorií:</w:t>
                      </w:r>
                    </w:p>
                    <w:p w14:paraId="362AFB2A" w14:textId="77777777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Nákup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</w:t>
                      </w:r>
                    </w:p>
                    <w:p w14:paraId="29F23FA5" w14:textId="6EE96893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Výstavba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včetně rekonstrukce nemovitosti </w:t>
                      </w:r>
                    </w:p>
                    <w:p w14:paraId="4D80580F" w14:textId="11E0715F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Ostatní nová ujednání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podílu, atp.</w:t>
                      </w:r>
                    </w:p>
                    <w:p w14:paraId="4FBF1D5A" w14:textId="77777777" w:rsidR="0001227F" w:rsidRPr="00616069" w:rsidRDefault="0001227F" w:rsidP="0001227F">
                      <w:pPr>
                        <w:spacing w:line="276" w:lineRule="auto"/>
                        <w:ind w:left="708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71D5E0BB" w14:textId="7D112C27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2.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Refinancované úvěry z jiné finanční instituce</w:t>
                      </w:r>
                    </w:p>
                    <w:p w14:paraId="351B5A60" w14:textId="0B5DCBB6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vznikly refinancováním jednoho nebo více úvěrů z jiné finanční instituce než </w:t>
                      </w:r>
                      <w:r w:rsidR="00973197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té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vykazující. Bez ohledu na výši refinancované částky a bez ohledu na výši případného navýšení se celková výše nově vzniklého úvěru vykazuje do této kategorie. </w:t>
                      </w:r>
                    </w:p>
                    <w:p w14:paraId="7566D2D6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04B36444" w14:textId="4F20B25F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3.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Navýšené anebo interně refinancované úvěry</w:t>
                      </w:r>
                    </w:p>
                    <w:p w14:paraId="711A3661" w14:textId="2A271010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již byly </w:t>
                      </w:r>
                      <w:r w:rsidR="00647A7A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v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předchozí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vykazované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období součástí portfolia vykazujícího subjektu, a ve vykazovaném období u nich došlo k některé z následujících změn:</w:t>
                      </w:r>
                    </w:p>
                    <w:p w14:paraId="4A6B00C0" w14:textId="77777777" w:rsidR="00E818C3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navýšení sjednané částky </w:t>
                      </w:r>
                    </w:p>
                    <w:p w14:paraId="44682079" w14:textId="72C23671" w:rsidR="0001227F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došlo k takovým změnám, že původní úvěr byl v rámci vykazujícího subjektu refinancován/převeden na nový úvěr.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de</w:t>
                      </w:r>
                      <w:r w:rsidR="00CD28EC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tak o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skutečně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novou smlouvu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nikoli např. jen </w:t>
                      </w:r>
                      <w:r w:rsidR="007B79F6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nové ujednání v rámci refi</w:t>
                      </w:r>
                      <w:r w:rsidR="000F02C1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xace 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stávající smlouvy. Proto je objem takových úvěru ve statistice ČBA nižší oproti „ostatním novým ujednáním“ ve statistice České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árodní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b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anky.</w:t>
                      </w:r>
                    </w:p>
                    <w:p w14:paraId="1FAF8B9B" w14:textId="4C474A58" w:rsidR="006F08E1" w:rsidRPr="00616069" w:rsidRDefault="006F08E1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65FC0189" w14:textId="1B58C64B" w:rsidR="006F08E1" w:rsidRPr="00616069" w:rsidRDefault="001F49EA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Data pro ČBA Hypomonitor poskytují následující banky a stavební spořitelny: Air Bank, Česká spořitelna, ČSOB, ČSOB Stavební spořitelna, Fio banka, Hypoteční banka, Komerční banka, mBank, Modrá pyramida, MONETA Money Bank, MONETA Stavební spořitelna, Oberbank, </w:t>
                      </w:r>
                      <w:r w:rsidR="003E1AAB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Partners Banka,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Raiffeisen stavební spořitelna, Raiffeisenbank, Stavební spořitelna České spořitelny, UniCredit Bank.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Mkatabulky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7"/>
        <w:gridCol w:w="3384"/>
      </w:tblGrid>
      <w:tr w:rsidR="0028530F" w:rsidRPr="00D80B55" w14:paraId="4825E599" w14:textId="77777777" w:rsidTr="001B1140">
        <w:trPr>
          <w:trHeight w:val="1364"/>
        </w:trPr>
        <w:tc>
          <w:tcPr>
            <w:tcW w:w="6817" w:type="dxa"/>
            <w:shd w:val="clear" w:color="auto" w:fill="13576B"/>
          </w:tcPr>
          <w:p w14:paraId="1EB2DC0A" w14:textId="77777777" w:rsidR="0028530F" w:rsidRPr="00D80B55" w:rsidRDefault="0028530F" w:rsidP="001B1140">
            <w:pPr>
              <w:pStyle w:val="CBANadpisvTABULCE"/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color w:val="FFFFFF" w:themeColor="background1"/>
                <w:szCs w:val="18"/>
              </w:rPr>
              <w:t>O České bankovní asociaci</w:t>
            </w:r>
          </w:p>
          <w:p w14:paraId="4EB0391C" w14:textId="376AE2CD" w:rsidR="0028530F" w:rsidRPr="00D80B55" w:rsidRDefault="0028530F" w:rsidP="001B1140">
            <w:pPr>
              <w:rPr>
                <w:rFonts w:cs="Arial"/>
                <w:color w:val="FFFFFF" w:themeColor="background1"/>
                <w:sz w:val="22"/>
              </w:rPr>
            </w:pPr>
            <w:r w:rsidRPr="00D80B55">
              <w:rPr>
                <w:rFonts w:cs="Arial"/>
                <w:color w:val="FFFFFF" w:themeColor="background1"/>
              </w:rPr>
              <w:t>Česká bankovní asociace (ČBA) je dobrovolné sdružení 3</w:t>
            </w:r>
            <w:r>
              <w:rPr>
                <w:rFonts w:cs="Arial"/>
                <w:color w:val="FFFFFF" w:themeColor="background1"/>
              </w:rPr>
              <w:t>3</w:t>
            </w:r>
            <w:r w:rsidRPr="00D80B55">
              <w:rPr>
                <w:rFonts w:cs="Arial"/>
                <w:color w:val="FFFFFF" w:themeColor="background1"/>
              </w:rPr>
              <w:t xml:space="preserve"> bank, které v ČR působí a reprezentuje tak 99 % trhu. </w:t>
            </w:r>
            <w:r>
              <w:rPr>
                <w:rFonts w:cs="Arial"/>
                <w:color w:val="FFFFFF" w:themeColor="background1"/>
              </w:rPr>
              <w:t>Více než</w:t>
            </w:r>
            <w:r w:rsidRPr="00D80B55">
              <w:rPr>
                <w:rFonts w:cs="Arial"/>
                <w:color w:val="FFFFFF" w:themeColor="background1"/>
              </w:rPr>
              <w:t xml:space="preserve"> 30 let podporuje nejen rozvoj bankovního sektoru, ale i celé ekonomiky a všeobecné finanční gramotnosti. ČBA je členem Evropské bankovní federace (EBF).</w:t>
            </w:r>
          </w:p>
          <w:p w14:paraId="598BB9F7" w14:textId="77777777" w:rsidR="0028530F" w:rsidRPr="00D80B55" w:rsidRDefault="0028530F" w:rsidP="001B1140">
            <w:pPr>
              <w:pStyle w:val="CBAodstavecvTABULCE"/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color w:val="FFFFFF" w:themeColor="background1"/>
                <w:szCs w:val="18"/>
              </w:rPr>
              <w:t xml:space="preserve">Více informací na </w:t>
            </w:r>
            <w:r w:rsidRPr="00D80B55">
              <w:rPr>
                <w:rFonts w:cs="Arial"/>
                <w:color w:val="FFFFFF" w:themeColor="background1"/>
                <w:szCs w:val="18"/>
                <w:u w:val="single"/>
              </w:rPr>
              <w:t>www.cbaonline.cz.</w:t>
            </w:r>
            <w:r w:rsidRPr="00D80B55">
              <w:rPr>
                <w:rFonts w:cs="Arial"/>
                <w:color w:val="A9936D"/>
                <w:szCs w:val="18"/>
              </w:rPr>
              <w:t xml:space="preserve"> </w:t>
            </w:r>
          </w:p>
        </w:tc>
        <w:tc>
          <w:tcPr>
            <w:tcW w:w="3384" w:type="dxa"/>
            <w:shd w:val="clear" w:color="auto" w:fill="A9936D"/>
            <w:vAlign w:val="center"/>
          </w:tcPr>
          <w:p w14:paraId="606A2DEB" w14:textId="77777777" w:rsidR="0028530F" w:rsidRPr="00D80B55" w:rsidRDefault="0028530F" w:rsidP="001B1140">
            <w:pPr>
              <w:pStyle w:val="CBAodstavecvTABULCE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D80B55">
              <w:rPr>
                <w:rFonts w:cs="Arial"/>
                <w:b/>
                <w:bCs/>
                <w:color w:val="FFFFFF" w:themeColor="background1"/>
                <w:szCs w:val="18"/>
              </w:rPr>
              <w:t xml:space="preserve">                Dotazy posílejte na</w:t>
            </w:r>
          </w:p>
          <w:p w14:paraId="64706D81" w14:textId="77777777" w:rsidR="0028530F" w:rsidRPr="00D80B55" w:rsidRDefault="0028530F" w:rsidP="001B1140">
            <w:pPr>
              <w:pStyle w:val="CBAodstavecvTABULCE"/>
              <w:jc w:val="center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b/>
                <w:bCs/>
                <w:color w:val="FFFFFF" w:themeColor="background1"/>
                <w:szCs w:val="18"/>
              </w:rPr>
              <w:t>radek.salsa@cbaonline.cz</w:t>
            </w:r>
          </w:p>
        </w:tc>
      </w:tr>
    </w:tbl>
    <w:p w14:paraId="79952D08" w14:textId="7B44AB4C" w:rsidR="00C42F00" w:rsidRPr="00B04FE2" w:rsidRDefault="00C42F00" w:rsidP="00CA3B41">
      <w:pPr>
        <w:rPr>
          <w:rFonts w:ascii="Calibri" w:hAnsi="Calibri" w:cs="Calibri"/>
          <w:sz w:val="22"/>
          <w:szCs w:val="22"/>
        </w:rPr>
      </w:pPr>
    </w:p>
    <w:sectPr w:rsidR="00C42F00" w:rsidRPr="00B04FE2" w:rsidSect="00A06A94">
      <w:headerReference w:type="default" r:id="rId27"/>
      <w:footerReference w:type="default" r:id="rId28"/>
      <w:pgSz w:w="11906" w:h="16838"/>
      <w:pgMar w:top="2552" w:right="849" w:bottom="1560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872A" w14:textId="77777777" w:rsidR="00F343FC" w:rsidRPr="00616069" w:rsidRDefault="00F343FC" w:rsidP="00F573F1">
      <w:r w:rsidRPr="00616069">
        <w:separator/>
      </w:r>
    </w:p>
  </w:endnote>
  <w:endnote w:type="continuationSeparator" w:id="0">
    <w:p w14:paraId="3B6B73B5" w14:textId="77777777" w:rsidR="00F343FC" w:rsidRPr="00616069" w:rsidRDefault="00F343FC" w:rsidP="00F573F1">
      <w:r w:rsidRPr="006160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6907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2EB97C" w14:textId="697C5AC2" w:rsidR="001E31AB" w:rsidRPr="00616069" w:rsidRDefault="001E31AB">
            <w:pPr>
              <w:pStyle w:val="Zpat"/>
              <w:jc w:val="right"/>
            </w:pPr>
            <w:r w:rsidRPr="00616069">
              <w:rPr>
                <w:rFonts w:ascii="Calibri" w:hAnsi="Calibri"/>
                <w:noProof/>
                <w:szCs w:val="18"/>
                <w:lang w:eastAsia="en-GB"/>
              </w:rPr>
              <w:drawing>
                <wp:anchor distT="0" distB="0" distL="114300" distR="114300" simplePos="0" relativeHeight="251655680" behindDoc="0" locked="0" layoutInCell="1" allowOverlap="1" wp14:anchorId="7B2A8544" wp14:editId="09B386F6">
                  <wp:simplePos x="0" y="0"/>
                  <wp:positionH relativeFrom="column">
                    <wp:posOffset>-540385</wp:posOffset>
                  </wp:positionH>
                  <wp:positionV relativeFrom="paragraph">
                    <wp:posOffset>-365760</wp:posOffset>
                  </wp:positionV>
                  <wp:extent cx="3042285" cy="701040"/>
                  <wp:effectExtent l="0" t="0" r="5715" b="0"/>
                  <wp:wrapNone/>
                  <wp:docPr id="1566919382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09" t="94992" r="61095" b="-1544"/>
                          <a:stretch/>
                        </pic:blipFill>
                        <pic:spPr bwMode="auto">
                          <a:xfrm>
                            <a:off x="0" y="0"/>
                            <a:ext cx="3042285" cy="70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6069">
              <w:rPr>
                <w:rFonts w:ascii="Calibri" w:hAnsi="Calibri"/>
                <w:szCs w:val="18"/>
              </w:rPr>
              <w:t xml:space="preserve">Stránka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PAGE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1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  <w:r w:rsidRPr="00616069">
              <w:rPr>
                <w:rFonts w:ascii="Calibri" w:hAnsi="Calibri"/>
                <w:szCs w:val="18"/>
              </w:rPr>
              <w:t xml:space="preserve"> z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NUMPAGES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2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300EB588" w14:textId="24FF51AB" w:rsidR="0065124E" w:rsidRPr="00616069" w:rsidRDefault="0065124E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2BCD" w14:textId="77777777" w:rsidR="00F343FC" w:rsidRPr="00616069" w:rsidRDefault="00F343FC" w:rsidP="00F573F1">
      <w:r w:rsidRPr="00616069">
        <w:separator/>
      </w:r>
    </w:p>
  </w:footnote>
  <w:footnote w:type="continuationSeparator" w:id="0">
    <w:p w14:paraId="2C587398" w14:textId="77777777" w:rsidR="00F343FC" w:rsidRPr="00616069" w:rsidRDefault="00F343FC" w:rsidP="00F573F1">
      <w:r w:rsidRPr="00616069">
        <w:continuationSeparator/>
      </w:r>
    </w:p>
  </w:footnote>
  <w:footnote w:id="1">
    <w:p w14:paraId="05CFF3F2" w14:textId="77777777" w:rsidR="00541D7D" w:rsidRPr="00616069" w:rsidRDefault="00541D7D" w:rsidP="00541D7D">
      <w:pPr>
        <w:pStyle w:val="Textpoznpodarou"/>
        <w:rPr>
          <w:rFonts w:ascii="Calibri" w:hAnsi="Calibri" w:cs="Calibri"/>
          <w:sz w:val="17"/>
          <w:szCs w:val="17"/>
        </w:rPr>
      </w:pPr>
      <w:r w:rsidRPr="00616069">
        <w:rPr>
          <w:rStyle w:val="Znakapoznpodarou"/>
          <w:rFonts w:ascii="Calibri" w:hAnsi="Calibri" w:cs="Calibri"/>
          <w:sz w:val="17"/>
          <w:szCs w:val="17"/>
        </w:rPr>
        <w:footnoteRef/>
      </w:r>
      <w:r w:rsidRPr="00616069">
        <w:rPr>
          <w:rFonts w:ascii="Calibri" w:hAnsi="Calibri" w:cs="Calibri"/>
          <w:sz w:val="17"/>
          <w:szCs w:val="17"/>
        </w:rPr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 xml:space="preserve">Jedná se především o dlouholeté úrokové swapy (interest rate swap, IRS), které odráží cenu peněz v delších splatnostech, například </w:t>
      </w:r>
      <w:r>
        <w:rPr>
          <w:rFonts w:asciiTheme="majorHAnsi" w:hAnsiTheme="majorHAnsi" w:cstheme="majorHAnsi"/>
          <w:sz w:val="17"/>
          <w:szCs w:val="17"/>
        </w:rPr>
        <w:t>2</w:t>
      </w:r>
      <w:r w:rsidRPr="00616069">
        <w:rPr>
          <w:rFonts w:asciiTheme="majorHAnsi" w:hAnsiTheme="majorHAnsi" w:cstheme="majorHAnsi"/>
          <w:sz w:val="17"/>
          <w:szCs w:val="17"/>
        </w:rPr>
        <w:t xml:space="preserve"> až 10 let.</w:t>
      </w:r>
    </w:p>
  </w:footnote>
  <w:footnote w:id="2">
    <w:p w14:paraId="3F408451" w14:textId="77777777" w:rsidR="00952AEF" w:rsidRPr="00952AEF" w:rsidRDefault="00952AEF" w:rsidP="00952AEF">
      <w:pPr>
        <w:pStyle w:val="Textpoznpodarou"/>
        <w:rPr>
          <w:rFonts w:asciiTheme="majorHAnsi" w:hAnsiTheme="majorHAnsi" w:cstheme="majorHAnsi"/>
          <w:sz w:val="17"/>
          <w:szCs w:val="17"/>
        </w:rPr>
      </w:pPr>
      <w:r w:rsidRPr="00616069">
        <w:rPr>
          <w:rStyle w:val="Znakapoznpodarou"/>
        </w:rPr>
        <w:footnoteRef/>
      </w:r>
      <w:r w:rsidRPr="00616069"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>Tabulka je k dispozici v souboru xls přiloženém na webových stránkách ČBA Hypomonitoru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4485" w14:textId="25969B31" w:rsidR="0065124E" w:rsidRPr="00616069" w:rsidRDefault="00A86552">
    <w:pPr>
      <w:pStyle w:val="Zhlav"/>
    </w:pPr>
    <w:r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DCC7344" wp14:editId="2F0B41DB">
              <wp:simplePos x="0" y="0"/>
              <wp:positionH relativeFrom="margin">
                <wp:posOffset>2228694</wp:posOffset>
              </wp:positionH>
              <wp:positionV relativeFrom="paragraph">
                <wp:posOffset>214019</wp:posOffset>
              </wp:positionV>
              <wp:extent cx="2941608" cy="140462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60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86907" w14:textId="15584C5C" w:rsidR="00A86552" w:rsidRPr="00616069" w:rsidRDefault="00A86552" w:rsidP="00A86552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C734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75.5pt;margin-top:16.85pt;width:231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Be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" filled="f" stroked="f">
              <v:textbox style="mso-fit-shape-to-text:t">
                <w:txbxContent>
                  <w:p w14:paraId="24986907" w14:textId="15584C5C" w:rsidR="00A86552" w:rsidRPr="00616069" w:rsidRDefault="00A86552" w:rsidP="00A86552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44C66" w:rsidRPr="0061606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97D896D" wp14:editId="7A6FB449">
          <wp:simplePos x="0" y="0"/>
          <wp:positionH relativeFrom="column">
            <wp:posOffset>-52705</wp:posOffset>
          </wp:positionH>
          <wp:positionV relativeFrom="paragraph">
            <wp:posOffset>29845</wp:posOffset>
          </wp:positionV>
          <wp:extent cx="2209800" cy="778510"/>
          <wp:effectExtent l="0" t="0" r="0" b="2540"/>
          <wp:wrapNone/>
          <wp:docPr id="127232028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720" w:rsidRPr="00616069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A1D7AA9" wp14:editId="7A7B0A01">
          <wp:simplePos x="0" y="0"/>
          <wp:positionH relativeFrom="column">
            <wp:posOffset>3985895</wp:posOffset>
          </wp:positionH>
          <wp:positionV relativeFrom="paragraph">
            <wp:posOffset>-8255</wp:posOffset>
          </wp:positionV>
          <wp:extent cx="2943225" cy="243840"/>
          <wp:effectExtent l="0" t="0" r="9525" b="3810"/>
          <wp:wrapNone/>
          <wp:docPr id="682889289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92" r="61096" b="2729"/>
                  <a:stretch/>
                </pic:blipFill>
                <pic:spPr bwMode="auto">
                  <a:xfrm>
                    <a:off x="0" y="0"/>
                    <a:ext cx="2943225" cy="243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720"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26DE097" wp14:editId="755E40ED">
              <wp:simplePos x="0" y="0"/>
              <wp:positionH relativeFrom="margin">
                <wp:posOffset>5238115</wp:posOffset>
              </wp:positionH>
              <wp:positionV relativeFrom="paragraph">
                <wp:posOffset>153035</wp:posOffset>
              </wp:positionV>
              <wp:extent cx="1239520" cy="140462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E40D2" w14:textId="77777777" w:rsidR="002D4720" w:rsidRPr="00616069" w:rsidRDefault="002D4720" w:rsidP="002D472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  <w:t>KOMENTÁŘ</w:t>
                          </w:r>
                        </w:p>
                        <w:p w14:paraId="0A69756F" w14:textId="6E1C0A9C" w:rsidR="002D4720" w:rsidRPr="00616069" w:rsidRDefault="007F41A0" w:rsidP="002138C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 xml:space="preserve">            </w:t>
                          </w:r>
                          <w:r w:rsidR="002138C0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</w:t>
                          </w:r>
                          <w:r w:rsidR="002F43DE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5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</w:t>
                          </w:r>
                          <w:r w:rsidR="009C040E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10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.202</w:t>
                          </w:r>
                          <w:r w:rsidR="002138C0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6DE097" id="_x0000_s1028" type="#_x0000_t202" style="position:absolute;left:0;text-align:left;margin-left:412.45pt;margin-top:12.05pt;width:97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" filled="f" stroked="f">
              <v:textbox style="mso-fit-shape-to-text:t">
                <w:txbxContent>
                  <w:p w14:paraId="15DE40D2" w14:textId="77777777" w:rsidR="002D4720" w:rsidRPr="00616069" w:rsidRDefault="002D4720" w:rsidP="002D472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  <w:t>KOMENTÁŘ</w:t>
                    </w:r>
                  </w:p>
                  <w:p w14:paraId="0A69756F" w14:textId="6E1C0A9C" w:rsidR="002D4720" w:rsidRPr="00616069" w:rsidRDefault="007F41A0" w:rsidP="002138C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 xml:space="preserve">            </w:t>
                    </w:r>
                    <w:r w:rsidR="002138C0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</w:t>
                    </w:r>
                    <w:r w:rsidR="002F43DE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5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</w:t>
                    </w:r>
                    <w:r w:rsidR="009C040E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10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.202</w:t>
                    </w:r>
                    <w:r w:rsidR="002138C0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9A1"/>
    <w:multiLevelType w:val="hybridMultilevel"/>
    <w:tmpl w:val="28EA1BD4"/>
    <w:lvl w:ilvl="0" w:tplc="F8600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4B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04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2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A2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5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E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09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3A48A1"/>
    <w:multiLevelType w:val="hybridMultilevel"/>
    <w:tmpl w:val="6E121294"/>
    <w:lvl w:ilvl="0" w:tplc="BEC070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3AD"/>
    <w:multiLevelType w:val="hybridMultilevel"/>
    <w:tmpl w:val="EB828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5A72"/>
    <w:multiLevelType w:val="hybridMultilevel"/>
    <w:tmpl w:val="4222A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1D76"/>
    <w:multiLevelType w:val="hybridMultilevel"/>
    <w:tmpl w:val="6D527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2C3C"/>
    <w:multiLevelType w:val="hybridMultilevel"/>
    <w:tmpl w:val="163C6E8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206309C"/>
    <w:multiLevelType w:val="hybridMultilevel"/>
    <w:tmpl w:val="855E01C6"/>
    <w:lvl w:ilvl="0" w:tplc="9F3AF1E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92919"/>
    <w:multiLevelType w:val="hybridMultilevel"/>
    <w:tmpl w:val="2B56FAFE"/>
    <w:lvl w:ilvl="0" w:tplc="698817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A4083"/>
    <w:multiLevelType w:val="hybridMultilevel"/>
    <w:tmpl w:val="3C584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42FC1"/>
    <w:multiLevelType w:val="hybridMultilevel"/>
    <w:tmpl w:val="C296AEE6"/>
    <w:lvl w:ilvl="0" w:tplc="B2560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A4577"/>
    <w:multiLevelType w:val="hybridMultilevel"/>
    <w:tmpl w:val="553EAC9E"/>
    <w:lvl w:ilvl="0" w:tplc="8B20C2B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343A30"/>
    <w:multiLevelType w:val="hybridMultilevel"/>
    <w:tmpl w:val="26BEA028"/>
    <w:lvl w:ilvl="0" w:tplc="886E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0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2B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E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2A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2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E2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45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85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BB14DD"/>
    <w:multiLevelType w:val="hybridMultilevel"/>
    <w:tmpl w:val="17628C18"/>
    <w:lvl w:ilvl="0" w:tplc="E50CA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C6437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B6EF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9EEF1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2ECDB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A6A64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85E48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5F0E1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8AD3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2C5A2A51"/>
    <w:multiLevelType w:val="hybridMultilevel"/>
    <w:tmpl w:val="633C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47CE5"/>
    <w:multiLevelType w:val="hybridMultilevel"/>
    <w:tmpl w:val="F91C69CC"/>
    <w:lvl w:ilvl="0" w:tplc="AA889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B2B28"/>
    <w:multiLevelType w:val="hybridMultilevel"/>
    <w:tmpl w:val="A77CB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70A7D"/>
    <w:multiLevelType w:val="hybridMultilevel"/>
    <w:tmpl w:val="E76A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A024A"/>
    <w:multiLevelType w:val="hybridMultilevel"/>
    <w:tmpl w:val="123AA014"/>
    <w:lvl w:ilvl="0" w:tplc="A1E66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A3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20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47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0A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88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86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45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EB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D8A7633"/>
    <w:multiLevelType w:val="hybridMultilevel"/>
    <w:tmpl w:val="A68019BE"/>
    <w:lvl w:ilvl="0" w:tplc="D6BA4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9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E8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6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23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66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ED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48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0A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09105EB"/>
    <w:multiLevelType w:val="hybridMultilevel"/>
    <w:tmpl w:val="25882682"/>
    <w:lvl w:ilvl="0" w:tplc="E586E02A">
      <w:start w:val="1"/>
      <w:numFmt w:val="decimal"/>
      <w:lvlText w:val="%1."/>
      <w:lvlJc w:val="left"/>
      <w:pPr>
        <w:ind w:left="410" w:hanging="360"/>
      </w:pPr>
    </w:lvl>
    <w:lvl w:ilvl="1" w:tplc="08090019">
      <w:start w:val="1"/>
      <w:numFmt w:val="lowerLetter"/>
      <w:lvlText w:val="%2."/>
      <w:lvlJc w:val="left"/>
      <w:pPr>
        <w:ind w:left="1130" w:hanging="360"/>
      </w:pPr>
    </w:lvl>
    <w:lvl w:ilvl="2" w:tplc="0809001B">
      <w:start w:val="1"/>
      <w:numFmt w:val="lowerRoman"/>
      <w:lvlText w:val="%3."/>
      <w:lvlJc w:val="right"/>
      <w:pPr>
        <w:ind w:left="1850" w:hanging="180"/>
      </w:pPr>
    </w:lvl>
    <w:lvl w:ilvl="3" w:tplc="0809000F">
      <w:start w:val="1"/>
      <w:numFmt w:val="decimal"/>
      <w:lvlText w:val="%4."/>
      <w:lvlJc w:val="left"/>
      <w:pPr>
        <w:ind w:left="2570" w:hanging="360"/>
      </w:pPr>
    </w:lvl>
    <w:lvl w:ilvl="4" w:tplc="08090019">
      <w:start w:val="1"/>
      <w:numFmt w:val="lowerLetter"/>
      <w:lvlText w:val="%5."/>
      <w:lvlJc w:val="left"/>
      <w:pPr>
        <w:ind w:left="3290" w:hanging="360"/>
      </w:pPr>
    </w:lvl>
    <w:lvl w:ilvl="5" w:tplc="0809001B">
      <w:start w:val="1"/>
      <w:numFmt w:val="lowerRoman"/>
      <w:lvlText w:val="%6."/>
      <w:lvlJc w:val="right"/>
      <w:pPr>
        <w:ind w:left="4010" w:hanging="180"/>
      </w:pPr>
    </w:lvl>
    <w:lvl w:ilvl="6" w:tplc="0809000F">
      <w:start w:val="1"/>
      <w:numFmt w:val="decimal"/>
      <w:lvlText w:val="%7."/>
      <w:lvlJc w:val="left"/>
      <w:pPr>
        <w:ind w:left="4730" w:hanging="360"/>
      </w:pPr>
    </w:lvl>
    <w:lvl w:ilvl="7" w:tplc="08090019">
      <w:start w:val="1"/>
      <w:numFmt w:val="lowerLetter"/>
      <w:lvlText w:val="%8."/>
      <w:lvlJc w:val="left"/>
      <w:pPr>
        <w:ind w:left="5450" w:hanging="360"/>
      </w:pPr>
    </w:lvl>
    <w:lvl w:ilvl="8" w:tplc="0809001B">
      <w:start w:val="1"/>
      <w:numFmt w:val="lowerRoman"/>
      <w:lvlText w:val="%9."/>
      <w:lvlJc w:val="right"/>
      <w:pPr>
        <w:ind w:left="6170" w:hanging="180"/>
      </w:pPr>
    </w:lvl>
  </w:abstractNum>
  <w:abstractNum w:abstractNumId="20" w15:restartNumberingAfterBreak="0">
    <w:nsid w:val="606843DC"/>
    <w:multiLevelType w:val="hybridMultilevel"/>
    <w:tmpl w:val="3E42D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1214D"/>
    <w:multiLevelType w:val="hybridMultilevel"/>
    <w:tmpl w:val="9F34024E"/>
    <w:lvl w:ilvl="0" w:tplc="ADB0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29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8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AB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2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EB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A9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C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23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7613CD2"/>
    <w:multiLevelType w:val="hybridMultilevel"/>
    <w:tmpl w:val="0CF0BB3A"/>
    <w:lvl w:ilvl="0" w:tplc="15082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6C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90C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AB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CC3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2058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E1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CF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EA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65577F"/>
    <w:multiLevelType w:val="hybridMultilevel"/>
    <w:tmpl w:val="BBB23B48"/>
    <w:lvl w:ilvl="0" w:tplc="AC68A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AC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87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0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6B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A0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60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62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4D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8FD055A"/>
    <w:multiLevelType w:val="hybridMultilevel"/>
    <w:tmpl w:val="F490C33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EA509EA"/>
    <w:multiLevelType w:val="hybridMultilevel"/>
    <w:tmpl w:val="14E0161E"/>
    <w:lvl w:ilvl="0" w:tplc="9F3AF1E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137D7D"/>
    <w:multiLevelType w:val="hybridMultilevel"/>
    <w:tmpl w:val="F856C146"/>
    <w:lvl w:ilvl="0" w:tplc="F37A31C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DE4F03"/>
    <w:multiLevelType w:val="hybridMultilevel"/>
    <w:tmpl w:val="D458DCC2"/>
    <w:lvl w:ilvl="0" w:tplc="ABAA372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767A3"/>
    <w:multiLevelType w:val="hybridMultilevel"/>
    <w:tmpl w:val="50648AEA"/>
    <w:lvl w:ilvl="0" w:tplc="A2506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E9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C9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C9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8C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49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AC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E4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2D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9FB636A"/>
    <w:multiLevelType w:val="hybridMultilevel"/>
    <w:tmpl w:val="4454BAA0"/>
    <w:lvl w:ilvl="0" w:tplc="3A1A4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F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46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4AC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24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2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4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6D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6C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C2B4724"/>
    <w:multiLevelType w:val="hybridMultilevel"/>
    <w:tmpl w:val="A274A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82314">
    <w:abstractNumId w:val="3"/>
  </w:num>
  <w:num w:numId="2" w16cid:durableId="1910113698">
    <w:abstractNumId w:val="9"/>
  </w:num>
  <w:num w:numId="3" w16cid:durableId="405613309">
    <w:abstractNumId w:val="26"/>
  </w:num>
  <w:num w:numId="4" w16cid:durableId="240213499">
    <w:abstractNumId w:val="15"/>
  </w:num>
  <w:num w:numId="5" w16cid:durableId="740492638">
    <w:abstractNumId w:val="5"/>
  </w:num>
  <w:num w:numId="6" w16cid:durableId="211576891">
    <w:abstractNumId w:val="24"/>
  </w:num>
  <w:num w:numId="7" w16cid:durableId="1918248069">
    <w:abstractNumId w:val="7"/>
  </w:num>
  <w:num w:numId="8" w16cid:durableId="1159419045">
    <w:abstractNumId w:val="29"/>
  </w:num>
  <w:num w:numId="9" w16cid:durableId="1798374138">
    <w:abstractNumId w:val="6"/>
  </w:num>
  <w:num w:numId="10" w16cid:durableId="1530677457">
    <w:abstractNumId w:val="25"/>
  </w:num>
  <w:num w:numId="11" w16cid:durableId="984315201">
    <w:abstractNumId w:val="2"/>
  </w:num>
  <w:num w:numId="12" w16cid:durableId="7762198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55103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9389165">
    <w:abstractNumId w:val="16"/>
  </w:num>
  <w:num w:numId="15" w16cid:durableId="1323195451">
    <w:abstractNumId w:val="13"/>
  </w:num>
  <w:num w:numId="16" w16cid:durableId="467165265">
    <w:abstractNumId w:val="10"/>
  </w:num>
  <w:num w:numId="17" w16cid:durableId="676033370">
    <w:abstractNumId w:val="12"/>
  </w:num>
  <w:num w:numId="18" w16cid:durableId="1742554342">
    <w:abstractNumId w:val="18"/>
  </w:num>
  <w:num w:numId="19" w16cid:durableId="613287013">
    <w:abstractNumId w:val="21"/>
  </w:num>
  <w:num w:numId="20" w16cid:durableId="8067070">
    <w:abstractNumId w:val="11"/>
  </w:num>
  <w:num w:numId="21" w16cid:durableId="825434180">
    <w:abstractNumId w:val="0"/>
  </w:num>
  <w:num w:numId="22" w16cid:durableId="1082681076">
    <w:abstractNumId w:val="23"/>
  </w:num>
  <w:num w:numId="23" w16cid:durableId="1901165520">
    <w:abstractNumId w:val="28"/>
  </w:num>
  <w:num w:numId="24" w16cid:durableId="1991010767">
    <w:abstractNumId w:val="22"/>
  </w:num>
  <w:num w:numId="25" w16cid:durableId="1542282676">
    <w:abstractNumId w:val="17"/>
  </w:num>
  <w:num w:numId="26" w16cid:durableId="986973659">
    <w:abstractNumId w:val="14"/>
  </w:num>
  <w:num w:numId="27" w16cid:durableId="815336034">
    <w:abstractNumId w:val="27"/>
  </w:num>
  <w:num w:numId="28" w16cid:durableId="1895651473">
    <w:abstractNumId w:val="8"/>
  </w:num>
  <w:num w:numId="29" w16cid:durableId="1858687908">
    <w:abstractNumId w:val="4"/>
  </w:num>
  <w:num w:numId="30" w16cid:durableId="1758164458">
    <w:abstractNumId w:val="20"/>
  </w:num>
  <w:num w:numId="31" w16cid:durableId="1425541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0954"/>
    <w:rsid w:val="00001C42"/>
    <w:rsid w:val="00001E72"/>
    <w:rsid w:val="0000226C"/>
    <w:rsid w:val="0000363D"/>
    <w:rsid w:val="00004596"/>
    <w:rsid w:val="00004B72"/>
    <w:rsid w:val="00005419"/>
    <w:rsid w:val="000054D2"/>
    <w:rsid w:val="00005B3F"/>
    <w:rsid w:val="00005DB1"/>
    <w:rsid w:val="00006511"/>
    <w:rsid w:val="00006C79"/>
    <w:rsid w:val="000070E2"/>
    <w:rsid w:val="00010564"/>
    <w:rsid w:val="000118C2"/>
    <w:rsid w:val="00011AF5"/>
    <w:rsid w:val="0001227F"/>
    <w:rsid w:val="00015933"/>
    <w:rsid w:val="000159E5"/>
    <w:rsid w:val="0001656C"/>
    <w:rsid w:val="000175B3"/>
    <w:rsid w:val="000176E6"/>
    <w:rsid w:val="000202BA"/>
    <w:rsid w:val="00020581"/>
    <w:rsid w:val="00020ED0"/>
    <w:rsid w:val="00020FE5"/>
    <w:rsid w:val="000213CC"/>
    <w:rsid w:val="000221E0"/>
    <w:rsid w:val="00023E9F"/>
    <w:rsid w:val="00024480"/>
    <w:rsid w:val="0002473E"/>
    <w:rsid w:val="000264B4"/>
    <w:rsid w:val="000265A3"/>
    <w:rsid w:val="00027099"/>
    <w:rsid w:val="00027B22"/>
    <w:rsid w:val="00027BAD"/>
    <w:rsid w:val="00031418"/>
    <w:rsid w:val="00031478"/>
    <w:rsid w:val="00035040"/>
    <w:rsid w:val="00036FAB"/>
    <w:rsid w:val="00037707"/>
    <w:rsid w:val="00037C17"/>
    <w:rsid w:val="00040FA4"/>
    <w:rsid w:val="00041985"/>
    <w:rsid w:val="000427B8"/>
    <w:rsid w:val="00043889"/>
    <w:rsid w:val="00043DB1"/>
    <w:rsid w:val="00044002"/>
    <w:rsid w:val="000444EA"/>
    <w:rsid w:val="000458CD"/>
    <w:rsid w:val="0004612A"/>
    <w:rsid w:val="00047DF1"/>
    <w:rsid w:val="000509DD"/>
    <w:rsid w:val="00050AF7"/>
    <w:rsid w:val="00051022"/>
    <w:rsid w:val="00051A5B"/>
    <w:rsid w:val="00052C6A"/>
    <w:rsid w:val="00053780"/>
    <w:rsid w:val="00053EE4"/>
    <w:rsid w:val="000559DE"/>
    <w:rsid w:val="00055CBC"/>
    <w:rsid w:val="000563EB"/>
    <w:rsid w:val="00056A4F"/>
    <w:rsid w:val="00057396"/>
    <w:rsid w:val="000606C6"/>
    <w:rsid w:val="00060D7F"/>
    <w:rsid w:val="00063DEB"/>
    <w:rsid w:val="00066F52"/>
    <w:rsid w:val="0006711A"/>
    <w:rsid w:val="00072447"/>
    <w:rsid w:val="00072DB9"/>
    <w:rsid w:val="000733AD"/>
    <w:rsid w:val="0007445A"/>
    <w:rsid w:val="00074C45"/>
    <w:rsid w:val="000752D6"/>
    <w:rsid w:val="00075932"/>
    <w:rsid w:val="0007638A"/>
    <w:rsid w:val="00076C37"/>
    <w:rsid w:val="000770D8"/>
    <w:rsid w:val="00080102"/>
    <w:rsid w:val="00081E35"/>
    <w:rsid w:val="00083D1A"/>
    <w:rsid w:val="000841C2"/>
    <w:rsid w:val="000842AE"/>
    <w:rsid w:val="00084CF9"/>
    <w:rsid w:val="00086094"/>
    <w:rsid w:val="00086BE0"/>
    <w:rsid w:val="0008743D"/>
    <w:rsid w:val="000900C9"/>
    <w:rsid w:val="0009101B"/>
    <w:rsid w:val="00091B3B"/>
    <w:rsid w:val="0009491E"/>
    <w:rsid w:val="00097293"/>
    <w:rsid w:val="000976B9"/>
    <w:rsid w:val="00097B42"/>
    <w:rsid w:val="000A019A"/>
    <w:rsid w:val="000A0217"/>
    <w:rsid w:val="000A0285"/>
    <w:rsid w:val="000A0ECE"/>
    <w:rsid w:val="000A16EA"/>
    <w:rsid w:val="000A2779"/>
    <w:rsid w:val="000A29DE"/>
    <w:rsid w:val="000A2C3B"/>
    <w:rsid w:val="000A3ECF"/>
    <w:rsid w:val="000A4D59"/>
    <w:rsid w:val="000A5220"/>
    <w:rsid w:val="000A549A"/>
    <w:rsid w:val="000A6481"/>
    <w:rsid w:val="000A664C"/>
    <w:rsid w:val="000B064D"/>
    <w:rsid w:val="000B083D"/>
    <w:rsid w:val="000B0992"/>
    <w:rsid w:val="000B2005"/>
    <w:rsid w:val="000B3BFA"/>
    <w:rsid w:val="000B4C8F"/>
    <w:rsid w:val="000B510F"/>
    <w:rsid w:val="000B51A4"/>
    <w:rsid w:val="000B70C8"/>
    <w:rsid w:val="000B79A4"/>
    <w:rsid w:val="000C045B"/>
    <w:rsid w:val="000C11CC"/>
    <w:rsid w:val="000C12D3"/>
    <w:rsid w:val="000C12F1"/>
    <w:rsid w:val="000C1E4E"/>
    <w:rsid w:val="000C234E"/>
    <w:rsid w:val="000C3211"/>
    <w:rsid w:val="000C4910"/>
    <w:rsid w:val="000C502F"/>
    <w:rsid w:val="000C5651"/>
    <w:rsid w:val="000C6834"/>
    <w:rsid w:val="000C78A3"/>
    <w:rsid w:val="000D011A"/>
    <w:rsid w:val="000D02A4"/>
    <w:rsid w:val="000D0E54"/>
    <w:rsid w:val="000D1749"/>
    <w:rsid w:val="000D1D61"/>
    <w:rsid w:val="000D32BB"/>
    <w:rsid w:val="000D49D0"/>
    <w:rsid w:val="000D4F26"/>
    <w:rsid w:val="000D56F1"/>
    <w:rsid w:val="000D5D2B"/>
    <w:rsid w:val="000D684D"/>
    <w:rsid w:val="000D6EF9"/>
    <w:rsid w:val="000E087A"/>
    <w:rsid w:val="000E0B50"/>
    <w:rsid w:val="000E0C43"/>
    <w:rsid w:val="000E1975"/>
    <w:rsid w:val="000E2B4E"/>
    <w:rsid w:val="000E2FCE"/>
    <w:rsid w:val="000E3B1C"/>
    <w:rsid w:val="000E4810"/>
    <w:rsid w:val="000E4ABC"/>
    <w:rsid w:val="000E563F"/>
    <w:rsid w:val="000E59CE"/>
    <w:rsid w:val="000E5F43"/>
    <w:rsid w:val="000F02C1"/>
    <w:rsid w:val="000F02FD"/>
    <w:rsid w:val="000F0342"/>
    <w:rsid w:val="000F0636"/>
    <w:rsid w:val="000F0A03"/>
    <w:rsid w:val="000F0B04"/>
    <w:rsid w:val="000F30E9"/>
    <w:rsid w:val="000F3195"/>
    <w:rsid w:val="000F426C"/>
    <w:rsid w:val="000F4318"/>
    <w:rsid w:val="000F617D"/>
    <w:rsid w:val="000F61F5"/>
    <w:rsid w:val="000F680C"/>
    <w:rsid w:val="000F70CA"/>
    <w:rsid w:val="00100269"/>
    <w:rsid w:val="001002CD"/>
    <w:rsid w:val="00100394"/>
    <w:rsid w:val="0010159F"/>
    <w:rsid w:val="00102262"/>
    <w:rsid w:val="0010268F"/>
    <w:rsid w:val="0010277A"/>
    <w:rsid w:val="00102D9A"/>
    <w:rsid w:val="00103662"/>
    <w:rsid w:val="0010371D"/>
    <w:rsid w:val="00105514"/>
    <w:rsid w:val="00105918"/>
    <w:rsid w:val="00105ACC"/>
    <w:rsid w:val="00105DB5"/>
    <w:rsid w:val="00106451"/>
    <w:rsid w:val="00106D78"/>
    <w:rsid w:val="00106F70"/>
    <w:rsid w:val="00107915"/>
    <w:rsid w:val="001102C6"/>
    <w:rsid w:val="001104C5"/>
    <w:rsid w:val="001106DD"/>
    <w:rsid w:val="00110C31"/>
    <w:rsid w:val="00110E3B"/>
    <w:rsid w:val="0011113B"/>
    <w:rsid w:val="001126B2"/>
    <w:rsid w:val="00112AA1"/>
    <w:rsid w:val="00112C5A"/>
    <w:rsid w:val="00112D3E"/>
    <w:rsid w:val="00112E70"/>
    <w:rsid w:val="0011443F"/>
    <w:rsid w:val="0011553C"/>
    <w:rsid w:val="00115D53"/>
    <w:rsid w:val="00115DDC"/>
    <w:rsid w:val="00116003"/>
    <w:rsid w:val="00116F4B"/>
    <w:rsid w:val="001177C9"/>
    <w:rsid w:val="00117860"/>
    <w:rsid w:val="001209DC"/>
    <w:rsid w:val="00120FB7"/>
    <w:rsid w:val="001226BC"/>
    <w:rsid w:val="00122810"/>
    <w:rsid w:val="00122CC4"/>
    <w:rsid w:val="0012351B"/>
    <w:rsid w:val="00123FF9"/>
    <w:rsid w:val="00124EF9"/>
    <w:rsid w:val="001253CC"/>
    <w:rsid w:val="001259D2"/>
    <w:rsid w:val="00126A7F"/>
    <w:rsid w:val="00130063"/>
    <w:rsid w:val="00130359"/>
    <w:rsid w:val="001306A2"/>
    <w:rsid w:val="00131D36"/>
    <w:rsid w:val="00131E94"/>
    <w:rsid w:val="00132EE9"/>
    <w:rsid w:val="0013407D"/>
    <w:rsid w:val="001348D9"/>
    <w:rsid w:val="00134A41"/>
    <w:rsid w:val="00134F6E"/>
    <w:rsid w:val="001361CA"/>
    <w:rsid w:val="00136519"/>
    <w:rsid w:val="0013679D"/>
    <w:rsid w:val="00136825"/>
    <w:rsid w:val="00136D3A"/>
    <w:rsid w:val="00136EC9"/>
    <w:rsid w:val="00136FC5"/>
    <w:rsid w:val="00136FC7"/>
    <w:rsid w:val="00137050"/>
    <w:rsid w:val="0013716D"/>
    <w:rsid w:val="00137560"/>
    <w:rsid w:val="00140854"/>
    <w:rsid w:val="00140E10"/>
    <w:rsid w:val="001438F4"/>
    <w:rsid w:val="00143BF5"/>
    <w:rsid w:val="00143DCC"/>
    <w:rsid w:val="00144794"/>
    <w:rsid w:val="00144D53"/>
    <w:rsid w:val="00144D9A"/>
    <w:rsid w:val="00145506"/>
    <w:rsid w:val="001457AA"/>
    <w:rsid w:val="00145E7A"/>
    <w:rsid w:val="00146F46"/>
    <w:rsid w:val="0015125A"/>
    <w:rsid w:val="00151A74"/>
    <w:rsid w:val="001526EE"/>
    <w:rsid w:val="0015278B"/>
    <w:rsid w:val="0015295E"/>
    <w:rsid w:val="00152A73"/>
    <w:rsid w:val="001534F6"/>
    <w:rsid w:val="00154B70"/>
    <w:rsid w:val="00154EE2"/>
    <w:rsid w:val="001553F8"/>
    <w:rsid w:val="00155A3F"/>
    <w:rsid w:val="00157080"/>
    <w:rsid w:val="001570E1"/>
    <w:rsid w:val="00157C6A"/>
    <w:rsid w:val="001605B3"/>
    <w:rsid w:val="001622C2"/>
    <w:rsid w:val="00162D23"/>
    <w:rsid w:val="001633ED"/>
    <w:rsid w:val="00163F5F"/>
    <w:rsid w:val="00165DDC"/>
    <w:rsid w:val="0016769F"/>
    <w:rsid w:val="00170298"/>
    <w:rsid w:val="00170CF6"/>
    <w:rsid w:val="001715A2"/>
    <w:rsid w:val="0017388B"/>
    <w:rsid w:val="00173D31"/>
    <w:rsid w:val="0017441E"/>
    <w:rsid w:val="0017486D"/>
    <w:rsid w:val="00175839"/>
    <w:rsid w:val="00175A85"/>
    <w:rsid w:val="00175E6C"/>
    <w:rsid w:val="00175FBC"/>
    <w:rsid w:val="00176669"/>
    <w:rsid w:val="001766FF"/>
    <w:rsid w:val="00176C20"/>
    <w:rsid w:val="00176DFC"/>
    <w:rsid w:val="00177598"/>
    <w:rsid w:val="00180856"/>
    <w:rsid w:val="001808FE"/>
    <w:rsid w:val="0018097B"/>
    <w:rsid w:val="00180A13"/>
    <w:rsid w:val="00182C97"/>
    <w:rsid w:val="00183066"/>
    <w:rsid w:val="001833C7"/>
    <w:rsid w:val="00183FB4"/>
    <w:rsid w:val="00184412"/>
    <w:rsid w:val="00186A72"/>
    <w:rsid w:val="001903B2"/>
    <w:rsid w:val="001906F3"/>
    <w:rsid w:val="00192933"/>
    <w:rsid w:val="001929FC"/>
    <w:rsid w:val="00195C6D"/>
    <w:rsid w:val="001961C5"/>
    <w:rsid w:val="00196F95"/>
    <w:rsid w:val="00197315"/>
    <w:rsid w:val="0019772B"/>
    <w:rsid w:val="001A05A9"/>
    <w:rsid w:val="001A2614"/>
    <w:rsid w:val="001A2623"/>
    <w:rsid w:val="001A463E"/>
    <w:rsid w:val="001A46CC"/>
    <w:rsid w:val="001A6304"/>
    <w:rsid w:val="001B1060"/>
    <w:rsid w:val="001B11F1"/>
    <w:rsid w:val="001B1467"/>
    <w:rsid w:val="001B1C5E"/>
    <w:rsid w:val="001B2B23"/>
    <w:rsid w:val="001B3197"/>
    <w:rsid w:val="001B39D3"/>
    <w:rsid w:val="001B4DA8"/>
    <w:rsid w:val="001B59D9"/>
    <w:rsid w:val="001B5F14"/>
    <w:rsid w:val="001B6935"/>
    <w:rsid w:val="001B7154"/>
    <w:rsid w:val="001C091C"/>
    <w:rsid w:val="001C121C"/>
    <w:rsid w:val="001C150C"/>
    <w:rsid w:val="001C1FAA"/>
    <w:rsid w:val="001C2261"/>
    <w:rsid w:val="001C266E"/>
    <w:rsid w:val="001C280D"/>
    <w:rsid w:val="001C306A"/>
    <w:rsid w:val="001C49DC"/>
    <w:rsid w:val="001C6945"/>
    <w:rsid w:val="001C698F"/>
    <w:rsid w:val="001C7200"/>
    <w:rsid w:val="001C7CD3"/>
    <w:rsid w:val="001C7F88"/>
    <w:rsid w:val="001D12D6"/>
    <w:rsid w:val="001D169B"/>
    <w:rsid w:val="001D1B1C"/>
    <w:rsid w:val="001D2B76"/>
    <w:rsid w:val="001D2C14"/>
    <w:rsid w:val="001D2ECE"/>
    <w:rsid w:val="001D3292"/>
    <w:rsid w:val="001D39E5"/>
    <w:rsid w:val="001D3C90"/>
    <w:rsid w:val="001D43DB"/>
    <w:rsid w:val="001D474C"/>
    <w:rsid w:val="001D5BB9"/>
    <w:rsid w:val="001D6B1A"/>
    <w:rsid w:val="001D7365"/>
    <w:rsid w:val="001D7DA5"/>
    <w:rsid w:val="001E15FD"/>
    <w:rsid w:val="001E1AED"/>
    <w:rsid w:val="001E27B8"/>
    <w:rsid w:val="001E31AB"/>
    <w:rsid w:val="001E3706"/>
    <w:rsid w:val="001E4032"/>
    <w:rsid w:val="001E432A"/>
    <w:rsid w:val="001E4370"/>
    <w:rsid w:val="001E4D27"/>
    <w:rsid w:val="001E5169"/>
    <w:rsid w:val="001E5571"/>
    <w:rsid w:val="001E60C5"/>
    <w:rsid w:val="001E6F5D"/>
    <w:rsid w:val="001E71FE"/>
    <w:rsid w:val="001F0819"/>
    <w:rsid w:val="001F1677"/>
    <w:rsid w:val="001F1C52"/>
    <w:rsid w:val="001F2A1F"/>
    <w:rsid w:val="001F3DF4"/>
    <w:rsid w:val="001F49EA"/>
    <w:rsid w:val="001F5CF7"/>
    <w:rsid w:val="001F64C3"/>
    <w:rsid w:val="001F6A78"/>
    <w:rsid w:val="001F6E8A"/>
    <w:rsid w:val="001F72D8"/>
    <w:rsid w:val="001F7B28"/>
    <w:rsid w:val="002010C8"/>
    <w:rsid w:val="0020111C"/>
    <w:rsid w:val="0020121A"/>
    <w:rsid w:val="00201DDA"/>
    <w:rsid w:val="002027D4"/>
    <w:rsid w:val="0020296D"/>
    <w:rsid w:val="00203021"/>
    <w:rsid w:val="00203302"/>
    <w:rsid w:val="00203A7B"/>
    <w:rsid w:val="00203F87"/>
    <w:rsid w:val="002045A5"/>
    <w:rsid w:val="0020488B"/>
    <w:rsid w:val="00204F09"/>
    <w:rsid w:val="0020667A"/>
    <w:rsid w:val="0020698C"/>
    <w:rsid w:val="00206F7E"/>
    <w:rsid w:val="00207AE7"/>
    <w:rsid w:val="00207CB1"/>
    <w:rsid w:val="002105A2"/>
    <w:rsid w:val="00210A9C"/>
    <w:rsid w:val="00211E6F"/>
    <w:rsid w:val="002128AF"/>
    <w:rsid w:val="002137B0"/>
    <w:rsid w:val="002138C0"/>
    <w:rsid w:val="002150BF"/>
    <w:rsid w:val="00215481"/>
    <w:rsid w:val="00216187"/>
    <w:rsid w:val="00216A54"/>
    <w:rsid w:val="00217881"/>
    <w:rsid w:val="0022075B"/>
    <w:rsid w:val="00221F77"/>
    <w:rsid w:val="00221FF5"/>
    <w:rsid w:val="002226C1"/>
    <w:rsid w:val="00222917"/>
    <w:rsid w:val="00222DB9"/>
    <w:rsid w:val="002244BA"/>
    <w:rsid w:val="00224E2B"/>
    <w:rsid w:val="0022581B"/>
    <w:rsid w:val="00225F51"/>
    <w:rsid w:val="0022648E"/>
    <w:rsid w:val="00226AB8"/>
    <w:rsid w:val="00226F32"/>
    <w:rsid w:val="00227ACD"/>
    <w:rsid w:val="00227C82"/>
    <w:rsid w:val="002307C1"/>
    <w:rsid w:val="0023165F"/>
    <w:rsid w:val="00231F3A"/>
    <w:rsid w:val="002328F4"/>
    <w:rsid w:val="0023390F"/>
    <w:rsid w:val="0023393E"/>
    <w:rsid w:val="0023493E"/>
    <w:rsid w:val="00235942"/>
    <w:rsid w:val="00236538"/>
    <w:rsid w:val="0023703D"/>
    <w:rsid w:val="002375B2"/>
    <w:rsid w:val="00237A71"/>
    <w:rsid w:val="00237E0B"/>
    <w:rsid w:val="00242D73"/>
    <w:rsid w:val="002443DF"/>
    <w:rsid w:val="002446E1"/>
    <w:rsid w:val="00244923"/>
    <w:rsid w:val="002472A6"/>
    <w:rsid w:val="00247512"/>
    <w:rsid w:val="00247A4D"/>
    <w:rsid w:val="00250212"/>
    <w:rsid w:val="002507F2"/>
    <w:rsid w:val="00250C73"/>
    <w:rsid w:val="00251163"/>
    <w:rsid w:val="00251393"/>
    <w:rsid w:val="0025241A"/>
    <w:rsid w:val="0025305E"/>
    <w:rsid w:val="00253D09"/>
    <w:rsid w:val="00254CA2"/>
    <w:rsid w:val="002556C2"/>
    <w:rsid w:val="00256268"/>
    <w:rsid w:val="002567A3"/>
    <w:rsid w:val="00260219"/>
    <w:rsid w:val="00260B2C"/>
    <w:rsid w:val="0026106F"/>
    <w:rsid w:val="0026210C"/>
    <w:rsid w:val="00262B7F"/>
    <w:rsid w:val="00263207"/>
    <w:rsid w:val="00264741"/>
    <w:rsid w:val="00264C92"/>
    <w:rsid w:val="0026639E"/>
    <w:rsid w:val="00266980"/>
    <w:rsid w:val="00266ACC"/>
    <w:rsid w:val="00267ACA"/>
    <w:rsid w:val="002707C5"/>
    <w:rsid w:val="00270A4E"/>
    <w:rsid w:val="00270E60"/>
    <w:rsid w:val="00270F52"/>
    <w:rsid w:val="00271563"/>
    <w:rsid w:val="00271569"/>
    <w:rsid w:val="00272177"/>
    <w:rsid w:val="002725DA"/>
    <w:rsid w:val="00274645"/>
    <w:rsid w:val="002748F6"/>
    <w:rsid w:val="00274D15"/>
    <w:rsid w:val="00275209"/>
    <w:rsid w:val="00277397"/>
    <w:rsid w:val="00277D90"/>
    <w:rsid w:val="0028055F"/>
    <w:rsid w:val="002808DB"/>
    <w:rsid w:val="00280AB4"/>
    <w:rsid w:val="00280D31"/>
    <w:rsid w:val="00280F92"/>
    <w:rsid w:val="002817B5"/>
    <w:rsid w:val="00282BE6"/>
    <w:rsid w:val="00283681"/>
    <w:rsid w:val="00284721"/>
    <w:rsid w:val="0028530F"/>
    <w:rsid w:val="002853A9"/>
    <w:rsid w:val="00285A75"/>
    <w:rsid w:val="00287580"/>
    <w:rsid w:val="00290498"/>
    <w:rsid w:val="0029071C"/>
    <w:rsid w:val="00291656"/>
    <w:rsid w:val="0029179B"/>
    <w:rsid w:val="00291BE8"/>
    <w:rsid w:val="00293122"/>
    <w:rsid w:val="0029502E"/>
    <w:rsid w:val="00296021"/>
    <w:rsid w:val="0029774E"/>
    <w:rsid w:val="00297B85"/>
    <w:rsid w:val="002A0002"/>
    <w:rsid w:val="002A02A1"/>
    <w:rsid w:val="002A04EB"/>
    <w:rsid w:val="002A07F7"/>
    <w:rsid w:val="002A1748"/>
    <w:rsid w:val="002A23FA"/>
    <w:rsid w:val="002A266C"/>
    <w:rsid w:val="002A2CE3"/>
    <w:rsid w:val="002A31A1"/>
    <w:rsid w:val="002A3CF3"/>
    <w:rsid w:val="002A3F7E"/>
    <w:rsid w:val="002A4191"/>
    <w:rsid w:val="002A5D11"/>
    <w:rsid w:val="002A6290"/>
    <w:rsid w:val="002A6A60"/>
    <w:rsid w:val="002B1743"/>
    <w:rsid w:val="002B1996"/>
    <w:rsid w:val="002B35B7"/>
    <w:rsid w:val="002B3AB2"/>
    <w:rsid w:val="002B4617"/>
    <w:rsid w:val="002B4641"/>
    <w:rsid w:val="002B5069"/>
    <w:rsid w:val="002B58A5"/>
    <w:rsid w:val="002B724C"/>
    <w:rsid w:val="002C02A9"/>
    <w:rsid w:val="002C0719"/>
    <w:rsid w:val="002C179D"/>
    <w:rsid w:val="002C18CD"/>
    <w:rsid w:val="002C2C2B"/>
    <w:rsid w:val="002C30D4"/>
    <w:rsid w:val="002C47FE"/>
    <w:rsid w:val="002C513E"/>
    <w:rsid w:val="002C5B51"/>
    <w:rsid w:val="002D1376"/>
    <w:rsid w:val="002D238E"/>
    <w:rsid w:val="002D2A30"/>
    <w:rsid w:val="002D2DC7"/>
    <w:rsid w:val="002D3F94"/>
    <w:rsid w:val="002D4720"/>
    <w:rsid w:val="002D49FB"/>
    <w:rsid w:val="002D4A25"/>
    <w:rsid w:val="002D4DF8"/>
    <w:rsid w:val="002D6038"/>
    <w:rsid w:val="002E0041"/>
    <w:rsid w:val="002E1390"/>
    <w:rsid w:val="002E1AEB"/>
    <w:rsid w:val="002E1DBF"/>
    <w:rsid w:val="002E2498"/>
    <w:rsid w:val="002E3105"/>
    <w:rsid w:val="002E320D"/>
    <w:rsid w:val="002E3E1D"/>
    <w:rsid w:val="002E4CA1"/>
    <w:rsid w:val="002E4EFD"/>
    <w:rsid w:val="002E5E57"/>
    <w:rsid w:val="002E6192"/>
    <w:rsid w:val="002E6312"/>
    <w:rsid w:val="002E6C7C"/>
    <w:rsid w:val="002F0118"/>
    <w:rsid w:val="002F0F08"/>
    <w:rsid w:val="002F1752"/>
    <w:rsid w:val="002F1AFD"/>
    <w:rsid w:val="002F20C7"/>
    <w:rsid w:val="002F2F90"/>
    <w:rsid w:val="002F2FAA"/>
    <w:rsid w:val="002F4373"/>
    <w:rsid w:val="002F43DE"/>
    <w:rsid w:val="002F477C"/>
    <w:rsid w:val="002F4A74"/>
    <w:rsid w:val="002F4CBD"/>
    <w:rsid w:val="002F4CDA"/>
    <w:rsid w:val="002F506A"/>
    <w:rsid w:val="002F52DA"/>
    <w:rsid w:val="002F557F"/>
    <w:rsid w:val="002F6432"/>
    <w:rsid w:val="002F6A6D"/>
    <w:rsid w:val="003012B9"/>
    <w:rsid w:val="0030161E"/>
    <w:rsid w:val="00301915"/>
    <w:rsid w:val="003028DC"/>
    <w:rsid w:val="003029D1"/>
    <w:rsid w:val="0030348A"/>
    <w:rsid w:val="003045DD"/>
    <w:rsid w:val="00304727"/>
    <w:rsid w:val="0030613B"/>
    <w:rsid w:val="00306844"/>
    <w:rsid w:val="003077DD"/>
    <w:rsid w:val="003111F3"/>
    <w:rsid w:val="003131EC"/>
    <w:rsid w:val="003134AE"/>
    <w:rsid w:val="00313DD8"/>
    <w:rsid w:val="003142AD"/>
    <w:rsid w:val="003143A4"/>
    <w:rsid w:val="00314AB6"/>
    <w:rsid w:val="00314CF6"/>
    <w:rsid w:val="00315F32"/>
    <w:rsid w:val="00316BAA"/>
    <w:rsid w:val="00317242"/>
    <w:rsid w:val="00320811"/>
    <w:rsid w:val="00322BF9"/>
    <w:rsid w:val="00324743"/>
    <w:rsid w:val="00324769"/>
    <w:rsid w:val="00324B27"/>
    <w:rsid w:val="003253AF"/>
    <w:rsid w:val="003258C4"/>
    <w:rsid w:val="00327407"/>
    <w:rsid w:val="00327CB6"/>
    <w:rsid w:val="00330A92"/>
    <w:rsid w:val="003315E9"/>
    <w:rsid w:val="0033298A"/>
    <w:rsid w:val="00333B31"/>
    <w:rsid w:val="00334257"/>
    <w:rsid w:val="0033440C"/>
    <w:rsid w:val="00335341"/>
    <w:rsid w:val="00335B88"/>
    <w:rsid w:val="00336412"/>
    <w:rsid w:val="00336CA6"/>
    <w:rsid w:val="00337157"/>
    <w:rsid w:val="003373BE"/>
    <w:rsid w:val="00340F22"/>
    <w:rsid w:val="003411DB"/>
    <w:rsid w:val="003417B4"/>
    <w:rsid w:val="00341D86"/>
    <w:rsid w:val="003423A7"/>
    <w:rsid w:val="003426EE"/>
    <w:rsid w:val="0034310E"/>
    <w:rsid w:val="00344213"/>
    <w:rsid w:val="003444F4"/>
    <w:rsid w:val="00344B88"/>
    <w:rsid w:val="00344EBB"/>
    <w:rsid w:val="00345842"/>
    <w:rsid w:val="0034612F"/>
    <w:rsid w:val="00346684"/>
    <w:rsid w:val="003472AF"/>
    <w:rsid w:val="00347FD9"/>
    <w:rsid w:val="003508FE"/>
    <w:rsid w:val="00351369"/>
    <w:rsid w:val="0035167B"/>
    <w:rsid w:val="003522BD"/>
    <w:rsid w:val="00352D4E"/>
    <w:rsid w:val="003543D2"/>
    <w:rsid w:val="0035493D"/>
    <w:rsid w:val="00356528"/>
    <w:rsid w:val="00356C7A"/>
    <w:rsid w:val="00356FF7"/>
    <w:rsid w:val="0035718C"/>
    <w:rsid w:val="003600A2"/>
    <w:rsid w:val="003608A1"/>
    <w:rsid w:val="003608FD"/>
    <w:rsid w:val="0036420C"/>
    <w:rsid w:val="00364A11"/>
    <w:rsid w:val="00366057"/>
    <w:rsid w:val="00366A68"/>
    <w:rsid w:val="003677E2"/>
    <w:rsid w:val="0037051F"/>
    <w:rsid w:val="003707E0"/>
    <w:rsid w:val="00370F35"/>
    <w:rsid w:val="003725F0"/>
    <w:rsid w:val="003732C7"/>
    <w:rsid w:val="0037346E"/>
    <w:rsid w:val="003739F0"/>
    <w:rsid w:val="00373FC2"/>
    <w:rsid w:val="003742A8"/>
    <w:rsid w:val="003749A5"/>
    <w:rsid w:val="00375CF8"/>
    <w:rsid w:val="00376918"/>
    <w:rsid w:val="00376F07"/>
    <w:rsid w:val="003775A3"/>
    <w:rsid w:val="00380502"/>
    <w:rsid w:val="00380727"/>
    <w:rsid w:val="00380788"/>
    <w:rsid w:val="003809CD"/>
    <w:rsid w:val="00381524"/>
    <w:rsid w:val="00381FAF"/>
    <w:rsid w:val="00383D10"/>
    <w:rsid w:val="00384170"/>
    <w:rsid w:val="003847A3"/>
    <w:rsid w:val="00385683"/>
    <w:rsid w:val="00386E7F"/>
    <w:rsid w:val="00387749"/>
    <w:rsid w:val="00387CB8"/>
    <w:rsid w:val="0039010C"/>
    <w:rsid w:val="00390C7F"/>
    <w:rsid w:val="00390E5C"/>
    <w:rsid w:val="00391AED"/>
    <w:rsid w:val="00391C4B"/>
    <w:rsid w:val="00391FA6"/>
    <w:rsid w:val="00393046"/>
    <w:rsid w:val="00394F6F"/>
    <w:rsid w:val="00395026"/>
    <w:rsid w:val="003952ED"/>
    <w:rsid w:val="00395549"/>
    <w:rsid w:val="00395F29"/>
    <w:rsid w:val="00396610"/>
    <w:rsid w:val="00396DEC"/>
    <w:rsid w:val="00396F9D"/>
    <w:rsid w:val="00397430"/>
    <w:rsid w:val="003A0443"/>
    <w:rsid w:val="003A0F5E"/>
    <w:rsid w:val="003A1E08"/>
    <w:rsid w:val="003A1F79"/>
    <w:rsid w:val="003A39B8"/>
    <w:rsid w:val="003A424B"/>
    <w:rsid w:val="003A46D3"/>
    <w:rsid w:val="003A542D"/>
    <w:rsid w:val="003A5636"/>
    <w:rsid w:val="003A5765"/>
    <w:rsid w:val="003A623D"/>
    <w:rsid w:val="003A68A3"/>
    <w:rsid w:val="003A76ED"/>
    <w:rsid w:val="003B0281"/>
    <w:rsid w:val="003B0433"/>
    <w:rsid w:val="003B04C1"/>
    <w:rsid w:val="003B2C84"/>
    <w:rsid w:val="003B4E23"/>
    <w:rsid w:val="003B4F01"/>
    <w:rsid w:val="003B505C"/>
    <w:rsid w:val="003B519E"/>
    <w:rsid w:val="003B5E6F"/>
    <w:rsid w:val="003B7AE1"/>
    <w:rsid w:val="003C0B1B"/>
    <w:rsid w:val="003C1195"/>
    <w:rsid w:val="003C12B6"/>
    <w:rsid w:val="003C185F"/>
    <w:rsid w:val="003C2D27"/>
    <w:rsid w:val="003C373E"/>
    <w:rsid w:val="003C3D7F"/>
    <w:rsid w:val="003C41DD"/>
    <w:rsid w:val="003C4DE7"/>
    <w:rsid w:val="003C5F2E"/>
    <w:rsid w:val="003C6326"/>
    <w:rsid w:val="003C6710"/>
    <w:rsid w:val="003C6D87"/>
    <w:rsid w:val="003C7600"/>
    <w:rsid w:val="003D079C"/>
    <w:rsid w:val="003D0D7D"/>
    <w:rsid w:val="003D164F"/>
    <w:rsid w:val="003D18F0"/>
    <w:rsid w:val="003D224C"/>
    <w:rsid w:val="003D2390"/>
    <w:rsid w:val="003D2EFA"/>
    <w:rsid w:val="003D3759"/>
    <w:rsid w:val="003D45D4"/>
    <w:rsid w:val="003D57E2"/>
    <w:rsid w:val="003D613B"/>
    <w:rsid w:val="003D684B"/>
    <w:rsid w:val="003D749F"/>
    <w:rsid w:val="003D7D9E"/>
    <w:rsid w:val="003E0FC6"/>
    <w:rsid w:val="003E14DF"/>
    <w:rsid w:val="003E1AAB"/>
    <w:rsid w:val="003E1F42"/>
    <w:rsid w:val="003E3584"/>
    <w:rsid w:val="003E382B"/>
    <w:rsid w:val="003E393C"/>
    <w:rsid w:val="003E3ACA"/>
    <w:rsid w:val="003E3DCB"/>
    <w:rsid w:val="003E4312"/>
    <w:rsid w:val="003E4820"/>
    <w:rsid w:val="003E48FA"/>
    <w:rsid w:val="003E4ADE"/>
    <w:rsid w:val="003E5891"/>
    <w:rsid w:val="003E7ED0"/>
    <w:rsid w:val="003F021E"/>
    <w:rsid w:val="003F03DF"/>
    <w:rsid w:val="003F1189"/>
    <w:rsid w:val="003F12BC"/>
    <w:rsid w:val="003F12D5"/>
    <w:rsid w:val="003F159E"/>
    <w:rsid w:val="003F1CB9"/>
    <w:rsid w:val="003F2050"/>
    <w:rsid w:val="003F37CA"/>
    <w:rsid w:val="003F3922"/>
    <w:rsid w:val="003F470D"/>
    <w:rsid w:val="003F512D"/>
    <w:rsid w:val="003F56AD"/>
    <w:rsid w:val="003F6A8D"/>
    <w:rsid w:val="003F6E69"/>
    <w:rsid w:val="003F7F31"/>
    <w:rsid w:val="004009B6"/>
    <w:rsid w:val="00400E23"/>
    <w:rsid w:val="004015AF"/>
    <w:rsid w:val="00401CD3"/>
    <w:rsid w:val="00401F79"/>
    <w:rsid w:val="00402778"/>
    <w:rsid w:val="00402D75"/>
    <w:rsid w:val="00402FA1"/>
    <w:rsid w:val="00403744"/>
    <w:rsid w:val="0040474A"/>
    <w:rsid w:val="00404E84"/>
    <w:rsid w:val="00405D7E"/>
    <w:rsid w:val="00406F40"/>
    <w:rsid w:val="00407FB6"/>
    <w:rsid w:val="00410561"/>
    <w:rsid w:val="004120D6"/>
    <w:rsid w:val="00412186"/>
    <w:rsid w:val="00412763"/>
    <w:rsid w:val="00412A2D"/>
    <w:rsid w:val="00413258"/>
    <w:rsid w:val="0041355F"/>
    <w:rsid w:val="00414181"/>
    <w:rsid w:val="0041427D"/>
    <w:rsid w:val="00414AD4"/>
    <w:rsid w:val="0041521E"/>
    <w:rsid w:val="004164DD"/>
    <w:rsid w:val="00416763"/>
    <w:rsid w:val="0041745A"/>
    <w:rsid w:val="004179B3"/>
    <w:rsid w:val="004207D5"/>
    <w:rsid w:val="00421FB7"/>
    <w:rsid w:val="00422B81"/>
    <w:rsid w:val="00422E44"/>
    <w:rsid w:val="004231FB"/>
    <w:rsid w:val="00423374"/>
    <w:rsid w:val="00423E0D"/>
    <w:rsid w:val="004257BB"/>
    <w:rsid w:val="00425883"/>
    <w:rsid w:val="00425A84"/>
    <w:rsid w:val="00425B3B"/>
    <w:rsid w:val="0042602B"/>
    <w:rsid w:val="004279BD"/>
    <w:rsid w:val="00430F3C"/>
    <w:rsid w:val="004325D3"/>
    <w:rsid w:val="00435176"/>
    <w:rsid w:val="00436F5C"/>
    <w:rsid w:val="004371EE"/>
    <w:rsid w:val="00437589"/>
    <w:rsid w:val="0043780A"/>
    <w:rsid w:val="00440A53"/>
    <w:rsid w:val="00442170"/>
    <w:rsid w:val="0044352D"/>
    <w:rsid w:val="004444EE"/>
    <w:rsid w:val="004445E7"/>
    <w:rsid w:val="00444BDA"/>
    <w:rsid w:val="00445609"/>
    <w:rsid w:val="004464CF"/>
    <w:rsid w:val="00446AAD"/>
    <w:rsid w:val="004476C2"/>
    <w:rsid w:val="00451368"/>
    <w:rsid w:val="004522D4"/>
    <w:rsid w:val="00452B0E"/>
    <w:rsid w:val="00453473"/>
    <w:rsid w:val="004555E6"/>
    <w:rsid w:val="00456A9B"/>
    <w:rsid w:val="00460772"/>
    <w:rsid w:val="00461E79"/>
    <w:rsid w:val="00462717"/>
    <w:rsid w:val="004641CC"/>
    <w:rsid w:val="00464E64"/>
    <w:rsid w:val="00465403"/>
    <w:rsid w:val="00465526"/>
    <w:rsid w:val="0046651A"/>
    <w:rsid w:val="004674AA"/>
    <w:rsid w:val="004714FB"/>
    <w:rsid w:val="004718BD"/>
    <w:rsid w:val="00471B86"/>
    <w:rsid w:val="00471D6F"/>
    <w:rsid w:val="00472210"/>
    <w:rsid w:val="00473C52"/>
    <w:rsid w:val="00474524"/>
    <w:rsid w:val="00475D5E"/>
    <w:rsid w:val="00475F13"/>
    <w:rsid w:val="0047661B"/>
    <w:rsid w:val="00476A2A"/>
    <w:rsid w:val="00477094"/>
    <w:rsid w:val="0047757F"/>
    <w:rsid w:val="00477AF5"/>
    <w:rsid w:val="00477CEB"/>
    <w:rsid w:val="00480B75"/>
    <w:rsid w:val="00483136"/>
    <w:rsid w:val="0048354D"/>
    <w:rsid w:val="00483FA6"/>
    <w:rsid w:val="0048489E"/>
    <w:rsid w:val="004852E3"/>
    <w:rsid w:val="00485ADC"/>
    <w:rsid w:val="00486858"/>
    <w:rsid w:val="00486C1D"/>
    <w:rsid w:val="004904F6"/>
    <w:rsid w:val="00490505"/>
    <w:rsid w:val="004908DB"/>
    <w:rsid w:val="00490E1A"/>
    <w:rsid w:val="00491DB6"/>
    <w:rsid w:val="00492636"/>
    <w:rsid w:val="004935C1"/>
    <w:rsid w:val="00493A20"/>
    <w:rsid w:val="00493C14"/>
    <w:rsid w:val="004951FE"/>
    <w:rsid w:val="00495C6A"/>
    <w:rsid w:val="004969D8"/>
    <w:rsid w:val="00496A0D"/>
    <w:rsid w:val="0049704E"/>
    <w:rsid w:val="004975FD"/>
    <w:rsid w:val="004979BF"/>
    <w:rsid w:val="004A1724"/>
    <w:rsid w:val="004A2349"/>
    <w:rsid w:val="004A31A7"/>
    <w:rsid w:val="004A435C"/>
    <w:rsid w:val="004A44DB"/>
    <w:rsid w:val="004A4D8B"/>
    <w:rsid w:val="004A4E6A"/>
    <w:rsid w:val="004A53BB"/>
    <w:rsid w:val="004A5819"/>
    <w:rsid w:val="004A5C0E"/>
    <w:rsid w:val="004A5D84"/>
    <w:rsid w:val="004A6CE0"/>
    <w:rsid w:val="004A724B"/>
    <w:rsid w:val="004A74F4"/>
    <w:rsid w:val="004B1175"/>
    <w:rsid w:val="004B1442"/>
    <w:rsid w:val="004B1766"/>
    <w:rsid w:val="004B19DD"/>
    <w:rsid w:val="004B3889"/>
    <w:rsid w:val="004B3E0D"/>
    <w:rsid w:val="004B3EA6"/>
    <w:rsid w:val="004B3F04"/>
    <w:rsid w:val="004B441B"/>
    <w:rsid w:val="004B4571"/>
    <w:rsid w:val="004B51F9"/>
    <w:rsid w:val="004B564F"/>
    <w:rsid w:val="004B6A7C"/>
    <w:rsid w:val="004B7ECE"/>
    <w:rsid w:val="004C04EA"/>
    <w:rsid w:val="004C0763"/>
    <w:rsid w:val="004C0A56"/>
    <w:rsid w:val="004C0AC1"/>
    <w:rsid w:val="004C10E7"/>
    <w:rsid w:val="004C23FB"/>
    <w:rsid w:val="004C3997"/>
    <w:rsid w:val="004C423D"/>
    <w:rsid w:val="004C4C1F"/>
    <w:rsid w:val="004C50BF"/>
    <w:rsid w:val="004C53CB"/>
    <w:rsid w:val="004C593C"/>
    <w:rsid w:val="004C629B"/>
    <w:rsid w:val="004C693B"/>
    <w:rsid w:val="004C751A"/>
    <w:rsid w:val="004C7E8B"/>
    <w:rsid w:val="004D0B15"/>
    <w:rsid w:val="004D0EBA"/>
    <w:rsid w:val="004D114D"/>
    <w:rsid w:val="004D14D3"/>
    <w:rsid w:val="004D18AC"/>
    <w:rsid w:val="004D23AD"/>
    <w:rsid w:val="004D3E58"/>
    <w:rsid w:val="004D4156"/>
    <w:rsid w:val="004D4333"/>
    <w:rsid w:val="004D6531"/>
    <w:rsid w:val="004E011D"/>
    <w:rsid w:val="004E0D15"/>
    <w:rsid w:val="004E1AC6"/>
    <w:rsid w:val="004E2434"/>
    <w:rsid w:val="004E26E2"/>
    <w:rsid w:val="004E3070"/>
    <w:rsid w:val="004E32FB"/>
    <w:rsid w:val="004E3F0C"/>
    <w:rsid w:val="004E4B5B"/>
    <w:rsid w:val="004E5779"/>
    <w:rsid w:val="004E5E51"/>
    <w:rsid w:val="004E642B"/>
    <w:rsid w:val="004E668A"/>
    <w:rsid w:val="004E7E07"/>
    <w:rsid w:val="004F32E1"/>
    <w:rsid w:val="004F34F2"/>
    <w:rsid w:val="004F3D9B"/>
    <w:rsid w:val="004F4632"/>
    <w:rsid w:val="004F46CE"/>
    <w:rsid w:val="004F46D6"/>
    <w:rsid w:val="004F5C1C"/>
    <w:rsid w:val="004F62FF"/>
    <w:rsid w:val="004F69E2"/>
    <w:rsid w:val="004F6CFB"/>
    <w:rsid w:val="004F6EA8"/>
    <w:rsid w:val="004F70A7"/>
    <w:rsid w:val="005019FE"/>
    <w:rsid w:val="00502072"/>
    <w:rsid w:val="00502C28"/>
    <w:rsid w:val="00503D06"/>
    <w:rsid w:val="00504229"/>
    <w:rsid w:val="00504370"/>
    <w:rsid w:val="00505434"/>
    <w:rsid w:val="005063FD"/>
    <w:rsid w:val="0050674F"/>
    <w:rsid w:val="005069C2"/>
    <w:rsid w:val="005070EC"/>
    <w:rsid w:val="00507747"/>
    <w:rsid w:val="00510452"/>
    <w:rsid w:val="00510AD7"/>
    <w:rsid w:val="00510EB1"/>
    <w:rsid w:val="0051164C"/>
    <w:rsid w:val="00512176"/>
    <w:rsid w:val="005122E9"/>
    <w:rsid w:val="005137DB"/>
    <w:rsid w:val="005142AC"/>
    <w:rsid w:val="0051437A"/>
    <w:rsid w:val="0051449F"/>
    <w:rsid w:val="0051508B"/>
    <w:rsid w:val="0051570C"/>
    <w:rsid w:val="00515A05"/>
    <w:rsid w:val="00515ECA"/>
    <w:rsid w:val="00516007"/>
    <w:rsid w:val="00517111"/>
    <w:rsid w:val="005203B7"/>
    <w:rsid w:val="005208BD"/>
    <w:rsid w:val="0052161C"/>
    <w:rsid w:val="00521FF6"/>
    <w:rsid w:val="0052347F"/>
    <w:rsid w:val="00527260"/>
    <w:rsid w:val="00527681"/>
    <w:rsid w:val="0052771A"/>
    <w:rsid w:val="00527FC5"/>
    <w:rsid w:val="00530245"/>
    <w:rsid w:val="00530967"/>
    <w:rsid w:val="00530DE6"/>
    <w:rsid w:val="00531FAE"/>
    <w:rsid w:val="005343BA"/>
    <w:rsid w:val="0053589B"/>
    <w:rsid w:val="00535CDB"/>
    <w:rsid w:val="00535E49"/>
    <w:rsid w:val="0053659F"/>
    <w:rsid w:val="00537D18"/>
    <w:rsid w:val="00537D95"/>
    <w:rsid w:val="005417AF"/>
    <w:rsid w:val="00541D7D"/>
    <w:rsid w:val="00543780"/>
    <w:rsid w:val="005442D1"/>
    <w:rsid w:val="005450EB"/>
    <w:rsid w:val="0054574A"/>
    <w:rsid w:val="00545AC2"/>
    <w:rsid w:val="00546646"/>
    <w:rsid w:val="0054665C"/>
    <w:rsid w:val="00547A43"/>
    <w:rsid w:val="00550C47"/>
    <w:rsid w:val="00552694"/>
    <w:rsid w:val="00552D45"/>
    <w:rsid w:val="0055337B"/>
    <w:rsid w:val="0055377C"/>
    <w:rsid w:val="00553860"/>
    <w:rsid w:val="005541F4"/>
    <w:rsid w:val="005545FE"/>
    <w:rsid w:val="00554717"/>
    <w:rsid w:val="00555261"/>
    <w:rsid w:val="00556DE6"/>
    <w:rsid w:val="005574AF"/>
    <w:rsid w:val="0055785D"/>
    <w:rsid w:val="005578C6"/>
    <w:rsid w:val="00557A53"/>
    <w:rsid w:val="0056090E"/>
    <w:rsid w:val="005613B3"/>
    <w:rsid w:val="00561ED7"/>
    <w:rsid w:val="00562166"/>
    <w:rsid w:val="00562995"/>
    <w:rsid w:val="00563855"/>
    <w:rsid w:val="005642DD"/>
    <w:rsid w:val="00564453"/>
    <w:rsid w:val="00566025"/>
    <w:rsid w:val="0056611F"/>
    <w:rsid w:val="005666D7"/>
    <w:rsid w:val="005676A0"/>
    <w:rsid w:val="00567ADA"/>
    <w:rsid w:val="005718D7"/>
    <w:rsid w:val="00571AFD"/>
    <w:rsid w:val="00571BEE"/>
    <w:rsid w:val="00571C08"/>
    <w:rsid w:val="00571C69"/>
    <w:rsid w:val="00572232"/>
    <w:rsid w:val="005722E9"/>
    <w:rsid w:val="00572D52"/>
    <w:rsid w:val="00573D34"/>
    <w:rsid w:val="00573F62"/>
    <w:rsid w:val="00574588"/>
    <w:rsid w:val="00574592"/>
    <w:rsid w:val="00574619"/>
    <w:rsid w:val="005746F6"/>
    <w:rsid w:val="00574E26"/>
    <w:rsid w:val="00575D36"/>
    <w:rsid w:val="005761EE"/>
    <w:rsid w:val="00576C13"/>
    <w:rsid w:val="00576CB6"/>
    <w:rsid w:val="00576CF4"/>
    <w:rsid w:val="00577164"/>
    <w:rsid w:val="00577D9F"/>
    <w:rsid w:val="00580391"/>
    <w:rsid w:val="0058086E"/>
    <w:rsid w:val="005818DE"/>
    <w:rsid w:val="00581AC8"/>
    <w:rsid w:val="00581CC1"/>
    <w:rsid w:val="00584718"/>
    <w:rsid w:val="00584D4C"/>
    <w:rsid w:val="005861DC"/>
    <w:rsid w:val="0058622F"/>
    <w:rsid w:val="00586418"/>
    <w:rsid w:val="00587350"/>
    <w:rsid w:val="005874B8"/>
    <w:rsid w:val="00587BA9"/>
    <w:rsid w:val="0059007C"/>
    <w:rsid w:val="00590699"/>
    <w:rsid w:val="00591A31"/>
    <w:rsid w:val="00591E29"/>
    <w:rsid w:val="00592318"/>
    <w:rsid w:val="00594C44"/>
    <w:rsid w:val="0059556C"/>
    <w:rsid w:val="00596B76"/>
    <w:rsid w:val="00597DD9"/>
    <w:rsid w:val="005A0ACF"/>
    <w:rsid w:val="005A0C34"/>
    <w:rsid w:val="005A2501"/>
    <w:rsid w:val="005A292F"/>
    <w:rsid w:val="005A2FF8"/>
    <w:rsid w:val="005A34B6"/>
    <w:rsid w:val="005A390E"/>
    <w:rsid w:val="005A3E34"/>
    <w:rsid w:val="005A44FF"/>
    <w:rsid w:val="005A4BD9"/>
    <w:rsid w:val="005A4D8E"/>
    <w:rsid w:val="005A51C6"/>
    <w:rsid w:val="005A576D"/>
    <w:rsid w:val="005A5BAB"/>
    <w:rsid w:val="005A5CB3"/>
    <w:rsid w:val="005A6604"/>
    <w:rsid w:val="005A78DE"/>
    <w:rsid w:val="005A7E09"/>
    <w:rsid w:val="005B08A6"/>
    <w:rsid w:val="005B0F22"/>
    <w:rsid w:val="005B0F27"/>
    <w:rsid w:val="005B1A31"/>
    <w:rsid w:val="005B1B6C"/>
    <w:rsid w:val="005B2B4F"/>
    <w:rsid w:val="005B2CB5"/>
    <w:rsid w:val="005B3439"/>
    <w:rsid w:val="005B4653"/>
    <w:rsid w:val="005B4E45"/>
    <w:rsid w:val="005B4E85"/>
    <w:rsid w:val="005B5E17"/>
    <w:rsid w:val="005B6419"/>
    <w:rsid w:val="005B6CC1"/>
    <w:rsid w:val="005C1943"/>
    <w:rsid w:val="005C22C2"/>
    <w:rsid w:val="005C2322"/>
    <w:rsid w:val="005C501A"/>
    <w:rsid w:val="005C5673"/>
    <w:rsid w:val="005C6D52"/>
    <w:rsid w:val="005C6F67"/>
    <w:rsid w:val="005C7858"/>
    <w:rsid w:val="005C7A9A"/>
    <w:rsid w:val="005C7FCE"/>
    <w:rsid w:val="005D05FD"/>
    <w:rsid w:val="005D11A5"/>
    <w:rsid w:val="005D1A7D"/>
    <w:rsid w:val="005D3508"/>
    <w:rsid w:val="005D48E0"/>
    <w:rsid w:val="005D4BC8"/>
    <w:rsid w:val="005D55D6"/>
    <w:rsid w:val="005D593D"/>
    <w:rsid w:val="005D65FF"/>
    <w:rsid w:val="005D6E43"/>
    <w:rsid w:val="005D717B"/>
    <w:rsid w:val="005D769A"/>
    <w:rsid w:val="005D7FC2"/>
    <w:rsid w:val="005E092E"/>
    <w:rsid w:val="005E1DD8"/>
    <w:rsid w:val="005E1EA0"/>
    <w:rsid w:val="005E1F6F"/>
    <w:rsid w:val="005E4132"/>
    <w:rsid w:val="005E58E1"/>
    <w:rsid w:val="005E5F8B"/>
    <w:rsid w:val="005F0EC7"/>
    <w:rsid w:val="005F105B"/>
    <w:rsid w:val="005F1295"/>
    <w:rsid w:val="005F2075"/>
    <w:rsid w:val="005F2341"/>
    <w:rsid w:val="005F2B48"/>
    <w:rsid w:val="005F3ADE"/>
    <w:rsid w:val="005F432C"/>
    <w:rsid w:val="005F4B41"/>
    <w:rsid w:val="005F4F2A"/>
    <w:rsid w:val="005F5099"/>
    <w:rsid w:val="005F73A6"/>
    <w:rsid w:val="006002FC"/>
    <w:rsid w:val="00600D9B"/>
    <w:rsid w:val="0060128D"/>
    <w:rsid w:val="006015EB"/>
    <w:rsid w:val="006021B4"/>
    <w:rsid w:val="00602BDA"/>
    <w:rsid w:val="0060305B"/>
    <w:rsid w:val="0060308F"/>
    <w:rsid w:val="0060552B"/>
    <w:rsid w:val="00606E04"/>
    <w:rsid w:val="00607B8A"/>
    <w:rsid w:val="00611A97"/>
    <w:rsid w:val="00611B3C"/>
    <w:rsid w:val="00611C5C"/>
    <w:rsid w:val="00612686"/>
    <w:rsid w:val="006131E9"/>
    <w:rsid w:val="0061392C"/>
    <w:rsid w:val="00613C92"/>
    <w:rsid w:val="00615685"/>
    <w:rsid w:val="00616069"/>
    <w:rsid w:val="00616FDD"/>
    <w:rsid w:val="00617E42"/>
    <w:rsid w:val="00617E6C"/>
    <w:rsid w:val="006203EC"/>
    <w:rsid w:val="00622015"/>
    <w:rsid w:val="00622191"/>
    <w:rsid w:val="006228C3"/>
    <w:rsid w:val="00622D62"/>
    <w:rsid w:val="00622D80"/>
    <w:rsid w:val="0062336F"/>
    <w:rsid w:val="00623D41"/>
    <w:rsid w:val="00624A28"/>
    <w:rsid w:val="00624E5B"/>
    <w:rsid w:val="006264F1"/>
    <w:rsid w:val="00626A29"/>
    <w:rsid w:val="00626AF4"/>
    <w:rsid w:val="00626CB1"/>
    <w:rsid w:val="00626CBB"/>
    <w:rsid w:val="00627894"/>
    <w:rsid w:val="00627FF6"/>
    <w:rsid w:val="00630506"/>
    <w:rsid w:val="00630BC9"/>
    <w:rsid w:val="006320CB"/>
    <w:rsid w:val="0063314F"/>
    <w:rsid w:val="0063422F"/>
    <w:rsid w:val="006354FF"/>
    <w:rsid w:val="00635832"/>
    <w:rsid w:val="00635AB6"/>
    <w:rsid w:val="006361B1"/>
    <w:rsid w:val="006365E9"/>
    <w:rsid w:val="00636E18"/>
    <w:rsid w:val="0063705B"/>
    <w:rsid w:val="00637228"/>
    <w:rsid w:val="006406FA"/>
    <w:rsid w:val="00641532"/>
    <w:rsid w:val="00641E0B"/>
    <w:rsid w:val="0064225E"/>
    <w:rsid w:val="0064298D"/>
    <w:rsid w:val="0064364F"/>
    <w:rsid w:val="006445A3"/>
    <w:rsid w:val="00645115"/>
    <w:rsid w:val="006462F1"/>
    <w:rsid w:val="006464CF"/>
    <w:rsid w:val="00647A7A"/>
    <w:rsid w:val="00650724"/>
    <w:rsid w:val="0065124E"/>
    <w:rsid w:val="006513A0"/>
    <w:rsid w:val="00652C4F"/>
    <w:rsid w:val="0065308E"/>
    <w:rsid w:val="006534DC"/>
    <w:rsid w:val="006541D1"/>
    <w:rsid w:val="00654860"/>
    <w:rsid w:val="00654F37"/>
    <w:rsid w:val="00655662"/>
    <w:rsid w:val="00656ABE"/>
    <w:rsid w:val="00657521"/>
    <w:rsid w:val="0066000B"/>
    <w:rsid w:val="0066030A"/>
    <w:rsid w:val="00660931"/>
    <w:rsid w:val="00660DB9"/>
    <w:rsid w:val="00661956"/>
    <w:rsid w:val="00661C43"/>
    <w:rsid w:val="00662C23"/>
    <w:rsid w:val="00663A53"/>
    <w:rsid w:val="0066473E"/>
    <w:rsid w:val="00664F66"/>
    <w:rsid w:val="00665069"/>
    <w:rsid w:val="0066537B"/>
    <w:rsid w:val="00665718"/>
    <w:rsid w:val="00665E8C"/>
    <w:rsid w:val="00665F6E"/>
    <w:rsid w:val="0066692E"/>
    <w:rsid w:val="00666CC6"/>
    <w:rsid w:val="006677D7"/>
    <w:rsid w:val="00667828"/>
    <w:rsid w:val="00667AF6"/>
    <w:rsid w:val="00670CDD"/>
    <w:rsid w:val="00670F37"/>
    <w:rsid w:val="00672277"/>
    <w:rsid w:val="00674930"/>
    <w:rsid w:val="00676079"/>
    <w:rsid w:val="00676326"/>
    <w:rsid w:val="006777C7"/>
    <w:rsid w:val="00677FE7"/>
    <w:rsid w:val="006830CE"/>
    <w:rsid w:val="006839E8"/>
    <w:rsid w:val="00683D65"/>
    <w:rsid w:val="00684AB4"/>
    <w:rsid w:val="00684FDE"/>
    <w:rsid w:val="006851CB"/>
    <w:rsid w:val="00685F12"/>
    <w:rsid w:val="00687672"/>
    <w:rsid w:val="00690239"/>
    <w:rsid w:val="00690FB6"/>
    <w:rsid w:val="00691287"/>
    <w:rsid w:val="006919FC"/>
    <w:rsid w:val="00693034"/>
    <w:rsid w:val="0069373F"/>
    <w:rsid w:val="00693FDC"/>
    <w:rsid w:val="006963D2"/>
    <w:rsid w:val="00696748"/>
    <w:rsid w:val="00697FEB"/>
    <w:rsid w:val="006A02C9"/>
    <w:rsid w:val="006A0B4A"/>
    <w:rsid w:val="006A0D71"/>
    <w:rsid w:val="006A0E7E"/>
    <w:rsid w:val="006A0F4A"/>
    <w:rsid w:val="006A1D16"/>
    <w:rsid w:val="006A1EA8"/>
    <w:rsid w:val="006A4300"/>
    <w:rsid w:val="006A4428"/>
    <w:rsid w:val="006A7BEA"/>
    <w:rsid w:val="006A7D62"/>
    <w:rsid w:val="006B120F"/>
    <w:rsid w:val="006B1FE2"/>
    <w:rsid w:val="006B2EBD"/>
    <w:rsid w:val="006B2F86"/>
    <w:rsid w:val="006B3690"/>
    <w:rsid w:val="006B37A6"/>
    <w:rsid w:val="006B3C0D"/>
    <w:rsid w:val="006B4649"/>
    <w:rsid w:val="006C0355"/>
    <w:rsid w:val="006C090C"/>
    <w:rsid w:val="006C13D5"/>
    <w:rsid w:val="006C3A40"/>
    <w:rsid w:val="006C3F79"/>
    <w:rsid w:val="006C4E8E"/>
    <w:rsid w:val="006C53A0"/>
    <w:rsid w:val="006C5E9B"/>
    <w:rsid w:val="006C6628"/>
    <w:rsid w:val="006C6D77"/>
    <w:rsid w:val="006C7240"/>
    <w:rsid w:val="006C74D6"/>
    <w:rsid w:val="006C7663"/>
    <w:rsid w:val="006D0EE8"/>
    <w:rsid w:val="006D12C7"/>
    <w:rsid w:val="006D175B"/>
    <w:rsid w:val="006D1BF7"/>
    <w:rsid w:val="006D23EF"/>
    <w:rsid w:val="006D457D"/>
    <w:rsid w:val="006D59F8"/>
    <w:rsid w:val="006D61DA"/>
    <w:rsid w:val="006D6AF7"/>
    <w:rsid w:val="006D6EBB"/>
    <w:rsid w:val="006D781E"/>
    <w:rsid w:val="006D7F80"/>
    <w:rsid w:val="006D7FC7"/>
    <w:rsid w:val="006E00DA"/>
    <w:rsid w:val="006E04F7"/>
    <w:rsid w:val="006E0941"/>
    <w:rsid w:val="006E0B68"/>
    <w:rsid w:val="006E0EAD"/>
    <w:rsid w:val="006E1DC5"/>
    <w:rsid w:val="006E2E7E"/>
    <w:rsid w:val="006E2EFD"/>
    <w:rsid w:val="006E3420"/>
    <w:rsid w:val="006E39D7"/>
    <w:rsid w:val="006E3BD0"/>
    <w:rsid w:val="006E3FA9"/>
    <w:rsid w:val="006E4444"/>
    <w:rsid w:val="006E4D14"/>
    <w:rsid w:val="006E6866"/>
    <w:rsid w:val="006E702B"/>
    <w:rsid w:val="006E7DC6"/>
    <w:rsid w:val="006F01FC"/>
    <w:rsid w:val="006F0349"/>
    <w:rsid w:val="006F08E1"/>
    <w:rsid w:val="006F0E10"/>
    <w:rsid w:val="006F13D2"/>
    <w:rsid w:val="006F1A53"/>
    <w:rsid w:val="006F2196"/>
    <w:rsid w:val="006F2B29"/>
    <w:rsid w:val="006F3240"/>
    <w:rsid w:val="006F3620"/>
    <w:rsid w:val="006F3D73"/>
    <w:rsid w:val="006F5A87"/>
    <w:rsid w:val="006F747C"/>
    <w:rsid w:val="006F74BF"/>
    <w:rsid w:val="006F7BDA"/>
    <w:rsid w:val="00700C93"/>
    <w:rsid w:val="00701FC8"/>
    <w:rsid w:val="0070288A"/>
    <w:rsid w:val="00702D07"/>
    <w:rsid w:val="00703676"/>
    <w:rsid w:val="00706655"/>
    <w:rsid w:val="007078D6"/>
    <w:rsid w:val="007106DD"/>
    <w:rsid w:val="00710F87"/>
    <w:rsid w:val="00711217"/>
    <w:rsid w:val="007116F8"/>
    <w:rsid w:val="00712900"/>
    <w:rsid w:val="007133E9"/>
    <w:rsid w:val="007137B3"/>
    <w:rsid w:val="00713BD4"/>
    <w:rsid w:val="00714542"/>
    <w:rsid w:val="007146AA"/>
    <w:rsid w:val="00714837"/>
    <w:rsid w:val="00714EF0"/>
    <w:rsid w:val="00714F04"/>
    <w:rsid w:val="00715087"/>
    <w:rsid w:val="00715712"/>
    <w:rsid w:val="007158C7"/>
    <w:rsid w:val="00715D0C"/>
    <w:rsid w:val="0071628B"/>
    <w:rsid w:val="00716F27"/>
    <w:rsid w:val="00717727"/>
    <w:rsid w:val="00717B00"/>
    <w:rsid w:val="00720B68"/>
    <w:rsid w:val="00720DE3"/>
    <w:rsid w:val="00721C6A"/>
    <w:rsid w:val="007222B0"/>
    <w:rsid w:val="007227EC"/>
    <w:rsid w:val="00722F2C"/>
    <w:rsid w:val="00723293"/>
    <w:rsid w:val="00723439"/>
    <w:rsid w:val="00723CB3"/>
    <w:rsid w:val="00724D46"/>
    <w:rsid w:val="007252D4"/>
    <w:rsid w:val="007263EF"/>
    <w:rsid w:val="00727012"/>
    <w:rsid w:val="0072723A"/>
    <w:rsid w:val="007279EC"/>
    <w:rsid w:val="00727D29"/>
    <w:rsid w:val="00730818"/>
    <w:rsid w:val="00730E2D"/>
    <w:rsid w:val="0073142D"/>
    <w:rsid w:val="0073237F"/>
    <w:rsid w:val="007323B9"/>
    <w:rsid w:val="007330A4"/>
    <w:rsid w:val="00733C05"/>
    <w:rsid w:val="00734568"/>
    <w:rsid w:val="0073460E"/>
    <w:rsid w:val="007349F9"/>
    <w:rsid w:val="00734A12"/>
    <w:rsid w:val="00735CDE"/>
    <w:rsid w:val="00736EAE"/>
    <w:rsid w:val="00737F9B"/>
    <w:rsid w:val="007402C2"/>
    <w:rsid w:val="0074044C"/>
    <w:rsid w:val="007405B1"/>
    <w:rsid w:val="00740AF0"/>
    <w:rsid w:val="007419ED"/>
    <w:rsid w:val="00742174"/>
    <w:rsid w:val="00742C4C"/>
    <w:rsid w:val="007431F0"/>
    <w:rsid w:val="00743577"/>
    <w:rsid w:val="007435D3"/>
    <w:rsid w:val="00744220"/>
    <w:rsid w:val="00744C66"/>
    <w:rsid w:val="007464CC"/>
    <w:rsid w:val="00747238"/>
    <w:rsid w:val="00747B4B"/>
    <w:rsid w:val="00747D5E"/>
    <w:rsid w:val="00750679"/>
    <w:rsid w:val="00751EDA"/>
    <w:rsid w:val="00754003"/>
    <w:rsid w:val="00754851"/>
    <w:rsid w:val="007575D0"/>
    <w:rsid w:val="00757649"/>
    <w:rsid w:val="00760944"/>
    <w:rsid w:val="007609D5"/>
    <w:rsid w:val="00760C75"/>
    <w:rsid w:val="007611AD"/>
    <w:rsid w:val="0076126B"/>
    <w:rsid w:val="007613B3"/>
    <w:rsid w:val="00762FBA"/>
    <w:rsid w:val="0076316D"/>
    <w:rsid w:val="00763FB6"/>
    <w:rsid w:val="0076473F"/>
    <w:rsid w:val="00764748"/>
    <w:rsid w:val="00765515"/>
    <w:rsid w:val="00765F2A"/>
    <w:rsid w:val="00766F28"/>
    <w:rsid w:val="007713E8"/>
    <w:rsid w:val="00771967"/>
    <w:rsid w:val="00771AA1"/>
    <w:rsid w:val="00772FC8"/>
    <w:rsid w:val="0077322C"/>
    <w:rsid w:val="00774715"/>
    <w:rsid w:val="007747EE"/>
    <w:rsid w:val="00774999"/>
    <w:rsid w:val="00774F98"/>
    <w:rsid w:val="00776623"/>
    <w:rsid w:val="007768F5"/>
    <w:rsid w:val="0077735A"/>
    <w:rsid w:val="0078095B"/>
    <w:rsid w:val="00780D10"/>
    <w:rsid w:val="007813D1"/>
    <w:rsid w:val="00782158"/>
    <w:rsid w:val="007821BC"/>
    <w:rsid w:val="007826E0"/>
    <w:rsid w:val="0078271A"/>
    <w:rsid w:val="00783194"/>
    <w:rsid w:val="00783455"/>
    <w:rsid w:val="007835D5"/>
    <w:rsid w:val="0078383A"/>
    <w:rsid w:val="00783BA7"/>
    <w:rsid w:val="007853F8"/>
    <w:rsid w:val="0078687A"/>
    <w:rsid w:val="00786AA2"/>
    <w:rsid w:val="00786BB9"/>
    <w:rsid w:val="00786FE5"/>
    <w:rsid w:val="007870B3"/>
    <w:rsid w:val="00787297"/>
    <w:rsid w:val="007877DC"/>
    <w:rsid w:val="0079039B"/>
    <w:rsid w:val="007908E2"/>
    <w:rsid w:val="00792C45"/>
    <w:rsid w:val="00793842"/>
    <w:rsid w:val="00794379"/>
    <w:rsid w:val="007953B5"/>
    <w:rsid w:val="00795F3C"/>
    <w:rsid w:val="00796271"/>
    <w:rsid w:val="00796431"/>
    <w:rsid w:val="007964DC"/>
    <w:rsid w:val="007967E6"/>
    <w:rsid w:val="00797D07"/>
    <w:rsid w:val="00797EC1"/>
    <w:rsid w:val="007A03B9"/>
    <w:rsid w:val="007A06C5"/>
    <w:rsid w:val="007A0B4E"/>
    <w:rsid w:val="007A117C"/>
    <w:rsid w:val="007A19E3"/>
    <w:rsid w:val="007A2635"/>
    <w:rsid w:val="007A3BFB"/>
    <w:rsid w:val="007A5DE7"/>
    <w:rsid w:val="007A69A5"/>
    <w:rsid w:val="007A6B52"/>
    <w:rsid w:val="007A6C81"/>
    <w:rsid w:val="007A7B10"/>
    <w:rsid w:val="007B02A8"/>
    <w:rsid w:val="007B0B30"/>
    <w:rsid w:val="007B129D"/>
    <w:rsid w:val="007B219A"/>
    <w:rsid w:val="007B31A6"/>
    <w:rsid w:val="007B4508"/>
    <w:rsid w:val="007B5E3D"/>
    <w:rsid w:val="007B6B28"/>
    <w:rsid w:val="007B79F6"/>
    <w:rsid w:val="007B7B44"/>
    <w:rsid w:val="007C0E2D"/>
    <w:rsid w:val="007C1271"/>
    <w:rsid w:val="007C12F0"/>
    <w:rsid w:val="007C15B2"/>
    <w:rsid w:val="007C4747"/>
    <w:rsid w:val="007C4C83"/>
    <w:rsid w:val="007C525A"/>
    <w:rsid w:val="007C533A"/>
    <w:rsid w:val="007C591A"/>
    <w:rsid w:val="007C6206"/>
    <w:rsid w:val="007C6225"/>
    <w:rsid w:val="007C64E2"/>
    <w:rsid w:val="007C7C72"/>
    <w:rsid w:val="007D065D"/>
    <w:rsid w:val="007D1196"/>
    <w:rsid w:val="007D1E88"/>
    <w:rsid w:val="007D275E"/>
    <w:rsid w:val="007D2928"/>
    <w:rsid w:val="007D37BA"/>
    <w:rsid w:val="007D3850"/>
    <w:rsid w:val="007D3F75"/>
    <w:rsid w:val="007D4025"/>
    <w:rsid w:val="007D66F0"/>
    <w:rsid w:val="007D73E5"/>
    <w:rsid w:val="007D750A"/>
    <w:rsid w:val="007D7523"/>
    <w:rsid w:val="007E0084"/>
    <w:rsid w:val="007E0678"/>
    <w:rsid w:val="007E0A18"/>
    <w:rsid w:val="007E0EF4"/>
    <w:rsid w:val="007E1035"/>
    <w:rsid w:val="007E18D1"/>
    <w:rsid w:val="007E199C"/>
    <w:rsid w:val="007E2A76"/>
    <w:rsid w:val="007E4D07"/>
    <w:rsid w:val="007E581F"/>
    <w:rsid w:val="007E722A"/>
    <w:rsid w:val="007E72EF"/>
    <w:rsid w:val="007E770A"/>
    <w:rsid w:val="007E7968"/>
    <w:rsid w:val="007E7C0D"/>
    <w:rsid w:val="007F0CB0"/>
    <w:rsid w:val="007F1600"/>
    <w:rsid w:val="007F166D"/>
    <w:rsid w:val="007F1EDF"/>
    <w:rsid w:val="007F2054"/>
    <w:rsid w:val="007F299B"/>
    <w:rsid w:val="007F365B"/>
    <w:rsid w:val="007F3B50"/>
    <w:rsid w:val="007F4023"/>
    <w:rsid w:val="007F40D6"/>
    <w:rsid w:val="007F41A0"/>
    <w:rsid w:val="007F5346"/>
    <w:rsid w:val="007F690B"/>
    <w:rsid w:val="007F6FBE"/>
    <w:rsid w:val="007F742B"/>
    <w:rsid w:val="007F7CBC"/>
    <w:rsid w:val="00800C45"/>
    <w:rsid w:val="0080130F"/>
    <w:rsid w:val="008026FE"/>
    <w:rsid w:val="00802F9F"/>
    <w:rsid w:val="0080372E"/>
    <w:rsid w:val="00803E55"/>
    <w:rsid w:val="00804358"/>
    <w:rsid w:val="00804F92"/>
    <w:rsid w:val="00807F19"/>
    <w:rsid w:val="00807F85"/>
    <w:rsid w:val="0081060D"/>
    <w:rsid w:val="00810A52"/>
    <w:rsid w:val="00810DCF"/>
    <w:rsid w:val="008110C4"/>
    <w:rsid w:val="00811527"/>
    <w:rsid w:val="00811F2C"/>
    <w:rsid w:val="00811FE2"/>
    <w:rsid w:val="008134F5"/>
    <w:rsid w:val="00813D03"/>
    <w:rsid w:val="00814399"/>
    <w:rsid w:val="00815A51"/>
    <w:rsid w:val="00817CF6"/>
    <w:rsid w:val="008208F2"/>
    <w:rsid w:val="00820A66"/>
    <w:rsid w:val="00820F38"/>
    <w:rsid w:val="00822D27"/>
    <w:rsid w:val="008242DA"/>
    <w:rsid w:val="00824A84"/>
    <w:rsid w:val="00826371"/>
    <w:rsid w:val="0082668B"/>
    <w:rsid w:val="0082687A"/>
    <w:rsid w:val="008272AC"/>
    <w:rsid w:val="00830214"/>
    <w:rsid w:val="00830902"/>
    <w:rsid w:val="00832118"/>
    <w:rsid w:val="00832C2F"/>
    <w:rsid w:val="00833EC7"/>
    <w:rsid w:val="00834366"/>
    <w:rsid w:val="008358AE"/>
    <w:rsid w:val="008363D1"/>
    <w:rsid w:val="00836C3B"/>
    <w:rsid w:val="008404FF"/>
    <w:rsid w:val="00840749"/>
    <w:rsid w:val="00840F7C"/>
    <w:rsid w:val="008412E1"/>
    <w:rsid w:val="008413A8"/>
    <w:rsid w:val="00842443"/>
    <w:rsid w:val="00843285"/>
    <w:rsid w:val="00843286"/>
    <w:rsid w:val="00843386"/>
    <w:rsid w:val="00844479"/>
    <w:rsid w:val="00844C79"/>
    <w:rsid w:val="00846122"/>
    <w:rsid w:val="008466C4"/>
    <w:rsid w:val="00850FDB"/>
    <w:rsid w:val="008510D6"/>
    <w:rsid w:val="008522B5"/>
    <w:rsid w:val="0085346F"/>
    <w:rsid w:val="00853C4A"/>
    <w:rsid w:val="00854190"/>
    <w:rsid w:val="00854682"/>
    <w:rsid w:val="00855DA1"/>
    <w:rsid w:val="00856359"/>
    <w:rsid w:val="008569DC"/>
    <w:rsid w:val="00856DA4"/>
    <w:rsid w:val="00857078"/>
    <w:rsid w:val="00857A3C"/>
    <w:rsid w:val="00860613"/>
    <w:rsid w:val="00861279"/>
    <w:rsid w:val="008612B4"/>
    <w:rsid w:val="00862A90"/>
    <w:rsid w:val="00863D31"/>
    <w:rsid w:val="00863D50"/>
    <w:rsid w:val="0086454A"/>
    <w:rsid w:val="00866E95"/>
    <w:rsid w:val="00867E88"/>
    <w:rsid w:val="00870102"/>
    <w:rsid w:val="00870456"/>
    <w:rsid w:val="008721A5"/>
    <w:rsid w:val="008723A8"/>
    <w:rsid w:val="00872847"/>
    <w:rsid w:val="00872C9B"/>
    <w:rsid w:val="00872E78"/>
    <w:rsid w:val="00872FDB"/>
    <w:rsid w:val="00873451"/>
    <w:rsid w:val="00873471"/>
    <w:rsid w:val="00873C14"/>
    <w:rsid w:val="0087619E"/>
    <w:rsid w:val="00877706"/>
    <w:rsid w:val="00877F7D"/>
    <w:rsid w:val="008811FC"/>
    <w:rsid w:val="00881D54"/>
    <w:rsid w:val="008825CE"/>
    <w:rsid w:val="0088366A"/>
    <w:rsid w:val="00883A3C"/>
    <w:rsid w:val="0088460D"/>
    <w:rsid w:val="008857AA"/>
    <w:rsid w:val="00885FA2"/>
    <w:rsid w:val="0088688E"/>
    <w:rsid w:val="00887608"/>
    <w:rsid w:val="00887ABB"/>
    <w:rsid w:val="00887FD1"/>
    <w:rsid w:val="008900AF"/>
    <w:rsid w:val="008906E6"/>
    <w:rsid w:val="00890AD0"/>
    <w:rsid w:val="00890B66"/>
    <w:rsid w:val="00891109"/>
    <w:rsid w:val="00891BA0"/>
    <w:rsid w:val="00891BF0"/>
    <w:rsid w:val="00891F38"/>
    <w:rsid w:val="00893E0C"/>
    <w:rsid w:val="00893E72"/>
    <w:rsid w:val="00896BC2"/>
    <w:rsid w:val="00896C06"/>
    <w:rsid w:val="008A072D"/>
    <w:rsid w:val="008A1815"/>
    <w:rsid w:val="008A1C42"/>
    <w:rsid w:val="008A2D63"/>
    <w:rsid w:val="008A2FA0"/>
    <w:rsid w:val="008A3348"/>
    <w:rsid w:val="008A3666"/>
    <w:rsid w:val="008A3889"/>
    <w:rsid w:val="008A4BAF"/>
    <w:rsid w:val="008A56CE"/>
    <w:rsid w:val="008A5CE1"/>
    <w:rsid w:val="008A5EE6"/>
    <w:rsid w:val="008A6398"/>
    <w:rsid w:val="008B048B"/>
    <w:rsid w:val="008B08D3"/>
    <w:rsid w:val="008B19B7"/>
    <w:rsid w:val="008B19E5"/>
    <w:rsid w:val="008B1C16"/>
    <w:rsid w:val="008B2AC1"/>
    <w:rsid w:val="008B2D32"/>
    <w:rsid w:val="008B2E9A"/>
    <w:rsid w:val="008B2EB5"/>
    <w:rsid w:val="008B3ADE"/>
    <w:rsid w:val="008B44C3"/>
    <w:rsid w:val="008B5255"/>
    <w:rsid w:val="008B5613"/>
    <w:rsid w:val="008B62E9"/>
    <w:rsid w:val="008B7050"/>
    <w:rsid w:val="008B7162"/>
    <w:rsid w:val="008C1507"/>
    <w:rsid w:val="008C19A3"/>
    <w:rsid w:val="008C2501"/>
    <w:rsid w:val="008C383B"/>
    <w:rsid w:val="008C3A5F"/>
    <w:rsid w:val="008C44A7"/>
    <w:rsid w:val="008C5671"/>
    <w:rsid w:val="008C59BA"/>
    <w:rsid w:val="008C5D4D"/>
    <w:rsid w:val="008C6671"/>
    <w:rsid w:val="008C739D"/>
    <w:rsid w:val="008C7707"/>
    <w:rsid w:val="008D1695"/>
    <w:rsid w:val="008D22DA"/>
    <w:rsid w:val="008D3273"/>
    <w:rsid w:val="008D3CA0"/>
    <w:rsid w:val="008D4696"/>
    <w:rsid w:val="008D6805"/>
    <w:rsid w:val="008D6CA8"/>
    <w:rsid w:val="008D733D"/>
    <w:rsid w:val="008E0A95"/>
    <w:rsid w:val="008E136A"/>
    <w:rsid w:val="008E14A5"/>
    <w:rsid w:val="008E2336"/>
    <w:rsid w:val="008E27A7"/>
    <w:rsid w:val="008E33F9"/>
    <w:rsid w:val="008E34A2"/>
    <w:rsid w:val="008E34AE"/>
    <w:rsid w:val="008E3D1C"/>
    <w:rsid w:val="008E4D1F"/>
    <w:rsid w:val="008E694D"/>
    <w:rsid w:val="008E78B4"/>
    <w:rsid w:val="008F047E"/>
    <w:rsid w:val="008F2841"/>
    <w:rsid w:val="008F2959"/>
    <w:rsid w:val="008F399F"/>
    <w:rsid w:val="008F39F1"/>
    <w:rsid w:val="008F432C"/>
    <w:rsid w:val="008F6034"/>
    <w:rsid w:val="008F7859"/>
    <w:rsid w:val="008F7ADB"/>
    <w:rsid w:val="008F7CC9"/>
    <w:rsid w:val="009001B0"/>
    <w:rsid w:val="00900940"/>
    <w:rsid w:val="00900CC0"/>
    <w:rsid w:val="0090288E"/>
    <w:rsid w:val="009038F9"/>
    <w:rsid w:val="00905028"/>
    <w:rsid w:val="009055D6"/>
    <w:rsid w:val="00905AAB"/>
    <w:rsid w:val="009068C3"/>
    <w:rsid w:val="00906F53"/>
    <w:rsid w:val="0090775D"/>
    <w:rsid w:val="00910432"/>
    <w:rsid w:val="0091050C"/>
    <w:rsid w:val="00911865"/>
    <w:rsid w:val="00911A8D"/>
    <w:rsid w:val="00912D34"/>
    <w:rsid w:val="009139AF"/>
    <w:rsid w:val="009148EC"/>
    <w:rsid w:val="00914BFD"/>
    <w:rsid w:val="00914CD2"/>
    <w:rsid w:val="00915EF9"/>
    <w:rsid w:val="009174DB"/>
    <w:rsid w:val="009174F6"/>
    <w:rsid w:val="00917A99"/>
    <w:rsid w:val="00920831"/>
    <w:rsid w:val="00921BFB"/>
    <w:rsid w:val="00921EF9"/>
    <w:rsid w:val="00922AFA"/>
    <w:rsid w:val="00922BF2"/>
    <w:rsid w:val="009234FD"/>
    <w:rsid w:val="00923665"/>
    <w:rsid w:val="00924258"/>
    <w:rsid w:val="00924973"/>
    <w:rsid w:val="00924ED5"/>
    <w:rsid w:val="0092631A"/>
    <w:rsid w:val="009272E3"/>
    <w:rsid w:val="009311DF"/>
    <w:rsid w:val="009314B6"/>
    <w:rsid w:val="0093152E"/>
    <w:rsid w:val="009315A3"/>
    <w:rsid w:val="00931779"/>
    <w:rsid w:val="00931E42"/>
    <w:rsid w:val="0093252C"/>
    <w:rsid w:val="0093283A"/>
    <w:rsid w:val="0093430F"/>
    <w:rsid w:val="00935AC3"/>
    <w:rsid w:val="00935EAC"/>
    <w:rsid w:val="00937529"/>
    <w:rsid w:val="00940DF7"/>
    <w:rsid w:val="00940F2E"/>
    <w:rsid w:val="00942405"/>
    <w:rsid w:val="00942818"/>
    <w:rsid w:val="00942AD5"/>
    <w:rsid w:val="00942F66"/>
    <w:rsid w:val="00943510"/>
    <w:rsid w:val="00943A66"/>
    <w:rsid w:val="00944371"/>
    <w:rsid w:val="00944529"/>
    <w:rsid w:val="00944CB3"/>
    <w:rsid w:val="00944D10"/>
    <w:rsid w:val="009450BA"/>
    <w:rsid w:val="009454B6"/>
    <w:rsid w:val="009460DF"/>
    <w:rsid w:val="00946929"/>
    <w:rsid w:val="00946D29"/>
    <w:rsid w:val="009474F2"/>
    <w:rsid w:val="00950E7E"/>
    <w:rsid w:val="00952AEF"/>
    <w:rsid w:val="00955C33"/>
    <w:rsid w:val="0095625A"/>
    <w:rsid w:val="00956446"/>
    <w:rsid w:val="00957B4C"/>
    <w:rsid w:val="009603BF"/>
    <w:rsid w:val="00960B5B"/>
    <w:rsid w:val="00960F24"/>
    <w:rsid w:val="00960FAF"/>
    <w:rsid w:val="0096172B"/>
    <w:rsid w:val="00961C91"/>
    <w:rsid w:val="009628F6"/>
    <w:rsid w:val="00962AB8"/>
    <w:rsid w:val="00962CB7"/>
    <w:rsid w:val="00962E64"/>
    <w:rsid w:val="00963AA3"/>
    <w:rsid w:val="00963B80"/>
    <w:rsid w:val="00964478"/>
    <w:rsid w:val="00966080"/>
    <w:rsid w:val="0096628F"/>
    <w:rsid w:val="009664DD"/>
    <w:rsid w:val="00966F48"/>
    <w:rsid w:val="0096744E"/>
    <w:rsid w:val="009704A0"/>
    <w:rsid w:val="00970792"/>
    <w:rsid w:val="00970EB5"/>
    <w:rsid w:val="00971E1A"/>
    <w:rsid w:val="00971EE1"/>
    <w:rsid w:val="00973197"/>
    <w:rsid w:val="00973E14"/>
    <w:rsid w:val="009753FB"/>
    <w:rsid w:val="00975439"/>
    <w:rsid w:val="009756E8"/>
    <w:rsid w:val="00976F97"/>
    <w:rsid w:val="00977317"/>
    <w:rsid w:val="009802E6"/>
    <w:rsid w:val="009804C2"/>
    <w:rsid w:val="00980C11"/>
    <w:rsid w:val="00981086"/>
    <w:rsid w:val="0098257D"/>
    <w:rsid w:val="0098302F"/>
    <w:rsid w:val="009831C8"/>
    <w:rsid w:val="00983D28"/>
    <w:rsid w:val="0098474E"/>
    <w:rsid w:val="009857EB"/>
    <w:rsid w:val="00986110"/>
    <w:rsid w:val="009869D5"/>
    <w:rsid w:val="00987232"/>
    <w:rsid w:val="009877E3"/>
    <w:rsid w:val="0099047A"/>
    <w:rsid w:val="009905A0"/>
    <w:rsid w:val="00990EC7"/>
    <w:rsid w:val="00991B95"/>
    <w:rsid w:val="00991D3E"/>
    <w:rsid w:val="00992630"/>
    <w:rsid w:val="00992840"/>
    <w:rsid w:val="00993064"/>
    <w:rsid w:val="00994C6F"/>
    <w:rsid w:val="00994CC4"/>
    <w:rsid w:val="00995379"/>
    <w:rsid w:val="009968AC"/>
    <w:rsid w:val="00996911"/>
    <w:rsid w:val="00996DB9"/>
    <w:rsid w:val="009976E7"/>
    <w:rsid w:val="009A044E"/>
    <w:rsid w:val="009A10AD"/>
    <w:rsid w:val="009A10DD"/>
    <w:rsid w:val="009A11ED"/>
    <w:rsid w:val="009A1795"/>
    <w:rsid w:val="009A1CB0"/>
    <w:rsid w:val="009A2547"/>
    <w:rsid w:val="009A4D66"/>
    <w:rsid w:val="009A5821"/>
    <w:rsid w:val="009A63A6"/>
    <w:rsid w:val="009A65F0"/>
    <w:rsid w:val="009A67A1"/>
    <w:rsid w:val="009A7026"/>
    <w:rsid w:val="009A702B"/>
    <w:rsid w:val="009A7D0C"/>
    <w:rsid w:val="009A7F30"/>
    <w:rsid w:val="009B069B"/>
    <w:rsid w:val="009B097A"/>
    <w:rsid w:val="009B10E0"/>
    <w:rsid w:val="009B18EB"/>
    <w:rsid w:val="009B27DF"/>
    <w:rsid w:val="009B36AF"/>
    <w:rsid w:val="009B393A"/>
    <w:rsid w:val="009B5A7A"/>
    <w:rsid w:val="009B7972"/>
    <w:rsid w:val="009B7A5A"/>
    <w:rsid w:val="009C040E"/>
    <w:rsid w:val="009C0544"/>
    <w:rsid w:val="009C0DD6"/>
    <w:rsid w:val="009C1B29"/>
    <w:rsid w:val="009C1C07"/>
    <w:rsid w:val="009C1F84"/>
    <w:rsid w:val="009C38A8"/>
    <w:rsid w:val="009C38DF"/>
    <w:rsid w:val="009C40F8"/>
    <w:rsid w:val="009C5A3E"/>
    <w:rsid w:val="009C6CC1"/>
    <w:rsid w:val="009D05F1"/>
    <w:rsid w:val="009D089E"/>
    <w:rsid w:val="009D094F"/>
    <w:rsid w:val="009D0BF3"/>
    <w:rsid w:val="009D0E88"/>
    <w:rsid w:val="009D1003"/>
    <w:rsid w:val="009D24D7"/>
    <w:rsid w:val="009D256E"/>
    <w:rsid w:val="009D2DB6"/>
    <w:rsid w:val="009D2EAF"/>
    <w:rsid w:val="009D2F47"/>
    <w:rsid w:val="009D2FB9"/>
    <w:rsid w:val="009D3067"/>
    <w:rsid w:val="009D39EE"/>
    <w:rsid w:val="009D3B45"/>
    <w:rsid w:val="009D4E78"/>
    <w:rsid w:val="009D5487"/>
    <w:rsid w:val="009D55B8"/>
    <w:rsid w:val="009D5F35"/>
    <w:rsid w:val="009D674E"/>
    <w:rsid w:val="009D6791"/>
    <w:rsid w:val="009D7835"/>
    <w:rsid w:val="009D7CDF"/>
    <w:rsid w:val="009D7EFC"/>
    <w:rsid w:val="009E05AC"/>
    <w:rsid w:val="009E1649"/>
    <w:rsid w:val="009E172B"/>
    <w:rsid w:val="009E1B55"/>
    <w:rsid w:val="009E204D"/>
    <w:rsid w:val="009E253A"/>
    <w:rsid w:val="009E25F5"/>
    <w:rsid w:val="009E39C0"/>
    <w:rsid w:val="009E4CE0"/>
    <w:rsid w:val="009E523E"/>
    <w:rsid w:val="009E5367"/>
    <w:rsid w:val="009E7B93"/>
    <w:rsid w:val="009F0062"/>
    <w:rsid w:val="009F0349"/>
    <w:rsid w:val="009F1CE1"/>
    <w:rsid w:val="009F1E76"/>
    <w:rsid w:val="009F2FEB"/>
    <w:rsid w:val="009F3268"/>
    <w:rsid w:val="009F4230"/>
    <w:rsid w:val="009F4860"/>
    <w:rsid w:val="009F58F4"/>
    <w:rsid w:val="009F5F2C"/>
    <w:rsid w:val="009F6749"/>
    <w:rsid w:val="009F6A7F"/>
    <w:rsid w:val="009F6C56"/>
    <w:rsid w:val="00A0021A"/>
    <w:rsid w:val="00A0178C"/>
    <w:rsid w:val="00A01D67"/>
    <w:rsid w:val="00A01EAA"/>
    <w:rsid w:val="00A0206E"/>
    <w:rsid w:val="00A02A33"/>
    <w:rsid w:val="00A02F5D"/>
    <w:rsid w:val="00A031CC"/>
    <w:rsid w:val="00A0323B"/>
    <w:rsid w:val="00A04192"/>
    <w:rsid w:val="00A04474"/>
    <w:rsid w:val="00A0482C"/>
    <w:rsid w:val="00A06A94"/>
    <w:rsid w:val="00A0762A"/>
    <w:rsid w:val="00A0776D"/>
    <w:rsid w:val="00A0778F"/>
    <w:rsid w:val="00A1004D"/>
    <w:rsid w:val="00A1182A"/>
    <w:rsid w:val="00A13922"/>
    <w:rsid w:val="00A13DB8"/>
    <w:rsid w:val="00A13F1D"/>
    <w:rsid w:val="00A1482D"/>
    <w:rsid w:val="00A14AA1"/>
    <w:rsid w:val="00A155ED"/>
    <w:rsid w:val="00A15F37"/>
    <w:rsid w:val="00A16191"/>
    <w:rsid w:val="00A163E3"/>
    <w:rsid w:val="00A220C0"/>
    <w:rsid w:val="00A22229"/>
    <w:rsid w:val="00A2239A"/>
    <w:rsid w:val="00A2295F"/>
    <w:rsid w:val="00A22A52"/>
    <w:rsid w:val="00A23246"/>
    <w:rsid w:val="00A24A2E"/>
    <w:rsid w:val="00A25215"/>
    <w:rsid w:val="00A25889"/>
    <w:rsid w:val="00A2710F"/>
    <w:rsid w:val="00A3034C"/>
    <w:rsid w:val="00A30764"/>
    <w:rsid w:val="00A325EE"/>
    <w:rsid w:val="00A338A1"/>
    <w:rsid w:val="00A349CB"/>
    <w:rsid w:val="00A34E5A"/>
    <w:rsid w:val="00A3508F"/>
    <w:rsid w:val="00A35D8A"/>
    <w:rsid w:val="00A364F7"/>
    <w:rsid w:val="00A36CE8"/>
    <w:rsid w:val="00A36DDD"/>
    <w:rsid w:val="00A378ED"/>
    <w:rsid w:val="00A37C13"/>
    <w:rsid w:val="00A425BA"/>
    <w:rsid w:val="00A42D6B"/>
    <w:rsid w:val="00A42EEB"/>
    <w:rsid w:val="00A430E2"/>
    <w:rsid w:val="00A4316F"/>
    <w:rsid w:val="00A447E7"/>
    <w:rsid w:val="00A44A0C"/>
    <w:rsid w:val="00A454B6"/>
    <w:rsid w:val="00A4559F"/>
    <w:rsid w:val="00A45FC0"/>
    <w:rsid w:val="00A46558"/>
    <w:rsid w:val="00A472F8"/>
    <w:rsid w:val="00A50571"/>
    <w:rsid w:val="00A50AEA"/>
    <w:rsid w:val="00A5314F"/>
    <w:rsid w:val="00A53F81"/>
    <w:rsid w:val="00A54055"/>
    <w:rsid w:val="00A54B25"/>
    <w:rsid w:val="00A54D53"/>
    <w:rsid w:val="00A55882"/>
    <w:rsid w:val="00A5590F"/>
    <w:rsid w:val="00A569E0"/>
    <w:rsid w:val="00A56B6B"/>
    <w:rsid w:val="00A60311"/>
    <w:rsid w:val="00A60546"/>
    <w:rsid w:val="00A61107"/>
    <w:rsid w:val="00A63EEE"/>
    <w:rsid w:val="00A6445C"/>
    <w:rsid w:val="00A66054"/>
    <w:rsid w:val="00A66F1E"/>
    <w:rsid w:val="00A6760A"/>
    <w:rsid w:val="00A676D3"/>
    <w:rsid w:val="00A679AD"/>
    <w:rsid w:val="00A71142"/>
    <w:rsid w:val="00A711B7"/>
    <w:rsid w:val="00A7149F"/>
    <w:rsid w:val="00A72C93"/>
    <w:rsid w:val="00A72DB7"/>
    <w:rsid w:val="00A72FF3"/>
    <w:rsid w:val="00A7410C"/>
    <w:rsid w:val="00A754A0"/>
    <w:rsid w:val="00A76082"/>
    <w:rsid w:val="00A7784F"/>
    <w:rsid w:val="00A80A07"/>
    <w:rsid w:val="00A811D6"/>
    <w:rsid w:val="00A81F02"/>
    <w:rsid w:val="00A82860"/>
    <w:rsid w:val="00A82B36"/>
    <w:rsid w:val="00A82F07"/>
    <w:rsid w:val="00A832BA"/>
    <w:rsid w:val="00A8331B"/>
    <w:rsid w:val="00A83BF6"/>
    <w:rsid w:val="00A84963"/>
    <w:rsid w:val="00A84D9C"/>
    <w:rsid w:val="00A85048"/>
    <w:rsid w:val="00A86552"/>
    <w:rsid w:val="00A86CD7"/>
    <w:rsid w:val="00A86D7C"/>
    <w:rsid w:val="00A8750A"/>
    <w:rsid w:val="00A9017B"/>
    <w:rsid w:val="00A90878"/>
    <w:rsid w:val="00A91266"/>
    <w:rsid w:val="00A9266A"/>
    <w:rsid w:val="00A9310D"/>
    <w:rsid w:val="00A9367D"/>
    <w:rsid w:val="00A950F4"/>
    <w:rsid w:val="00A9567A"/>
    <w:rsid w:val="00A96783"/>
    <w:rsid w:val="00A97098"/>
    <w:rsid w:val="00A97337"/>
    <w:rsid w:val="00A97B08"/>
    <w:rsid w:val="00A97D41"/>
    <w:rsid w:val="00A97F5A"/>
    <w:rsid w:val="00A97F92"/>
    <w:rsid w:val="00AA0D5A"/>
    <w:rsid w:val="00AA17F7"/>
    <w:rsid w:val="00AA253F"/>
    <w:rsid w:val="00AA25AC"/>
    <w:rsid w:val="00AA28D2"/>
    <w:rsid w:val="00AA2D58"/>
    <w:rsid w:val="00AA4A27"/>
    <w:rsid w:val="00AA4C06"/>
    <w:rsid w:val="00AA5C1F"/>
    <w:rsid w:val="00AA62A7"/>
    <w:rsid w:val="00AA7E5F"/>
    <w:rsid w:val="00AB0ED1"/>
    <w:rsid w:val="00AB16F3"/>
    <w:rsid w:val="00AB1ED1"/>
    <w:rsid w:val="00AB23B0"/>
    <w:rsid w:val="00AB2567"/>
    <w:rsid w:val="00AB3273"/>
    <w:rsid w:val="00AB3537"/>
    <w:rsid w:val="00AB365A"/>
    <w:rsid w:val="00AB3A63"/>
    <w:rsid w:val="00AB4201"/>
    <w:rsid w:val="00AB453D"/>
    <w:rsid w:val="00AB48D1"/>
    <w:rsid w:val="00AB4CFC"/>
    <w:rsid w:val="00AB5363"/>
    <w:rsid w:val="00AB58F2"/>
    <w:rsid w:val="00AB5E9F"/>
    <w:rsid w:val="00AB61EF"/>
    <w:rsid w:val="00AB689B"/>
    <w:rsid w:val="00AB7541"/>
    <w:rsid w:val="00AB7CDE"/>
    <w:rsid w:val="00AC0AAA"/>
    <w:rsid w:val="00AC0D62"/>
    <w:rsid w:val="00AC1771"/>
    <w:rsid w:val="00AC1934"/>
    <w:rsid w:val="00AC277A"/>
    <w:rsid w:val="00AC41F9"/>
    <w:rsid w:val="00AC4EEC"/>
    <w:rsid w:val="00AC5B51"/>
    <w:rsid w:val="00AC6C46"/>
    <w:rsid w:val="00AC6D5D"/>
    <w:rsid w:val="00AC6F64"/>
    <w:rsid w:val="00AC706B"/>
    <w:rsid w:val="00AC7487"/>
    <w:rsid w:val="00AC7B00"/>
    <w:rsid w:val="00AD03D9"/>
    <w:rsid w:val="00AD20AF"/>
    <w:rsid w:val="00AD25AD"/>
    <w:rsid w:val="00AD3A59"/>
    <w:rsid w:val="00AD3BBF"/>
    <w:rsid w:val="00AD485D"/>
    <w:rsid w:val="00AD613B"/>
    <w:rsid w:val="00AE079E"/>
    <w:rsid w:val="00AE0D0C"/>
    <w:rsid w:val="00AE1BA9"/>
    <w:rsid w:val="00AE2387"/>
    <w:rsid w:val="00AE4002"/>
    <w:rsid w:val="00AE6E19"/>
    <w:rsid w:val="00AE724E"/>
    <w:rsid w:val="00AE76A8"/>
    <w:rsid w:val="00AF09A0"/>
    <w:rsid w:val="00AF1091"/>
    <w:rsid w:val="00AF153A"/>
    <w:rsid w:val="00AF18A6"/>
    <w:rsid w:val="00AF18CA"/>
    <w:rsid w:val="00AF1CFD"/>
    <w:rsid w:val="00AF2306"/>
    <w:rsid w:val="00AF2617"/>
    <w:rsid w:val="00AF2AE5"/>
    <w:rsid w:val="00AF2B00"/>
    <w:rsid w:val="00AF3AD9"/>
    <w:rsid w:val="00AF4640"/>
    <w:rsid w:val="00AF5145"/>
    <w:rsid w:val="00AF52CD"/>
    <w:rsid w:val="00AF58F3"/>
    <w:rsid w:val="00AF5ABA"/>
    <w:rsid w:val="00AF6D94"/>
    <w:rsid w:val="00B00317"/>
    <w:rsid w:val="00B0149D"/>
    <w:rsid w:val="00B014EC"/>
    <w:rsid w:val="00B04FE2"/>
    <w:rsid w:val="00B05126"/>
    <w:rsid w:val="00B05277"/>
    <w:rsid w:val="00B05777"/>
    <w:rsid w:val="00B05B5E"/>
    <w:rsid w:val="00B06527"/>
    <w:rsid w:val="00B10C3C"/>
    <w:rsid w:val="00B11271"/>
    <w:rsid w:val="00B112A5"/>
    <w:rsid w:val="00B116FF"/>
    <w:rsid w:val="00B118CF"/>
    <w:rsid w:val="00B12833"/>
    <w:rsid w:val="00B12D4B"/>
    <w:rsid w:val="00B140E9"/>
    <w:rsid w:val="00B14557"/>
    <w:rsid w:val="00B1471D"/>
    <w:rsid w:val="00B15438"/>
    <w:rsid w:val="00B17281"/>
    <w:rsid w:val="00B2131B"/>
    <w:rsid w:val="00B21BF3"/>
    <w:rsid w:val="00B222E2"/>
    <w:rsid w:val="00B230A8"/>
    <w:rsid w:val="00B2310C"/>
    <w:rsid w:val="00B23328"/>
    <w:rsid w:val="00B233EC"/>
    <w:rsid w:val="00B23B81"/>
    <w:rsid w:val="00B242B1"/>
    <w:rsid w:val="00B24E54"/>
    <w:rsid w:val="00B25994"/>
    <w:rsid w:val="00B27646"/>
    <w:rsid w:val="00B30A4E"/>
    <w:rsid w:val="00B31A01"/>
    <w:rsid w:val="00B31E3C"/>
    <w:rsid w:val="00B32C18"/>
    <w:rsid w:val="00B33037"/>
    <w:rsid w:val="00B33732"/>
    <w:rsid w:val="00B3483B"/>
    <w:rsid w:val="00B35C7E"/>
    <w:rsid w:val="00B35D32"/>
    <w:rsid w:val="00B36448"/>
    <w:rsid w:val="00B377F6"/>
    <w:rsid w:val="00B40FEB"/>
    <w:rsid w:val="00B416B1"/>
    <w:rsid w:val="00B418F4"/>
    <w:rsid w:val="00B426A2"/>
    <w:rsid w:val="00B42D4E"/>
    <w:rsid w:val="00B43376"/>
    <w:rsid w:val="00B43E68"/>
    <w:rsid w:val="00B44209"/>
    <w:rsid w:val="00B44CCC"/>
    <w:rsid w:val="00B44EAC"/>
    <w:rsid w:val="00B465C8"/>
    <w:rsid w:val="00B472C9"/>
    <w:rsid w:val="00B47C1C"/>
    <w:rsid w:val="00B47F43"/>
    <w:rsid w:val="00B506AC"/>
    <w:rsid w:val="00B50773"/>
    <w:rsid w:val="00B50D1B"/>
    <w:rsid w:val="00B50E2C"/>
    <w:rsid w:val="00B51364"/>
    <w:rsid w:val="00B517ED"/>
    <w:rsid w:val="00B51DA1"/>
    <w:rsid w:val="00B52041"/>
    <w:rsid w:val="00B52F1D"/>
    <w:rsid w:val="00B53170"/>
    <w:rsid w:val="00B536A8"/>
    <w:rsid w:val="00B53B00"/>
    <w:rsid w:val="00B54AE6"/>
    <w:rsid w:val="00B54F8C"/>
    <w:rsid w:val="00B551CF"/>
    <w:rsid w:val="00B56D06"/>
    <w:rsid w:val="00B5765A"/>
    <w:rsid w:val="00B60C22"/>
    <w:rsid w:val="00B616A0"/>
    <w:rsid w:val="00B620CA"/>
    <w:rsid w:val="00B6232A"/>
    <w:rsid w:val="00B62B8F"/>
    <w:rsid w:val="00B62D75"/>
    <w:rsid w:val="00B63850"/>
    <w:rsid w:val="00B6475C"/>
    <w:rsid w:val="00B649F7"/>
    <w:rsid w:val="00B667C6"/>
    <w:rsid w:val="00B66DB7"/>
    <w:rsid w:val="00B67ADB"/>
    <w:rsid w:val="00B70A7F"/>
    <w:rsid w:val="00B716B3"/>
    <w:rsid w:val="00B719C9"/>
    <w:rsid w:val="00B71C25"/>
    <w:rsid w:val="00B71D4B"/>
    <w:rsid w:val="00B7214B"/>
    <w:rsid w:val="00B72A9B"/>
    <w:rsid w:val="00B73636"/>
    <w:rsid w:val="00B7370E"/>
    <w:rsid w:val="00B7381A"/>
    <w:rsid w:val="00B73C08"/>
    <w:rsid w:val="00B7439C"/>
    <w:rsid w:val="00B743D7"/>
    <w:rsid w:val="00B7534C"/>
    <w:rsid w:val="00B7657E"/>
    <w:rsid w:val="00B76793"/>
    <w:rsid w:val="00B76C42"/>
    <w:rsid w:val="00B76CBC"/>
    <w:rsid w:val="00B770C9"/>
    <w:rsid w:val="00B80C63"/>
    <w:rsid w:val="00B819ED"/>
    <w:rsid w:val="00B8390E"/>
    <w:rsid w:val="00B83CA3"/>
    <w:rsid w:val="00B84219"/>
    <w:rsid w:val="00B84275"/>
    <w:rsid w:val="00B84382"/>
    <w:rsid w:val="00B85068"/>
    <w:rsid w:val="00B85154"/>
    <w:rsid w:val="00B85546"/>
    <w:rsid w:val="00B85D8E"/>
    <w:rsid w:val="00B87377"/>
    <w:rsid w:val="00B87EA2"/>
    <w:rsid w:val="00B913AA"/>
    <w:rsid w:val="00B91481"/>
    <w:rsid w:val="00B91B01"/>
    <w:rsid w:val="00B9205C"/>
    <w:rsid w:val="00B925BA"/>
    <w:rsid w:val="00B93031"/>
    <w:rsid w:val="00B9335D"/>
    <w:rsid w:val="00B94400"/>
    <w:rsid w:val="00B95673"/>
    <w:rsid w:val="00B961C8"/>
    <w:rsid w:val="00B96C2A"/>
    <w:rsid w:val="00B96FD4"/>
    <w:rsid w:val="00B97971"/>
    <w:rsid w:val="00B97D8D"/>
    <w:rsid w:val="00BA04E1"/>
    <w:rsid w:val="00BA18D1"/>
    <w:rsid w:val="00BA19E0"/>
    <w:rsid w:val="00BA1F8A"/>
    <w:rsid w:val="00BA258C"/>
    <w:rsid w:val="00BA280D"/>
    <w:rsid w:val="00BA321E"/>
    <w:rsid w:val="00BA3EDB"/>
    <w:rsid w:val="00BA4441"/>
    <w:rsid w:val="00BA46B0"/>
    <w:rsid w:val="00BA47DA"/>
    <w:rsid w:val="00BA4E91"/>
    <w:rsid w:val="00BA5E59"/>
    <w:rsid w:val="00BA6D0B"/>
    <w:rsid w:val="00BA75F2"/>
    <w:rsid w:val="00BB0F17"/>
    <w:rsid w:val="00BB1A4D"/>
    <w:rsid w:val="00BB228F"/>
    <w:rsid w:val="00BB304B"/>
    <w:rsid w:val="00BB347F"/>
    <w:rsid w:val="00BB36ED"/>
    <w:rsid w:val="00BB50DE"/>
    <w:rsid w:val="00BB641A"/>
    <w:rsid w:val="00BB6DED"/>
    <w:rsid w:val="00BB79A4"/>
    <w:rsid w:val="00BB7A89"/>
    <w:rsid w:val="00BB7CBB"/>
    <w:rsid w:val="00BC08D4"/>
    <w:rsid w:val="00BC0CB8"/>
    <w:rsid w:val="00BC0EE4"/>
    <w:rsid w:val="00BC1B82"/>
    <w:rsid w:val="00BC1D46"/>
    <w:rsid w:val="00BC21D7"/>
    <w:rsid w:val="00BC4A61"/>
    <w:rsid w:val="00BC52EB"/>
    <w:rsid w:val="00BC5978"/>
    <w:rsid w:val="00BC5A14"/>
    <w:rsid w:val="00BC6876"/>
    <w:rsid w:val="00BD0100"/>
    <w:rsid w:val="00BD297C"/>
    <w:rsid w:val="00BD2BB6"/>
    <w:rsid w:val="00BD4509"/>
    <w:rsid w:val="00BD483C"/>
    <w:rsid w:val="00BD4931"/>
    <w:rsid w:val="00BD499A"/>
    <w:rsid w:val="00BD532D"/>
    <w:rsid w:val="00BD6F03"/>
    <w:rsid w:val="00BD6FDA"/>
    <w:rsid w:val="00BD77B5"/>
    <w:rsid w:val="00BD7A55"/>
    <w:rsid w:val="00BE00E4"/>
    <w:rsid w:val="00BE0270"/>
    <w:rsid w:val="00BE0809"/>
    <w:rsid w:val="00BE0965"/>
    <w:rsid w:val="00BE0D73"/>
    <w:rsid w:val="00BE0DD9"/>
    <w:rsid w:val="00BE180E"/>
    <w:rsid w:val="00BE19CD"/>
    <w:rsid w:val="00BE21A8"/>
    <w:rsid w:val="00BE2827"/>
    <w:rsid w:val="00BE2CB6"/>
    <w:rsid w:val="00BE331A"/>
    <w:rsid w:val="00BE391E"/>
    <w:rsid w:val="00BE4444"/>
    <w:rsid w:val="00BE48B7"/>
    <w:rsid w:val="00BE4C20"/>
    <w:rsid w:val="00BE53BC"/>
    <w:rsid w:val="00BE5574"/>
    <w:rsid w:val="00BE5CDB"/>
    <w:rsid w:val="00BE5DF3"/>
    <w:rsid w:val="00BE61B0"/>
    <w:rsid w:val="00BE6BFF"/>
    <w:rsid w:val="00BE74B4"/>
    <w:rsid w:val="00BE74D9"/>
    <w:rsid w:val="00BF01E3"/>
    <w:rsid w:val="00BF0B84"/>
    <w:rsid w:val="00BF19A0"/>
    <w:rsid w:val="00BF2280"/>
    <w:rsid w:val="00BF4843"/>
    <w:rsid w:val="00BF4B69"/>
    <w:rsid w:val="00BF5F81"/>
    <w:rsid w:val="00BF6456"/>
    <w:rsid w:val="00BF6462"/>
    <w:rsid w:val="00BF6F8D"/>
    <w:rsid w:val="00BF7738"/>
    <w:rsid w:val="00BF77A4"/>
    <w:rsid w:val="00C00471"/>
    <w:rsid w:val="00C011B3"/>
    <w:rsid w:val="00C014C6"/>
    <w:rsid w:val="00C01839"/>
    <w:rsid w:val="00C01BF8"/>
    <w:rsid w:val="00C02043"/>
    <w:rsid w:val="00C04A40"/>
    <w:rsid w:val="00C04F50"/>
    <w:rsid w:val="00C05E06"/>
    <w:rsid w:val="00C06FED"/>
    <w:rsid w:val="00C0702F"/>
    <w:rsid w:val="00C076D3"/>
    <w:rsid w:val="00C1041E"/>
    <w:rsid w:val="00C1044E"/>
    <w:rsid w:val="00C10EB9"/>
    <w:rsid w:val="00C11E3B"/>
    <w:rsid w:val="00C1233D"/>
    <w:rsid w:val="00C12AFA"/>
    <w:rsid w:val="00C12E9A"/>
    <w:rsid w:val="00C1412B"/>
    <w:rsid w:val="00C15578"/>
    <w:rsid w:val="00C15648"/>
    <w:rsid w:val="00C16E21"/>
    <w:rsid w:val="00C17244"/>
    <w:rsid w:val="00C2000C"/>
    <w:rsid w:val="00C2020E"/>
    <w:rsid w:val="00C20265"/>
    <w:rsid w:val="00C20ECB"/>
    <w:rsid w:val="00C2112F"/>
    <w:rsid w:val="00C21CA1"/>
    <w:rsid w:val="00C21D7D"/>
    <w:rsid w:val="00C21FB0"/>
    <w:rsid w:val="00C24142"/>
    <w:rsid w:val="00C257EC"/>
    <w:rsid w:val="00C25B6F"/>
    <w:rsid w:val="00C25CA5"/>
    <w:rsid w:val="00C2605E"/>
    <w:rsid w:val="00C2648E"/>
    <w:rsid w:val="00C26B97"/>
    <w:rsid w:val="00C27BE2"/>
    <w:rsid w:val="00C30194"/>
    <w:rsid w:val="00C30973"/>
    <w:rsid w:val="00C30F85"/>
    <w:rsid w:val="00C31129"/>
    <w:rsid w:val="00C313E7"/>
    <w:rsid w:val="00C3210B"/>
    <w:rsid w:val="00C326A9"/>
    <w:rsid w:val="00C34EEE"/>
    <w:rsid w:val="00C3561D"/>
    <w:rsid w:val="00C3654D"/>
    <w:rsid w:val="00C369FE"/>
    <w:rsid w:val="00C410EB"/>
    <w:rsid w:val="00C4196A"/>
    <w:rsid w:val="00C41CF2"/>
    <w:rsid w:val="00C41E47"/>
    <w:rsid w:val="00C427DB"/>
    <w:rsid w:val="00C42E87"/>
    <w:rsid w:val="00C42F00"/>
    <w:rsid w:val="00C43453"/>
    <w:rsid w:val="00C44924"/>
    <w:rsid w:val="00C45097"/>
    <w:rsid w:val="00C45C93"/>
    <w:rsid w:val="00C461EB"/>
    <w:rsid w:val="00C50077"/>
    <w:rsid w:val="00C51720"/>
    <w:rsid w:val="00C51E03"/>
    <w:rsid w:val="00C520D7"/>
    <w:rsid w:val="00C52B35"/>
    <w:rsid w:val="00C5372C"/>
    <w:rsid w:val="00C53769"/>
    <w:rsid w:val="00C53EEF"/>
    <w:rsid w:val="00C55CD2"/>
    <w:rsid w:val="00C55E91"/>
    <w:rsid w:val="00C562B4"/>
    <w:rsid w:val="00C56832"/>
    <w:rsid w:val="00C56C08"/>
    <w:rsid w:val="00C57869"/>
    <w:rsid w:val="00C60DF5"/>
    <w:rsid w:val="00C60FED"/>
    <w:rsid w:val="00C627A3"/>
    <w:rsid w:val="00C64C2F"/>
    <w:rsid w:val="00C6528A"/>
    <w:rsid w:val="00C6546A"/>
    <w:rsid w:val="00C66586"/>
    <w:rsid w:val="00C665F2"/>
    <w:rsid w:val="00C672BF"/>
    <w:rsid w:val="00C6749F"/>
    <w:rsid w:val="00C676D3"/>
    <w:rsid w:val="00C7054B"/>
    <w:rsid w:val="00C70598"/>
    <w:rsid w:val="00C71439"/>
    <w:rsid w:val="00C72AE9"/>
    <w:rsid w:val="00C7375A"/>
    <w:rsid w:val="00C74048"/>
    <w:rsid w:val="00C74654"/>
    <w:rsid w:val="00C74775"/>
    <w:rsid w:val="00C74F0F"/>
    <w:rsid w:val="00C754A8"/>
    <w:rsid w:val="00C7556D"/>
    <w:rsid w:val="00C75F55"/>
    <w:rsid w:val="00C76725"/>
    <w:rsid w:val="00C77FDD"/>
    <w:rsid w:val="00C81867"/>
    <w:rsid w:val="00C81AAE"/>
    <w:rsid w:val="00C81EBC"/>
    <w:rsid w:val="00C82FE1"/>
    <w:rsid w:val="00C847AA"/>
    <w:rsid w:val="00C84C3A"/>
    <w:rsid w:val="00C86300"/>
    <w:rsid w:val="00C8679C"/>
    <w:rsid w:val="00C8685C"/>
    <w:rsid w:val="00C87645"/>
    <w:rsid w:val="00C87795"/>
    <w:rsid w:val="00C8788F"/>
    <w:rsid w:val="00C878A2"/>
    <w:rsid w:val="00C93936"/>
    <w:rsid w:val="00C948E7"/>
    <w:rsid w:val="00C963E5"/>
    <w:rsid w:val="00C967BE"/>
    <w:rsid w:val="00C96E4A"/>
    <w:rsid w:val="00C97546"/>
    <w:rsid w:val="00C975A8"/>
    <w:rsid w:val="00C97688"/>
    <w:rsid w:val="00C97773"/>
    <w:rsid w:val="00C9786B"/>
    <w:rsid w:val="00C97D39"/>
    <w:rsid w:val="00CA1482"/>
    <w:rsid w:val="00CA1957"/>
    <w:rsid w:val="00CA2159"/>
    <w:rsid w:val="00CA21E3"/>
    <w:rsid w:val="00CA2ACE"/>
    <w:rsid w:val="00CA3B1F"/>
    <w:rsid w:val="00CA3B41"/>
    <w:rsid w:val="00CA3BA7"/>
    <w:rsid w:val="00CA3D0C"/>
    <w:rsid w:val="00CA7866"/>
    <w:rsid w:val="00CA7F24"/>
    <w:rsid w:val="00CB0C31"/>
    <w:rsid w:val="00CB0D84"/>
    <w:rsid w:val="00CB1580"/>
    <w:rsid w:val="00CB1A38"/>
    <w:rsid w:val="00CB21B3"/>
    <w:rsid w:val="00CB2E9C"/>
    <w:rsid w:val="00CB4072"/>
    <w:rsid w:val="00CB484D"/>
    <w:rsid w:val="00CB517A"/>
    <w:rsid w:val="00CB5E18"/>
    <w:rsid w:val="00CB61C9"/>
    <w:rsid w:val="00CB62EE"/>
    <w:rsid w:val="00CB7176"/>
    <w:rsid w:val="00CB730C"/>
    <w:rsid w:val="00CC0F4A"/>
    <w:rsid w:val="00CC0F68"/>
    <w:rsid w:val="00CC22B1"/>
    <w:rsid w:val="00CC2A03"/>
    <w:rsid w:val="00CC2C93"/>
    <w:rsid w:val="00CC2DC4"/>
    <w:rsid w:val="00CC384C"/>
    <w:rsid w:val="00CC38CF"/>
    <w:rsid w:val="00CC3988"/>
    <w:rsid w:val="00CC5202"/>
    <w:rsid w:val="00CC52C9"/>
    <w:rsid w:val="00CC53F4"/>
    <w:rsid w:val="00CC5AF3"/>
    <w:rsid w:val="00CC68BF"/>
    <w:rsid w:val="00CC6958"/>
    <w:rsid w:val="00CC7C45"/>
    <w:rsid w:val="00CD13B1"/>
    <w:rsid w:val="00CD2107"/>
    <w:rsid w:val="00CD28EC"/>
    <w:rsid w:val="00CD2DC8"/>
    <w:rsid w:val="00CD3D23"/>
    <w:rsid w:val="00CD3FDF"/>
    <w:rsid w:val="00CD561D"/>
    <w:rsid w:val="00CD6EF5"/>
    <w:rsid w:val="00CE052C"/>
    <w:rsid w:val="00CE0CE1"/>
    <w:rsid w:val="00CE20E9"/>
    <w:rsid w:val="00CE3DD3"/>
    <w:rsid w:val="00CE4053"/>
    <w:rsid w:val="00CE4954"/>
    <w:rsid w:val="00CE5016"/>
    <w:rsid w:val="00CE596E"/>
    <w:rsid w:val="00CE5FEF"/>
    <w:rsid w:val="00CF1160"/>
    <w:rsid w:val="00CF3482"/>
    <w:rsid w:val="00CF4940"/>
    <w:rsid w:val="00CF4CD4"/>
    <w:rsid w:val="00CF5293"/>
    <w:rsid w:val="00CF72AC"/>
    <w:rsid w:val="00D0011E"/>
    <w:rsid w:val="00D004E5"/>
    <w:rsid w:val="00D0136A"/>
    <w:rsid w:val="00D0142A"/>
    <w:rsid w:val="00D0150B"/>
    <w:rsid w:val="00D02111"/>
    <w:rsid w:val="00D0280B"/>
    <w:rsid w:val="00D038D7"/>
    <w:rsid w:val="00D052E6"/>
    <w:rsid w:val="00D05DDB"/>
    <w:rsid w:val="00D073F9"/>
    <w:rsid w:val="00D07DD7"/>
    <w:rsid w:val="00D10717"/>
    <w:rsid w:val="00D1147F"/>
    <w:rsid w:val="00D13DF1"/>
    <w:rsid w:val="00D13EDA"/>
    <w:rsid w:val="00D15061"/>
    <w:rsid w:val="00D15D74"/>
    <w:rsid w:val="00D1722E"/>
    <w:rsid w:val="00D176B7"/>
    <w:rsid w:val="00D20B08"/>
    <w:rsid w:val="00D211A5"/>
    <w:rsid w:val="00D2261D"/>
    <w:rsid w:val="00D228B8"/>
    <w:rsid w:val="00D24515"/>
    <w:rsid w:val="00D24B00"/>
    <w:rsid w:val="00D24E61"/>
    <w:rsid w:val="00D2526B"/>
    <w:rsid w:val="00D266A9"/>
    <w:rsid w:val="00D27660"/>
    <w:rsid w:val="00D30E94"/>
    <w:rsid w:val="00D31401"/>
    <w:rsid w:val="00D324DA"/>
    <w:rsid w:val="00D3266B"/>
    <w:rsid w:val="00D32A14"/>
    <w:rsid w:val="00D32B43"/>
    <w:rsid w:val="00D33571"/>
    <w:rsid w:val="00D339A1"/>
    <w:rsid w:val="00D33CFC"/>
    <w:rsid w:val="00D344F3"/>
    <w:rsid w:val="00D3524B"/>
    <w:rsid w:val="00D357A4"/>
    <w:rsid w:val="00D36238"/>
    <w:rsid w:val="00D36EB1"/>
    <w:rsid w:val="00D375AE"/>
    <w:rsid w:val="00D4029D"/>
    <w:rsid w:val="00D44DF2"/>
    <w:rsid w:val="00D44EDE"/>
    <w:rsid w:val="00D451A5"/>
    <w:rsid w:val="00D451C1"/>
    <w:rsid w:val="00D45283"/>
    <w:rsid w:val="00D4541B"/>
    <w:rsid w:val="00D477C3"/>
    <w:rsid w:val="00D47CB0"/>
    <w:rsid w:val="00D47DE7"/>
    <w:rsid w:val="00D51271"/>
    <w:rsid w:val="00D51828"/>
    <w:rsid w:val="00D53179"/>
    <w:rsid w:val="00D53DC5"/>
    <w:rsid w:val="00D5465D"/>
    <w:rsid w:val="00D5517C"/>
    <w:rsid w:val="00D55406"/>
    <w:rsid w:val="00D55E9A"/>
    <w:rsid w:val="00D5615B"/>
    <w:rsid w:val="00D56E84"/>
    <w:rsid w:val="00D60759"/>
    <w:rsid w:val="00D6293F"/>
    <w:rsid w:val="00D662E4"/>
    <w:rsid w:val="00D670D3"/>
    <w:rsid w:val="00D67470"/>
    <w:rsid w:val="00D6792F"/>
    <w:rsid w:val="00D67B99"/>
    <w:rsid w:val="00D67FC9"/>
    <w:rsid w:val="00D709B5"/>
    <w:rsid w:val="00D729D1"/>
    <w:rsid w:val="00D72B2A"/>
    <w:rsid w:val="00D736FB"/>
    <w:rsid w:val="00D73AAF"/>
    <w:rsid w:val="00D73B35"/>
    <w:rsid w:val="00D74B08"/>
    <w:rsid w:val="00D75461"/>
    <w:rsid w:val="00D75B0B"/>
    <w:rsid w:val="00D77388"/>
    <w:rsid w:val="00D775D2"/>
    <w:rsid w:val="00D77855"/>
    <w:rsid w:val="00D8078E"/>
    <w:rsid w:val="00D80D94"/>
    <w:rsid w:val="00D8118D"/>
    <w:rsid w:val="00D82637"/>
    <w:rsid w:val="00D83283"/>
    <w:rsid w:val="00D83860"/>
    <w:rsid w:val="00D83B8A"/>
    <w:rsid w:val="00D83D34"/>
    <w:rsid w:val="00D85155"/>
    <w:rsid w:val="00D85F3F"/>
    <w:rsid w:val="00D86169"/>
    <w:rsid w:val="00D8652F"/>
    <w:rsid w:val="00D86BF7"/>
    <w:rsid w:val="00D86C18"/>
    <w:rsid w:val="00D875E3"/>
    <w:rsid w:val="00D91421"/>
    <w:rsid w:val="00D91CBD"/>
    <w:rsid w:val="00D926E9"/>
    <w:rsid w:val="00D92B66"/>
    <w:rsid w:val="00D9348C"/>
    <w:rsid w:val="00D93CC1"/>
    <w:rsid w:val="00D93EB9"/>
    <w:rsid w:val="00D942A3"/>
    <w:rsid w:val="00D95384"/>
    <w:rsid w:val="00D9583F"/>
    <w:rsid w:val="00D96C34"/>
    <w:rsid w:val="00D970E9"/>
    <w:rsid w:val="00D97E49"/>
    <w:rsid w:val="00DA073F"/>
    <w:rsid w:val="00DA08BF"/>
    <w:rsid w:val="00DA12F6"/>
    <w:rsid w:val="00DA1419"/>
    <w:rsid w:val="00DA2603"/>
    <w:rsid w:val="00DA2818"/>
    <w:rsid w:val="00DA2876"/>
    <w:rsid w:val="00DA40F8"/>
    <w:rsid w:val="00DA4875"/>
    <w:rsid w:val="00DA4917"/>
    <w:rsid w:val="00DA4E73"/>
    <w:rsid w:val="00DA5117"/>
    <w:rsid w:val="00DA61B6"/>
    <w:rsid w:val="00DA68C1"/>
    <w:rsid w:val="00DA71E0"/>
    <w:rsid w:val="00DA7808"/>
    <w:rsid w:val="00DB2CB5"/>
    <w:rsid w:val="00DB2F25"/>
    <w:rsid w:val="00DB35F8"/>
    <w:rsid w:val="00DB57B7"/>
    <w:rsid w:val="00DB67E5"/>
    <w:rsid w:val="00DB68CD"/>
    <w:rsid w:val="00DB73AB"/>
    <w:rsid w:val="00DB761D"/>
    <w:rsid w:val="00DB7C28"/>
    <w:rsid w:val="00DC13F9"/>
    <w:rsid w:val="00DC1D72"/>
    <w:rsid w:val="00DC2E2C"/>
    <w:rsid w:val="00DC4E8F"/>
    <w:rsid w:val="00DC545A"/>
    <w:rsid w:val="00DC585F"/>
    <w:rsid w:val="00DC77F2"/>
    <w:rsid w:val="00DC78DB"/>
    <w:rsid w:val="00DC7F7D"/>
    <w:rsid w:val="00DD028A"/>
    <w:rsid w:val="00DD08C1"/>
    <w:rsid w:val="00DD19C8"/>
    <w:rsid w:val="00DD1BFF"/>
    <w:rsid w:val="00DD2278"/>
    <w:rsid w:val="00DD2ADC"/>
    <w:rsid w:val="00DD4F3E"/>
    <w:rsid w:val="00DD5FFB"/>
    <w:rsid w:val="00DD67A9"/>
    <w:rsid w:val="00DD6EA5"/>
    <w:rsid w:val="00DD75C0"/>
    <w:rsid w:val="00DD7C85"/>
    <w:rsid w:val="00DE2574"/>
    <w:rsid w:val="00DE2C5D"/>
    <w:rsid w:val="00DE36B6"/>
    <w:rsid w:val="00DE4BD0"/>
    <w:rsid w:val="00DE58C9"/>
    <w:rsid w:val="00DE58D7"/>
    <w:rsid w:val="00DE5D98"/>
    <w:rsid w:val="00DE62BC"/>
    <w:rsid w:val="00DE7572"/>
    <w:rsid w:val="00DE7BEA"/>
    <w:rsid w:val="00DE7DAF"/>
    <w:rsid w:val="00DF154D"/>
    <w:rsid w:val="00DF16FC"/>
    <w:rsid w:val="00DF19F6"/>
    <w:rsid w:val="00DF376E"/>
    <w:rsid w:val="00DF431A"/>
    <w:rsid w:val="00DF5CAF"/>
    <w:rsid w:val="00DF62C6"/>
    <w:rsid w:val="00DF6D21"/>
    <w:rsid w:val="00DF75FB"/>
    <w:rsid w:val="00DF7C00"/>
    <w:rsid w:val="00E00BBD"/>
    <w:rsid w:val="00E013E3"/>
    <w:rsid w:val="00E01F2F"/>
    <w:rsid w:val="00E02136"/>
    <w:rsid w:val="00E02157"/>
    <w:rsid w:val="00E0219A"/>
    <w:rsid w:val="00E02370"/>
    <w:rsid w:val="00E02392"/>
    <w:rsid w:val="00E02F84"/>
    <w:rsid w:val="00E03E17"/>
    <w:rsid w:val="00E042FF"/>
    <w:rsid w:val="00E04850"/>
    <w:rsid w:val="00E05C13"/>
    <w:rsid w:val="00E05C1A"/>
    <w:rsid w:val="00E064CA"/>
    <w:rsid w:val="00E065B2"/>
    <w:rsid w:val="00E06813"/>
    <w:rsid w:val="00E10053"/>
    <w:rsid w:val="00E111E4"/>
    <w:rsid w:val="00E11521"/>
    <w:rsid w:val="00E127AF"/>
    <w:rsid w:val="00E13B47"/>
    <w:rsid w:val="00E15933"/>
    <w:rsid w:val="00E15B99"/>
    <w:rsid w:val="00E162EF"/>
    <w:rsid w:val="00E16BD3"/>
    <w:rsid w:val="00E16FAA"/>
    <w:rsid w:val="00E171C2"/>
    <w:rsid w:val="00E20598"/>
    <w:rsid w:val="00E20664"/>
    <w:rsid w:val="00E2148E"/>
    <w:rsid w:val="00E21C56"/>
    <w:rsid w:val="00E22425"/>
    <w:rsid w:val="00E23F67"/>
    <w:rsid w:val="00E24926"/>
    <w:rsid w:val="00E24E04"/>
    <w:rsid w:val="00E2580D"/>
    <w:rsid w:val="00E2583C"/>
    <w:rsid w:val="00E2789E"/>
    <w:rsid w:val="00E27F2F"/>
    <w:rsid w:val="00E30294"/>
    <w:rsid w:val="00E315D6"/>
    <w:rsid w:val="00E3258F"/>
    <w:rsid w:val="00E330AB"/>
    <w:rsid w:val="00E3317B"/>
    <w:rsid w:val="00E3386F"/>
    <w:rsid w:val="00E341F0"/>
    <w:rsid w:val="00E350BD"/>
    <w:rsid w:val="00E3540A"/>
    <w:rsid w:val="00E35AE0"/>
    <w:rsid w:val="00E36335"/>
    <w:rsid w:val="00E373B4"/>
    <w:rsid w:val="00E37B5C"/>
    <w:rsid w:val="00E37CF8"/>
    <w:rsid w:val="00E40350"/>
    <w:rsid w:val="00E407AC"/>
    <w:rsid w:val="00E413A5"/>
    <w:rsid w:val="00E41AF8"/>
    <w:rsid w:val="00E422BE"/>
    <w:rsid w:val="00E4296A"/>
    <w:rsid w:val="00E43380"/>
    <w:rsid w:val="00E44274"/>
    <w:rsid w:val="00E44603"/>
    <w:rsid w:val="00E44F24"/>
    <w:rsid w:val="00E455B4"/>
    <w:rsid w:val="00E46FA7"/>
    <w:rsid w:val="00E46FBA"/>
    <w:rsid w:val="00E47328"/>
    <w:rsid w:val="00E479DF"/>
    <w:rsid w:val="00E505D8"/>
    <w:rsid w:val="00E50B83"/>
    <w:rsid w:val="00E51530"/>
    <w:rsid w:val="00E5252F"/>
    <w:rsid w:val="00E528C6"/>
    <w:rsid w:val="00E52B26"/>
    <w:rsid w:val="00E535BD"/>
    <w:rsid w:val="00E54596"/>
    <w:rsid w:val="00E55578"/>
    <w:rsid w:val="00E56000"/>
    <w:rsid w:val="00E56378"/>
    <w:rsid w:val="00E57208"/>
    <w:rsid w:val="00E57457"/>
    <w:rsid w:val="00E60175"/>
    <w:rsid w:val="00E6160E"/>
    <w:rsid w:val="00E63F00"/>
    <w:rsid w:val="00E642DC"/>
    <w:rsid w:val="00E64ABC"/>
    <w:rsid w:val="00E64E57"/>
    <w:rsid w:val="00E64F71"/>
    <w:rsid w:val="00E64FC2"/>
    <w:rsid w:val="00E65240"/>
    <w:rsid w:val="00E67590"/>
    <w:rsid w:val="00E67A1A"/>
    <w:rsid w:val="00E703B1"/>
    <w:rsid w:val="00E7045C"/>
    <w:rsid w:val="00E718EA"/>
    <w:rsid w:val="00E71A6E"/>
    <w:rsid w:val="00E72E55"/>
    <w:rsid w:val="00E733D4"/>
    <w:rsid w:val="00E74228"/>
    <w:rsid w:val="00E74759"/>
    <w:rsid w:val="00E74A24"/>
    <w:rsid w:val="00E74E48"/>
    <w:rsid w:val="00E76B64"/>
    <w:rsid w:val="00E76BBE"/>
    <w:rsid w:val="00E77101"/>
    <w:rsid w:val="00E808C9"/>
    <w:rsid w:val="00E80943"/>
    <w:rsid w:val="00E8112D"/>
    <w:rsid w:val="00E81135"/>
    <w:rsid w:val="00E8148D"/>
    <w:rsid w:val="00E818C3"/>
    <w:rsid w:val="00E82DCF"/>
    <w:rsid w:val="00E84DC4"/>
    <w:rsid w:val="00E8561A"/>
    <w:rsid w:val="00E8589E"/>
    <w:rsid w:val="00E85DE8"/>
    <w:rsid w:val="00E86672"/>
    <w:rsid w:val="00E86705"/>
    <w:rsid w:val="00E86E0C"/>
    <w:rsid w:val="00E87FB1"/>
    <w:rsid w:val="00E900CF"/>
    <w:rsid w:val="00E908C6"/>
    <w:rsid w:val="00E924A8"/>
    <w:rsid w:val="00E93450"/>
    <w:rsid w:val="00E9372A"/>
    <w:rsid w:val="00E93AFD"/>
    <w:rsid w:val="00E95441"/>
    <w:rsid w:val="00E96618"/>
    <w:rsid w:val="00E97970"/>
    <w:rsid w:val="00E979A5"/>
    <w:rsid w:val="00E97C50"/>
    <w:rsid w:val="00EA03D8"/>
    <w:rsid w:val="00EA0DB1"/>
    <w:rsid w:val="00EA507E"/>
    <w:rsid w:val="00EA5747"/>
    <w:rsid w:val="00EA6103"/>
    <w:rsid w:val="00EA73BA"/>
    <w:rsid w:val="00EA7745"/>
    <w:rsid w:val="00EB0F28"/>
    <w:rsid w:val="00EB1892"/>
    <w:rsid w:val="00EB2336"/>
    <w:rsid w:val="00EB3B2C"/>
    <w:rsid w:val="00EB3F96"/>
    <w:rsid w:val="00EB3FA2"/>
    <w:rsid w:val="00EB4281"/>
    <w:rsid w:val="00EB4A81"/>
    <w:rsid w:val="00EB5264"/>
    <w:rsid w:val="00EB52AE"/>
    <w:rsid w:val="00EB60D0"/>
    <w:rsid w:val="00EC03D2"/>
    <w:rsid w:val="00EC0719"/>
    <w:rsid w:val="00EC09D5"/>
    <w:rsid w:val="00EC1FA6"/>
    <w:rsid w:val="00EC202F"/>
    <w:rsid w:val="00EC25AB"/>
    <w:rsid w:val="00EC3DF9"/>
    <w:rsid w:val="00EC4F93"/>
    <w:rsid w:val="00EC515F"/>
    <w:rsid w:val="00EC5679"/>
    <w:rsid w:val="00EC5764"/>
    <w:rsid w:val="00EC5DBE"/>
    <w:rsid w:val="00EC5DE6"/>
    <w:rsid w:val="00EC6C65"/>
    <w:rsid w:val="00ED0FC6"/>
    <w:rsid w:val="00ED1C3D"/>
    <w:rsid w:val="00ED2264"/>
    <w:rsid w:val="00ED23A2"/>
    <w:rsid w:val="00ED2B1D"/>
    <w:rsid w:val="00ED412E"/>
    <w:rsid w:val="00ED41A8"/>
    <w:rsid w:val="00ED44D2"/>
    <w:rsid w:val="00ED452D"/>
    <w:rsid w:val="00ED5035"/>
    <w:rsid w:val="00ED5703"/>
    <w:rsid w:val="00ED5DD6"/>
    <w:rsid w:val="00ED65DB"/>
    <w:rsid w:val="00ED6AF2"/>
    <w:rsid w:val="00ED7BC1"/>
    <w:rsid w:val="00EE04D4"/>
    <w:rsid w:val="00EE0C34"/>
    <w:rsid w:val="00EE0C71"/>
    <w:rsid w:val="00EE29BE"/>
    <w:rsid w:val="00EE3C34"/>
    <w:rsid w:val="00EE3CDA"/>
    <w:rsid w:val="00EE4C9E"/>
    <w:rsid w:val="00EE5884"/>
    <w:rsid w:val="00EF038F"/>
    <w:rsid w:val="00EF07C3"/>
    <w:rsid w:val="00EF1944"/>
    <w:rsid w:val="00EF26AE"/>
    <w:rsid w:val="00EF27B5"/>
    <w:rsid w:val="00EF43EA"/>
    <w:rsid w:val="00EF46B1"/>
    <w:rsid w:val="00EF493E"/>
    <w:rsid w:val="00EF5D73"/>
    <w:rsid w:val="00EF607A"/>
    <w:rsid w:val="00EF6331"/>
    <w:rsid w:val="00EF6482"/>
    <w:rsid w:val="00EF71FF"/>
    <w:rsid w:val="00EF7662"/>
    <w:rsid w:val="00EF773B"/>
    <w:rsid w:val="00F00241"/>
    <w:rsid w:val="00F00777"/>
    <w:rsid w:val="00F00887"/>
    <w:rsid w:val="00F01AED"/>
    <w:rsid w:val="00F02876"/>
    <w:rsid w:val="00F06185"/>
    <w:rsid w:val="00F064C3"/>
    <w:rsid w:val="00F06A82"/>
    <w:rsid w:val="00F0754F"/>
    <w:rsid w:val="00F109A7"/>
    <w:rsid w:val="00F10BFD"/>
    <w:rsid w:val="00F10D7E"/>
    <w:rsid w:val="00F11D60"/>
    <w:rsid w:val="00F12451"/>
    <w:rsid w:val="00F12F74"/>
    <w:rsid w:val="00F1303C"/>
    <w:rsid w:val="00F132E8"/>
    <w:rsid w:val="00F14FD4"/>
    <w:rsid w:val="00F15550"/>
    <w:rsid w:val="00F15E8D"/>
    <w:rsid w:val="00F175AF"/>
    <w:rsid w:val="00F205FB"/>
    <w:rsid w:val="00F20DD7"/>
    <w:rsid w:val="00F21CF8"/>
    <w:rsid w:val="00F22A61"/>
    <w:rsid w:val="00F2357B"/>
    <w:rsid w:val="00F23602"/>
    <w:rsid w:val="00F236DC"/>
    <w:rsid w:val="00F2464A"/>
    <w:rsid w:val="00F247BC"/>
    <w:rsid w:val="00F2482C"/>
    <w:rsid w:val="00F25233"/>
    <w:rsid w:val="00F25CBC"/>
    <w:rsid w:val="00F25EAF"/>
    <w:rsid w:val="00F26AC0"/>
    <w:rsid w:val="00F2719D"/>
    <w:rsid w:val="00F27940"/>
    <w:rsid w:val="00F27A13"/>
    <w:rsid w:val="00F27FA1"/>
    <w:rsid w:val="00F3032E"/>
    <w:rsid w:val="00F3124A"/>
    <w:rsid w:val="00F313E8"/>
    <w:rsid w:val="00F31596"/>
    <w:rsid w:val="00F31EFE"/>
    <w:rsid w:val="00F3277D"/>
    <w:rsid w:val="00F32822"/>
    <w:rsid w:val="00F32EC1"/>
    <w:rsid w:val="00F3329B"/>
    <w:rsid w:val="00F33D35"/>
    <w:rsid w:val="00F340F0"/>
    <w:rsid w:val="00F343CC"/>
    <w:rsid w:val="00F343FC"/>
    <w:rsid w:val="00F34F38"/>
    <w:rsid w:val="00F350F7"/>
    <w:rsid w:val="00F35253"/>
    <w:rsid w:val="00F36405"/>
    <w:rsid w:val="00F36809"/>
    <w:rsid w:val="00F36950"/>
    <w:rsid w:val="00F371E7"/>
    <w:rsid w:val="00F3733F"/>
    <w:rsid w:val="00F3738F"/>
    <w:rsid w:val="00F37625"/>
    <w:rsid w:val="00F40055"/>
    <w:rsid w:val="00F41E87"/>
    <w:rsid w:val="00F42120"/>
    <w:rsid w:val="00F428F8"/>
    <w:rsid w:val="00F43B83"/>
    <w:rsid w:val="00F44EBF"/>
    <w:rsid w:val="00F45EB3"/>
    <w:rsid w:val="00F47502"/>
    <w:rsid w:val="00F47697"/>
    <w:rsid w:val="00F50DD0"/>
    <w:rsid w:val="00F517F3"/>
    <w:rsid w:val="00F520B3"/>
    <w:rsid w:val="00F53132"/>
    <w:rsid w:val="00F531DC"/>
    <w:rsid w:val="00F538EF"/>
    <w:rsid w:val="00F53F88"/>
    <w:rsid w:val="00F54274"/>
    <w:rsid w:val="00F5456A"/>
    <w:rsid w:val="00F545FC"/>
    <w:rsid w:val="00F547FE"/>
    <w:rsid w:val="00F54E12"/>
    <w:rsid w:val="00F56446"/>
    <w:rsid w:val="00F573F1"/>
    <w:rsid w:val="00F57AF7"/>
    <w:rsid w:val="00F57CAC"/>
    <w:rsid w:val="00F61B21"/>
    <w:rsid w:val="00F61FFC"/>
    <w:rsid w:val="00F625CA"/>
    <w:rsid w:val="00F62A93"/>
    <w:rsid w:val="00F62AF9"/>
    <w:rsid w:val="00F62C6B"/>
    <w:rsid w:val="00F62CDB"/>
    <w:rsid w:val="00F62F06"/>
    <w:rsid w:val="00F644AD"/>
    <w:rsid w:val="00F646BE"/>
    <w:rsid w:val="00F64FF5"/>
    <w:rsid w:val="00F66320"/>
    <w:rsid w:val="00F663A8"/>
    <w:rsid w:val="00F66A76"/>
    <w:rsid w:val="00F674BA"/>
    <w:rsid w:val="00F6767A"/>
    <w:rsid w:val="00F67E6A"/>
    <w:rsid w:val="00F70A48"/>
    <w:rsid w:val="00F70BAD"/>
    <w:rsid w:val="00F71668"/>
    <w:rsid w:val="00F73140"/>
    <w:rsid w:val="00F74364"/>
    <w:rsid w:val="00F74666"/>
    <w:rsid w:val="00F751A4"/>
    <w:rsid w:val="00F7568A"/>
    <w:rsid w:val="00F77C1A"/>
    <w:rsid w:val="00F77E91"/>
    <w:rsid w:val="00F81073"/>
    <w:rsid w:val="00F812E4"/>
    <w:rsid w:val="00F815BB"/>
    <w:rsid w:val="00F825C9"/>
    <w:rsid w:val="00F8344B"/>
    <w:rsid w:val="00F83C40"/>
    <w:rsid w:val="00F83EEA"/>
    <w:rsid w:val="00F8461A"/>
    <w:rsid w:val="00F84BEC"/>
    <w:rsid w:val="00F852BE"/>
    <w:rsid w:val="00F8731D"/>
    <w:rsid w:val="00F879C5"/>
    <w:rsid w:val="00F87CAF"/>
    <w:rsid w:val="00F87FA4"/>
    <w:rsid w:val="00F90063"/>
    <w:rsid w:val="00F90A3D"/>
    <w:rsid w:val="00F90EC0"/>
    <w:rsid w:val="00F91222"/>
    <w:rsid w:val="00F92352"/>
    <w:rsid w:val="00F9267B"/>
    <w:rsid w:val="00F93469"/>
    <w:rsid w:val="00F93B7A"/>
    <w:rsid w:val="00F94ACE"/>
    <w:rsid w:val="00F94AE5"/>
    <w:rsid w:val="00F94C20"/>
    <w:rsid w:val="00F94EAF"/>
    <w:rsid w:val="00F96581"/>
    <w:rsid w:val="00F96AF2"/>
    <w:rsid w:val="00F96D11"/>
    <w:rsid w:val="00F96F50"/>
    <w:rsid w:val="00F970A7"/>
    <w:rsid w:val="00F9731E"/>
    <w:rsid w:val="00F9738D"/>
    <w:rsid w:val="00FA1622"/>
    <w:rsid w:val="00FA1A3F"/>
    <w:rsid w:val="00FA2228"/>
    <w:rsid w:val="00FA2A03"/>
    <w:rsid w:val="00FA57BD"/>
    <w:rsid w:val="00FA59C4"/>
    <w:rsid w:val="00FA59C6"/>
    <w:rsid w:val="00FA5A3F"/>
    <w:rsid w:val="00FA5B04"/>
    <w:rsid w:val="00FA5F7E"/>
    <w:rsid w:val="00FA6AEF"/>
    <w:rsid w:val="00FB0167"/>
    <w:rsid w:val="00FB0EBB"/>
    <w:rsid w:val="00FB10F6"/>
    <w:rsid w:val="00FB13A2"/>
    <w:rsid w:val="00FB15EB"/>
    <w:rsid w:val="00FB19EB"/>
    <w:rsid w:val="00FB3A29"/>
    <w:rsid w:val="00FB41AF"/>
    <w:rsid w:val="00FB47DE"/>
    <w:rsid w:val="00FB492C"/>
    <w:rsid w:val="00FB4A1C"/>
    <w:rsid w:val="00FB60CC"/>
    <w:rsid w:val="00FB60FB"/>
    <w:rsid w:val="00FB6635"/>
    <w:rsid w:val="00FB6B37"/>
    <w:rsid w:val="00FB7510"/>
    <w:rsid w:val="00FC08D8"/>
    <w:rsid w:val="00FC111B"/>
    <w:rsid w:val="00FC1DE5"/>
    <w:rsid w:val="00FC206B"/>
    <w:rsid w:val="00FC23C7"/>
    <w:rsid w:val="00FC2710"/>
    <w:rsid w:val="00FC3E40"/>
    <w:rsid w:val="00FC3FB7"/>
    <w:rsid w:val="00FC4378"/>
    <w:rsid w:val="00FC52C1"/>
    <w:rsid w:val="00FC5A6D"/>
    <w:rsid w:val="00FC5B2A"/>
    <w:rsid w:val="00FC6281"/>
    <w:rsid w:val="00FC65D0"/>
    <w:rsid w:val="00FC772C"/>
    <w:rsid w:val="00FC7DB1"/>
    <w:rsid w:val="00FD0284"/>
    <w:rsid w:val="00FD0BC0"/>
    <w:rsid w:val="00FD1078"/>
    <w:rsid w:val="00FD12DB"/>
    <w:rsid w:val="00FD1306"/>
    <w:rsid w:val="00FD3713"/>
    <w:rsid w:val="00FD4587"/>
    <w:rsid w:val="00FD47F8"/>
    <w:rsid w:val="00FD57E2"/>
    <w:rsid w:val="00FD5B9B"/>
    <w:rsid w:val="00FD66DD"/>
    <w:rsid w:val="00FD6921"/>
    <w:rsid w:val="00FD77C2"/>
    <w:rsid w:val="00FE175F"/>
    <w:rsid w:val="00FE1F8E"/>
    <w:rsid w:val="00FE26DD"/>
    <w:rsid w:val="00FE2ED7"/>
    <w:rsid w:val="00FE329D"/>
    <w:rsid w:val="00FE34B0"/>
    <w:rsid w:val="00FE379B"/>
    <w:rsid w:val="00FE3AFB"/>
    <w:rsid w:val="00FE3E6F"/>
    <w:rsid w:val="00FE400F"/>
    <w:rsid w:val="00FE4187"/>
    <w:rsid w:val="00FE4697"/>
    <w:rsid w:val="00FE58C5"/>
    <w:rsid w:val="00FE5ADE"/>
    <w:rsid w:val="00FE5C0B"/>
    <w:rsid w:val="00FE5E79"/>
    <w:rsid w:val="00FE788D"/>
    <w:rsid w:val="00FE797F"/>
    <w:rsid w:val="00FF052C"/>
    <w:rsid w:val="00FF05CB"/>
    <w:rsid w:val="00FF1B26"/>
    <w:rsid w:val="00FF211E"/>
    <w:rsid w:val="00FF27FB"/>
    <w:rsid w:val="00FF31B0"/>
    <w:rsid w:val="00FF3E5C"/>
    <w:rsid w:val="00FF4658"/>
    <w:rsid w:val="00FF473D"/>
    <w:rsid w:val="00FF4E8A"/>
    <w:rsid w:val="00FF556A"/>
    <w:rsid w:val="00FF5D50"/>
    <w:rsid w:val="00FF5E33"/>
    <w:rsid w:val="00FF609F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8FD0"/>
  <w15:docId w15:val="{A3C56C42-C2BB-4C69-A941-45FEB851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C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74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7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651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2AFA"/>
    <w:rPr>
      <w:b/>
      <w:bCs/>
    </w:rPr>
  </w:style>
  <w:style w:type="paragraph" w:customStyle="1" w:styleId="THnorm">
    <w:name w:val="TH norm"/>
    <w:basedOn w:val="Normln"/>
    <w:rsid w:val="006A7BEA"/>
    <w:pPr>
      <w:tabs>
        <w:tab w:val="left" w:pos="0"/>
      </w:tabs>
      <w:overflowPunct/>
      <w:autoSpaceDE/>
      <w:autoSpaceDN/>
      <w:adjustRightInd/>
      <w:spacing w:after="120"/>
      <w:ind w:firstLine="709"/>
      <w:textAlignment w:val="auto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8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44E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AC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A19E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1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7BD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7BDA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F7BDA"/>
    <w:rPr>
      <w:vertAlign w:val="superscript"/>
    </w:rPr>
  </w:style>
  <w:style w:type="paragraph" w:customStyle="1" w:styleId="xmsonormal">
    <w:name w:val="xmsonormal"/>
    <w:basedOn w:val="Normln"/>
    <w:rsid w:val="000510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xpk-token">
    <w:name w:val="xpk-token"/>
    <w:basedOn w:val="Standardnpsmoodstavce"/>
    <w:rsid w:val="00051022"/>
  </w:style>
  <w:style w:type="paragraph" w:customStyle="1" w:styleId="xmsonormal0">
    <w:name w:val="x_msonormal"/>
    <w:basedOn w:val="Normln"/>
    <w:rsid w:val="00162D23"/>
    <w:pPr>
      <w:overflowPunct/>
      <w:autoSpaceDE/>
      <w:autoSpaceDN/>
      <w:adjustRightInd/>
      <w:jc w:val="left"/>
      <w:textAlignment w:val="auto"/>
    </w:pPr>
    <w:rPr>
      <w:rFonts w:ascii="Calibri" w:eastAsiaTheme="minorHAnsi" w:hAnsi="Calibri" w:cs="Calibri"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A4A27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A4A2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A4A27"/>
    <w:rPr>
      <w:vertAlign w:val="superscript"/>
    </w:rPr>
  </w:style>
  <w:style w:type="paragraph" w:customStyle="1" w:styleId="CBANadpisvTABULCE">
    <w:name w:val="CBA Nadpis v TABULCE"/>
    <w:basedOn w:val="Normln"/>
    <w:qFormat/>
    <w:rsid w:val="0028530F"/>
    <w:pPr>
      <w:spacing w:before="120" w:after="120"/>
      <w:jc w:val="left"/>
    </w:pPr>
    <w:rPr>
      <w:b/>
      <w:bCs/>
      <w:color w:val="13576B"/>
    </w:rPr>
  </w:style>
  <w:style w:type="paragraph" w:customStyle="1" w:styleId="CBAodstavecvTABULCE">
    <w:name w:val="CBA odstavec v TABULCE"/>
    <w:basedOn w:val="Normln"/>
    <w:qFormat/>
    <w:rsid w:val="0028530F"/>
    <w:pPr>
      <w:spacing w:before="120" w:after="120"/>
      <w:jc w:val="left"/>
    </w:pPr>
    <w:rPr>
      <w:color w:val="13576B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177C9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177C9"/>
    <w:rPr>
      <w:rFonts w:ascii="Consolas" w:eastAsia="Times New Roman" w:hAnsi="Consolas" w:cs="Times New Roman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72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23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84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497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1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4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3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1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14">
          <w:marLeft w:val="0"/>
          <w:marRight w:val="1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19184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074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23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9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825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207539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89819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9834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5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20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629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1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445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4498602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4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4" w:color="000000"/>
                                <w:bottom w:val="single" w:sz="2" w:space="0" w:color="000000"/>
                                <w:right w:val="single" w:sz="2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1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2171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5556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820332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327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427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40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62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975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58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2086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9284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4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40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988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912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542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014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35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109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5660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60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1340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3292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7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96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8359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275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cbamonitor.cz/kategorie/ceny-nemovitosti" TargetMode="External"/><Relationship Id="rId26" Type="http://schemas.openxmlformats.org/officeDocument/2006/relationships/hyperlink" Target="https://www.cbamonitor.cz/kategorie/cba-hypomonitor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cbamonitor.cz/statistika/dynamika-mezd" TargetMode="External"/><Relationship Id="rId25" Type="http://schemas.openxmlformats.org/officeDocument/2006/relationships/hyperlink" Target="http://www.cbaonline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bamonitor.cz/aktuality/prumyslova-vyroba-v-cervenci" TargetMode="External"/><Relationship Id="rId20" Type="http://schemas.openxmlformats.org/officeDocument/2006/relationships/hyperlink" Target="https://www.cbamonitor.cz/aktuality/kompletni-ceny-nemovitosti-dle-csu-ukazuji-pro-q1-2025-mirnejsi-narust-nez-ceny-bytu-nahled-a-vyzva-do-metodicke-kuchynky-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0lethypotek.cz/" TargetMode="External"/><Relationship Id="rId24" Type="http://schemas.openxmlformats.org/officeDocument/2006/relationships/image" Target="media/image8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7.emf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cbamonitor.cz/aktuality/pokles-transakcnich-cen-bytu-ve-druhem-ctvrtleti-souvisi-spise-s-transakcemi-nez-s-poklesem-c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6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0CBE5B95D55468F8CF7D6D1C8CB6B" ma:contentTypeVersion="10" ma:contentTypeDescription="Create a new document." ma:contentTypeScope="" ma:versionID="03de8c559e19055c2732f6aae148e160">
  <xsd:schema xmlns:xsd="http://www.w3.org/2001/XMLSchema" xmlns:xs="http://www.w3.org/2001/XMLSchema" xmlns:p="http://schemas.microsoft.com/office/2006/metadata/properties" xmlns:ns3="b09ec118-0c61-46db-bb00-952e09940a1f" targetNamespace="http://schemas.microsoft.com/office/2006/metadata/properties" ma:root="true" ma:fieldsID="a58f24d30c88e6ff28d70a1926b856b7" ns3:_="">
    <xsd:import namespace="b09ec118-0c61-46db-bb00-952e09940a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ec118-0c61-46db-bb00-952e09940a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9ec118-0c61-46db-bb00-952e09940a1f" xsi:nil="true"/>
  </documentManagement>
</p:properties>
</file>

<file path=customXml/itemProps1.xml><?xml version="1.0" encoding="utf-8"?>
<ds:datastoreItem xmlns:ds="http://schemas.openxmlformats.org/officeDocument/2006/customXml" ds:itemID="{90F695EA-D77D-4F66-A87E-5245D7A92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64796-18D1-44D3-AEB3-40E112819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ec118-0c61-46db-bb00-952e09940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9F6F5-D843-4129-900A-FD170C2ABB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B935B7-8C88-4CAE-A0AA-13A352B0843E}">
  <ds:schemaRefs>
    <ds:schemaRef ds:uri="http://schemas.microsoft.com/office/2006/metadata/properties"/>
    <ds:schemaRef ds:uri="http://schemas.microsoft.com/office/infopath/2007/PartnerControls"/>
    <ds:schemaRef ds:uri="b09ec118-0c61-46db-bb00-952e09940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2437</Words>
  <Characters>14382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vlachova</dc:creator>
  <cp:lastModifiedBy>Duffek, Adam (ČBA)</cp:lastModifiedBy>
  <cp:revision>8</cp:revision>
  <cp:lastPrinted>2025-08-14T09:13:00Z</cp:lastPrinted>
  <dcterms:created xsi:type="dcterms:W3CDTF">2025-10-13T12:49:00Z</dcterms:created>
  <dcterms:modified xsi:type="dcterms:W3CDTF">2025-10-13T14:02:00Z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0x0101004DC0CBE5B95D55468F8CF7D6D1C8CB6B</vt:lpwstr>
  </property>
</Properties>
</file>