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0E21C56A" w:rsidR="00DF154D" w:rsidRPr="002F43DE" w:rsidRDefault="003D3759" w:rsidP="003D3759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>ČBA 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 w:rsidR="00E16BD3">
        <w:rPr>
          <w:rFonts w:ascii="Calibri" w:hAnsi="Calibri" w:cs="Calibri"/>
          <w:b/>
          <w:color w:val="13576B"/>
          <w:sz w:val="32"/>
          <w:szCs w:val="32"/>
        </w:rPr>
        <w:t xml:space="preserve">Babí léto silných hypoték při stabilní sazbě </w:t>
      </w:r>
      <w:r w:rsidR="00BA280D" w:rsidRPr="003B7AE1">
        <w:rPr>
          <w:rFonts w:ascii="Calibri" w:hAnsi="Calibri" w:cs="Calibri"/>
          <w:b/>
          <w:color w:val="13576B"/>
          <w:sz w:val="32"/>
          <w:szCs w:val="32"/>
        </w:rPr>
        <w:t>4,5</w:t>
      </w:r>
      <w:r w:rsidR="003B7AE1" w:rsidRPr="003B7AE1">
        <w:rPr>
          <w:rFonts w:ascii="Calibri" w:hAnsi="Calibri" w:cs="Calibri"/>
          <w:b/>
          <w:color w:val="13576B"/>
          <w:sz w:val="32"/>
          <w:szCs w:val="32"/>
        </w:rPr>
        <w:t>2</w:t>
      </w:r>
      <w:r w:rsidR="00BA280D" w:rsidRPr="003B7AE1">
        <w:rPr>
          <w:rFonts w:ascii="Calibri" w:hAnsi="Calibri" w:cs="Calibri"/>
          <w:b/>
          <w:color w:val="13576B"/>
          <w:sz w:val="32"/>
          <w:szCs w:val="32"/>
        </w:rPr>
        <w:t xml:space="preserve"> %</w:t>
      </w:r>
      <w:r w:rsidR="00BA280D" w:rsidRPr="002F43DE">
        <w:rPr>
          <w:rFonts w:ascii="Calibri" w:hAnsi="Calibri" w:cs="Calibri"/>
          <w:b/>
          <w:color w:val="EE0000"/>
          <w:sz w:val="32"/>
          <w:szCs w:val="32"/>
        </w:rPr>
        <w:t xml:space="preserve"> </w:t>
      </w:r>
    </w:p>
    <w:bookmarkEnd w:id="0"/>
    <w:p w14:paraId="5B3FADD7" w14:textId="029B5284" w:rsidR="00574E26" w:rsidRDefault="007967E6" w:rsidP="00574E26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136FC7">
        <w:rPr>
          <w:rFonts w:ascii="Calibri" w:hAnsi="Calibri" w:cs="Calibri"/>
          <w:color w:val="13576B"/>
          <w:sz w:val="22"/>
          <w:szCs w:val="22"/>
        </w:rPr>
        <w:t>4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. </w:t>
      </w:r>
      <w:r w:rsidR="009C040E">
        <w:rPr>
          <w:rFonts w:ascii="Calibri" w:hAnsi="Calibri" w:cs="Calibri"/>
          <w:color w:val="13576B"/>
          <w:sz w:val="22"/>
          <w:szCs w:val="22"/>
        </w:rPr>
        <w:t>říjn</w:t>
      </w:r>
      <w:r w:rsidR="00B51DA1">
        <w:rPr>
          <w:rFonts w:ascii="Calibri" w:hAnsi="Calibri" w:cs="Calibri"/>
          <w:color w:val="13576B"/>
          <w:sz w:val="22"/>
          <w:szCs w:val="22"/>
        </w:rPr>
        <w:t>a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6320CB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C08D8">
        <w:rPr>
          <w:rFonts w:ascii="Calibri" w:hAnsi="Calibri" w:cs="Calibri"/>
          <w:color w:val="13576B"/>
          <w:sz w:val="22"/>
          <w:szCs w:val="22"/>
        </w:rPr>
        <w:t>–</w:t>
      </w:r>
      <w:r w:rsidR="00BF77A4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BF77A4" w:rsidRPr="00BF77A4">
        <w:rPr>
          <w:rFonts w:ascii="Calibri" w:hAnsi="Calibri" w:cs="Calibri"/>
          <w:b/>
          <w:bCs/>
          <w:color w:val="13576B"/>
          <w:sz w:val="22"/>
          <w:szCs w:val="22"/>
        </w:rPr>
        <w:t xml:space="preserve">V září 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2025 poskytly banky a stavební spořitelny nové hypotéky za 29,6 miliardy Kč. Oproti srpnu aktivita objemově zesílila o 14 %, </w:t>
      </w:r>
      <w:r w:rsidR="00574E26" w:rsidRPr="00574E26">
        <w:rPr>
          <w:rFonts w:ascii="Calibri" w:hAnsi="Calibri" w:cs="Calibri"/>
          <w:b/>
          <w:bCs/>
          <w:color w:val="13576B"/>
          <w:sz w:val="22"/>
          <w:szCs w:val="22"/>
        </w:rPr>
        <w:t>což potvrzují i sezónně očištěná čísla</w:t>
      </w:r>
      <w:r w:rsid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 s odhadnutým objemem nových hypoték přes 31 miliard korun a více než 7,2 tisíci kusy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. Od začátku roku tak objem </w:t>
      </w:r>
      <w:r w:rsid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nových hypoték 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dosáhl 235 miliard korun, tedy o 70 miliard více než před rokem. </w:t>
      </w:r>
      <w:r w:rsidR="00574E26" w:rsidRPr="00574E26">
        <w:rPr>
          <w:rFonts w:ascii="Calibri" w:hAnsi="Calibri" w:cs="Calibri"/>
          <w:b/>
          <w:bCs/>
          <w:color w:val="13576B"/>
          <w:sz w:val="22"/>
          <w:szCs w:val="22"/>
        </w:rPr>
        <w:t>Rostoucí tržní úrokové sazby ponechaly p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>růměrn</w:t>
      </w:r>
      <w:r w:rsidR="00574E26" w:rsidRPr="00574E26">
        <w:rPr>
          <w:rFonts w:ascii="Calibri" w:hAnsi="Calibri" w:cs="Calibri"/>
          <w:b/>
          <w:bCs/>
          <w:color w:val="13576B"/>
          <w:sz w:val="22"/>
          <w:szCs w:val="22"/>
        </w:rPr>
        <w:t>ou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 realizovan</w:t>
      </w:r>
      <w:r w:rsidR="00574E26" w:rsidRPr="00574E26">
        <w:rPr>
          <w:rFonts w:ascii="Calibri" w:hAnsi="Calibri" w:cs="Calibri"/>
          <w:b/>
          <w:bCs/>
          <w:color w:val="13576B"/>
          <w:sz w:val="22"/>
          <w:szCs w:val="22"/>
        </w:rPr>
        <w:t>ou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 sazb</w:t>
      </w:r>
      <w:r w:rsidR="00136FC7">
        <w:rPr>
          <w:rFonts w:ascii="Calibri" w:hAnsi="Calibri" w:cs="Calibri"/>
          <w:b/>
          <w:bCs/>
          <w:color w:val="13576B"/>
          <w:sz w:val="22"/>
          <w:szCs w:val="22"/>
        </w:rPr>
        <w:t>u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 hypoték na 4,52 %</w:t>
      </w:r>
      <w:r w:rsidR="00574E26" w:rsidRPr="00574E26">
        <w:rPr>
          <w:rFonts w:ascii="Calibri" w:hAnsi="Calibri" w:cs="Calibri"/>
          <w:b/>
          <w:bCs/>
          <w:color w:val="13576B"/>
          <w:sz w:val="22"/>
          <w:szCs w:val="22"/>
        </w:rPr>
        <w:t>, poté co již v srpnu pouze nepatrně klesla z červencových 4,53 %.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574E26" w:rsidRPr="00574E26">
        <w:rPr>
          <w:rFonts w:ascii="Calibri" w:hAnsi="Calibri" w:cs="Calibri"/>
          <w:b/>
          <w:bCs/>
          <w:color w:val="13576B"/>
          <w:sz w:val="22"/>
          <w:szCs w:val="22"/>
        </w:rPr>
        <w:t>Uvedené</w:t>
      </w:r>
      <w:r w:rsidR="00574E26" w:rsidRPr="00BF77A4">
        <w:rPr>
          <w:rFonts w:ascii="Calibri" w:hAnsi="Calibri" w:cs="Calibri"/>
          <w:b/>
          <w:bCs/>
          <w:color w:val="13576B"/>
          <w:sz w:val="22"/>
          <w:szCs w:val="22"/>
        </w:rPr>
        <w:t xml:space="preserve"> informace plynou z údajů ČBA Hypomonitoru, který zachycuje data všech tuzemských bank a stavebních spořitelen poskytujících hypoteční úvěry.</w:t>
      </w:r>
      <w:r w:rsidR="000D0E54">
        <w:rPr>
          <w:rFonts w:ascii="Calibri" w:hAnsi="Calibri" w:cs="Calibri"/>
          <w:b/>
          <w:bCs/>
          <w:color w:val="13576B"/>
          <w:sz w:val="22"/>
          <w:szCs w:val="22"/>
        </w:rPr>
        <w:t xml:space="preserve"> Hypoteční trh v Česku slaví 30 let. Výročí připomene konference </w:t>
      </w:r>
      <w:hyperlink r:id="rId11" w:history="1">
        <w:r w:rsidR="000D0E54" w:rsidRPr="000D0E54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30 let hypoték</w:t>
        </w:r>
      </w:hyperlink>
      <w:r w:rsidR="000D0E54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</w:p>
    <w:p w14:paraId="41FA5D08" w14:textId="67A80FAB" w:rsidR="00BF77A4" w:rsidRDefault="00574E26" w:rsidP="00A37C1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>M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eziroční pokles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hypoteční sazby 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o 0,44% bodu snižuje měsíční splátky přibližně o více než 1,1 tis. Kč, tedy o 1,2 % čistého příjmu žadatele o hypotéku. Průměrná velikost nově poskytnuté hypotéky </w:t>
      </w:r>
      <w:r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se 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v září </w:t>
      </w:r>
      <w:r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vrátila k růstu </w:t>
      </w:r>
      <w:r w:rsidR="00BF77A4" w:rsidRPr="00574E26">
        <w:rPr>
          <w:rFonts w:ascii="Calibri" w:hAnsi="Calibri" w:cs="Calibri"/>
          <w:b/>
          <w:bCs/>
          <w:color w:val="13576B"/>
          <w:sz w:val="22"/>
          <w:szCs w:val="22"/>
        </w:rPr>
        <w:t xml:space="preserve">na 4,35 milionu korun. Její meziroční nárůst o 590 tisíc korun tak zvedl průměrnou měsíční splátku téměř o 3,2 tis. Kč, tedy přibližně o 3,4 % příjmu žadatele. </w:t>
      </w:r>
    </w:p>
    <w:p w14:paraId="792E63D0" w14:textId="2038CA35" w:rsidR="00BF77A4" w:rsidRPr="00B97D8D" w:rsidRDefault="00BF77A4" w:rsidP="00A37C1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>Pokud hypotéky udrží dynamiku z </w:t>
      </w:r>
      <w:r w:rsidR="001209DC">
        <w:rPr>
          <w:rFonts w:ascii="Calibri" w:hAnsi="Calibri" w:cs="Calibri"/>
          <w:b/>
          <w:bCs/>
          <w:color w:val="13576B"/>
          <w:sz w:val="22"/>
          <w:szCs w:val="22"/>
        </w:rPr>
        <w:t>posledních</w:t>
      </w: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čtyř</w:t>
      </w: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 xml:space="preserve"> měsíců, tedy za červen až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září</w:t>
      </w: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 xml:space="preserve">, pak by v roce 2025 mohl objem nových hypoték bez refinancování dosáhnout úrovně 316 miliard Kč, +38 % v porovnání s loňskem.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Nedávný trend tak vede k lepšímu ročnímu výhledu než před měsícem či třemi, kdy se odhad pohyboval blíže 300 mld. korun</w:t>
      </w: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Výhled na silnější objemy rovněž </w:t>
      </w: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>doprováz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í</w:t>
      </w:r>
      <w:r w:rsidRPr="00BF77A4">
        <w:rPr>
          <w:rFonts w:ascii="Calibri" w:hAnsi="Calibri" w:cs="Calibri"/>
          <w:b/>
          <w:bCs/>
          <w:color w:val="13576B"/>
          <w:sz w:val="22"/>
          <w:szCs w:val="22"/>
        </w:rPr>
        <w:t xml:space="preserve"> lepší odhad počtu nových hypoték v letošním roce na úrovni 75,9 tisíc, což je nad průměrným odhadem z předcházejících tří měsíců (73 tisíc kusů).</w:t>
      </w:r>
    </w:p>
    <w:p w14:paraId="65DC7611" w14:textId="76F81900" w:rsidR="00E013E3" w:rsidRPr="00B97D8D" w:rsidRDefault="00E013E3" w:rsidP="00425883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Nová </w:t>
      </w:r>
      <w:r w:rsid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hypoteční 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čísla </w:t>
      </w:r>
      <w:r w:rsidR="00BF77A4" w:rsidRPr="00B97D8D">
        <w:rPr>
          <w:rFonts w:ascii="Calibri" w:hAnsi="Calibri" w:cs="Calibri"/>
          <w:b/>
          <w:bCs/>
          <w:color w:val="13576B"/>
          <w:sz w:val="22"/>
          <w:szCs w:val="22"/>
        </w:rPr>
        <w:t>zesilují nedávný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 trend</w:t>
      </w:r>
      <w:r w:rsidR="00B97D8D">
        <w:rPr>
          <w:rFonts w:ascii="Calibri" w:hAnsi="Calibri" w:cs="Calibri"/>
          <w:b/>
          <w:bCs/>
          <w:color w:val="13576B"/>
          <w:sz w:val="22"/>
          <w:szCs w:val="22"/>
        </w:rPr>
        <w:t>,</w:t>
      </w:r>
      <w:r w:rsidR="00BF77A4"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 a tak asi nadále 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>budou představovat proinflační riziko</w:t>
      </w:r>
      <w:r w:rsidR="00BF77A4"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 vůči nastavení měnové politiky 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ČNB (2týdenní repo </w:t>
      </w:r>
      <w:r w:rsidR="00BF77A4"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nyní 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>na 3,5 %)</w:t>
      </w:r>
      <w:r w:rsidR="006830CE"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 a 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také pravděpodobně udrží netriviální diskusi nad nastavením </w:t>
      </w:r>
      <w:r w:rsidR="006830CE" w:rsidRPr="00B97D8D">
        <w:rPr>
          <w:rFonts w:ascii="Calibri" w:hAnsi="Calibri" w:cs="Calibri"/>
          <w:b/>
          <w:bCs/>
          <w:color w:val="13576B"/>
          <w:sz w:val="22"/>
          <w:szCs w:val="22"/>
        </w:rPr>
        <w:t xml:space="preserve">makroobezřetnostní politiky, jejíž další rozhodnutí je naplánováno na </w:t>
      </w:r>
      <w:r w:rsidRPr="00B97D8D">
        <w:rPr>
          <w:rFonts w:ascii="Calibri" w:hAnsi="Calibri" w:cs="Calibri"/>
          <w:b/>
          <w:bCs/>
          <w:color w:val="13576B"/>
          <w:sz w:val="22"/>
          <w:szCs w:val="22"/>
        </w:rPr>
        <w:t>27. listopadu.</w:t>
      </w:r>
    </w:p>
    <w:p w14:paraId="5AD409BA" w14:textId="77777777" w:rsidR="00574E26" w:rsidRDefault="00574E26" w:rsidP="00425883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4A7C2A28" w14:textId="356E12CD" w:rsidR="00425883" w:rsidRPr="002B35B7" w:rsidRDefault="00425883" w:rsidP="00425883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863D50">
        <w:rPr>
          <w:rFonts w:ascii="Calibri" w:hAnsi="Calibri" w:cs="Calibri"/>
          <w:b/>
          <w:color w:val="13576B"/>
          <w:sz w:val="23"/>
          <w:szCs w:val="23"/>
        </w:rPr>
        <w:t>září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2025 a za dosavadní průběh letošního roku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850"/>
        <w:gridCol w:w="916"/>
      </w:tblGrid>
      <w:tr w:rsidR="00425883" w:rsidRPr="002138C0" w14:paraId="02897C33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AEE99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5BA4" w14:textId="77777777" w:rsidR="00425883" w:rsidRPr="00A06A94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077C59E1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863D50" w:rsidRPr="002138C0" w14:paraId="0D31970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863D50" w:rsidRPr="00072DB9" w:rsidRDefault="00863D50" w:rsidP="00863D5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6F25609A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4B98276B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09734E43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48CA9F5A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E06" w14:textId="1E448B30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292,9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B5A7" w14:textId="7902560E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72 941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C875B" w14:textId="1380C4ED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4,60</w:t>
            </w:r>
          </w:p>
        </w:tc>
      </w:tr>
      <w:tr w:rsidR="00863D50" w:rsidRPr="002138C0" w14:paraId="4CCF9803" w14:textId="77777777" w:rsidTr="00883A3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125E564C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427F1684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6 795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4236D1C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580EFAFB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4F1CCE8" w14:textId="420607E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235,1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B4EBFBE" w14:textId="12F156D2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56 532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571E9F3C" w14:textId="3F7E0B45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4,61</w:t>
            </w:r>
          </w:p>
        </w:tc>
      </w:tr>
      <w:tr w:rsidR="00863D50" w:rsidRPr="002138C0" w14:paraId="7681A9A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5AD2597A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17C9805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6273425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129DDAA7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964CC2" w14:textId="01DA1D0F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0B8577" w14:textId="46CF3DCA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0C2204" w14:textId="7AE0327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863D50" w:rsidRPr="002138C0" w14:paraId="044C41D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181E2485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5E125169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075C6722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7A72B6FE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F069C9" w14:textId="5FA2069C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187,8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1727F9" w14:textId="0A3630FA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44 290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8656123" w14:textId="43BD1077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4,60</w:t>
            </w:r>
          </w:p>
        </w:tc>
      </w:tr>
      <w:tr w:rsidR="00863D50" w:rsidRPr="002138C0" w14:paraId="2F24DA4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6B914961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34B48D1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6048A089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88DB" w14:textId="72CEC404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D7FAE5" w14:textId="353A60B0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C10C04" w14:textId="4F730F02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8 756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F6D3B8" w14:textId="6556541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863D50" w:rsidRPr="002138C0" w14:paraId="6C466F0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02F26249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56704821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0FDC6047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4,66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5554D7EC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2E05" w14:textId="62D21607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660BD" w14:textId="1FE9B6D0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3 486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A1437" w14:textId="618E9373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4,79</w:t>
            </w:r>
          </w:p>
        </w:tc>
      </w:tr>
      <w:tr w:rsidR="00863D50" w:rsidRPr="002138C0" w14:paraId="1203508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312C5AB0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48172624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32701756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32ADEE8E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E192" w14:textId="765A978A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7315" w14:textId="6C6F694D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13 555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2CCAF" w14:textId="5127D24D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4,56</w:t>
            </w:r>
          </w:p>
        </w:tc>
      </w:tr>
      <w:tr w:rsidR="00863D50" w:rsidRPr="002138C0" w14:paraId="01014CF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472A49AF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53A932A5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75765B87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4,54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7A723ADA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6DBD" w14:textId="5D91FB8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102" w14:textId="6FDC2838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2 854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9818EE" w14:textId="500C37AE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425883" w:rsidRPr="002138C0" w14:paraId="6F1DAD0F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>Pramen: ČBA Hypomonitor</w:t>
            </w:r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9A2" w14:textId="79BFB73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6B7D1662" w14:textId="7D1E6DF8" w:rsidR="00677FE7" w:rsidRDefault="00E16BD3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2" w:name="_Hlk111121228"/>
      <w:bookmarkStart w:id="3" w:name="_Hlk119308742"/>
      <w:r>
        <w:rPr>
          <w:rFonts w:ascii="Calibri" w:hAnsi="Calibri" w:cs="Calibri"/>
          <w:b/>
          <w:noProof/>
          <w:color w:val="13576B"/>
          <w:sz w:val="23"/>
          <w:szCs w:val="23"/>
        </w:rPr>
        <w:lastRenderedPageBreak/>
        <w:drawing>
          <wp:inline distT="0" distB="0" distL="0" distR="0" wp14:anchorId="6024BFE3" wp14:editId="76C70646">
            <wp:extent cx="6228369" cy="5139690"/>
            <wp:effectExtent l="0" t="0" r="1270" b="3810"/>
            <wp:docPr id="8571335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27" cy="514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4542E" w14:textId="77777777" w:rsidR="00E16BD3" w:rsidRPr="00E16BD3" w:rsidRDefault="00E16BD3" w:rsidP="00E16BD3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</w:p>
    <w:p w14:paraId="318142AF" w14:textId="79B43D52" w:rsidR="00E924A8" w:rsidRDefault="00B97D8D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Poprázdninový návrat k silnému objemu hypoték po mírnější srpnové korekci </w:t>
      </w:r>
    </w:p>
    <w:p w14:paraId="4447F4B3" w14:textId="6D4947B8" w:rsidR="00B97D8D" w:rsidRDefault="00B97D8D" w:rsidP="002B35B7">
      <w:pPr>
        <w:spacing w:before="240" w:after="120"/>
        <w:rPr>
          <w:rFonts w:ascii="Calibri" w:hAnsi="Calibri" w:cs="Calibri"/>
          <w:color w:val="000000"/>
          <w:sz w:val="22"/>
          <w:szCs w:val="22"/>
        </w:rPr>
      </w:pPr>
      <w:r w:rsidRPr="00B97D8D">
        <w:rPr>
          <w:rFonts w:ascii="Calibri" w:hAnsi="Calibri" w:cs="Calibri"/>
          <w:b/>
          <w:bCs/>
          <w:color w:val="000000"/>
          <w:sz w:val="22"/>
          <w:szCs w:val="22"/>
        </w:rPr>
        <w:t>V září poskytly banky a stavební spořitelny skutečně nové hypoteční úvěry za 29,6 mld. Kč a k tomu klienti navíc refinancovali či navýšili své hypotéky v rozsahu 8 mld. Kč.</w:t>
      </w:r>
      <w:r w:rsidRPr="00B97D8D">
        <w:rPr>
          <w:rFonts w:ascii="Calibri" w:hAnsi="Calibri" w:cs="Calibri"/>
          <w:color w:val="000000"/>
          <w:sz w:val="22"/>
          <w:szCs w:val="22"/>
        </w:rPr>
        <w:t xml:space="preserve"> Oproti srpnu tak nová hypoteční aktivita objemově stoupla přibližně o 14 %. Po sezónní úpravě přinesla zářijová čísla nových hypoték nárůst na 31,3 mld. Kč. To představuje 20,6% zlepšení ve srovnání s</w:t>
      </w:r>
      <w:r w:rsidR="001209DC">
        <w:rPr>
          <w:rFonts w:ascii="Calibri" w:hAnsi="Calibri" w:cs="Calibri"/>
          <w:color w:val="000000"/>
          <w:sz w:val="22"/>
          <w:szCs w:val="22"/>
        </w:rPr>
        <w:t>e</w:t>
      </w:r>
      <w:r w:rsidRPr="00B97D8D">
        <w:rPr>
          <w:rFonts w:ascii="Calibri" w:hAnsi="Calibri" w:cs="Calibri"/>
          <w:color w:val="000000"/>
          <w:sz w:val="22"/>
          <w:szCs w:val="22"/>
        </w:rPr>
        <w:t xml:space="preserve"> srpnovými 25,9 mld. a zároveň se nachází nad průměrným objemem z předchozích tří měsíců (26,6 mld. Kč). V meziročním vyjádření </w:t>
      </w:r>
      <w:r>
        <w:rPr>
          <w:rFonts w:ascii="Calibri" w:hAnsi="Calibri" w:cs="Calibri"/>
          <w:color w:val="000000"/>
          <w:sz w:val="22"/>
          <w:szCs w:val="22"/>
        </w:rPr>
        <w:t xml:space="preserve">se </w:t>
      </w:r>
      <w:r w:rsidRPr="00B97D8D">
        <w:rPr>
          <w:rFonts w:ascii="Calibri" w:hAnsi="Calibri" w:cs="Calibri"/>
          <w:color w:val="000000"/>
          <w:sz w:val="22"/>
          <w:szCs w:val="22"/>
        </w:rPr>
        <w:t xml:space="preserve">růst objemu poskytnutých hypoték v září </w:t>
      </w:r>
      <w:r>
        <w:rPr>
          <w:rFonts w:ascii="Calibri" w:hAnsi="Calibri" w:cs="Calibri"/>
          <w:color w:val="000000"/>
          <w:sz w:val="22"/>
          <w:szCs w:val="22"/>
        </w:rPr>
        <w:t>vrátil</w:t>
      </w:r>
      <w:r w:rsidRPr="00B97D8D">
        <w:rPr>
          <w:rFonts w:ascii="Calibri" w:hAnsi="Calibri" w:cs="Calibri"/>
          <w:color w:val="000000"/>
          <w:sz w:val="22"/>
          <w:szCs w:val="22"/>
        </w:rPr>
        <w:t xml:space="preserve"> na 50 % </w:t>
      </w:r>
      <w:r>
        <w:rPr>
          <w:rFonts w:ascii="Calibri" w:hAnsi="Calibri" w:cs="Calibri"/>
          <w:color w:val="000000"/>
          <w:sz w:val="22"/>
          <w:szCs w:val="22"/>
        </w:rPr>
        <w:t xml:space="preserve">po krátkodobém zpomalení na 1 % meziročního růstu v srpnu (silný bazický efekt spojený se silnými objemy v srpnu 2024 kvůli novele zákona o </w:t>
      </w:r>
      <w:r w:rsidR="006B4649">
        <w:rPr>
          <w:rFonts w:ascii="Calibri" w:hAnsi="Calibri" w:cs="Calibri"/>
          <w:color w:val="000000"/>
          <w:sz w:val="22"/>
          <w:szCs w:val="22"/>
        </w:rPr>
        <w:t>uznatelných nákladech</w:t>
      </w:r>
      <w:r>
        <w:rPr>
          <w:rFonts w:ascii="Calibri" w:hAnsi="Calibri" w:cs="Calibri"/>
          <w:color w:val="000000"/>
          <w:sz w:val="22"/>
          <w:szCs w:val="22"/>
        </w:rPr>
        <w:t xml:space="preserve">) a </w:t>
      </w:r>
      <w:r w:rsidRPr="00B97D8D">
        <w:rPr>
          <w:rFonts w:ascii="Calibri" w:hAnsi="Calibri" w:cs="Calibri"/>
          <w:color w:val="000000"/>
          <w:sz w:val="22"/>
          <w:szCs w:val="22"/>
        </w:rPr>
        <w:t>po</w:t>
      </w:r>
      <w:r>
        <w:rPr>
          <w:rFonts w:ascii="Calibri" w:hAnsi="Calibri" w:cs="Calibri"/>
          <w:color w:val="000000"/>
          <w:sz w:val="22"/>
          <w:szCs w:val="22"/>
        </w:rPr>
        <w:t xml:space="preserve"> průměrném</w:t>
      </w:r>
      <w:r w:rsidRPr="00B97D8D">
        <w:rPr>
          <w:rFonts w:ascii="Calibri" w:hAnsi="Calibri" w:cs="Calibri"/>
          <w:color w:val="000000"/>
          <w:sz w:val="22"/>
          <w:szCs w:val="22"/>
        </w:rPr>
        <w:t xml:space="preserve"> 83% meziročním nárůstu v minulém roce.</w:t>
      </w:r>
    </w:p>
    <w:p w14:paraId="115F55C1" w14:textId="5994F682" w:rsidR="001808FE" w:rsidRPr="004E3F0C" w:rsidRDefault="001808FE" w:rsidP="00180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B4649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Pr="001808FE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Zářijová čísla potvrdila, že silná letní aktivita na hypotečním trhu nebyla výjimkou. Hypoteční trh zůstává nadále velmi živý – roste jak počet, tak i objem nově poskytnutých úvěrů. Průměrná výše nové hypotéky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poprvé </w:t>
      </w:r>
      <w:r w:rsidRPr="001808FE">
        <w:rPr>
          <w:rFonts w:ascii="Calibri" w:hAnsi="Calibri" w:cs="Calibri"/>
          <w:i/>
          <w:iCs/>
          <w:color w:val="000000" w:themeColor="text1"/>
          <w:sz w:val="22"/>
          <w:szCs w:val="22"/>
        </w:rPr>
        <w:t>přesáhla 4,3 milionu korun a její medián se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pravděpodobně </w:t>
      </w:r>
      <w:r w:rsidRPr="001808FE">
        <w:rPr>
          <w:rFonts w:ascii="Calibri" w:hAnsi="Calibri" w:cs="Calibri"/>
          <w:i/>
          <w:iCs/>
          <w:color w:val="000000" w:themeColor="text1"/>
          <w:sz w:val="22"/>
          <w:szCs w:val="22"/>
        </w:rPr>
        <w:t>pohybuje okolo 3,4 milionu</w:t>
      </w:r>
      <w:r w:rsidRPr="006B4649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>
        <w:rPr>
          <w:rFonts w:ascii="Calibri" w:hAnsi="Calibri" w:cs="Calibri"/>
          <w:color w:val="000000" w:themeColor="text1"/>
          <w:sz w:val="22"/>
          <w:szCs w:val="22"/>
        </w:rPr>
        <w:t>podotýká</w:t>
      </w:r>
      <w:r w:rsidRPr="004E3F0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4E3F0C">
        <w:rPr>
          <w:rFonts w:ascii="Calibri" w:hAnsi="Calibri" w:cs="Calibri"/>
          <w:b/>
          <w:bCs/>
          <w:color w:val="000000" w:themeColor="text1"/>
          <w:sz w:val="22"/>
          <w:szCs w:val="22"/>
        </w:rPr>
        <w:t>Jaromír Šindel, hlavní ekonom České bankovní asociace</w:t>
      </w:r>
      <w:r w:rsidRPr="004E3F0C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1698F21" w14:textId="77777777" w:rsidR="001808FE" w:rsidRDefault="001808FE" w:rsidP="001808FE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0355E5D9" w14:textId="77777777" w:rsidR="001808FE" w:rsidRPr="00A37C13" w:rsidRDefault="001808FE" w:rsidP="002B35B7">
      <w:pPr>
        <w:spacing w:before="240" w:after="120"/>
        <w:rPr>
          <w:rFonts w:ascii="Calibri" w:hAnsi="Calibri" w:cs="Calibri"/>
          <w:color w:val="000000"/>
          <w:sz w:val="22"/>
          <w:szCs w:val="22"/>
        </w:rPr>
      </w:pPr>
    </w:p>
    <w:p w14:paraId="504110D7" w14:textId="6750CD70" w:rsidR="006B4649" w:rsidRDefault="006B4649" w:rsidP="006228C3">
      <w:pPr>
        <w:spacing w:before="120" w:after="12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Poč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et nových hypoték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v září dosáhl 44měsíčního maxima a letošní rok 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>překon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á</w:t>
      </w:r>
      <w:r w:rsidRPr="00EA610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úroveň z roku 2019. 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Počet nových hypoték v září narostl o 11,6 % meziměsíčně na 6 795 kusů, což je o 30 % více než před rokem. Odhadujeme, že po sezónním očištění jejich počet </w:t>
      </w:r>
      <w:r>
        <w:rPr>
          <w:rFonts w:ascii="Calibri" w:hAnsi="Calibri" w:cs="Calibri"/>
          <w:color w:val="000000" w:themeColor="text1"/>
          <w:sz w:val="22"/>
          <w:szCs w:val="22"/>
        </w:rPr>
        <w:t>dosáhl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 okolo 7 244, přibližně 14 % nad průměrným počtem (6 346) v předchozích třech měsících. Od počátku roku dosáhl počet nových hypoték 56,5 tisíc</w:t>
      </w:r>
      <w:r w:rsidR="001209DC"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 kusů (+25,5 % meziročně). Dynamika počtu nových hypoték z předcházejících čtyř měsíců, tedy za červen až </w:t>
      </w:r>
      <w:r>
        <w:rPr>
          <w:rFonts w:ascii="Calibri" w:hAnsi="Calibri" w:cs="Calibri"/>
          <w:color w:val="000000" w:themeColor="text1"/>
          <w:sz w:val="22"/>
          <w:szCs w:val="22"/>
        </w:rPr>
        <w:t>září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 implikuje jejich letošní nárůst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k 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>75,9 tisíc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ům. To 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by bylo téměř o 23 % více než v loňském roce a </w:t>
      </w:r>
      <w:r w:rsidR="001808FE">
        <w:rPr>
          <w:rFonts w:ascii="Calibri" w:hAnsi="Calibri" w:cs="Calibri"/>
          <w:color w:val="000000" w:themeColor="text1"/>
          <w:sz w:val="22"/>
          <w:szCs w:val="22"/>
        </w:rPr>
        <w:t>nad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 72 tisí</w:t>
      </w:r>
      <w:r w:rsidR="001808FE">
        <w:rPr>
          <w:rFonts w:ascii="Calibri" w:hAnsi="Calibri" w:cs="Calibri"/>
          <w:color w:val="000000" w:themeColor="text1"/>
          <w:sz w:val="22"/>
          <w:szCs w:val="22"/>
        </w:rPr>
        <w:t>ci</w:t>
      </w:r>
      <w:r w:rsidRPr="006B4649">
        <w:rPr>
          <w:rFonts w:ascii="Calibri" w:hAnsi="Calibri" w:cs="Calibri"/>
          <w:color w:val="000000" w:themeColor="text1"/>
          <w:sz w:val="22"/>
          <w:szCs w:val="22"/>
        </w:rPr>
        <w:t xml:space="preserve"> roku 2019</w:t>
      </w:r>
      <w:r>
        <w:rPr>
          <w:rFonts w:ascii="Calibri" w:hAnsi="Calibri" w:cs="Calibri"/>
          <w:color w:val="000000" w:themeColor="text1"/>
          <w:sz w:val="22"/>
          <w:szCs w:val="22"/>
        </w:rPr>
        <w:t>, ale</w:t>
      </w:r>
      <w:r w:rsidR="001808FE">
        <w:rPr>
          <w:rFonts w:ascii="Calibri" w:hAnsi="Calibri" w:cs="Calibri"/>
          <w:color w:val="000000" w:themeColor="text1"/>
          <w:sz w:val="22"/>
          <w:szCs w:val="22"/>
        </w:rPr>
        <w:t xml:space="preserve"> letošní počet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zůstane pod průměrnými počty okolo 95 tisíc z let 2016 až 2018 či pod 114 tisíci z roku 2021. </w:t>
      </w:r>
    </w:p>
    <w:p w14:paraId="60FFBB1D" w14:textId="77777777" w:rsidR="006F3240" w:rsidRDefault="006F3240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1B8EC1D" w14:textId="2EDED606" w:rsidR="00D24B00" w:rsidRPr="00D24B00" w:rsidRDefault="00893E0C" w:rsidP="00D24B00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277397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  <w:r w:rsidR="00D24B00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3A211631" w14:textId="682FC64B" w:rsidR="00EA6103" w:rsidRPr="00EA6103" w:rsidRDefault="004E3F0C" w:rsidP="004E3F0C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 w:rsidRPr="004E3F0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září 2025 poskytly banky a stavební spořitelny nové hypotéky za 29,6 miliardy Kč, tedy o 14 % více než v srpnu.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Sezónní úprava naznačuje více než 20% </w:t>
      </w:r>
      <w:r w:rsidRPr="004E3F0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zlepšení na 31,3 mld. Kč. </w:t>
      </w:r>
    </w:p>
    <w:p w14:paraId="4CCB83B3" w14:textId="339817DE" w:rsidR="00893E0C" w:rsidRDefault="004E3F0C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258E62AF" wp14:editId="6FBFFE9F">
            <wp:extent cx="5876925" cy="3816350"/>
            <wp:effectExtent l="0" t="0" r="9525" b="0"/>
            <wp:docPr id="5811490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56E65" w14:textId="0C9E85D9" w:rsidR="00893E0C" w:rsidRDefault="00277397" w:rsidP="00237E0B">
      <w:pPr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77397">
        <w:rPr>
          <w:rFonts w:ascii="Calibri Light" w:hAnsi="Calibri Light" w:cs="Calibri Light"/>
          <w:color w:val="13576B"/>
          <w:sz w:val="20"/>
        </w:rPr>
        <w:t>Pramen: ČNB, ČBA Hypomonitor (před rokem 2020 jsou objemy ze statistiky ČNB).</w:t>
      </w:r>
    </w:p>
    <w:bookmarkEnd w:id="1"/>
    <w:bookmarkEnd w:id="2"/>
    <w:bookmarkEnd w:id="3"/>
    <w:p w14:paraId="30B6542C" w14:textId="610834A0" w:rsidR="00541D7D" w:rsidRDefault="00B40FEB" w:rsidP="0020488B">
      <w:pPr>
        <w:rPr>
          <w:rFonts w:ascii="Calibri" w:hAnsi="Calibri" w:cs="Calibri"/>
          <w:color w:val="000000"/>
          <w:sz w:val="22"/>
          <w:szCs w:val="22"/>
        </w:rPr>
      </w:pPr>
      <w:r w:rsidRPr="00B40FEB">
        <w:rPr>
          <w:rFonts w:ascii="Calibri" w:hAnsi="Calibri" w:cs="Calibri"/>
          <w:b/>
          <w:bCs/>
          <w:color w:val="000000"/>
          <w:sz w:val="22"/>
          <w:szCs w:val="22"/>
        </w:rPr>
        <w:t>Větší poměr refinancovaných úvěrů odpovídá současnému trendu a bude pravděpodobně sílit.</w:t>
      </w:r>
      <w:r w:rsidR="001808FE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1808FE" w:rsidRPr="001808FE">
        <w:rPr>
          <w:rFonts w:ascii="Calibri" w:hAnsi="Calibri" w:cs="Calibri"/>
          <w:color w:val="000000"/>
          <w:sz w:val="22"/>
          <w:szCs w:val="22"/>
        </w:rPr>
        <w:t xml:space="preserve">Objem refinancovaných a navýšených úvěrů (interně či z jiné instituce) v září stoupl na 8 mld. Kč. To je o 104 % více než průměrných 3,9 miliardy refinancovaných v loňském roce a o 272 % nad 2,2 miliardami refinancovanými v roce 2023. Podíl refinancovaných úvěrů na celkovém objemu poskytnutých hypoték </w:t>
      </w:r>
      <w:r w:rsidR="001808FE">
        <w:rPr>
          <w:rFonts w:ascii="Calibri" w:hAnsi="Calibri" w:cs="Calibri"/>
          <w:color w:val="000000"/>
          <w:sz w:val="22"/>
          <w:szCs w:val="22"/>
        </w:rPr>
        <w:t xml:space="preserve">nepatrně </w:t>
      </w:r>
      <w:r w:rsidR="001808FE" w:rsidRPr="001808FE">
        <w:rPr>
          <w:rFonts w:ascii="Calibri" w:hAnsi="Calibri" w:cs="Calibri"/>
          <w:color w:val="000000"/>
          <w:sz w:val="22"/>
          <w:szCs w:val="22"/>
        </w:rPr>
        <w:t>klesl na 21,3 %</w:t>
      </w:r>
      <w:r w:rsidR="001808FE">
        <w:rPr>
          <w:rFonts w:ascii="Calibri" w:hAnsi="Calibri" w:cs="Calibri"/>
          <w:color w:val="000000"/>
          <w:sz w:val="22"/>
          <w:szCs w:val="22"/>
        </w:rPr>
        <w:t xml:space="preserve">. Ovšem zůstává výrazně </w:t>
      </w:r>
      <w:r w:rsidR="001808FE" w:rsidRPr="001808FE">
        <w:rPr>
          <w:rFonts w:ascii="Calibri" w:hAnsi="Calibri" w:cs="Calibri"/>
          <w:color w:val="000000"/>
          <w:sz w:val="22"/>
          <w:szCs w:val="22"/>
        </w:rPr>
        <w:t xml:space="preserve">nad loňským </w:t>
      </w:r>
      <w:r w:rsidR="001808FE">
        <w:rPr>
          <w:rFonts w:ascii="Calibri" w:hAnsi="Calibri" w:cs="Calibri"/>
          <w:color w:val="000000"/>
          <w:sz w:val="22"/>
          <w:szCs w:val="22"/>
        </w:rPr>
        <w:t xml:space="preserve">17% </w:t>
      </w:r>
      <w:r w:rsidR="001808FE" w:rsidRPr="001808FE">
        <w:rPr>
          <w:rFonts w:ascii="Calibri" w:hAnsi="Calibri" w:cs="Calibri"/>
          <w:color w:val="000000"/>
          <w:sz w:val="22"/>
          <w:szCs w:val="22"/>
        </w:rPr>
        <w:t>průměrem</w:t>
      </w:r>
      <w:r w:rsidR="001808FE">
        <w:rPr>
          <w:rFonts w:ascii="Calibri" w:hAnsi="Calibri" w:cs="Calibri"/>
          <w:color w:val="000000"/>
          <w:sz w:val="22"/>
          <w:szCs w:val="22"/>
        </w:rPr>
        <w:t xml:space="preserve"> či </w:t>
      </w:r>
      <w:r w:rsidR="001808FE" w:rsidRPr="001808FE">
        <w:rPr>
          <w:rFonts w:ascii="Calibri" w:hAnsi="Calibri" w:cs="Calibri"/>
          <w:color w:val="000000"/>
          <w:sz w:val="22"/>
          <w:szCs w:val="22"/>
        </w:rPr>
        <w:t xml:space="preserve">z let 2022-2023, </w:t>
      </w:r>
      <w:r w:rsidR="001808FE">
        <w:rPr>
          <w:rFonts w:ascii="Calibri" w:hAnsi="Calibri" w:cs="Calibri"/>
          <w:color w:val="000000"/>
          <w:sz w:val="22"/>
          <w:szCs w:val="22"/>
        </w:rPr>
        <w:t xml:space="preserve">ale zůstává </w:t>
      </w:r>
      <w:r w:rsidR="001808FE" w:rsidRPr="001808FE">
        <w:rPr>
          <w:rFonts w:ascii="Calibri" w:hAnsi="Calibri" w:cs="Calibri"/>
          <w:color w:val="000000"/>
          <w:sz w:val="22"/>
          <w:szCs w:val="22"/>
        </w:rPr>
        <w:t>pod téměř 29% podílem z období 2020-2021, kdy domácnosti refinancovaly za hypoteční sazbu 2,14 %. V září 2025 se domácnosti refinancovaly za úrokovou sazbu 4,5 %, což je ovšem stále o výrazných 0,36 % bodu méně než 4,86 % před rokem.</w:t>
      </w:r>
      <w:r w:rsidR="001808FE" w:rsidRPr="001808FE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3C323A5B" w14:textId="77777777" w:rsidR="00883A3C" w:rsidRPr="00F94C20" w:rsidRDefault="00883A3C" w:rsidP="0020488B">
      <w:pPr>
        <w:rPr>
          <w:rFonts w:ascii="Calibri" w:hAnsi="Calibri" w:cs="Calibri"/>
          <w:color w:val="FF0000"/>
          <w:sz w:val="22"/>
          <w:szCs w:val="22"/>
        </w:rPr>
      </w:pPr>
    </w:p>
    <w:p w14:paraId="3D3D9E06" w14:textId="10A15D4B" w:rsidR="00B40FEB" w:rsidRDefault="001808F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1808FE">
        <w:rPr>
          <w:rFonts w:ascii="Calibri" w:hAnsi="Calibri" w:cs="Calibri"/>
          <w:color w:val="000000"/>
          <w:sz w:val="22"/>
          <w:szCs w:val="22"/>
        </w:rPr>
        <w:t>Celkově tak banky a stavební spořitelny v září poskytly nové a refinancované hypotéky v objemu 37,6 mld. Kč, což je o 13,3 % více než před měsícem. Jejich celkový objem tak v letošním roce prozatím dosáhl 293 mld. Kč, což představuje 47% nárůst ve srovnání s lednem až zářím předcházejícího roku.</w:t>
      </w:r>
    </w:p>
    <w:p w14:paraId="136E448A" w14:textId="77777777" w:rsidR="001808FE" w:rsidRDefault="001808F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0C26DD65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1808FE">
        <w:rPr>
          <w:rFonts w:ascii="Calibri" w:hAnsi="Calibri" w:cs="Calibri"/>
          <w:b/>
          <w:color w:val="13576B"/>
          <w:sz w:val="23"/>
          <w:szCs w:val="23"/>
        </w:rPr>
        <w:t xml:space="preserve">se v září stabilizovala 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>na 4,</w:t>
      </w:r>
      <w:r w:rsidR="00266ACC">
        <w:rPr>
          <w:rFonts w:ascii="Calibri" w:hAnsi="Calibri" w:cs="Calibri"/>
          <w:b/>
          <w:color w:val="13576B"/>
          <w:sz w:val="23"/>
          <w:szCs w:val="23"/>
        </w:rPr>
        <w:t>5</w:t>
      </w:r>
      <w:r w:rsidR="00883A3C">
        <w:rPr>
          <w:rFonts w:ascii="Calibri" w:hAnsi="Calibri" w:cs="Calibri"/>
          <w:b/>
          <w:color w:val="13576B"/>
          <w:sz w:val="23"/>
          <w:szCs w:val="23"/>
        </w:rPr>
        <w:t>2</w:t>
      </w:r>
      <w:r w:rsidR="00395026">
        <w:rPr>
          <w:rFonts w:ascii="Calibri" w:hAnsi="Calibri" w:cs="Calibri"/>
          <w:b/>
          <w:color w:val="13576B"/>
          <w:sz w:val="23"/>
          <w:szCs w:val="23"/>
        </w:rPr>
        <w:t xml:space="preserve"> %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D77572D" w14:textId="79134FC6" w:rsidR="001808FE" w:rsidRDefault="001808FE" w:rsidP="00F625CA">
      <w:pPr>
        <w:rPr>
          <w:rFonts w:ascii="Calibri" w:hAnsi="Calibri" w:cs="Calibri"/>
          <w:color w:val="000000"/>
          <w:sz w:val="22"/>
          <w:szCs w:val="22"/>
        </w:rPr>
      </w:pPr>
      <w:r w:rsidRPr="007A19E3">
        <w:rPr>
          <w:rFonts w:ascii="Calibri" w:hAnsi="Calibri" w:cs="Calibri"/>
          <w:b/>
          <w:bCs/>
          <w:color w:val="000000"/>
          <w:sz w:val="22"/>
          <w:szCs w:val="22"/>
        </w:rPr>
        <w:t>Průměrná realizovaná úroková sazba u nových hypoték v září zůstává v podstatě beze změny na 4,52 %, poté co již v srpnu pouze lehce poklesla z červencových 4,53 %.</w:t>
      </w:r>
      <w:r w:rsidRPr="001808FE">
        <w:rPr>
          <w:rFonts w:ascii="Calibri" w:hAnsi="Calibri" w:cs="Calibri"/>
          <w:color w:val="000000"/>
          <w:sz w:val="22"/>
          <w:szCs w:val="22"/>
        </w:rPr>
        <w:t xml:space="preserve"> Její zářijová úroveň je </w:t>
      </w:r>
      <w:r w:rsidR="007A19E3">
        <w:rPr>
          <w:rFonts w:ascii="Calibri" w:hAnsi="Calibri" w:cs="Calibri"/>
          <w:color w:val="000000"/>
          <w:sz w:val="22"/>
          <w:szCs w:val="22"/>
        </w:rPr>
        <w:t xml:space="preserve">ovšem stále </w:t>
      </w:r>
      <w:r w:rsidRPr="001808FE">
        <w:rPr>
          <w:rFonts w:ascii="Calibri" w:hAnsi="Calibri" w:cs="Calibri"/>
          <w:color w:val="000000"/>
          <w:sz w:val="22"/>
          <w:szCs w:val="22"/>
        </w:rPr>
        <w:t>o 0,44 % bodu níže než 4,96% sazba před rokem, což snižuje měsíční splátky hypotéky přibližně o 1,2 % čistého příjmu žadatele, tedy o 1,1 tis. Kč. Pro srovnání průměrná hodnota hypoteční sazby v roce 2024 dosáhla 5,07 % v porovnání se sazbou 5,81 % v roce 2023.</w:t>
      </w:r>
    </w:p>
    <w:p w14:paraId="44A17CB7" w14:textId="77777777" w:rsidR="001808FE" w:rsidRDefault="001808F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28692508" w14:textId="77777777" w:rsidR="001808FE" w:rsidRPr="00CC5202" w:rsidRDefault="001808FE" w:rsidP="00180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Pr="00110E3B">
        <w:rPr>
          <w:rFonts w:ascii="Calibri" w:hAnsi="Calibri" w:cs="Calibri"/>
          <w:i/>
          <w:iCs/>
          <w:color w:val="000000" w:themeColor="text1"/>
          <w:sz w:val="22"/>
          <w:szCs w:val="22"/>
        </w:rPr>
        <w:t>Průměrná úroková sazba se na hypotékách v podstatě nemění. Na začátku října sice swapové sazby mírně klesly, a to i s ohledem na nižší než očekávanou inflaci, stále se ale pohybují blízko nejvyšších hodnot za poslední rok. Výrazné zlevnění hypoték tak čekat nejspíš nemůžeme</w:t>
      </w: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>
        <w:rPr>
          <w:rFonts w:ascii="Calibri" w:hAnsi="Calibri" w:cs="Calibri"/>
          <w:color w:val="000000" w:themeColor="text1"/>
          <w:sz w:val="22"/>
          <w:szCs w:val="22"/>
        </w:rPr>
        <w:t>domnívá se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Petr Gapko</w:t>
      </w:r>
      <w:r w:rsidRPr="002F6A6D"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>hlavní ekonom Moneta banky</w:t>
      </w:r>
      <w:r w:rsidRPr="00380727">
        <w:rPr>
          <w:rFonts w:ascii="Calibri" w:eastAsia="Calibri" w:hAnsi="Calibri" w:cs="Calibri"/>
          <w:i/>
          <w:i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45E8034" w14:textId="77777777" w:rsidR="001808FE" w:rsidRDefault="001808F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6C754223" w14:textId="77777777" w:rsidR="00883A3C" w:rsidRDefault="00883A3C" w:rsidP="00F625CA">
      <w:pPr>
        <w:rPr>
          <w:rFonts w:ascii="Calibri" w:hAnsi="Calibri" w:cs="Calibri"/>
          <w:bCs/>
          <w:sz w:val="22"/>
          <w:szCs w:val="22"/>
        </w:rPr>
      </w:pPr>
    </w:p>
    <w:p w14:paraId="6492840A" w14:textId="49E7A20E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2: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sazba – nové obchody</w:t>
      </w:r>
    </w:p>
    <w:p w14:paraId="0F619A9F" w14:textId="04092527" w:rsidR="0080372E" w:rsidRPr="0080372E" w:rsidRDefault="006F3240" w:rsidP="000B064D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Zářijová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výše hypoteční sazby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se stabilizovala na 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>4,</w:t>
      </w:r>
      <w:r w:rsidR="007222B0">
        <w:rPr>
          <w:rFonts w:ascii="Calibri" w:hAnsi="Calibri" w:cs="Calibri"/>
          <w:bCs/>
          <w:i/>
          <w:iCs/>
          <w:color w:val="13576B"/>
          <w:sz w:val="23"/>
          <w:szCs w:val="23"/>
        </w:rPr>
        <w:t>5</w:t>
      </w:r>
      <w:r w:rsidR="00883A3C">
        <w:rPr>
          <w:rFonts w:ascii="Calibri" w:hAnsi="Calibri" w:cs="Calibri"/>
          <w:bCs/>
          <w:i/>
          <w:iCs/>
          <w:color w:val="13576B"/>
          <w:sz w:val="23"/>
          <w:szCs w:val="23"/>
        </w:rPr>
        <w:t>2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%</w:t>
      </w:r>
      <w:r w:rsid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s meziročním poklesem </w:t>
      </w:r>
      <w:r w:rsidR="00883A3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o necelý 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>půl procentní bo</w:t>
      </w:r>
      <w:r w:rsidR="000427B8">
        <w:rPr>
          <w:rFonts w:ascii="Calibri" w:hAnsi="Calibri" w:cs="Calibri"/>
          <w:bCs/>
          <w:i/>
          <w:iCs/>
          <w:color w:val="13576B"/>
          <w:sz w:val="23"/>
          <w:szCs w:val="23"/>
        </w:rPr>
        <w:t>d.</w:t>
      </w:r>
    </w:p>
    <w:p w14:paraId="29B8C373" w14:textId="0973552B" w:rsidR="007F690B" w:rsidRPr="002138C0" w:rsidRDefault="006F3240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08D6AB17" wp14:editId="6BC5419F">
            <wp:extent cx="5053965" cy="3188335"/>
            <wp:effectExtent l="0" t="0" r="0" b="0"/>
            <wp:docPr id="161083256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5F729" w14:textId="08370F86" w:rsidR="00691287" w:rsidRPr="00616069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>ČBA Hypomonitor</w:t>
      </w:r>
    </w:p>
    <w:p w14:paraId="6C7EAB99" w14:textId="77777777" w:rsidR="0013679D" w:rsidRPr="00A36CE8" w:rsidRDefault="0013679D" w:rsidP="00DD1BFF">
      <w:pPr>
        <w:rPr>
          <w:rFonts w:ascii="Calibri" w:hAnsi="Calibri" w:cs="Calibri"/>
          <w:b/>
          <w:bCs/>
          <w:color w:val="EE0000"/>
          <w:sz w:val="22"/>
          <w:szCs w:val="22"/>
        </w:rPr>
      </w:pPr>
      <w:bookmarkStart w:id="4" w:name="_Hlk137652102"/>
    </w:p>
    <w:p w14:paraId="19FA5457" w14:textId="77777777" w:rsidR="007A19E3" w:rsidRDefault="007A19E3" w:rsidP="007A19E3">
      <w:pPr>
        <w:rPr>
          <w:rFonts w:ascii="Calibri" w:hAnsi="Calibri" w:cs="Calibri"/>
          <w:sz w:val="22"/>
          <w:szCs w:val="22"/>
          <w:highlight w:val="yellow"/>
        </w:rPr>
      </w:pPr>
    </w:p>
    <w:p w14:paraId="00677573" w14:textId="77777777" w:rsidR="00380727" w:rsidRDefault="00380727" w:rsidP="007A19E3">
      <w:pPr>
        <w:rPr>
          <w:rFonts w:ascii="Calibri" w:hAnsi="Calibri" w:cs="Calibri"/>
          <w:sz w:val="22"/>
          <w:szCs w:val="22"/>
          <w:highlight w:val="yellow"/>
        </w:rPr>
      </w:pPr>
    </w:p>
    <w:p w14:paraId="65459130" w14:textId="77777777" w:rsidR="00380727" w:rsidRDefault="00380727" w:rsidP="007A19E3">
      <w:pPr>
        <w:rPr>
          <w:rFonts w:ascii="Calibri" w:hAnsi="Calibri" w:cs="Calibri"/>
          <w:sz w:val="22"/>
          <w:szCs w:val="22"/>
          <w:highlight w:val="yellow"/>
        </w:rPr>
      </w:pPr>
    </w:p>
    <w:p w14:paraId="7D704223" w14:textId="77777777" w:rsidR="00380727" w:rsidRDefault="00380727" w:rsidP="007A19E3">
      <w:pPr>
        <w:rPr>
          <w:rFonts w:ascii="Calibri" w:hAnsi="Calibri" w:cs="Calibri"/>
          <w:sz w:val="22"/>
          <w:szCs w:val="22"/>
          <w:highlight w:val="yellow"/>
        </w:rPr>
      </w:pPr>
    </w:p>
    <w:p w14:paraId="338257C9" w14:textId="515466F0" w:rsidR="007A19E3" w:rsidRPr="00287580" w:rsidRDefault="007A19E3" w:rsidP="007A19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lastRenderedPageBreak/>
        <w:t>„</w:t>
      </w:r>
      <w:r w:rsidR="00765F2A" w:rsidRPr="00380727">
        <w:rPr>
          <w:rFonts w:ascii="Calibri" w:hAnsi="Calibri" w:cs="Calibri"/>
          <w:i/>
          <w:iCs/>
          <w:sz w:val="22"/>
          <w:szCs w:val="22"/>
        </w:rPr>
        <w:t xml:space="preserve">Čísla o produkci hypoték v měsíci září ukazují, že prostor a podmínky pro další snižování úrokových sazeb jsou nyní omezené a s dalším posunem níže nelze příliš počítat. Naproti tomu ceny všech typů nemovitostí strmě rostou, podle našeho ČSOB Indexu bydlení třeba byty ve druhém čtvrtletí meziročně vyskočily dokonce o 13,8 procenta. Za této situace je tedy pro zájemce o vlastní bydlení lepší neváhat a využívat ještě současných cen nemovitostí a podmínek hypotečních úvěrů k zajištění financování vyhlédnutých bytů nebo domů,“ </w:t>
      </w:r>
      <w:r w:rsidR="00765F2A" w:rsidRPr="00380727">
        <w:rPr>
          <w:rFonts w:ascii="Calibri" w:hAnsi="Calibri" w:cs="Calibri"/>
          <w:sz w:val="22"/>
          <w:szCs w:val="22"/>
        </w:rPr>
        <w:t xml:space="preserve">uvádí </w:t>
      </w:r>
      <w:r w:rsidR="00765F2A" w:rsidRPr="00380727">
        <w:rPr>
          <w:rFonts w:ascii="Calibri" w:hAnsi="Calibri" w:cs="Calibri"/>
          <w:b/>
          <w:bCs/>
          <w:sz w:val="22"/>
          <w:szCs w:val="22"/>
        </w:rPr>
        <w:t>generální ředitel ČSOB Hypoteční banky Martin Vašek.</w:t>
      </w:r>
    </w:p>
    <w:p w14:paraId="31A1D0C7" w14:textId="77777777" w:rsidR="007A19E3" w:rsidRDefault="007A19E3" w:rsidP="000419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A249F26" w14:textId="77777777" w:rsidR="007A19E3" w:rsidRDefault="007A19E3" w:rsidP="000419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A105785" w14:textId="4AF54C44" w:rsidR="007A19E3" w:rsidRPr="00E013E3" w:rsidRDefault="00541D7D" w:rsidP="0004198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Tržní úrokové sazby,</w:t>
      </w:r>
      <w:r w:rsidRPr="008569DC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8569DC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které mají klíčový vliv na hypoteční sazby, </w:t>
      </w:r>
      <w:r w:rsidR="007A19E3">
        <w:rPr>
          <w:rFonts w:ascii="Calibri" w:hAnsi="Calibri" w:cs="Calibri"/>
          <w:b/>
          <w:bCs/>
          <w:color w:val="000000" w:themeColor="text1"/>
          <w:sz w:val="22"/>
          <w:szCs w:val="22"/>
        </w:rPr>
        <w:t>v září dále vzrostly (také kvůli volbám a očekávaní volnější fiskální politiky)</w:t>
      </w:r>
      <w:r w:rsidR="00B40FEB"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což bude v budoucnu asi limitovat </w:t>
      </w:r>
      <w:r w:rsidR="009C38A8"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d</w:t>
      </w: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alší</w:t>
      </w:r>
      <w:r w:rsidR="00B40FEB"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výraznější pokles </w:t>
      </w:r>
      <w:r w:rsidRPr="008569DC">
        <w:rPr>
          <w:rFonts w:ascii="Calibri" w:hAnsi="Calibri" w:cs="Calibri"/>
          <w:b/>
          <w:bCs/>
          <w:color w:val="000000" w:themeColor="text1"/>
          <w:sz w:val="22"/>
          <w:szCs w:val="22"/>
        </w:rPr>
        <w:t>hypotečních sazeb.</w:t>
      </w:r>
      <w:r w:rsidRPr="008569D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A19E3" w:rsidRPr="007A19E3">
        <w:rPr>
          <w:rFonts w:ascii="Calibri" w:hAnsi="Calibri" w:cs="Calibri"/>
          <w:color w:val="000000"/>
          <w:sz w:val="22"/>
          <w:szCs w:val="22"/>
        </w:rPr>
        <w:t>České pětileté úrokové swapy v září stouply o 0,11% bodu na 3,78 % z</w:t>
      </w:r>
      <w:r w:rsidR="007A19E3">
        <w:rPr>
          <w:rFonts w:ascii="Calibri" w:hAnsi="Calibri" w:cs="Calibri"/>
          <w:color w:val="000000"/>
          <w:sz w:val="22"/>
          <w:szCs w:val="22"/>
        </w:rPr>
        <w:t>e</w:t>
      </w:r>
      <w:r w:rsidR="007A19E3" w:rsidRPr="007A19E3">
        <w:rPr>
          <w:rFonts w:ascii="Calibri" w:hAnsi="Calibri" w:cs="Calibri"/>
          <w:color w:val="000000"/>
          <w:sz w:val="22"/>
          <w:szCs w:val="22"/>
        </w:rPr>
        <w:t> srpnových 3,67 % a nacházely se nad červencovými 3,65 %. Jejich zářijová úroveň je o 0,12% bodu pod 3,66 % z předcházejícího druhého čtvrtletí. V posledních dvanácti měsících se české pětileté swapy pohybovaly v rozmezí měsíčních průměrů 3,29 % (v dubnu 2025) a 3,78 % (</w:t>
      </w:r>
      <w:r w:rsidR="007A19E3">
        <w:rPr>
          <w:rFonts w:ascii="Calibri" w:hAnsi="Calibri" w:cs="Calibri"/>
          <w:color w:val="000000"/>
          <w:sz w:val="22"/>
          <w:szCs w:val="22"/>
        </w:rPr>
        <w:t>v</w:t>
      </w:r>
      <w:r w:rsidR="007A19E3" w:rsidRPr="007A19E3">
        <w:rPr>
          <w:rFonts w:ascii="Calibri" w:hAnsi="Calibri" w:cs="Calibri"/>
          <w:color w:val="000000"/>
          <w:sz w:val="22"/>
          <w:szCs w:val="22"/>
        </w:rPr>
        <w:t xml:space="preserve"> září 2025). V porovnání s průměrnou úrovní pětiletých swapů v roce 2025 byly zářijové úroky o 0,2% bodu výše. V případě amerických pětiletých úrokových swapů došlo v září k jejich poklesu na 3,57 % z</w:t>
      </w:r>
      <w:r w:rsidR="007A19E3">
        <w:rPr>
          <w:rFonts w:ascii="Calibri" w:hAnsi="Calibri" w:cs="Calibri"/>
          <w:color w:val="000000"/>
          <w:sz w:val="22"/>
          <w:szCs w:val="22"/>
        </w:rPr>
        <w:t>e</w:t>
      </w:r>
      <w:r w:rsidR="007A19E3" w:rsidRPr="007A19E3">
        <w:rPr>
          <w:rFonts w:ascii="Calibri" w:hAnsi="Calibri" w:cs="Calibri"/>
          <w:color w:val="000000"/>
          <w:sz w:val="22"/>
          <w:szCs w:val="22"/>
        </w:rPr>
        <w:t xml:space="preserve"> srpnových 3,69 % </w:t>
      </w:r>
      <w:r w:rsidR="007A19E3">
        <w:rPr>
          <w:rFonts w:ascii="Calibri" w:hAnsi="Calibri" w:cs="Calibri"/>
          <w:color w:val="000000"/>
          <w:sz w:val="22"/>
          <w:szCs w:val="22"/>
        </w:rPr>
        <w:t xml:space="preserve">(v očekávání dalšího snižování úrokové sazby centrální banky) </w:t>
      </w:r>
      <w:r w:rsidR="007A19E3" w:rsidRPr="007A19E3">
        <w:rPr>
          <w:rFonts w:ascii="Calibri" w:hAnsi="Calibri" w:cs="Calibri"/>
          <w:color w:val="000000"/>
          <w:sz w:val="22"/>
          <w:szCs w:val="22"/>
        </w:rPr>
        <w:t xml:space="preserve">a nacházely se 0,55% bodu pod jejich průměrnou hodnotou z roku 2024. Eurové pětileté swapy v září zůstaly v podstatě beze změny na 2,36 % </w:t>
      </w:r>
      <w:r w:rsidR="007A19E3">
        <w:rPr>
          <w:rFonts w:ascii="Calibri" w:hAnsi="Calibri" w:cs="Calibri"/>
          <w:color w:val="000000"/>
          <w:sz w:val="22"/>
          <w:szCs w:val="22"/>
        </w:rPr>
        <w:t xml:space="preserve">(což také odráží očekávání nezměněné úrokové sazby ECB) </w:t>
      </w:r>
      <w:r w:rsidR="007A19E3" w:rsidRPr="007A19E3">
        <w:rPr>
          <w:rFonts w:ascii="Calibri" w:hAnsi="Calibri" w:cs="Calibri"/>
          <w:color w:val="000000"/>
          <w:sz w:val="22"/>
          <w:szCs w:val="22"/>
        </w:rPr>
        <w:t>a byly 0,22% bodu pod jejich průměrnou loňskou úrovní 2,58 %.</w:t>
      </w:r>
    </w:p>
    <w:p w14:paraId="2F32535F" w14:textId="77777777" w:rsidR="00CB2E9C" w:rsidRPr="00E013E3" w:rsidRDefault="00CB2E9C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18C2868" w14:textId="5F18931D" w:rsidR="007A19E3" w:rsidRPr="00B42D4E" w:rsidRDefault="007A19E3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A19E3">
        <w:rPr>
          <w:rFonts w:ascii="Calibri" w:hAnsi="Calibri" w:cs="Calibri"/>
          <w:color w:val="000000" w:themeColor="text1"/>
          <w:sz w:val="22"/>
          <w:szCs w:val="22"/>
        </w:rPr>
        <w:t xml:space="preserve">Úroková hypoteční sazba na nové hypotéky dle ČBA Hypomonitoru v září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zůstala </w:t>
      </w:r>
      <w:r w:rsidRPr="007A19E3">
        <w:rPr>
          <w:rFonts w:ascii="Calibri" w:hAnsi="Calibri" w:cs="Calibri"/>
          <w:color w:val="000000" w:themeColor="text1"/>
          <w:sz w:val="22"/>
          <w:szCs w:val="22"/>
        </w:rPr>
        <w:t>na 4,52 % a nacházela se tak přibližně 0,91% bodu nad průměrnými tržními swapovými sazbami. To je přibližně 0,17% bodu pod dlouhodobým průměrem od roku 2014 (1,08% bodu), zatímco v předešlých třech měsících tento spread vůči dlouhodobému průměru činil -0,04% bodu.</w:t>
      </w:r>
    </w:p>
    <w:p w14:paraId="72BA0646" w14:textId="77777777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AEA41E0" w14:textId="7F2BF4E9" w:rsidR="008F7CC9" w:rsidRPr="00813D03" w:rsidRDefault="00813D03" w:rsidP="008F7CC9">
      <w:pPr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8F7CC9" w:rsidRPr="00813D03">
        <w:rPr>
          <w:rFonts w:ascii="Calibri" w:hAnsi="Calibri" w:cs="Calibri"/>
          <w:b/>
          <w:color w:val="13576B"/>
          <w:sz w:val="23"/>
          <w:szCs w:val="23"/>
        </w:rPr>
        <w:t xml:space="preserve">Tržní dlouhodobé sazby </w:t>
      </w:r>
      <w:r w:rsidRPr="00813D03">
        <w:rPr>
          <w:rFonts w:ascii="Calibri" w:hAnsi="Calibri" w:cs="Calibri"/>
          <w:b/>
          <w:color w:val="13576B"/>
          <w:sz w:val="23"/>
          <w:szCs w:val="23"/>
        </w:rPr>
        <w:t>v září pokračovaly v růstu následovány mírnou korekcí na počátku října v reakci na povolební výsledek a nižší než očekávanou zářijovou inflaci</w:t>
      </w:r>
    </w:p>
    <w:p w14:paraId="522B8972" w14:textId="451F13E3" w:rsidR="008F7CC9" w:rsidRDefault="00813D03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02707FD0" wp14:editId="7A73BCCE">
            <wp:extent cx="3615055" cy="2273935"/>
            <wp:effectExtent l="0" t="0" r="4445" b="0"/>
            <wp:docPr id="20804777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87822" w14:textId="424B1865" w:rsidR="008F7CC9" w:rsidRDefault="008F7CC9" w:rsidP="00DD1BFF">
      <w:pPr>
        <w:rPr>
          <w:rFonts w:ascii="Calibri" w:hAnsi="Calibri" w:cs="Calibri"/>
          <w:color w:val="000000" w:themeColor="text1"/>
          <w:sz w:val="22"/>
          <w:szCs w:val="22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 w:rsidR="00B35D32">
        <w:rPr>
          <w:rFonts w:asciiTheme="minorHAnsi" w:hAnsiTheme="minorHAnsi" w:cstheme="minorHAnsi"/>
          <w:color w:val="13576B"/>
          <w:sz w:val="20"/>
        </w:rPr>
        <w:t>LSEG</w:t>
      </w:r>
      <w:r w:rsidR="00813D03">
        <w:rPr>
          <w:rFonts w:asciiTheme="minorHAnsi" w:hAnsiTheme="minorHAnsi" w:cstheme="minorHAnsi"/>
          <w:color w:val="13576B"/>
          <w:sz w:val="20"/>
        </w:rPr>
        <w:t>, Macrobond</w:t>
      </w:r>
      <w:r w:rsidR="00B35D32">
        <w:rPr>
          <w:rFonts w:asciiTheme="minorHAnsi" w:hAnsiTheme="minorHAnsi" w:cstheme="minorHAnsi"/>
          <w:color w:val="13576B"/>
          <w:sz w:val="20"/>
        </w:rPr>
        <w:t xml:space="preserve"> (</w:t>
      </w:r>
      <w:r w:rsidR="00813D03">
        <w:rPr>
          <w:rFonts w:asciiTheme="minorHAnsi" w:hAnsiTheme="minorHAnsi" w:cstheme="minorHAnsi"/>
          <w:color w:val="13576B"/>
          <w:sz w:val="20"/>
        </w:rPr>
        <w:t>13</w:t>
      </w:r>
      <w:r w:rsidR="00B35D32">
        <w:rPr>
          <w:rFonts w:asciiTheme="minorHAnsi" w:hAnsiTheme="minorHAnsi" w:cstheme="minorHAnsi"/>
          <w:color w:val="13576B"/>
          <w:sz w:val="20"/>
        </w:rPr>
        <w:t xml:space="preserve">. </w:t>
      </w:r>
      <w:r w:rsidR="00813D03">
        <w:rPr>
          <w:rFonts w:asciiTheme="minorHAnsi" w:hAnsiTheme="minorHAnsi" w:cstheme="minorHAnsi"/>
          <w:color w:val="13576B"/>
          <w:sz w:val="20"/>
        </w:rPr>
        <w:t>října</w:t>
      </w:r>
      <w:r w:rsidR="00B35D32">
        <w:rPr>
          <w:rFonts w:asciiTheme="minorHAnsi" w:hAnsiTheme="minorHAnsi" w:cstheme="minorHAnsi"/>
          <w:color w:val="13576B"/>
          <w:sz w:val="20"/>
        </w:rPr>
        <w:t xml:space="preserve"> 2025)</w:t>
      </w:r>
      <w:r>
        <w:rPr>
          <w:rFonts w:asciiTheme="minorHAnsi" w:hAnsiTheme="minorHAnsi" w:cstheme="minorHAnsi"/>
          <w:color w:val="13576B"/>
          <w:sz w:val="20"/>
        </w:rPr>
        <w:t xml:space="preserve">, </w:t>
      </w:r>
      <w:r w:rsidRPr="00AA62A7">
        <w:rPr>
          <w:rFonts w:asciiTheme="minorHAnsi" w:hAnsiTheme="minorHAnsi" w:cstheme="minorHAnsi"/>
          <w:color w:val="13576B"/>
          <w:sz w:val="20"/>
        </w:rPr>
        <w:t>ČBA</w:t>
      </w:r>
    </w:p>
    <w:p w14:paraId="4F9E18AA" w14:textId="77777777" w:rsidR="008F7CC9" w:rsidRPr="00452B0E" w:rsidRDefault="008F7CC9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4F5741EA" w:rsidR="00B04FE2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A02F5D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 xml:space="preserve">nové </w:t>
      </w:r>
      <w:r w:rsidR="00D73AAF" w:rsidRPr="00A02F5D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 xml:space="preserve">se v září vrátila k růstu, a to na 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>4,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>35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>,</w:t>
      </w:r>
      <w:r w:rsidR="00883A3C">
        <w:rPr>
          <w:rFonts w:ascii="Calibri" w:hAnsi="Calibri" w:cs="Calibri"/>
          <w:b/>
          <w:color w:val="13576B"/>
          <w:sz w:val="24"/>
          <w:szCs w:val="24"/>
        </w:rPr>
        <w:t xml:space="preserve"> a 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>nové</w:t>
      </w:r>
      <w:r w:rsidR="000427B8">
        <w:rPr>
          <w:rFonts w:ascii="Calibri" w:hAnsi="Calibri" w:cs="Calibri"/>
          <w:b/>
          <w:color w:val="13576B"/>
          <w:sz w:val="24"/>
          <w:szCs w:val="24"/>
        </w:rPr>
        <w:t xml:space="preserve"> hypotéky ke koupi 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>v průměru lehce přesáhly 4,4 milionu</w:t>
      </w:r>
    </w:p>
    <w:p w14:paraId="417F8A0F" w14:textId="77777777" w:rsidR="008569DC" w:rsidRPr="00A02F5D" w:rsidRDefault="008569DC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17A6F1F2" w14:textId="32690D3C" w:rsidR="00A36CE8" w:rsidRDefault="007A19E3" w:rsidP="00A36CE8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7A19E3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Průměrná velikost skutečně nově poskytnuté hypotéky v září mírně stoupla na 4,35 mil. Kč, tedy více než o 2 % meziměsíčně. Její velikost je tak o 16 % vyšší než 3,76 mil. Kč před rokem</w:t>
      </w:r>
      <w:r w:rsidRPr="007A19E3">
        <w:rPr>
          <w:rFonts w:ascii="Calibri" w:hAnsi="Calibri" w:cs="Calibri"/>
          <w:color w:val="000000"/>
          <w:sz w:val="22"/>
          <w:szCs w:val="22"/>
        </w:rPr>
        <w:t xml:space="preserve">. Odhlédneme-li od mimořádné hodnoty téměř 4 mil. Kč v srpnu 2024 (vliv nové legislativy), tak průměrná hodnota od loňského dubna postupně roste a o 26 % převyšuje předcházející rekordní úroveň z listopadu 2021 ve výši 3,46 mil. Kč. </w:t>
      </w:r>
      <w:r w:rsidR="00A36CE8" w:rsidRPr="00541D7D">
        <w:rPr>
          <w:rFonts w:ascii="Calibri" w:hAnsi="Calibri" w:cs="Calibri"/>
          <w:color w:val="000000"/>
          <w:sz w:val="22"/>
          <w:szCs w:val="22"/>
        </w:rPr>
        <w:t xml:space="preserve">Dosáhnout na vyšší hypotéku umožňuje postupný pokles hypotečních sazeb, či </w:t>
      </w:r>
      <w:r w:rsidR="00A36CE8">
        <w:rPr>
          <w:rFonts w:ascii="Calibri" w:hAnsi="Calibri" w:cs="Calibri"/>
          <w:color w:val="000000"/>
          <w:sz w:val="22"/>
          <w:szCs w:val="22"/>
        </w:rPr>
        <w:t>o něco silnější</w:t>
      </w:r>
      <w:r w:rsidR="00A36CE8" w:rsidRPr="00541D7D">
        <w:rPr>
          <w:rFonts w:ascii="Calibri" w:hAnsi="Calibri" w:cs="Calibri"/>
          <w:color w:val="000000"/>
          <w:sz w:val="22"/>
          <w:szCs w:val="22"/>
        </w:rPr>
        <w:t xml:space="preserve"> růst reálných příjmů domácností </w:t>
      </w:r>
      <w:r w:rsidR="00A36CE8" w:rsidRPr="00266ACC">
        <w:rPr>
          <w:rFonts w:ascii="Calibri" w:hAnsi="Calibri" w:cs="Calibri"/>
          <w:color w:val="000000"/>
          <w:sz w:val="22"/>
          <w:szCs w:val="22"/>
        </w:rPr>
        <w:t>(</w:t>
      </w:r>
      <w:r w:rsidR="00A36CE8">
        <w:rPr>
          <w:rFonts w:ascii="Calibri" w:hAnsi="Calibri" w:cs="Calibri"/>
          <w:color w:val="000000"/>
          <w:sz w:val="22"/>
          <w:szCs w:val="22"/>
        </w:rPr>
        <w:t>3,9 % meziročně v </w:t>
      </w:r>
      <w:hyperlink r:id="rId16" w:history="1">
        <w:r w:rsidR="00A36CE8"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 w:rsidR="00A36CE8">
          <w:rPr>
            <w:rStyle w:val="Hypertextovodkaz"/>
            <w:rFonts w:ascii="Calibri" w:hAnsi="Calibri" w:cs="Calibri"/>
            <w:sz w:val="22"/>
            <w:szCs w:val="22"/>
          </w:rPr>
          <w:t>2</w:t>
        </w:r>
        <w:r w:rsidR="00A36CE8" w:rsidRPr="00E96618">
          <w:rPr>
            <w:rStyle w:val="Hypertextovodkaz"/>
            <w:rFonts w:ascii="Calibri" w:hAnsi="Calibri" w:cs="Calibri"/>
            <w:sz w:val="22"/>
            <w:szCs w:val="22"/>
          </w:rPr>
          <w:t>-2025</w:t>
        </w:r>
      </w:hyperlink>
      <w:r w:rsidR="00A36CE8">
        <w:t xml:space="preserve"> </w:t>
      </w:r>
      <w:r w:rsidR="00A36CE8" w:rsidRPr="009C040E">
        <w:rPr>
          <w:rFonts w:ascii="Calibri" w:hAnsi="Calibri" w:cs="Calibri"/>
          <w:sz w:val="22"/>
          <w:szCs w:val="22"/>
        </w:rPr>
        <w:t xml:space="preserve">či graficky </w:t>
      </w:r>
      <w:hyperlink r:id="rId17" w:history="1">
        <w:r w:rsidR="00A36CE8" w:rsidRPr="009C040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A36CE8" w:rsidRPr="00266ACC">
        <w:rPr>
          <w:rFonts w:ascii="Calibri" w:hAnsi="Calibri" w:cs="Calibri"/>
          <w:color w:val="000000"/>
          <w:sz w:val="22"/>
          <w:szCs w:val="22"/>
        </w:rPr>
        <w:t xml:space="preserve">), společně s pokračujícími uvolněnými makroobezřetnostními limity ohledně příjmů ze strany ČNB (pouze 80% limit LTV či 90% v případě žadatelů mladších 36 let). </w:t>
      </w:r>
      <w:r w:rsidR="00A36CE8">
        <w:rPr>
          <w:rFonts w:ascii="Calibri" w:hAnsi="Calibri" w:cs="Calibri"/>
          <w:color w:val="000000"/>
          <w:sz w:val="22"/>
          <w:szCs w:val="22"/>
        </w:rPr>
        <w:t>Rostoucí vý</w:t>
      </w:r>
      <w:r w:rsidR="00A36CE8" w:rsidRPr="00665F6E">
        <w:rPr>
          <w:rFonts w:ascii="Calibri" w:hAnsi="Calibri" w:cs="Calibri"/>
          <w:color w:val="000000" w:themeColor="text1"/>
          <w:sz w:val="22"/>
          <w:szCs w:val="22"/>
        </w:rPr>
        <w:t xml:space="preserve">še hypotéky pak souvisí </w:t>
      </w:r>
      <w:r w:rsidR="00A36CE8" w:rsidRPr="002725DA">
        <w:rPr>
          <w:rFonts w:ascii="Calibri" w:hAnsi="Calibri" w:cs="Calibri"/>
          <w:color w:val="000000"/>
          <w:sz w:val="22"/>
          <w:szCs w:val="22"/>
        </w:rPr>
        <w:t xml:space="preserve">také s vývojem cen </w:t>
      </w:r>
      <w:r w:rsidR="00A36CE8">
        <w:rPr>
          <w:rFonts w:ascii="Calibri" w:hAnsi="Calibri" w:cs="Calibri"/>
          <w:color w:val="000000"/>
          <w:sz w:val="22"/>
          <w:szCs w:val="22"/>
        </w:rPr>
        <w:t>bytů</w:t>
      </w:r>
      <w:r w:rsidR="00A36CE8" w:rsidRPr="002725DA">
        <w:rPr>
          <w:rFonts w:ascii="Calibri" w:hAnsi="Calibri" w:cs="Calibri"/>
          <w:color w:val="000000"/>
          <w:sz w:val="22"/>
          <w:szCs w:val="22"/>
        </w:rPr>
        <w:t>, které</w:t>
      </w:r>
      <w:r w:rsidR="00A36CE8">
        <w:rPr>
          <w:rFonts w:ascii="Calibri" w:hAnsi="Calibri" w:cs="Calibri"/>
          <w:color w:val="000000"/>
          <w:sz w:val="22"/>
          <w:szCs w:val="22"/>
        </w:rPr>
        <w:t xml:space="preserve"> si dle údajů společnosti Flat Zone v druhém čtvrtletí roku 2025 udržely stále silný 10% meziroční růst </w:t>
      </w:r>
      <w:r w:rsidR="00A36CE8" w:rsidRPr="002725DA">
        <w:rPr>
          <w:rFonts w:ascii="Calibri" w:hAnsi="Calibri" w:cs="Calibri"/>
          <w:color w:val="000000"/>
          <w:sz w:val="22"/>
          <w:szCs w:val="22"/>
        </w:rPr>
        <w:t xml:space="preserve">(viz </w:t>
      </w:r>
      <w:r w:rsidR="00A36CE8">
        <w:rPr>
          <w:rFonts w:ascii="Calibri" w:hAnsi="Calibri" w:cs="Calibri"/>
          <w:color w:val="000000"/>
          <w:sz w:val="22"/>
          <w:szCs w:val="22"/>
        </w:rPr>
        <w:t xml:space="preserve">grafy na </w:t>
      </w:r>
      <w:r w:rsidR="00A36CE8" w:rsidRPr="002725DA">
        <w:rPr>
          <w:rFonts w:ascii="Calibri" w:hAnsi="Calibri" w:cs="Calibri"/>
          <w:color w:val="000000"/>
          <w:sz w:val="22"/>
          <w:szCs w:val="22"/>
        </w:rPr>
        <w:t>ČBA Monitor</w:t>
      </w:r>
      <w:r w:rsidR="00A36CE8">
        <w:rPr>
          <w:rFonts w:ascii="Calibri" w:hAnsi="Calibri" w:cs="Calibri"/>
          <w:color w:val="000000"/>
          <w:sz w:val="22"/>
          <w:szCs w:val="22"/>
        </w:rPr>
        <w:t>u</w:t>
      </w:r>
      <w:r w:rsidR="00A36CE8" w:rsidRPr="002725DA">
        <w:rPr>
          <w:rFonts w:ascii="Calibri" w:hAnsi="Calibri" w:cs="Calibri"/>
          <w:color w:val="000000"/>
          <w:sz w:val="22"/>
          <w:szCs w:val="22"/>
        </w:rPr>
        <w:t xml:space="preserve"> - </w:t>
      </w:r>
      <w:hyperlink r:id="rId18" w:history="1">
        <w:r w:rsidR="00A36CE8" w:rsidRPr="00436F5C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A36CE8">
        <w:t xml:space="preserve"> </w:t>
      </w:r>
      <w:r w:rsidR="00A36CE8" w:rsidRPr="00E96618">
        <w:rPr>
          <w:rFonts w:ascii="Calibri" w:hAnsi="Calibri" w:cs="Calibri"/>
          <w:color w:val="000000"/>
          <w:sz w:val="22"/>
          <w:szCs w:val="22"/>
        </w:rPr>
        <w:t xml:space="preserve">či </w:t>
      </w:r>
      <w:r w:rsidR="00A36CE8">
        <w:rPr>
          <w:rFonts w:ascii="Calibri" w:hAnsi="Calibri" w:cs="Calibri"/>
          <w:color w:val="000000"/>
          <w:sz w:val="22"/>
          <w:szCs w:val="22"/>
        </w:rPr>
        <w:t xml:space="preserve">v komentáři </w:t>
      </w:r>
      <w:hyperlink r:id="rId19" w:history="1">
        <w:r w:rsidR="00A36CE8" w:rsidRPr="004951F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A36CE8" w:rsidRPr="002725DA">
        <w:rPr>
          <w:rFonts w:ascii="Calibri" w:hAnsi="Calibri" w:cs="Calibri"/>
          <w:color w:val="000000"/>
          <w:sz w:val="22"/>
          <w:szCs w:val="22"/>
        </w:rPr>
        <w:t>).</w:t>
      </w:r>
      <w:r w:rsidR="00A36CE8">
        <w:rPr>
          <w:rFonts w:ascii="Calibri" w:hAnsi="Calibri" w:cs="Calibri"/>
          <w:color w:val="000000"/>
          <w:sz w:val="22"/>
          <w:szCs w:val="22"/>
        </w:rPr>
        <w:t xml:space="preserve"> Data ČSÚ poukazují na nárůst cen bytů okolo 15 % meziročně a celkový index cen nemovitostí okolo 10 % meziročně v prvním čtvrtletí 2015 (viz komentář </w:t>
      </w:r>
      <w:hyperlink r:id="rId20" w:history="1">
        <w:r w:rsidR="00A36CE8" w:rsidRPr="00665F6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A36CE8">
        <w:rPr>
          <w:rFonts w:ascii="Calibri" w:hAnsi="Calibri" w:cs="Calibri"/>
          <w:color w:val="000000"/>
          <w:sz w:val="22"/>
          <w:szCs w:val="22"/>
        </w:rPr>
        <w:t xml:space="preserve">) </w:t>
      </w:r>
    </w:p>
    <w:p w14:paraId="7A9C8FB3" w14:textId="77777777" w:rsidR="00A36CE8" w:rsidRDefault="00A36CE8" w:rsidP="00A36CE8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D487695" w14:textId="2B58E377" w:rsidR="00436F5C" w:rsidRDefault="00436F5C" w:rsidP="00436F5C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A0217">
        <w:rPr>
          <w:rFonts w:ascii="Calibri" w:hAnsi="Calibri" w:cs="Calibri"/>
          <w:b/>
          <w:color w:val="13576B"/>
          <w:sz w:val="23"/>
          <w:szCs w:val="23"/>
        </w:rPr>
        <w:t>4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skutečně nově poskytnuté hypotéky podle účelu</w:t>
      </w:r>
    </w:p>
    <w:p w14:paraId="7FF9E8C0" w14:textId="41186FD2" w:rsidR="00436F5C" w:rsidRPr="006C6628" w:rsidRDefault="00FC6281" w:rsidP="00436F5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P</w:t>
      </w:r>
      <w:r w:rsidR="00436F5C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>růměrn</w:t>
      </w:r>
      <w:r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á </w:t>
      </w:r>
      <w:r w:rsidR="00436F5C" w:rsidRPr="009F58F4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výše hypotéky </w:t>
      </w:r>
      <w:r w:rsidR="000B083D">
        <w:rPr>
          <w:rFonts w:ascii="Calibri" w:hAnsi="Calibri" w:cs="Calibri"/>
          <w:bCs/>
          <w:i/>
          <w:iCs/>
          <w:color w:val="13576B"/>
          <w:sz w:val="23"/>
          <w:szCs w:val="23"/>
        </w:rPr>
        <w:t>se po krátké srpnové pauze vrátila k dalšímu růstu na 4,</w:t>
      </w:r>
      <w:r w:rsidR="006F3240">
        <w:rPr>
          <w:rFonts w:ascii="Calibri" w:hAnsi="Calibri" w:cs="Calibri"/>
          <w:bCs/>
          <w:i/>
          <w:iCs/>
          <w:color w:val="13576B"/>
          <w:sz w:val="23"/>
          <w:szCs w:val="23"/>
        </w:rPr>
        <w:t>3</w:t>
      </w:r>
      <w:r w:rsidR="000B083D">
        <w:rPr>
          <w:rFonts w:ascii="Calibri" w:hAnsi="Calibri" w:cs="Calibri"/>
          <w:bCs/>
          <w:i/>
          <w:iCs/>
          <w:color w:val="13576B"/>
          <w:sz w:val="23"/>
          <w:szCs w:val="23"/>
        </w:rPr>
        <w:t>5 mil. Kč</w:t>
      </w:r>
      <w:r w:rsidR="006F324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a v průměru je prozatím letos o 7 % vyšší než před rokem. </w:t>
      </w:r>
    </w:p>
    <w:p w14:paraId="3162F78D" w14:textId="01E97D11" w:rsidR="00436F5C" w:rsidRPr="00D24B00" w:rsidRDefault="006F3240" w:rsidP="00436F5C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419AFB60" wp14:editId="68379DD6">
            <wp:extent cx="5236234" cy="3298083"/>
            <wp:effectExtent l="0" t="0" r="2540" b="0"/>
            <wp:docPr id="14877861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04" cy="330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FA1FB" w14:textId="77777777" w:rsidR="00436F5C" w:rsidRPr="00616069" w:rsidRDefault="00436F5C" w:rsidP="00436F5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>ČBA Hypomonitor</w:t>
      </w: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2FC2EDEF" w:rsidR="005343BA" w:rsidRDefault="005343BA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AF2306">
        <w:rPr>
          <w:rFonts w:ascii="Calibri" w:hAnsi="Calibri" w:cs="Calibri"/>
          <w:b/>
          <w:color w:val="13576B"/>
          <w:sz w:val="24"/>
          <w:szCs w:val="24"/>
        </w:rPr>
        <w:t>Dopad</w:t>
      </w:r>
      <w:r w:rsidR="00D24B00">
        <w:rPr>
          <w:rFonts w:ascii="Calibri" w:hAnsi="Calibri" w:cs="Calibri"/>
          <w:b/>
          <w:color w:val="13576B"/>
          <w:sz w:val="24"/>
          <w:szCs w:val="24"/>
        </w:rPr>
        <w:t>y</w:t>
      </w:r>
      <w:r w:rsidRPr="00AF2306">
        <w:rPr>
          <w:rFonts w:ascii="Calibri" w:hAnsi="Calibri" w:cs="Calibri"/>
          <w:b/>
          <w:color w:val="13576B"/>
          <w:sz w:val="24"/>
          <w:szCs w:val="24"/>
        </w:rPr>
        <w:t xml:space="preserve"> na průměrnou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měsíční hypoteční</w:t>
      </w:r>
      <w:r w:rsidRPr="00AF2306">
        <w:rPr>
          <w:rFonts w:ascii="Calibri" w:hAnsi="Calibri" w:cs="Calibri"/>
          <w:b/>
          <w:color w:val="13576B"/>
          <w:sz w:val="24"/>
          <w:szCs w:val="24"/>
        </w:rPr>
        <w:t xml:space="preserve"> splátku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>okolo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2</w:t>
      </w:r>
      <w:r w:rsidR="00541D7D">
        <w:rPr>
          <w:rFonts w:ascii="Calibri" w:hAnsi="Calibri" w:cs="Calibri"/>
          <w:b/>
          <w:color w:val="13576B"/>
          <w:sz w:val="24"/>
          <w:szCs w:val="24"/>
        </w:rPr>
        <w:t>3</w:t>
      </w:r>
      <w:r w:rsidR="007A19E3">
        <w:rPr>
          <w:rFonts w:ascii="Calibri" w:hAnsi="Calibri" w:cs="Calibri"/>
          <w:b/>
          <w:color w:val="13576B"/>
          <w:sz w:val="24"/>
          <w:szCs w:val="24"/>
        </w:rPr>
        <w:t>,4</w:t>
      </w:r>
      <w:r w:rsidR="00665F6E">
        <w:rPr>
          <w:rFonts w:ascii="Calibri" w:hAnsi="Calibri" w:cs="Calibri"/>
          <w:b/>
          <w:color w:val="13576B"/>
          <w:sz w:val="24"/>
          <w:szCs w:val="24"/>
        </w:rPr>
        <w:t xml:space="preserve"> tisíc Kč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32F32B1" w14:textId="4CD0AA28" w:rsidR="007A19E3" w:rsidRDefault="007A19E3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A19E3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září 2025 ve srovnání s průměrnými hodnotami z roku 2024 zvýšily průměrnou měsíční splátku hypotéky o 2,4 tis. Kč.</w:t>
      </w:r>
      <w:r w:rsidRPr="007A19E3">
        <w:rPr>
          <w:rFonts w:ascii="Calibri" w:hAnsi="Calibri" w:cs="Calibri"/>
          <w:color w:val="000000" w:themeColor="text1"/>
          <w:sz w:val="22"/>
          <w:szCs w:val="22"/>
        </w:rPr>
        <w:t xml:space="preserve"> Scénáře vývoje měsíční splátky pro různé délky splatnosti hypotéky znázorňuje tabulka č. 2. Ta napovídá, že pokles hypotečních sazeb bezmála o 0,6% bodu vůči jejich průměrné výši 5,07 % v roce 2024 přinesl, pro průměrnou velikost hypotéky při jejím obvyklém přibližně 26,8letém splácení, snížení měsíční splátky o necelých 1 400 Kč na přibližně 23,4 tis. Kč, tedy o 1,5 % čistého příjmu žadatele v porovnání s průměrnou splátkou v minulém roce. Ve srovnání s průměrnou hypoteční sazbou 5,81 % v roce 2023 dosáhla úspora kvůli úrokové sazbě necelých 3 300 Kč pro hypotéku v její aktuální průměrné hodnotě. </w:t>
      </w:r>
    </w:p>
    <w:p w14:paraId="02C704BA" w14:textId="77777777" w:rsidR="007A19E3" w:rsidRDefault="007A19E3" w:rsidP="007A19E3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B8D61C9" w14:textId="7C1CAC93" w:rsidR="007A19E3" w:rsidRDefault="007A19E3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A19E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Ovšem současná průměrná výše hypotéky je o 18 % vyšší než její průměrná výše v roce 2024, což přispívá k navýšení měsíční splátky o 3,6 tis. Kč </w:t>
      </w:r>
      <w:r w:rsidRPr="007A19E3">
        <w:rPr>
          <w:rFonts w:ascii="Calibri" w:hAnsi="Calibri" w:cs="Calibri"/>
          <w:color w:val="000000" w:themeColor="text1"/>
          <w:sz w:val="22"/>
          <w:szCs w:val="22"/>
        </w:rPr>
        <w:t xml:space="preserve">ve srovnání s průměrnou měsíční splátkou v minulém roce navázanou na loňskou průměrnou výši hypotéky ovšem při současné úrokové sazbě. Splátka hypotéky ve výši jednoho milionu korun s 30letou splatností se se současnými úrokovými sazbami pohybuje okolo 5,1 tisíce Kč. </w:t>
      </w:r>
    </w:p>
    <w:p w14:paraId="3EFDD157" w14:textId="77777777" w:rsidR="007A19E3" w:rsidRPr="007A19E3" w:rsidRDefault="007A19E3" w:rsidP="007A19E3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79A032C" w14:textId="39ED387B" w:rsidR="007A19E3" w:rsidRDefault="007A19E3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7A19E3">
        <w:rPr>
          <w:rFonts w:ascii="Calibri" w:hAnsi="Calibri" w:cs="Calibri"/>
          <w:b/>
          <w:bCs/>
          <w:color w:val="000000" w:themeColor="text1"/>
          <w:sz w:val="22"/>
          <w:szCs w:val="22"/>
        </w:rPr>
        <w:t>Naopak, ve srovnání s průměrnou 2,8% úrokovou hypoteční sazbou pro nové hypotéky v roce 2019,</w:t>
      </w:r>
      <w:r w:rsidRPr="007A19E3">
        <w:rPr>
          <w:rFonts w:ascii="Calibri" w:hAnsi="Calibri" w:cs="Calibri"/>
          <w:color w:val="000000" w:themeColor="text1"/>
          <w:sz w:val="22"/>
          <w:szCs w:val="22"/>
        </w:rPr>
        <w:t xml:space="preserve"> tak současná hypoteční sazba pro refinancování ve výši 4,5 % při zkrácení splatnosti úvěru zvedá měsíční splátky u průměrné hypotéky téměř o 1700 Kč, tedy asi o 3,3 % současné hrubé průměrné mzdy.</w:t>
      </w:r>
    </w:p>
    <w:p w14:paraId="4482CE93" w14:textId="77777777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267256" w14:textId="12E300F9" w:rsidR="009D3067" w:rsidRPr="00515ECA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D5517C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9691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DFC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01B2E" w14:textId="294A28AB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700C93" w:rsidRPr="00F236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F8289" w14:textId="6CD992B5" w:rsidR="00490505" w:rsidRPr="00F23602" w:rsidRDefault="008A56CE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4 351 030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2CD0A2A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3258C4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</w:t>
            </w:r>
            <w:r w:rsidR="00D24B00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8A56CE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443" w14:textId="77777777" w:rsidR="008A56CE" w:rsidRPr="00F23602" w:rsidRDefault="008A56CE" w:rsidP="008A56C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E9A3" w14:textId="21CDF506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5F03F" w14:textId="7955B9A0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9F84" w14:textId="0A4252C9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30 050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63E5" w14:textId="077F256D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32 180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1E2B72B1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33 330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1E34E34D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34 410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922" w14:textId="2DFD3B98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36 720</w:t>
            </w:r>
          </w:p>
        </w:tc>
      </w:tr>
      <w:tr w:rsidR="008A56CE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610" w14:textId="77777777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CE37" w14:textId="0DCAB82D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FBFB" w14:textId="55576BFC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22 010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AA86" w14:textId="607FF2DC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24 130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7E18" w14:textId="11EDE2C1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26 370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78F56218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27 580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23C8FC24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28 710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BDBD" w14:textId="24A4EDA2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31 170</w:t>
            </w:r>
          </w:p>
        </w:tc>
      </w:tr>
      <w:tr w:rsidR="008A56CE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81A" w14:textId="77777777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2D49" w14:textId="78F991B7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1B1A11" w14:textId="50EA45E0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18 440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E222" w14:textId="582ACAD7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20 630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F1AB" w14:textId="31F35B09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50581180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24 240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0170C755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25 440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D8C7" w14:textId="150DFF27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28 030</w:t>
            </w:r>
          </w:p>
        </w:tc>
      </w:tr>
      <w:tr w:rsidR="008A56CE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5CE" w14:textId="77777777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44522C32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501D5D9A" w:rsidR="008A56CE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17 510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47E5C31C" w:rsidR="008A56CE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19 720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082A69DD" w:rsidR="008A56CE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22 090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55E8DC8E" w:rsidR="008A56CE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23 380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0D55D5FC" w:rsidR="008A56CE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24 600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3AE61909" w:rsidR="008A56CE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27 250</w:t>
            </w:r>
          </w:p>
        </w:tc>
      </w:tr>
      <w:tr w:rsidR="008A56CE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BB57D" w14:textId="77777777" w:rsidR="008A56CE" w:rsidRPr="00F23602" w:rsidRDefault="008A56CE" w:rsidP="008A56C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25A" w14:textId="7A89106D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A2DA6" w14:textId="4EB3E552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16 080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602F5" w14:textId="25A5CC34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18 340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00D" w14:textId="2B28CA5C" w:rsidR="008A56CE" w:rsidRPr="00F23602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20 770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1B9DA9DB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6790D0B1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23 360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81B34" w14:textId="3B7BBFE5" w:rsidR="008A56CE" w:rsidRPr="002138C0" w:rsidRDefault="008A56CE" w:rsidP="008A56C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26 090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Pozn.: barevný sloupec odpovídá úrokové sazbě posledního ČBA Hypomonitoru,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596DABCB" w14:textId="77777777" w:rsidR="008569DC" w:rsidRDefault="008569DC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62B2E302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A0217">
        <w:rPr>
          <w:rFonts w:ascii="Calibri" w:hAnsi="Calibri" w:cs="Calibri"/>
          <w:b/>
          <w:color w:val="13576B"/>
          <w:sz w:val="23"/>
          <w:szCs w:val="23"/>
        </w:rPr>
        <w:t xml:space="preserve">5: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7D566DD6" w14:textId="1FBC0026" w:rsidR="00B44209" w:rsidRDefault="008A56CE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8A56CE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meziročním srovnání přinesl pokles hypoteční sazby úsporu průměrné měsíční splátky o 1 110 Kč, ovšem růst průměrné výše hypotéky způsobil její navýšení o 3 170 Kč. </w:t>
      </w:r>
    </w:p>
    <w:p w14:paraId="6A935E6E" w14:textId="23BD540B" w:rsidR="008A56CE" w:rsidRDefault="008A56CE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lastRenderedPageBreak/>
        <w:drawing>
          <wp:inline distT="0" distB="0" distL="0" distR="0" wp14:anchorId="6ED0B382" wp14:editId="154D74BF">
            <wp:extent cx="4800600" cy="3192119"/>
            <wp:effectExtent l="0" t="0" r="0" b="8890"/>
            <wp:docPr id="9191044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86" cy="3198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D4172" w14:textId="314DF59A" w:rsidR="008A56CE" w:rsidRDefault="008A56CE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5EE70E11" w:rsidR="002E4EFD" w:rsidRPr="00D24B00" w:rsidRDefault="008723A8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384BA2E5" w14:textId="7E516932" w:rsidR="0033440C" w:rsidRDefault="00E16BD3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E16BD3">
        <w:rPr>
          <w:noProof/>
        </w:rPr>
        <w:lastRenderedPageBreak/>
        <w:drawing>
          <wp:inline distT="0" distB="0" distL="0" distR="0" wp14:anchorId="03413470" wp14:editId="4EA9E820">
            <wp:extent cx="6480810" cy="4177030"/>
            <wp:effectExtent l="0" t="0" r="0" b="0"/>
            <wp:docPr id="147984072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Hypomonitor</w:t>
      </w:r>
    </w:p>
    <w:p w14:paraId="03530238" w14:textId="378A1F3A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>k dispozici v souboru xls přiloženém na webových stránkách ČBA Hypomonitoru</w:t>
      </w:r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(fcst)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303965F" w14:textId="77777777" w:rsidR="0033440C" w:rsidRPr="00616069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6C2E2977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lastRenderedPageBreak/>
        <w:t xml:space="preserve">Graf č. </w:t>
      </w:r>
      <w:r w:rsidR="000A0217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 ČBA Hypomonitor</w:t>
      </w:r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25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26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A06A94">
      <w:headerReference w:type="default" r:id="rId27"/>
      <w:footerReference w:type="default" r:id="rId28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872A" w14:textId="77777777" w:rsidR="00F343FC" w:rsidRPr="00616069" w:rsidRDefault="00F343FC" w:rsidP="00F573F1">
      <w:r w:rsidRPr="00616069">
        <w:separator/>
      </w:r>
    </w:p>
  </w:endnote>
  <w:endnote w:type="continuationSeparator" w:id="0">
    <w:p w14:paraId="3B6B73B5" w14:textId="77777777" w:rsidR="00F343FC" w:rsidRPr="00616069" w:rsidRDefault="00F343FC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566919382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82BCD" w14:textId="77777777" w:rsidR="00F343FC" w:rsidRPr="00616069" w:rsidRDefault="00F343FC" w:rsidP="00F573F1">
      <w:r w:rsidRPr="00616069">
        <w:separator/>
      </w:r>
    </w:p>
  </w:footnote>
  <w:footnote w:type="continuationSeparator" w:id="0">
    <w:p w14:paraId="2C587398" w14:textId="77777777" w:rsidR="00F343FC" w:rsidRPr="00616069" w:rsidRDefault="00F343FC" w:rsidP="00F573F1">
      <w:r w:rsidRPr="00616069">
        <w:continuationSeparator/>
      </w:r>
    </w:p>
  </w:footnote>
  <w:footnote w:id="1">
    <w:p w14:paraId="05CFF3F2" w14:textId="77777777" w:rsidR="00541D7D" w:rsidRPr="00616069" w:rsidRDefault="00541D7D" w:rsidP="00541D7D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Jedná se především o dlouholeté úrokové swapy (interest rate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15584C5C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15584C5C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12723202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682889289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6E1C0A9C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F43D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9C040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10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6E1C0A9C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F43D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9C040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10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491E"/>
    <w:rsid w:val="00097293"/>
    <w:rsid w:val="000976B9"/>
    <w:rsid w:val="00097B42"/>
    <w:rsid w:val="000A019A"/>
    <w:rsid w:val="000A0217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0E5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810"/>
    <w:rsid w:val="000E4ABC"/>
    <w:rsid w:val="000E563F"/>
    <w:rsid w:val="000E59CE"/>
    <w:rsid w:val="000E5F43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6432"/>
    <w:rsid w:val="002F6A6D"/>
    <w:rsid w:val="003012B9"/>
    <w:rsid w:val="0030161E"/>
    <w:rsid w:val="00301915"/>
    <w:rsid w:val="003028DC"/>
    <w:rsid w:val="003029D1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27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73E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1FB7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3EA6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C28"/>
    <w:rsid w:val="00503D06"/>
    <w:rsid w:val="00504229"/>
    <w:rsid w:val="00504370"/>
    <w:rsid w:val="00505434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07B8A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B4649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5F2A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C1C"/>
    <w:rsid w:val="00B47F43"/>
    <w:rsid w:val="00B506AC"/>
    <w:rsid w:val="00B50773"/>
    <w:rsid w:val="00B50D1B"/>
    <w:rsid w:val="00B50E2C"/>
    <w:rsid w:val="00B51364"/>
    <w:rsid w:val="00B517ED"/>
    <w:rsid w:val="00B51DA1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F8A"/>
    <w:rsid w:val="00BA258C"/>
    <w:rsid w:val="00BA280D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7DB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722E"/>
    <w:rsid w:val="00D176B7"/>
    <w:rsid w:val="00D20B08"/>
    <w:rsid w:val="00D211A5"/>
    <w:rsid w:val="00D2261D"/>
    <w:rsid w:val="00D228B8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2EF"/>
    <w:rsid w:val="00E16BD3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AED"/>
    <w:rsid w:val="00F02876"/>
    <w:rsid w:val="00F06185"/>
    <w:rsid w:val="00F064C3"/>
    <w:rsid w:val="00F06A82"/>
    <w:rsid w:val="00F0754F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3F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cbamonitor.cz/kategorie/ceny-nemovitosti" TargetMode="External"/><Relationship Id="rId26" Type="http://schemas.openxmlformats.org/officeDocument/2006/relationships/hyperlink" Target="https://www.cbamonitor.cz/kategorie/cba-hypomonitor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cbamonitor.cz/statistika/dynamika-mezd" TargetMode="External"/><Relationship Id="rId25" Type="http://schemas.openxmlformats.org/officeDocument/2006/relationships/hyperlink" Target="http://www.cbaonline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aktuality/prumyslova-vyroba-v-cervenci" TargetMode="External"/><Relationship Id="rId20" Type="http://schemas.openxmlformats.org/officeDocument/2006/relationships/hyperlink" Target="https://www.cbamonitor.cz/aktuality/kompletni-ceny-nemovitosti-dle-csu-ukazuji-pro-q1-2025-mirnejsi-narust-nez-ceny-bytu-nahled-a-vyzva-do-metodicke-kuchynky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30lethypotek.cz/" TargetMode="External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7.emf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cbamonitor.cz/aktuality/pokles-transakcnich-cen-bytu-ve-druhem-ctvrtleti-souvisi-spise-s-transakcemi-nez-s-poklesem-c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Props1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2437</Words>
  <Characters>14382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8</cp:revision>
  <cp:lastPrinted>2025-08-14T09:13:00Z</cp:lastPrinted>
  <dcterms:created xsi:type="dcterms:W3CDTF">2025-10-13T12:49:00Z</dcterms:created>
  <dcterms:modified xsi:type="dcterms:W3CDTF">2025-10-13T14:02:00Z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