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5735" w14:textId="114399D6" w:rsidR="00DF154D" w:rsidRPr="002F43DE" w:rsidRDefault="003D3759" w:rsidP="003D3759">
      <w:pPr>
        <w:rPr>
          <w:rFonts w:ascii="Calibri" w:hAnsi="Calibri" w:cs="Calibri"/>
          <w:b/>
          <w:color w:val="EE0000"/>
          <w:sz w:val="32"/>
          <w:szCs w:val="32"/>
        </w:rPr>
      </w:pPr>
      <w:bookmarkStart w:id="0" w:name="_Hlk111121205"/>
      <w:bookmarkStart w:id="1" w:name="_Hlk116472656"/>
      <w:r w:rsidRPr="00616069">
        <w:rPr>
          <w:rFonts w:ascii="Calibri" w:hAnsi="Calibri" w:cs="Calibri"/>
          <w:b/>
          <w:color w:val="13576B"/>
          <w:sz w:val="32"/>
          <w:szCs w:val="32"/>
        </w:rPr>
        <w:t xml:space="preserve">ČBA </w:t>
      </w:r>
      <w:proofErr w:type="spellStart"/>
      <w:r w:rsidRPr="00616069">
        <w:rPr>
          <w:rFonts w:ascii="Calibri" w:hAnsi="Calibri" w:cs="Calibri"/>
          <w:b/>
          <w:color w:val="13576B"/>
          <w:sz w:val="32"/>
          <w:szCs w:val="32"/>
        </w:rPr>
        <w:t>Hypomonito</w:t>
      </w:r>
      <w:r w:rsidR="007C0E2D">
        <w:rPr>
          <w:rFonts w:ascii="Calibri" w:hAnsi="Calibri" w:cs="Calibri"/>
          <w:b/>
          <w:color w:val="13576B"/>
          <w:sz w:val="32"/>
          <w:szCs w:val="32"/>
        </w:rPr>
        <w:t>r</w:t>
      </w:r>
      <w:proofErr w:type="spellEnd"/>
      <w:r w:rsidRPr="00616069">
        <w:rPr>
          <w:rFonts w:ascii="Calibri" w:hAnsi="Calibri" w:cs="Calibri"/>
          <w:b/>
          <w:color w:val="13576B"/>
          <w:sz w:val="32"/>
          <w:szCs w:val="32"/>
        </w:rPr>
        <w:t xml:space="preserve">: </w:t>
      </w:r>
      <w:r w:rsidR="008A3666">
        <w:rPr>
          <w:rFonts w:ascii="Calibri" w:hAnsi="Calibri" w:cs="Calibri"/>
          <w:b/>
          <w:color w:val="13576B"/>
          <w:sz w:val="32"/>
          <w:szCs w:val="32"/>
        </w:rPr>
        <w:t xml:space="preserve">Srpen navzdory korekci uhájil druhou nejsilnější aktivitu. </w:t>
      </w:r>
      <w:r w:rsidR="00C82FE1" w:rsidRPr="003B7AE1">
        <w:rPr>
          <w:rFonts w:ascii="Calibri" w:hAnsi="Calibri" w:cs="Calibri"/>
          <w:b/>
          <w:color w:val="13576B"/>
          <w:sz w:val="32"/>
          <w:szCs w:val="32"/>
        </w:rPr>
        <w:t xml:space="preserve">Sazba </w:t>
      </w:r>
      <w:r w:rsidR="003B7AE1" w:rsidRPr="003B7AE1">
        <w:rPr>
          <w:rFonts w:ascii="Calibri" w:hAnsi="Calibri" w:cs="Calibri"/>
          <w:b/>
          <w:color w:val="13576B"/>
          <w:sz w:val="32"/>
          <w:szCs w:val="32"/>
        </w:rPr>
        <w:t xml:space="preserve">nepatrně </w:t>
      </w:r>
      <w:r w:rsidR="00FC08D8" w:rsidRPr="003B7AE1">
        <w:rPr>
          <w:rFonts w:ascii="Calibri" w:hAnsi="Calibri" w:cs="Calibri"/>
          <w:b/>
          <w:color w:val="13576B"/>
          <w:sz w:val="32"/>
          <w:szCs w:val="32"/>
        </w:rPr>
        <w:t xml:space="preserve">klesla </w:t>
      </w:r>
      <w:r w:rsidR="00C82FE1" w:rsidRPr="003B7AE1">
        <w:rPr>
          <w:rFonts w:ascii="Calibri" w:hAnsi="Calibri" w:cs="Calibri"/>
          <w:b/>
          <w:color w:val="13576B"/>
          <w:sz w:val="32"/>
          <w:szCs w:val="32"/>
        </w:rPr>
        <w:t>na</w:t>
      </w:r>
      <w:r w:rsidR="00BA280D" w:rsidRPr="003B7AE1">
        <w:rPr>
          <w:rFonts w:ascii="Calibri" w:hAnsi="Calibri" w:cs="Calibri"/>
          <w:b/>
          <w:color w:val="13576B"/>
          <w:sz w:val="32"/>
          <w:szCs w:val="32"/>
        </w:rPr>
        <w:t xml:space="preserve"> 4,5</w:t>
      </w:r>
      <w:r w:rsidR="003B7AE1" w:rsidRPr="003B7AE1">
        <w:rPr>
          <w:rFonts w:ascii="Calibri" w:hAnsi="Calibri" w:cs="Calibri"/>
          <w:b/>
          <w:color w:val="13576B"/>
          <w:sz w:val="32"/>
          <w:szCs w:val="32"/>
        </w:rPr>
        <w:t>2</w:t>
      </w:r>
      <w:r w:rsidR="00BA280D" w:rsidRPr="003B7AE1">
        <w:rPr>
          <w:rFonts w:ascii="Calibri" w:hAnsi="Calibri" w:cs="Calibri"/>
          <w:b/>
          <w:color w:val="13576B"/>
          <w:sz w:val="32"/>
          <w:szCs w:val="32"/>
        </w:rPr>
        <w:t xml:space="preserve"> %.</w:t>
      </w:r>
      <w:r w:rsidR="00BA280D" w:rsidRPr="002F43DE">
        <w:rPr>
          <w:rFonts w:ascii="Calibri" w:hAnsi="Calibri" w:cs="Calibri"/>
          <w:b/>
          <w:color w:val="EE0000"/>
          <w:sz w:val="32"/>
          <w:szCs w:val="32"/>
        </w:rPr>
        <w:t xml:space="preserve"> </w:t>
      </w:r>
    </w:p>
    <w:bookmarkEnd w:id="0"/>
    <w:p w14:paraId="7CC3EF71" w14:textId="0E34A4B2" w:rsidR="00A37C13" w:rsidRDefault="007967E6" w:rsidP="00A37C13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b/>
          <w:bCs/>
          <w:color w:val="13576B"/>
          <w:sz w:val="22"/>
          <w:szCs w:val="22"/>
        </w:rPr>
      </w:pPr>
      <w:r w:rsidRPr="00FB492C">
        <w:rPr>
          <w:rFonts w:ascii="Calibri" w:hAnsi="Calibri" w:cs="Calibri"/>
          <w:color w:val="13576B"/>
          <w:sz w:val="22"/>
          <w:szCs w:val="22"/>
        </w:rPr>
        <w:t>Praha, 1</w:t>
      </w:r>
      <w:r w:rsidR="002F43DE">
        <w:rPr>
          <w:rFonts w:ascii="Calibri" w:hAnsi="Calibri" w:cs="Calibri"/>
          <w:color w:val="13576B"/>
          <w:sz w:val="22"/>
          <w:szCs w:val="22"/>
        </w:rPr>
        <w:t>5</w:t>
      </w:r>
      <w:r w:rsidRPr="00FB492C">
        <w:rPr>
          <w:rFonts w:ascii="Calibri" w:hAnsi="Calibri" w:cs="Calibri"/>
          <w:color w:val="13576B"/>
          <w:sz w:val="22"/>
          <w:szCs w:val="22"/>
        </w:rPr>
        <w:t xml:space="preserve">. </w:t>
      </w:r>
      <w:r w:rsidR="002F43DE">
        <w:rPr>
          <w:rFonts w:ascii="Calibri" w:hAnsi="Calibri" w:cs="Calibri"/>
          <w:color w:val="13576B"/>
          <w:sz w:val="22"/>
          <w:szCs w:val="22"/>
        </w:rPr>
        <w:t>září</w:t>
      </w:r>
      <w:r w:rsidRPr="00FB492C">
        <w:rPr>
          <w:rFonts w:ascii="Calibri" w:hAnsi="Calibri" w:cs="Calibri"/>
          <w:color w:val="13576B"/>
          <w:sz w:val="22"/>
          <w:szCs w:val="22"/>
        </w:rPr>
        <w:t xml:space="preserve"> </w:t>
      </w:r>
      <w:proofErr w:type="gramStart"/>
      <w:r w:rsidR="00FC08D8" w:rsidRPr="00FB492C">
        <w:rPr>
          <w:rFonts w:ascii="Calibri" w:hAnsi="Calibri" w:cs="Calibri"/>
          <w:color w:val="13576B"/>
          <w:sz w:val="22"/>
          <w:szCs w:val="22"/>
        </w:rPr>
        <w:t>2025</w:t>
      </w:r>
      <w:r w:rsidR="006320CB">
        <w:rPr>
          <w:rFonts w:ascii="Calibri" w:hAnsi="Calibri" w:cs="Calibri"/>
          <w:color w:val="13576B"/>
          <w:sz w:val="22"/>
          <w:szCs w:val="22"/>
        </w:rPr>
        <w:t xml:space="preserve"> </w:t>
      </w:r>
      <w:r w:rsidR="00FC08D8" w:rsidRPr="00FC08D8">
        <w:rPr>
          <w:rFonts w:ascii="Calibri" w:hAnsi="Calibri" w:cs="Calibri"/>
          <w:color w:val="13576B"/>
          <w:sz w:val="22"/>
          <w:szCs w:val="22"/>
        </w:rPr>
        <w:t>–</w:t>
      </w:r>
      <w:r w:rsidR="007263EF">
        <w:rPr>
          <w:rFonts w:ascii="Calibri" w:hAnsi="Calibri" w:cs="Calibri"/>
          <w:color w:val="13576B"/>
          <w:sz w:val="22"/>
          <w:szCs w:val="22"/>
        </w:rPr>
        <w:t xml:space="preserve"> </w:t>
      </w:r>
      <w:r w:rsidR="006320CB" w:rsidRPr="006320CB">
        <w:rPr>
          <w:rFonts w:ascii="Calibri" w:hAnsi="Calibri" w:cs="Calibri"/>
          <w:b/>
          <w:bCs/>
          <w:color w:val="13576B"/>
          <w:sz w:val="22"/>
          <w:szCs w:val="22"/>
        </w:rPr>
        <w:t>V</w:t>
      </w:r>
      <w:proofErr w:type="gramEnd"/>
      <w:r w:rsidR="006320CB" w:rsidRPr="006320CB">
        <w:rPr>
          <w:rFonts w:ascii="Calibri" w:hAnsi="Calibri" w:cs="Calibri"/>
          <w:b/>
          <w:bCs/>
          <w:color w:val="13576B"/>
          <w:sz w:val="22"/>
          <w:szCs w:val="22"/>
        </w:rPr>
        <w:t xml:space="preserve"> srpnu 2025 poskytly banky a stavební spořitelny nové hypotéky za </w:t>
      </w:r>
      <w:r w:rsidR="007263EF">
        <w:rPr>
          <w:rFonts w:ascii="Calibri" w:hAnsi="Calibri" w:cs="Calibri"/>
          <w:b/>
          <w:bCs/>
          <w:color w:val="13576B"/>
          <w:sz w:val="22"/>
          <w:szCs w:val="22"/>
        </w:rPr>
        <w:t xml:space="preserve">téměř </w:t>
      </w:r>
      <w:r w:rsidR="006320CB" w:rsidRPr="006320CB">
        <w:rPr>
          <w:rFonts w:ascii="Calibri" w:hAnsi="Calibri" w:cs="Calibri"/>
          <w:b/>
          <w:bCs/>
          <w:color w:val="13576B"/>
          <w:sz w:val="22"/>
          <w:szCs w:val="22"/>
        </w:rPr>
        <w:t>2</w:t>
      </w:r>
      <w:r w:rsidR="007263EF">
        <w:rPr>
          <w:rFonts w:ascii="Calibri" w:hAnsi="Calibri" w:cs="Calibri"/>
          <w:b/>
          <w:bCs/>
          <w:color w:val="13576B"/>
          <w:sz w:val="22"/>
          <w:szCs w:val="22"/>
        </w:rPr>
        <w:t>6</w:t>
      </w:r>
      <w:r w:rsidR="006320CB" w:rsidRPr="006320CB">
        <w:rPr>
          <w:rFonts w:ascii="Calibri" w:hAnsi="Calibri" w:cs="Calibri"/>
          <w:b/>
          <w:bCs/>
          <w:color w:val="13576B"/>
          <w:sz w:val="22"/>
          <w:szCs w:val="22"/>
        </w:rPr>
        <w:t xml:space="preserve"> miliard </w:t>
      </w:r>
      <w:r w:rsidR="007263EF">
        <w:rPr>
          <w:rFonts w:ascii="Calibri" w:hAnsi="Calibri" w:cs="Calibri"/>
          <w:b/>
          <w:bCs/>
          <w:color w:val="13576B"/>
          <w:sz w:val="22"/>
          <w:szCs w:val="22"/>
        </w:rPr>
        <w:t>korun</w:t>
      </w:r>
      <w:r w:rsidR="006320CB" w:rsidRPr="006320CB">
        <w:rPr>
          <w:rFonts w:ascii="Calibri" w:hAnsi="Calibri" w:cs="Calibri"/>
          <w:b/>
          <w:bCs/>
          <w:color w:val="13576B"/>
          <w:sz w:val="22"/>
          <w:szCs w:val="22"/>
        </w:rPr>
        <w:t>. Oproti</w:t>
      </w:r>
      <w:r w:rsidR="007263EF">
        <w:rPr>
          <w:rFonts w:ascii="Calibri" w:hAnsi="Calibri" w:cs="Calibri"/>
          <w:b/>
          <w:bCs/>
          <w:color w:val="13576B"/>
          <w:sz w:val="22"/>
          <w:szCs w:val="22"/>
        </w:rPr>
        <w:t xml:space="preserve"> rekordnímu</w:t>
      </w:r>
      <w:r w:rsidR="006320CB" w:rsidRPr="006320CB">
        <w:rPr>
          <w:rFonts w:ascii="Calibri" w:hAnsi="Calibri" w:cs="Calibri"/>
          <w:b/>
          <w:bCs/>
          <w:color w:val="13576B"/>
          <w:sz w:val="22"/>
          <w:szCs w:val="22"/>
        </w:rPr>
        <w:t xml:space="preserve"> červenci aktivita objemově zeslábla o 1</w:t>
      </w:r>
      <w:r w:rsidR="007263EF">
        <w:rPr>
          <w:rFonts w:ascii="Calibri" w:hAnsi="Calibri" w:cs="Calibri"/>
          <w:b/>
          <w:bCs/>
          <w:color w:val="13576B"/>
          <w:sz w:val="22"/>
          <w:szCs w:val="22"/>
        </w:rPr>
        <w:t>3</w:t>
      </w:r>
      <w:r w:rsidR="006320CB" w:rsidRPr="006320CB">
        <w:rPr>
          <w:rFonts w:ascii="Calibri" w:hAnsi="Calibri" w:cs="Calibri"/>
          <w:b/>
          <w:bCs/>
          <w:color w:val="13576B"/>
          <w:sz w:val="22"/>
          <w:szCs w:val="22"/>
        </w:rPr>
        <w:t xml:space="preserve"> %, </w:t>
      </w:r>
      <w:r w:rsidR="007263EF">
        <w:rPr>
          <w:rFonts w:ascii="Calibri" w:hAnsi="Calibri" w:cs="Calibri"/>
          <w:b/>
          <w:bCs/>
          <w:color w:val="13576B"/>
          <w:sz w:val="22"/>
          <w:szCs w:val="22"/>
        </w:rPr>
        <w:t xml:space="preserve">ale zůstává na </w:t>
      </w:r>
      <w:r w:rsidR="008A3666">
        <w:rPr>
          <w:rFonts w:ascii="Calibri" w:hAnsi="Calibri" w:cs="Calibri"/>
          <w:b/>
          <w:bCs/>
          <w:color w:val="13576B"/>
          <w:sz w:val="22"/>
          <w:szCs w:val="22"/>
        </w:rPr>
        <w:t>silnějších úrovních než ve druhém čtvrtletí</w:t>
      </w:r>
      <w:r w:rsidR="007263EF">
        <w:rPr>
          <w:rFonts w:ascii="Calibri" w:hAnsi="Calibri" w:cs="Calibri"/>
          <w:b/>
          <w:bCs/>
          <w:color w:val="13576B"/>
          <w:sz w:val="22"/>
          <w:szCs w:val="22"/>
        </w:rPr>
        <w:t xml:space="preserve">. </w:t>
      </w:r>
      <w:r w:rsidR="006830CE">
        <w:rPr>
          <w:rFonts w:ascii="Calibri" w:hAnsi="Calibri" w:cs="Calibri"/>
          <w:b/>
          <w:bCs/>
          <w:color w:val="13576B"/>
          <w:sz w:val="22"/>
          <w:szCs w:val="22"/>
        </w:rPr>
        <w:t xml:space="preserve">A po sezónním očištění si drží druhou nejsilnější </w:t>
      </w:r>
      <w:r w:rsidR="00A37C13">
        <w:rPr>
          <w:rFonts w:ascii="Calibri" w:hAnsi="Calibri" w:cs="Calibri"/>
          <w:b/>
          <w:bCs/>
          <w:color w:val="13576B"/>
          <w:sz w:val="22"/>
          <w:szCs w:val="22"/>
        </w:rPr>
        <w:t>příčku,</w:t>
      </w:r>
      <w:r w:rsidR="006830CE">
        <w:rPr>
          <w:rFonts w:ascii="Calibri" w:hAnsi="Calibri" w:cs="Calibri"/>
          <w:b/>
          <w:bCs/>
          <w:color w:val="13576B"/>
          <w:sz w:val="22"/>
          <w:szCs w:val="22"/>
        </w:rPr>
        <w:t xml:space="preserve"> a to jak objemově, tak počtem nových hypoték. </w:t>
      </w:r>
      <w:r w:rsidR="006320CB" w:rsidRPr="006320CB">
        <w:rPr>
          <w:rFonts w:ascii="Calibri" w:hAnsi="Calibri" w:cs="Calibri"/>
          <w:b/>
          <w:bCs/>
          <w:color w:val="13576B"/>
          <w:sz w:val="22"/>
          <w:szCs w:val="22"/>
        </w:rPr>
        <w:t xml:space="preserve">Od začátku roku </w:t>
      </w:r>
      <w:r w:rsidR="007263EF">
        <w:rPr>
          <w:rFonts w:ascii="Calibri" w:hAnsi="Calibri" w:cs="Calibri"/>
          <w:b/>
          <w:bCs/>
          <w:color w:val="13576B"/>
          <w:sz w:val="22"/>
          <w:szCs w:val="22"/>
        </w:rPr>
        <w:t xml:space="preserve">objem </w:t>
      </w:r>
      <w:r w:rsidR="006830CE">
        <w:rPr>
          <w:rFonts w:ascii="Calibri" w:hAnsi="Calibri" w:cs="Calibri"/>
          <w:b/>
          <w:bCs/>
          <w:color w:val="13576B"/>
          <w:sz w:val="22"/>
          <w:szCs w:val="22"/>
        </w:rPr>
        <w:t xml:space="preserve">nových hypoték </w:t>
      </w:r>
      <w:r w:rsidR="007263EF">
        <w:rPr>
          <w:rFonts w:ascii="Calibri" w:hAnsi="Calibri" w:cs="Calibri"/>
          <w:b/>
          <w:bCs/>
          <w:color w:val="13576B"/>
          <w:sz w:val="22"/>
          <w:szCs w:val="22"/>
        </w:rPr>
        <w:t xml:space="preserve">dosáhl </w:t>
      </w:r>
      <w:r w:rsidR="006320CB" w:rsidRPr="006320CB">
        <w:rPr>
          <w:rFonts w:ascii="Calibri" w:hAnsi="Calibri" w:cs="Calibri"/>
          <w:b/>
          <w:bCs/>
          <w:color w:val="13576B"/>
          <w:sz w:val="22"/>
          <w:szCs w:val="22"/>
        </w:rPr>
        <w:t>206 miliard korun, tedy o 60 miliard více než před rokem. Průměrná realizovaná sazba hypoték nepatrně dále klesla na 4,52</w:t>
      </w:r>
      <w:r w:rsidR="007263EF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 w:rsidR="006320CB" w:rsidRPr="006320CB">
        <w:rPr>
          <w:rFonts w:ascii="Calibri" w:hAnsi="Calibri" w:cs="Calibri"/>
          <w:b/>
          <w:bCs/>
          <w:color w:val="13576B"/>
          <w:sz w:val="22"/>
          <w:szCs w:val="22"/>
        </w:rPr>
        <w:t xml:space="preserve">%. Její meziroční pokles o </w:t>
      </w:r>
      <w:proofErr w:type="gramStart"/>
      <w:r w:rsidR="006320CB" w:rsidRPr="006320CB">
        <w:rPr>
          <w:rFonts w:ascii="Calibri" w:hAnsi="Calibri" w:cs="Calibri"/>
          <w:b/>
          <w:bCs/>
          <w:color w:val="13576B"/>
          <w:sz w:val="22"/>
          <w:szCs w:val="22"/>
        </w:rPr>
        <w:t>0,46%</w:t>
      </w:r>
      <w:proofErr w:type="gramEnd"/>
      <w:r w:rsidR="006320CB" w:rsidRPr="006320CB">
        <w:rPr>
          <w:rFonts w:ascii="Calibri" w:hAnsi="Calibri" w:cs="Calibri"/>
          <w:b/>
          <w:bCs/>
          <w:color w:val="13576B"/>
          <w:sz w:val="22"/>
          <w:szCs w:val="22"/>
        </w:rPr>
        <w:t xml:space="preserve"> bodu snižuje měsíční splátky přibližně o více než 1,1 tis. Kč, tedy o 1,2 % čistého příjmu žadatele o hypotéku. </w:t>
      </w:r>
      <w:r w:rsidR="008A3666">
        <w:rPr>
          <w:rFonts w:ascii="Calibri" w:hAnsi="Calibri" w:cs="Calibri"/>
          <w:b/>
          <w:bCs/>
          <w:color w:val="13576B"/>
          <w:sz w:val="22"/>
          <w:szCs w:val="22"/>
        </w:rPr>
        <w:t>Ve</w:t>
      </w:r>
      <w:r w:rsidR="006320CB" w:rsidRPr="006320CB">
        <w:rPr>
          <w:rFonts w:ascii="Calibri" w:hAnsi="Calibri" w:cs="Calibri"/>
          <w:b/>
          <w:bCs/>
          <w:color w:val="13576B"/>
          <w:sz w:val="22"/>
          <w:szCs w:val="22"/>
        </w:rPr>
        <w:t>likost</w:t>
      </w:r>
      <w:r w:rsidR="006830CE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 w:rsidR="006320CB" w:rsidRPr="006320CB">
        <w:rPr>
          <w:rFonts w:ascii="Calibri" w:hAnsi="Calibri" w:cs="Calibri"/>
          <w:b/>
          <w:bCs/>
          <w:color w:val="13576B"/>
          <w:sz w:val="22"/>
          <w:szCs w:val="22"/>
        </w:rPr>
        <w:t xml:space="preserve">nově poskytnuté hypotéky v srpnu </w:t>
      </w:r>
      <w:r w:rsidR="008A3666">
        <w:rPr>
          <w:rFonts w:ascii="Calibri" w:hAnsi="Calibri" w:cs="Calibri"/>
          <w:b/>
          <w:bCs/>
          <w:color w:val="13576B"/>
          <w:sz w:val="22"/>
          <w:szCs w:val="22"/>
        </w:rPr>
        <w:t>nepatrně</w:t>
      </w:r>
      <w:r w:rsidR="006320CB" w:rsidRPr="006320CB">
        <w:rPr>
          <w:rFonts w:ascii="Calibri" w:hAnsi="Calibri" w:cs="Calibri"/>
          <w:b/>
          <w:bCs/>
          <w:color w:val="13576B"/>
          <w:sz w:val="22"/>
          <w:szCs w:val="22"/>
        </w:rPr>
        <w:t xml:space="preserve"> klesla na 4,26 milionu korun</w:t>
      </w:r>
      <w:r w:rsidR="008A3666">
        <w:rPr>
          <w:rFonts w:ascii="Calibri" w:hAnsi="Calibri" w:cs="Calibri"/>
          <w:b/>
          <w:bCs/>
          <w:color w:val="13576B"/>
          <w:sz w:val="22"/>
          <w:szCs w:val="22"/>
        </w:rPr>
        <w:t>, a to po téměř ročním rostoucím trendu. Její meziroční růst tak zmírnil na 314 tisíc</w:t>
      </w:r>
      <w:r w:rsidR="006320CB" w:rsidRPr="006320CB">
        <w:rPr>
          <w:rFonts w:ascii="Calibri" w:hAnsi="Calibri" w:cs="Calibri"/>
          <w:b/>
          <w:bCs/>
          <w:color w:val="13576B"/>
          <w:sz w:val="22"/>
          <w:szCs w:val="22"/>
        </w:rPr>
        <w:t xml:space="preserve">, což </w:t>
      </w:r>
      <w:r w:rsidR="008A3666">
        <w:rPr>
          <w:rFonts w:ascii="Calibri" w:hAnsi="Calibri" w:cs="Calibri"/>
          <w:b/>
          <w:bCs/>
          <w:color w:val="13576B"/>
          <w:sz w:val="22"/>
          <w:szCs w:val="22"/>
        </w:rPr>
        <w:t>mírně zmírnilo dopad na</w:t>
      </w:r>
      <w:r w:rsidR="006320CB" w:rsidRPr="006320CB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 w:rsidR="008A3666">
        <w:rPr>
          <w:rFonts w:ascii="Calibri" w:hAnsi="Calibri" w:cs="Calibri"/>
          <w:b/>
          <w:bCs/>
          <w:color w:val="13576B"/>
          <w:sz w:val="22"/>
          <w:szCs w:val="22"/>
        </w:rPr>
        <w:t>vyšší</w:t>
      </w:r>
      <w:r w:rsidR="006320CB" w:rsidRPr="006320CB">
        <w:rPr>
          <w:rFonts w:ascii="Calibri" w:hAnsi="Calibri" w:cs="Calibri"/>
          <w:b/>
          <w:bCs/>
          <w:color w:val="13576B"/>
          <w:sz w:val="22"/>
          <w:szCs w:val="22"/>
        </w:rPr>
        <w:t xml:space="preserve"> průměrnou měsíční splátku </w:t>
      </w:r>
      <w:r w:rsidR="008A3666">
        <w:rPr>
          <w:rFonts w:ascii="Calibri" w:hAnsi="Calibri" w:cs="Calibri"/>
          <w:b/>
          <w:bCs/>
          <w:color w:val="13576B"/>
          <w:sz w:val="22"/>
          <w:szCs w:val="22"/>
        </w:rPr>
        <w:t>na téměř</w:t>
      </w:r>
      <w:r w:rsidR="006320CB" w:rsidRPr="006320CB">
        <w:rPr>
          <w:rFonts w:ascii="Calibri" w:hAnsi="Calibri" w:cs="Calibri"/>
          <w:b/>
          <w:bCs/>
          <w:color w:val="13576B"/>
          <w:sz w:val="22"/>
          <w:szCs w:val="22"/>
        </w:rPr>
        <w:t xml:space="preserve"> 1,7 tis. Kč, tedy přibližně o 1,8 % příjmu žadatele. </w:t>
      </w:r>
      <w:r w:rsidR="00A37C13" w:rsidRPr="006320CB">
        <w:rPr>
          <w:rFonts w:ascii="Calibri" w:hAnsi="Calibri" w:cs="Calibri"/>
          <w:b/>
          <w:bCs/>
          <w:color w:val="13576B"/>
          <w:sz w:val="22"/>
          <w:szCs w:val="22"/>
        </w:rPr>
        <w:t>Uvedené informace plynou z údajů ČBA Hypomonitoru, který zachycuje data všech tuzemských bank a stavebních spořitelen poskytujících hypoteční úvěry.</w:t>
      </w:r>
    </w:p>
    <w:p w14:paraId="0295C23B" w14:textId="46491265" w:rsidR="00B40FEB" w:rsidRDefault="00696748" w:rsidP="00A37C13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b/>
          <w:bCs/>
          <w:color w:val="13576B"/>
          <w:sz w:val="22"/>
          <w:szCs w:val="22"/>
        </w:rPr>
      </w:pPr>
      <w:r w:rsidRPr="00696748">
        <w:rPr>
          <w:rFonts w:ascii="Calibri" w:hAnsi="Calibri" w:cs="Calibri"/>
          <w:b/>
          <w:bCs/>
          <w:color w:val="13576B"/>
          <w:sz w:val="22"/>
          <w:szCs w:val="22"/>
        </w:rPr>
        <w:t xml:space="preserve">Pokud hypotéky udrží dynamiku z předcházejících čtyřech měsíců s výjimkou 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>extra silného července</w:t>
      </w:r>
      <w:r w:rsidRPr="00696748">
        <w:rPr>
          <w:rFonts w:ascii="Calibri" w:hAnsi="Calibri" w:cs="Calibri"/>
          <w:b/>
          <w:bCs/>
          <w:color w:val="13576B"/>
          <w:sz w:val="22"/>
          <w:szCs w:val="22"/>
        </w:rPr>
        <w:t>, pak by mohl objem nových hypoték bez refinancování v roce 2025 dosáhnout úrovně 301 miliard Kč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>, téměř o třetinu více než loni.</w:t>
      </w:r>
      <w:r w:rsidRPr="00696748">
        <w:rPr>
          <w:rFonts w:ascii="Calibri" w:hAnsi="Calibri" w:cs="Calibri"/>
          <w:b/>
          <w:bCs/>
          <w:color w:val="13576B"/>
          <w:sz w:val="22"/>
          <w:szCs w:val="22"/>
        </w:rPr>
        <w:t xml:space="preserve"> To je doprovázeno lepším odhadem počtu nových hypoték v letošním roce na úrovni 74,6 tisíc, což je nad průměrným odhadem ročního výsledku z předcházejících tří měsíců (72 tisíc kusů). </w:t>
      </w:r>
    </w:p>
    <w:p w14:paraId="65DC7611" w14:textId="3CCB972A" w:rsidR="00E013E3" w:rsidRDefault="00E013E3" w:rsidP="00425883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b/>
          <w:bCs/>
          <w:color w:val="13576B"/>
          <w:sz w:val="22"/>
          <w:szCs w:val="22"/>
        </w:rPr>
      </w:pPr>
      <w:r w:rsidRPr="006830CE">
        <w:rPr>
          <w:rFonts w:ascii="Calibri" w:hAnsi="Calibri" w:cs="Calibri"/>
          <w:b/>
          <w:bCs/>
          <w:color w:val="13576B"/>
          <w:sz w:val="22"/>
          <w:szCs w:val="22"/>
        </w:rPr>
        <w:t xml:space="preserve">Nová čísla nepřinášejí výraznější změnu v trendu. Hypoteční čísla tak budou asi nadále představovat proinflační riziko s dopadem na úrokovou politiku ČNB (2týdenní </w:t>
      </w:r>
      <w:proofErr w:type="spellStart"/>
      <w:r w:rsidRPr="006830CE">
        <w:rPr>
          <w:rFonts w:ascii="Calibri" w:hAnsi="Calibri" w:cs="Calibri"/>
          <w:b/>
          <w:bCs/>
          <w:color w:val="13576B"/>
          <w:sz w:val="22"/>
          <w:szCs w:val="22"/>
        </w:rPr>
        <w:t>repo</w:t>
      </w:r>
      <w:proofErr w:type="spellEnd"/>
      <w:r w:rsidRPr="006830CE">
        <w:rPr>
          <w:rFonts w:ascii="Calibri" w:hAnsi="Calibri" w:cs="Calibri"/>
          <w:b/>
          <w:bCs/>
          <w:color w:val="13576B"/>
          <w:sz w:val="22"/>
          <w:szCs w:val="22"/>
        </w:rPr>
        <w:t xml:space="preserve"> na 3,5 %)</w:t>
      </w:r>
      <w:r w:rsidR="006830CE" w:rsidRPr="006830CE">
        <w:rPr>
          <w:rFonts w:ascii="Calibri" w:hAnsi="Calibri" w:cs="Calibri"/>
          <w:b/>
          <w:bCs/>
          <w:color w:val="13576B"/>
          <w:sz w:val="22"/>
          <w:szCs w:val="22"/>
        </w:rPr>
        <w:t xml:space="preserve"> a </w:t>
      </w:r>
      <w:r w:rsidRPr="006830CE">
        <w:rPr>
          <w:rFonts w:ascii="Calibri" w:hAnsi="Calibri" w:cs="Calibri"/>
          <w:b/>
          <w:bCs/>
          <w:color w:val="13576B"/>
          <w:sz w:val="22"/>
          <w:szCs w:val="22"/>
        </w:rPr>
        <w:t xml:space="preserve">také pravděpodobně udrží netriviální diskusi nad nastavením </w:t>
      </w:r>
      <w:proofErr w:type="spellStart"/>
      <w:r w:rsidR="006830CE" w:rsidRPr="006830CE">
        <w:rPr>
          <w:rFonts w:ascii="Calibri" w:hAnsi="Calibri" w:cs="Calibri"/>
          <w:b/>
          <w:bCs/>
          <w:color w:val="13576B"/>
          <w:sz w:val="22"/>
          <w:szCs w:val="22"/>
        </w:rPr>
        <w:t>makroobezřetnostní</w:t>
      </w:r>
      <w:proofErr w:type="spellEnd"/>
      <w:r w:rsidR="006830CE" w:rsidRPr="006830CE">
        <w:rPr>
          <w:rFonts w:ascii="Calibri" w:hAnsi="Calibri" w:cs="Calibri"/>
          <w:b/>
          <w:bCs/>
          <w:color w:val="13576B"/>
          <w:sz w:val="22"/>
          <w:szCs w:val="22"/>
        </w:rPr>
        <w:t xml:space="preserve"> politiky, jejíž další rozhodnutí je naplánováno na </w:t>
      </w:r>
      <w:r w:rsidRPr="006830CE">
        <w:rPr>
          <w:rFonts w:ascii="Calibri" w:hAnsi="Calibri" w:cs="Calibri"/>
          <w:b/>
          <w:bCs/>
          <w:color w:val="13576B"/>
          <w:sz w:val="22"/>
          <w:szCs w:val="22"/>
        </w:rPr>
        <w:t>27. listopadu.</w:t>
      </w:r>
    </w:p>
    <w:p w14:paraId="5A8FA142" w14:textId="77777777" w:rsidR="00A37C13" w:rsidRPr="006320CB" w:rsidRDefault="00A37C13" w:rsidP="00425883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b/>
          <w:bCs/>
          <w:color w:val="13576B"/>
          <w:sz w:val="22"/>
          <w:szCs w:val="22"/>
        </w:rPr>
      </w:pPr>
    </w:p>
    <w:p w14:paraId="4A7C2A28" w14:textId="7176665A" w:rsidR="00425883" w:rsidRPr="002B35B7" w:rsidRDefault="00425883" w:rsidP="00425883">
      <w:pPr>
        <w:spacing w:before="240" w:after="120"/>
        <w:rPr>
          <w:rFonts w:ascii="Calibri" w:hAnsi="Calibri" w:cs="Calibri"/>
          <w:b/>
          <w:color w:val="13576B"/>
          <w:sz w:val="23"/>
          <w:szCs w:val="23"/>
        </w:rPr>
      </w:pPr>
      <w:r w:rsidRPr="003F159E">
        <w:rPr>
          <w:rFonts w:ascii="Calibri" w:hAnsi="Calibri" w:cs="Calibri"/>
          <w:b/>
          <w:color w:val="13576B"/>
          <w:sz w:val="23"/>
          <w:szCs w:val="23"/>
        </w:rPr>
        <w:t xml:space="preserve">Tabulka č. 1: Shrnutí objemu poskytnutých hypoték a průměrných úrokových sazeb za </w:t>
      </w:r>
      <w:r w:rsidR="00883A3C">
        <w:rPr>
          <w:rFonts w:ascii="Calibri" w:hAnsi="Calibri" w:cs="Calibri"/>
          <w:b/>
          <w:color w:val="13576B"/>
          <w:sz w:val="23"/>
          <w:szCs w:val="23"/>
        </w:rPr>
        <w:t>srpen</w:t>
      </w:r>
      <w:r>
        <w:rPr>
          <w:rFonts w:ascii="Calibri" w:hAnsi="Calibri" w:cs="Calibri"/>
          <w:b/>
          <w:color w:val="13576B"/>
          <w:sz w:val="23"/>
          <w:szCs w:val="23"/>
        </w:rPr>
        <w:t xml:space="preserve"> 2025 a za dosavadní průběh letošního roku</w:t>
      </w:r>
    </w:p>
    <w:tbl>
      <w:tblPr>
        <w:tblW w:w="95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1102"/>
        <w:gridCol w:w="960"/>
        <w:gridCol w:w="960"/>
        <w:gridCol w:w="242"/>
        <w:gridCol w:w="993"/>
        <w:gridCol w:w="850"/>
        <w:gridCol w:w="916"/>
      </w:tblGrid>
      <w:tr w:rsidR="00425883" w:rsidRPr="002138C0" w14:paraId="02897C33" w14:textId="77777777" w:rsidTr="003E009F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6A0B8A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22" w:type="dxa"/>
            <w:gridSpan w:val="3"/>
            <w:tcBorders>
              <w:top w:val="nil"/>
              <w:left w:val="nil"/>
            </w:tcBorders>
            <w:shd w:val="clear" w:color="000000" w:fill="FFFFFF"/>
            <w:vAlign w:val="bottom"/>
          </w:tcPr>
          <w:p w14:paraId="374959CA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měsíční hodnoty</w:t>
            </w:r>
          </w:p>
        </w:tc>
        <w:tc>
          <w:tcPr>
            <w:tcW w:w="242" w:type="dxa"/>
            <w:tcBorders>
              <w:top w:val="nil"/>
              <w:right w:val="nil"/>
            </w:tcBorders>
            <w:vAlign w:val="bottom"/>
          </w:tcPr>
          <w:p w14:paraId="14067E1E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5820EF4F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t>hodnoty od začátku roku</w:t>
            </w:r>
          </w:p>
        </w:tc>
      </w:tr>
      <w:tr w:rsidR="00425883" w:rsidRPr="002138C0" w14:paraId="4890C229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E637A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2D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 w:val="restart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B2CF1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Objem</w:t>
            </w: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>(mld. Kč)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8006D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Počet</w:t>
            </w:r>
          </w:p>
        </w:tc>
        <w:tc>
          <w:tcPr>
            <w:tcW w:w="960" w:type="dxa"/>
            <w:vMerge w:val="restar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6A53E93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Sazba</w:t>
            </w: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242" w:type="dxa"/>
            <w:tcBorders>
              <w:left w:val="nil"/>
              <w:right w:val="nil"/>
            </w:tcBorders>
            <w:vAlign w:val="bottom"/>
          </w:tcPr>
          <w:p w14:paraId="2C5E5350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39AEE999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t>Objem</w:t>
            </w: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br/>
              <w:t>(mld. Kč)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45BA4" w14:textId="77777777" w:rsidR="00425883" w:rsidRPr="00A06A94" w:rsidRDefault="00425883" w:rsidP="003E009F">
            <w:pPr>
              <w:overflowPunct/>
              <w:autoSpaceDE/>
              <w:autoSpaceDN/>
              <w:adjustRightInd/>
              <w:ind w:left="-73" w:firstLine="73"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t>Počet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bottom"/>
          </w:tcPr>
          <w:p w14:paraId="077C59E1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t>Sazba</w:t>
            </w: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br/>
              <w:t xml:space="preserve"> (%)</w:t>
            </w:r>
          </w:p>
        </w:tc>
      </w:tr>
      <w:tr w:rsidR="00425883" w:rsidRPr="002138C0" w14:paraId="58F15C0C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758C49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3D437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11A06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901C11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center"/>
          </w:tcPr>
          <w:p w14:paraId="3D918162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21D51D7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D9524A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136A8A9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</w:p>
        </w:tc>
      </w:tr>
      <w:tr w:rsidR="00883A3C" w:rsidRPr="002138C0" w14:paraId="0D319709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650D8E" w14:textId="77777777" w:rsidR="00883A3C" w:rsidRPr="00072DB9" w:rsidRDefault="00883A3C" w:rsidP="00883A3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5C838" w14:textId="1F9ECCA4" w:rsidR="00883A3C" w:rsidRPr="00072DB9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ED8B2" w14:textId="451A5A00" w:rsidR="00883A3C" w:rsidRPr="00072DB9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8 071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EC0207" w14:textId="308FE70A" w:rsidR="00883A3C" w:rsidRPr="00072DB9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4,52</w:t>
            </w: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bottom"/>
          </w:tcPr>
          <w:p w14:paraId="48168675" w14:textId="48CA9F5A" w:rsidR="00883A3C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10E06" w14:textId="3C9726F1" w:rsidR="00883A3C" w:rsidRPr="00A06A94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255,4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3B5A7" w14:textId="42E5EF09" w:rsidR="00883A3C" w:rsidRPr="00A06A94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63 989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8C875B" w14:textId="258D5D6A" w:rsidR="00883A3C" w:rsidRPr="00A06A94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4,61</w:t>
            </w:r>
          </w:p>
        </w:tc>
      </w:tr>
      <w:tr w:rsidR="00883A3C" w:rsidRPr="002138C0" w14:paraId="4CCF9803" w14:textId="77777777" w:rsidTr="00883A3C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bottom"/>
            <w:hideMark/>
          </w:tcPr>
          <w:p w14:paraId="427BFA1A" w14:textId="77777777" w:rsidR="00883A3C" w:rsidRPr="00072DB9" w:rsidRDefault="00883A3C" w:rsidP="00883A3C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Nové úvěry 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29369C60" w14:textId="6F70BA2E" w:rsidR="00883A3C" w:rsidRPr="00072DB9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25,9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2F19DC0D" w14:textId="64D37838" w:rsidR="00883A3C" w:rsidRPr="00072DB9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6 086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center"/>
            <w:hideMark/>
          </w:tcPr>
          <w:p w14:paraId="0E1BBC03" w14:textId="6B167571" w:rsidR="00883A3C" w:rsidRPr="00072DB9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4,52</w:t>
            </w:r>
          </w:p>
        </w:tc>
        <w:tc>
          <w:tcPr>
            <w:tcW w:w="242" w:type="dxa"/>
            <w:tcBorders>
              <w:left w:val="nil"/>
              <w:bottom w:val="nil"/>
              <w:right w:val="nil"/>
            </w:tcBorders>
            <w:vAlign w:val="bottom"/>
          </w:tcPr>
          <w:p w14:paraId="59087809" w14:textId="580EFAFB" w:rsidR="00883A3C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vAlign w:val="center"/>
          </w:tcPr>
          <w:p w14:paraId="34F1CCE8" w14:textId="33B74D76" w:rsidR="00883A3C" w:rsidRPr="00A06A94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808080"/>
                <w:sz w:val="22"/>
                <w:szCs w:val="22"/>
              </w:rPr>
              <w:t>205,6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solid" w:color="DAF3EA" w:fill="C1F7E9"/>
            <w:vAlign w:val="center"/>
          </w:tcPr>
          <w:p w14:paraId="3B4EBFBE" w14:textId="6061A0D8" w:rsidR="00883A3C" w:rsidRPr="00A06A94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808080"/>
                <w:sz w:val="22"/>
                <w:szCs w:val="22"/>
              </w:rPr>
              <w:t>49 737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solid" w:color="DAF3EA" w:fill="C1F7E9"/>
            <w:vAlign w:val="center"/>
          </w:tcPr>
          <w:p w14:paraId="571E9F3C" w14:textId="54B0116D" w:rsidR="00883A3C" w:rsidRPr="00A06A94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808080"/>
                <w:sz w:val="22"/>
                <w:szCs w:val="22"/>
              </w:rPr>
              <w:t>4,62</w:t>
            </w:r>
          </w:p>
        </w:tc>
      </w:tr>
      <w:tr w:rsidR="00883A3C" w:rsidRPr="002138C0" w14:paraId="7681A9A0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7956A" w14:textId="77777777" w:rsidR="00883A3C" w:rsidRPr="00072DB9" w:rsidRDefault="00883A3C" w:rsidP="00883A3C">
            <w:pPr>
              <w:overflowPunct/>
              <w:autoSpaceDE/>
              <w:autoSpaceDN/>
              <w:adjustRightInd/>
              <w:ind w:firstLineChars="200" w:firstLine="44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z toho: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BD3AE" w14:textId="737366BF" w:rsidR="00883A3C" w:rsidRPr="00072DB9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4A1B0" w14:textId="14CEA4B9" w:rsidR="00883A3C" w:rsidRPr="00072DB9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BB0DB" w14:textId="3981B323" w:rsidR="00883A3C" w:rsidRPr="00072DB9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CAC2F" w14:textId="129DDAA7" w:rsidR="00883A3C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964CC2" w14:textId="609B29B9" w:rsidR="00883A3C" w:rsidRPr="00A06A94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10B8577" w14:textId="7DE40873" w:rsidR="00883A3C" w:rsidRPr="00A06A94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20C2204" w14:textId="1A35D947" w:rsidR="00883A3C" w:rsidRPr="00A06A94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 </w:t>
            </w:r>
          </w:p>
        </w:tc>
      </w:tr>
      <w:tr w:rsidR="00883A3C" w:rsidRPr="002138C0" w14:paraId="044C41DA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5457A" w14:textId="77777777" w:rsidR="00883A3C" w:rsidRPr="00072DB9" w:rsidRDefault="00883A3C" w:rsidP="00883A3C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koupi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737F4" w14:textId="28062D13" w:rsidR="00883A3C" w:rsidRPr="00072DB9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A754B" w14:textId="4F81560E" w:rsidR="00883A3C" w:rsidRPr="00072DB9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4 784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27610" w14:textId="39A070C3" w:rsidR="00883A3C" w:rsidRPr="00072DB9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4,52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85060" w14:textId="7A72B6FE" w:rsidR="00883A3C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3F069C9" w14:textId="2C3C1585" w:rsidR="00883A3C" w:rsidRPr="00A06A94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164,2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91727F9" w14:textId="11E0BD2B" w:rsidR="00883A3C" w:rsidRPr="00A06A94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38 942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8656123" w14:textId="418BBABA" w:rsidR="00883A3C" w:rsidRPr="00A06A94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4,61</w:t>
            </w:r>
          </w:p>
        </w:tc>
      </w:tr>
      <w:tr w:rsidR="00883A3C" w:rsidRPr="002138C0" w14:paraId="2F24DA4A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6FC44" w14:textId="77777777" w:rsidR="00883A3C" w:rsidRPr="00072DB9" w:rsidRDefault="00883A3C" w:rsidP="00883A3C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výstavbu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8C61F" w14:textId="6964CCD0" w:rsidR="00883A3C" w:rsidRPr="00072DB9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57232" w14:textId="6746BCA6" w:rsidR="00883A3C" w:rsidRPr="00072DB9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AC752" w14:textId="285BE137" w:rsidR="00883A3C" w:rsidRPr="00072DB9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4,49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D88DB" w14:textId="72CEC404" w:rsidR="00883A3C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BD7FAE5" w14:textId="7A377F04" w:rsidR="00883A3C" w:rsidRPr="00A06A94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31,4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7C10C04" w14:textId="243369F5" w:rsidR="00883A3C" w:rsidRPr="00A06A94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7 797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3F6D3B8" w14:textId="0E09A14F" w:rsidR="00883A3C" w:rsidRPr="00A06A94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4,58</w:t>
            </w:r>
          </w:p>
        </w:tc>
      </w:tr>
      <w:tr w:rsidR="00883A3C" w:rsidRPr="002138C0" w14:paraId="6C466F00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D71550" w14:textId="77777777" w:rsidR="00883A3C" w:rsidRPr="00072DB9" w:rsidRDefault="00883A3C" w:rsidP="00883A3C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ostatní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95C07" w14:textId="5A4A5F79" w:rsidR="00883A3C" w:rsidRPr="00072DB9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C5AB3" w14:textId="3CD442AB" w:rsidR="00883A3C" w:rsidRPr="00072DB9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A05CEB" w14:textId="63FC309B" w:rsidR="00883A3C" w:rsidRPr="00072DB9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4,73</w:t>
            </w: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bottom"/>
          </w:tcPr>
          <w:p w14:paraId="6B197FAE" w14:textId="5554D7EC" w:rsidR="00883A3C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42E05" w14:textId="2DE0F1D2" w:rsidR="00883A3C" w:rsidRPr="00A06A94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660BD" w14:textId="707AF95A" w:rsidR="00883A3C" w:rsidRPr="00A06A94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2 998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FDA1437" w14:textId="44288FD6" w:rsidR="00883A3C" w:rsidRPr="00A06A94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4,82</w:t>
            </w:r>
          </w:p>
        </w:tc>
      </w:tr>
      <w:tr w:rsidR="00883A3C" w:rsidRPr="002138C0" w14:paraId="12035089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1D37ED" w14:textId="77777777" w:rsidR="00883A3C" w:rsidRPr="00072DB9" w:rsidRDefault="00883A3C" w:rsidP="00883A3C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z jiné instituce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772B7" w14:textId="4A99B91F" w:rsidR="00883A3C" w:rsidRPr="00072DB9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8945F" w14:textId="20DAB7A1" w:rsidR="00883A3C" w:rsidRPr="00072DB9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1 677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60DBB2" w14:textId="3D3A8595" w:rsidR="00883A3C" w:rsidRPr="00072DB9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4,50</w:t>
            </w: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bottom"/>
          </w:tcPr>
          <w:p w14:paraId="70D93E09" w14:textId="32ADEE8E" w:rsidR="00883A3C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DE192" w14:textId="487632E5" w:rsidR="00883A3C" w:rsidRPr="00A06A94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37315" w14:textId="73778C7C" w:rsidR="00883A3C" w:rsidRPr="00A06A94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11 710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D2CCAF" w14:textId="05C0EC2C" w:rsidR="00883A3C" w:rsidRPr="00A06A94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4,57</w:t>
            </w:r>
          </w:p>
        </w:tc>
      </w:tr>
      <w:tr w:rsidR="00883A3C" w:rsidRPr="002138C0" w14:paraId="01014CF0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354E05" w14:textId="77777777" w:rsidR="00883A3C" w:rsidRPr="00072DB9" w:rsidRDefault="00883A3C" w:rsidP="00883A3C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interně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, navýšené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EDCC6" w14:textId="5500AB26" w:rsidR="00883A3C" w:rsidRPr="00072DB9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8724A" w14:textId="061D8184" w:rsidR="00883A3C" w:rsidRPr="00072DB9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F58356" w14:textId="1EA14DF8" w:rsidR="00883A3C" w:rsidRPr="00072DB9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4,51</w:t>
            </w: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bottom"/>
          </w:tcPr>
          <w:p w14:paraId="05BC36DD" w14:textId="7A723ADA" w:rsidR="00883A3C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16DBD" w14:textId="7FA26EDE" w:rsidR="00883A3C" w:rsidRPr="00A06A94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9,3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BC102" w14:textId="09D8D14B" w:rsidR="00883A3C" w:rsidRPr="00A06A94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2 542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9818EE" w14:textId="3BF87FE8" w:rsidR="00883A3C" w:rsidRPr="00A06A94" w:rsidRDefault="00883A3C" w:rsidP="00883A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4,57</w:t>
            </w:r>
          </w:p>
        </w:tc>
      </w:tr>
      <w:tr w:rsidR="00425883" w:rsidRPr="002138C0" w14:paraId="6F1DAD0F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14AF0" w14:textId="77777777" w:rsidR="00425883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 w:rsidRPr="00072DB9">
              <w:rPr>
                <w:rFonts w:ascii="Calibri Light" w:hAnsi="Calibri Light" w:cs="Calibri Light"/>
                <w:color w:val="13576B"/>
                <w:sz w:val="20"/>
              </w:rPr>
              <w:t xml:space="preserve">Pramen: ČBA </w:t>
            </w:r>
            <w:proofErr w:type="spellStart"/>
            <w:r w:rsidRPr="00072DB9">
              <w:rPr>
                <w:rFonts w:ascii="Calibri Light" w:hAnsi="Calibri Light" w:cs="Calibri Light"/>
                <w:color w:val="13576B"/>
                <w:sz w:val="20"/>
              </w:rPr>
              <w:t>Hypomonitor</w:t>
            </w:r>
            <w:proofErr w:type="spellEnd"/>
          </w:p>
          <w:p w14:paraId="28D49210" w14:textId="77777777" w:rsidR="00425883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</w:p>
          <w:p w14:paraId="7DF4299E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D84A1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899A2" w14:textId="79BFB73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A867D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4D162A73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6761BB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1D289D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ABD52C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</w:tbl>
    <w:p w14:paraId="6B7D1662" w14:textId="77777777" w:rsidR="00677FE7" w:rsidRDefault="00677FE7" w:rsidP="002B35B7">
      <w:pPr>
        <w:spacing w:before="240" w:after="120"/>
        <w:rPr>
          <w:rFonts w:ascii="Calibri" w:hAnsi="Calibri" w:cs="Calibri"/>
          <w:b/>
          <w:color w:val="13576B"/>
          <w:sz w:val="23"/>
          <w:szCs w:val="23"/>
        </w:rPr>
      </w:pPr>
      <w:bookmarkStart w:id="2" w:name="_Hlk111121228"/>
      <w:bookmarkStart w:id="3" w:name="_Hlk119308742"/>
      <w:r>
        <w:rPr>
          <w:noProof/>
        </w:rPr>
        <w:lastRenderedPageBreak/>
        <w:drawing>
          <wp:inline distT="0" distB="0" distL="0" distR="0" wp14:anchorId="0719C90D" wp14:editId="15C73A37">
            <wp:extent cx="6480810" cy="5356860"/>
            <wp:effectExtent l="0" t="0" r="0" b="0"/>
            <wp:docPr id="230910793" name="Picture 1" descr="A chart with numbers and graph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910793" name="Picture 1" descr="A chart with numbers and graph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535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142AF" w14:textId="2AD630F6" w:rsidR="00E924A8" w:rsidRDefault="00677FE7" w:rsidP="002B35B7">
      <w:pPr>
        <w:spacing w:before="240" w:after="120"/>
        <w:rPr>
          <w:rFonts w:ascii="Calibri" w:hAnsi="Calibri" w:cs="Calibri"/>
          <w:b/>
          <w:color w:val="13576B"/>
          <w:sz w:val="23"/>
          <w:szCs w:val="23"/>
        </w:rPr>
      </w:pPr>
      <w:r>
        <w:rPr>
          <w:rFonts w:ascii="Calibri" w:hAnsi="Calibri" w:cs="Calibri"/>
          <w:b/>
          <w:color w:val="13576B"/>
          <w:sz w:val="23"/>
          <w:szCs w:val="23"/>
        </w:rPr>
        <w:t>Srpen</w:t>
      </w:r>
      <w:r w:rsidR="00E924A8" w:rsidRPr="00E924A8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 w:rsidR="00C82FE1">
        <w:rPr>
          <w:rFonts w:ascii="Calibri" w:hAnsi="Calibri" w:cs="Calibri"/>
          <w:b/>
          <w:color w:val="13576B"/>
          <w:sz w:val="23"/>
          <w:szCs w:val="23"/>
        </w:rPr>
        <w:t xml:space="preserve">překvapil </w:t>
      </w:r>
      <w:r>
        <w:rPr>
          <w:rFonts w:ascii="Calibri" w:hAnsi="Calibri" w:cs="Calibri"/>
          <w:b/>
          <w:color w:val="13576B"/>
          <w:sz w:val="23"/>
          <w:szCs w:val="23"/>
        </w:rPr>
        <w:t>s</w:t>
      </w:r>
      <w:r w:rsidR="00C82FE1">
        <w:rPr>
          <w:rFonts w:ascii="Calibri" w:hAnsi="Calibri" w:cs="Calibri"/>
          <w:b/>
          <w:color w:val="13576B"/>
          <w:sz w:val="23"/>
          <w:szCs w:val="23"/>
        </w:rPr>
        <w:t>ilným objemem nových hypoték</w:t>
      </w:r>
      <w:r>
        <w:rPr>
          <w:rFonts w:ascii="Calibri" w:hAnsi="Calibri" w:cs="Calibri"/>
          <w:b/>
          <w:color w:val="13576B"/>
          <w:sz w:val="23"/>
          <w:szCs w:val="23"/>
        </w:rPr>
        <w:t xml:space="preserve"> navzdory korekci po </w:t>
      </w:r>
      <w:r w:rsidR="00A37C13">
        <w:rPr>
          <w:rFonts w:ascii="Calibri" w:hAnsi="Calibri" w:cs="Calibri"/>
          <w:b/>
          <w:color w:val="13576B"/>
          <w:sz w:val="23"/>
          <w:szCs w:val="23"/>
        </w:rPr>
        <w:t>velice silném</w:t>
      </w:r>
      <w:r>
        <w:rPr>
          <w:rFonts w:ascii="Calibri" w:hAnsi="Calibri" w:cs="Calibri"/>
          <w:b/>
          <w:color w:val="13576B"/>
          <w:sz w:val="23"/>
          <w:szCs w:val="23"/>
        </w:rPr>
        <w:t xml:space="preserve"> červenci</w:t>
      </w:r>
      <w:r w:rsidR="00C82FE1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</w:p>
    <w:p w14:paraId="335DF589" w14:textId="7B1F2AE0" w:rsidR="00EA6103" w:rsidRPr="00A37C13" w:rsidRDefault="00EA6103" w:rsidP="002B35B7">
      <w:pPr>
        <w:spacing w:before="240" w:after="120"/>
        <w:rPr>
          <w:rFonts w:ascii="Calibri" w:hAnsi="Calibri" w:cs="Calibri"/>
          <w:color w:val="000000"/>
          <w:sz w:val="22"/>
          <w:szCs w:val="22"/>
        </w:rPr>
      </w:pPr>
      <w:r w:rsidRPr="00EA6103">
        <w:rPr>
          <w:rFonts w:ascii="Calibri" w:hAnsi="Calibri" w:cs="Calibri"/>
          <w:b/>
          <w:bCs/>
          <w:color w:val="000000"/>
          <w:sz w:val="22"/>
          <w:szCs w:val="22"/>
        </w:rPr>
        <w:t xml:space="preserve">V srpnu poskytly banky a stavební spořitelny skutečně nové hypoteční úvěry za 25,9 mld. Kč a k tomu klienti navíc refinancovali či navýšili své hypotéky v rozsahu 7,2 mld. Kč. </w:t>
      </w:r>
      <w:r w:rsidRPr="00EA6103">
        <w:rPr>
          <w:rFonts w:ascii="Calibri" w:hAnsi="Calibri" w:cs="Calibri"/>
          <w:color w:val="000000"/>
          <w:sz w:val="22"/>
          <w:szCs w:val="22"/>
        </w:rPr>
        <w:t>Oproti červenci tak nová hypoteční aktivita objemově klesla přibližně o 14 %, což částečně odpovídá sezónnímu vlivu</w:t>
      </w:r>
      <w:r w:rsidR="00A37C13">
        <w:rPr>
          <w:rFonts w:ascii="Calibri" w:hAnsi="Calibri" w:cs="Calibri"/>
          <w:color w:val="000000"/>
          <w:sz w:val="22"/>
          <w:szCs w:val="22"/>
        </w:rPr>
        <w:t xml:space="preserve">, ale jedná se především o korekci po silném červenci 30 miliardami nově poskytnutých hypoték. </w:t>
      </w:r>
      <w:r w:rsidRPr="00EA6103">
        <w:rPr>
          <w:rFonts w:ascii="Calibri" w:hAnsi="Calibri" w:cs="Calibri"/>
          <w:color w:val="000000"/>
          <w:sz w:val="22"/>
          <w:szCs w:val="22"/>
        </w:rPr>
        <w:t>Po sezónní úpravě přinesla srpnová čísla nových hypoték mírný pokles na 25,9 mld. Kč</w:t>
      </w:r>
      <w:r w:rsidR="00A37C13">
        <w:rPr>
          <w:rFonts w:ascii="Calibri" w:hAnsi="Calibri" w:cs="Calibri"/>
          <w:color w:val="000000"/>
          <w:sz w:val="22"/>
          <w:szCs w:val="22"/>
        </w:rPr>
        <w:t>. Ačkoliv je to</w:t>
      </w:r>
      <w:r w:rsidR="00F31596">
        <w:rPr>
          <w:rFonts w:ascii="Calibri" w:hAnsi="Calibri" w:cs="Calibri"/>
          <w:color w:val="000000"/>
          <w:sz w:val="22"/>
          <w:szCs w:val="22"/>
        </w:rPr>
        <w:t xml:space="preserve"> o</w:t>
      </w:r>
      <w:r w:rsidR="00A37C1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A6103">
        <w:rPr>
          <w:rFonts w:ascii="Calibri" w:hAnsi="Calibri" w:cs="Calibri"/>
          <w:color w:val="000000"/>
          <w:sz w:val="22"/>
          <w:szCs w:val="22"/>
        </w:rPr>
        <w:t>11</w:t>
      </w:r>
      <w:r w:rsidR="00A37C1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A6103">
        <w:rPr>
          <w:rFonts w:ascii="Calibri" w:hAnsi="Calibri" w:cs="Calibri"/>
          <w:color w:val="000000"/>
          <w:sz w:val="22"/>
          <w:szCs w:val="22"/>
        </w:rPr>
        <w:t xml:space="preserve">% </w:t>
      </w:r>
      <w:r w:rsidR="00F31596">
        <w:rPr>
          <w:rFonts w:ascii="Calibri" w:hAnsi="Calibri" w:cs="Calibri"/>
          <w:color w:val="000000"/>
          <w:sz w:val="22"/>
          <w:szCs w:val="22"/>
        </w:rPr>
        <w:t>méně</w:t>
      </w:r>
      <w:r w:rsidR="00A37C13">
        <w:rPr>
          <w:rFonts w:ascii="Calibri" w:hAnsi="Calibri" w:cs="Calibri"/>
          <w:color w:val="000000"/>
          <w:sz w:val="22"/>
          <w:szCs w:val="22"/>
        </w:rPr>
        <w:t xml:space="preserve"> ve srovnání </w:t>
      </w:r>
      <w:r w:rsidRPr="00EA6103">
        <w:rPr>
          <w:rFonts w:ascii="Calibri" w:hAnsi="Calibri" w:cs="Calibri"/>
          <w:color w:val="000000"/>
          <w:sz w:val="22"/>
          <w:szCs w:val="22"/>
        </w:rPr>
        <w:t>s červencovými 29,3 mld.</w:t>
      </w:r>
      <w:r w:rsidR="00A37C13">
        <w:rPr>
          <w:rFonts w:ascii="Calibri" w:hAnsi="Calibri" w:cs="Calibri"/>
          <w:color w:val="000000"/>
          <w:sz w:val="22"/>
          <w:szCs w:val="22"/>
        </w:rPr>
        <w:t>, tak se jedná o druhý nejsilnější letošní měsíc</w:t>
      </w:r>
      <w:r w:rsidRPr="00EA6103">
        <w:rPr>
          <w:rFonts w:ascii="Calibri" w:hAnsi="Calibri" w:cs="Calibri"/>
          <w:color w:val="000000"/>
          <w:sz w:val="22"/>
          <w:szCs w:val="22"/>
        </w:rPr>
        <w:t xml:space="preserve">. Objem nově poskytnutých hypoték se v srpnu dostal na přibližně o 57 % vyšší úroveň ve srovnání s první polovinou minulého roku. V meziročním vyjádření růst objemu poskytnutých hypoték v srpnu zvolnil na 1 % z červencových 53 % po </w:t>
      </w:r>
      <w:proofErr w:type="gramStart"/>
      <w:r w:rsidRPr="00EA6103">
        <w:rPr>
          <w:rFonts w:ascii="Calibri" w:hAnsi="Calibri" w:cs="Calibri"/>
          <w:color w:val="000000"/>
          <w:sz w:val="22"/>
          <w:szCs w:val="22"/>
        </w:rPr>
        <w:t>83%</w:t>
      </w:r>
      <w:proofErr w:type="gramEnd"/>
      <w:r w:rsidRPr="00EA6103">
        <w:rPr>
          <w:rFonts w:ascii="Calibri" w:hAnsi="Calibri" w:cs="Calibri"/>
          <w:color w:val="000000"/>
          <w:sz w:val="22"/>
          <w:szCs w:val="22"/>
        </w:rPr>
        <w:t xml:space="preserve"> meziročním nárůstu v minulém roce</w:t>
      </w:r>
      <w:r w:rsidR="00A37C13">
        <w:rPr>
          <w:rFonts w:ascii="Calibri" w:hAnsi="Calibri" w:cs="Calibri"/>
          <w:color w:val="000000"/>
          <w:sz w:val="22"/>
          <w:szCs w:val="22"/>
        </w:rPr>
        <w:t>, což odráží silné předzásobení hypoték v srpnu loňského roku z </w:t>
      </w:r>
      <w:r w:rsidR="00A37C13" w:rsidRPr="00A37C13">
        <w:rPr>
          <w:rFonts w:ascii="Calibri" w:hAnsi="Calibri" w:cs="Calibri"/>
          <w:color w:val="000000"/>
          <w:sz w:val="22"/>
          <w:szCs w:val="22"/>
        </w:rPr>
        <w:t>důvodu novely zákona upravující podmínky předčasného splacení hypotečního úvěru. </w:t>
      </w:r>
    </w:p>
    <w:p w14:paraId="1FB45B18" w14:textId="75BCDCDE" w:rsidR="00452B0E" w:rsidRPr="005D5C76" w:rsidRDefault="00452B0E" w:rsidP="00452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i/>
          <w:iCs/>
          <w:sz w:val="22"/>
          <w:szCs w:val="22"/>
        </w:rPr>
      </w:pPr>
      <w:r w:rsidRPr="002F6A6D">
        <w:rPr>
          <w:rFonts w:ascii="Calibri" w:hAnsi="Calibri" w:cs="Calibri"/>
          <w:i/>
          <w:iCs/>
          <w:color w:val="000000" w:themeColor="text1"/>
          <w:sz w:val="22"/>
          <w:szCs w:val="22"/>
        </w:rPr>
        <w:t>„</w:t>
      </w:r>
      <w:r w:rsidR="002F6A6D" w:rsidRPr="002F6A6D">
        <w:rPr>
          <w:rFonts w:ascii="Calibri" w:hAnsi="Calibri" w:cs="Calibri"/>
          <w:i/>
          <w:iCs/>
          <w:color w:val="000000" w:themeColor="text1"/>
          <w:sz w:val="22"/>
          <w:szCs w:val="22"/>
        </w:rPr>
        <w:t>Na rozdíl od předchozích let se během prázdninových měsíců trh nepropadl, naopak pokračuje v růstu. Zvyšuje se také podíl refinancovaných hypoték, což odpovídá aktuálnímu refinančnímu potenciálu na trhu</w:t>
      </w:r>
      <w:r w:rsidRPr="002F6A6D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,“ </w:t>
      </w:r>
      <w:r w:rsidR="002F6A6D" w:rsidRPr="002F6A6D">
        <w:rPr>
          <w:rFonts w:ascii="Calibri" w:hAnsi="Calibri" w:cs="Calibri"/>
          <w:color w:val="000000" w:themeColor="text1"/>
          <w:sz w:val="22"/>
          <w:szCs w:val="22"/>
        </w:rPr>
        <w:t>doplňuje</w:t>
      </w:r>
      <w:r w:rsidR="00CB2E9C" w:rsidRPr="002F6A6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F6A6D" w:rsidRPr="002F6A6D">
        <w:rPr>
          <w:rFonts w:ascii="Calibri" w:hAnsi="Calibri" w:cs="Calibri"/>
          <w:b/>
          <w:bCs/>
          <w:color w:val="000000" w:themeColor="text1"/>
          <w:sz w:val="22"/>
          <w:szCs w:val="22"/>
        </w:rPr>
        <w:t>Marek Richter</w:t>
      </w:r>
      <w:r w:rsidR="0017486D" w:rsidRPr="002F6A6D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2F6A6D" w:rsidRPr="002F6A6D">
        <w:rPr>
          <w:rFonts w:ascii="Calibri" w:hAnsi="Calibri" w:cs="Calibri"/>
          <w:b/>
          <w:bCs/>
          <w:sz w:val="22"/>
          <w:szCs w:val="22"/>
        </w:rPr>
        <w:t xml:space="preserve">vedoucí hypotečních služeb Air </w:t>
      </w:r>
      <w:r w:rsidR="002F6A6D" w:rsidRPr="005D5C76">
        <w:rPr>
          <w:rFonts w:ascii="Calibri" w:hAnsi="Calibri" w:cs="Calibri"/>
          <w:b/>
          <w:bCs/>
          <w:sz w:val="22"/>
          <w:szCs w:val="22"/>
        </w:rPr>
        <w:t>Bank</w:t>
      </w:r>
      <w:r w:rsidR="00CB2E9C" w:rsidRPr="005D5C76">
        <w:rPr>
          <w:rFonts w:ascii="Calibri" w:eastAsia="Calibri" w:hAnsi="Calibri" w:cs="Calibri"/>
          <w:i/>
          <w:iCs/>
          <w:sz w:val="22"/>
          <w:szCs w:val="22"/>
        </w:rPr>
        <w:t>.</w:t>
      </w:r>
      <w:r w:rsidR="0020488B" w:rsidRPr="005D5C76">
        <w:rPr>
          <w:rFonts w:ascii="Calibri" w:eastAsia="Calibri" w:hAnsi="Calibri" w:cs="Calibri"/>
          <w:sz w:val="22"/>
          <w:szCs w:val="22"/>
        </w:rPr>
        <w:t xml:space="preserve"> </w:t>
      </w:r>
    </w:p>
    <w:p w14:paraId="59AE9726" w14:textId="41E4DE9B" w:rsidR="00B40FEB" w:rsidRDefault="006228C3" w:rsidP="006228C3">
      <w:pPr>
        <w:spacing w:before="120" w:after="12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Poč</w:t>
      </w:r>
      <w:r w:rsidRPr="00EA610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et </w:t>
      </w:r>
      <w:r w:rsidR="0050674F" w:rsidRPr="00EA610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nových </w:t>
      </w:r>
      <w:r w:rsidRPr="00EA610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hypoték </w:t>
      </w:r>
      <w:r w:rsidR="00EA6103" w:rsidRPr="00EA610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se rovněž drží vysoko navzdory srpnové korekci a je na cestě letos překonat </w:t>
      </w:r>
      <w:r w:rsidRPr="00EA6103">
        <w:rPr>
          <w:rFonts w:ascii="Calibri" w:hAnsi="Calibri" w:cs="Calibri"/>
          <w:b/>
          <w:bCs/>
          <w:color w:val="000000" w:themeColor="text1"/>
          <w:sz w:val="22"/>
          <w:szCs w:val="22"/>
        </w:rPr>
        <w:t>úrov</w:t>
      </w:r>
      <w:r w:rsidR="00EA6103" w:rsidRPr="00EA610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eň </w:t>
      </w:r>
      <w:r w:rsidR="00E924A8" w:rsidRPr="00EA610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z </w:t>
      </w:r>
      <w:r w:rsidRPr="00EA610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roku 2019. </w:t>
      </w:r>
      <w:r w:rsidR="00EA6103" w:rsidRPr="00EA6103">
        <w:rPr>
          <w:rFonts w:ascii="Calibri" w:hAnsi="Calibri" w:cs="Calibri"/>
          <w:color w:val="000000" w:themeColor="text1"/>
          <w:sz w:val="22"/>
          <w:szCs w:val="22"/>
        </w:rPr>
        <w:t>Počet nových hypoték v srpnu poklesl o 13 % meziměsíčně na 6 086 kusů, což je o 6 % méně než před rokem. Odhadujeme, že po sezónním očištění se jejich počet pohybuje okolo 6</w:t>
      </w:r>
      <w:r w:rsidR="00A37C13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EA6103" w:rsidRPr="00EA6103">
        <w:rPr>
          <w:rFonts w:ascii="Calibri" w:hAnsi="Calibri" w:cs="Calibri"/>
          <w:color w:val="000000" w:themeColor="text1"/>
          <w:sz w:val="22"/>
          <w:szCs w:val="22"/>
        </w:rPr>
        <w:t>178</w:t>
      </w:r>
      <w:r w:rsidR="00A37C13">
        <w:rPr>
          <w:rFonts w:ascii="Calibri" w:hAnsi="Calibri" w:cs="Calibri"/>
          <w:color w:val="000000" w:themeColor="text1"/>
          <w:sz w:val="22"/>
          <w:szCs w:val="22"/>
        </w:rPr>
        <w:t xml:space="preserve">. Ačkoliv je to menší počet než téměř 7 tisíc </w:t>
      </w:r>
      <w:r w:rsidR="00A37C13" w:rsidRPr="00B40FEB">
        <w:rPr>
          <w:rFonts w:ascii="Calibri" w:hAnsi="Calibri" w:cs="Calibri"/>
          <w:color w:val="000000" w:themeColor="text1"/>
          <w:sz w:val="22"/>
          <w:szCs w:val="22"/>
        </w:rPr>
        <w:t xml:space="preserve">zaznamenaných v červenci, tak se srpnový počet podělil s březnem o druhou až třetí příčku za letošní rok. </w:t>
      </w:r>
      <w:r w:rsidR="00EA6103" w:rsidRPr="00B40FEB">
        <w:rPr>
          <w:rFonts w:ascii="Calibri" w:hAnsi="Calibri" w:cs="Calibri"/>
          <w:color w:val="000000" w:themeColor="text1"/>
          <w:sz w:val="22"/>
          <w:szCs w:val="22"/>
        </w:rPr>
        <w:t xml:space="preserve">Od počátku roku dosáhl počet nových hypoték 49,7 tisíc kusů (+25,5 % meziročně). Dynamika počtu nových hypoték v posledních </w:t>
      </w:r>
      <w:r w:rsidR="00B40FEB" w:rsidRPr="00B40FEB">
        <w:rPr>
          <w:rFonts w:ascii="Calibri" w:hAnsi="Calibri" w:cs="Calibri"/>
          <w:color w:val="000000" w:themeColor="text1"/>
          <w:sz w:val="22"/>
          <w:szCs w:val="22"/>
        </w:rPr>
        <w:t>čtyřech</w:t>
      </w:r>
      <w:r w:rsidR="00EA6103" w:rsidRPr="00B40FEB">
        <w:rPr>
          <w:rFonts w:ascii="Calibri" w:hAnsi="Calibri" w:cs="Calibri"/>
          <w:color w:val="000000" w:themeColor="text1"/>
          <w:sz w:val="22"/>
          <w:szCs w:val="22"/>
        </w:rPr>
        <w:t xml:space="preserve"> měsících </w:t>
      </w:r>
      <w:r w:rsidR="00B40FEB" w:rsidRPr="00B40FEB">
        <w:rPr>
          <w:rFonts w:ascii="Calibri" w:hAnsi="Calibri" w:cs="Calibri"/>
          <w:color w:val="000000" w:themeColor="text1"/>
          <w:sz w:val="22"/>
          <w:szCs w:val="22"/>
        </w:rPr>
        <w:t xml:space="preserve">bez silného července </w:t>
      </w:r>
      <w:r w:rsidR="00EA6103" w:rsidRPr="00B40FEB">
        <w:rPr>
          <w:rFonts w:ascii="Calibri" w:hAnsi="Calibri" w:cs="Calibri"/>
          <w:color w:val="000000" w:themeColor="text1"/>
          <w:sz w:val="22"/>
          <w:szCs w:val="22"/>
        </w:rPr>
        <w:t xml:space="preserve">implikuje jejich </w:t>
      </w:r>
      <w:r w:rsidR="00B40FEB" w:rsidRPr="00B40FEB">
        <w:rPr>
          <w:rFonts w:ascii="Calibri" w:hAnsi="Calibri" w:cs="Calibri"/>
          <w:color w:val="000000" w:themeColor="text1"/>
          <w:sz w:val="22"/>
          <w:szCs w:val="22"/>
        </w:rPr>
        <w:t>letošní nárůst na celkový počet okolo 74,6 tisíc, což by bylo téměř o 21 % více než v loňském roce a poblíž 72 tisícům z roku 2019.</w:t>
      </w:r>
    </w:p>
    <w:p w14:paraId="1F836867" w14:textId="3D01A011" w:rsidR="00B40FEB" w:rsidRDefault="005070EC" w:rsidP="00B40FEB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5070EC">
        <w:rPr>
          <w:rFonts w:ascii="Calibri" w:hAnsi="Calibri" w:cs="Calibri"/>
          <w:i/>
          <w:iCs/>
          <w:sz w:val="22"/>
          <w:szCs w:val="22"/>
        </w:rPr>
        <w:t xml:space="preserve">„Navzdory korekci zůstala srpnová aktivita druhá nejsilnější v letošním roce, a to jak počtem, tak objemem. Hranice tří set miliard korun nově poskytnutých hypoték se tak pro letošní rok přibližuje,“ domnívá se </w:t>
      </w:r>
      <w:r w:rsidRPr="007F54A0">
        <w:rPr>
          <w:rFonts w:ascii="Calibri" w:hAnsi="Calibri" w:cs="Calibri"/>
          <w:b/>
          <w:bCs/>
          <w:i/>
          <w:iCs/>
          <w:sz w:val="22"/>
          <w:szCs w:val="22"/>
        </w:rPr>
        <w:t>Jaromír Šindel, hlavní ekonom České bankovní asociace</w:t>
      </w:r>
      <w:r w:rsidRPr="005070EC">
        <w:rPr>
          <w:rFonts w:ascii="Calibri" w:hAnsi="Calibri" w:cs="Calibri"/>
          <w:i/>
          <w:iCs/>
          <w:sz w:val="22"/>
          <w:szCs w:val="22"/>
        </w:rPr>
        <w:t>.</w:t>
      </w:r>
    </w:p>
    <w:p w14:paraId="41B8EC1D" w14:textId="2EDED606" w:rsidR="00D24B00" w:rsidRPr="00D24B00" w:rsidRDefault="00893E0C" w:rsidP="00D24B00">
      <w:pPr>
        <w:rPr>
          <w:rFonts w:ascii="Calibri" w:hAnsi="Calibri" w:cs="Calibri"/>
          <w:b/>
          <w:color w:val="EE0000"/>
          <w:sz w:val="24"/>
          <w:szCs w:val="24"/>
        </w:r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277397">
        <w:rPr>
          <w:rFonts w:ascii="Calibri" w:hAnsi="Calibri" w:cs="Calibri"/>
          <w:b/>
          <w:color w:val="13576B"/>
          <w:sz w:val="23"/>
          <w:szCs w:val="23"/>
        </w:rPr>
        <w:t>1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: </w:t>
      </w:r>
      <w:r w:rsidR="00277397">
        <w:rPr>
          <w:rFonts w:ascii="Calibri" w:hAnsi="Calibri" w:cs="Calibri"/>
          <w:b/>
          <w:color w:val="13576B"/>
          <w:sz w:val="23"/>
          <w:szCs w:val="23"/>
        </w:rPr>
        <w:t xml:space="preserve">Nově </w:t>
      </w:r>
      <w:r w:rsidR="00277397" w:rsidRPr="00395026">
        <w:rPr>
          <w:rFonts w:ascii="Calibri" w:hAnsi="Calibri" w:cs="Calibri"/>
          <w:b/>
          <w:color w:val="13576B"/>
          <w:sz w:val="23"/>
          <w:szCs w:val="23"/>
        </w:rPr>
        <w:t>poskytnuté hypotéky bez refinancování</w:t>
      </w:r>
      <w:r w:rsidR="00D24B00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</w:p>
    <w:p w14:paraId="3A211631" w14:textId="2550FBF6" w:rsidR="00EA6103" w:rsidRPr="00EA6103" w:rsidRDefault="00EA6103" w:rsidP="00EA6103">
      <w:pPr>
        <w:rPr>
          <w:rFonts w:ascii="Calibri" w:hAnsi="Calibri" w:cs="Calibri"/>
          <w:bCs/>
          <w:i/>
          <w:iCs/>
          <w:color w:val="EE0000"/>
          <w:sz w:val="23"/>
          <w:szCs w:val="23"/>
        </w:rPr>
      </w:pPr>
      <w:r w:rsidRPr="00EA6103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V srpnu 2025 poskytly banky a stavební spořitelny nové hypotéky za 25,9 miliardy Kč, což zůstává velmi silné číslo navzdory korekci po silnějším červenci. </w:t>
      </w:r>
    </w:p>
    <w:p w14:paraId="4CCB83B3" w14:textId="6C445C07" w:rsidR="00893E0C" w:rsidRDefault="00EA6103" w:rsidP="00237E0B">
      <w:pPr>
        <w:spacing w:before="120" w:after="12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A6103">
        <w:rPr>
          <w:rFonts w:ascii="Calibri" w:hAnsi="Calibri" w:cs="Calibri"/>
          <w:b/>
          <w:bCs/>
          <w:noProof/>
          <w:color w:val="000000"/>
          <w:sz w:val="22"/>
          <w:szCs w:val="22"/>
        </w:rPr>
        <w:drawing>
          <wp:inline distT="0" distB="0" distL="0" distR="0" wp14:anchorId="710BD509" wp14:editId="2C8B04D0">
            <wp:extent cx="5875655" cy="3807460"/>
            <wp:effectExtent l="0" t="0" r="0" b="2540"/>
            <wp:docPr id="187495390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655" cy="380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56E65" w14:textId="0C9E85D9" w:rsidR="00893E0C" w:rsidRDefault="00277397" w:rsidP="00237E0B">
      <w:pPr>
        <w:spacing w:before="120" w:after="12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77397">
        <w:rPr>
          <w:rFonts w:ascii="Calibri Light" w:hAnsi="Calibri Light" w:cs="Calibri Light"/>
          <w:color w:val="13576B"/>
          <w:sz w:val="20"/>
        </w:rPr>
        <w:t xml:space="preserve">Pramen: ČNB, ČBA </w:t>
      </w:r>
      <w:proofErr w:type="spellStart"/>
      <w:r w:rsidRPr="00277397">
        <w:rPr>
          <w:rFonts w:ascii="Calibri Light" w:hAnsi="Calibri Light" w:cs="Calibri Light"/>
          <w:color w:val="13576B"/>
          <w:sz w:val="20"/>
        </w:rPr>
        <w:t>Hypomonitor</w:t>
      </w:r>
      <w:proofErr w:type="spellEnd"/>
      <w:r w:rsidRPr="00277397">
        <w:rPr>
          <w:rFonts w:ascii="Calibri Light" w:hAnsi="Calibri Light" w:cs="Calibri Light"/>
          <w:color w:val="13576B"/>
          <w:sz w:val="20"/>
        </w:rPr>
        <w:t xml:space="preserve"> (před rokem 2020 jsou objemy ze statistiky ČNB).</w:t>
      </w:r>
    </w:p>
    <w:bookmarkEnd w:id="1"/>
    <w:bookmarkEnd w:id="2"/>
    <w:bookmarkEnd w:id="3"/>
    <w:p w14:paraId="30B6542C" w14:textId="35697B0C" w:rsidR="00541D7D" w:rsidRDefault="00B40FEB" w:rsidP="0020488B">
      <w:pPr>
        <w:rPr>
          <w:rFonts w:ascii="Calibri" w:hAnsi="Calibri" w:cs="Calibri"/>
          <w:color w:val="000000"/>
          <w:sz w:val="22"/>
          <w:szCs w:val="22"/>
        </w:rPr>
      </w:pPr>
      <w:r w:rsidRPr="00B40FEB">
        <w:rPr>
          <w:rFonts w:ascii="Calibri" w:hAnsi="Calibri" w:cs="Calibri"/>
          <w:b/>
          <w:bCs/>
          <w:color w:val="000000"/>
          <w:sz w:val="22"/>
          <w:szCs w:val="22"/>
        </w:rPr>
        <w:t xml:space="preserve">Větší poměr refinancovaných úvěrů odpovídá současnému trendu a bude pravděpodobně sílit. </w:t>
      </w:r>
      <w:r w:rsidR="00883A3C" w:rsidRPr="00883A3C">
        <w:rPr>
          <w:rFonts w:ascii="Calibri" w:hAnsi="Calibri" w:cs="Calibri"/>
          <w:color w:val="000000"/>
          <w:sz w:val="22"/>
          <w:szCs w:val="22"/>
        </w:rPr>
        <w:t>Objem refinancovaných a navýšených úvěrů (interně či z jiné instituce) v srpnu poklesl na 7,2 mld. Kč.</w:t>
      </w:r>
      <w:r>
        <w:rPr>
          <w:rFonts w:ascii="Calibri" w:hAnsi="Calibri" w:cs="Calibri"/>
          <w:color w:val="000000"/>
          <w:sz w:val="22"/>
          <w:szCs w:val="22"/>
        </w:rPr>
        <w:t xml:space="preserve"> I tak je to </w:t>
      </w:r>
      <w:r w:rsidR="00883A3C" w:rsidRPr="00883A3C">
        <w:rPr>
          <w:rFonts w:ascii="Calibri" w:hAnsi="Calibri" w:cs="Calibri"/>
          <w:color w:val="000000"/>
          <w:sz w:val="22"/>
          <w:szCs w:val="22"/>
        </w:rPr>
        <w:t xml:space="preserve">o 84 % více než průměrných 3,9 miliardy refinancovaných v loňském roce a </w:t>
      </w:r>
      <w:r>
        <w:rPr>
          <w:rFonts w:ascii="Calibri" w:hAnsi="Calibri" w:cs="Calibri"/>
          <w:color w:val="000000"/>
          <w:sz w:val="22"/>
          <w:szCs w:val="22"/>
        </w:rPr>
        <w:t xml:space="preserve">více než dvojnásobek v porovnání s </w:t>
      </w:r>
      <w:r w:rsidR="00883A3C" w:rsidRPr="00883A3C">
        <w:rPr>
          <w:rFonts w:ascii="Calibri" w:hAnsi="Calibri" w:cs="Calibri"/>
          <w:color w:val="000000"/>
          <w:sz w:val="22"/>
          <w:szCs w:val="22"/>
        </w:rPr>
        <w:t xml:space="preserve">2,2 miliardami refinancovanými v roce 2023. Podíl refinancovaných úvěrů na celkovém objemu poskytnutých hypoték pak vzrostl na </w:t>
      </w:r>
      <w:r>
        <w:rPr>
          <w:rFonts w:ascii="Calibri" w:hAnsi="Calibri" w:cs="Calibri"/>
          <w:color w:val="000000"/>
          <w:sz w:val="22"/>
          <w:szCs w:val="22"/>
        </w:rPr>
        <w:t>téměř 22</w:t>
      </w:r>
      <w:r w:rsidR="00883A3C" w:rsidRPr="00883A3C">
        <w:rPr>
          <w:rFonts w:ascii="Calibri" w:hAnsi="Calibri" w:cs="Calibri"/>
          <w:color w:val="000000"/>
          <w:sz w:val="22"/>
          <w:szCs w:val="22"/>
        </w:rPr>
        <w:t xml:space="preserve"> %, což je nad loňským průměrem </w:t>
      </w:r>
      <w:r>
        <w:rPr>
          <w:rFonts w:ascii="Calibri" w:hAnsi="Calibri" w:cs="Calibri"/>
          <w:color w:val="000000"/>
          <w:sz w:val="22"/>
          <w:szCs w:val="22"/>
        </w:rPr>
        <w:t>17</w:t>
      </w:r>
      <w:r w:rsidR="00883A3C" w:rsidRPr="00883A3C">
        <w:rPr>
          <w:rFonts w:ascii="Calibri" w:hAnsi="Calibri" w:cs="Calibri"/>
          <w:color w:val="000000"/>
          <w:sz w:val="22"/>
          <w:szCs w:val="22"/>
        </w:rPr>
        <w:t xml:space="preserve"> %</w:t>
      </w:r>
      <w:r>
        <w:rPr>
          <w:rFonts w:ascii="Calibri" w:hAnsi="Calibri" w:cs="Calibri"/>
          <w:color w:val="000000"/>
          <w:sz w:val="22"/>
          <w:szCs w:val="22"/>
        </w:rPr>
        <w:t xml:space="preserve">. Ačkoliv se nachází i </w:t>
      </w:r>
      <w:r w:rsidR="00883A3C" w:rsidRPr="00883A3C">
        <w:rPr>
          <w:rFonts w:ascii="Calibri" w:hAnsi="Calibri" w:cs="Calibri"/>
          <w:color w:val="000000"/>
          <w:sz w:val="22"/>
          <w:szCs w:val="22"/>
        </w:rPr>
        <w:t>nad 17,2% podílem z let 2022-2023, ovšem stále pod téměř 29% podílem z období 2020-2021, kdy domácnosti refinancovaly za hypoteční sazbu 2,14 %. V srpnu 2025 se domácnosti refinancovaly za úrokovou sazbu 4,5 %, což je ovšem stále o výrazných 0,41 % bodu méně než 4,91 % před rokem.</w:t>
      </w:r>
    </w:p>
    <w:p w14:paraId="3C323A5B" w14:textId="77777777" w:rsidR="00883A3C" w:rsidRPr="00F94C20" w:rsidRDefault="00883A3C" w:rsidP="0020488B">
      <w:pPr>
        <w:rPr>
          <w:rFonts w:ascii="Calibri" w:hAnsi="Calibri" w:cs="Calibri"/>
          <w:color w:val="FF0000"/>
          <w:sz w:val="22"/>
          <w:szCs w:val="22"/>
        </w:rPr>
      </w:pPr>
    </w:p>
    <w:p w14:paraId="390AC053" w14:textId="1311B94C" w:rsidR="00B40FEB" w:rsidRDefault="00883A3C" w:rsidP="00B40FEB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883A3C">
        <w:rPr>
          <w:rFonts w:ascii="Calibri" w:hAnsi="Calibri" w:cs="Calibri"/>
          <w:color w:val="000000"/>
          <w:sz w:val="22"/>
          <w:szCs w:val="22"/>
        </w:rPr>
        <w:lastRenderedPageBreak/>
        <w:t>Celkově tak banky a stavební spořitelny v srpnu poskytly nové a refinancované hypotéky v objemu 33,1 mld. Kč, což je o 12,3 % méně než před měsícem. Jejich celkový objem tak v letošním roce prozatím dosáhl 255 mld. Kč, což představuje 46% nárůst ve srovnání</w:t>
      </w:r>
      <w:r w:rsidR="005070EC">
        <w:rPr>
          <w:rFonts w:ascii="Calibri" w:hAnsi="Calibri" w:cs="Calibri"/>
          <w:color w:val="000000"/>
          <w:sz w:val="22"/>
          <w:szCs w:val="22"/>
        </w:rPr>
        <w:t xml:space="preserve"> s </w:t>
      </w:r>
      <w:r w:rsidRPr="00883A3C">
        <w:rPr>
          <w:rFonts w:ascii="Calibri" w:hAnsi="Calibri" w:cs="Calibri"/>
          <w:color w:val="000000"/>
          <w:sz w:val="22"/>
          <w:szCs w:val="22"/>
        </w:rPr>
        <w:t>lednem až srpnem předcházejícího roku.</w:t>
      </w:r>
    </w:p>
    <w:p w14:paraId="3D3D9E06" w14:textId="77777777" w:rsidR="00B40FEB" w:rsidRDefault="00B40FEB" w:rsidP="00B40FEB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5A1704D2" w14:textId="2943C222" w:rsidR="009A044E" w:rsidRDefault="009A044E" w:rsidP="009A044E">
      <w:pPr>
        <w:rPr>
          <w:rFonts w:ascii="Calibri" w:hAnsi="Calibri" w:cs="Calibri"/>
          <w:b/>
          <w:color w:val="13576B"/>
          <w:sz w:val="23"/>
          <w:szCs w:val="23"/>
        </w:rPr>
      </w:pPr>
      <w:r w:rsidRPr="008B048B">
        <w:rPr>
          <w:rFonts w:ascii="Calibri" w:hAnsi="Calibri" w:cs="Calibri"/>
          <w:b/>
          <w:color w:val="13576B"/>
          <w:sz w:val="23"/>
          <w:szCs w:val="23"/>
        </w:rPr>
        <w:t xml:space="preserve">Průměrná hypoteční sazba </w:t>
      </w:r>
      <w:r w:rsidR="00883A3C">
        <w:rPr>
          <w:rFonts w:ascii="Calibri" w:hAnsi="Calibri" w:cs="Calibri"/>
          <w:b/>
          <w:color w:val="13576B"/>
          <w:sz w:val="23"/>
          <w:szCs w:val="23"/>
        </w:rPr>
        <w:t xml:space="preserve">v srpnu výrazně zvolnila </w:t>
      </w:r>
      <w:r w:rsidR="00F625CA" w:rsidRPr="008B048B">
        <w:rPr>
          <w:rFonts w:ascii="Calibri" w:hAnsi="Calibri" w:cs="Calibri"/>
          <w:b/>
          <w:color w:val="13576B"/>
          <w:sz w:val="23"/>
          <w:szCs w:val="23"/>
        </w:rPr>
        <w:t>klesající trend</w:t>
      </w:r>
      <w:r w:rsidR="00395026">
        <w:rPr>
          <w:rFonts w:ascii="Calibri" w:hAnsi="Calibri" w:cs="Calibri"/>
          <w:b/>
          <w:color w:val="13576B"/>
          <w:sz w:val="23"/>
          <w:szCs w:val="23"/>
        </w:rPr>
        <w:t>, a to na 4,</w:t>
      </w:r>
      <w:r w:rsidR="00266ACC">
        <w:rPr>
          <w:rFonts w:ascii="Calibri" w:hAnsi="Calibri" w:cs="Calibri"/>
          <w:b/>
          <w:color w:val="13576B"/>
          <w:sz w:val="23"/>
          <w:szCs w:val="23"/>
        </w:rPr>
        <w:t>5</w:t>
      </w:r>
      <w:r w:rsidR="00883A3C">
        <w:rPr>
          <w:rFonts w:ascii="Calibri" w:hAnsi="Calibri" w:cs="Calibri"/>
          <w:b/>
          <w:color w:val="13576B"/>
          <w:sz w:val="23"/>
          <w:szCs w:val="23"/>
        </w:rPr>
        <w:t>2</w:t>
      </w:r>
      <w:r w:rsidR="00395026">
        <w:rPr>
          <w:rFonts w:ascii="Calibri" w:hAnsi="Calibri" w:cs="Calibri"/>
          <w:b/>
          <w:color w:val="13576B"/>
          <w:sz w:val="23"/>
          <w:szCs w:val="23"/>
        </w:rPr>
        <w:t xml:space="preserve"> %</w:t>
      </w:r>
    </w:p>
    <w:p w14:paraId="6B970EF6" w14:textId="050D6F9F" w:rsidR="008B048B" w:rsidRPr="008B048B" w:rsidRDefault="008B048B" w:rsidP="009A044E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7B59B3DB" w14:textId="29FE4C16" w:rsidR="00266ACC" w:rsidRDefault="00883A3C" w:rsidP="00F625CA">
      <w:pPr>
        <w:rPr>
          <w:rFonts w:ascii="Calibri" w:hAnsi="Calibri" w:cs="Calibri"/>
          <w:color w:val="000000"/>
          <w:sz w:val="22"/>
          <w:szCs w:val="22"/>
        </w:rPr>
      </w:pPr>
      <w:r w:rsidRPr="00883A3C">
        <w:rPr>
          <w:rFonts w:ascii="Calibri" w:hAnsi="Calibri" w:cs="Calibri"/>
          <w:b/>
          <w:bCs/>
          <w:color w:val="000000"/>
          <w:sz w:val="22"/>
          <w:szCs w:val="22"/>
        </w:rPr>
        <w:t xml:space="preserve">Průměrná realizovaná úroková sazba u nových hypoték v srpnu nepatrně dále klesla na 4,52 % z červencových 4,53 %. </w:t>
      </w:r>
      <w:r w:rsidRPr="00883A3C">
        <w:rPr>
          <w:rFonts w:ascii="Calibri" w:hAnsi="Calibri" w:cs="Calibri"/>
          <w:color w:val="000000"/>
          <w:sz w:val="22"/>
          <w:szCs w:val="22"/>
        </w:rPr>
        <w:t xml:space="preserve">Její snížení tak potvrzuje klesající </w:t>
      </w:r>
      <w:r w:rsidRPr="00E013E3">
        <w:rPr>
          <w:rFonts w:ascii="Calibri" w:hAnsi="Calibri" w:cs="Calibri"/>
          <w:color w:val="000000"/>
          <w:sz w:val="22"/>
          <w:szCs w:val="22"/>
        </w:rPr>
        <w:t xml:space="preserve">trend pod 5 % naposledy zaznamenanými v červenci 2024. Její srpnová úroveň je tak o </w:t>
      </w:r>
      <w:proofErr w:type="gramStart"/>
      <w:r w:rsidRPr="00E013E3">
        <w:rPr>
          <w:rFonts w:ascii="Calibri" w:hAnsi="Calibri" w:cs="Calibri"/>
          <w:color w:val="000000"/>
          <w:sz w:val="22"/>
          <w:szCs w:val="22"/>
        </w:rPr>
        <w:t>0,46%</w:t>
      </w:r>
      <w:proofErr w:type="gramEnd"/>
      <w:r w:rsidRPr="00E013E3">
        <w:rPr>
          <w:rFonts w:ascii="Calibri" w:hAnsi="Calibri" w:cs="Calibri"/>
          <w:color w:val="000000"/>
          <w:sz w:val="22"/>
          <w:szCs w:val="22"/>
        </w:rPr>
        <w:t xml:space="preserve"> bodu níže než 4,98% sazba před rokem, což snižuje měsíční splátky hypotéky přibližně o 1,2 % čistého příjmu žadatele, tedy o 1,1 tis. Kč. Pro srovnání průměrná hodnota hypoteční sazby v roce 2024 dosáhla 5,07 % v porovnání se sazbou 5,81 % v roce 2023</w:t>
      </w:r>
      <w:r w:rsidRPr="00883A3C">
        <w:rPr>
          <w:rFonts w:ascii="Calibri" w:hAnsi="Calibri" w:cs="Calibri"/>
          <w:color w:val="000000"/>
          <w:sz w:val="22"/>
          <w:szCs w:val="22"/>
        </w:rPr>
        <w:t>.</w:t>
      </w:r>
    </w:p>
    <w:p w14:paraId="73AC7052" w14:textId="77777777" w:rsidR="00B40FEB" w:rsidRDefault="00B40FEB" w:rsidP="00B40FEB">
      <w:pPr>
        <w:rPr>
          <w:rFonts w:ascii="Calibri" w:hAnsi="Calibri" w:cs="Calibri"/>
          <w:sz w:val="22"/>
          <w:szCs w:val="22"/>
          <w:highlight w:val="yellow"/>
        </w:rPr>
      </w:pPr>
    </w:p>
    <w:p w14:paraId="395DECF4" w14:textId="1BB9B9AB" w:rsidR="00B40FEB" w:rsidRPr="00287580" w:rsidRDefault="00B40FEB" w:rsidP="00B40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2F6A6D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„Dočasné mírné zlevnění by mohly přinést časově omezené akční nabídky některých bank, nicméně vzhledem k vývoji cen úrokových swapů nelze v následujících měsících očekávat výrazný pokles sazeb u hypotečních úvěrů.,“ </w:t>
      </w:r>
      <w:r w:rsidRPr="007F690B">
        <w:rPr>
          <w:rFonts w:ascii="Calibri" w:hAnsi="Calibri" w:cs="Calibri"/>
          <w:sz w:val="22"/>
          <w:szCs w:val="22"/>
        </w:rPr>
        <w:t xml:space="preserve">říká </w:t>
      </w:r>
      <w:r w:rsidRPr="002F6A6D">
        <w:rPr>
          <w:rFonts w:ascii="Calibri" w:hAnsi="Calibri" w:cs="Calibri"/>
          <w:b/>
          <w:bCs/>
          <w:sz w:val="22"/>
          <w:szCs w:val="22"/>
        </w:rPr>
        <w:t xml:space="preserve">Ondřej </w:t>
      </w:r>
      <w:proofErr w:type="spellStart"/>
      <w:r w:rsidRPr="002F6A6D">
        <w:rPr>
          <w:rFonts w:ascii="Calibri" w:hAnsi="Calibri" w:cs="Calibri"/>
          <w:b/>
          <w:bCs/>
          <w:sz w:val="22"/>
          <w:szCs w:val="22"/>
        </w:rPr>
        <w:t>Šuchman</w:t>
      </w:r>
      <w:proofErr w:type="spellEnd"/>
      <w:r w:rsidRPr="007F690B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5070EC">
        <w:rPr>
          <w:rFonts w:ascii="Calibri" w:eastAsia="Calibri" w:hAnsi="Calibri" w:cs="Calibri"/>
          <w:b/>
          <w:bCs/>
          <w:sz w:val="22"/>
          <w:szCs w:val="22"/>
        </w:rPr>
        <w:t xml:space="preserve">manažer hypoték </w:t>
      </w:r>
      <w:r>
        <w:rPr>
          <w:rFonts w:ascii="Calibri" w:eastAsia="Calibri" w:hAnsi="Calibri" w:cs="Calibri"/>
          <w:b/>
          <w:bCs/>
          <w:sz w:val="22"/>
          <w:szCs w:val="22"/>
        </w:rPr>
        <w:t>Komerční banky.</w:t>
      </w:r>
    </w:p>
    <w:p w14:paraId="6C754223" w14:textId="77777777" w:rsidR="00883A3C" w:rsidRDefault="00883A3C" w:rsidP="00F625CA">
      <w:pPr>
        <w:rPr>
          <w:rFonts w:ascii="Calibri" w:hAnsi="Calibri" w:cs="Calibri"/>
          <w:bCs/>
          <w:sz w:val="22"/>
          <w:szCs w:val="22"/>
        </w:rPr>
      </w:pPr>
    </w:p>
    <w:p w14:paraId="6492840A" w14:textId="49E7A20E" w:rsidR="005874B8" w:rsidRDefault="005874B8" w:rsidP="005874B8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893E0C">
        <w:rPr>
          <w:rFonts w:ascii="Calibri" w:hAnsi="Calibri" w:cs="Calibri"/>
          <w:b/>
          <w:color w:val="13576B"/>
          <w:sz w:val="23"/>
          <w:szCs w:val="23"/>
        </w:rPr>
        <w:t>2: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 Průměrná hypoteční sazba – nové obchody</w:t>
      </w:r>
    </w:p>
    <w:p w14:paraId="0F619A9F" w14:textId="3857B008" w:rsidR="0080372E" w:rsidRPr="0080372E" w:rsidRDefault="00883A3C" w:rsidP="000B064D">
      <w:pPr>
        <w:rPr>
          <w:rFonts w:ascii="Calibri" w:hAnsi="Calibri" w:cs="Calibri"/>
          <w:bCs/>
          <w:i/>
          <w:iCs/>
          <w:color w:val="13576B"/>
          <w:sz w:val="23"/>
          <w:szCs w:val="23"/>
        </w:rPr>
      </w:pP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>Srpnová</w:t>
      </w:r>
      <w:r w:rsidR="0080372E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výše hypoteční sazby 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pouze zlehka </w:t>
      </w:r>
      <w:r w:rsidR="00176DFC">
        <w:rPr>
          <w:rFonts w:ascii="Calibri" w:hAnsi="Calibri" w:cs="Calibri"/>
          <w:bCs/>
          <w:i/>
          <w:iCs/>
          <w:color w:val="13576B"/>
          <w:sz w:val="23"/>
          <w:szCs w:val="23"/>
        </w:rPr>
        <w:t>poklesla na</w:t>
      </w:r>
      <w:r w:rsidR="0080372E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4,</w:t>
      </w:r>
      <w:r w:rsidR="007222B0">
        <w:rPr>
          <w:rFonts w:ascii="Calibri" w:hAnsi="Calibri" w:cs="Calibri"/>
          <w:bCs/>
          <w:i/>
          <w:iCs/>
          <w:color w:val="13576B"/>
          <w:sz w:val="23"/>
          <w:szCs w:val="23"/>
        </w:rPr>
        <w:t>5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>2</w:t>
      </w:r>
      <w:r w:rsidR="0080372E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%</w:t>
      </w:r>
      <w:r w:rsidR="009F58F4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s meziročním poklesem 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o necelý </w:t>
      </w:r>
      <w:r w:rsidR="0080372E">
        <w:rPr>
          <w:rFonts w:ascii="Calibri" w:hAnsi="Calibri" w:cs="Calibri"/>
          <w:bCs/>
          <w:i/>
          <w:iCs/>
          <w:color w:val="13576B"/>
          <w:sz w:val="23"/>
          <w:szCs w:val="23"/>
        </w:rPr>
        <w:t>půl procentní bo</w:t>
      </w:r>
      <w:r w:rsidR="000427B8">
        <w:rPr>
          <w:rFonts w:ascii="Calibri" w:hAnsi="Calibri" w:cs="Calibri"/>
          <w:bCs/>
          <w:i/>
          <w:iCs/>
          <w:color w:val="13576B"/>
          <w:sz w:val="23"/>
          <w:szCs w:val="23"/>
        </w:rPr>
        <w:t>d.</w:t>
      </w:r>
    </w:p>
    <w:p w14:paraId="29B8C373" w14:textId="06A7C5C4" w:rsidR="007F690B" w:rsidRPr="002138C0" w:rsidRDefault="00883A3C" w:rsidP="005874B8">
      <w:pPr>
        <w:rPr>
          <w:rFonts w:ascii="Calibri" w:hAnsi="Calibri" w:cs="Calibri"/>
          <w:sz w:val="22"/>
          <w:szCs w:val="22"/>
          <w:highlight w:val="yellow"/>
        </w:rPr>
      </w:pPr>
      <w:r w:rsidRPr="00883A3C">
        <w:rPr>
          <w:rFonts w:ascii="Calibri" w:hAnsi="Calibri" w:cs="Calibri"/>
          <w:noProof/>
          <w:sz w:val="22"/>
          <w:szCs w:val="22"/>
          <w:highlight w:val="yellow"/>
        </w:rPr>
        <w:drawing>
          <wp:inline distT="0" distB="0" distL="0" distR="0" wp14:anchorId="3CE1420D" wp14:editId="3929762F">
            <wp:extent cx="5049520" cy="3180080"/>
            <wp:effectExtent l="0" t="0" r="0" b="1270"/>
            <wp:docPr id="13660986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520" cy="318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5F729" w14:textId="08370F86" w:rsidR="00691287" w:rsidRPr="00616069" w:rsidRDefault="00691287" w:rsidP="00691287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 xml:space="preserve">Pramen: </w:t>
      </w:r>
      <w:r w:rsidR="006F74BF">
        <w:rPr>
          <w:rFonts w:ascii="Calibri Light" w:hAnsi="Calibri Light" w:cs="Calibri Light"/>
          <w:color w:val="13576B"/>
          <w:sz w:val="20"/>
        </w:rPr>
        <w:t xml:space="preserve">ČNB, </w:t>
      </w:r>
      <w:r w:rsidRPr="002F4CBD">
        <w:rPr>
          <w:rFonts w:ascii="Calibri Light" w:hAnsi="Calibri Light" w:cs="Calibri Light"/>
          <w:color w:val="13576B"/>
          <w:sz w:val="20"/>
        </w:rPr>
        <w:t xml:space="preserve">ČBA </w:t>
      </w:r>
      <w:proofErr w:type="spellStart"/>
      <w:r w:rsidRPr="002F4CBD"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p w14:paraId="6C7EAB99" w14:textId="77777777" w:rsidR="0013679D" w:rsidRPr="00A36CE8" w:rsidRDefault="0013679D" w:rsidP="00DD1BFF">
      <w:pPr>
        <w:rPr>
          <w:rFonts w:ascii="Calibri" w:hAnsi="Calibri" w:cs="Calibri"/>
          <w:b/>
          <w:bCs/>
          <w:color w:val="EE0000"/>
          <w:sz w:val="22"/>
          <w:szCs w:val="22"/>
        </w:rPr>
      </w:pPr>
      <w:bookmarkStart w:id="4" w:name="_Hlk137652102"/>
    </w:p>
    <w:p w14:paraId="6374F161" w14:textId="529BD060" w:rsidR="00541D7D" w:rsidRPr="00E013E3" w:rsidRDefault="00541D7D" w:rsidP="00041985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8569DC">
        <w:rPr>
          <w:rFonts w:ascii="Calibri" w:hAnsi="Calibri" w:cs="Calibri"/>
          <w:b/>
          <w:bCs/>
          <w:color w:val="000000" w:themeColor="text1"/>
          <w:sz w:val="22"/>
          <w:szCs w:val="22"/>
        </w:rPr>
        <w:t>Tržní úrokové sazby,</w:t>
      </w:r>
      <w:r w:rsidRPr="008569DC">
        <w:rPr>
          <w:rStyle w:val="Znakapoznpodarou"/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8569DC">
        <w:rPr>
          <w:rStyle w:val="Znakapoznpodarou"/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footnoteReference w:id="1"/>
      </w:r>
      <w:r w:rsidRPr="008569D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které mají klíčový vliv na hypoteční sazby, </w:t>
      </w:r>
      <w:r w:rsidR="00B40FEB" w:rsidRPr="008569D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se v srpnu stabilizovaly na vyšších úrovních, což bude v budoucnu asi limitovat </w:t>
      </w:r>
      <w:r w:rsidR="009C38A8" w:rsidRPr="008569DC">
        <w:rPr>
          <w:rFonts w:ascii="Calibri" w:hAnsi="Calibri" w:cs="Calibri"/>
          <w:b/>
          <w:bCs/>
          <w:color w:val="000000" w:themeColor="text1"/>
          <w:sz w:val="22"/>
          <w:szCs w:val="22"/>
        </w:rPr>
        <w:t>d</w:t>
      </w:r>
      <w:r w:rsidRPr="008569DC">
        <w:rPr>
          <w:rFonts w:ascii="Calibri" w:hAnsi="Calibri" w:cs="Calibri"/>
          <w:b/>
          <w:bCs/>
          <w:color w:val="000000" w:themeColor="text1"/>
          <w:sz w:val="22"/>
          <w:szCs w:val="22"/>
        </w:rPr>
        <w:t>alší</w:t>
      </w:r>
      <w:r w:rsidR="00B40FEB" w:rsidRPr="008569D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výraznější pokles </w:t>
      </w:r>
      <w:r w:rsidRPr="008569DC">
        <w:rPr>
          <w:rFonts w:ascii="Calibri" w:hAnsi="Calibri" w:cs="Calibri"/>
          <w:b/>
          <w:bCs/>
          <w:color w:val="000000" w:themeColor="text1"/>
          <w:sz w:val="22"/>
          <w:szCs w:val="22"/>
        </w:rPr>
        <w:t>hypotečních sazeb.</w:t>
      </w:r>
      <w:r w:rsidRPr="008569D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36CE8" w:rsidRPr="008569DC">
        <w:rPr>
          <w:rFonts w:ascii="Calibri" w:hAnsi="Calibri" w:cs="Calibri"/>
          <w:color w:val="000000" w:themeColor="text1"/>
          <w:sz w:val="22"/>
          <w:szCs w:val="22"/>
        </w:rPr>
        <w:t xml:space="preserve">České pětileté úrokové swapy v srpnu </w:t>
      </w:r>
      <w:r w:rsidR="00B40FEB" w:rsidRPr="008569DC">
        <w:rPr>
          <w:rFonts w:ascii="Calibri" w:hAnsi="Calibri" w:cs="Calibri"/>
          <w:color w:val="000000" w:themeColor="text1"/>
          <w:sz w:val="22"/>
          <w:szCs w:val="22"/>
        </w:rPr>
        <w:t>dále nepatrně</w:t>
      </w:r>
      <w:r w:rsidR="00A36CE8" w:rsidRPr="008569DC">
        <w:rPr>
          <w:rFonts w:ascii="Calibri" w:hAnsi="Calibri" w:cs="Calibri"/>
          <w:color w:val="000000" w:themeColor="text1"/>
          <w:sz w:val="22"/>
          <w:szCs w:val="22"/>
        </w:rPr>
        <w:t xml:space="preserve"> stouply o </w:t>
      </w:r>
      <w:proofErr w:type="gramStart"/>
      <w:r w:rsidR="00A36CE8" w:rsidRPr="008569DC">
        <w:rPr>
          <w:rFonts w:ascii="Calibri" w:hAnsi="Calibri" w:cs="Calibri"/>
          <w:color w:val="000000" w:themeColor="text1"/>
          <w:sz w:val="22"/>
          <w:szCs w:val="22"/>
        </w:rPr>
        <w:t>0,03%</w:t>
      </w:r>
      <w:proofErr w:type="gramEnd"/>
      <w:r w:rsidR="00A36CE8" w:rsidRPr="008569DC">
        <w:rPr>
          <w:rFonts w:ascii="Calibri" w:hAnsi="Calibri" w:cs="Calibri"/>
          <w:color w:val="000000" w:themeColor="text1"/>
          <w:sz w:val="22"/>
          <w:szCs w:val="22"/>
        </w:rPr>
        <w:t xml:space="preserve"> bodu na 3,72 % </w:t>
      </w:r>
      <w:r w:rsidR="00B40FEB" w:rsidRPr="008569DC">
        <w:rPr>
          <w:rFonts w:ascii="Calibri" w:hAnsi="Calibri" w:cs="Calibri"/>
          <w:color w:val="000000" w:themeColor="text1"/>
          <w:sz w:val="22"/>
          <w:szCs w:val="22"/>
        </w:rPr>
        <w:t xml:space="preserve">a jsou tak téměř o </w:t>
      </w:r>
      <w:proofErr w:type="gramStart"/>
      <w:r w:rsidR="00B40FEB" w:rsidRPr="008569DC">
        <w:rPr>
          <w:rFonts w:ascii="Calibri" w:hAnsi="Calibri" w:cs="Calibri"/>
          <w:color w:val="000000" w:themeColor="text1"/>
          <w:sz w:val="22"/>
          <w:szCs w:val="22"/>
        </w:rPr>
        <w:t>0,2%</w:t>
      </w:r>
      <w:proofErr w:type="gramEnd"/>
      <w:r w:rsidR="00B40FEB" w:rsidRPr="008569DC">
        <w:rPr>
          <w:rFonts w:ascii="Calibri" w:hAnsi="Calibri" w:cs="Calibri"/>
          <w:color w:val="000000" w:themeColor="text1"/>
          <w:sz w:val="22"/>
          <w:szCs w:val="22"/>
        </w:rPr>
        <w:t xml:space="preserve"> bodu nad </w:t>
      </w:r>
      <w:r w:rsidR="00A36CE8" w:rsidRPr="008569DC">
        <w:rPr>
          <w:rFonts w:ascii="Calibri" w:hAnsi="Calibri" w:cs="Calibri"/>
          <w:color w:val="000000" w:themeColor="text1"/>
          <w:sz w:val="22"/>
          <w:szCs w:val="22"/>
        </w:rPr>
        <w:t>červnovými 3,54 %</w:t>
      </w:r>
      <w:r w:rsidR="008569DC" w:rsidRPr="008569DC">
        <w:rPr>
          <w:rFonts w:ascii="Calibri" w:hAnsi="Calibri" w:cs="Calibri"/>
          <w:color w:val="000000" w:themeColor="text1"/>
          <w:sz w:val="22"/>
          <w:szCs w:val="22"/>
        </w:rPr>
        <w:t xml:space="preserve"> a o více než </w:t>
      </w:r>
      <w:proofErr w:type="gramStart"/>
      <w:r w:rsidR="008569DC" w:rsidRPr="008569DC">
        <w:rPr>
          <w:rFonts w:ascii="Calibri" w:hAnsi="Calibri" w:cs="Calibri"/>
          <w:color w:val="000000" w:themeColor="text1"/>
          <w:sz w:val="22"/>
          <w:szCs w:val="22"/>
        </w:rPr>
        <w:t>0,4%</w:t>
      </w:r>
      <w:proofErr w:type="gramEnd"/>
      <w:r w:rsidR="008569DC" w:rsidRPr="008569DC">
        <w:rPr>
          <w:rFonts w:ascii="Calibri" w:hAnsi="Calibri" w:cs="Calibri"/>
          <w:color w:val="000000" w:themeColor="text1"/>
          <w:sz w:val="22"/>
          <w:szCs w:val="22"/>
        </w:rPr>
        <w:t xml:space="preserve"> bodu nad jej</w:t>
      </w:r>
      <w:r w:rsidR="005070EC">
        <w:rPr>
          <w:rFonts w:ascii="Calibri" w:hAnsi="Calibri" w:cs="Calibri"/>
          <w:color w:val="000000" w:themeColor="text1"/>
          <w:sz w:val="22"/>
          <w:szCs w:val="22"/>
        </w:rPr>
        <w:t>i</w:t>
      </w:r>
      <w:r w:rsidR="008569DC" w:rsidRPr="008569DC">
        <w:rPr>
          <w:rFonts w:ascii="Calibri" w:hAnsi="Calibri" w:cs="Calibri"/>
          <w:color w:val="000000" w:themeColor="text1"/>
          <w:sz w:val="22"/>
          <w:szCs w:val="22"/>
        </w:rPr>
        <w:t xml:space="preserve">ch úrovní z dubna letošního </w:t>
      </w:r>
      <w:r w:rsidR="008569DC">
        <w:rPr>
          <w:rFonts w:ascii="Calibri" w:hAnsi="Calibri" w:cs="Calibri"/>
          <w:color w:val="000000"/>
          <w:sz w:val="22"/>
          <w:szCs w:val="22"/>
        </w:rPr>
        <w:t xml:space="preserve">roku. </w:t>
      </w:r>
      <w:r w:rsidR="00A36CE8" w:rsidRPr="00A36CE8">
        <w:rPr>
          <w:rFonts w:ascii="Calibri" w:hAnsi="Calibri" w:cs="Calibri"/>
          <w:color w:val="000000"/>
          <w:sz w:val="22"/>
          <w:szCs w:val="22"/>
        </w:rPr>
        <w:t>V posledních dvanácti měsících se české pětileté swapy pohybovaly v rozmezí měsíčních průměrů 3,19 % (v září 2024) a 3,72 % (z</w:t>
      </w:r>
      <w:r w:rsidR="005070EC">
        <w:rPr>
          <w:rFonts w:ascii="Calibri" w:hAnsi="Calibri" w:cs="Calibri"/>
          <w:color w:val="000000"/>
          <w:sz w:val="22"/>
          <w:szCs w:val="22"/>
        </w:rPr>
        <w:t>e</w:t>
      </w:r>
      <w:r w:rsidR="00A36CE8" w:rsidRPr="00A36CE8">
        <w:rPr>
          <w:rFonts w:ascii="Calibri" w:hAnsi="Calibri" w:cs="Calibri"/>
          <w:color w:val="000000"/>
          <w:sz w:val="22"/>
          <w:szCs w:val="22"/>
        </w:rPr>
        <w:t xml:space="preserve"> srpna 2025). V porovnání s průměrnou </w:t>
      </w:r>
      <w:r w:rsidR="00A36CE8" w:rsidRPr="00A36CE8">
        <w:rPr>
          <w:rFonts w:ascii="Calibri" w:hAnsi="Calibri" w:cs="Calibri"/>
          <w:color w:val="000000"/>
          <w:sz w:val="22"/>
          <w:szCs w:val="22"/>
        </w:rPr>
        <w:lastRenderedPageBreak/>
        <w:t xml:space="preserve">úrovní pětiletých swapů v roce 2024 byly srpnové úroky o </w:t>
      </w:r>
      <w:proofErr w:type="gramStart"/>
      <w:r w:rsidR="00A36CE8" w:rsidRPr="00A36CE8">
        <w:rPr>
          <w:rFonts w:ascii="Calibri" w:hAnsi="Calibri" w:cs="Calibri"/>
          <w:color w:val="000000"/>
          <w:sz w:val="22"/>
          <w:szCs w:val="22"/>
        </w:rPr>
        <w:t>0,14%</w:t>
      </w:r>
      <w:proofErr w:type="gramEnd"/>
      <w:r w:rsidR="00A36CE8" w:rsidRPr="00A36CE8">
        <w:rPr>
          <w:rFonts w:ascii="Calibri" w:hAnsi="Calibri" w:cs="Calibri"/>
          <w:color w:val="000000"/>
          <w:sz w:val="22"/>
          <w:szCs w:val="22"/>
        </w:rPr>
        <w:t xml:space="preserve"> bodu výše. V případě amerických pětiletých úrokových swapů došlo v</w:t>
      </w:r>
      <w:r w:rsidR="00B40FEB">
        <w:rPr>
          <w:rFonts w:ascii="Calibri" w:hAnsi="Calibri" w:cs="Calibri"/>
          <w:color w:val="000000"/>
          <w:sz w:val="22"/>
          <w:szCs w:val="22"/>
        </w:rPr>
        <w:t> </w:t>
      </w:r>
      <w:r w:rsidR="00A36CE8" w:rsidRPr="00A36CE8">
        <w:rPr>
          <w:rFonts w:ascii="Calibri" w:hAnsi="Calibri" w:cs="Calibri"/>
          <w:color w:val="000000"/>
          <w:sz w:val="22"/>
          <w:szCs w:val="22"/>
        </w:rPr>
        <w:t>srpnu</w:t>
      </w:r>
      <w:r w:rsidR="00B40FEB">
        <w:rPr>
          <w:rFonts w:ascii="Calibri" w:hAnsi="Calibri" w:cs="Calibri"/>
          <w:color w:val="000000"/>
          <w:sz w:val="22"/>
          <w:szCs w:val="22"/>
        </w:rPr>
        <w:t xml:space="preserve"> kvůli horším údajům z trhu práce</w:t>
      </w:r>
      <w:r w:rsidR="00A36CE8" w:rsidRPr="00A36CE8">
        <w:rPr>
          <w:rFonts w:ascii="Calibri" w:hAnsi="Calibri" w:cs="Calibri"/>
          <w:color w:val="000000"/>
          <w:sz w:val="22"/>
          <w:szCs w:val="22"/>
        </w:rPr>
        <w:t xml:space="preserve"> k jejich poklesu na 3,7 % z červencových 3,83 % a nacházely se </w:t>
      </w:r>
      <w:proofErr w:type="gramStart"/>
      <w:r w:rsidR="00A36CE8" w:rsidRPr="00A36CE8">
        <w:rPr>
          <w:rFonts w:ascii="Calibri" w:hAnsi="Calibri" w:cs="Calibri"/>
          <w:color w:val="000000"/>
          <w:sz w:val="22"/>
          <w:szCs w:val="22"/>
        </w:rPr>
        <w:t>0,42%</w:t>
      </w:r>
      <w:proofErr w:type="gramEnd"/>
      <w:r w:rsidR="00A36CE8" w:rsidRPr="00A36CE8">
        <w:rPr>
          <w:rFonts w:ascii="Calibri" w:hAnsi="Calibri" w:cs="Calibri"/>
          <w:color w:val="000000"/>
          <w:sz w:val="22"/>
          <w:szCs w:val="22"/>
        </w:rPr>
        <w:t xml:space="preserve"> bodu pod jejich průměrnou hodnotou z roku 2024. Eurové pětileté swapy v</w:t>
      </w:r>
      <w:r w:rsidR="00B40FEB">
        <w:rPr>
          <w:rFonts w:ascii="Calibri" w:hAnsi="Calibri" w:cs="Calibri"/>
          <w:color w:val="000000"/>
          <w:sz w:val="22"/>
          <w:szCs w:val="22"/>
        </w:rPr>
        <w:t> </w:t>
      </w:r>
      <w:r w:rsidR="00A36CE8" w:rsidRPr="00A36CE8">
        <w:rPr>
          <w:rFonts w:ascii="Calibri" w:hAnsi="Calibri" w:cs="Calibri"/>
          <w:color w:val="000000"/>
          <w:sz w:val="22"/>
          <w:szCs w:val="22"/>
        </w:rPr>
        <w:t>srpnu</w:t>
      </w:r>
      <w:r w:rsidR="00B40FEB">
        <w:rPr>
          <w:rFonts w:ascii="Calibri" w:hAnsi="Calibri" w:cs="Calibri"/>
          <w:color w:val="000000"/>
          <w:sz w:val="22"/>
          <w:szCs w:val="22"/>
        </w:rPr>
        <w:t xml:space="preserve"> naopak, i kvůli očekávání nezměněné úrokové sazby ECB na jejím zářijovém zasedání, stouply</w:t>
      </w:r>
      <w:r w:rsidR="00A36CE8" w:rsidRPr="00A36CE8">
        <w:rPr>
          <w:rFonts w:ascii="Calibri" w:hAnsi="Calibri" w:cs="Calibri"/>
          <w:color w:val="000000"/>
          <w:sz w:val="22"/>
          <w:szCs w:val="22"/>
        </w:rPr>
        <w:t xml:space="preserve"> na 2,33 % z červencových 2,3 % a byly </w:t>
      </w:r>
      <w:proofErr w:type="gramStart"/>
      <w:r w:rsidR="00A36CE8" w:rsidRPr="00A36CE8">
        <w:rPr>
          <w:rFonts w:ascii="Calibri" w:hAnsi="Calibri" w:cs="Calibri"/>
          <w:color w:val="000000"/>
          <w:sz w:val="22"/>
          <w:szCs w:val="22"/>
        </w:rPr>
        <w:t>0,25%</w:t>
      </w:r>
      <w:proofErr w:type="gramEnd"/>
      <w:r w:rsidR="00A36CE8" w:rsidRPr="00A36CE8">
        <w:rPr>
          <w:rFonts w:ascii="Calibri" w:hAnsi="Calibri" w:cs="Calibri"/>
          <w:color w:val="000000"/>
          <w:sz w:val="22"/>
          <w:szCs w:val="22"/>
        </w:rPr>
        <w:t xml:space="preserve"> bodu pod jejich průměrnou loňskou </w:t>
      </w:r>
      <w:r w:rsidR="00A36CE8" w:rsidRPr="00E013E3">
        <w:rPr>
          <w:rFonts w:ascii="Calibri" w:hAnsi="Calibri" w:cs="Calibri"/>
          <w:color w:val="000000"/>
          <w:sz w:val="22"/>
          <w:szCs w:val="22"/>
        </w:rPr>
        <w:t xml:space="preserve">úrovní 2,58 %. </w:t>
      </w:r>
    </w:p>
    <w:p w14:paraId="2F32535F" w14:textId="77777777" w:rsidR="00CB2E9C" w:rsidRPr="00E013E3" w:rsidRDefault="00CB2E9C" w:rsidP="008F7CC9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E76E888" w14:textId="1D9C7EB5" w:rsidR="00AA0D5A" w:rsidRPr="00E013E3" w:rsidRDefault="00140854" w:rsidP="008F7CC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E013E3">
        <w:rPr>
          <w:rFonts w:ascii="Calibri" w:hAnsi="Calibri" w:cs="Calibri"/>
          <w:b/>
          <w:bCs/>
          <w:color w:val="000000" w:themeColor="text1"/>
          <w:sz w:val="22"/>
          <w:szCs w:val="22"/>
        </w:rPr>
        <w:t>Mezi domácí faktory, které ovlivnily vývoj úrokových swapů především patřily</w:t>
      </w:r>
      <w:r w:rsidRPr="00E013E3">
        <w:rPr>
          <w:rFonts w:ascii="Calibri" w:hAnsi="Calibri" w:cs="Calibri"/>
          <w:color w:val="000000" w:themeColor="text1"/>
          <w:sz w:val="22"/>
          <w:szCs w:val="22"/>
        </w:rPr>
        <w:t xml:space="preserve">: i) </w:t>
      </w:r>
      <w:proofErr w:type="spellStart"/>
      <w:r w:rsidR="009628F6" w:rsidRPr="00E013E3">
        <w:rPr>
          <w:rFonts w:ascii="Calibri" w:hAnsi="Calibri" w:cs="Calibri"/>
          <w:color w:val="000000" w:themeColor="text1"/>
          <w:sz w:val="22"/>
          <w:szCs w:val="22"/>
        </w:rPr>
        <w:t>jestřábější</w:t>
      </w:r>
      <w:proofErr w:type="spellEnd"/>
      <w:r w:rsidR="009628F6" w:rsidRPr="00E013E3">
        <w:rPr>
          <w:rFonts w:ascii="Calibri" w:hAnsi="Calibri" w:cs="Calibri"/>
          <w:color w:val="000000" w:themeColor="text1"/>
          <w:sz w:val="22"/>
          <w:szCs w:val="22"/>
        </w:rPr>
        <w:t xml:space="preserve"> postoj </w:t>
      </w:r>
      <w:r w:rsidRPr="00E013E3">
        <w:rPr>
          <w:rFonts w:ascii="Calibri" w:hAnsi="Calibri" w:cs="Calibri"/>
          <w:color w:val="000000" w:themeColor="text1"/>
          <w:sz w:val="22"/>
          <w:szCs w:val="22"/>
        </w:rPr>
        <w:t>ČN</w:t>
      </w:r>
      <w:r w:rsidR="009628F6" w:rsidRPr="00E013E3">
        <w:rPr>
          <w:rFonts w:ascii="Calibri" w:hAnsi="Calibri" w:cs="Calibri"/>
          <w:color w:val="000000" w:themeColor="text1"/>
          <w:sz w:val="22"/>
          <w:szCs w:val="22"/>
        </w:rPr>
        <w:t>B</w:t>
      </w:r>
      <w:r w:rsidR="009C38A8" w:rsidRPr="00E013E3">
        <w:rPr>
          <w:rFonts w:ascii="Calibri" w:hAnsi="Calibri" w:cs="Calibri"/>
          <w:color w:val="000000" w:themeColor="text1"/>
          <w:sz w:val="22"/>
          <w:szCs w:val="22"/>
        </w:rPr>
        <w:t xml:space="preserve"> po její</w:t>
      </w:r>
      <w:r w:rsidR="00E013E3" w:rsidRPr="00E013E3">
        <w:rPr>
          <w:rFonts w:ascii="Calibri" w:hAnsi="Calibri" w:cs="Calibri"/>
          <w:color w:val="000000" w:themeColor="text1"/>
          <w:sz w:val="22"/>
          <w:szCs w:val="22"/>
        </w:rPr>
        <w:t>m</w:t>
      </w:r>
      <w:r w:rsidR="009C38A8" w:rsidRPr="00E013E3">
        <w:rPr>
          <w:rFonts w:ascii="Calibri" w:hAnsi="Calibri" w:cs="Calibri"/>
          <w:color w:val="000000" w:themeColor="text1"/>
          <w:sz w:val="22"/>
          <w:szCs w:val="22"/>
        </w:rPr>
        <w:t xml:space="preserve"> červnovém zasedání, kdy bankovní rada </w:t>
      </w:r>
      <w:r w:rsidR="009628F6" w:rsidRPr="00E013E3">
        <w:rPr>
          <w:rFonts w:ascii="Calibri" w:hAnsi="Calibri" w:cs="Calibri"/>
          <w:color w:val="000000" w:themeColor="text1"/>
          <w:sz w:val="22"/>
          <w:szCs w:val="22"/>
        </w:rPr>
        <w:t xml:space="preserve">ponechala svoji dvoutýdenní </w:t>
      </w:r>
      <w:proofErr w:type="spellStart"/>
      <w:r w:rsidR="009628F6" w:rsidRPr="00E013E3">
        <w:rPr>
          <w:rFonts w:ascii="Calibri" w:hAnsi="Calibri" w:cs="Calibri"/>
          <w:color w:val="000000" w:themeColor="text1"/>
          <w:sz w:val="22"/>
          <w:szCs w:val="22"/>
        </w:rPr>
        <w:t>repo</w:t>
      </w:r>
      <w:proofErr w:type="spellEnd"/>
      <w:r w:rsidR="009628F6" w:rsidRPr="00E013E3">
        <w:rPr>
          <w:rFonts w:ascii="Calibri" w:hAnsi="Calibri" w:cs="Calibri"/>
          <w:color w:val="000000" w:themeColor="text1"/>
          <w:sz w:val="22"/>
          <w:szCs w:val="22"/>
        </w:rPr>
        <w:t xml:space="preserve"> sazbu na 3,5 %</w:t>
      </w:r>
      <w:r w:rsidR="009C38A8" w:rsidRPr="00E013E3">
        <w:rPr>
          <w:rFonts w:ascii="Calibri" w:hAnsi="Calibri" w:cs="Calibri"/>
          <w:color w:val="000000" w:themeColor="text1"/>
          <w:sz w:val="22"/>
          <w:szCs w:val="22"/>
        </w:rPr>
        <w:t>. Tento postoj byl zvýrazněn po srpnovém zasedání a publikaci jestřábího výhledu na ekonomiku</w:t>
      </w:r>
      <w:r w:rsidRPr="00E013E3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  <w:proofErr w:type="spellStart"/>
      <w:r w:rsidRPr="00E013E3">
        <w:rPr>
          <w:rFonts w:ascii="Calibri" w:hAnsi="Calibri" w:cs="Calibri"/>
          <w:color w:val="000000" w:themeColor="text1"/>
          <w:sz w:val="22"/>
          <w:szCs w:val="22"/>
        </w:rPr>
        <w:t>ii</w:t>
      </w:r>
      <w:proofErr w:type="spellEnd"/>
      <w:r w:rsidRPr="00E013E3">
        <w:rPr>
          <w:rFonts w:ascii="Calibri" w:hAnsi="Calibri" w:cs="Calibri"/>
          <w:color w:val="000000" w:themeColor="text1"/>
          <w:sz w:val="22"/>
          <w:szCs w:val="22"/>
        </w:rPr>
        <w:t xml:space="preserve">) </w:t>
      </w:r>
      <w:r w:rsidR="009628F6" w:rsidRPr="00E013E3">
        <w:rPr>
          <w:rFonts w:ascii="Calibri" w:hAnsi="Calibri" w:cs="Calibri"/>
          <w:color w:val="000000" w:themeColor="text1"/>
          <w:sz w:val="22"/>
          <w:szCs w:val="22"/>
        </w:rPr>
        <w:t>k tomu přispěla i vyšší jádrová inflace v</w:t>
      </w:r>
      <w:r w:rsidR="009C38A8" w:rsidRPr="00E013E3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9628F6" w:rsidRPr="00E013E3">
        <w:rPr>
          <w:rFonts w:ascii="Calibri" w:hAnsi="Calibri" w:cs="Calibri"/>
          <w:color w:val="000000" w:themeColor="text1"/>
          <w:sz w:val="22"/>
          <w:szCs w:val="22"/>
        </w:rPr>
        <w:t>červnu</w:t>
      </w:r>
      <w:r w:rsidR="009C38A8" w:rsidRPr="00E013E3">
        <w:rPr>
          <w:rFonts w:ascii="Calibri" w:hAnsi="Calibri" w:cs="Calibri"/>
          <w:color w:val="000000" w:themeColor="text1"/>
          <w:sz w:val="22"/>
          <w:szCs w:val="22"/>
        </w:rPr>
        <w:t>, zatímco její červencové</w:t>
      </w:r>
      <w:r w:rsidR="00E013E3" w:rsidRPr="00E013E3">
        <w:rPr>
          <w:rFonts w:ascii="Calibri" w:hAnsi="Calibri" w:cs="Calibri"/>
          <w:color w:val="000000" w:themeColor="text1"/>
          <w:sz w:val="22"/>
          <w:szCs w:val="22"/>
        </w:rPr>
        <w:t xml:space="preserve">, ale i srpnové </w:t>
      </w:r>
      <w:r w:rsidR="009C38A8" w:rsidRPr="00E013E3">
        <w:rPr>
          <w:rFonts w:ascii="Calibri" w:hAnsi="Calibri" w:cs="Calibri"/>
          <w:color w:val="000000" w:themeColor="text1"/>
          <w:sz w:val="22"/>
          <w:szCs w:val="22"/>
        </w:rPr>
        <w:t>hodnoty mohou přinést částečnou úlevu</w:t>
      </w:r>
      <w:r w:rsidR="009628F6" w:rsidRPr="00E013E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E013E3" w:rsidRPr="00E013E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E013E3" w:rsidRPr="00E013E3">
        <w:rPr>
          <w:rFonts w:ascii="Calibri" w:hAnsi="Calibri" w:cs="Calibri"/>
          <w:color w:val="000000" w:themeColor="text1"/>
          <w:sz w:val="22"/>
          <w:szCs w:val="22"/>
        </w:rPr>
        <w:t>iii</w:t>
      </w:r>
      <w:proofErr w:type="spellEnd"/>
      <w:r w:rsidR="00E013E3" w:rsidRPr="00E013E3">
        <w:rPr>
          <w:rFonts w:ascii="Calibri" w:hAnsi="Calibri" w:cs="Calibri"/>
          <w:color w:val="000000" w:themeColor="text1"/>
          <w:sz w:val="22"/>
          <w:szCs w:val="22"/>
        </w:rPr>
        <w:t xml:space="preserve">) silnější růst české ekonomiky v druhém čtvrtletí spojený se silnějším proinflačním růstem mezd (viz komentář </w:t>
      </w:r>
      <w:hyperlink r:id="rId14" w:history="1">
        <w:r w:rsidR="00E013E3" w:rsidRPr="00E013E3">
          <w:rPr>
            <w:rStyle w:val="Hypertextovodkaz"/>
            <w:rFonts w:ascii="Calibri" w:hAnsi="Calibri" w:cs="Calibri"/>
            <w:sz w:val="22"/>
            <w:szCs w:val="22"/>
          </w:rPr>
          <w:t>zd</w:t>
        </w:r>
        <w:r w:rsidR="00E013E3" w:rsidRPr="00E013E3">
          <w:rPr>
            <w:rStyle w:val="Hypertextovodkaz"/>
            <w:rFonts w:ascii="Calibri" w:hAnsi="Calibri" w:cs="Calibri"/>
            <w:sz w:val="22"/>
            <w:szCs w:val="22"/>
          </w:rPr>
          <w:t>e</w:t>
        </w:r>
      </w:hyperlink>
      <w:r w:rsidR="00E013E3" w:rsidRPr="00E013E3">
        <w:rPr>
          <w:rFonts w:ascii="Calibri" w:hAnsi="Calibri" w:cs="Calibri"/>
          <w:color w:val="000000" w:themeColor="text1"/>
          <w:sz w:val="22"/>
          <w:szCs w:val="22"/>
        </w:rPr>
        <w:t>);</w:t>
      </w:r>
      <w:r w:rsidR="009628F6" w:rsidRPr="00E013E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E013E3" w:rsidRPr="00E013E3">
        <w:rPr>
          <w:rFonts w:ascii="Calibri" w:hAnsi="Calibri" w:cs="Calibri"/>
          <w:color w:val="000000" w:themeColor="text1"/>
          <w:sz w:val="22"/>
          <w:szCs w:val="22"/>
        </w:rPr>
        <w:t>iv</w:t>
      </w:r>
      <w:proofErr w:type="spellEnd"/>
      <w:r w:rsidRPr="00E013E3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9628F6" w:rsidRPr="00E013E3">
        <w:rPr>
          <w:rFonts w:ascii="Calibri" w:hAnsi="Calibri" w:cs="Calibri"/>
          <w:color w:val="000000" w:themeColor="text1"/>
          <w:sz w:val="22"/>
          <w:szCs w:val="22"/>
        </w:rPr>
        <w:t xml:space="preserve"> dalšímu růstu úroků zamezil</w:t>
      </w:r>
      <w:r w:rsidR="00A54D53" w:rsidRPr="00E013E3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9628F6" w:rsidRPr="00E013E3">
        <w:rPr>
          <w:rFonts w:ascii="Calibri" w:hAnsi="Calibri" w:cs="Calibri"/>
          <w:color w:val="000000" w:themeColor="text1"/>
          <w:sz w:val="22"/>
          <w:szCs w:val="22"/>
        </w:rPr>
        <w:t xml:space="preserve"> posílení české koruny díky více podpůrnému úrokovému diferenciálu. </w:t>
      </w:r>
    </w:p>
    <w:p w14:paraId="0345F2E3" w14:textId="77777777" w:rsidR="00DD1BFF" w:rsidRDefault="00DD1BFF" w:rsidP="00DD1BFF">
      <w:pPr>
        <w:rPr>
          <w:rFonts w:ascii="Calibri" w:hAnsi="Calibri" w:cs="Calibri"/>
          <w:color w:val="FF0000"/>
          <w:sz w:val="22"/>
          <w:szCs w:val="22"/>
        </w:rPr>
      </w:pPr>
    </w:p>
    <w:p w14:paraId="2D839DE5" w14:textId="4417A093" w:rsidR="00DD1BFF" w:rsidRPr="00B42D4E" w:rsidRDefault="00A36CE8" w:rsidP="00DD1BF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A36CE8">
        <w:rPr>
          <w:rFonts w:ascii="Calibri" w:hAnsi="Calibri" w:cs="Calibri"/>
          <w:b/>
          <w:bCs/>
          <w:color w:val="000000" w:themeColor="text1"/>
          <w:sz w:val="22"/>
          <w:szCs w:val="22"/>
        </w:rPr>
        <w:t>Úroková hypoteční sazba na nové hypotéky v srpn</w:t>
      </w:r>
      <w:r w:rsidR="00502072">
        <w:rPr>
          <w:rFonts w:ascii="Calibri" w:hAnsi="Calibri" w:cs="Calibri"/>
          <w:b/>
          <w:bCs/>
          <w:color w:val="000000" w:themeColor="text1"/>
          <w:sz w:val="22"/>
          <w:szCs w:val="22"/>
        </w:rPr>
        <w:t>u</w:t>
      </w:r>
      <w:r w:rsidRPr="00A36CE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dle ČBA </w:t>
      </w:r>
      <w:proofErr w:type="spellStart"/>
      <w:r w:rsidRPr="00A36CE8">
        <w:rPr>
          <w:rFonts w:ascii="Calibri" w:hAnsi="Calibri" w:cs="Calibri"/>
          <w:b/>
          <w:bCs/>
          <w:color w:val="000000" w:themeColor="text1"/>
          <w:sz w:val="22"/>
          <w:szCs w:val="22"/>
        </w:rPr>
        <w:t>Hypomonitoru</w:t>
      </w:r>
      <w:proofErr w:type="spellEnd"/>
      <w:r w:rsidRPr="00A36CE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nepatrně klesla</w:t>
      </w:r>
      <w:r w:rsidRPr="00A36CE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na 4,52 % a nacházela se tak přibližně </w:t>
      </w:r>
      <w:proofErr w:type="gramStart"/>
      <w:r w:rsidRPr="00A36CE8">
        <w:rPr>
          <w:rFonts w:ascii="Calibri" w:hAnsi="Calibri" w:cs="Calibri"/>
          <w:b/>
          <w:bCs/>
          <w:color w:val="000000" w:themeColor="text1"/>
          <w:sz w:val="22"/>
          <w:szCs w:val="22"/>
        </w:rPr>
        <w:t>0,94%</w:t>
      </w:r>
      <w:proofErr w:type="gramEnd"/>
      <w:r w:rsidRPr="00A36CE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bodu na</w:t>
      </w:r>
      <w:r w:rsidR="00502072">
        <w:rPr>
          <w:rFonts w:ascii="Calibri" w:hAnsi="Calibri" w:cs="Calibri"/>
          <w:b/>
          <w:bCs/>
          <w:color w:val="000000" w:themeColor="text1"/>
          <w:sz w:val="22"/>
          <w:szCs w:val="22"/>
        </w:rPr>
        <w:t>d</w:t>
      </w:r>
      <w:r w:rsidRPr="00A36CE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průměrnými tržními swapovými sazbami.</w:t>
      </w:r>
      <w:r w:rsidRPr="00A36CE8">
        <w:rPr>
          <w:rFonts w:ascii="Calibri" w:hAnsi="Calibri" w:cs="Calibri"/>
          <w:color w:val="000000" w:themeColor="text1"/>
          <w:sz w:val="22"/>
          <w:szCs w:val="22"/>
        </w:rPr>
        <w:t xml:space="preserve"> To je přibližně </w:t>
      </w:r>
      <w:proofErr w:type="gramStart"/>
      <w:r w:rsidRPr="00A36CE8">
        <w:rPr>
          <w:rFonts w:ascii="Calibri" w:hAnsi="Calibri" w:cs="Calibri"/>
          <w:color w:val="000000" w:themeColor="text1"/>
          <w:sz w:val="22"/>
          <w:szCs w:val="22"/>
        </w:rPr>
        <w:t>0,14%</w:t>
      </w:r>
      <w:proofErr w:type="gramEnd"/>
      <w:r w:rsidRPr="00A36CE8">
        <w:rPr>
          <w:rFonts w:ascii="Calibri" w:hAnsi="Calibri" w:cs="Calibri"/>
          <w:color w:val="000000" w:themeColor="text1"/>
          <w:sz w:val="22"/>
          <w:szCs w:val="22"/>
        </w:rPr>
        <w:t xml:space="preserve"> bodu pod dlouhodobým průměrem od roku 2014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proofErr w:type="gramStart"/>
      <w:r>
        <w:rPr>
          <w:rFonts w:ascii="Calibri" w:hAnsi="Calibri" w:cs="Calibri"/>
          <w:color w:val="000000" w:themeColor="text1"/>
          <w:sz w:val="22"/>
          <w:szCs w:val="22"/>
        </w:rPr>
        <w:t>1,08%</w:t>
      </w:r>
      <w:proofErr w:type="gramEnd"/>
      <w:r>
        <w:rPr>
          <w:rFonts w:ascii="Calibri" w:hAnsi="Calibri" w:cs="Calibri"/>
          <w:color w:val="000000" w:themeColor="text1"/>
          <w:sz w:val="22"/>
          <w:szCs w:val="22"/>
        </w:rPr>
        <w:t xml:space="preserve"> bodu)</w:t>
      </w:r>
      <w:r w:rsidRPr="00A36CE8">
        <w:rPr>
          <w:rFonts w:ascii="Calibri" w:hAnsi="Calibri" w:cs="Calibri"/>
          <w:color w:val="000000" w:themeColor="text1"/>
          <w:sz w:val="22"/>
          <w:szCs w:val="22"/>
        </w:rPr>
        <w:t xml:space="preserve">, zatímco v předešlých třech měsících tento spread vůči dlouhodobému průměru činil </w:t>
      </w:r>
      <w:proofErr w:type="gramStart"/>
      <w:r w:rsidRPr="00A36CE8">
        <w:rPr>
          <w:rFonts w:ascii="Calibri" w:hAnsi="Calibri" w:cs="Calibri"/>
          <w:color w:val="000000" w:themeColor="text1"/>
          <w:sz w:val="22"/>
          <w:szCs w:val="22"/>
        </w:rPr>
        <w:t>0,07%</w:t>
      </w:r>
      <w:proofErr w:type="gramEnd"/>
      <w:r w:rsidRPr="00A36CE8">
        <w:rPr>
          <w:rFonts w:ascii="Calibri" w:hAnsi="Calibri" w:cs="Calibri"/>
          <w:color w:val="000000" w:themeColor="text1"/>
          <w:sz w:val="22"/>
          <w:szCs w:val="22"/>
        </w:rPr>
        <w:t xml:space="preserve"> bodu.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D1BFF" w:rsidRPr="00E013E3">
        <w:rPr>
          <w:rFonts w:ascii="Calibri" w:hAnsi="Calibri" w:cs="Calibri"/>
          <w:color w:val="000000" w:themeColor="text1"/>
          <w:sz w:val="22"/>
          <w:szCs w:val="22"/>
        </w:rPr>
        <w:t xml:space="preserve">Pokud nedojde k výraznější korekci tržních úrokových sazeb směrem </w:t>
      </w:r>
      <w:r w:rsidR="00140854" w:rsidRPr="00E013E3">
        <w:rPr>
          <w:rFonts w:ascii="Calibri" w:hAnsi="Calibri" w:cs="Calibri"/>
          <w:color w:val="000000" w:themeColor="text1"/>
          <w:sz w:val="22"/>
          <w:szCs w:val="22"/>
        </w:rPr>
        <w:t>dolů</w:t>
      </w:r>
      <w:r w:rsidR="00DD1BFF" w:rsidRPr="00E013E3">
        <w:rPr>
          <w:rFonts w:ascii="Calibri" w:hAnsi="Calibri" w:cs="Calibri"/>
          <w:color w:val="000000" w:themeColor="text1"/>
          <w:sz w:val="22"/>
          <w:szCs w:val="22"/>
        </w:rPr>
        <w:t xml:space="preserve"> (což by bylo možné ve scénáři </w:t>
      </w:r>
      <w:r w:rsidR="00140854" w:rsidRPr="00E013E3">
        <w:rPr>
          <w:rFonts w:ascii="Calibri" w:hAnsi="Calibri" w:cs="Calibri"/>
          <w:color w:val="000000" w:themeColor="text1"/>
          <w:sz w:val="22"/>
          <w:szCs w:val="22"/>
        </w:rPr>
        <w:t>obnovení negativního rizika spojeného s celními válkami</w:t>
      </w:r>
      <w:r w:rsidR="00CB2E9C" w:rsidRPr="00E013E3">
        <w:rPr>
          <w:rFonts w:ascii="Calibri" w:hAnsi="Calibri" w:cs="Calibri"/>
          <w:color w:val="000000" w:themeColor="text1"/>
          <w:sz w:val="22"/>
          <w:szCs w:val="22"/>
        </w:rPr>
        <w:t>, při dalším silnějším posílení koruny,</w:t>
      </w:r>
      <w:r w:rsidR="00140854" w:rsidRPr="00E013E3">
        <w:rPr>
          <w:rFonts w:ascii="Calibri" w:hAnsi="Calibri" w:cs="Calibri"/>
          <w:color w:val="000000" w:themeColor="text1"/>
          <w:sz w:val="22"/>
          <w:szCs w:val="22"/>
        </w:rPr>
        <w:t xml:space="preserve"> či</w:t>
      </w:r>
      <w:r w:rsidR="009628F6" w:rsidRPr="00E013E3">
        <w:rPr>
          <w:rFonts w:ascii="Calibri" w:hAnsi="Calibri" w:cs="Calibri"/>
          <w:color w:val="000000" w:themeColor="text1"/>
          <w:sz w:val="22"/>
          <w:szCs w:val="22"/>
        </w:rPr>
        <w:t xml:space="preserve"> v případě </w:t>
      </w:r>
      <w:r w:rsidR="00140854" w:rsidRPr="00E013E3">
        <w:rPr>
          <w:rFonts w:ascii="Calibri" w:hAnsi="Calibri" w:cs="Calibri"/>
          <w:color w:val="000000" w:themeColor="text1"/>
          <w:sz w:val="22"/>
          <w:szCs w:val="22"/>
        </w:rPr>
        <w:t>výraznější</w:t>
      </w:r>
      <w:r w:rsidR="009628F6" w:rsidRPr="00E013E3">
        <w:rPr>
          <w:rFonts w:ascii="Calibri" w:hAnsi="Calibri" w:cs="Calibri"/>
          <w:color w:val="000000" w:themeColor="text1"/>
          <w:sz w:val="22"/>
          <w:szCs w:val="22"/>
        </w:rPr>
        <w:t>ho</w:t>
      </w:r>
      <w:r w:rsidR="00140854" w:rsidRPr="00E013E3">
        <w:rPr>
          <w:rFonts w:ascii="Calibri" w:hAnsi="Calibri" w:cs="Calibri"/>
          <w:color w:val="000000" w:themeColor="text1"/>
          <w:sz w:val="22"/>
          <w:szCs w:val="22"/>
        </w:rPr>
        <w:t xml:space="preserve"> zchlazení českého trhu práce</w:t>
      </w:r>
      <w:r w:rsidR="009628F6" w:rsidRPr="00E013E3">
        <w:rPr>
          <w:rFonts w:ascii="Calibri" w:hAnsi="Calibri" w:cs="Calibri"/>
          <w:color w:val="000000" w:themeColor="text1"/>
          <w:sz w:val="22"/>
          <w:szCs w:val="22"/>
        </w:rPr>
        <w:t xml:space="preserve"> či nemovitostí</w:t>
      </w:r>
      <w:r w:rsidR="00140854" w:rsidRPr="00E013E3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9628F6" w:rsidRPr="00E013E3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DD1BFF" w:rsidRPr="00E013E3">
        <w:rPr>
          <w:rFonts w:ascii="Calibri" w:hAnsi="Calibri" w:cs="Calibri"/>
          <w:color w:val="000000" w:themeColor="text1"/>
          <w:sz w:val="22"/>
          <w:szCs w:val="22"/>
        </w:rPr>
        <w:t xml:space="preserve">pak současný rozdíl mezi hypoteční a tržní sazbou </w:t>
      </w:r>
      <w:r w:rsidR="009628F6" w:rsidRPr="00E013E3">
        <w:rPr>
          <w:rFonts w:ascii="Calibri" w:hAnsi="Calibri" w:cs="Calibri"/>
          <w:color w:val="000000" w:themeColor="text1"/>
          <w:sz w:val="22"/>
          <w:szCs w:val="22"/>
        </w:rPr>
        <w:t>bude asi limitovat další výraznější pokles</w:t>
      </w:r>
      <w:r w:rsidR="00DD1BFF" w:rsidRPr="00E013E3">
        <w:rPr>
          <w:rFonts w:ascii="Calibri" w:hAnsi="Calibri" w:cs="Calibri"/>
          <w:color w:val="000000" w:themeColor="text1"/>
          <w:sz w:val="22"/>
          <w:szCs w:val="22"/>
        </w:rPr>
        <w:t xml:space="preserve"> hypoteční sazby.</w:t>
      </w:r>
    </w:p>
    <w:p w14:paraId="72BA0646" w14:textId="77777777" w:rsidR="008F7CC9" w:rsidRDefault="008F7CC9" w:rsidP="00DD1BFF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AEA41E0" w14:textId="2FE2F000" w:rsidR="008F7CC9" w:rsidRDefault="008F7CC9" w:rsidP="008F7CC9">
      <w:pPr>
        <w:rPr>
          <w:rFonts w:ascii="Calibri" w:hAnsi="Calibri" w:cs="Calibri"/>
          <w:b/>
          <w:color w:val="13576B"/>
          <w:sz w:val="23"/>
          <w:szCs w:val="23"/>
        </w:rPr>
      </w:pPr>
      <w:r>
        <w:rPr>
          <w:rFonts w:ascii="Calibri" w:hAnsi="Calibri" w:cs="Calibri"/>
          <w:b/>
          <w:color w:val="13576B"/>
          <w:sz w:val="23"/>
          <w:szCs w:val="23"/>
        </w:rPr>
        <w:t xml:space="preserve">Tržní dlouhodobé sazby </w:t>
      </w:r>
      <w:r w:rsidR="00B35D32">
        <w:rPr>
          <w:rFonts w:ascii="Calibri" w:hAnsi="Calibri" w:cs="Calibri"/>
          <w:b/>
          <w:color w:val="13576B"/>
          <w:sz w:val="23"/>
          <w:szCs w:val="23"/>
        </w:rPr>
        <w:t>s</w:t>
      </w:r>
      <w:r w:rsidR="00883A3C">
        <w:rPr>
          <w:rFonts w:ascii="Calibri" w:hAnsi="Calibri" w:cs="Calibri"/>
          <w:b/>
          <w:color w:val="13576B"/>
          <w:sz w:val="23"/>
          <w:szCs w:val="23"/>
        </w:rPr>
        <w:t>e v srpnu ustálily na vyšších úrovních v porovnání s prvním pololetím</w:t>
      </w:r>
    </w:p>
    <w:p w14:paraId="522B8972" w14:textId="4BB25355" w:rsidR="008F7CC9" w:rsidRDefault="00883A3C" w:rsidP="00DD1BF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883A3C">
        <w:rPr>
          <w:rFonts w:ascii="Calibri" w:hAnsi="Calibri" w:cs="Calibri"/>
          <w:noProof/>
          <w:color w:val="000000" w:themeColor="text1"/>
          <w:sz w:val="22"/>
          <w:szCs w:val="22"/>
        </w:rPr>
        <w:drawing>
          <wp:inline distT="0" distB="0" distL="0" distR="0" wp14:anchorId="2A53D4DB" wp14:editId="5602FD0A">
            <wp:extent cx="3616960" cy="2272665"/>
            <wp:effectExtent l="0" t="0" r="2540" b="0"/>
            <wp:docPr id="6148543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960" cy="227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87822" w14:textId="2859F408" w:rsidR="008F7CC9" w:rsidRDefault="008F7CC9" w:rsidP="00DD1BF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AA62A7">
        <w:rPr>
          <w:rFonts w:asciiTheme="minorHAnsi" w:hAnsiTheme="minorHAnsi" w:cstheme="minorHAnsi"/>
          <w:color w:val="2F5496" w:themeColor="accent5" w:themeShade="BF"/>
          <w:sz w:val="20"/>
        </w:rPr>
        <w:t>Pramen</w:t>
      </w:r>
      <w:r w:rsidRPr="00AA62A7">
        <w:rPr>
          <w:rFonts w:asciiTheme="minorHAnsi" w:hAnsiTheme="minorHAnsi" w:cstheme="minorHAnsi"/>
          <w:color w:val="13576B"/>
          <w:sz w:val="20"/>
        </w:rPr>
        <w:t xml:space="preserve">: </w:t>
      </w:r>
      <w:r w:rsidR="00B35D32">
        <w:rPr>
          <w:rFonts w:asciiTheme="minorHAnsi" w:hAnsiTheme="minorHAnsi" w:cstheme="minorHAnsi"/>
          <w:color w:val="13576B"/>
          <w:sz w:val="20"/>
        </w:rPr>
        <w:t>LSEG (1</w:t>
      </w:r>
      <w:r w:rsidR="00883A3C">
        <w:rPr>
          <w:rFonts w:asciiTheme="minorHAnsi" w:hAnsiTheme="minorHAnsi" w:cstheme="minorHAnsi"/>
          <w:color w:val="13576B"/>
          <w:sz w:val="20"/>
        </w:rPr>
        <w:t>0</w:t>
      </w:r>
      <w:r w:rsidR="00B35D32">
        <w:rPr>
          <w:rFonts w:asciiTheme="minorHAnsi" w:hAnsiTheme="minorHAnsi" w:cstheme="minorHAnsi"/>
          <w:color w:val="13576B"/>
          <w:sz w:val="20"/>
        </w:rPr>
        <w:t xml:space="preserve">. </w:t>
      </w:r>
      <w:r w:rsidR="00883A3C">
        <w:rPr>
          <w:rFonts w:asciiTheme="minorHAnsi" w:hAnsiTheme="minorHAnsi" w:cstheme="minorHAnsi"/>
          <w:color w:val="13576B"/>
          <w:sz w:val="20"/>
        </w:rPr>
        <w:t>září</w:t>
      </w:r>
      <w:r w:rsidR="00B35D32">
        <w:rPr>
          <w:rFonts w:asciiTheme="minorHAnsi" w:hAnsiTheme="minorHAnsi" w:cstheme="minorHAnsi"/>
          <w:color w:val="13576B"/>
          <w:sz w:val="20"/>
        </w:rPr>
        <w:t xml:space="preserve"> 2025)</w:t>
      </w:r>
      <w:r>
        <w:rPr>
          <w:rFonts w:asciiTheme="minorHAnsi" w:hAnsiTheme="minorHAnsi" w:cstheme="minorHAnsi"/>
          <w:color w:val="13576B"/>
          <w:sz w:val="20"/>
        </w:rPr>
        <w:t xml:space="preserve">, </w:t>
      </w:r>
      <w:r w:rsidRPr="00AA62A7">
        <w:rPr>
          <w:rFonts w:asciiTheme="minorHAnsi" w:hAnsiTheme="minorHAnsi" w:cstheme="minorHAnsi"/>
          <w:color w:val="13576B"/>
          <w:sz w:val="20"/>
        </w:rPr>
        <w:t>ČBA</w:t>
      </w:r>
    </w:p>
    <w:p w14:paraId="4F9E18AA" w14:textId="77777777" w:rsidR="008F7CC9" w:rsidRPr="00452B0E" w:rsidRDefault="008F7CC9" w:rsidP="00DD1BFF">
      <w:pPr>
        <w:rPr>
          <w:rFonts w:ascii="Calibri" w:hAnsi="Calibri" w:cs="Calibri"/>
          <w:color w:val="FF0000"/>
          <w:sz w:val="22"/>
          <w:szCs w:val="22"/>
        </w:rPr>
      </w:pPr>
    </w:p>
    <w:p w14:paraId="72E83631" w14:textId="69A87B67" w:rsidR="00B04FE2" w:rsidRDefault="00E4296A" w:rsidP="00B04FE2">
      <w:pPr>
        <w:rPr>
          <w:rFonts w:ascii="Calibri" w:hAnsi="Calibri" w:cs="Calibri"/>
          <w:b/>
          <w:color w:val="13576B"/>
          <w:sz w:val="24"/>
          <w:szCs w:val="24"/>
        </w:rPr>
      </w:pPr>
      <w:bookmarkStart w:id="5" w:name="_Hlk100672905"/>
      <w:bookmarkEnd w:id="4"/>
      <w:r w:rsidRPr="00A02F5D">
        <w:rPr>
          <w:rFonts w:ascii="Calibri" w:hAnsi="Calibri" w:cs="Calibri"/>
          <w:b/>
          <w:color w:val="13576B"/>
          <w:sz w:val="24"/>
          <w:szCs w:val="24"/>
        </w:rPr>
        <w:t xml:space="preserve">Průměrná velikost </w:t>
      </w:r>
      <w:r w:rsidR="00D73AAF" w:rsidRPr="00A02F5D">
        <w:rPr>
          <w:rFonts w:ascii="Calibri" w:hAnsi="Calibri" w:cs="Calibri"/>
          <w:b/>
          <w:color w:val="13576B"/>
          <w:sz w:val="24"/>
          <w:szCs w:val="24"/>
        </w:rPr>
        <w:t xml:space="preserve">hypotéky </w:t>
      </w:r>
      <w:r w:rsidR="00AF2306">
        <w:rPr>
          <w:rFonts w:ascii="Calibri" w:hAnsi="Calibri" w:cs="Calibri"/>
          <w:b/>
          <w:color w:val="13576B"/>
          <w:sz w:val="24"/>
          <w:szCs w:val="24"/>
        </w:rPr>
        <w:t>v</w:t>
      </w:r>
      <w:r w:rsidR="000427B8">
        <w:rPr>
          <w:rFonts w:ascii="Calibri" w:hAnsi="Calibri" w:cs="Calibri"/>
          <w:b/>
          <w:color w:val="13576B"/>
          <w:sz w:val="24"/>
          <w:szCs w:val="24"/>
        </w:rPr>
        <w:t> </w:t>
      </w:r>
      <w:r w:rsidR="00883A3C">
        <w:rPr>
          <w:rFonts w:ascii="Calibri" w:hAnsi="Calibri" w:cs="Calibri"/>
          <w:b/>
          <w:color w:val="13576B"/>
          <w:sz w:val="24"/>
          <w:szCs w:val="24"/>
        </w:rPr>
        <w:t>srpnu</w:t>
      </w:r>
      <w:r w:rsidR="000427B8">
        <w:rPr>
          <w:rFonts w:ascii="Calibri" w:hAnsi="Calibri" w:cs="Calibri"/>
          <w:b/>
          <w:color w:val="13576B"/>
          <w:sz w:val="24"/>
          <w:szCs w:val="24"/>
        </w:rPr>
        <w:t xml:space="preserve"> </w:t>
      </w:r>
      <w:r w:rsidR="00883A3C">
        <w:rPr>
          <w:rFonts w:ascii="Calibri" w:hAnsi="Calibri" w:cs="Calibri"/>
          <w:b/>
          <w:color w:val="13576B"/>
          <w:sz w:val="24"/>
          <w:szCs w:val="24"/>
        </w:rPr>
        <w:t>mírně poklesla</w:t>
      </w:r>
      <w:r w:rsidR="000427B8">
        <w:rPr>
          <w:rFonts w:ascii="Calibri" w:hAnsi="Calibri" w:cs="Calibri"/>
          <w:b/>
          <w:color w:val="13576B"/>
          <w:sz w:val="24"/>
          <w:szCs w:val="24"/>
        </w:rPr>
        <w:t xml:space="preserve"> </w:t>
      </w:r>
      <w:r w:rsidR="00883A3C">
        <w:rPr>
          <w:rFonts w:ascii="Calibri" w:hAnsi="Calibri" w:cs="Calibri"/>
          <w:b/>
          <w:color w:val="13576B"/>
          <w:sz w:val="24"/>
          <w:szCs w:val="24"/>
        </w:rPr>
        <w:t xml:space="preserve">na </w:t>
      </w:r>
      <w:r w:rsidR="000427B8">
        <w:rPr>
          <w:rFonts w:ascii="Calibri" w:hAnsi="Calibri" w:cs="Calibri"/>
          <w:b/>
          <w:color w:val="13576B"/>
          <w:sz w:val="24"/>
          <w:szCs w:val="24"/>
        </w:rPr>
        <w:t>4,2</w:t>
      </w:r>
      <w:r w:rsidR="00883A3C">
        <w:rPr>
          <w:rFonts w:ascii="Calibri" w:hAnsi="Calibri" w:cs="Calibri"/>
          <w:b/>
          <w:color w:val="13576B"/>
          <w:sz w:val="24"/>
          <w:szCs w:val="24"/>
        </w:rPr>
        <w:t>6</w:t>
      </w:r>
      <w:r w:rsidR="000427B8">
        <w:rPr>
          <w:rFonts w:ascii="Calibri" w:hAnsi="Calibri" w:cs="Calibri"/>
          <w:b/>
          <w:color w:val="13576B"/>
          <w:sz w:val="24"/>
          <w:szCs w:val="24"/>
        </w:rPr>
        <w:t xml:space="preserve"> mil. Kč</w:t>
      </w:r>
      <w:r w:rsidR="00883A3C">
        <w:rPr>
          <w:rFonts w:ascii="Calibri" w:hAnsi="Calibri" w:cs="Calibri"/>
          <w:b/>
          <w:color w:val="13576B"/>
          <w:sz w:val="24"/>
          <w:szCs w:val="24"/>
        </w:rPr>
        <w:t xml:space="preserve"> a stabilizace byla patrná i pro</w:t>
      </w:r>
      <w:r w:rsidR="000427B8">
        <w:rPr>
          <w:rFonts w:ascii="Calibri" w:hAnsi="Calibri" w:cs="Calibri"/>
          <w:b/>
          <w:color w:val="13576B"/>
          <w:sz w:val="24"/>
          <w:szCs w:val="24"/>
        </w:rPr>
        <w:t xml:space="preserve"> hypotéky ke koupi </w:t>
      </w:r>
    </w:p>
    <w:p w14:paraId="417F8A0F" w14:textId="77777777" w:rsidR="008569DC" w:rsidRPr="00A02F5D" w:rsidRDefault="008569DC" w:rsidP="00B04FE2">
      <w:pPr>
        <w:rPr>
          <w:rFonts w:ascii="Calibri" w:hAnsi="Calibri" w:cs="Calibri"/>
          <w:b/>
          <w:color w:val="13576B"/>
          <w:sz w:val="24"/>
          <w:szCs w:val="24"/>
        </w:rPr>
      </w:pPr>
    </w:p>
    <w:p w14:paraId="17A6F1F2" w14:textId="1E6604E6" w:rsidR="00A36CE8" w:rsidRDefault="00A36CE8" w:rsidP="00A36CE8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A36CE8">
        <w:rPr>
          <w:rFonts w:ascii="Calibri" w:hAnsi="Calibri" w:cs="Calibri"/>
          <w:b/>
          <w:bCs/>
          <w:color w:val="000000"/>
          <w:sz w:val="22"/>
          <w:szCs w:val="22"/>
        </w:rPr>
        <w:t>Průměrná velikost skutečně nově poskytnuté hypotéky v srpnu nepatrně klesla na 4,26 mil. Kč v porovnání s červencem.</w:t>
      </w:r>
      <w:r w:rsidRPr="00A36CE8">
        <w:rPr>
          <w:rFonts w:ascii="Calibri" w:hAnsi="Calibri" w:cs="Calibri"/>
          <w:color w:val="000000"/>
          <w:sz w:val="22"/>
          <w:szCs w:val="22"/>
        </w:rPr>
        <w:t xml:space="preserve"> Její velikost je</w:t>
      </w:r>
      <w:r>
        <w:rPr>
          <w:rFonts w:ascii="Calibri" w:hAnsi="Calibri" w:cs="Calibri"/>
          <w:color w:val="000000"/>
          <w:sz w:val="22"/>
          <w:szCs w:val="22"/>
        </w:rPr>
        <w:t xml:space="preserve"> ovšem i </w:t>
      </w:r>
      <w:r w:rsidRPr="00A36CE8">
        <w:rPr>
          <w:rFonts w:ascii="Calibri" w:hAnsi="Calibri" w:cs="Calibri"/>
          <w:color w:val="000000"/>
          <w:sz w:val="22"/>
          <w:szCs w:val="22"/>
        </w:rPr>
        <w:t xml:space="preserve">tak o 8 % vyšší než 3,95 mil. Kč před rokem. Odhlédneme-li od mimořádné hodnoty téměř 4 mil. Kč v srpnu 2024 (vliv nové legislativy), tak průměrná hodnota od loňského dubna postupně roste a o 23 % převyšuje předcházející rekordní úroveň z listopadu 2021 ve výši 3,46 mil. Kč. </w:t>
      </w:r>
      <w:r w:rsidRPr="00541D7D">
        <w:rPr>
          <w:rFonts w:ascii="Calibri" w:hAnsi="Calibri" w:cs="Calibri"/>
          <w:color w:val="000000"/>
          <w:sz w:val="22"/>
          <w:szCs w:val="22"/>
        </w:rPr>
        <w:t xml:space="preserve">Dosáhnout na vyšší hypotéku umožňuje postupný pokles hypotečních sazeb, či </w:t>
      </w:r>
      <w:r>
        <w:rPr>
          <w:rFonts w:ascii="Calibri" w:hAnsi="Calibri" w:cs="Calibri"/>
          <w:color w:val="000000"/>
          <w:sz w:val="22"/>
          <w:szCs w:val="22"/>
        </w:rPr>
        <w:t>o něco silnější</w:t>
      </w:r>
      <w:r w:rsidRPr="00541D7D">
        <w:rPr>
          <w:rFonts w:ascii="Calibri" w:hAnsi="Calibri" w:cs="Calibri"/>
          <w:color w:val="000000"/>
          <w:sz w:val="22"/>
          <w:szCs w:val="22"/>
        </w:rPr>
        <w:t xml:space="preserve"> růst reálných příjmů domácností </w:t>
      </w:r>
      <w:r w:rsidRPr="00266ACC">
        <w:rPr>
          <w:rFonts w:ascii="Calibri" w:hAnsi="Calibri" w:cs="Calibri"/>
          <w:color w:val="000000"/>
          <w:sz w:val="22"/>
          <w:szCs w:val="22"/>
        </w:rPr>
        <w:t>(</w:t>
      </w:r>
      <w:r>
        <w:rPr>
          <w:rFonts w:ascii="Calibri" w:hAnsi="Calibri" w:cs="Calibri"/>
          <w:color w:val="000000"/>
          <w:sz w:val="22"/>
          <w:szCs w:val="22"/>
        </w:rPr>
        <w:t>3,9 % meziročně v </w:t>
      </w:r>
      <w:hyperlink r:id="rId16" w:history="1">
        <w:r w:rsidRPr="00E96618">
          <w:rPr>
            <w:rStyle w:val="Hypertextovodkaz"/>
            <w:rFonts w:ascii="Calibri" w:hAnsi="Calibri" w:cs="Calibri"/>
            <w:sz w:val="22"/>
            <w:szCs w:val="22"/>
          </w:rPr>
          <w:t>Q</w:t>
        </w:r>
        <w:r>
          <w:rPr>
            <w:rStyle w:val="Hypertextovodkaz"/>
            <w:rFonts w:ascii="Calibri" w:hAnsi="Calibri" w:cs="Calibri"/>
            <w:sz w:val="22"/>
            <w:szCs w:val="22"/>
          </w:rPr>
          <w:t>2</w:t>
        </w:r>
        <w:r w:rsidRPr="00E96618">
          <w:rPr>
            <w:rStyle w:val="Hypertextovodkaz"/>
            <w:rFonts w:ascii="Calibri" w:hAnsi="Calibri" w:cs="Calibri"/>
            <w:sz w:val="22"/>
            <w:szCs w:val="22"/>
          </w:rPr>
          <w:t>-</w:t>
        </w:r>
        <w:r w:rsidRPr="00E96618">
          <w:rPr>
            <w:rStyle w:val="Hypertextovodkaz"/>
            <w:rFonts w:ascii="Calibri" w:hAnsi="Calibri" w:cs="Calibri"/>
            <w:sz w:val="22"/>
            <w:szCs w:val="22"/>
          </w:rPr>
          <w:t>2</w:t>
        </w:r>
        <w:r w:rsidRPr="00E96618">
          <w:rPr>
            <w:rStyle w:val="Hypertextovodkaz"/>
            <w:rFonts w:ascii="Calibri" w:hAnsi="Calibri" w:cs="Calibri"/>
            <w:sz w:val="22"/>
            <w:szCs w:val="22"/>
          </w:rPr>
          <w:t>025</w:t>
        </w:r>
      </w:hyperlink>
      <w:r>
        <w:t xml:space="preserve"> </w:t>
      </w:r>
      <w:r w:rsidRPr="007F54A0">
        <w:rPr>
          <w:rFonts w:ascii="Calibri" w:hAnsi="Calibri" w:cs="Calibri"/>
          <w:sz w:val="22"/>
          <w:szCs w:val="22"/>
        </w:rPr>
        <w:t xml:space="preserve">či graficky </w:t>
      </w:r>
      <w:hyperlink r:id="rId17" w:history="1">
        <w:r w:rsidRPr="007F54A0">
          <w:rPr>
            <w:rStyle w:val="Hypertextovodkaz"/>
            <w:rFonts w:ascii="Calibri" w:hAnsi="Calibri" w:cs="Calibri"/>
            <w:sz w:val="22"/>
            <w:szCs w:val="22"/>
          </w:rPr>
          <w:t>zd</w:t>
        </w:r>
        <w:r w:rsidRPr="007F54A0">
          <w:rPr>
            <w:rStyle w:val="Hypertextovodkaz"/>
            <w:rFonts w:ascii="Calibri" w:hAnsi="Calibri" w:cs="Calibri"/>
            <w:sz w:val="22"/>
            <w:szCs w:val="22"/>
          </w:rPr>
          <w:t>e</w:t>
        </w:r>
      </w:hyperlink>
      <w:r w:rsidRPr="00266ACC">
        <w:rPr>
          <w:rFonts w:ascii="Calibri" w:hAnsi="Calibri" w:cs="Calibri"/>
          <w:color w:val="000000"/>
          <w:sz w:val="22"/>
          <w:szCs w:val="22"/>
        </w:rPr>
        <w:t xml:space="preserve">), společně s pokračujícími uvolněnými </w:t>
      </w:r>
      <w:proofErr w:type="spellStart"/>
      <w:r w:rsidRPr="00266ACC">
        <w:rPr>
          <w:rFonts w:ascii="Calibri" w:hAnsi="Calibri" w:cs="Calibri"/>
          <w:color w:val="000000"/>
          <w:sz w:val="22"/>
          <w:szCs w:val="22"/>
        </w:rPr>
        <w:t>makroobezřetnostními</w:t>
      </w:r>
      <w:proofErr w:type="spellEnd"/>
      <w:r w:rsidRPr="00266ACC">
        <w:rPr>
          <w:rFonts w:ascii="Calibri" w:hAnsi="Calibri" w:cs="Calibri"/>
          <w:color w:val="000000"/>
          <w:sz w:val="22"/>
          <w:szCs w:val="22"/>
        </w:rPr>
        <w:t xml:space="preserve"> limity ohledně </w:t>
      </w:r>
      <w:r w:rsidRPr="00266ACC">
        <w:rPr>
          <w:rFonts w:ascii="Calibri" w:hAnsi="Calibri" w:cs="Calibri"/>
          <w:color w:val="000000"/>
          <w:sz w:val="22"/>
          <w:szCs w:val="22"/>
        </w:rPr>
        <w:lastRenderedPageBreak/>
        <w:t xml:space="preserve">příjmů ze strany ČNB (pouze 80% limit LTV či </w:t>
      </w:r>
      <w:proofErr w:type="gramStart"/>
      <w:r w:rsidRPr="00266ACC">
        <w:rPr>
          <w:rFonts w:ascii="Calibri" w:hAnsi="Calibri" w:cs="Calibri"/>
          <w:color w:val="000000"/>
          <w:sz w:val="22"/>
          <w:szCs w:val="22"/>
        </w:rPr>
        <w:t>90%</w:t>
      </w:r>
      <w:proofErr w:type="gramEnd"/>
      <w:r w:rsidRPr="00266ACC">
        <w:rPr>
          <w:rFonts w:ascii="Calibri" w:hAnsi="Calibri" w:cs="Calibri"/>
          <w:color w:val="000000"/>
          <w:sz w:val="22"/>
          <w:szCs w:val="22"/>
        </w:rPr>
        <w:t xml:space="preserve"> v případě žadatelů mladších 36 let). </w:t>
      </w:r>
      <w:r>
        <w:rPr>
          <w:rFonts w:ascii="Calibri" w:hAnsi="Calibri" w:cs="Calibri"/>
          <w:color w:val="000000"/>
          <w:sz w:val="22"/>
          <w:szCs w:val="22"/>
        </w:rPr>
        <w:t>Rostoucí vý</w:t>
      </w:r>
      <w:r w:rsidRPr="00665F6E">
        <w:rPr>
          <w:rFonts w:ascii="Calibri" w:hAnsi="Calibri" w:cs="Calibri"/>
          <w:color w:val="000000" w:themeColor="text1"/>
          <w:sz w:val="22"/>
          <w:szCs w:val="22"/>
        </w:rPr>
        <w:t xml:space="preserve">še hypotéky pak souvisí </w:t>
      </w:r>
      <w:r w:rsidRPr="002725DA">
        <w:rPr>
          <w:rFonts w:ascii="Calibri" w:hAnsi="Calibri" w:cs="Calibri"/>
          <w:color w:val="000000"/>
          <w:sz w:val="22"/>
          <w:szCs w:val="22"/>
        </w:rPr>
        <w:t xml:space="preserve">také s vývojem cen </w:t>
      </w:r>
      <w:r>
        <w:rPr>
          <w:rFonts w:ascii="Calibri" w:hAnsi="Calibri" w:cs="Calibri"/>
          <w:color w:val="000000"/>
          <w:sz w:val="22"/>
          <w:szCs w:val="22"/>
        </w:rPr>
        <w:t>bytů</w:t>
      </w:r>
      <w:r w:rsidRPr="002725DA">
        <w:rPr>
          <w:rFonts w:ascii="Calibri" w:hAnsi="Calibri" w:cs="Calibri"/>
          <w:color w:val="000000"/>
          <w:sz w:val="22"/>
          <w:szCs w:val="22"/>
        </w:rPr>
        <w:t>, které</w:t>
      </w:r>
      <w:r>
        <w:rPr>
          <w:rFonts w:ascii="Calibri" w:hAnsi="Calibri" w:cs="Calibri"/>
          <w:color w:val="000000"/>
          <w:sz w:val="22"/>
          <w:szCs w:val="22"/>
        </w:rPr>
        <w:t xml:space="preserve"> si dle údajů společnosti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Flat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Zone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v druhém čtvrtletí roku 2025 udržely stále silný 10% meziroční růst </w:t>
      </w:r>
      <w:r w:rsidRPr="002725DA">
        <w:rPr>
          <w:rFonts w:ascii="Calibri" w:hAnsi="Calibri" w:cs="Calibri"/>
          <w:color w:val="000000"/>
          <w:sz w:val="22"/>
          <w:szCs w:val="22"/>
        </w:rPr>
        <w:t xml:space="preserve">(viz </w:t>
      </w:r>
      <w:r>
        <w:rPr>
          <w:rFonts w:ascii="Calibri" w:hAnsi="Calibri" w:cs="Calibri"/>
          <w:color w:val="000000"/>
          <w:sz w:val="22"/>
          <w:szCs w:val="22"/>
        </w:rPr>
        <w:t xml:space="preserve">grafy na </w:t>
      </w:r>
      <w:r w:rsidRPr="002725DA">
        <w:rPr>
          <w:rFonts w:ascii="Calibri" w:hAnsi="Calibri" w:cs="Calibri"/>
          <w:color w:val="000000"/>
          <w:sz w:val="22"/>
          <w:szCs w:val="22"/>
        </w:rPr>
        <w:t>ČBA Monitor</w:t>
      </w:r>
      <w:r>
        <w:rPr>
          <w:rFonts w:ascii="Calibri" w:hAnsi="Calibri" w:cs="Calibri"/>
          <w:color w:val="000000"/>
          <w:sz w:val="22"/>
          <w:szCs w:val="22"/>
        </w:rPr>
        <w:t>u</w:t>
      </w:r>
      <w:r w:rsidRPr="002725DA">
        <w:rPr>
          <w:rFonts w:ascii="Calibri" w:hAnsi="Calibri" w:cs="Calibri"/>
          <w:color w:val="000000"/>
          <w:sz w:val="22"/>
          <w:szCs w:val="22"/>
        </w:rPr>
        <w:t xml:space="preserve"> - </w:t>
      </w:r>
      <w:hyperlink r:id="rId18" w:history="1">
        <w:r w:rsidRPr="00436F5C">
          <w:rPr>
            <w:rStyle w:val="Hypertextovodkaz"/>
            <w:rFonts w:ascii="Calibri" w:hAnsi="Calibri" w:cs="Calibri"/>
            <w:sz w:val="22"/>
            <w:szCs w:val="22"/>
          </w:rPr>
          <w:t xml:space="preserve">ČBA </w:t>
        </w:r>
        <w:r w:rsidRPr="00436F5C">
          <w:rPr>
            <w:rStyle w:val="Hypertextovodkaz"/>
            <w:rFonts w:ascii="Calibri" w:hAnsi="Calibri" w:cs="Calibri"/>
            <w:sz w:val="22"/>
            <w:szCs w:val="22"/>
          </w:rPr>
          <w:t>M</w:t>
        </w:r>
        <w:r w:rsidRPr="00436F5C">
          <w:rPr>
            <w:rStyle w:val="Hypertextovodkaz"/>
            <w:rFonts w:ascii="Calibri" w:hAnsi="Calibri" w:cs="Calibri"/>
            <w:sz w:val="22"/>
            <w:szCs w:val="22"/>
          </w:rPr>
          <w:t>onitor</w:t>
        </w:r>
      </w:hyperlink>
      <w:r>
        <w:t xml:space="preserve"> </w:t>
      </w:r>
      <w:r w:rsidRPr="00E96618">
        <w:rPr>
          <w:rFonts w:ascii="Calibri" w:hAnsi="Calibri" w:cs="Calibri"/>
          <w:color w:val="000000"/>
          <w:sz w:val="22"/>
          <w:szCs w:val="22"/>
        </w:rPr>
        <w:t xml:space="preserve">či </w:t>
      </w:r>
      <w:r>
        <w:rPr>
          <w:rFonts w:ascii="Calibri" w:hAnsi="Calibri" w:cs="Calibri"/>
          <w:color w:val="000000"/>
          <w:sz w:val="22"/>
          <w:szCs w:val="22"/>
        </w:rPr>
        <w:t xml:space="preserve">v komentáři </w:t>
      </w:r>
      <w:hyperlink r:id="rId19" w:history="1">
        <w:r w:rsidRPr="004951FE">
          <w:rPr>
            <w:rStyle w:val="Hypertextovodkaz"/>
            <w:rFonts w:ascii="Calibri" w:hAnsi="Calibri" w:cs="Calibri"/>
            <w:sz w:val="22"/>
            <w:szCs w:val="22"/>
          </w:rPr>
          <w:t>zd</w:t>
        </w:r>
        <w:r w:rsidRPr="004951FE">
          <w:rPr>
            <w:rStyle w:val="Hypertextovodkaz"/>
            <w:rFonts w:ascii="Calibri" w:hAnsi="Calibri" w:cs="Calibri"/>
            <w:sz w:val="22"/>
            <w:szCs w:val="22"/>
          </w:rPr>
          <w:t>e</w:t>
        </w:r>
      </w:hyperlink>
      <w:r w:rsidRPr="002725DA">
        <w:rPr>
          <w:rFonts w:ascii="Calibri" w:hAnsi="Calibri" w:cs="Calibri"/>
          <w:color w:val="000000"/>
          <w:sz w:val="22"/>
          <w:szCs w:val="22"/>
        </w:rPr>
        <w:t>).</w:t>
      </w:r>
      <w:r>
        <w:rPr>
          <w:rFonts w:ascii="Calibri" w:hAnsi="Calibri" w:cs="Calibri"/>
          <w:color w:val="000000"/>
          <w:sz w:val="22"/>
          <w:szCs w:val="22"/>
        </w:rPr>
        <w:t xml:space="preserve"> Data ČSÚ poukazují na nárůst cen bytů okolo 15 % meziročně a celkový index cen nemovitostí okolo 10 % meziročně v prvním čtvrtletí 2015 (viz komentář </w:t>
      </w:r>
      <w:hyperlink r:id="rId20" w:history="1">
        <w:r w:rsidRPr="00665F6E">
          <w:rPr>
            <w:rStyle w:val="Hypertextovodkaz"/>
            <w:rFonts w:ascii="Calibri" w:hAnsi="Calibri" w:cs="Calibri"/>
            <w:sz w:val="22"/>
            <w:szCs w:val="22"/>
          </w:rPr>
          <w:t>zd</w:t>
        </w:r>
        <w:r w:rsidRPr="00665F6E">
          <w:rPr>
            <w:rStyle w:val="Hypertextovodkaz"/>
            <w:rFonts w:ascii="Calibri" w:hAnsi="Calibri" w:cs="Calibri"/>
            <w:sz w:val="22"/>
            <w:szCs w:val="22"/>
          </w:rPr>
          <w:t>e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) </w:t>
      </w:r>
    </w:p>
    <w:p w14:paraId="7A9C8FB3" w14:textId="77777777" w:rsidR="00A36CE8" w:rsidRDefault="00A36CE8" w:rsidP="00A36CE8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1D487695" w14:textId="2AD919AC" w:rsidR="00436F5C" w:rsidRDefault="00436F5C" w:rsidP="00436F5C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C42E87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893E0C">
        <w:rPr>
          <w:rFonts w:ascii="Calibri" w:hAnsi="Calibri" w:cs="Calibri"/>
          <w:b/>
          <w:color w:val="13576B"/>
          <w:sz w:val="23"/>
          <w:szCs w:val="23"/>
        </w:rPr>
        <w:t>3</w:t>
      </w:r>
      <w:r w:rsidRPr="00C42E87">
        <w:rPr>
          <w:rFonts w:ascii="Calibri" w:hAnsi="Calibri" w:cs="Calibri"/>
          <w:b/>
          <w:color w:val="13576B"/>
          <w:sz w:val="23"/>
          <w:szCs w:val="23"/>
        </w:rPr>
        <w:t>: Průměrná výše skutečně nově poskytnuté hypotéky podle účelu</w:t>
      </w:r>
    </w:p>
    <w:p w14:paraId="7FF9E8C0" w14:textId="6DAEC3DB" w:rsidR="00436F5C" w:rsidRPr="006C6628" w:rsidRDefault="00FC6281" w:rsidP="00436F5C">
      <w:pPr>
        <w:rPr>
          <w:rFonts w:ascii="Calibri" w:hAnsi="Calibri" w:cs="Calibri"/>
          <w:bCs/>
          <w:i/>
          <w:iCs/>
          <w:color w:val="13576B"/>
          <w:sz w:val="23"/>
          <w:szCs w:val="23"/>
        </w:rPr>
      </w:pPr>
      <w:r w:rsidRPr="009F58F4">
        <w:rPr>
          <w:rFonts w:ascii="Calibri" w:hAnsi="Calibri" w:cs="Calibri"/>
          <w:bCs/>
          <w:i/>
          <w:iCs/>
          <w:color w:val="13576B"/>
          <w:sz w:val="23"/>
          <w:szCs w:val="23"/>
        </w:rPr>
        <w:t>P</w:t>
      </w:r>
      <w:r w:rsidR="00436F5C" w:rsidRPr="009F58F4">
        <w:rPr>
          <w:rFonts w:ascii="Calibri" w:hAnsi="Calibri" w:cs="Calibri"/>
          <w:bCs/>
          <w:i/>
          <w:iCs/>
          <w:color w:val="13576B"/>
          <w:sz w:val="23"/>
          <w:szCs w:val="23"/>
        </w:rPr>
        <w:t>růměrn</w:t>
      </w:r>
      <w:r w:rsidRPr="009F58F4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á </w:t>
      </w:r>
      <w:r w:rsidR="00436F5C" w:rsidRPr="009F58F4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výše hypotéky </w:t>
      </w:r>
      <w:r w:rsidR="00D24B00">
        <w:rPr>
          <w:rFonts w:ascii="Calibri" w:hAnsi="Calibri" w:cs="Calibri"/>
          <w:bCs/>
          <w:i/>
          <w:iCs/>
          <w:color w:val="13576B"/>
          <w:sz w:val="23"/>
          <w:szCs w:val="23"/>
        </w:rPr>
        <w:t>po téměř roce zastavila trend růstu s mírně nižší srpnovou úrovní na 4,26 mili</w:t>
      </w:r>
      <w:r w:rsidR="00502072">
        <w:rPr>
          <w:rFonts w:ascii="Calibri" w:hAnsi="Calibri" w:cs="Calibri"/>
          <w:bCs/>
          <w:i/>
          <w:iCs/>
          <w:color w:val="13576B"/>
          <w:sz w:val="23"/>
          <w:szCs w:val="23"/>
        </w:rPr>
        <w:t>o</w:t>
      </w:r>
      <w:r w:rsidR="00D24B00">
        <w:rPr>
          <w:rFonts w:ascii="Calibri" w:hAnsi="Calibri" w:cs="Calibri"/>
          <w:bCs/>
          <w:i/>
          <w:iCs/>
          <w:color w:val="13576B"/>
          <w:sz w:val="23"/>
          <w:szCs w:val="23"/>
        </w:rPr>
        <w:t>nu korun či s 4,37 mili</w:t>
      </w:r>
      <w:r w:rsidR="00502072">
        <w:rPr>
          <w:rFonts w:ascii="Calibri" w:hAnsi="Calibri" w:cs="Calibri"/>
          <w:bCs/>
          <w:i/>
          <w:iCs/>
          <w:color w:val="13576B"/>
          <w:sz w:val="23"/>
          <w:szCs w:val="23"/>
        </w:rPr>
        <w:t>o</w:t>
      </w:r>
      <w:r w:rsidR="00D24B00">
        <w:rPr>
          <w:rFonts w:ascii="Calibri" w:hAnsi="Calibri" w:cs="Calibri"/>
          <w:bCs/>
          <w:i/>
          <w:iCs/>
          <w:color w:val="13576B"/>
          <w:sz w:val="23"/>
          <w:szCs w:val="23"/>
        </w:rPr>
        <w:t>nu v případě hypotéky na nákup nemovitosti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>.</w:t>
      </w:r>
    </w:p>
    <w:p w14:paraId="3162F78D" w14:textId="27812670" w:rsidR="00436F5C" w:rsidRPr="00D24B00" w:rsidRDefault="00D24B00" w:rsidP="00436F5C">
      <w:pPr>
        <w:rPr>
          <w:rFonts w:ascii="Calibri" w:hAnsi="Calibri" w:cs="Calibri"/>
          <w:b/>
          <w:bCs/>
          <w:sz w:val="22"/>
          <w:szCs w:val="22"/>
          <w:highlight w:val="yellow"/>
        </w:rPr>
      </w:pPr>
      <w:r w:rsidRPr="00D24B00">
        <w:rPr>
          <w:rFonts w:ascii="Calibri" w:hAnsi="Calibri" w:cs="Calibri"/>
          <w:b/>
          <w:bCs/>
          <w:noProof/>
          <w:sz w:val="22"/>
          <w:szCs w:val="22"/>
          <w:highlight w:val="yellow"/>
        </w:rPr>
        <w:drawing>
          <wp:inline distT="0" distB="0" distL="0" distR="0" wp14:anchorId="31B4B03B" wp14:editId="2DE87BF8">
            <wp:extent cx="5391150" cy="3388401"/>
            <wp:effectExtent l="0" t="0" r="0" b="2540"/>
            <wp:docPr id="92636937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055" cy="3391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FA1FB" w14:textId="77777777" w:rsidR="00436F5C" w:rsidRPr="00616069" w:rsidRDefault="00436F5C" w:rsidP="00436F5C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 xml:space="preserve">Pramen: </w:t>
      </w:r>
      <w:r>
        <w:rPr>
          <w:rFonts w:ascii="Calibri Light" w:hAnsi="Calibri Light" w:cs="Calibri Light"/>
          <w:color w:val="13576B"/>
          <w:sz w:val="20"/>
        </w:rPr>
        <w:t xml:space="preserve">ČNB, </w:t>
      </w:r>
      <w:r w:rsidRPr="002F4CBD">
        <w:rPr>
          <w:rFonts w:ascii="Calibri Light" w:hAnsi="Calibri Light" w:cs="Calibri Light"/>
          <w:color w:val="13576B"/>
          <w:sz w:val="20"/>
        </w:rPr>
        <w:t xml:space="preserve">ČBA </w:t>
      </w:r>
      <w:proofErr w:type="spellStart"/>
      <w:r w:rsidRPr="002F4CBD"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p w14:paraId="4E462F23" w14:textId="77777777" w:rsidR="005343BA" w:rsidRDefault="005343BA" w:rsidP="00263207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5F044CF" w14:textId="741556F3" w:rsidR="005343BA" w:rsidRDefault="005343BA" w:rsidP="005343BA">
      <w:pPr>
        <w:rPr>
          <w:rFonts w:ascii="Calibri" w:hAnsi="Calibri" w:cs="Calibri"/>
          <w:b/>
          <w:color w:val="13576B"/>
          <w:sz w:val="24"/>
          <w:szCs w:val="24"/>
        </w:rPr>
      </w:pPr>
      <w:r w:rsidRPr="00AF2306">
        <w:rPr>
          <w:rFonts w:ascii="Calibri" w:hAnsi="Calibri" w:cs="Calibri"/>
          <w:b/>
          <w:color w:val="13576B"/>
          <w:sz w:val="24"/>
          <w:szCs w:val="24"/>
        </w:rPr>
        <w:t>Dopad</w:t>
      </w:r>
      <w:r w:rsidR="00D24B00">
        <w:rPr>
          <w:rFonts w:ascii="Calibri" w:hAnsi="Calibri" w:cs="Calibri"/>
          <w:b/>
          <w:color w:val="13576B"/>
          <w:sz w:val="24"/>
          <w:szCs w:val="24"/>
        </w:rPr>
        <w:t>y</w:t>
      </w:r>
      <w:r w:rsidRPr="00AF2306">
        <w:rPr>
          <w:rFonts w:ascii="Calibri" w:hAnsi="Calibri" w:cs="Calibri"/>
          <w:b/>
          <w:color w:val="13576B"/>
          <w:sz w:val="24"/>
          <w:szCs w:val="24"/>
        </w:rPr>
        <w:t xml:space="preserve"> na průměrnou</w:t>
      </w:r>
      <w:r w:rsidR="00665F6E">
        <w:rPr>
          <w:rFonts w:ascii="Calibri" w:hAnsi="Calibri" w:cs="Calibri"/>
          <w:b/>
          <w:color w:val="13576B"/>
          <w:sz w:val="24"/>
          <w:szCs w:val="24"/>
        </w:rPr>
        <w:t xml:space="preserve"> měsíční hypoteční</w:t>
      </w:r>
      <w:r w:rsidRPr="00AF2306">
        <w:rPr>
          <w:rFonts w:ascii="Calibri" w:hAnsi="Calibri" w:cs="Calibri"/>
          <w:b/>
          <w:color w:val="13576B"/>
          <w:sz w:val="24"/>
          <w:szCs w:val="24"/>
        </w:rPr>
        <w:t xml:space="preserve"> splátku</w:t>
      </w:r>
      <w:r w:rsidR="00665F6E">
        <w:rPr>
          <w:rFonts w:ascii="Calibri" w:hAnsi="Calibri" w:cs="Calibri"/>
          <w:b/>
          <w:color w:val="13576B"/>
          <w:sz w:val="24"/>
          <w:szCs w:val="24"/>
        </w:rPr>
        <w:t xml:space="preserve"> </w:t>
      </w:r>
      <w:r w:rsidR="006320CB">
        <w:rPr>
          <w:rFonts w:ascii="Calibri" w:hAnsi="Calibri" w:cs="Calibri"/>
          <w:b/>
          <w:color w:val="13576B"/>
          <w:sz w:val="24"/>
          <w:szCs w:val="24"/>
        </w:rPr>
        <w:t>necelých</w:t>
      </w:r>
      <w:r w:rsidR="00665F6E">
        <w:rPr>
          <w:rFonts w:ascii="Calibri" w:hAnsi="Calibri" w:cs="Calibri"/>
          <w:b/>
          <w:color w:val="13576B"/>
          <w:sz w:val="24"/>
          <w:szCs w:val="24"/>
        </w:rPr>
        <w:t xml:space="preserve"> 2</w:t>
      </w:r>
      <w:r w:rsidR="00541D7D">
        <w:rPr>
          <w:rFonts w:ascii="Calibri" w:hAnsi="Calibri" w:cs="Calibri"/>
          <w:b/>
          <w:color w:val="13576B"/>
          <w:sz w:val="24"/>
          <w:szCs w:val="24"/>
        </w:rPr>
        <w:t>3</w:t>
      </w:r>
      <w:r w:rsidR="00665F6E">
        <w:rPr>
          <w:rFonts w:ascii="Calibri" w:hAnsi="Calibri" w:cs="Calibri"/>
          <w:b/>
          <w:color w:val="13576B"/>
          <w:sz w:val="24"/>
          <w:szCs w:val="24"/>
        </w:rPr>
        <w:t xml:space="preserve"> tisíc Kč</w:t>
      </w:r>
    </w:p>
    <w:p w14:paraId="50D3F3A4" w14:textId="77777777" w:rsidR="005343BA" w:rsidRDefault="005343BA" w:rsidP="00263207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295CA133" w14:textId="649C8C83" w:rsidR="008569DC" w:rsidRDefault="008569DC" w:rsidP="008569D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8569DC">
        <w:rPr>
          <w:rFonts w:ascii="Calibri" w:hAnsi="Calibri" w:cs="Calibri"/>
          <w:b/>
          <w:bCs/>
          <w:color w:val="000000" w:themeColor="text1"/>
          <w:sz w:val="22"/>
          <w:szCs w:val="22"/>
        </w:rPr>
        <w:t>Kombinace poklesu úrokové sazby a vyšší průměrné výše hypotéky v srpnu 2025 ve srovnání s průměrnými hodnotami z roku 2024 zvýšily průměrnou měsíční splátku hypotéky o 2 tis. Kč.</w:t>
      </w:r>
      <w:r w:rsidRPr="008569DC">
        <w:rPr>
          <w:rFonts w:ascii="Calibri" w:hAnsi="Calibri" w:cs="Calibri"/>
          <w:color w:val="000000" w:themeColor="text1"/>
          <w:sz w:val="22"/>
          <w:szCs w:val="22"/>
        </w:rPr>
        <w:t xml:space="preserve"> Scénáře vývoje měsíční splátky pro různé délky splatnosti hypotéky znázorňuje tabulka č. 2. Ta napovídá, že pokles hypotečních sazeb bezmála o </w:t>
      </w:r>
      <w:proofErr w:type="gramStart"/>
      <w:r w:rsidRPr="008569DC">
        <w:rPr>
          <w:rFonts w:ascii="Calibri" w:hAnsi="Calibri" w:cs="Calibri"/>
          <w:color w:val="000000" w:themeColor="text1"/>
          <w:sz w:val="22"/>
          <w:szCs w:val="22"/>
        </w:rPr>
        <w:t>0,6%</w:t>
      </w:r>
      <w:proofErr w:type="gramEnd"/>
      <w:r w:rsidRPr="008569DC">
        <w:rPr>
          <w:rFonts w:ascii="Calibri" w:hAnsi="Calibri" w:cs="Calibri"/>
          <w:color w:val="000000" w:themeColor="text1"/>
          <w:sz w:val="22"/>
          <w:szCs w:val="22"/>
        </w:rPr>
        <w:t xml:space="preserve"> bodu vůči jejich průměrné výši 5,07 % v roce 2024 přinesl, pro průměrnou velikost hypotéky při jejím obvyklém přibližně 26,8letém splácení, snížení měsíční splátky o necelých 1 400 Kč na přibližně 22,9 tis. Kč, tedy o 1,5 % čistého příjmu žadatele v porovnání s průměrnou splátkou v minulém roce. Ve srovnání s průměrnou hypoteční sazbou 5,81 % v roce 2023 dosáhla úspora kvůli úrokové sazbě necelých 3 300 Kč pro hypotéku v její aktuální průměrné hodnotě. </w:t>
      </w:r>
    </w:p>
    <w:p w14:paraId="76F7E0E8" w14:textId="77777777" w:rsidR="008569DC" w:rsidRDefault="008569DC" w:rsidP="008569DC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6D0DD046" w14:textId="64C7636A" w:rsidR="008569DC" w:rsidRPr="008569DC" w:rsidRDefault="008569DC" w:rsidP="008569D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8569DC">
        <w:rPr>
          <w:rFonts w:ascii="Calibri" w:hAnsi="Calibri" w:cs="Calibri"/>
          <w:color w:val="000000" w:themeColor="text1"/>
          <w:sz w:val="22"/>
          <w:szCs w:val="22"/>
        </w:rPr>
        <w:t xml:space="preserve">Ovšem současná průměrná výše hypotéky je o 16 % vyšší než její průměrná výše v roce 2024, což přispívá k navýšení měsíční splátky o 3,2 tis. Kč ve srovnání s průměrnou měsíční splátkou v minulém roce navázanou na loňskou průměrnou výši hypotéky ovšem při současné úrokové sazbě. Splátka hypotéky ve výši jednoho milionu korun s 30letou splatností se se současnými úrokovými sazbami pohybuje okolo 5,1 tisíce Kč. </w:t>
      </w:r>
    </w:p>
    <w:p w14:paraId="39F4D696" w14:textId="45FC041E" w:rsidR="008569DC" w:rsidRDefault="008569DC" w:rsidP="008569D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8569DC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Naopak, ve srovnání s průměrnou </w:t>
      </w:r>
      <w:proofErr w:type="gramStart"/>
      <w:r w:rsidRPr="008569DC">
        <w:rPr>
          <w:rFonts w:ascii="Calibri" w:hAnsi="Calibri" w:cs="Calibri"/>
          <w:color w:val="000000" w:themeColor="text1"/>
          <w:sz w:val="22"/>
          <w:szCs w:val="22"/>
        </w:rPr>
        <w:t>2,8%</w:t>
      </w:r>
      <w:proofErr w:type="gramEnd"/>
      <w:r w:rsidRPr="008569DC">
        <w:rPr>
          <w:rFonts w:ascii="Calibri" w:hAnsi="Calibri" w:cs="Calibri"/>
          <w:color w:val="000000" w:themeColor="text1"/>
          <w:sz w:val="22"/>
          <w:szCs w:val="22"/>
        </w:rPr>
        <w:t xml:space="preserve"> úrokovou hypoteční sazbou pro nové hypotéky v roce 2019, tak současná hypoteční sazba pro refinancování ve výši 4,5 % při zkrácení splatnosti úvěru zvedá měsíční splátky u průměrné hypotéky téměř o 1700 Kč, tedy asi o 3,5 % současné hrubé průměrné mzdy.</w:t>
      </w:r>
    </w:p>
    <w:p w14:paraId="4482CE93" w14:textId="77777777" w:rsidR="008569DC" w:rsidRDefault="008569DC" w:rsidP="008569DC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A267256" w14:textId="12E300F9" w:rsidR="009D3067" w:rsidRPr="00515ECA" w:rsidRDefault="009D3067" w:rsidP="008569DC">
      <w:pPr>
        <w:overflowPunct/>
        <w:autoSpaceDE/>
        <w:autoSpaceDN/>
        <w:adjustRightInd/>
        <w:spacing w:line="259" w:lineRule="auto"/>
        <w:textAlignment w:val="auto"/>
        <w:rPr>
          <w:rFonts w:ascii="Calibri" w:hAnsi="Calibri" w:cs="Calibri"/>
          <w:b/>
          <w:color w:val="13576B"/>
          <w:sz w:val="23"/>
          <w:szCs w:val="23"/>
        </w:rPr>
      </w:pPr>
      <w:bookmarkStart w:id="6" w:name="_Hlk190458144"/>
      <w:bookmarkEnd w:id="5"/>
      <w:r w:rsidRPr="00515ECA">
        <w:rPr>
          <w:rFonts w:ascii="Calibri" w:hAnsi="Calibri" w:cs="Calibri"/>
          <w:b/>
          <w:color w:val="13576B"/>
          <w:sz w:val="23"/>
          <w:szCs w:val="23"/>
        </w:rPr>
        <w:t xml:space="preserve">Tabulka č. 2: </w:t>
      </w:r>
      <w:r w:rsidR="004B441B">
        <w:rPr>
          <w:rFonts w:ascii="Calibri" w:hAnsi="Calibri" w:cs="Calibri"/>
          <w:b/>
          <w:color w:val="13576B"/>
          <w:sz w:val="23"/>
          <w:szCs w:val="23"/>
        </w:rPr>
        <w:t>Ilustrace</w:t>
      </w:r>
      <w:r w:rsidR="00EB1892">
        <w:rPr>
          <w:rFonts w:ascii="Calibri" w:hAnsi="Calibri" w:cs="Calibri"/>
          <w:b/>
          <w:color w:val="13576B"/>
          <w:sz w:val="23"/>
          <w:szCs w:val="23"/>
        </w:rPr>
        <w:t xml:space="preserve"> m</w:t>
      </w:r>
      <w:r w:rsidRPr="00515ECA">
        <w:rPr>
          <w:rFonts w:ascii="Calibri" w:hAnsi="Calibri" w:cs="Calibri"/>
          <w:b/>
          <w:color w:val="13576B"/>
          <w:sz w:val="23"/>
          <w:szCs w:val="23"/>
        </w:rPr>
        <w:t>ěsíční splátk</w:t>
      </w:r>
      <w:r w:rsidR="004B441B">
        <w:rPr>
          <w:rFonts w:ascii="Calibri" w:hAnsi="Calibri" w:cs="Calibri"/>
          <w:b/>
          <w:color w:val="13576B"/>
          <w:sz w:val="23"/>
          <w:szCs w:val="23"/>
        </w:rPr>
        <w:t>y</w:t>
      </w:r>
      <w:r w:rsidRPr="00515ECA">
        <w:rPr>
          <w:rFonts w:ascii="Calibri" w:hAnsi="Calibri" w:cs="Calibri"/>
          <w:b/>
          <w:color w:val="13576B"/>
          <w:sz w:val="23"/>
          <w:szCs w:val="23"/>
        </w:rPr>
        <w:t xml:space="preserve"> průměrné hypotéky v závislosti na délce splatnosti a úrokové sazbě</w:t>
      </w: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648"/>
        <w:gridCol w:w="955"/>
        <w:gridCol w:w="955"/>
        <w:gridCol w:w="955"/>
        <w:gridCol w:w="955"/>
        <w:gridCol w:w="955"/>
        <w:gridCol w:w="955"/>
      </w:tblGrid>
      <w:tr w:rsidR="00D5517C" w:rsidRPr="002138C0" w14:paraId="2E0F9EE8" w14:textId="77777777" w:rsidTr="00EB1892">
        <w:trPr>
          <w:trHeight w:val="555"/>
        </w:trPr>
        <w:tc>
          <w:tcPr>
            <w:tcW w:w="4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FE9691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Průměrná velikost nové hypotéky v Kč: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E2DFCA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B01B2E" w14:textId="294A28AB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00C93" w:rsidRPr="00F236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0F8289" w14:textId="6B3A614A" w:rsidR="00490505" w:rsidRPr="00F23602" w:rsidRDefault="00D24B00" w:rsidP="005861DC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4 262 440</w:t>
            </w:r>
          </w:p>
        </w:tc>
      </w:tr>
      <w:tr w:rsidR="00F23602" w:rsidRPr="002138C0" w14:paraId="3A9D14C4" w14:textId="77777777" w:rsidTr="00EB1892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4FFBA8" w14:textId="77777777" w:rsidR="00F23602" w:rsidRPr="00F23602" w:rsidRDefault="00F23602" w:rsidP="00F2360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Průměrná úroková sazba v %: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76198D" w14:textId="77777777" w:rsidR="00F23602" w:rsidRPr="00F23602" w:rsidRDefault="00F23602" w:rsidP="00F2360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BEEE92" w14:textId="18F743FA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D3214C" w14:textId="1130DD68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B1144F" w14:textId="1E0730A6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3EA"/>
            <w:noWrap/>
            <w:vAlign w:val="center"/>
            <w:hideMark/>
          </w:tcPr>
          <w:p w14:paraId="29650147" w14:textId="2CD0A2A5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</w:t>
            </w:r>
            <w:r w:rsidR="003258C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</w:t>
            </w:r>
            <w:r w:rsidR="00D24B00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22EECDD2" w14:textId="49E02541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5AC0A3" w14:textId="632AE5E6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6,0</w:t>
            </w:r>
          </w:p>
        </w:tc>
      </w:tr>
      <w:tr w:rsidR="00D5517C" w:rsidRPr="002138C0" w14:paraId="4905349F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27E18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71C1EDC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D8A3FA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17A7A8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798FF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Měsíční splátka:</w:t>
            </w:r>
          </w:p>
        </w:tc>
      </w:tr>
      <w:tr w:rsidR="006320CB" w:rsidRPr="002138C0" w14:paraId="0A342D01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8443" w14:textId="77777777" w:rsidR="006320CB" w:rsidRPr="00F23602" w:rsidRDefault="006320CB" w:rsidP="006320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Splatnost hypotéky v letech: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9EE9A3" w14:textId="21CDF506" w:rsidR="006320CB" w:rsidRPr="00F23602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E75F03F" w14:textId="667EC269" w:rsidR="006320CB" w:rsidRPr="00F23602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27 430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E9F84" w14:textId="012AD470" w:rsidR="006320CB" w:rsidRPr="00F23602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29 440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A63E5" w14:textId="07C35A8D" w:rsidR="006320CB" w:rsidRPr="00F23602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31 530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0F2712F9" w14:textId="73169A33" w:rsidR="006320CB" w:rsidRPr="002138C0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32 660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690F9892" w14:textId="6FF38968" w:rsidR="006320CB" w:rsidRPr="002138C0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33 710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D0922" w14:textId="1CDA5E30" w:rsidR="006320CB" w:rsidRPr="002138C0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35 970</w:t>
            </w:r>
          </w:p>
        </w:tc>
      </w:tr>
      <w:tr w:rsidR="006320CB" w:rsidRPr="002138C0" w14:paraId="4A78BEF2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3610" w14:textId="77777777" w:rsidR="006320CB" w:rsidRPr="00F23602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B9CE37" w14:textId="0DCAB82D" w:rsidR="006320CB" w:rsidRPr="00F23602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D28FBFB" w14:textId="6A48D491" w:rsidR="006320CB" w:rsidRPr="00F23602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21 560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7AA86" w14:textId="0242DBFD" w:rsidR="006320CB" w:rsidRPr="00F23602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23 640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57E18" w14:textId="090A8BD9" w:rsidR="006320CB" w:rsidRPr="00F23602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25 830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6D332706" w14:textId="46B68F24" w:rsidR="006320CB" w:rsidRPr="002138C0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27 020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5E6CF5E2" w14:textId="2294E590" w:rsidR="006320CB" w:rsidRPr="002138C0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28 130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1BDBD" w14:textId="012F34DD" w:rsidR="006320CB" w:rsidRPr="002138C0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30 540</w:t>
            </w:r>
          </w:p>
        </w:tc>
      </w:tr>
      <w:tr w:rsidR="006320CB" w:rsidRPr="002138C0" w14:paraId="6CF32913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281A" w14:textId="77777777" w:rsidR="006320CB" w:rsidRPr="00F23602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092D49" w14:textId="78F991B7" w:rsidR="006320CB" w:rsidRPr="00F23602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1B1A11" w14:textId="594362CA" w:rsidR="006320CB" w:rsidRPr="00F23602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18 070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3E222" w14:textId="5731F818" w:rsidR="006320CB" w:rsidRPr="00F23602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20 210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6F1AB" w14:textId="47B6AF71" w:rsidR="006320CB" w:rsidRPr="00F23602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22 500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5331F341" w14:textId="21193712" w:rsidR="006320CB" w:rsidRPr="002138C0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23 750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3E4DDF0D" w14:textId="5C47A717" w:rsidR="006320CB" w:rsidRPr="002138C0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24 920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2D8C7" w14:textId="4F92C24D" w:rsidR="006320CB" w:rsidRPr="002138C0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27 460</w:t>
            </w:r>
          </w:p>
        </w:tc>
      </w:tr>
      <w:tr w:rsidR="006320CB" w:rsidRPr="002138C0" w14:paraId="2841560E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465CE" w14:textId="77777777" w:rsidR="006320CB" w:rsidRPr="00F23602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F3EA"/>
            <w:noWrap/>
            <w:vAlign w:val="center"/>
          </w:tcPr>
          <w:p w14:paraId="088256B9" w14:textId="44522C32" w:rsidR="006320CB" w:rsidRPr="00F23602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26,8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0B45A43E" w14:textId="2298CCF6" w:rsidR="006320CB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17 150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09BA985F" w14:textId="076FC61F" w:rsidR="006320CB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19 320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567430AE" w14:textId="1BCC776F" w:rsidR="006320CB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21 640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427C5795" w14:textId="638A6F77" w:rsidR="006320CB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22 910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3738B6D6" w14:textId="32EC9A85" w:rsidR="006320CB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24 100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15CB0311" w14:textId="5F56CDEA" w:rsidR="006320CB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26 690</w:t>
            </w:r>
          </w:p>
        </w:tc>
      </w:tr>
      <w:tr w:rsidR="006320CB" w:rsidRPr="002138C0" w14:paraId="46B86678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7BB57D" w14:textId="77777777" w:rsidR="006320CB" w:rsidRPr="00F23602" w:rsidRDefault="006320CB" w:rsidP="006320C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525A" w14:textId="7A89106D" w:rsidR="006320CB" w:rsidRPr="00F23602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DA2DA6" w14:textId="7D8639D8" w:rsidR="006320CB" w:rsidRPr="00F23602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15 750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1602F5" w14:textId="621955BB" w:rsidR="006320CB" w:rsidRPr="00F23602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17 970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7C600D" w14:textId="33B5E492" w:rsidR="006320CB" w:rsidRPr="00F23602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20 350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F3EA"/>
            <w:noWrap/>
            <w:vAlign w:val="center"/>
            <w:hideMark/>
          </w:tcPr>
          <w:p w14:paraId="527D8D8A" w14:textId="1B55E464" w:rsidR="006320CB" w:rsidRPr="002138C0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21 660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35ABD787" w14:textId="0F090435" w:rsidR="006320CB" w:rsidRPr="002138C0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22 880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781B34" w14:textId="721745FA" w:rsidR="006320CB" w:rsidRPr="002138C0" w:rsidRDefault="006320CB" w:rsidP="006320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25 560</w:t>
            </w:r>
          </w:p>
        </w:tc>
      </w:tr>
      <w:tr w:rsidR="00D5517C" w:rsidRPr="002138C0" w14:paraId="58395EC8" w14:textId="77777777" w:rsidTr="00EB1892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FD57F" w14:textId="5396F87E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color w:val="13576B"/>
                <w:sz w:val="20"/>
              </w:rPr>
            </w:pPr>
            <w:r w:rsidRPr="00AA62A7">
              <w:rPr>
                <w:rFonts w:asciiTheme="minorHAnsi" w:hAnsiTheme="minorHAnsi" w:cstheme="minorHAnsi"/>
                <w:color w:val="2F5496" w:themeColor="accent5" w:themeShade="BF"/>
                <w:sz w:val="20"/>
              </w:rPr>
              <w:t>Pramen</w:t>
            </w:r>
            <w:r w:rsidRPr="00AA62A7">
              <w:rPr>
                <w:rFonts w:asciiTheme="minorHAnsi" w:hAnsiTheme="minorHAnsi" w:cstheme="minorHAnsi"/>
                <w:color w:val="13576B"/>
                <w:sz w:val="20"/>
              </w:rPr>
              <w:t>: ČBA</w:t>
            </w:r>
            <w:r w:rsidR="00952AEF" w:rsidRPr="00AA62A7">
              <w:rPr>
                <w:rFonts w:asciiTheme="minorHAnsi" w:hAnsiTheme="minorHAnsi" w:cstheme="minorHAnsi"/>
                <w:color w:val="13576B"/>
                <w:sz w:val="20"/>
              </w:rPr>
              <w:t xml:space="preserve"> </w:t>
            </w:r>
            <w:r w:rsidR="00952AEF" w:rsidRPr="00AA62A7">
              <w:rPr>
                <w:rStyle w:val="Znakapoznpodarou"/>
                <w:rFonts w:asciiTheme="minorHAnsi" w:hAnsiTheme="minorHAnsi" w:cstheme="minorHAnsi"/>
                <w:color w:val="2F5496" w:themeColor="accent5" w:themeShade="BF"/>
                <w:sz w:val="20"/>
              </w:rPr>
              <w:footnoteReference w:id="2"/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430D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color w:val="13576B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225D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61F0D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2AAF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C6A2A" w14:textId="77777777" w:rsidR="00D5517C" w:rsidRPr="00AA62A7" w:rsidRDefault="00D5517C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1D15A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972E4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D5517C" w:rsidRPr="002138C0" w14:paraId="17E5FF51" w14:textId="77777777" w:rsidTr="00EB1892">
        <w:trPr>
          <w:trHeight w:val="300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0336" w14:textId="02728D43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color w:val="13576B"/>
                <w:sz w:val="20"/>
              </w:rPr>
            </w:pPr>
            <w:r w:rsidRPr="00AA62A7">
              <w:rPr>
                <w:rFonts w:asciiTheme="minorHAnsi" w:hAnsiTheme="minorHAnsi" w:cstheme="minorHAnsi"/>
                <w:color w:val="13576B"/>
                <w:sz w:val="20"/>
              </w:rPr>
              <w:t>Pozn.: barevný sloupec odpovídá úrokové sazbě posledního ČBA Hypomonitoru, ostatní sazby jsou ilustrační</w:t>
            </w:r>
            <w:r w:rsidR="00EB1892" w:rsidRPr="00AA62A7">
              <w:rPr>
                <w:rFonts w:asciiTheme="minorHAnsi" w:hAnsiTheme="minorHAnsi" w:cstheme="minorHAnsi"/>
                <w:color w:val="13576B"/>
                <w:sz w:val="20"/>
              </w:rPr>
              <w:t xml:space="preserve">; barevný řádek odpovídá průměrné splatnosti nových hypoték podle dat ČNB; částky jsou zaokrouhleny na desítky korun. </w:t>
            </w:r>
          </w:p>
        </w:tc>
      </w:tr>
    </w:tbl>
    <w:p w14:paraId="596DABCB" w14:textId="77777777" w:rsidR="008569DC" w:rsidRDefault="008569DC" w:rsidP="00573D34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</w:p>
    <w:p w14:paraId="37433820" w14:textId="4AE8A0CD" w:rsidR="00573D34" w:rsidRDefault="00EB1892" w:rsidP="00573D34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893E0C">
        <w:rPr>
          <w:rFonts w:ascii="Calibri" w:hAnsi="Calibri" w:cs="Calibri"/>
          <w:b/>
          <w:color w:val="13576B"/>
          <w:sz w:val="23"/>
          <w:szCs w:val="23"/>
        </w:rPr>
        <w:t>4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: </w:t>
      </w:r>
      <w:r w:rsidR="009D5F35">
        <w:rPr>
          <w:rFonts w:ascii="Calibri" w:hAnsi="Calibri" w:cs="Calibri"/>
          <w:b/>
          <w:color w:val="13576B"/>
          <w:sz w:val="23"/>
          <w:szCs w:val="23"/>
        </w:rPr>
        <w:t>Ilustrativní srovnání výše měsíční splátky průměrné hypotéky s obdobím před rokem v závislosti na výši úroku, velikosti hypotéky a její splatnosti v</w:t>
      </w:r>
      <w:r w:rsidR="00573D34">
        <w:rPr>
          <w:rFonts w:ascii="Calibri" w:hAnsi="Calibri" w:cs="Calibri"/>
          <w:b/>
          <w:color w:val="13576B"/>
          <w:sz w:val="23"/>
          <w:szCs w:val="23"/>
        </w:rPr>
        <w:t> </w:t>
      </w:r>
      <w:r w:rsidR="009D5F35">
        <w:rPr>
          <w:rFonts w:ascii="Calibri" w:hAnsi="Calibri" w:cs="Calibri"/>
          <w:b/>
          <w:color w:val="13576B"/>
          <w:sz w:val="23"/>
          <w:szCs w:val="23"/>
        </w:rPr>
        <w:t>letech</w:t>
      </w:r>
    </w:p>
    <w:p w14:paraId="7D566DD6" w14:textId="583ED0CD" w:rsidR="00B44209" w:rsidRDefault="00D24B00" w:rsidP="00AA62A7">
      <w:pPr>
        <w:overflowPunct/>
        <w:autoSpaceDE/>
        <w:autoSpaceDN/>
        <w:adjustRightInd/>
        <w:spacing w:line="259" w:lineRule="auto"/>
        <w:jc w:val="left"/>
        <w:textAlignment w:val="auto"/>
        <w:rPr>
          <w:rFonts w:ascii="Calibri" w:hAnsi="Calibri" w:cs="Calibri"/>
          <w:b/>
          <w:color w:val="13576B"/>
          <w:sz w:val="24"/>
          <w:szCs w:val="24"/>
          <w:highlight w:val="yellow"/>
        </w:rPr>
      </w:pPr>
      <w:r w:rsidRPr="00D24B00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V meziročním srovnání přinesl pokles hypoteční sazby úsporu průměrné měsíční splátky o 1 140 Kč, ovšem růst průměrné výše hypotéky způsobil její navýšení o 1 690 Kč. </w:t>
      </w:r>
      <w:r w:rsidR="006320CB" w:rsidRPr="006320CB">
        <w:rPr>
          <w:rFonts w:ascii="Calibri" w:hAnsi="Calibri" w:cs="Calibri"/>
          <w:bCs/>
          <w:i/>
          <w:iCs/>
          <w:noProof/>
          <w:color w:val="13576B"/>
          <w:sz w:val="23"/>
          <w:szCs w:val="23"/>
        </w:rPr>
        <w:drawing>
          <wp:inline distT="0" distB="0" distL="0" distR="0" wp14:anchorId="1455AD3E" wp14:editId="03537020">
            <wp:extent cx="4895850" cy="3482455"/>
            <wp:effectExtent l="0" t="0" r="0" b="3810"/>
            <wp:docPr id="191756302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494" cy="348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DE1A7" w14:textId="4B9EF024" w:rsidR="009D5F35" w:rsidRDefault="009D5F35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lastRenderedPageBreak/>
        <w:t>Pramen:</w:t>
      </w:r>
      <w:r>
        <w:rPr>
          <w:rFonts w:ascii="Calibri Light" w:hAnsi="Calibri Light" w:cs="Calibri Light"/>
          <w:color w:val="13576B"/>
          <w:sz w:val="20"/>
        </w:rPr>
        <w:t xml:space="preserve"> </w:t>
      </w:r>
      <w:r w:rsidRPr="002F4CBD">
        <w:rPr>
          <w:rFonts w:ascii="Calibri Light" w:hAnsi="Calibri Light" w:cs="Calibri Light"/>
          <w:color w:val="13576B"/>
          <w:sz w:val="20"/>
        </w:rPr>
        <w:t>ČBA</w:t>
      </w:r>
      <w:r w:rsidR="00AA62A7">
        <w:rPr>
          <w:rFonts w:ascii="Calibri Light" w:hAnsi="Calibri Light" w:cs="Calibri Light"/>
          <w:color w:val="13576B"/>
          <w:sz w:val="20"/>
        </w:rPr>
        <w:t xml:space="preserve">. Pozn.: </w:t>
      </w:r>
      <w:r w:rsidR="00AA62A7" w:rsidRPr="00AA62A7">
        <w:rPr>
          <w:rFonts w:ascii="Calibri Light" w:hAnsi="Calibri Light" w:cs="Calibri Light"/>
          <w:color w:val="13576B"/>
          <w:sz w:val="20"/>
        </w:rPr>
        <w:t>částky jsou zaokrouhleny na desítky korun.</w:t>
      </w:r>
    </w:p>
    <w:p w14:paraId="7ECA69B5" w14:textId="77777777" w:rsidR="00173D31" w:rsidRDefault="00173D31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</w:p>
    <w:p w14:paraId="5A72B105" w14:textId="5EE70E11" w:rsidR="002E4EFD" w:rsidRPr="00D24B00" w:rsidRDefault="008723A8" w:rsidP="002E4EFD">
      <w:pPr>
        <w:rPr>
          <w:rFonts w:ascii="Calibri" w:hAnsi="Calibri" w:cs="Calibri"/>
          <w:b/>
          <w:color w:val="EE0000"/>
          <w:sz w:val="24"/>
          <w:szCs w:val="24"/>
        </w:rPr>
      </w:pPr>
      <w:r>
        <w:rPr>
          <w:rFonts w:ascii="Calibri" w:hAnsi="Calibri" w:cs="Calibri"/>
          <w:b/>
          <w:color w:val="13576B"/>
          <w:sz w:val="24"/>
          <w:szCs w:val="24"/>
        </w:rPr>
        <w:t>Statistická příloha</w:t>
      </w:r>
    </w:p>
    <w:p w14:paraId="384BA2E5" w14:textId="43416F68" w:rsidR="0033440C" w:rsidRDefault="00041985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041985">
        <w:rPr>
          <w:rFonts w:ascii="Calibri Light" w:hAnsi="Calibri Light" w:cs="Calibri Light"/>
          <w:noProof/>
          <w:color w:val="13576B"/>
          <w:sz w:val="20"/>
        </w:rPr>
        <w:drawing>
          <wp:inline distT="0" distB="0" distL="0" distR="0" wp14:anchorId="405BC9D0" wp14:editId="7B4D4899">
            <wp:extent cx="6480810" cy="4113530"/>
            <wp:effectExtent l="0" t="0" r="0" b="1270"/>
            <wp:docPr id="595378740" name="Picture 1" descr="A graph of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378740" name="Picture 1" descr="A graph of different colored lines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11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3E5F5" w14:textId="68A6E96C" w:rsidR="0033440C" w:rsidRDefault="008723A8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>Pramen:</w:t>
      </w:r>
      <w:r>
        <w:rPr>
          <w:rFonts w:ascii="Calibri Light" w:hAnsi="Calibri Light" w:cs="Calibri Light"/>
          <w:color w:val="13576B"/>
          <w:sz w:val="20"/>
        </w:rPr>
        <w:t xml:space="preserve"> </w:t>
      </w:r>
      <w:r w:rsidRPr="002F4CBD">
        <w:rPr>
          <w:rFonts w:ascii="Calibri Light" w:hAnsi="Calibri Light" w:cs="Calibri Light"/>
          <w:color w:val="13576B"/>
          <w:sz w:val="20"/>
        </w:rPr>
        <w:t>ČBA</w:t>
      </w:r>
      <w:r>
        <w:rPr>
          <w:rFonts w:ascii="Calibri Light" w:hAnsi="Calibri Light" w:cs="Calibri Light"/>
          <w:color w:val="13576B"/>
          <w:sz w:val="20"/>
        </w:rPr>
        <w:t xml:space="preserve"> </w:t>
      </w:r>
      <w:proofErr w:type="spellStart"/>
      <w:r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p w14:paraId="03530238" w14:textId="60CB8DF0" w:rsidR="008723A8" w:rsidRDefault="008723A8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>
        <w:rPr>
          <w:rFonts w:ascii="Calibri Light" w:hAnsi="Calibri Light" w:cs="Calibri Light"/>
          <w:color w:val="13576B"/>
          <w:sz w:val="20"/>
        </w:rPr>
        <w:t xml:space="preserve">Poznámka: </w:t>
      </w:r>
      <w:r w:rsidR="006E2E7E">
        <w:rPr>
          <w:rFonts w:ascii="Calibri Light" w:hAnsi="Calibri Light" w:cs="Calibri Light"/>
          <w:color w:val="13576B"/>
          <w:sz w:val="20"/>
        </w:rPr>
        <w:t xml:space="preserve">Jedná se o skutečně nové hypotéky (tedy </w:t>
      </w:r>
      <w:r w:rsidR="00F50DD0">
        <w:rPr>
          <w:rFonts w:ascii="Calibri Light" w:hAnsi="Calibri Light" w:cs="Calibri Light"/>
          <w:color w:val="13576B"/>
          <w:sz w:val="20"/>
        </w:rPr>
        <w:t xml:space="preserve">bez </w:t>
      </w:r>
      <w:r w:rsidR="006E2E7E">
        <w:rPr>
          <w:rFonts w:ascii="Calibri Light" w:hAnsi="Calibri Light" w:cs="Calibri Light"/>
          <w:color w:val="13576B"/>
          <w:sz w:val="20"/>
        </w:rPr>
        <w:t xml:space="preserve">refinancování a navýšeni). </w:t>
      </w:r>
      <w:r>
        <w:rPr>
          <w:rFonts w:ascii="Calibri Light" w:hAnsi="Calibri Light" w:cs="Calibri Light"/>
          <w:color w:val="13576B"/>
          <w:sz w:val="20"/>
        </w:rPr>
        <w:t xml:space="preserve">Podkladová data jsou </w:t>
      </w:r>
      <w:r w:rsidRPr="008723A8">
        <w:rPr>
          <w:rFonts w:ascii="Calibri Light" w:hAnsi="Calibri Light" w:cs="Calibri Light"/>
          <w:color w:val="13576B"/>
          <w:sz w:val="20"/>
        </w:rPr>
        <w:t xml:space="preserve">k dispozici v souboru </w:t>
      </w:r>
      <w:proofErr w:type="spellStart"/>
      <w:r w:rsidRPr="008723A8">
        <w:rPr>
          <w:rFonts w:ascii="Calibri Light" w:hAnsi="Calibri Light" w:cs="Calibri Light"/>
          <w:color w:val="13576B"/>
          <w:sz w:val="20"/>
        </w:rPr>
        <w:t>xls</w:t>
      </w:r>
      <w:proofErr w:type="spellEnd"/>
      <w:r w:rsidRPr="008723A8">
        <w:rPr>
          <w:rFonts w:ascii="Calibri Light" w:hAnsi="Calibri Light" w:cs="Calibri Light"/>
          <w:color w:val="13576B"/>
          <w:sz w:val="20"/>
        </w:rPr>
        <w:t xml:space="preserve"> přiloženém na webových stránkách ČBA Hypomonitoru</w:t>
      </w:r>
    </w:p>
    <w:p w14:paraId="50F3BD64" w14:textId="77777777" w:rsidR="0033440C" w:rsidRDefault="0033440C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</w:p>
    <w:p w14:paraId="5303965F" w14:textId="77777777" w:rsidR="0033440C" w:rsidRPr="00616069" w:rsidRDefault="0033440C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</w:p>
    <w:bookmarkEnd w:id="6"/>
    <w:p w14:paraId="0D5FBC63" w14:textId="77777777" w:rsidR="002A5D11" w:rsidRPr="002A5D11" w:rsidRDefault="002A5D11" w:rsidP="002A5D11">
      <w:pPr>
        <w:rPr>
          <w:rFonts w:ascii="Calibri" w:hAnsi="Calibri" w:cs="Calibri"/>
          <w:b/>
          <w:color w:val="13576B"/>
          <w:sz w:val="24"/>
          <w:szCs w:val="24"/>
        </w:rPr>
      </w:pPr>
      <w:r w:rsidRPr="002A5D11">
        <w:rPr>
          <w:rFonts w:ascii="Calibri" w:hAnsi="Calibri" w:cs="Calibri"/>
          <w:b/>
          <w:color w:val="13576B"/>
          <w:sz w:val="24"/>
          <w:szCs w:val="24"/>
        </w:rPr>
        <w:t>Hypoteční trh v roce 2024: Rekordní růst o 83 %</w:t>
      </w:r>
    </w:p>
    <w:p w14:paraId="4743E758" w14:textId="77777777" w:rsidR="001002CD" w:rsidRPr="00840F7C" w:rsidRDefault="001002CD" w:rsidP="003E393C">
      <w:pPr>
        <w:rPr>
          <w:rFonts w:ascii="Calibri" w:hAnsi="Calibri" w:cs="Calibri"/>
          <w:b/>
          <w:bCs/>
          <w:sz w:val="22"/>
          <w:szCs w:val="22"/>
        </w:rPr>
      </w:pPr>
    </w:p>
    <w:p w14:paraId="2BEF2B35" w14:textId="32E98697" w:rsidR="003E393C" w:rsidRPr="002138C0" w:rsidRDefault="001002CD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  <w:r w:rsidRPr="00840F7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Za celý rok 2024 poskytly banky a stavební spořitelny nové hypoteční úvěry v objemu 228 miliard Kč. 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>To je více než 83</w:t>
      </w:r>
      <w:r w:rsidR="00AE4002">
        <w:rPr>
          <w:rFonts w:ascii="Calibri" w:hAnsi="Calibri" w:cs="Calibri"/>
          <w:color w:val="000000" w:themeColor="text1"/>
          <w:sz w:val="22"/>
          <w:szCs w:val="22"/>
        </w:rPr>
        <w:t>%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 xml:space="preserve"> skok vůči objemu z roku 2023. K tomu se navíc refinancovaly hypotéky v rozsahu 47 miliard Kč a celý hypoteční trh tak v roce 2024 narostl na 275 miliard Kč ze 150 miliard v roce 2023. Pokud upravíme objemy o nárůst cen nemovitostí o </w:t>
      </w:r>
      <w:r w:rsidR="00A30764">
        <w:rPr>
          <w:rFonts w:ascii="Calibri" w:hAnsi="Calibri" w:cs="Calibri"/>
          <w:color w:val="000000" w:themeColor="text1"/>
          <w:sz w:val="22"/>
          <w:szCs w:val="22"/>
        </w:rPr>
        <w:t>5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 xml:space="preserve">-8 % (dle různých statistik), objem nových hypoték vzrostl reálně o něco méně. To odpovídá i mírnějšímu nárůstu počtu nových hypoték v roce 2024 o 53 % meziročně na téměř </w:t>
      </w:r>
      <w:r w:rsidRPr="00872E78">
        <w:rPr>
          <w:rFonts w:ascii="Calibri" w:hAnsi="Calibri" w:cs="Calibri"/>
          <w:color w:val="000000" w:themeColor="text1"/>
          <w:sz w:val="22"/>
          <w:szCs w:val="22"/>
        </w:rPr>
        <w:t>62 tisíc a téměř 20% nárůstu průměrné výše poskytnuté nové hypotéky na 3,7 milion</w:t>
      </w:r>
      <w:r w:rsidR="00AE4002"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Kč</w:t>
      </w:r>
      <w:r w:rsidR="00693034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>Ve srovnání s předpandemickými roky 2017-2019 byl objem poskytnutých</w:t>
      </w:r>
      <w:r w:rsidR="00872E78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nových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hypoték v roce 202</w:t>
      </w:r>
      <w:r w:rsidR="003E4820" w:rsidRPr="00872E78">
        <w:rPr>
          <w:rFonts w:ascii="Calibri" w:hAnsi="Calibri" w:cs="Calibri"/>
          <w:color w:val="000000" w:themeColor="text1"/>
          <w:sz w:val="22"/>
          <w:szCs w:val="22"/>
        </w:rPr>
        <w:t>4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zhruba o </w:t>
      </w:r>
      <w:r w:rsidR="00FE400F" w:rsidRPr="00872E78">
        <w:rPr>
          <w:rFonts w:ascii="Calibri" w:hAnsi="Calibri" w:cs="Calibri"/>
          <w:color w:val="000000" w:themeColor="text1"/>
          <w:sz w:val="22"/>
          <w:szCs w:val="22"/>
        </w:rPr>
        <w:t>necelou pětinu vyšší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5FD17B82" w14:textId="77777777" w:rsidR="005F105B" w:rsidRDefault="005F105B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1506699D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70B01570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0514B5D2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590DDD4C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1AA631AE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27A57DD1" w14:textId="77777777" w:rsidR="001E4370" w:rsidRPr="002138C0" w:rsidRDefault="001E4370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11595CC2" w14:textId="3C3B4C02" w:rsidR="003E393C" w:rsidRPr="002F4CBD" w:rsidRDefault="003E393C" w:rsidP="003E393C">
      <w:pPr>
        <w:rPr>
          <w:rFonts w:ascii="Calibri" w:hAnsi="Calibri" w:cs="Calibri"/>
          <w:sz w:val="22"/>
          <w:szCs w:val="22"/>
        </w:rPr>
      </w:pPr>
      <w:r w:rsidRPr="002F4CBD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10371D" w:rsidRPr="002F4CBD">
        <w:rPr>
          <w:rFonts w:ascii="Calibri" w:hAnsi="Calibri" w:cs="Calibri"/>
          <w:b/>
          <w:color w:val="13576B"/>
          <w:sz w:val="23"/>
          <w:szCs w:val="23"/>
        </w:rPr>
        <w:t>2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>: Celoroční objem</w:t>
      </w:r>
      <w:r w:rsidR="003D57E2">
        <w:rPr>
          <w:rFonts w:ascii="Calibri" w:hAnsi="Calibri" w:cs="Calibri"/>
          <w:b/>
          <w:color w:val="13576B"/>
          <w:sz w:val="23"/>
          <w:szCs w:val="23"/>
        </w:rPr>
        <w:t xml:space="preserve">, 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 xml:space="preserve">počet </w:t>
      </w:r>
      <w:r w:rsidR="003D57E2">
        <w:rPr>
          <w:rFonts w:ascii="Calibri" w:hAnsi="Calibri" w:cs="Calibri"/>
          <w:b/>
          <w:color w:val="13576B"/>
          <w:sz w:val="23"/>
          <w:szCs w:val="23"/>
        </w:rPr>
        <w:t xml:space="preserve">a průměrná výše 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>poskytnutých hypoték v letech 202</w:t>
      </w:r>
      <w:r w:rsidR="003D57E2">
        <w:rPr>
          <w:rFonts w:ascii="Calibri" w:hAnsi="Calibri" w:cs="Calibri"/>
          <w:b/>
          <w:color w:val="13576B"/>
          <w:sz w:val="23"/>
          <w:szCs w:val="23"/>
        </w:rPr>
        <w:t>0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 xml:space="preserve"> až 202</w:t>
      </w:r>
      <w:r w:rsidR="002138C0" w:rsidRPr="002F4CBD">
        <w:rPr>
          <w:rFonts w:ascii="Calibri" w:hAnsi="Calibri" w:cs="Calibri"/>
          <w:b/>
          <w:color w:val="13576B"/>
          <w:sz w:val="23"/>
          <w:szCs w:val="23"/>
        </w:rPr>
        <w:t>4</w:t>
      </w:r>
    </w:p>
    <w:p w14:paraId="6B4EF12D" w14:textId="28831766" w:rsidR="003E393C" w:rsidRPr="002F4CBD" w:rsidRDefault="003E393C" w:rsidP="003E393C">
      <w:pPr>
        <w:rPr>
          <w:rFonts w:ascii="Calibri" w:hAnsi="Calibri" w:cs="Calibri"/>
          <w:sz w:val="22"/>
          <w:szCs w:val="22"/>
        </w:rPr>
      </w:pPr>
    </w:p>
    <w:p w14:paraId="2F4D295D" w14:textId="6B9E4D05" w:rsidR="002F4CBD" w:rsidRPr="002F4CBD" w:rsidRDefault="003D57E2" w:rsidP="003E393C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32FD9A30" wp14:editId="5FC9F4F0">
            <wp:extent cx="6480810" cy="1790065"/>
            <wp:effectExtent l="0" t="0" r="0" b="635"/>
            <wp:docPr id="204938162" name="Picture 1" descr="A graph of different colored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38162" name="Picture 1" descr="A graph of different colored bars&#10;&#10;AI-generated content may b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749FA" w14:textId="77777777" w:rsidR="003E393C" w:rsidRPr="00616069" w:rsidRDefault="003E393C" w:rsidP="003E393C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 xml:space="preserve">Pramen: ČBA </w:t>
      </w:r>
      <w:proofErr w:type="spellStart"/>
      <w:r w:rsidRPr="002F4CBD"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p w14:paraId="372DD4C3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7448079E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22ED378A" w14:textId="017879D6" w:rsidR="006C53A0" w:rsidRPr="00616069" w:rsidRDefault="006C53A0" w:rsidP="007F41A0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1117B780" w14:textId="3B9498AC" w:rsidR="007F41A0" w:rsidRPr="00616069" w:rsidRDefault="007F41A0" w:rsidP="007F41A0">
      <w:pPr>
        <w:rPr>
          <w:rFonts w:ascii="Calibri" w:hAnsi="Calibri" w:cs="Calibri"/>
          <w:b/>
          <w:color w:val="13576B"/>
          <w:sz w:val="23"/>
          <w:szCs w:val="23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>ČBA zveřejňuje souhrnné statistiky za celý bankovní trh</w:t>
      </w:r>
    </w:p>
    <w:p w14:paraId="55E76E82" w14:textId="019F3D7D" w:rsidR="007F41A0" w:rsidRPr="00616069" w:rsidRDefault="007F41A0" w:rsidP="007F41A0">
      <w:pPr>
        <w:rPr>
          <w:rFonts w:ascii="Calibri" w:hAnsi="Calibri" w:cs="Calibri"/>
          <w:b/>
          <w:bCs/>
          <w:sz w:val="22"/>
          <w:szCs w:val="22"/>
        </w:rPr>
      </w:pPr>
      <w:r w:rsidRPr="00616069">
        <w:rPr>
          <w:rFonts w:ascii="Calibri" w:hAnsi="Calibri" w:cs="Calibri"/>
          <w:sz w:val="22"/>
          <w:szCs w:val="22"/>
        </w:rPr>
        <w:t xml:space="preserve">Česká bankovní asociace zveřejňuje ve spolupráci s členskými bankami nové souhrnné statistiky z trhu bydlení. Jde především o objemy a počty nově poskytnutých a refinancovaných hypoték a příslušnou úrokovou sazbu. Tyto statistiky publikuje ČBA v agregované podobě za celý bankovní sektor na pravidelné bázi vždy zhruba v polovině měsíce. Šetření se účastní všechny tuzemské banky a stavební spořitelny poskytující v ČR hypotéky. Data jsou dostupná od ledna roku 2020 v přiloženém souboru na stránkách </w:t>
      </w:r>
      <w:hyperlink r:id="rId25" w:history="1">
        <w:r w:rsidR="004674AA" w:rsidRPr="00616069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www.cbao</w:t>
        </w:r>
        <w:r w:rsidR="004674AA" w:rsidRPr="00616069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n</w:t>
        </w:r>
        <w:r w:rsidR="004674AA" w:rsidRPr="00616069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line.cz</w:t>
        </w:r>
      </w:hyperlink>
      <w:r w:rsidR="004674AA" w:rsidRPr="00616069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616069">
        <w:rPr>
          <w:rFonts w:ascii="Calibri" w:hAnsi="Calibri" w:cs="Calibri"/>
          <w:sz w:val="22"/>
          <w:szCs w:val="22"/>
        </w:rPr>
        <w:t>kde lze také příslušné statistiky najít zvlášť pro banky a stavební spořitelny. Výše uvedené hodnoty jsou pro sektor jako celek</w:t>
      </w:r>
      <w:r w:rsidR="004674AA" w:rsidRPr="00616069">
        <w:rPr>
          <w:rFonts w:ascii="Calibri" w:hAnsi="Calibri" w:cs="Calibri"/>
          <w:sz w:val="22"/>
          <w:szCs w:val="22"/>
        </w:rPr>
        <w:t>, které lze v jednoduch</w:t>
      </w:r>
      <w:r w:rsidR="004C593C">
        <w:rPr>
          <w:rFonts w:ascii="Calibri" w:hAnsi="Calibri" w:cs="Calibri"/>
          <w:sz w:val="22"/>
          <w:szCs w:val="22"/>
        </w:rPr>
        <w:t>é</w:t>
      </w:r>
      <w:r w:rsidR="004674AA" w:rsidRPr="00616069">
        <w:rPr>
          <w:rFonts w:ascii="Calibri" w:hAnsi="Calibri" w:cs="Calibri"/>
          <w:sz w:val="22"/>
          <w:szCs w:val="22"/>
        </w:rPr>
        <w:t xml:space="preserve"> grafické podobě sledovat také na stránkách </w:t>
      </w:r>
      <w:hyperlink r:id="rId26" w:history="1">
        <w:r w:rsidR="004674AA" w:rsidRPr="00616069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cbamonitor.cz</w:t>
        </w:r>
      </w:hyperlink>
      <w:r w:rsidRPr="00616069">
        <w:rPr>
          <w:rFonts w:ascii="Calibri" w:hAnsi="Calibri" w:cs="Calibri"/>
          <w:sz w:val="22"/>
          <w:szCs w:val="22"/>
        </w:rPr>
        <w:t>.</w:t>
      </w:r>
      <w:r w:rsidRPr="00616069">
        <w:rPr>
          <w:rFonts w:ascii="Calibri" w:hAnsi="Calibri" w:cs="Calibri"/>
          <w:i/>
          <w:iCs/>
          <w:sz w:val="20"/>
        </w:rPr>
        <w:t xml:space="preserve"> </w:t>
      </w:r>
    </w:p>
    <w:p w14:paraId="3F99F9FA" w14:textId="6DA0884C" w:rsidR="007F41A0" w:rsidRPr="00616069" w:rsidRDefault="007F41A0" w:rsidP="003417B4">
      <w:pPr>
        <w:rPr>
          <w:rFonts w:ascii="Calibri" w:hAnsi="Calibri" w:cs="Calibri"/>
          <w:sz w:val="22"/>
          <w:szCs w:val="22"/>
        </w:rPr>
      </w:pPr>
    </w:p>
    <w:p w14:paraId="4299C957" w14:textId="36BC1F78" w:rsidR="00B50D1B" w:rsidRPr="00616069" w:rsidRDefault="00B50D1B" w:rsidP="003417B4">
      <w:pPr>
        <w:rPr>
          <w:rFonts w:ascii="Calibri" w:hAnsi="Calibri" w:cs="Calibri"/>
          <w:sz w:val="22"/>
          <w:szCs w:val="22"/>
        </w:rPr>
      </w:pPr>
    </w:p>
    <w:p w14:paraId="6A100EFD" w14:textId="3381F438" w:rsidR="00100269" w:rsidRPr="00616069" w:rsidRDefault="00100269" w:rsidP="003417B4">
      <w:pPr>
        <w:rPr>
          <w:rFonts w:ascii="Calibri" w:hAnsi="Calibri" w:cs="Calibri"/>
          <w:sz w:val="22"/>
          <w:szCs w:val="22"/>
        </w:rPr>
      </w:pPr>
    </w:p>
    <w:p w14:paraId="5F378DF9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01290756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74E9F93F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75EDC910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4AE26056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146C6D89" w14:textId="77777777" w:rsidR="0028530F" w:rsidRPr="00B04FE2" w:rsidRDefault="004975FD" w:rsidP="00CA3B41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i/>
          <w:iCs/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5DA650" wp14:editId="15515F89">
                <wp:simplePos x="0" y="0"/>
                <wp:positionH relativeFrom="margin">
                  <wp:align>center</wp:align>
                </wp:positionH>
                <wp:positionV relativeFrom="paragraph">
                  <wp:posOffset>282527</wp:posOffset>
                </wp:positionV>
                <wp:extent cx="6574790" cy="467550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4675505"/>
                        </a:xfrm>
                        <a:prstGeom prst="rect">
                          <a:avLst/>
                        </a:prstGeom>
                        <a:solidFill>
                          <a:srgbClr val="13576B">
                            <a:alpha val="83922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681E4" w14:textId="20B4FCBA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Metodika ČBA Hypomonitoru</w:t>
                            </w:r>
                          </w:p>
                          <w:p w14:paraId="7401467C" w14:textId="77777777" w:rsidR="00414AD4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</w:p>
                          <w:p w14:paraId="1021EABD" w14:textId="16015784" w:rsidR="0001227F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ČBA Hypomonitor </w:t>
                            </w:r>
                            <w:r w:rsidR="00FB47DE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rozděluje poskytnuté hypoteční úvěry 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bank a stavebních spořitelen</w:t>
                            </w:r>
                            <w:r w:rsidR="00B426A2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domácnostem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do několika kategorií tak, aby byly rozlišeny nové úvěry od refinancovaných či interních refixací</w:t>
                            </w:r>
                            <w:r w:rsidR="000B70C8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.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Nové úvěry jsou 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pak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vykazovány v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 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kategoriích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dle účelu úvěru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:</w:t>
                            </w:r>
                          </w:p>
                          <w:p w14:paraId="58E707E8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3227247A" w14:textId="11714118" w:rsidR="0001227F" w:rsidRPr="00616069" w:rsidRDefault="00E818C3" w:rsidP="00E818C3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1.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Nové úvěry</w:t>
                            </w:r>
                          </w:p>
                          <w:p w14:paraId="22AF3257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Jsou úvěry, jejichž celý objem poprvé vstupuje do ekonomiky. Do této kategorie nepatří konsolidace úvěrů anebo refinancování úvěrů. Dělí se do tří kategorií:</w:t>
                            </w:r>
                          </w:p>
                          <w:p w14:paraId="362AFB2A" w14:textId="77777777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Nákup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9F23FA5" w14:textId="6EE96893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Výstavba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včetně rekonstrukce nemovitosti </w:t>
                            </w:r>
                          </w:p>
                          <w:p w14:paraId="4D80580F" w14:textId="11E0715F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Ostatní nová ujednání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podílu, atp.</w:t>
                            </w:r>
                          </w:p>
                          <w:p w14:paraId="4FBF1D5A" w14:textId="77777777" w:rsidR="0001227F" w:rsidRPr="00616069" w:rsidRDefault="0001227F" w:rsidP="0001227F">
                            <w:pPr>
                              <w:spacing w:line="276" w:lineRule="auto"/>
                              <w:ind w:left="708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71D5E0BB" w14:textId="7D112C27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2.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Refinancované úvěry z jiné finanční instituce</w:t>
                            </w:r>
                          </w:p>
                          <w:p w14:paraId="351B5A60" w14:textId="0B5DCBB6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vznikly refinancováním jednoho nebo více úvěrů z jiné finanční instituce než </w:t>
                            </w:r>
                            <w:r w:rsidR="00973197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té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vykazující. Bez ohledu na výši refinancované částky a bez ohledu na výši případného navýšení se celková výše nově vzniklého úvěru vykazuje do této kategorie. </w:t>
                            </w:r>
                          </w:p>
                          <w:p w14:paraId="7566D2D6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04B36444" w14:textId="4F20B25F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3.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Navýšené anebo interně refinancované úvěry</w:t>
                            </w:r>
                          </w:p>
                          <w:p w14:paraId="711A3661" w14:textId="2A271010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již byly </w:t>
                            </w:r>
                            <w:r w:rsidR="00647A7A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v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předchozí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vykazované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období součástí portfolia vykazujícího subjektu, a ve vykazovaném období u nich došlo k některé z následujících změn:</w:t>
                            </w:r>
                          </w:p>
                          <w:p w14:paraId="4A6B00C0" w14:textId="77777777" w:rsidR="00E818C3" w:rsidRPr="00616069" w:rsidRDefault="0001227F" w:rsidP="0001227F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navýšení sjednané částky </w:t>
                            </w:r>
                          </w:p>
                          <w:p w14:paraId="44682079" w14:textId="72C23671" w:rsidR="0001227F" w:rsidRPr="00616069" w:rsidRDefault="0001227F" w:rsidP="0001227F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došlo k takovým změnám, že původní úvěr byl v rámci vykazujícího subjektu refinancován/převeden na nový úvěr.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J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de</w:t>
                            </w:r>
                            <w:r w:rsidR="00CD28EC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tak o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skutečně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novou smlouvu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, nikoli např. jen </w:t>
                            </w:r>
                            <w:r w:rsidR="007B79F6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nové ujednání v rámci refi</w:t>
                            </w:r>
                            <w:r w:rsidR="000F02C1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xace 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stávající smlouvy. Proto je objem takových úvěru ve statistice ČBA nižší oproti „ostatním novým ujednáním“ ve statistice České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árodní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b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anky.</w:t>
                            </w:r>
                          </w:p>
                          <w:p w14:paraId="1FAF8B9B" w14:textId="4C474A58" w:rsidR="006F08E1" w:rsidRPr="00616069" w:rsidRDefault="006F08E1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65FC0189" w14:textId="1B58C64B" w:rsidR="006F08E1" w:rsidRPr="00616069" w:rsidRDefault="001F49EA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Data pro ČBA Hypomonitor poskytují následující banky a stavební spořitelny: Air Bank, Česká spořitelna, ČSOB, ČSOB Stavební spořitelna, Fio banka, Hypoteční banka, Komerční banka, mBank, Modrá pyramida, MONETA Money Bank, MONETA Stavební spořitelna, Oberbank, </w:t>
                            </w:r>
                            <w:r w:rsidR="003E1AAB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Partners Banka,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Raiffeisen stavební spořitelna, Raiffeisenbank, Stavební spořitelna České spořitelny, UniCredit Bank.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DA65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22.25pt;width:517.7pt;height:368.1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" fillcolor="#13576b" stroked="f">
                <v:fill opacity="54998f"/>
                <v:textbox>
                  <w:txbxContent>
                    <w:p w14:paraId="523681E4" w14:textId="20B4FCBA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Metodika ČBA Hypomonitoru</w:t>
                      </w:r>
                    </w:p>
                    <w:p w14:paraId="7401467C" w14:textId="77777777" w:rsidR="00414AD4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</w:p>
                    <w:p w14:paraId="1021EABD" w14:textId="16015784" w:rsidR="0001227F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ČBA Hypomonitor </w:t>
                      </w:r>
                      <w:r w:rsidR="00FB47DE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rozděluje poskytnuté hypoteční úvěry 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bank a stavebních spořitelen</w:t>
                      </w:r>
                      <w:r w:rsidR="00B426A2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domácnostem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do několika kategorií tak, aby byly rozlišeny nové úvěry od refinancovaných či interních refixací</w:t>
                      </w:r>
                      <w:r w:rsidR="000B70C8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.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Nové úvěry jsou 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pak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vykazovány v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 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kategoriích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dle účelu úvěru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:</w:t>
                      </w:r>
                    </w:p>
                    <w:p w14:paraId="58E707E8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3227247A" w14:textId="11714118" w:rsidR="0001227F" w:rsidRPr="00616069" w:rsidRDefault="00E818C3" w:rsidP="00E818C3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1.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Nové úvěry</w:t>
                      </w:r>
                    </w:p>
                    <w:p w14:paraId="22AF3257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Jsou úvěry, jejichž celý objem poprvé vstupuje do ekonomiky. Do této kategorie nepatří konsolidace úvěrů anebo refinancování úvěrů. Dělí se do tří kategorií:</w:t>
                      </w:r>
                    </w:p>
                    <w:p w14:paraId="362AFB2A" w14:textId="77777777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Nákup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</w:t>
                      </w:r>
                    </w:p>
                    <w:p w14:paraId="29F23FA5" w14:textId="6EE96893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Výstavba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včetně rekonstrukce nemovitosti </w:t>
                      </w:r>
                    </w:p>
                    <w:p w14:paraId="4D80580F" w14:textId="11E0715F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Ostatní nová ujednání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podílu, atp.</w:t>
                      </w:r>
                    </w:p>
                    <w:p w14:paraId="4FBF1D5A" w14:textId="77777777" w:rsidR="0001227F" w:rsidRPr="00616069" w:rsidRDefault="0001227F" w:rsidP="0001227F">
                      <w:pPr>
                        <w:spacing w:line="276" w:lineRule="auto"/>
                        <w:ind w:left="708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71D5E0BB" w14:textId="7D112C27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2.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Refinancované úvěry z jiné finanční instituce</w:t>
                      </w:r>
                    </w:p>
                    <w:p w14:paraId="351B5A60" w14:textId="0B5DCBB6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vznikly refinancováním jednoho nebo více úvěrů z jiné finanční instituce než </w:t>
                      </w:r>
                      <w:r w:rsidR="00973197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té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vykazující. Bez ohledu na výši refinancované částky a bez ohledu na výši případného navýšení se celková výše nově vzniklého úvěru vykazuje do této kategorie. </w:t>
                      </w:r>
                    </w:p>
                    <w:p w14:paraId="7566D2D6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04B36444" w14:textId="4F20B25F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3.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Navýšené anebo interně refinancované úvěry</w:t>
                      </w:r>
                    </w:p>
                    <w:p w14:paraId="711A3661" w14:textId="2A271010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již byly </w:t>
                      </w:r>
                      <w:r w:rsidR="00647A7A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v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předchozí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vykazované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období součástí portfolia vykazujícího subjektu, a ve vykazovaném období u nich došlo k některé z následujících změn:</w:t>
                      </w:r>
                    </w:p>
                    <w:p w14:paraId="4A6B00C0" w14:textId="77777777" w:rsidR="00E818C3" w:rsidRPr="00616069" w:rsidRDefault="0001227F" w:rsidP="0001227F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navýšení sjednané částky </w:t>
                      </w:r>
                    </w:p>
                    <w:p w14:paraId="44682079" w14:textId="72C23671" w:rsidR="0001227F" w:rsidRPr="00616069" w:rsidRDefault="0001227F" w:rsidP="0001227F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došlo k takovým změnám, že původní úvěr byl v rámci vykazujícího subjektu refinancován/převeden na nový úvěr.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J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de</w:t>
                      </w:r>
                      <w:r w:rsidR="00CD28EC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tak o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skutečně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novou smlouvu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, nikoli např. jen </w:t>
                      </w:r>
                      <w:r w:rsidR="007B79F6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nové ujednání v rámci refi</w:t>
                      </w:r>
                      <w:r w:rsidR="000F02C1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xace 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stávající smlouvy. Proto je objem takových úvěru ve statistice ČBA nižší oproti „ostatním novým ujednáním“ ve statistice České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árodní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b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anky.</w:t>
                      </w:r>
                    </w:p>
                    <w:p w14:paraId="1FAF8B9B" w14:textId="4C474A58" w:rsidR="006F08E1" w:rsidRPr="00616069" w:rsidRDefault="006F08E1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65FC0189" w14:textId="1B58C64B" w:rsidR="006F08E1" w:rsidRPr="00616069" w:rsidRDefault="001F49EA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Data pro ČBA Hypomonitor poskytují následující banky a stavební spořitelny: Air Bank, Česká spořitelna, ČSOB, ČSOB Stavební spořitelna, Fio banka, Hypoteční banka, Komerční banka, mBank, Modrá pyramida, MONETA Money Bank, MONETA Stavební spořitelna, Oberbank, </w:t>
                      </w:r>
                      <w:r w:rsidR="003E1AAB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Partners Banka,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Raiffeisen stavební spořitelna, Raiffeisenbank, Stavební spořitelna České spořitelny, UniCredit Bank.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Mkatabulky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7"/>
        <w:gridCol w:w="3384"/>
      </w:tblGrid>
      <w:tr w:rsidR="0028530F" w:rsidRPr="00D80B55" w14:paraId="4825E599" w14:textId="77777777" w:rsidTr="001B1140">
        <w:trPr>
          <w:trHeight w:val="1364"/>
        </w:trPr>
        <w:tc>
          <w:tcPr>
            <w:tcW w:w="6817" w:type="dxa"/>
            <w:shd w:val="clear" w:color="auto" w:fill="13576B"/>
          </w:tcPr>
          <w:p w14:paraId="1EB2DC0A" w14:textId="77777777" w:rsidR="0028530F" w:rsidRPr="00D80B55" w:rsidRDefault="0028530F" w:rsidP="001B1140">
            <w:pPr>
              <w:pStyle w:val="CBANadpisvTABULCE"/>
              <w:jc w:val="both"/>
              <w:rPr>
                <w:rFonts w:cs="Arial"/>
                <w:color w:val="FFFFFF" w:themeColor="background1"/>
                <w:szCs w:val="18"/>
              </w:rPr>
            </w:pPr>
            <w:r w:rsidRPr="00D80B55">
              <w:rPr>
                <w:rFonts w:cs="Arial"/>
                <w:color w:val="FFFFFF" w:themeColor="background1"/>
                <w:szCs w:val="18"/>
              </w:rPr>
              <w:t>O České bankovní asociaci</w:t>
            </w:r>
          </w:p>
          <w:p w14:paraId="4EB0391C" w14:textId="376AE2CD" w:rsidR="0028530F" w:rsidRPr="00D80B55" w:rsidRDefault="0028530F" w:rsidP="001B1140">
            <w:pPr>
              <w:rPr>
                <w:rFonts w:cs="Arial"/>
                <w:color w:val="FFFFFF" w:themeColor="background1"/>
                <w:sz w:val="22"/>
              </w:rPr>
            </w:pPr>
            <w:r w:rsidRPr="00D80B55">
              <w:rPr>
                <w:rFonts w:cs="Arial"/>
                <w:color w:val="FFFFFF" w:themeColor="background1"/>
              </w:rPr>
              <w:t>Česká bankovní asociace (ČBA) je dobrovolné sdružení 3</w:t>
            </w:r>
            <w:r>
              <w:rPr>
                <w:rFonts w:cs="Arial"/>
                <w:color w:val="FFFFFF" w:themeColor="background1"/>
              </w:rPr>
              <w:t>3</w:t>
            </w:r>
            <w:r w:rsidRPr="00D80B55">
              <w:rPr>
                <w:rFonts w:cs="Arial"/>
                <w:color w:val="FFFFFF" w:themeColor="background1"/>
              </w:rPr>
              <w:t xml:space="preserve"> bank, které v ČR působí a reprezentuje tak 99 % trhu. </w:t>
            </w:r>
            <w:r>
              <w:rPr>
                <w:rFonts w:cs="Arial"/>
                <w:color w:val="FFFFFF" w:themeColor="background1"/>
              </w:rPr>
              <w:t>Více než</w:t>
            </w:r>
            <w:r w:rsidRPr="00D80B55">
              <w:rPr>
                <w:rFonts w:cs="Arial"/>
                <w:color w:val="FFFFFF" w:themeColor="background1"/>
              </w:rPr>
              <w:t xml:space="preserve"> 30 let podporuje nejen rozvoj bankovního sektoru, ale i celé ekonomiky a všeobecné finanční gramotnosti. ČBA je členem Evropské bankovní federace (EBF).</w:t>
            </w:r>
          </w:p>
          <w:p w14:paraId="598BB9F7" w14:textId="77777777" w:rsidR="0028530F" w:rsidRPr="00D80B55" w:rsidRDefault="0028530F" w:rsidP="001B1140">
            <w:pPr>
              <w:pStyle w:val="CBAodstavecvTABULCE"/>
              <w:jc w:val="both"/>
              <w:rPr>
                <w:rFonts w:cs="Arial"/>
                <w:color w:val="FFFFFF" w:themeColor="background1"/>
                <w:szCs w:val="18"/>
              </w:rPr>
            </w:pPr>
            <w:r w:rsidRPr="00D80B55">
              <w:rPr>
                <w:rFonts w:cs="Arial"/>
                <w:color w:val="FFFFFF" w:themeColor="background1"/>
                <w:szCs w:val="18"/>
              </w:rPr>
              <w:t xml:space="preserve">Více informací na </w:t>
            </w:r>
            <w:r w:rsidRPr="00D80B55">
              <w:rPr>
                <w:rFonts w:cs="Arial"/>
                <w:color w:val="FFFFFF" w:themeColor="background1"/>
                <w:szCs w:val="18"/>
                <w:u w:val="single"/>
              </w:rPr>
              <w:t>www.cbaonline.cz.</w:t>
            </w:r>
            <w:r w:rsidRPr="00D80B55">
              <w:rPr>
                <w:rFonts w:cs="Arial"/>
                <w:color w:val="A9936D"/>
                <w:szCs w:val="18"/>
              </w:rPr>
              <w:t xml:space="preserve"> </w:t>
            </w:r>
          </w:p>
        </w:tc>
        <w:tc>
          <w:tcPr>
            <w:tcW w:w="3384" w:type="dxa"/>
            <w:shd w:val="clear" w:color="auto" w:fill="A9936D"/>
            <w:vAlign w:val="center"/>
          </w:tcPr>
          <w:p w14:paraId="606A2DEB" w14:textId="77777777" w:rsidR="0028530F" w:rsidRPr="00D80B55" w:rsidRDefault="0028530F" w:rsidP="001B1140">
            <w:pPr>
              <w:pStyle w:val="CBAodstavecvTABULCE"/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D80B55">
              <w:rPr>
                <w:rFonts w:cs="Arial"/>
                <w:b/>
                <w:bCs/>
                <w:color w:val="FFFFFF" w:themeColor="background1"/>
                <w:szCs w:val="18"/>
              </w:rPr>
              <w:t xml:space="preserve">                Dotazy posílejte na</w:t>
            </w:r>
          </w:p>
          <w:p w14:paraId="64706D81" w14:textId="77777777" w:rsidR="0028530F" w:rsidRPr="00D80B55" w:rsidRDefault="0028530F" w:rsidP="001B1140">
            <w:pPr>
              <w:pStyle w:val="CBAodstavecvTABULCE"/>
              <w:jc w:val="center"/>
              <w:rPr>
                <w:rFonts w:cs="Arial"/>
                <w:color w:val="FFFFFF" w:themeColor="background1"/>
                <w:szCs w:val="18"/>
              </w:rPr>
            </w:pPr>
            <w:r w:rsidRPr="00D80B55">
              <w:rPr>
                <w:rFonts w:cs="Arial"/>
                <w:b/>
                <w:bCs/>
                <w:color w:val="FFFFFF" w:themeColor="background1"/>
                <w:szCs w:val="18"/>
              </w:rPr>
              <w:t>radek.salsa@cbaonline.cz</w:t>
            </w:r>
          </w:p>
        </w:tc>
      </w:tr>
    </w:tbl>
    <w:p w14:paraId="79952D08" w14:textId="7B44AB4C" w:rsidR="00C42F00" w:rsidRPr="00B04FE2" w:rsidRDefault="00C42F00" w:rsidP="00CA3B41">
      <w:pPr>
        <w:rPr>
          <w:rFonts w:ascii="Calibri" w:hAnsi="Calibri" w:cs="Calibri"/>
          <w:sz w:val="22"/>
          <w:szCs w:val="22"/>
        </w:rPr>
      </w:pPr>
    </w:p>
    <w:sectPr w:rsidR="00C42F00" w:rsidRPr="00B04FE2" w:rsidSect="00A06A94">
      <w:headerReference w:type="default" r:id="rId27"/>
      <w:footerReference w:type="default" r:id="rId28"/>
      <w:pgSz w:w="11906" w:h="16838"/>
      <w:pgMar w:top="2552" w:right="849" w:bottom="1560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AABDA" w14:textId="77777777" w:rsidR="00EA11F9" w:rsidRPr="00616069" w:rsidRDefault="00EA11F9" w:rsidP="00F573F1">
      <w:r w:rsidRPr="00616069">
        <w:separator/>
      </w:r>
    </w:p>
  </w:endnote>
  <w:endnote w:type="continuationSeparator" w:id="0">
    <w:p w14:paraId="03DD0DB0" w14:textId="77777777" w:rsidR="00EA11F9" w:rsidRPr="00616069" w:rsidRDefault="00EA11F9" w:rsidP="00F573F1">
      <w:r w:rsidRPr="006160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06907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2EB97C" w14:textId="697C5AC2" w:rsidR="001E31AB" w:rsidRPr="00616069" w:rsidRDefault="001E31AB">
            <w:pPr>
              <w:pStyle w:val="Zpat"/>
              <w:jc w:val="right"/>
            </w:pPr>
            <w:r w:rsidRPr="00616069">
              <w:rPr>
                <w:rFonts w:ascii="Calibri" w:hAnsi="Calibri"/>
                <w:noProof/>
                <w:szCs w:val="18"/>
                <w:lang w:eastAsia="en-GB"/>
              </w:rPr>
              <w:drawing>
                <wp:anchor distT="0" distB="0" distL="114300" distR="114300" simplePos="0" relativeHeight="251655680" behindDoc="0" locked="0" layoutInCell="1" allowOverlap="1" wp14:anchorId="7B2A8544" wp14:editId="09B386F6">
                  <wp:simplePos x="0" y="0"/>
                  <wp:positionH relativeFrom="column">
                    <wp:posOffset>-540385</wp:posOffset>
                  </wp:positionH>
                  <wp:positionV relativeFrom="paragraph">
                    <wp:posOffset>-365760</wp:posOffset>
                  </wp:positionV>
                  <wp:extent cx="3042285" cy="701040"/>
                  <wp:effectExtent l="0" t="0" r="5715" b="0"/>
                  <wp:wrapNone/>
                  <wp:docPr id="1566919382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09" t="94992" r="61095" b="-1544"/>
                          <a:stretch/>
                        </pic:blipFill>
                        <pic:spPr bwMode="auto">
                          <a:xfrm>
                            <a:off x="0" y="0"/>
                            <a:ext cx="3042285" cy="701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6069">
              <w:rPr>
                <w:rFonts w:ascii="Calibri" w:hAnsi="Calibri"/>
                <w:szCs w:val="18"/>
              </w:rPr>
              <w:t xml:space="preserve">Stránka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PAGE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1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  <w:r w:rsidRPr="00616069">
              <w:rPr>
                <w:rFonts w:ascii="Calibri" w:hAnsi="Calibri"/>
                <w:szCs w:val="18"/>
              </w:rPr>
              <w:t xml:space="preserve"> z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NUMPAGES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2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300EB588" w14:textId="24FF51AB" w:rsidR="0065124E" w:rsidRPr="00616069" w:rsidRDefault="0065124E" w:rsidP="00FB4A1C">
    <w:pPr>
      <w:pStyle w:val="Zpat"/>
      <w:tabs>
        <w:tab w:val="clear" w:pos="4536"/>
        <w:tab w:val="clear" w:pos="9072"/>
        <w:tab w:val="left" w:pos="6080"/>
      </w:tabs>
      <w:rPr>
        <w:color w:val="A6A6A6" w:themeColor="background1" w:themeShade="A6"/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99F91" w14:textId="77777777" w:rsidR="00EA11F9" w:rsidRPr="00616069" w:rsidRDefault="00EA11F9" w:rsidP="00F573F1">
      <w:r w:rsidRPr="00616069">
        <w:separator/>
      </w:r>
    </w:p>
  </w:footnote>
  <w:footnote w:type="continuationSeparator" w:id="0">
    <w:p w14:paraId="374536A3" w14:textId="77777777" w:rsidR="00EA11F9" w:rsidRPr="00616069" w:rsidRDefault="00EA11F9" w:rsidP="00F573F1">
      <w:r w:rsidRPr="00616069">
        <w:continuationSeparator/>
      </w:r>
    </w:p>
  </w:footnote>
  <w:footnote w:id="1">
    <w:p w14:paraId="05CFF3F2" w14:textId="77777777" w:rsidR="00541D7D" w:rsidRPr="00616069" w:rsidRDefault="00541D7D" w:rsidP="00541D7D">
      <w:pPr>
        <w:pStyle w:val="Textpoznpodarou"/>
        <w:rPr>
          <w:rFonts w:ascii="Calibri" w:hAnsi="Calibri" w:cs="Calibri"/>
          <w:sz w:val="17"/>
          <w:szCs w:val="17"/>
        </w:rPr>
      </w:pPr>
      <w:r w:rsidRPr="00616069">
        <w:rPr>
          <w:rStyle w:val="Znakapoznpodarou"/>
          <w:rFonts w:ascii="Calibri" w:hAnsi="Calibri" w:cs="Calibri"/>
          <w:sz w:val="17"/>
          <w:szCs w:val="17"/>
        </w:rPr>
        <w:footnoteRef/>
      </w:r>
      <w:r w:rsidRPr="00616069">
        <w:rPr>
          <w:rFonts w:ascii="Calibri" w:hAnsi="Calibri" w:cs="Calibri"/>
          <w:sz w:val="17"/>
          <w:szCs w:val="17"/>
        </w:rPr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 xml:space="preserve">Jedná se především o dlouholeté úrokové swapy (interest rate swap, IRS), které odráží cenu peněz v delších splatnostech, například </w:t>
      </w:r>
      <w:r>
        <w:rPr>
          <w:rFonts w:asciiTheme="majorHAnsi" w:hAnsiTheme="majorHAnsi" w:cstheme="majorHAnsi"/>
          <w:sz w:val="17"/>
          <w:szCs w:val="17"/>
        </w:rPr>
        <w:t>2</w:t>
      </w:r>
      <w:r w:rsidRPr="00616069">
        <w:rPr>
          <w:rFonts w:asciiTheme="majorHAnsi" w:hAnsiTheme="majorHAnsi" w:cstheme="majorHAnsi"/>
          <w:sz w:val="17"/>
          <w:szCs w:val="17"/>
        </w:rPr>
        <w:t xml:space="preserve"> až 10 let.</w:t>
      </w:r>
    </w:p>
  </w:footnote>
  <w:footnote w:id="2">
    <w:p w14:paraId="3F408451" w14:textId="77777777" w:rsidR="00952AEF" w:rsidRPr="00952AEF" w:rsidRDefault="00952AEF" w:rsidP="00952AEF">
      <w:pPr>
        <w:pStyle w:val="Textpoznpodarou"/>
        <w:rPr>
          <w:rFonts w:asciiTheme="majorHAnsi" w:hAnsiTheme="majorHAnsi" w:cstheme="majorHAnsi"/>
          <w:sz w:val="17"/>
          <w:szCs w:val="17"/>
        </w:rPr>
      </w:pPr>
      <w:r w:rsidRPr="00616069">
        <w:rPr>
          <w:rStyle w:val="Znakapoznpodarou"/>
        </w:rPr>
        <w:footnoteRef/>
      </w:r>
      <w:r w:rsidRPr="00616069"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>Tabulka je k dispozici v souboru xls přiloženém na webových stránkách ČBA Hypomonitoru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A4485" w14:textId="25969B31" w:rsidR="0065124E" w:rsidRPr="00616069" w:rsidRDefault="00A86552">
    <w:pPr>
      <w:pStyle w:val="Zhlav"/>
    </w:pPr>
    <w:r w:rsidRPr="00616069">
      <w:rPr>
        <w:rFonts w:cs="Arial"/>
        <w:noProof/>
        <w:lang w:eastAsia="en-GB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DCC7344" wp14:editId="2F0B41DB">
              <wp:simplePos x="0" y="0"/>
              <wp:positionH relativeFrom="margin">
                <wp:posOffset>2228694</wp:posOffset>
              </wp:positionH>
              <wp:positionV relativeFrom="paragraph">
                <wp:posOffset>214019</wp:posOffset>
              </wp:positionV>
              <wp:extent cx="2941608" cy="140462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160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86907" w14:textId="24BF90B0" w:rsidR="00A86552" w:rsidRPr="00616069" w:rsidRDefault="00A86552" w:rsidP="00A86552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C734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75.5pt;margin-top:16.85pt;width:231.6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Be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" filled="f" stroked="f">
              <v:textbox style="mso-fit-shape-to-text:t">
                <w:txbxContent>
                  <w:p w14:paraId="24986907" w14:textId="24BF90B0" w:rsidR="00A86552" w:rsidRPr="00616069" w:rsidRDefault="00A86552" w:rsidP="00A86552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FF0000"/>
                        <w:sz w:val="40"/>
                        <w:szCs w:val="4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44C66" w:rsidRPr="0061606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97D896D" wp14:editId="7A6FB449">
          <wp:simplePos x="0" y="0"/>
          <wp:positionH relativeFrom="column">
            <wp:posOffset>-52705</wp:posOffset>
          </wp:positionH>
          <wp:positionV relativeFrom="paragraph">
            <wp:posOffset>29845</wp:posOffset>
          </wp:positionV>
          <wp:extent cx="2209800" cy="778510"/>
          <wp:effectExtent l="0" t="0" r="0" b="2540"/>
          <wp:wrapNone/>
          <wp:docPr id="127232028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4720" w:rsidRPr="00616069"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2A1D7AA9" wp14:editId="7A7B0A01">
          <wp:simplePos x="0" y="0"/>
          <wp:positionH relativeFrom="column">
            <wp:posOffset>3985895</wp:posOffset>
          </wp:positionH>
          <wp:positionV relativeFrom="paragraph">
            <wp:posOffset>-8255</wp:posOffset>
          </wp:positionV>
          <wp:extent cx="2943225" cy="243840"/>
          <wp:effectExtent l="0" t="0" r="9525" b="3810"/>
          <wp:wrapNone/>
          <wp:docPr id="682889289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992" r="61096" b="2729"/>
                  <a:stretch/>
                </pic:blipFill>
                <pic:spPr bwMode="auto">
                  <a:xfrm>
                    <a:off x="0" y="0"/>
                    <a:ext cx="2943225" cy="243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720" w:rsidRPr="00616069">
      <w:rPr>
        <w:rFonts w:cs="Arial"/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26DE097" wp14:editId="755E40ED">
              <wp:simplePos x="0" y="0"/>
              <wp:positionH relativeFrom="margin">
                <wp:posOffset>5238115</wp:posOffset>
              </wp:positionH>
              <wp:positionV relativeFrom="paragraph">
                <wp:posOffset>153035</wp:posOffset>
              </wp:positionV>
              <wp:extent cx="1239520" cy="1404620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95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DE40D2" w14:textId="77777777" w:rsidR="002D4720" w:rsidRPr="00616069" w:rsidRDefault="002D4720" w:rsidP="002D4720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  <w:t>KOMENTÁŘ</w:t>
                          </w:r>
                        </w:p>
                        <w:p w14:paraId="0A69756F" w14:textId="46603B57" w:rsidR="002D4720" w:rsidRPr="00616069" w:rsidRDefault="007F41A0" w:rsidP="002138C0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 xml:space="preserve">            </w:t>
                          </w:r>
                          <w:r w:rsidR="002138C0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1</w:t>
                          </w:r>
                          <w:r w:rsidR="002F43DE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5</w:t>
                          </w:r>
                          <w:r w:rsidR="002D4720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.</w:t>
                          </w:r>
                          <w:r w:rsidR="002F43DE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9</w:t>
                          </w:r>
                          <w:r w:rsidR="002D4720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.202</w:t>
                          </w:r>
                          <w:r w:rsidR="002138C0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6DE097" id="_x0000_s1028" type="#_x0000_t202" style="position:absolute;left:0;text-align:left;margin-left:412.45pt;margin-top:12.05pt;width:97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" filled="f" stroked="f">
              <v:textbox style="mso-fit-shape-to-text:t">
                <w:txbxContent>
                  <w:p w14:paraId="15DE40D2" w14:textId="77777777" w:rsidR="002D4720" w:rsidRPr="00616069" w:rsidRDefault="002D4720" w:rsidP="002D4720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  <w:t>KOMENTÁŘ</w:t>
                    </w:r>
                  </w:p>
                  <w:p w14:paraId="0A69756F" w14:textId="46603B57" w:rsidR="002D4720" w:rsidRPr="00616069" w:rsidRDefault="007F41A0" w:rsidP="002138C0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 xml:space="preserve">            </w:t>
                    </w:r>
                    <w:r w:rsidR="002138C0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1</w:t>
                    </w:r>
                    <w:r w:rsidR="002F43DE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5</w:t>
                    </w:r>
                    <w:r w:rsidR="002D4720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.</w:t>
                    </w:r>
                    <w:r w:rsidR="002F43DE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9</w:t>
                    </w:r>
                    <w:r w:rsidR="002D4720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.202</w:t>
                    </w:r>
                    <w:r w:rsidR="002138C0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9A1"/>
    <w:multiLevelType w:val="hybridMultilevel"/>
    <w:tmpl w:val="28EA1BD4"/>
    <w:lvl w:ilvl="0" w:tplc="F8600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4B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04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22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CD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3A2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25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E4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E09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3A48A1"/>
    <w:multiLevelType w:val="hybridMultilevel"/>
    <w:tmpl w:val="6E121294"/>
    <w:lvl w:ilvl="0" w:tplc="BEC070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843AD"/>
    <w:multiLevelType w:val="hybridMultilevel"/>
    <w:tmpl w:val="EB828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5A72"/>
    <w:multiLevelType w:val="hybridMultilevel"/>
    <w:tmpl w:val="4222A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B1D76"/>
    <w:multiLevelType w:val="hybridMultilevel"/>
    <w:tmpl w:val="6D527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2C3C"/>
    <w:multiLevelType w:val="hybridMultilevel"/>
    <w:tmpl w:val="163C6E8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206309C"/>
    <w:multiLevelType w:val="hybridMultilevel"/>
    <w:tmpl w:val="855E01C6"/>
    <w:lvl w:ilvl="0" w:tplc="9F3AF1E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92919"/>
    <w:multiLevelType w:val="hybridMultilevel"/>
    <w:tmpl w:val="2B56FAFE"/>
    <w:lvl w:ilvl="0" w:tplc="698817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A4083"/>
    <w:multiLevelType w:val="hybridMultilevel"/>
    <w:tmpl w:val="3C584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42FC1"/>
    <w:multiLevelType w:val="hybridMultilevel"/>
    <w:tmpl w:val="C296AEE6"/>
    <w:lvl w:ilvl="0" w:tplc="B2560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FA4577"/>
    <w:multiLevelType w:val="hybridMultilevel"/>
    <w:tmpl w:val="553EAC9E"/>
    <w:lvl w:ilvl="0" w:tplc="8B20C2B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343A30"/>
    <w:multiLevelType w:val="hybridMultilevel"/>
    <w:tmpl w:val="26BEA028"/>
    <w:lvl w:ilvl="0" w:tplc="886E4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07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2B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E0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82A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02F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E2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245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A85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ABB14DD"/>
    <w:multiLevelType w:val="hybridMultilevel"/>
    <w:tmpl w:val="17628C18"/>
    <w:lvl w:ilvl="0" w:tplc="E50CA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C6437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CB6EF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9EEF1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2ECDB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A6A64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85E48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5F0E1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38AD36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2C5A2A51"/>
    <w:multiLevelType w:val="hybridMultilevel"/>
    <w:tmpl w:val="633C8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47CE5"/>
    <w:multiLevelType w:val="hybridMultilevel"/>
    <w:tmpl w:val="F91C69CC"/>
    <w:lvl w:ilvl="0" w:tplc="AA8891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B2B28"/>
    <w:multiLevelType w:val="hybridMultilevel"/>
    <w:tmpl w:val="A77CB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70A7D"/>
    <w:multiLevelType w:val="hybridMultilevel"/>
    <w:tmpl w:val="E76A6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A024A"/>
    <w:multiLevelType w:val="hybridMultilevel"/>
    <w:tmpl w:val="123AA014"/>
    <w:lvl w:ilvl="0" w:tplc="A1E66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A3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120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847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0A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88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886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545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EB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D8A7633"/>
    <w:multiLevelType w:val="hybridMultilevel"/>
    <w:tmpl w:val="A68019BE"/>
    <w:lvl w:ilvl="0" w:tplc="D6BA4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C9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E8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6A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223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766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CED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B48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F0A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09105EB"/>
    <w:multiLevelType w:val="hybridMultilevel"/>
    <w:tmpl w:val="25882682"/>
    <w:lvl w:ilvl="0" w:tplc="E586E02A">
      <w:start w:val="1"/>
      <w:numFmt w:val="decimal"/>
      <w:lvlText w:val="%1."/>
      <w:lvlJc w:val="left"/>
      <w:pPr>
        <w:ind w:left="410" w:hanging="360"/>
      </w:pPr>
    </w:lvl>
    <w:lvl w:ilvl="1" w:tplc="08090019">
      <w:start w:val="1"/>
      <w:numFmt w:val="lowerLetter"/>
      <w:lvlText w:val="%2."/>
      <w:lvlJc w:val="left"/>
      <w:pPr>
        <w:ind w:left="1130" w:hanging="360"/>
      </w:pPr>
    </w:lvl>
    <w:lvl w:ilvl="2" w:tplc="0809001B">
      <w:start w:val="1"/>
      <w:numFmt w:val="lowerRoman"/>
      <w:lvlText w:val="%3."/>
      <w:lvlJc w:val="right"/>
      <w:pPr>
        <w:ind w:left="1850" w:hanging="180"/>
      </w:pPr>
    </w:lvl>
    <w:lvl w:ilvl="3" w:tplc="0809000F">
      <w:start w:val="1"/>
      <w:numFmt w:val="decimal"/>
      <w:lvlText w:val="%4."/>
      <w:lvlJc w:val="left"/>
      <w:pPr>
        <w:ind w:left="2570" w:hanging="360"/>
      </w:pPr>
    </w:lvl>
    <w:lvl w:ilvl="4" w:tplc="08090019">
      <w:start w:val="1"/>
      <w:numFmt w:val="lowerLetter"/>
      <w:lvlText w:val="%5."/>
      <w:lvlJc w:val="left"/>
      <w:pPr>
        <w:ind w:left="3290" w:hanging="360"/>
      </w:pPr>
    </w:lvl>
    <w:lvl w:ilvl="5" w:tplc="0809001B">
      <w:start w:val="1"/>
      <w:numFmt w:val="lowerRoman"/>
      <w:lvlText w:val="%6."/>
      <w:lvlJc w:val="right"/>
      <w:pPr>
        <w:ind w:left="4010" w:hanging="180"/>
      </w:pPr>
    </w:lvl>
    <w:lvl w:ilvl="6" w:tplc="0809000F">
      <w:start w:val="1"/>
      <w:numFmt w:val="decimal"/>
      <w:lvlText w:val="%7."/>
      <w:lvlJc w:val="left"/>
      <w:pPr>
        <w:ind w:left="4730" w:hanging="360"/>
      </w:pPr>
    </w:lvl>
    <w:lvl w:ilvl="7" w:tplc="08090019">
      <w:start w:val="1"/>
      <w:numFmt w:val="lowerLetter"/>
      <w:lvlText w:val="%8."/>
      <w:lvlJc w:val="left"/>
      <w:pPr>
        <w:ind w:left="5450" w:hanging="360"/>
      </w:pPr>
    </w:lvl>
    <w:lvl w:ilvl="8" w:tplc="0809001B">
      <w:start w:val="1"/>
      <w:numFmt w:val="lowerRoman"/>
      <w:lvlText w:val="%9."/>
      <w:lvlJc w:val="right"/>
      <w:pPr>
        <w:ind w:left="6170" w:hanging="180"/>
      </w:pPr>
    </w:lvl>
  </w:abstractNum>
  <w:abstractNum w:abstractNumId="20" w15:restartNumberingAfterBreak="0">
    <w:nsid w:val="606843DC"/>
    <w:multiLevelType w:val="hybridMultilevel"/>
    <w:tmpl w:val="3E42D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1214D"/>
    <w:multiLevelType w:val="hybridMultilevel"/>
    <w:tmpl w:val="9F34024E"/>
    <w:lvl w:ilvl="0" w:tplc="ADB0A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29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48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7AB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62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1EB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A9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AC9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23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7613CD2"/>
    <w:multiLevelType w:val="hybridMultilevel"/>
    <w:tmpl w:val="0CF0BB3A"/>
    <w:lvl w:ilvl="0" w:tplc="15082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66CD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90C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EAB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CC3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2058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E1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FCFD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1EA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65577F"/>
    <w:multiLevelType w:val="hybridMultilevel"/>
    <w:tmpl w:val="BBB23B48"/>
    <w:lvl w:ilvl="0" w:tplc="AC68A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5AC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87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08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6B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EA0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60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862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74D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8FD055A"/>
    <w:multiLevelType w:val="hybridMultilevel"/>
    <w:tmpl w:val="F490C33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EA509EA"/>
    <w:multiLevelType w:val="hybridMultilevel"/>
    <w:tmpl w:val="14E0161E"/>
    <w:lvl w:ilvl="0" w:tplc="9F3AF1EC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137D7D"/>
    <w:multiLevelType w:val="hybridMultilevel"/>
    <w:tmpl w:val="F856C146"/>
    <w:lvl w:ilvl="0" w:tplc="F37A31C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DE4F03"/>
    <w:multiLevelType w:val="hybridMultilevel"/>
    <w:tmpl w:val="D458DCC2"/>
    <w:lvl w:ilvl="0" w:tplc="ABAA372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767A3"/>
    <w:multiLevelType w:val="hybridMultilevel"/>
    <w:tmpl w:val="50648AEA"/>
    <w:lvl w:ilvl="0" w:tplc="A2506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E9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4C9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C9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C8C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249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AC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AE4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F2D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9FB636A"/>
    <w:multiLevelType w:val="hybridMultilevel"/>
    <w:tmpl w:val="4454BAA0"/>
    <w:lvl w:ilvl="0" w:tplc="3A1A4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F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446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4AC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124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227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648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26D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6C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C2B4724"/>
    <w:multiLevelType w:val="hybridMultilevel"/>
    <w:tmpl w:val="A274A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382314">
    <w:abstractNumId w:val="3"/>
  </w:num>
  <w:num w:numId="2" w16cid:durableId="1910113698">
    <w:abstractNumId w:val="9"/>
  </w:num>
  <w:num w:numId="3" w16cid:durableId="405613309">
    <w:abstractNumId w:val="26"/>
  </w:num>
  <w:num w:numId="4" w16cid:durableId="240213499">
    <w:abstractNumId w:val="15"/>
  </w:num>
  <w:num w:numId="5" w16cid:durableId="740492638">
    <w:abstractNumId w:val="5"/>
  </w:num>
  <w:num w:numId="6" w16cid:durableId="211576891">
    <w:abstractNumId w:val="24"/>
  </w:num>
  <w:num w:numId="7" w16cid:durableId="1918248069">
    <w:abstractNumId w:val="7"/>
  </w:num>
  <w:num w:numId="8" w16cid:durableId="1159419045">
    <w:abstractNumId w:val="29"/>
  </w:num>
  <w:num w:numId="9" w16cid:durableId="1798374138">
    <w:abstractNumId w:val="6"/>
  </w:num>
  <w:num w:numId="10" w16cid:durableId="1530677457">
    <w:abstractNumId w:val="25"/>
  </w:num>
  <w:num w:numId="11" w16cid:durableId="984315201">
    <w:abstractNumId w:val="2"/>
  </w:num>
  <w:num w:numId="12" w16cid:durableId="7762198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551030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9389165">
    <w:abstractNumId w:val="16"/>
  </w:num>
  <w:num w:numId="15" w16cid:durableId="1323195451">
    <w:abstractNumId w:val="13"/>
  </w:num>
  <w:num w:numId="16" w16cid:durableId="467165265">
    <w:abstractNumId w:val="10"/>
  </w:num>
  <w:num w:numId="17" w16cid:durableId="676033370">
    <w:abstractNumId w:val="12"/>
  </w:num>
  <w:num w:numId="18" w16cid:durableId="1742554342">
    <w:abstractNumId w:val="18"/>
  </w:num>
  <w:num w:numId="19" w16cid:durableId="613287013">
    <w:abstractNumId w:val="21"/>
  </w:num>
  <w:num w:numId="20" w16cid:durableId="8067070">
    <w:abstractNumId w:val="11"/>
  </w:num>
  <w:num w:numId="21" w16cid:durableId="825434180">
    <w:abstractNumId w:val="0"/>
  </w:num>
  <w:num w:numId="22" w16cid:durableId="1082681076">
    <w:abstractNumId w:val="23"/>
  </w:num>
  <w:num w:numId="23" w16cid:durableId="1901165520">
    <w:abstractNumId w:val="28"/>
  </w:num>
  <w:num w:numId="24" w16cid:durableId="1991010767">
    <w:abstractNumId w:val="22"/>
  </w:num>
  <w:num w:numId="25" w16cid:durableId="1542282676">
    <w:abstractNumId w:val="17"/>
  </w:num>
  <w:num w:numId="26" w16cid:durableId="986973659">
    <w:abstractNumId w:val="14"/>
  </w:num>
  <w:num w:numId="27" w16cid:durableId="815336034">
    <w:abstractNumId w:val="27"/>
  </w:num>
  <w:num w:numId="28" w16cid:durableId="1895651473">
    <w:abstractNumId w:val="8"/>
  </w:num>
  <w:num w:numId="29" w16cid:durableId="1858687908">
    <w:abstractNumId w:val="4"/>
  </w:num>
  <w:num w:numId="30" w16cid:durableId="1758164458">
    <w:abstractNumId w:val="20"/>
  </w:num>
  <w:num w:numId="31" w16cid:durableId="1425541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943"/>
    <w:rsid w:val="00000954"/>
    <w:rsid w:val="00001C42"/>
    <w:rsid w:val="00001E72"/>
    <w:rsid w:val="0000226C"/>
    <w:rsid w:val="0000363D"/>
    <w:rsid w:val="00004596"/>
    <w:rsid w:val="00004B72"/>
    <w:rsid w:val="00005419"/>
    <w:rsid w:val="000054D2"/>
    <w:rsid w:val="00005B3F"/>
    <w:rsid w:val="00005DB1"/>
    <w:rsid w:val="00006511"/>
    <w:rsid w:val="00006C79"/>
    <w:rsid w:val="000070E2"/>
    <w:rsid w:val="00010564"/>
    <w:rsid w:val="000118C2"/>
    <w:rsid w:val="00011AF5"/>
    <w:rsid w:val="0001227F"/>
    <w:rsid w:val="00015933"/>
    <w:rsid w:val="000159E5"/>
    <w:rsid w:val="0001656C"/>
    <w:rsid w:val="000175B3"/>
    <w:rsid w:val="000176E6"/>
    <w:rsid w:val="000202BA"/>
    <w:rsid w:val="00020581"/>
    <w:rsid w:val="00020ED0"/>
    <w:rsid w:val="00020FE5"/>
    <w:rsid w:val="000213CC"/>
    <w:rsid w:val="000221E0"/>
    <w:rsid w:val="00023E9F"/>
    <w:rsid w:val="00024480"/>
    <w:rsid w:val="0002473E"/>
    <w:rsid w:val="000264B4"/>
    <w:rsid w:val="000265A3"/>
    <w:rsid w:val="00027099"/>
    <w:rsid w:val="00027B22"/>
    <w:rsid w:val="00027BAD"/>
    <w:rsid w:val="00031418"/>
    <w:rsid w:val="00031478"/>
    <w:rsid w:val="00035040"/>
    <w:rsid w:val="00036FAB"/>
    <w:rsid w:val="00037707"/>
    <w:rsid w:val="00037C17"/>
    <w:rsid w:val="00040FA4"/>
    <w:rsid w:val="00041985"/>
    <w:rsid w:val="000427B8"/>
    <w:rsid w:val="00043889"/>
    <w:rsid w:val="00043DB1"/>
    <w:rsid w:val="00044002"/>
    <w:rsid w:val="000444EA"/>
    <w:rsid w:val="000458CD"/>
    <w:rsid w:val="0004612A"/>
    <w:rsid w:val="00047DF1"/>
    <w:rsid w:val="000509DD"/>
    <w:rsid w:val="00050AF7"/>
    <w:rsid w:val="00051022"/>
    <w:rsid w:val="00051A5B"/>
    <w:rsid w:val="00052C6A"/>
    <w:rsid w:val="00053780"/>
    <w:rsid w:val="00053EE4"/>
    <w:rsid w:val="000559DE"/>
    <w:rsid w:val="00055CBC"/>
    <w:rsid w:val="000563EB"/>
    <w:rsid w:val="00056A4F"/>
    <w:rsid w:val="00057396"/>
    <w:rsid w:val="000606C6"/>
    <w:rsid w:val="00060D7F"/>
    <w:rsid w:val="00063DEB"/>
    <w:rsid w:val="00066F52"/>
    <w:rsid w:val="0006711A"/>
    <w:rsid w:val="00072447"/>
    <w:rsid w:val="00072DB9"/>
    <w:rsid w:val="000733AD"/>
    <w:rsid w:val="0007445A"/>
    <w:rsid w:val="00074C45"/>
    <w:rsid w:val="000752D6"/>
    <w:rsid w:val="00075932"/>
    <w:rsid w:val="0007638A"/>
    <w:rsid w:val="00076C37"/>
    <w:rsid w:val="000770D8"/>
    <w:rsid w:val="00080102"/>
    <w:rsid w:val="00081E35"/>
    <w:rsid w:val="00083D1A"/>
    <w:rsid w:val="000841C2"/>
    <w:rsid w:val="000842AE"/>
    <w:rsid w:val="00084CF9"/>
    <w:rsid w:val="00086094"/>
    <w:rsid w:val="00086BE0"/>
    <w:rsid w:val="0008743D"/>
    <w:rsid w:val="000900C9"/>
    <w:rsid w:val="0009101B"/>
    <w:rsid w:val="00091B3B"/>
    <w:rsid w:val="0009491E"/>
    <w:rsid w:val="00097293"/>
    <w:rsid w:val="000976B9"/>
    <w:rsid w:val="00097B42"/>
    <w:rsid w:val="000A019A"/>
    <w:rsid w:val="000A0285"/>
    <w:rsid w:val="000A0ECE"/>
    <w:rsid w:val="000A16EA"/>
    <w:rsid w:val="000A2779"/>
    <w:rsid w:val="000A29DE"/>
    <w:rsid w:val="000A2C3B"/>
    <w:rsid w:val="000A3ECF"/>
    <w:rsid w:val="000A4D59"/>
    <w:rsid w:val="000A5220"/>
    <w:rsid w:val="000A549A"/>
    <w:rsid w:val="000A664C"/>
    <w:rsid w:val="000B064D"/>
    <w:rsid w:val="000B0992"/>
    <w:rsid w:val="000B2005"/>
    <w:rsid w:val="000B3BFA"/>
    <w:rsid w:val="000B4C8F"/>
    <w:rsid w:val="000B510F"/>
    <w:rsid w:val="000B51A4"/>
    <w:rsid w:val="000B70C8"/>
    <w:rsid w:val="000B79A4"/>
    <w:rsid w:val="000C045B"/>
    <w:rsid w:val="000C11CC"/>
    <w:rsid w:val="000C12D3"/>
    <w:rsid w:val="000C12F1"/>
    <w:rsid w:val="000C1E4E"/>
    <w:rsid w:val="000C234E"/>
    <w:rsid w:val="000C3211"/>
    <w:rsid w:val="000C4910"/>
    <w:rsid w:val="000C502F"/>
    <w:rsid w:val="000C5651"/>
    <w:rsid w:val="000C6834"/>
    <w:rsid w:val="000C78A3"/>
    <w:rsid w:val="000D011A"/>
    <w:rsid w:val="000D02A4"/>
    <w:rsid w:val="000D1749"/>
    <w:rsid w:val="000D1D61"/>
    <w:rsid w:val="000D32BB"/>
    <w:rsid w:val="000D49D0"/>
    <w:rsid w:val="000D4F26"/>
    <w:rsid w:val="000D56F1"/>
    <w:rsid w:val="000D5D2B"/>
    <w:rsid w:val="000D684D"/>
    <w:rsid w:val="000D6EF9"/>
    <w:rsid w:val="000E087A"/>
    <w:rsid w:val="000E0B50"/>
    <w:rsid w:val="000E0C43"/>
    <w:rsid w:val="000E1975"/>
    <w:rsid w:val="000E2B4E"/>
    <w:rsid w:val="000E2FCE"/>
    <w:rsid w:val="000E3B1C"/>
    <w:rsid w:val="000E4810"/>
    <w:rsid w:val="000E4ABC"/>
    <w:rsid w:val="000E563F"/>
    <w:rsid w:val="000E59CE"/>
    <w:rsid w:val="000E5F43"/>
    <w:rsid w:val="000F02C1"/>
    <w:rsid w:val="000F02FD"/>
    <w:rsid w:val="000F0342"/>
    <w:rsid w:val="000F0636"/>
    <w:rsid w:val="000F0A03"/>
    <w:rsid w:val="000F0B04"/>
    <w:rsid w:val="000F30E9"/>
    <w:rsid w:val="000F3195"/>
    <w:rsid w:val="000F426C"/>
    <w:rsid w:val="000F4318"/>
    <w:rsid w:val="000F617D"/>
    <w:rsid w:val="000F61F5"/>
    <w:rsid w:val="000F680C"/>
    <w:rsid w:val="000F70CA"/>
    <w:rsid w:val="00100269"/>
    <w:rsid w:val="001002CD"/>
    <w:rsid w:val="00100394"/>
    <w:rsid w:val="0010159F"/>
    <w:rsid w:val="00102262"/>
    <w:rsid w:val="0010268F"/>
    <w:rsid w:val="0010277A"/>
    <w:rsid w:val="00102D9A"/>
    <w:rsid w:val="00103662"/>
    <w:rsid w:val="0010371D"/>
    <w:rsid w:val="00105514"/>
    <w:rsid w:val="00105918"/>
    <w:rsid w:val="00105ACC"/>
    <w:rsid w:val="00105DB5"/>
    <w:rsid w:val="00106451"/>
    <w:rsid w:val="00106D78"/>
    <w:rsid w:val="00106F70"/>
    <w:rsid w:val="00107915"/>
    <w:rsid w:val="001102C6"/>
    <w:rsid w:val="001104C5"/>
    <w:rsid w:val="001106DD"/>
    <w:rsid w:val="00110C31"/>
    <w:rsid w:val="0011113B"/>
    <w:rsid w:val="001126B2"/>
    <w:rsid w:val="00112AA1"/>
    <w:rsid w:val="00112C5A"/>
    <w:rsid w:val="00112D3E"/>
    <w:rsid w:val="00112E70"/>
    <w:rsid w:val="0011443F"/>
    <w:rsid w:val="0011553C"/>
    <w:rsid w:val="00115D53"/>
    <w:rsid w:val="00115DDC"/>
    <w:rsid w:val="00116003"/>
    <w:rsid w:val="00116F4B"/>
    <w:rsid w:val="001177C9"/>
    <w:rsid w:val="00117860"/>
    <w:rsid w:val="00120FB7"/>
    <w:rsid w:val="001226BC"/>
    <w:rsid w:val="00122810"/>
    <w:rsid w:val="00122CC4"/>
    <w:rsid w:val="0012351B"/>
    <w:rsid w:val="00123FF9"/>
    <w:rsid w:val="00124EF9"/>
    <w:rsid w:val="001253CC"/>
    <w:rsid w:val="001259D2"/>
    <w:rsid w:val="00126A7F"/>
    <w:rsid w:val="00130063"/>
    <w:rsid w:val="00130359"/>
    <w:rsid w:val="001306A2"/>
    <w:rsid w:val="00131D36"/>
    <w:rsid w:val="00131E94"/>
    <w:rsid w:val="00132EE9"/>
    <w:rsid w:val="0013407D"/>
    <w:rsid w:val="001348D9"/>
    <w:rsid w:val="00134A41"/>
    <w:rsid w:val="00134F6E"/>
    <w:rsid w:val="001361CA"/>
    <w:rsid w:val="00136519"/>
    <w:rsid w:val="0013679D"/>
    <w:rsid w:val="00136825"/>
    <w:rsid w:val="00136D3A"/>
    <w:rsid w:val="00136EC9"/>
    <w:rsid w:val="00136FC5"/>
    <w:rsid w:val="00137050"/>
    <w:rsid w:val="0013716D"/>
    <w:rsid w:val="00137560"/>
    <w:rsid w:val="00140854"/>
    <w:rsid w:val="00140E10"/>
    <w:rsid w:val="001438F4"/>
    <w:rsid w:val="00143BF5"/>
    <w:rsid w:val="00143DCC"/>
    <w:rsid w:val="00144794"/>
    <w:rsid w:val="00144D53"/>
    <w:rsid w:val="00144D9A"/>
    <w:rsid w:val="00145506"/>
    <w:rsid w:val="001457AA"/>
    <w:rsid w:val="00145E7A"/>
    <w:rsid w:val="00146F46"/>
    <w:rsid w:val="0015125A"/>
    <w:rsid w:val="00151A74"/>
    <w:rsid w:val="001526EE"/>
    <w:rsid w:val="0015278B"/>
    <w:rsid w:val="0015295E"/>
    <w:rsid w:val="00152A73"/>
    <w:rsid w:val="001534F6"/>
    <w:rsid w:val="00154B70"/>
    <w:rsid w:val="00154EE2"/>
    <w:rsid w:val="001553F8"/>
    <w:rsid w:val="00155A3F"/>
    <w:rsid w:val="00157080"/>
    <w:rsid w:val="001570E1"/>
    <w:rsid w:val="00157C6A"/>
    <w:rsid w:val="001605B3"/>
    <w:rsid w:val="001622C2"/>
    <w:rsid w:val="00162D23"/>
    <w:rsid w:val="001633ED"/>
    <w:rsid w:val="00163F5F"/>
    <w:rsid w:val="00165DDC"/>
    <w:rsid w:val="0016769F"/>
    <w:rsid w:val="00170298"/>
    <w:rsid w:val="00170CF6"/>
    <w:rsid w:val="001715A2"/>
    <w:rsid w:val="0017388B"/>
    <w:rsid w:val="00173D31"/>
    <w:rsid w:val="0017441E"/>
    <w:rsid w:val="0017486D"/>
    <w:rsid w:val="00175839"/>
    <w:rsid w:val="00175A85"/>
    <w:rsid w:val="00175E6C"/>
    <w:rsid w:val="00175FBC"/>
    <w:rsid w:val="00176669"/>
    <w:rsid w:val="001766FF"/>
    <w:rsid w:val="00176C20"/>
    <w:rsid w:val="00176DFC"/>
    <w:rsid w:val="00177598"/>
    <w:rsid w:val="00180856"/>
    <w:rsid w:val="0018097B"/>
    <w:rsid w:val="00180A13"/>
    <w:rsid w:val="00182C97"/>
    <w:rsid w:val="00183066"/>
    <w:rsid w:val="001833C7"/>
    <w:rsid w:val="00183FB4"/>
    <w:rsid w:val="00184412"/>
    <w:rsid w:val="00186A72"/>
    <w:rsid w:val="001903B2"/>
    <w:rsid w:val="001906F3"/>
    <w:rsid w:val="00192933"/>
    <w:rsid w:val="001929FC"/>
    <w:rsid w:val="00195C6D"/>
    <w:rsid w:val="001961C5"/>
    <w:rsid w:val="00196F95"/>
    <w:rsid w:val="00197315"/>
    <w:rsid w:val="0019772B"/>
    <w:rsid w:val="001A05A9"/>
    <w:rsid w:val="001A2614"/>
    <w:rsid w:val="001A2623"/>
    <w:rsid w:val="001A463E"/>
    <w:rsid w:val="001A46CC"/>
    <w:rsid w:val="001A6304"/>
    <w:rsid w:val="001B1060"/>
    <w:rsid w:val="001B11F1"/>
    <w:rsid w:val="001B1467"/>
    <w:rsid w:val="001B1C5E"/>
    <w:rsid w:val="001B2B23"/>
    <w:rsid w:val="001B3197"/>
    <w:rsid w:val="001B39D3"/>
    <w:rsid w:val="001B4DA8"/>
    <w:rsid w:val="001B59D9"/>
    <w:rsid w:val="001B5F14"/>
    <w:rsid w:val="001B6935"/>
    <w:rsid w:val="001B7154"/>
    <w:rsid w:val="001C091C"/>
    <w:rsid w:val="001C121C"/>
    <w:rsid w:val="001C150C"/>
    <w:rsid w:val="001C1FAA"/>
    <w:rsid w:val="001C2261"/>
    <w:rsid w:val="001C266E"/>
    <w:rsid w:val="001C280D"/>
    <w:rsid w:val="001C306A"/>
    <w:rsid w:val="001C49DC"/>
    <w:rsid w:val="001C6945"/>
    <w:rsid w:val="001C698F"/>
    <w:rsid w:val="001C7200"/>
    <w:rsid w:val="001C7CD3"/>
    <w:rsid w:val="001C7F88"/>
    <w:rsid w:val="001D12D6"/>
    <w:rsid w:val="001D169B"/>
    <w:rsid w:val="001D1B1C"/>
    <w:rsid w:val="001D2B76"/>
    <w:rsid w:val="001D2C14"/>
    <w:rsid w:val="001D2ECE"/>
    <w:rsid w:val="001D3292"/>
    <w:rsid w:val="001D39E5"/>
    <w:rsid w:val="001D3C90"/>
    <w:rsid w:val="001D43DB"/>
    <w:rsid w:val="001D474C"/>
    <w:rsid w:val="001D5BB9"/>
    <w:rsid w:val="001D6B1A"/>
    <w:rsid w:val="001D7365"/>
    <w:rsid w:val="001D7600"/>
    <w:rsid w:val="001D7DA5"/>
    <w:rsid w:val="001E15FD"/>
    <w:rsid w:val="001E1AED"/>
    <w:rsid w:val="001E27B8"/>
    <w:rsid w:val="001E31AB"/>
    <w:rsid w:val="001E3706"/>
    <w:rsid w:val="001E4032"/>
    <w:rsid w:val="001E432A"/>
    <w:rsid w:val="001E4370"/>
    <w:rsid w:val="001E4D27"/>
    <w:rsid w:val="001E5169"/>
    <w:rsid w:val="001E5571"/>
    <w:rsid w:val="001E60C5"/>
    <w:rsid w:val="001E6F5D"/>
    <w:rsid w:val="001E71FE"/>
    <w:rsid w:val="001F0819"/>
    <w:rsid w:val="001F1677"/>
    <w:rsid w:val="001F1C52"/>
    <w:rsid w:val="001F2A1F"/>
    <w:rsid w:val="001F3DF4"/>
    <w:rsid w:val="001F49EA"/>
    <w:rsid w:val="001F5CF7"/>
    <w:rsid w:val="001F64C3"/>
    <w:rsid w:val="001F6A78"/>
    <w:rsid w:val="001F6E8A"/>
    <w:rsid w:val="001F72D8"/>
    <w:rsid w:val="001F7B28"/>
    <w:rsid w:val="002010C8"/>
    <w:rsid w:val="0020111C"/>
    <w:rsid w:val="0020121A"/>
    <w:rsid w:val="00201DDA"/>
    <w:rsid w:val="002027D4"/>
    <w:rsid w:val="0020296D"/>
    <w:rsid w:val="00203021"/>
    <w:rsid w:val="00203302"/>
    <w:rsid w:val="00203A7B"/>
    <w:rsid w:val="00203F87"/>
    <w:rsid w:val="002045A5"/>
    <w:rsid w:val="0020488B"/>
    <w:rsid w:val="00204F09"/>
    <w:rsid w:val="0020667A"/>
    <w:rsid w:val="0020698C"/>
    <w:rsid w:val="00206F7E"/>
    <w:rsid w:val="00207AE7"/>
    <w:rsid w:val="00207CB1"/>
    <w:rsid w:val="002105A2"/>
    <w:rsid w:val="00210A9C"/>
    <w:rsid w:val="00211E6F"/>
    <w:rsid w:val="002128AF"/>
    <w:rsid w:val="002137B0"/>
    <w:rsid w:val="002138C0"/>
    <w:rsid w:val="002150BF"/>
    <w:rsid w:val="00215481"/>
    <w:rsid w:val="00216187"/>
    <w:rsid w:val="00216A54"/>
    <w:rsid w:val="00217881"/>
    <w:rsid w:val="0022075B"/>
    <w:rsid w:val="00221F77"/>
    <w:rsid w:val="00221FF5"/>
    <w:rsid w:val="002226C1"/>
    <w:rsid w:val="00222917"/>
    <w:rsid w:val="00222DB9"/>
    <w:rsid w:val="002244BA"/>
    <w:rsid w:val="00224E2B"/>
    <w:rsid w:val="0022581B"/>
    <w:rsid w:val="00225F51"/>
    <w:rsid w:val="0022648E"/>
    <w:rsid w:val="00226AB8"/>
    <w:rsid w:val="00226F32"/>
    <w:rsid w:val="00227ACD"/>
    <w:rsid w:val="00227C82"/>
    <w:rsid w:val="0023165F"/>
    <w:rsid w:val="00231F3A"/>
    <w:rsid w:val="002328F4"/>
    <w:rsid w:val="0023390F"/>
    <w:rsid w:val="0023393E"/>
    <w:rsid w:val="0023493E"/>
    <w:rsid w:val="0023515C"/>
    <w:rsid w:val="00235942"/>
    <w:rsid w:val="00236538"/>
    <w:rsid w:val="0023703D"/>
    <w:rsid w:val="002375B2"/>
    <w:rsid w:val="00237A71"/>
    <w:rsid w:val="00237E0B"/>
    <w:rsid w:val="00242D73"/>
    <w:rsid w:val="002443DF"/>
    <w:rsid w:val="002446E1"/>
    <w:rsid w:val="00244923"/>
    <w:rsid w:val="002472A6"/>
    <w:rsid w:val="00247512"/>
    <w:rsid w:val="00247A4D"/>
    <w:rsid w:val="00250212"/>
    <w:rsid w:val="002507F2"/>
    <w:rsid w:val="00250C73"/>
    <w:rsid w:val="00251163"/>
    <w:rsid w:val="00251393"/>
    <w:rsid w:val="0025241A"/>
    <w:rsid w:val="0025305E"/>
    <w:rsid w:val="00253D09"/>
    <w:rsid w:val="00254CA2"/>
    <w:rsid w:val="002556C2"/>
    <w:rsid w:val="00256268"/>
    <w:rsid w:val="002567A3"/>
    <w:rsid w:val="00260219"/>
    <w:rsid w:val="00260B2C"/>
    <w:rsid w:val="0026106F"/>
    <w:rsid w:val="0026210C"/>
    <w:rsid w:val="00262B7F"/>
    <w:rsid w:val="00263207"/>
    <w:rsid w:val="00264741"/>
    <w:rsid w:val="00264C92"/>
    <w:rsid w:val="0026639E"/>
    <w:rsid w:val="00266980"/>
    <w:rsid w:val="00266ACC"/>
    <w:rsid w:val="00267ACA"/>
    <w:rsid w:val="002707C5"/>
    <w:rsid w:val="00270A4E"/>
    <w:rsid w:val="00270E60"/>
    <w:rsid w:val="00270F52"/>
    <w:rsid w:val="00271563"/>
    <w:rsid w:val="00271569"/>
    <w:rsid w:val="00272177"/>
    <w:rsid w:val="002725DA"/>
    <w:rsid w:val="00274645"/>
    <w:rsid w:val="002748F6"/>
    <w:rsid w:val="00274D15"/>
    <w:rsid w:val="00275209"/>
    <w:rsid w:val="00277397"/>
    <w:rsid w:val="00277D90"/>
    <w:rsid w:val="0028055F"/>
    <w:rsid w:val="002808DB"/>
    <w:rsid w:val="00280AB4"/>
    <w:rsid w:val="00280D31"/>
    <w:rsid w:val="00280F92"/>
    <w:rsid w:val="002817B5"/>
    <w:rsid w:val="00282BE6"/>
    <w:rsid w:val="00283681"/>
    <w:rsid w:val="00284721"/>
    <w:rsid w:val="0028530F"/>
    <w:rsid w:val="002853A9"/>
    <w:rsid w:val="00285A75"/>
    <w:rsid w:val="00287580"/>
    <w:rsid w:val="00290498"/>
    <w:rsid w:val="0029071C"/>
    <w:rsid w:val="00291656"/>
    <w:rsid w:val="0029179B"/>
    <w:rsid w:val="00291BE8"/>
    <w:rsid w:val="00293122"/>
    <w:rsid w:val="0029502E"/>
    <w:rsid w:val="00296021"/>
    <w:rsid w:val="0029774E"/>
    <w:rsid w:val="00297B85"/>
    <w:rsid w:val="002A0002"/>
    <w:rsid w:val="002A02A1"/>
    <w:rsid w:val="002A04EB"/>
    <w:rsid w:val="002A07F7"/>
    <w:rsid w:val="002A1748"/>
    <w:rsid w:val="002A23FA"/>
    <w:rsid w:val="002A266C"/>
    <w:rsid w:val="002A2CE3"/>
    <w:rsid w:val="002A31A1"/>
    <w:rsid w:val="002A3CF3"/>
    <w:rsid w:val="002A3F7E"/>
    <w:rsid w:val="002A4191"/>
    <w:rsid w:val="002A5D11"/>
    <w:rsid w:val="002A6290"/>
    <w:rsid w:val="002A6A60"/>
    <w:rsid w:val="002B1743"/>
    <w:rsid w:val="002B1996"/>
    <w:rsid w:val="002B35B7"/>
    <w:rsid w:val="002B3AB2"/>
    <w:rsid w:val="002B4617"/>
    <w:rsid w:val="002B4641"/>
    <w:rsid w:val="002B5069"/>
    <w:rsid w:val="002B58A5"/>
    <w:rsid w:val="002B724C"/>
    <w:rsid w:val="002C02A9"/>
    <w:rsid w:val="002C0719"/>
    <w:rsid w:val="002C179D"/>
    <w:rsid w:val="002C18CD"/>
    <w:rsid w:val="002C2C2B"/>
    <w:rsid w:val="002C30D4"/>
    <w:rsid w:val="002C47FE"/>
    <w:rsid w:val="002C513E"/>
    <w:rsid w:val="002C5B51"/>
    <w:rsid w:val="002D1376"/>
    <w:rsid w:val="002D238E"/>
    <w:rsid w:val="002D2A30"/>
    <w:rsid w:val="002D2DC7"/>
    <w:rsid w:val="002D3F94"/>
    <w:rsid w:val="002D4720"/>
    <w:rsid w:val="002D49FB"/>
    <w:rsid w:val="002D4A25"/>
    <w:rsid w:val="002D4DF8"/>
    <w:rsid w:val="002D6038"/>
    <w:rsid w:val="002E0041"/>
    <w:rsid w:val="002E1390"/>
    <w:rsid w:val="002E1AEB"/>
    <w:rsid w:val="002E1DBF"/>
    <w:rsid w:val="002E2498"/>
    <w:rsid w:val="002E3105"/>
    <w:rsid w:val="002E320D"/>
    <w:rsid w:val="002E3E1D"/>
    <w:rsid w:val="002E4CA1"/>
    <w:rsid w:val="002E4EFD"/>
    <w:rsid w:val="002E5E57"/>
    <w:rsid w:val="002E6192"/>
    <w:rsid w:val="002E6312"/>
    <w:rsid w:val="002E6C7C"/>
    <w:rsid w:val="002F0118"/>
    <w:rsid w:val="002F0F08"/>
    <w:rsid w:val="002F1752"/>
    <w:rsid w:val="002F1AFD"/>
    <w:rsid w:val="002F20C7"/>
    <w:rsid w:val="002F2F90"/>
    <w:rsid w:val="002F2FAA"/>
    <w:rsid w:val="002F4373"/>
    <w:rsid w:val="002F43DE"/>
    <w:rsid w:val="002F477C"/>
    <w:rsid w:val="002F4A74"/>
    <w:rsid w:val="002F4CBD"/>
    <w:rsid w:val="002F4CDA"/>
    <w:rsid w:val="002F506A"/>
    <w:rsid w:val="002F52DA"/>
    <w:rsid w:val="002F557F"/>
    <w:rsid w:val="002F6432"/>
    <w:rsid w:val="002F6A6D"/>
    <w:rsid w:val="003012B9"/>
    <w:rsid w:val="0030161E"/>
    <w:rsid w:val="00301915"/>
    <w:rsid w:val="003028DC"/>
    <w:rsid w:val="003029D1"/>
    <w:rsid w:val="0030348A"/>
    <w:rsid w:val="003045DD"/>
    <w:rsid w:val="00304727"/>
    <w:rsid w:val="0030613B"/>
    <w:rsid w:val="00306844"/>
    <w:rsid w:val="003077DD"/>
    <w:rsid w:val="003111F3"/>
    <w:rsid w:val="003131EC"/>
    <w:rsid w:val="003134AE"/>
    <w:rsid w:val="00313DD8"/>
    <w:rsid w:val="003142AD"/>
    <w:rsid w:val="003143A4"/>
    <w:rsid w:val="00314AB6"/>
    <w:rsid w:val="00314CF6"/>
    <w:rsid w:val="00315F32"/>
    <w:rsid w:val="00316BAA"/>
    <w:rsid w:val="00317242"/>
    <w:rsid w:val="00320811"/>
    <w:rsid w:val="00322BF9"/>
    <w:rsid w:val="00324743"/>
    <w:rsid w:val="00324769"/>
    <w:rsid w:val="00324B27"/>
    <w:rsid w:val="003253AF"/>
    <w:rsid w:val="003258C4"/>
    <w:rsid w:val="00327407"/>
    <w:rsid w:val="00327CB6"/>
    <w:rsid w:val="00330A92"/>
    <w:rsid w:val="003315E9"/>
    <w:rsid w:val="0033298A"/>
    <w:rsid w:val="00333B31"/>
    <w:rsid w:val="00334257"/>
    <w:rsid w:val="0033440C"/>
    <w:rsid w:val="00335341"/>
    <w:rsid w:val="00335B88"/>
    <w:rsid w:val="00336412"/>
    <w:rsid w:val="00336CA6"/>
    <w:rsid w:val="00337157"/>
    <w:rsid w:val="003373BE"/>
    <w:rsid w:val="00340F22"/>
    <w:rsid w:val="003411DB"/>
    <w:rsid w:val="003417B4"/>
    <w:rsid w:val="00341D86"/>
    <w:rsid w:val="003423A7"/>
    <w:rsid w:val="003426EE"/>
    <w:rsid w:val="0034310E"/>
    <w:rsid w:val="00344213"/>
    <w:rsid w:val="003444F4"/>
    <w:rsid w:val="00344B88"/>
    <w:rsid w:val="00344EBB"/>
    <w:rsid w:val="00345842"/>
    <w:rsid w:val="0034612F"/>
    <w:rsid w:val="00346684"/>
    <w:rsid w:val="003472AF"/>
    <w:rsid w:val="00347FD9"/>
    <w:rsid w:val="003508FE"/>
    <w:rsid w:val="00351369"/>
    <w:rsid w:val="0035167B"/>
    <w:rsid w:val="003522BD"/>
    <w:rsid w:val="00352D4E"/>
    <w:rsid w:val="003543D2"/>
    <w:rsid w:val="0035493D"/>
    <w:rsid w:val="00356528"/>
    <w:rsid w:val="00356C7A"/>
    <w:rsid w:val="00356FF7"/>
    <w:rsid w:val="0035718C"/>
    <w:rsid w:val="003600A2"/>
    <w:rsid w:val="003608A1"/>
    <w:rsid w:val="003608FD"/>
    <w:rsid w:val="0036420C"/>
    <w:rsid w:val="00364A11"/>
    <w:rsid w:val="00366057"/>
    <w:rsid w:val="00366A68"/>
    <w:rsid w:val="003677E2"/>
    <w:rsid w:val="0037051F"/>
    <w:rsid w:val="003707E0"/>
    <w:rsid w:val="00370F35"/>
    <w:rsid w:val="003725F0"/>
    <w:rsid w:val="003732C7"/>
    <w:rsid w:val="0037346E"/>
    <w:rsid w:val="003739F0"/>
    <w:rsid w:val="00373FC2"/>
    <w:rsid w:val="003742A8"/>
    <w:rsid w:val="003749A5"/>
    <w:rsid w:val="00375CF8"/>
    <w:rsid w:val="00376918"/>
    <w:rsid w:val="00376F07"/>
    <w:rsid w:val="003775A3"/>
    <w:rsid w:val="00380502"/>
    <w:rsid w:val="00380788"/>
    <w:rsid w:val="003809CD"/>
    <w:rsid w:val="00381524"/>
    <w:rsid w:val="00381FAF"/>
    <w:rsid w:val="00383D10"/>
    <w:rsid w:val="00384170"/>
    <w:rsid w:val="003847A3"/>
    <w:rsid w:val="00385683"/>
    <w:rsid w:val="00386E7F"/>
    <w:rsid w:val="00387749"/>
    <w:rsid w:val="00387CB8"/>
    <w:rsid w:val="0039010C"/>
    <w:rsid w:val="00390C7F"/>
    <w:rsid w:val="00390E5C"/>
    <w:rsid w:val="00391AED"/>
    <w:rsid w:val="00391C4B"/>
    <w:rsid w:val="00391FA6"/>
    <w:rsid w:val="00393046"/>
    <w:rsid w:val="00394F6F"/>
    <w:rsid w:val="00395026"/>
    <w:rsid w:val="003952ED"/>
    <w:rsid w:val="00395549"/>
    <w:rsid w:val="00395F29"/>
    <w:rsid w:val="00396610"/>
    <w:rsid w:val="00396DEC"/>
    <w:rsid w:val="00396F9D"/>
    <w:rsid w:val="00397430"/>
    <w:rsid w:val="003978CF"/>
    <w:rsid w:val="003A0443"/>
    <w:rsid w:val="003A0F5E"/>
    <w:rsid w:val="003A1E08"/>
    <w:rsid w:val="003A1F79"/>
    <w:rsid w:val="003A39B8"/>
    <w:rsid w:val="003A424B"/>
    <w:rsid w:val="003A46D3"/>
    <w:rsid w:val="003A542D"/>
    <w:rsid w:val="003A5636"/>
    <w:rsid w:val="003A5765"/>
    <w:rsid w:val="003A623D"/>
    <w:rsid w:val="003A68A3"/>
    <w:rsid w:val="003A76ED"/>
    <w:rsid w:val="003B0281"/>
    <w:rsid w:val="003B0433"/>
    <w:rsid w:val="003B04C1"/>
    <w:rsid w:val="003B2C84"/>
    <w:rsid w:val="003B4E23"/>
    <w:rsid w:val="003B4F01"/>
    <w:rsid w:val="003B505C"/>
    <w:rsid w:val="003B519E"/>
    <w:rsid w:val="003B5E6F"/>
    <w:rsid w:val="003B7AE1"/>
    <w:rsid w:val="003C0B1B"/>
    <w:rsid w:val="003C1195"/>
    <w:rsid w:val="003C12B6"/>
    <w:rsid w:val="003C185F"/>
    <w:rsid w:val="003C2D27"/>
    <w:rsid w:val="003C373E"/>
    <w:rsid w:val="003C3D7F"/>
    <w:rsid w:val="003C41DD"/>
    <w:rsid w:val="003C4DE7"/>
    <w:rsid w:val="003C5F2E"/>
    <w:rsid w:val="003C6326"/>
    <w:rsid w:val="003C6710"/>
    <w:rsid w:val="003C6D87"/>
    <w:rsid w:val="003C7600"/>
    <w:rsid w:val="003D079C"/>
    <w:rsid w:val="003D0D7D"/>
    <w:rsid w:val="003D164F"/>
    <w:rsid w:val="003D18F0"/>
    <w:rsid w:val="003D224C"/>
    <w:rsid w:val="003D2390"/>
    <w:rsid w:val="003D2EFA"/>
    <w:rsid w:val="003D3759"/>
    <w:rsid w:val="003D45D4"/>
    <w:rsid w:val="003D57E2"/>
    <w:rsid w:val="003D613B"/>
    <w:rsid w:val="003D684B"/>
    <w:rsid w:val="003D749F"/>
    <w:rsid w:val="003D7D9E"/>
    <w:rsid w:val="003E0FC6"/>
    <w:rsid w:val="003E14DF"/>
    <w:rsid w:val="003E1AAB"/>
    <w:rsid w:val="003E1F42"/>
    <w:rsid w:val="003E3584"/>
    <w:rsid w:val="003E382B"/>
    <w:rsid w:val="003E393C"/>
    <w:rsid w:val="003E3ACA"/>
    <w:rsid w:val="003E3DCB"/>
    <w:rsid w:val="003E4312"/>
    <w:rsid w:val="003E4820"/>
    <w:rsid w:val="003E48FA"/>
    <w:rsid w:val="003E4ADE"/>
    <w:rsid w:val="003E5891"/>
    <w:rsid w:val="003E7ED0"/>
    <w:rsid w:val="003F021E"/>
    <w:rsid w:val="003F03DF"/>
    <w:rsid w:val="003F1189"/>
    <w:rsid w:val="003F12BC"/>
    <w:rsid w:val="003F12D5"/>
    <w:rsid w:val="003F159E"/>
    <w:rsid w:val="003F1CB9"/>
    <w:rsid w:val="003F2050"/>
    <w:rsid w:val="003F37CA"/>
    <w:rsid w:val="003F3922"/>
    <w:rsid w:val="003F470D"/>
    <w:rsid w:val="003F512D"/>
    <w:rsid w:val="003F56AD"/>
    <w:rsid w:val="003F6A8D"/>
    <w:rsid w:val="003F6E69"/>
    <w:rsid w:val="003F7F31"/>
    <w:rsid w:val="004009B6"/>
    <w:rsid w:val="00400E23"/>
    <w:rsid w:val="004015AF"/>
    <w:rsid w:val="00401CD3"/>
    <w:rsid w:val="00401F79"/>
    <w:rsid w:val="00402778"/>
    <w:rsid w:val="00402D75"/>
    <w:rsid w:val="00402FA1"/>
    <w:rsid w:val="00403744"/>
    <w:rsid w:val="0040474A"/>
    <w:rsid w:val="00404E84"/>
    <w:rsid w:val="00405D7E"/>
    <w:rsid w:val="00406F40"/>
    <w:rsid w:val="00407FB6"/>
    <w:rsid w:val="00410561"/>
    <w:rsid w:val="004120D6"/>
    <w:rsid w:val="00412186"/>
    <w:rsid w:val="00412763"/>
    <w:rsid w:val="00412A2D"/>
    <w:rsid w:val="00413258"/>
    <w:rsid w:val="0041355F"/>
    <w:rsid w:val="00414181"/>
    <w:rsid w:val="0041427D"/>
    <w:rsid w:val="00414AD4"/>
    <w:rsid w:val="0041521E"/>
    <w:rsid w:val="004164DD"/>
    <w:rsid w:val="00416763"/>
    <w:rsid w:val="0041745A"/>
    <w:rsid w:val="004179B3"/>
    <w:rsid w:val="004207D5"/>
    <w:rsid w:val="00422B81"/>
    <w:rsid w:val="00422E44"/>
    <w:rsid w:val="004231FB"/>
    <w:rsid w:val="00423374"/>
    <w:rsid w:val="00423E0D"/>
    <w:rsid w:val="004257BB"/>
    <w:rsid w:val="00425883"/>
    <w:rsid w:val="00425A84"/>
    <w:rsid w:val="00425B3B"/>
    <w:rsid w:val="0042602B"/>
    <w:rsid w:val="004279BD"/>
    <w:rsid w:val="00430F3C"/>
    <w:rsid w:val="004325D3"/>
    <w:rsid w:val="00435176"/>
    <w:rsid w:val="00436F5C"/>
    <w:rsid w:val="004371EE"/>
    <w:rsid w:val="00437589"/>
    <w:rsid w:val="0043780A"/>
    <w:rsid w:val="00440A53"/>
    <w:rsid w:val="00442170"/>
    <w:rsid w:val="0044352D"/>
    <w:rsid w:val="004444EE"/>
    <w:rsid w:val="004445E7"/>
    <w:rsid w:val="00444BDA"/>
    <w:rsid w:val="00445609"/>
    <w:rsid w:val="004464CF"/>
    <w:rsid w:val="00446AAD"/>
    <w:rsid w:val="004476C2"/>
    <w:rsid w:val="00451368"/>
    <w:rsid w:val="004522D4"/>
    <w:rsid w:val="00452B0E"/>
    <w:rsid w:val="00453473"/>
    <w:rsid w:val="004555E6"/>
    <w:rsid w:val="00456A9B"/>
    <w:rsid w:val="00460772"/>
    <w:rsid w:val="00461E79"/>
    <w:rsid w:val="00462717"/>
    <w:rsid w:val="004641CC"/>
    <w:rsid w:val="00464E64"/>
    <w:rsid w:val="00465403"/>
    <w:rsid w:val="00465526"/>
    <w:rsid w:val="0046651A"/>
    <w:rsid w:val="004674AA"/>
    <w:rsid w:val="004714FB"/>
    <w:rsid w:val="004718BD"/>
    <w:rsid w:val="00471B86"/>
    <w:rsid w:val="00471D6F"/>
    <w:rsid w:val="00472210"/>
    <w:rsid w:val="00473C52"/>
    <w:rsid w:val="00474524"/>
    <w:rsid w:val="00475D5E"/>
    <w:rsid w:val="00475F13"/>
    <w:rsid w:val="0047661B"/>
    <w:rsid w:val="00476A2A"/>
    <w:rsid w:val="00477094"/>
    <w:rsid w:val="0047757F"/>
    <w:rsid w:val="00477AF5"/>
    <w:rsid w:val="00477CEB"/>
    <w:rsid w:val="00480B75"/>
    <w:rsid w:val="00483136"/>
    <w:rsid w:val="0048354D"/>
    <w:rsid w:val="00483FA6"/>
    <w:rsid w:val="0048489E"/>
    <w:rsid w:val="004852E3"/>
    <w:rsid w:val="00485ADC"/>
    <w:rsid w:val="00486858"/>
    <w:rsid w:val="00486C1D"/>
    <w:rsid w:val="004904F6"/>
    <w:rsid w:val="00490505"/>
    <w:rsid w:val="004908DB"/>
    <w:rsid w:val="00490E1A"/>
    <w:rsid w:val="00491DB6"/>
    <w:rsid w:val="00492636"/>
    <w:rsid w:val="004935C1"/>
    <w:rsid w:val="00493A20"/>
    <w:rsid w:val="00493C14"/>
    <w:rsid w:val="004951FE"/>
    <w:rsid w:val="00495C6A"/>
    <w:rsid w:val="004969D8"/>
    <w:rsid w:val="00496A0D"/>
    <w:rsid w:val="0049704E"/>
    <w:rsid w:val="004975FD"/>
    <w:rsid w:val="004979BF"/>
    <w:rsid w:val="004A1724"/>
    <w:rsid w:val="004A2349"/>
    <w:rsid w:val="004A31A7"/>
    <w:rsid w:val="004A435C"/>
    <w:rsid w:val="004A44DB"/>
    <w:rsid w:val="004A4D8B"/>
    <w:rsid w:val="004A4E6A"/>
    <w:rsid w:val="004A53BB"/>
    <w:rsid w:val="004A5819"/>
    <w:rsid w:val="004A5C0E"/>
    <w:rsid w:val="004A5D84"/>
    <w:rsid w:val="004A6CE0"/>
    <w:rsid w:val="004A724B"/>
    <w:rsid w:val="004A74F4"/>
    <w:rsid w:val="004B1175"/>
    <w:rsid w:val="004B1442"/>
    <w:rsid w:val="004B1766"/>
    <w:rsid w:val="004B19DD"/>
    <w:rsid w:val="004B3889"/>
    <w:rsid w:val="004B3E0D"/>
    <w:rsid w:val="004B3F04"/>
    <w:rsid w:val="004B441B"/>
    <w:rsid w:val="004B4571"/>
    <w:rsid w:val="004B51F9"/>
    <w:rsid w:val="004B564F"/>
    <w:rsid w:val="004B6A7C"/>
    <w:rsid w:val="004B7ECE"/>
    <w:rsid w:val="004C04EA"/>
    <w:rsid w:val="004C0763"/>
    <w:rsid w:val="004C0A56"/>
    <w:rsid w:val="004C0AC1"/>
    <w:rsid w:val="004C10E7"/>
    <w:rsid w:val="004C23FB"/>
    <w:rsid w:val="004C3997"/>
    <w:rsid w:val="004C423D"/>
    <w:rsid w:val="004C4C1F"/>
    <w:rsid w:val="004C50BF"/>
    <w:rsid w:val="004C53CB"/>
    <w:rsid w:val="004C593C"/>
    <w:rsid w:val="004C629B"/>
    <w:rsid w:val="004C693B"/>
    <w:rsid w:val="004C751A"/>
    <w:rsid w:val="004C7E8B"/>
    <w:rsid w:val="004D0B15"/>
    <w:rsid w:val="004D0EBA"/>
    <w:rsid w:val="004D114D"/>
    <w:rsid w:val="004D14D3"/>
    <w:rsid w:val="004D18AC"/>
    <w:rsid w:val="004D23AD"/>
    <w:rsid w:val="004D3E58"/>
    <w:rsid w:val="004D4156"/>
    <w:rsid w:val="004D4333"/>
    <w:rsid w:val="004D5CA7"/>
    <w:rsid w:val="004D6531"/>
    <w:rsid w:val="004E011D"/>
    <w:rsid w:val="004E0D15"/>
    <w:rsid w:val="004E1AC6"/>
    <w:rsid w:val="004E2434"/>
    <w:rsid w:val="004E26E2"/>
    <w:rsid w:val="004E3070"/>
    <w:rsid w:val="004E32FB"/>
    <w:rsid w:val="004E4B5B"/>
    <w:rsid w:val="004E5779"/>
    <w:rsid w:val="004E5E51"/>
    <w:rsid w:val="004E642B"/>
    <w:rsid w:val="004E668A"/>
    <w:rsid w:val="004E7E07"/>
    <w:rsid w:val="004F32E1"/>
    <w:rsid w:val="004F34F2"/>
    <w:rsid w:val="004F3D9B"/>
    <w:rsid w:val="004F4632"/>
    <w:rsid w:val="004F46CE"/>
    <w:rsid w:val="004F46D6"/>
    <w:rsid w:val="004F5C1C"/>
    <w:rsid w:val="004F62FF"/>
    <w:rsid w:val="004F69E2"/>
    <w:rsid w:val="004F6CFB"/>
    <w:rsid w:val="004F6EA8"/>
    <w:rsid w:val="004F70A7"/>
    <w:rsid w:val="005019FE"/>
    <w:rsid w:val="00502072"/>
    <w:rsid w:val="00502C28"/>
    <w:rsid w:val="00503D06"/>
    <w:rsid w:val="00504229"/>
    <w:rsid w:val="00504370"/>
    <w:rsid w:val="00505434"/>
    <w:rsid w:val="005063FD"/>
    <w:rsid w:val="0050674F"/>
    <w:rsid w:val="005069C2"/>
    <w:rsid w:val="005070EC"/>
    <w:rsid w:val="00507747"/>
    <w:rsid w:val="00510452"/>
    <w:rsid w:val="00510AD7"/>
    <w:rsid w:val="00510EB1"/>
    <w:rsid w:val="0051164C"/>
    <w:rsid w:val="00512176"/>
    <w:rsid w:val="005122E9"/>
    <w:rsid w:val="005137DB"/>
    <w:rsid w:val="005142AC"/>
    <w:rsid w:val="0051437A"/>
    <w:rsid w:val="0051449F"/>
    <w:rsid w:val="0051508B"/>
    <w:rsid w:val="0051570C"/>
    <w:rsid w:val="00515A05"/>
    <w:rsid w:val="00515ECA"/>
    <w:rsid w:val="00516007"/>
    <w:rsid w:val="00517111"/>
    <w:rsid w:val="005203B7"/>
    <w:rsid w:val="005208BD"/>
    <w:rsid w:val="0052161C"/>
    <w:rsid w:val="00521FF6"/>
    <w:rsid w:val="0052347F"/>
    <w:rsid w:val="00527260"/>
    <w:rsid w:val="00527681"/>
    <w:rsid w:val="0052771A"/>
    <w:rsid w:val="00527FC5"/>
    <w:rsid w:val="00530245"/>
    <w:rsid w:val="00530967"/>
    <w:rsid w:val="00530DE6"/>
    <w:rsid w:val="00531FAE"/>
    <w:rsid w:val="005343BA"/>
    <w:rsid w:val="0053589B"/>
    <w:rsid w:val="00535CDB"/>
    <w:rsid w:val="00535E49"/>
    <w:rsid w:val="0053659F"/>
    <w:rsid w:val="00537D18"/>
    <w:rsid w:val="00537D95"/>
    <w:rsid w:val="005417AF"/>
    <w:rsid w:val="00541D7D"/>
    <w:rsid w:val="00543780"/>
    <w:rsid w:val="005442D1"/>
    <w:rsid w:val="005450EB"/>
    <w:rsid w:val="0054574A"/>
    <w:rsid w:val="00545AC2"/>
    <w:rsid w:val="00546646"/>
    <w:rsid w:val="0054665C"/>
    <w:rsid w:val="00547A43"/>
    <w:rsid w:val="00550C47"/>
    <w:rsid w:val="00552694"/>
    <w:rsid w:val="00552D45"/>
    <w:rsid w:val="0055337B"/>
    <w:rsid w:val="0055377C"/>
    <w:rsid w:val="00553860"/>
    <w:rsid w:val="005541F4"/>
    <w:rsid w:val="005545FE"/>
    <w:rsid w:val="00554717"/>
    <w:rsid w:val="00555261"/>
    <w:rsid w:val="00556DE6"/>
    <w:rsid w:val="005574AF"/>
    <w:rsid w:val="0055785D"/>
    <w:rsid w:val="005578C6"/>
    <w:rsid w:val="00557A53"/>
    <w:rsid w:val="0056090E"/>
    <w:rsid w:val="005613B3"/>
    <w:rsid w:val="00561ED7"/>
    <w:rsid w:val="00562166"/>
    <w:rsid w:val="00562995"/>
    <w:rsid w:val="00563855"/>
    <w:rsid w:val="005642DD"/>
    <w:rsid w:val="00564453"/>
    <w:rsid w:val="00566025"/>
    <w:rsid w:val="0056611F"/>
    <w:rsid w:val="005666D7"/>
    <w:rsid w:val="005676A0"/>
    <w:rsid w:val="00567ADA"/>
    <w:rsid w:val="005718D7"/>
    <w:rsid w:val="00571AFD"/>
    <w:rsid w:val="00571BEE"/>
    <w:rsid w:val="00571C08"/>
    <w:rsid w:val="00571C69"/>
    <w:rsid w:val="00572232"/>
    <w:rsid w:val="005722E9"/>
    <w:rsid w:val="00572D52"/>
    <w:rsid w:val="00573D34"/>
    <w:rsid w:val="00573F62"/>
    <w:rsid w:val="00574588"/>
    <w:rsid w:val="00574592"/>
    <w:rsid w:val="00574619"/>
    <w:rsid w:val="005746F6"/>
    <w:rsid w:val="00575D36"/>
    <w:rsid w:val="005761EE"/>
    <w:rsid w:val="00576C13"/>
    <w:rsid w:val="00576CB6"/>
    <w:rsid w:val="00576CF4"/>
    <w:rsid w:val="00577164"/>
    <w:rsid w:val="00577D9F"/>
    <w:rsid w:val="00580391"/>
    <w:rsid w:val="0058086E"/>
    <w:rsid w:val="005818DE"/>
    <w:rsid w:val="00581AC8"/>
    <w:rsid w:val="00581CC1"/>
    <w:rsid w:val="00584718"/>
    <w:rsid w:val="00584D4C"/>
    <w:rsid w:val="005861DC"/>
    <w:rsid w:val="0058622F"/>
    <w:rsid w:val="00586418"/>
    <w:rsid w:val="00587350"/>
    <w:rsid w:val="005874B8"/>
    <w:rsid w:val="00587BA9"/>
    <w:rsid w:val="0059007C"/>
    <w:rsid w:val="00590699"/>
    <w:rsid w:val="00591A31"/>
    <w:rsid w:val="00591E29"/>
    <w:rsid w:val="00592318"/>
    <w:rsid w:val="00594C44"/>
    <w:rsid w:val="0059556C"/>
    <w:rsid w:val="00596B76"/>
    <w:rsid w:val="00597DD9"/>
    <w:rsid w:val="005A0ACF"/>
    <w:rsid w:val="005A0C34"/>
    <w:rsid w:val="005A2501"/>
    <w:rsid w:val="005A292F"/>
    <w:rsid w:val="005A2FF8"/>
    <w:rsid w:val="005A34B6"/>
    <w:rsid w:val="005A390E"/>
    <w:rsid w:val="005A3E34"/>
    <w:rsid w:val="005A44FF"/>
    <w:rsid w:val="005A4BD9"/>
    <w:rsid w:val="005A4D8E"/>
    <w:rsid w:val="005A51C6"/>
    <w:rsid w:val="005A576D"/>
    <w:rsid w:val="005A5BAB"/>
    <w:rsid w:val="005A5CB3"/>
    <w:rsid w:val="005A6604"/>
    <w:rsid w:val="005A78DE"/>
    <w:rsid w:val="005A7E09"/>
    <w:rsid w:val="005B08A6"/>
    <w:rsid w:val="005B0F22"/>
    <w:rsid w:val="005B0F27"/>
    <w:rsid w:val="005B1A31"/>
    <w:rsid w:val="005B1B6C"/>
    <w:rsid w:val="005B2B4F"/>
    <w:rsid w:val="005B2CB5"/>
    <w:rsid w:val="005B3439"/>
    <w:rsid w:val="005B4653"/>
    <w:rsid w:val="005B4E45"/>
    <w:rsid w:val="005B4E85"/>
    <w:rsid w:val="005B5E17"/>
    <w:rsid w:val="005B6419"/>
    <w:rsid w:val="005B6CC1"/>
    <w:rsid w:val="005C1943"/>
    <w:rsid w:val="005C22C2"/>
    <w:rsid w:val="005C2322"/>
    <w:rsid w:val="005C501A"/>
    <w:rsid w:val="005C5673"/>
    <w:rsid w:val="005C6D52"/>
    <w:rsid w:val="005C6F67"/>
    <w:rsid w:val="005C7858"/>
    <w:rsid w:val="005C7A9A"/>
    <w:rsid w:val="005C7FCE"/>
    <w:rsid w:val="005D05FD"/>
    <w:rsid w:val="005D11A5"/>
    <w:rsid w:val="005D1A7D"/>
    <w:rsid w:val="005D3508"/>
    <w:rsid w:val="005D48E0"/>
    <w:rsid w:val="005D4BC8"/>
    <w:rsid w:val="005D55D6"/>
    <w:rsid w:val="005D593D"/>
    <w:rsid w:val="005D5C76"/>
    <w:rsid w:val="005D65FF"/>
    <w:rsid w:val="005D6E43"/>
    <w:rsid w:val="005D717B"/>
    <w:rsid w:val="005D769A"/>
    <w:rsid w:val="005D7FC2"/>
    <w:rsid w:val="005E092E"/>
    <w:rsid w:val="005E1DD8"/>
    <w:rsid w:val="005E1EA0"/>
    <w:rsid w:val="005E1F6F"/>
    <w:rsid w:val="005E4132"/>
    <w:rsid w:val="005E58E1"/>
    <w:rsid w:val="005E5F8B"/>
    <w:rsid w:val="005F0EC7"/>
    <w:rsid w:val="005F105B"/>
    <w:rsid w:val="005F1295"/>
    <w:rsid w:val="005F2075"/>
    <w:rsid w:val="005F2341"/>
    <w:rsid w:val="005F2B48"/>
    <w:rsid w:val="005F3ADE"/>
    <w:rsid w:val="005F432C"/>
    <w:rsid w:val="005F4B41"/>
    <w:rsid w:val="005F4F2A"/>
    <w:rsid w:val="005F5099"/>
    <w:rsid w:val="005F73A6"/>
    <w:rsid w:val="006002FC"/>
    <w:rsid w:val="00600D9B"/>
    <w:rsid w:val="0060128D"/>
    <w:rsid w:val="006015EB"/>
    <w:rsid w:val="006021B4"/>
    <w:rsid w:val="00602BDA"/>
    <w:rsid w:val="0060305B"/>
    <w:rsid w:val="0060308F"/>
    <w:rsid w:val="0060552B"/>
    <w:rsid w:val="00606E04"/>
    <w:rsid w:val="00607B8A"/>
    <w:rsid w:val="00611A97"/>
    <w:rsid w:val="00611B3C"/>
    <w:rsid w:val="00611C5C"/>
    <w:rsid w:val="00612686"/>
    <w:rsid w:val="006131E9"/>
    <w:rsid w:val="0061392C"/>
    <w:rsid w:val="00613C92"/>
    <w:rsid w:val="00615685"/>
    <w:rsid w:val="00616069"/>
    <w:rsid w:val="00616FDD"/>
    <w:rsid w:val="00617E42"/>
    <w:rsid w:val="00617E6C"/>
    <w:rsid w:val="006203EC"/>
    <w:rsid w:val="00622015"/>
    <w:rsid w:val="00622191"/>
    <w:rsid w:val="006228C3"/>
    <w:rsid w:val="00622D62"/>
    <w:rsid w:val="00622D80"/>
    <w:rsid w:val="0062336F"/>
    <w:rsid w:val="00623D41"/>
    <w:rsid w:val="00624A28"/>
    <w:rsid w:val="00624E5B"/>
    <w:rsid w:val="006264F1"/>
    <w:rsid w:val="00626A29"/>
    <w:rsid w:val="00626AF4"/>
    <w:rsid w:val="00626CB1"/>
    <w:rsid w:val="00626CBB"/>
    <w:rsid w:val="00627894"/>
    <w:rsid w:val="00627FF6"/>
    <w:rsid w:val="00630506"/>
    <w:rsid w:val="00630BC9"/>
    <w:rsid w:val="006320CB"/>
    <w:rsid w:val="0063314F"/>
    <w:rsid w:val="0063422F"/>
    <w:rsid w:val="006354FF"/>
    <w:rsid w:val="00635832"/>
    <w:rsid w:val="00635AB6"/>
    <w:rsid w:val="006361B1"/>
    <w:rsid w:val="006365E9"/>
    <w:rsid w:val="00636E18"/>
    <w:rsid w:val="0063705B"/>
    <w:rsid w:val="00637228"/>
    <w:rsid w:val="006406FA"/>
    <w:rsid w:val="00641532"/>
    <w:rsid w:val="00641E0B"/>
    <w:rsid w:val="0064225E"/>
    <w:rsid w:val="0064298D"/>
    <w:rsid w:val="0064364F"/>
    <w:rsid w:val="006445A3"/>
    <w:rsid w:val="00645115"/>
    <w:rsid w:val="006462F1"/>
    <w:rsid w:val="006464CF"/>
    <w:rsid w:val="00647A7A"/>
    <w:rsid w:val="00650724"/>
    <w:rsid w:val="0065124E"/>
    <w:rsid w:val="006513A0"/>
    <w:rsid w:val="00652C4F"/>
    <w:rsid w:val="0065308E"/>
    <w:rsid w:val="006534DC"/>
    <w:rsid w:val="006541D1"/>
    <w:rsid w:val="00654860"/>
    <w:rsid w:val="00654F37"/>
    <w:rsid w:val="00655662"/>
    <w:rsid w:val="00656ABE"/>
    <w:rsid w:val="00657521"/>
    <w:rsid w:val="0066000B"/>
    <w:rsid w:val="0066030A"/>
    <w:rsid w:val="00660931"/>
    <w:rsid w:val="00660DB9"/>
    <w:rsid w:val="00661956"/>
    <w:rsid w:val="00661C43"/>
    <w:rsid w:val="00662C23"/>
    <w:rsid w:val="00663A53"/>
    <w:rsid w:val="0066473E"/>
    <w:rsid w:val="00664F66"/>
    <w:rsid w:val="00665069"/>
    <w:rsid w:val="0066537B"/>
    <w:rsid w:val="00665718"/>
    <w:rsid w:val="00665E8C"/>
    <w:rsid w:val="00665F6E"/>
    <w:rsid w:val="0066692E"/>
    <w:rsid w:val="00666CC6"/>
    <w:rsid w:val="006677D7"/>
    <w:rsid w:val="00667828"/>
    <w:rsid w:val="00667AF6"/>
    <w:rsid w:val="00670CDD"/>
    <w:rsid w:val="00670F37"/>
    <w:rsid w:val="00672277"/>
    <w:rsid w:val="00674930"/>
    <w:rsid w:val="00676079"/>
    <w:rsid w:val="00676326"/>
    <w:rsid w:val="006777C7"/>
    <w:rsid w:val="00677FE7"/>
    <w:rsid w:val="006830CE"/>
    <w:rsid w:val="006839E8"/>
    <w:rsid w:val="00683D65"/>
    <w:rsid w:val="00684AB4"/>
    <w:rsid w:val="00684FDE"/>
    <w:rsid w:val="006851CB"/>
    <w:rsid w:val="00685F12"/>
    <w:rsid w:val="00687672"/>
    <w:rsid w:val="00690239"/>
    <w:rsid w:val="00690FB6"/>
    <w:rsid w:val="00691287"/>
    <w:rsid w:val="006919FC"/>
    <w:rsid w:val="00693034"/>
    <w:rsid w:val="0069373F"/>
    <w:rsid w:val="00693FDC"/>
    <w:rsid w:val="006963D2"/>
    <w:rsid w:val="00696748"/>
    <w:rsid w:val="00697FEB"/>
    <w:rsid w:val="006A02C9"/>
    <w:rsid w:val="006A0B4A"/>
    <w:rsid w:val="006A0D71"/>
    <w:rsid w:val="006A0E7E"/>
    <w:rsid w:val="006A0F4A"/>
    <w:rsid w:val="006A1D16"/>
    <w:rsid w:val="006A1EA8"/>
    <w:rsid w:val="006A4300"/>
    <w:rsid w:val="006A4428"/>
    <w:rsid w:val="006A7BEA"/>
    <w:rsid w:val="006A7D62"/>
    <w:rsid w:val="006B120F"/>
    <w:rsid w:val="006B1FE2"/>
    <w:rsid w:val="006B2EBD"/>
    <w:rsid w:val="006B2F86"/>
    <w:rsid w:val="006B3690"/>
    <w:rsid w:val="006B37A6"/>
    <w:rsid w:val="006B3C0D"/>
    <w:rsid w:val="006C0355"/>
    <w:rsid w:val="006C090C"/>
    <w:rsid w:val="006C13D5"/>
    <w:rsid w:val="006C3A40"/>
    <w:rsid w:val="006C3F79"/>
    <w:rsid w:val="006C4E8E"/>
    <w:rsid w:val="006C53A0"/>
    <w:rsid w:val="006C5E9B"/>
    <w:rsid w:val="006C6628"/>
    <w:rsid w:val="006C6D77"/>
    <w:rsid w:val="006C7240"/>
    <w:rsid w:val="006C74D6"/>
    <w:rsid w:val="006C7663"/>
    <w:rsid w:val="006D0EE8"/>
    <w:rsid w:val="006D12C7"/>
    <w:rsid w:val="006D175B"/>
    <w:rsid w:val="006D1BF7"/>
    <w:rsid w:val="006D23EF"/>
    <w:rsid w:val="006D457D"/>
    <w:rsid w:val="006D59F8"/>
    <w:rsid w:val="006D61DA"/>
    <w:rsid w:val="006D6AF7"/>
    <w:rsid w:val="006D6EBB"/>
    <w:rsid w:val="006D781E"/>
    <w:rsid w:val="006D7F80"/>
    <w:rsid w:val="006D7FC7"/>
    <w:rsid w:val="006E00DA"/>
    <w:rsid w:val="006E04F7"/>
    <w:rsid w:val="006E0941"/>
    <w:rsid w:val="006E0B68"/>
    <w:rsid w:val="006E0EAD"/>
    <w:rsid w:val="006E1DC5"/>
    <w:rsid w:val="006E2E7E"/>
    <w:rsid w:val="006E2EFD"/>
    <w:rsid w:val="006E3420"/>
    <w:rsid w:val="006E39D7"/>
    <w:rsid w:val="006E3BD0"/>
    <w:rsid w:val="006E3FA9"/>
    <w:rsid w:val="006E4444"/>
    <w:rsid w:val="006E4D14"/>
    <w:rsid w:val="006E6866"/>
    <w:rsid w:val="006E702B"/>
    <w:rsid w:val="006E7DC6"/>
    <w:rsid w:val="006F01FC"/>
    <w:rsid w:val="006F0349"/>
    <w:rsid w:val="006F08E1"/>
    <w:rsid w:val="006F0E10"/>
    <w:rsid w:val="006F13D2"/>
    <w:rsid w:val="006F1A53"/>
    <w:rsid w:val="006F2196"/>
    <w:rsid w:val="006F2B29"/>
    <w:rsid w:val="006F3620"/>
    <w:rsid w:val="006F3D73"/>
    <w:rsid w:val="006F5A87"/>
    <w:rsid w:val="006F747C"/>
    <w:rsid w:val="006F74BF"/>
    <w:rsid w:val="006F7BDA"/>
    <w:rsid w:val="00700C93"/>
    <w:rsid w:val="00701FC8"/>
    <w:rsid w:val="0070288A"/>
    <w:rsid w:val="00702D07"/>
    <w:rsid w:val="00703676"/>
    <w:rsid w:val="00706655"/>
    <w:rsid w:val="007078D6"/>
    <w:rsid w:val="007106DD"/>
    <w:rsid w:val="00710F87"/>
    <w:rsid w:val="00711217"/>
    <w:rsid w:val="007116F8"/>
    <w:rsid w:val="00712900"/>
    <w:rsid w:val="007133E9"/>
    <w:rsid w:val="007137B3"/>
    <w:rsid w:val="00713BD4"/>
    <w:rsid w:val="00714542"/>
    <w:rsid w:val="007146AA"/>
    <w:rsid w:val="00714837"/>
    <w:rsid w:val="00714EF0"/>
    <w:rsid w:val="00714F04"/>
    <w:rsid w:val="00715087"/>
    <w:rsid w:val="00715712"/>
    <w:rsid w:val="007158C7"/>
    <w:rsid w:val="00715D0C"/>
    <w:rsid w:val="0071628B"/>
    <w:rsid w:val="00716F27"/>
    <w:rsid w:val="00717727"/>
    <w:rsid w:val="00717B00"/>
    <w:rsid w:val="00720B68"/>
    <w:rsid w:val="00720DE3"/>
    <w:rsid w:val="00721C6A"/>
    <w:rsid w:val="007222B0"/>
    <w:rsid w:val="007227EC"/>
    <w:rsid w:val="00722F2C"/>
    <w:rsid w:val="00723293"/>
    <w:rsid w:val="00723439"/>
    <w:rsid w:val="00723CB3"/>
    <w:rsid w:val="00724D46"/>
    <w:rsid w:val="007252D4"/>
    <w:rsid w:val="007263EF"/>
    <w:rsid w:val="00727012"/>
    <w:rsid w:val="0072723A"/>
    <w:rsid w:val="007279EC"/>
    <w:rsid w:val="00727D29"/>
    <w:rsid w:val="00730818"/>
    <w:rsid w:val="00730E2D"/>
    <w:rsid w:val="0073142D"/>
    <w:rsid w:val="0073237F"/>
    <w:rsid w:val="007323B9"/>
    <w:rsid w:val="007330A4"/>
    <w:rsid w:val="00733C05"/>
    <w:rsid w:val="00734568"/>
    <w:rsid w:val="0073460E"/>
    <w:rsid w:val="007349F9"/>
    <w:rsid w:val="00734A12"/>
    <w:rsid w:val="00735CDE"/>
    <w:rsid w:val="00736EAE"/>
    <w:rsid w:val="00737F9B"/>
    <w:rsid w:val="007402C2"/>
    <w:rsid w:val="0074044C"/>
    <w:rsid w:val="007405B1"/>
    <w:rsid w:val="00740AF0"/>
    <w:rsid w:val="007419ED"/>
    <w:rsid w:val="00742174"/>
    <w:rsid w:val="00742C4C"/>
    <w:rsid w:val="007431F0"/>
    <w:rsid w:val="00743577"/>
    <w:rsid w:val="007435D3"/>
    <w:rsid w:val="00744220"/>
    <w:rsid w:val="00744C66"/>
    <w:rsid w:val="007464CC"/>
    <w:rsid w:val="00747238"/>
    <w:rsid w:val="00747B4B"/>
    <w:rsid w:val="00747D5E"/>
    <w:rsid w:val="00750679"/>
    <w:rsid w:val="00751EDA"/>
    <w:rsid w:val="00754851"/>
    <w:rsid w:val="007575D0"/>
    <w:rsid w:val="00757649"/>
    <w:rsid w:val="00760944"/>
    <w:rsid w:val="007609D5"/>
    <w:rsid w:val="00760C75"/>
    <w:rsid w:val="007611AD"/>
    <w:rsid w:val="0076126B"/>
    <w:rsid w:val="007613B3"/>
    <w:rsid w:val="00762FBA"/>
    <w:rsid w:val="0076316D"/>
    <w:rsid w:val="00763FB6"/>
    <w:rsid w:val="0076473F"/>
    <w:rsid w:val="00764748"/>
    <w:rsid w:val="00765515"/>
    <w:rsid w:val="00766F28"/>
    <w:rsid w:val="007713E8"/>
    <w:rsid w:val="00771967"/>
    <w:rsid w:val="00771AA1"/>
    <w:rsid w:val="00772FC8"/>
    <w:rsid w:val="0077322C"/>
    <w:rsid w:val="00774715"/>
    <w:rsid w:val="007747EE"/>
    <w:rsid w:val="00774999"/>
    <w:rsid w:val="00774F98"/>
    <w:rsid w:val="00776623"/>
    <w:rsid w:val="007768F5"/>
    <w:rsid w:val="0077735A"/>
    <w:rsid w:val="0078095B"/>
    <w:rsid w:val="00780D10"/>
    <w:rsid w:val="007813D1"/>
    <w:rsid w:val="00782158"/>
    <w:rsid w:val="007821BC"/>
    <w:rsid w:val="007826E0"/>
    <w:rsid w:val="0078271A"/>
    <w:rsid w:val="00783194"/>
    <w:rsid w:val="00783455"/>
    <w:rsid w:val="007835D5"/>
    <w:rsid w:val="0078383A"/>
    <w:rsid w:val="00783BA7"/>
    <w:rsid w:val="007853F8"/>
    <w:rsid w:val="0078687A"/>
    <w:rsid w:val="00786AA2"/>
    <w:rsid w:val="00786BB9"/>
    <w:rsid w:val="00786FE5"/>
    <w:rsid w:val="007870B3"/>
    <w:rsid w:val="00787297"/>
    <w:rsid w:val="007877DC"/>
    <w:rsid w:val="0079039B"/>
    <w:rsid w:val="007908E2"/>
    <w:rsid w:val="00792C45"/>
    <w:rsid w:val="00793842"/>
    <w:rsid w:val="00794379"/>
    <w:rsid w:val="007953B5"/>
    <w:rsid w:val="00795F3C"/>
    <w:rsid w:val="00796271"/>
    <w:rsid w:val="00796431"/>
    <w:rsid w:val="007964DC"/>
    <w:rsid w:val="007967E6"/>
    <w:rsid w:val="00797D07"/>
    <w:rsid w:val="00797EC1"/>
    <w:rsid w:val="007A03B9"/>
    <w:rsid w:val="007A06C5"/>
    <w:rsid w:val="007A0B4E"/>
    <w:rsid w:val="007A117C"/>
    <w:rsid w:val="007A2635"/>
    <w:rsid w:val="007A3BFB"/>
    <w:rsid w:val="007A5DE7"/>
    <w:rsid w:val="007A69A5"/>
    <w:rsid w:val="007A6B52"/>
    <w:rsid w:val="007A6C81"/>
    <w:rsid w:val="007A7B10"/>
    <w:rsid w:val="007B02A8"/>
    <w:rsid w:val="007B0B30"/>
    <w:rsid w:val="007B129D"/>
    <w:rsid w:val="007B219A"/>
    <w:rsid w:val="007B31A6"/>
    <w:rsid w:val="007B4508"/>
    <w:rsid w:val="007B5E3D"/>
    <w:rsid w:val="007B6B28"/>
    <w:rsid w:val="007B79F6"/>
    <w:rsid w:val="007B7B44"/>
    <w:rsid w:val="007C0E2D"/>
    <w:rsid w:val="007C1271"/>
    <w:rsid w:val="007C12F0"/>
    <w:rsid w:val="007C15B2"/>
    <w:rsid w:val="007C4747"/>
    <w:rsid w:val="007C4C83"/>
    <w:rsid w:val="007C525A"/>
    <w:rsid w:val="007C533A"/>
    <w:rsid w:val="007C591A"/>
    <w:rsid w:val="007C6206"/>
    <w:rsid w:val="007C6225"/>
    <w:rsid w:val="007C64E2"/>
    <w:rsid w:val="007C7C72"/>
    <w:rsid w:val="007D065D"/>
    <w:rsid w:val="007D1196"/>
    <w:rsid w:val="007D1E88"/>
    <w:rsid w:val="007D275E"/>
    <w:rsid w:val="007D2928"/>
    <w:rsid w:val="007D37BA"/>
    <w:rsid w:val="007D3850"/>
    <w:rsid w:val="007D3F75"/>
    <w:rsid w:val="007D4025"/>
    <w:rsid w:val="007D66F0"/>
    <w:rsid w:val="007D73E5"/>
    <w:rsid w:val="007D750A"/>
    <w:rsid w:val="007D7523"/>
    <w:rsid w:val="007E0084"/>
    <w:rsid w:val="007E0678"/>
    <w:rsid w:val="007E0A18"/>
    <w:rsid w:val="007E0EF4"/>
    <w:rsid w:val="007E1035"/>
    <w:rsid w:val="007E18D1"/>
    <w:rsid w:val="007E199C"/>
    <w:rsid w:val="007E2A76"/>
    <w:rsid w:val="007E4D07"/>
    <w:rsid w:val="007E581F"/>
    <w:rsid w:val="007E722A"/>
    <w:rsid w:val="007E72EF"/>
    <w:rsid w:val="007E770A"/>
    <w:rsid w:val="007E7968"/>
    <w:rsid w:val="007E7C0D"/>
    <w:rsid w:val="007F0CB0"/>
    <w:rsid w:val="007F1600"/>
    <w:rsid w:val="007F166D"/>
    <w:rsid w:val="007F1EDF"/>
    <w:rsid w:val="007F2054"/>
    <w:rsid w:val="007F299B"/>
    <w:rsid w:val="007F365B"/>
    <w:rsid w:val="007F3B50"/>
    <w:rsid w:val="007F4023"/>
    <w:rsid w:val="007F40D6"/>
    <w:rsid w:val="007F41A0"/>
    <w:rsid w:val="007F5346"/>
    <w:rsid w:val="007F54A0"/>
    <w:rsid w:val="007F690B"/>
    <w:rsid w:val="007F6FBE"/>
    <w:rsid w:val="007F742B"/>
    <w:rsid w:val="007F7CBC"/>
    <w:rsid w:val="00800C45"/>
    <w:rsid w:val="0080130F"/>
    <w:rsid w:val="008026FE"/>
    <w:rsid w:val="00802F9F"/>
    <w:rsid w:val="0080372E"/>
    <w:rsid w:val="00803E55"/>
    <w:rsid w:val="00804358"/>
    <w:rsid w:val="00804F92"/>
    <w:rsid w:val="00807F19"/>
    <w:rsid w:val="00807F85"/>
    <w:rsid w:val="0081060D"/>
    <w:rsid w:val="00810A52"/>
    <w:rsid w:val="00810DCF"/>
    <w:rsid w:val="008110C4"/>
    <w:rsid w:val="00811527"/>
    <w:rsid w:val="00811F2C"/>
    <w:rsid w:val="00811FE2"/>
    <w:rsid w:val="008134F5"/>
    <w:rsid w:val="00814399"/>
    <w:rsid w:val="00815A51"/>
    <w:rsid w:val="008208F2"/>
    <w:rsid w:val="00820A66"/>
    <w:rsid w:val="00820F38"/>
    <w:rsid w:val="00822D27"/>
    <w:rsid w:val="008242DA"/>
    <w:rsid w:val="00824A84"/>
    <w:rsid w:val="00826371"/>
    <w:rsid w:val="0082668B"/>
    <w:rsid w:val="0082687A"/>
    <w:rsid w:val="008272AC"/>
    <w:rsid w:val="00830214"/>
    <w:rsid w:val="00830902"/>
    <w:rsid w:val="00832118"/>
    <w:rsid w:val="00832C2F"/>
    <w:rsid w:val="00833EC7"/>
    <w:rsid w:val="00834366"/>
    <w:rsid w:val="008358AE"/>
    <w:rsid w:val="008363D1"/>
    <w:rsid w:val="00836C3B"/>
    <w:rsid w:val="008404FF"/>
    <w:rsid w:val="00840749"/>
    <w:rsid w:val="00840F7C"/>
    <w:rsid w:val="008412E1"/>
    <w:rsid w:val="008413A8"/>
    <w:rsid w:val="00842443"/>
    <w:rsid w:val="00843285"/>
    <w:rsid w:val="00843286"/>
    <w:rsid w:val="00843386"/>
    <w:rsid w:val="00844479"/>
    <w:rsid w:val="00844C79"/>
    <w:rsid w:val="00846122"/>
    <w:rsid w:val="008466C4"/>
    <w:rsid w:val="00850FDB"/>
    <w:rsid w:val="008510D6"/>
    <w:rsid w:val="008522B5"/>
    <w:rsid w:val="0085346F"/>
    <w:rsid w:val="00853C4A"/>
    <w:rsid w:val="00854190"/>
    <w:rsid w:val="00854682"/>
    <w:rsid w:val="00855DA1"/>
    <w:rsid w:val="00856359"/>
    <w:rsid w:val="008569DC"/>
    <w:rsid w:val="00856DA4"/>
    <w:rsid w:val="00857078"/>
    <w:rsid w:val="00857A3C"/>
    <w:rsid w:val="00860613"/>
    <w:rsid w:val="00861279"/>
    <w:rsid w:val="008612B4"/>
    <w:rsid w:val="00862A90"/>
    <w:rsid w:val="00863D31"/>
    <w:rsid w:val="0086454A"/>
    <w:rsid w:val="00866E95"/>
    <w:rsid w:val="00867E88"/>
    <w:rsid w:val="00870102"/>
    <w:rsid w:val="00870456"/>
    <w:rsid w:val="008721A5"/>
    <w:rsid w:val="008723A8"/>
    <w:rsid w:val="00872847"/>
    <w:rsid w:val="00872C9B"/>
    <w:rsid w:val="00872E78"/>
    <w:rsid w:val="00872FDB"/>
    <w:rsid w:val="00873451"/>
    <w:rsid w:val="00873471"/>
    <w:rsid w:val="00873C14"/>
    <w:rsid w:val="0087619E"/>
    <w:rsid w:val="00877706"/>
    <w:rsid w:val="00877F7D"/>
    <w:rsid w:val="008811FC"/>
    <w:rsid w:val="00881D54"/>
    <w:rsid w:val="008825CE"/>
    <w:rsid w:val="0088366A"/>
    <w:rsid w:val="00883A3C"/>
    <w:rsid w:val="0088460D"/>
    <w:rsid w:val="008857AA"/>
    <w:rsid w:val="00885FA2"/>
    <w:rsid w:val="0088688E"/>
    <w:rsid w:val="00887608"/>
    <w:rsid w:val="00887ABB"/>
    <w:rsid w:val="00887FD1"/>
    <w:rsid w:val="008900AF"/>
    <w:rsid w:val="008906E6"/>
    <w:rsid w:val="00890AD0"/>
    <w:rsid w:val="00890B66"/>
    <w:rsid w:val="00891109"/>
    <w:rsid w:val="00891BA0"/>
    <w:rsid w:val="00891BF0"/>
    <w:rsid w:val="00891F38"/>
    <w:rsid w:val="00893E0C"/>
    <w:rsid w:val="00893E72"/>
    <w:rsid w:val="00896BC2"/>
    <w:rsid w:val="00896C06"/>
    <w:rsid w:val="008A072D"/>
    <w:rsid w:val="008A1815"/>
    <w:rsid w:val="008A1C42"/>
    <w:rsid w:val="008A2D63"/>
    <w:rsid w:val="008A2FA0"/>
    <w:rsid w:val="008A3348"/>
    <w:rsid w:val="008A3666"/>
    <w:rsid w:val="008A3889"/>
    <w:rsid w:val="008A4BAF"/>
    <w:rsid w:val="008A5CE1"/>
    <w:rsid w:val="008A5EE6"/>
    <w:rsid w:val="008A6398"/>
    <w:rsid w:val="008B048B"/>
    <w:rsid w:val="008B08D3"/>
    <w:rsid w:val="008B19B7"/>
    <w:rsid w:val="008B19E5"/>
    <w:rsid w:val="008B1C16"/>
    <w:rsid w:val="008B2AC1"/>
    <w:rsid w:val="008B2D32"/>
    <w:rsid w:val="008B2E9A"/>
    <w:rsid w:val="008B2EB5"/>
    <w:rsid w:val="008B3ADE"/>
    <w:rsid w:val="008B44C3"/>
    <w:rsid w:val="008B5255"/>
    <w:rsid w:val="008B5613"/>
    <w:rsid w:val="008B62E9"/>
    <w:rsid w:val="008B7050"/>
    <w:rsid w:val="008B7162"/>
    <w:rsid w:val="008C1507"/>
    <w:rsid w:val="008C19A3"/>
    <w:rsid w:val="008C2501"/>
    <w:rsid w:val="008C383B"/>
    <w:rsid w:val="008C3A5F"/>
    <w:rsid w:val="008C44A7"/>
    <w:rsid w:val="008C5671"/>
    <w:rsid w:val="008C59BA"/>
    <w:rsid w:val="008C5D4D"/>
    <w:rsid w:val="008C6671"/>
    <w:rsid w:val="008C739D"/>
    <w:rsid w:val="008C7707"/>
    <w:rsid w:val="008D1695"/>
    <w:rsid w:val="008D22DA"/>
    <w:rsid w:val="008D3273"/>
    <w:rsid w:val="008D3CA0"/>
    <w:rsid w:val="008D4696"/>
    <w:rsid w:val="008D6805"/>
    <w:rsid w:val="008D6CA8"/>
    <w:rsid w:val="008D733D"/>
    <w:rsid w:val="008E0A95"/>
    <w:rsid w:val="008E136A"/>
    <w:rsid w:val="008E14A5"/>
    <w:rsid w:val="008E2336"/>
    <w:rsid w:val="008E27A7"/>
    <w:rsid w:val="008E33F9"/>
    <w:rsid w:val="008E34A2"/>
    <w:rsid w:val="008E34AE"/>
    <w:rsid w:val="008E3D1C"/>
    <w:rsid w:val="008E4D1F"/>
    <w:rsid w:val="008E694D"/>
    <w:rsid w:val="008E78B4"/>
    <w:rsid w:val="008F047E"/>
    <w:rsid w:val="008F2841"/>
    <w:rsid w:val="008F2959"/>
    <w:rsid w:val="008F399F"/>
    <w:rsid w:val="008F39F1"/>
    <w:rsid w:val="008F432C"/>
    <w:rsid w:val="008F6034"/>
    <w:rsid w:val="008F7859"/>
    <w:rsid w:val="008F7ADB"/>
    <w:rsid w:val="008F7CC9"/>
    <w:rsid w:val="009001B0"/>
    <w:rsid w:val="00900940"/>
    <w:rsid w:val="00900CC0"/>
    <w:rsid w:val="0090288E"/>
    <w:rsid w:val="009038F9"/>
    <w:rsid w:val="00905028"/>
    <w:rsid w:val="009055D6"/>
    <w:rsid w:val="00905AAB"/>
    <w:rsid w:val="009068C3"/>
    <w:rsid w:val="00906F53"/>
    <w:rsid w:val="0090775D"/>
    <w:rsid w:val="00910432"/>
    <w:rsid w:val="0091050C"/>
    <w:rsid w:val="00911865"/>
    <w:rsid w:val="00911A8D"/>
    <w:rsid w:val="00912D34"/>
    <w:rsid w:val="009139AF"/>
    <w:rsid w:val="009148EC"/>
    <w:rsid w:val="00914BFD"/>
    <w:rsid w:val="00914CD2"/>
    <w:rsid w:val="00915EF9"/>
    <w:rsid w:val="009174DB"/>
    <w:rsid w:val="009174F6"/>
    <w:rsid w:val="00917A99"/>
    <w:rsid w:val="00920831"/>
    <w:rsid w:val="00921BFB"/>
    <w:rsid w:val="00921EF9"/>
    <w:rsid w:val="00922AFA"/>
    <w:rsid w:val="00922BF2"/>
    <w:rsid w:val="009234FD"/>
    <w:rsid w:val="00923665"/>
    <w:rsid w:val="00924258"/>
    <w:rsid w:val="00924973"/>
    <w:rsid w:val="00924ED5"/>
    <w:rsid w:val="0092631A"/>
    <w:rsid w:val="009311DF"/>
    <w:rsid w:val="009314B6"/>
    <w:rsid w:val="0093152E"/>
    <w:rsid w:val="009315A3"/>
    <w:rsid w:val="00931779"/>
    <w:rsid w:val="00931E42"/>
    <w:rsid w:val="0093252C"/>
    <w:rsid w:val="0093283A"/>
    <w:rsid w:val="0093430F"/>
    <w:rsid w:val="00935AC3"/>
    <w:rsid w:val="00935EAC"/>
    <w:rsid w:val="00937529"/>
    <w:rsid w:val="00940DF7"/>
    <w:rsid w:val="00940F2E"/>
    <w:rsid w:val="00942405"/>
    <w:rsid w:val="00942818"/>
    <w:rsid w:val="00942AD5"/>
    <w:rsid w:val="00942F66"/>
    <w:rsid w:val="00943510"/>
    <w:rsid w:val="00943A66"/>
    <w:rsid w:val="00944371"/>
    <w:rsid w:val="00944529"/>
    <w:rsid w:val="00944CB3"/>
    <w:rsid w:val="00944D10"/>
    <w:rsid w:val="009450BA"/>
    <w:rsid w:val="009454B6"/>
    <w:rsid w:val="009460DF"/>
    <w:rsid w:val="00946929"/>
    <w:rsid w:val="00946D29"/>
    <w:rsid w:val="009474F2"/>
    <w:rsid w:val="00950E7E"/>
    <w:rsid w:val="00952AEF"/>
    <w:rsid w:val="00955C33"/>
    <w:rsid w:val="0095625A"/>
    <w:rsid w:val="00956446"/>
    <w:rsid w:val="00957B4C"/>
    <w:rsid w:val="009603BF"/>
    <w:rsid w:val="00960B5B"/>
    <w:rsid w:val="00960F24"/>
    <w:rsid w:val="00960FAF"/>
    <w:rsid w:val="0096172B"/>
    <w:rsid w:val="00961C91"/>
    <w:rsid w:val="009628F6"/>
    <w:rsid w:val="00962AB8"/>
    <w:rsid w:val="00962CB7"/>
    <w:rsid w:val="00962E64"/>
    <w:rsid w:val="00963AA3"/>
    <w:rsid w:val="00963B80"/>
    <w:rsid w:val="00964478"/>
    <w:rsid w:val="00966080"/>
    <w:rsid w:val="0096628F"/>
    <w:rsid w:val="009664DD"/>
    <w:rsid w:val="00966F48"/>
    <w:rsid w:val="0096744E"/>
    <w:rsid w:val="009704A0"/>
    <w:rsid w:val="00970792"/>
    <w:rsid w:val="00970EB5"/>
    <w:rsid w:val="00971E1A"/>
    <w:rsid w:val="00971EE1"/>
    <w:rsid w:val="00973197"/>
    <w:rsid w:val="00973E14"/>
    <w:rsid w:val="009753FB"/>
    <w:rsid w:val="00975439"/>
    <w:rsid w:val="009756E8"/>
    <w:rsid w:val="00976F97"/>
    <w:rsid w:val="00977317"/>
    <w:rsid w:val="009802E6"/>
    <w:rsid w:val="009804C2"/>
    <w:rsid w:val="00980C11"/>
    <w:rsid w:val="00981086"/>
    <w:rsid w:val="0098257D"/>
    <w:rsid w:val="0098302F"/>
    <w:rsid w:val="009831C8"/>
    <w:rsid w:val="00983D28"/>
    <w:rsid w:val="0098474E"/>
    <w:rsid w:val="009857EB"/>
    <w:rsid w:val="00986110"/>
    <w:rsid w:val="009869D5"/>
    <w:rsid w:val="00987232"/>
    <w:rsid w:val="009877E3"/>
    <w:rsid w:val="0099047A"/>
    <w:rsid w:val="009905A0"/>
    <w:rsid w:val="00990EC7"/>
    <w:rsid w:val="00991B95"/>
    <w:rsid w:val="00991D3E"/>
    <w:rsid w:val="00992630"/>
    <w:rsid w:val="00992840"/>
    <w:rsid w:val="00993064"/>
    <w:rsid w:val="00994C6F"/>
    <w:rsid w:val="00994CC4"/>
    <w:rsid w:val="00995379"/>
    <w:rsid w:val="009968AC"/>
    <w:rsid w:val="00996911"/>
    <w:rsid w:val="00996DB9"/>
    <w:rsid w:val="009976E7"/>
    <w:rsid w:val="009A044E"/>
    <w:rsid w:val="009A10AD"/>
    <w:rsid w:val="009A10DD"/>
    <w:rsid w:val="009A11ED"/>
    <w:rsid w:val="009A1795"/>
    <w:rsid w:val="009A1CB0"/>
    <w:rsid w:val="009A2547"/>
    <w:rsid w:val="009A4D66"/>
    <w:rsid w:val="009A5821"/>
    <w:rsid w:val="009A63A6"/>
    <w:rsid w:val="009A65F0"/>
    <w:rsid w:val="009A67A1"/>
    <w:rsid w:val="009A7026"/>
    <w:rsid w:val="009A702B"/>
    <w:rsid w:val="009A7D0C"/>
    <w:rsid w:val="009A7F30"/>
    <w:rsid w:val="009B069B"/>
    <w:rsid w:val="009B097A"/>
    <w:rsid w:val="009B10E0"/>
    <w:rsid w:val="009B18EB"/>
    <w:rsid w:val="009B27DF"/>
    <w:rsid w:val="009B36AF"/>
    <w:rsid w:val="009B393A"/>
    <w:rsid w:val="009B5A7A"/>
    <w:rsid w:val="009B7972"/>
    <w:rsid w:val="009B7A5A"/>
    <w:rsid w:val="009C0544"/>
    <w:rsid w:val="009C0DD6"/>
    <w:rsid w:val="009C1B29"/>
    <w:rsid w:val="009C1C07"/>
    <w:rsid w:val="009C1F84"/>
    <w:rsid w:val="009C38A8"/>
    <w:rsid w:val="009C38DF"/>
    <w:rsid w:val="009C40F8"/>
    <w:rsid w:val="009C5A3E"/>
    <w:rsid w:val="009C6CC1"/>
    <w:rsid w:val="009D05F1"/>
    <w:rsid w:val="009D089E"/>
    <w:rsid w:val="009D094F"/>
    <w:rsid w:val="009D0BF3"/>
    <w:rsid w:val="009D0E88"/>
    <w:rsid w:val="009D1003"/>
    <w:rsid w:val="009D24D7"/>
    <w:rsid w:val="009D256E"/>
    <w:rsid w:val="009D2DB6"/>
    <w:rsid w:val="009D2EAF"/>
    <w:rsid w:val="009D2F47"/>
    <w:rsid w:val="009D2FB9"/>
    <w:rsid w:val="009D3067"/>
    <w:rsid w:val="009D39EE"/>
    <w:rsid w:val="009D3B45"/>
    <w:rsid w:val="009D4E78"/>
    <w:rsid w:val="009D5487"/>
    <w:rsid w:val="009D55B8"/>
    <w:rsid w:val="009D5F35"/>
    <w:rsid w:val="009D674E"/>
    <w:rsid w:val="009D6791"/>
    <w:rsid w:val="009D7835"/>
    <w:rsid w:val="009D7CDF"/>
    <w:rsid w:val="009D7EFC"/>
    <w:rsid w:val="009E05AC"/>
    <w:rsid w:val="009E1649"/>
    <w:rsid w:val="009E172B"/>
    <w:rsid w:val="009E1B55"/>
    <w:rsid w:val="009E204D"/>
    <w:rsid w:val="009E253A"/>
    <w:rsid w:val="009E25F5"/>
    <w:rsid w:val="009E39C0"/>
    <w:rsid w:val="009E4CE0"/>
    <w:rsid w:val="009E523E"/>
    <w:rsid w:val="009E5367"/>
    <w:rsid w:val="009E7B93"/>
    <w:rsid w:val="009F0062"/>
    <w:rsid w:val="009F0349"/>
    <w:rsid w:val="009F1CE1"/>
    <w:rsid w:val="009F1E76"/>
    <w:rsid w:val="009F2FEB"/>
    <w:rsid w:val="009F3268"/>
    <w:rsid w:val="009F4230"/>
    <w:rsid w:val="009F4860"/>
    <w:rsid w:val="009F58F4"/>
    <w:rsid w:val="009F5F2C"/>
    <w:rsid w:val="009F6749"/>
    <w:rsid w:val="009F6A7F"/>
    <w:rsid w:val="009F6C56"/>
    <w:rsid w:val="00A0021A"/>
    <w:rsid w:val="00A0178C"/>
    <w:rsid w:val="00A01D67"/>
    <w:rsid w:val="00A01EAA"/>
    <w:rsid w:val="00A0206E"/>
    <w:rsid w:val="00A02A33"/>
    <w:rsid w:val="00A02F5D"/>
    <w:rsid w:val="00A031CC"/>
    <w:rsid w:val="00A0323B"/>
    <w:rsid w:val="00A04192"/>
    <w:rsid w:val="00A04474"/>
    <w:rsid w:val="00A0482C"/>
    <w:rsid w:val="00A06A94"/>
    <w:rsid w:val="00A0762A"/>
    <w:rsid w:val="00A0776D"/>
    <w:rsid w:val="00A0778F"/>
    <w:rsid w:val="00A1004D"/>
    <w:rsid w:val="00A1182A"/>
    <w:rsid w:val="00A13922"/>
    <w:rsid w:val="00A13DB8"/>
    <w:rsid w:val="00A13F1D"/>
    <w:rsid w:val="00A1482D"/>
    <w:rsid w:val="00A14AA1"/>
    <w:rsid w:val="00A155ED"/>
    <w:rsid w:val="00A15F37"/>
    <w:rsid w:val="00A16191"/>
    <w:rsid w:val="00A163E3"/>
    <w:rsid w:val="00A220C0"/>
    <w:rsid w:val="00A22229"/>
    <w:rsid w:val="00A2239A"/>
    <w:rsid w:val="00A2295F"/>
    <w:rsid w:val="00A22A52"/>
    <w:rsid w:val="00A23246"/>
    <w:rsid w:val="00A24A2E"/>
    <w:rsid w:val="00A25215"/>
    <w:rsid w:val="00A25889"/>
    <w:rsid w:val="00A2710F"/>
    <w:rsid w:val="00A3034C"/>
    <w:rsid w:val="00A30764"/>
    <w:rsid w:val="00A325EE"/>
    <w:rsid w:val="00A338A1"/>
    <w:rsid w:val="00A349CB"/>
    <w:rsid w:val="00A34E5A"/>
    <w:rsid w:val="00A3508F"/>
    <w:rsid w:val="00A35D8A"/>
    <w:rsid w:val="00A364F7"/>
    <w:rsid w:val="00A36CE8"/>
    <w:rsid w:val="00A36DDD"/>
    <w:rsid w:val="00A378ED"/>
    <w:rsid w:val="00A37C13"/>
    <w:rsid w:val="00A425BA"/>
    <w:rsid w:val="00A42D6B"/>
    <w:rsid w:val="00A42EEB"/>
    <w:rsid w:val="00A430E2"/>
    <w:rsid w:val="00A4316F"/>
    <w:rsid w:val="00A447E7"/>
    <w:rsid w:val="00A44A0C"/>
    <w:rsid w:val="00A454B6"/>
    <w:rsid w:val="00A4559F"/>
    <w:rsid w:val="00A45FC0"/>
    <w:rsid w:val="00A46558"/>
    <w:rsid w:val="00A472F8"/>
    <w:rsid w:val="00A50571"/>
    <w:rsid w:val="00A50AEA"/>
    <w:rsid w:val="00A5314F"/>
    <w:rsid w:val="00A53F81"/>
    <w:rsid w:val="00A54055"/>
    <w:rsid w:val="00A54B25"/>
    <w:rsid w:val="00A54D53"/>
    <w:rsid w:val="00A55882"/>
    <w:rsid w:val="00A5590F"/>
    <w:rsid w:val="00A569E0"/>
    <w:rsid w:val="00A56B6B"/>
    <w:rsid w:val="00A60311"/>
    <w:rsid w:val="00A60546"/>
    <w:rsid w:val="00A61107"/>
    <w:rsid w:val="00A63EEE"/>
    <w:rsid w:val="00A6445C"/>
    <w:rsid w:val="00A66F1E"/>
    <w:rsid w:val="00A6760A"/>
    <w:rsid w:val="00A676D3"/>
    <w:rsid w:val="00A679AD"/>
    <w:rsid w:val="00A71142"/>
    <w:rsid w:val="00A711B7"/>
    <w:rsid w:val="00A7149F"/>
    <w:rsid w:val="00A72C93"/>
    <w:rsid w:val="00A72DB7"/>
    <w:rsid w:val="00A72FF3"/>
    <w:rsid w:val="00A7410C"/>
    <w:rsid w:val="00A754A0"/>
    <w:rsid w:val="00A76082"/>
    <w:rsid w:val="00A7784F"/>
    <w:rsid w:val="00A80A07"/>
    <w:rsid w:val="00A811D6"/>
    <w:rsid w:val="00A81F02"/>
    <w:rsid w:val="00A82860"/>
    <w:rsid w:val="00A82B36"/>
    <w:rsid w:val="00A82F07"/>
    <w:rsid w:val="00A832BA"/>
    <w:rsid w:val="00A8331B"/>
    <w:rsid w:val="00A83BF6"/>
    <w:rsid w:val="00A84963"/>
    <w:rsid w:val="00A84D9C"/>
    <w:rsid w:val="00A85048"/>
    <w:rsid w:val="00A86552"/>
    <w:rsid w:val="00A86CD7"/>
    <w:rsid w:val="00A86D7C"/>
    <w:rsid w:val="00A8750A"/>
    <w:rsid w:val="00A9017B"/>
    <w:rsid w:val="00A90878"/>
    <w:rsid w:val="00A91266"/>
    <w:rsid w:val="00A9266A"/>
    <w:rsid w:val="00A9310D"/>
    <w:rsid w:val="00A9367D"/>
    <w:rsid w:val="00A950F4"/>
    <w:rsid w:val="00A9567A"/>
    <w:rsid w:val="00A96783"/>
    <w:rsid w:val="00A97098"/>
    <w:rsid w:val="00A97337"/>
    <w:rsid w:val="00A97B08"/>
    <w:rsid w:val="00A97D41"/>
    <w:rsid w:val="00A97F5A"/>
    <w:rsid w:val="00A97F92"/>
    <w:rsid w:val="00AA0D5A"/>
    <w:rsid w:val="00AA17F7"/>
    <w:rsid w:val="00AA253F"/>
    <w:rsid w:val="00AA25AC"/>
    <w:rsid w:val="00AA28D2"/>
    <w:rsid w:val="00AA2D58"/>
    <w:rsid w:val="00AA4A27"/>
    <w:rsid w:val="00AA4C06"/>
    <w:rsid w:val="00AA5C1F"/>
    <w:rsid w:val="00AA62A7"/>
    <w:rsid w:val="00AA7E5F"/>
    <w:rsid w:val="00AB0ED1"/>
    <w:rsid w:val="00AB16F3"/>
    <w:rsid w:val="00AB1ED1"/>
    <w:rsid w:val="00AB23B0"/>
    <w:rsid w:val="00AB2567"/>
    <w:rsid w:val="00AB3537"/>
    <w:rsid w:val="00AB365A"/>
    <w:rsid w:val="00AB3A63"/>
    <w:rsid w:val="00AB4201"/>
    <w:rsid w:val="00AB453D"/>
    <w:rsid w:val="00AB48D1"/>
    <w:rsid w:val="00AB4CFC"/>
    <w:rsid w:val="00AB5363"/>
    <w:rsid w:val="00AB58F2"/>
    <w:rsid w:val="00AB5E9F"/>
    <w:rsid w:val="00AB61EF"/>
    <w:rsid w:val="00AB689B"/>
    <w:rsid w:val="00AB7541"/>
    <w:rsid w:val="00AB7CDE"/>
    <w:rsid w:val="00AC0AAA"/>
    <w:rsid w:val="00AC0D62"/>
    <w:rsid w:val="00AC1771"/>
    <w:rsid w:val="00AC1934"/>
    <w:rsid w:val="00AC277A"/>
    <w:rsid w:val="00AC41F9"/>
    <w:rsid w:val="00AC4EEC"/>
    <w:rsid w:val="00AC5B51"/>
    <w:rsid w:val="00AC6C46"/>
    <w:rsid w:val="00AC6D5D"/>
    <w:rsid w:val="00AC6F64"/>
    <w:rsid w:val="00AC706B"/>
    <w:rsid w:val="00AC7487"/>
    <w:rsid w:val="00AC7B00"/>
    <w:rsid w:val="00AD03D9"/>
    <w:rsid w:val="00AD20AF"/>
    <w:rsid w:val="00AD25AD"/>
    <w:rsid w:val="00AD3A59"/>
    <w:rsid w:val="00AD3BBF"/>
    <w:rsid w:val="00AD485D"/>
    <w:rsid w:val="00AD613B"/>
    <w:rsid w:val="00AE079E"/>
    <w:rsid w:val="00AE0D0C"/>
    <w:rsid w:val="00AE1BA9"/>
    <w:rsid w:val="00AE2387"/>
    <w:rsid w:val="00AE4002"/>
    <w:rsid w:val="00AE6E19"/>
    <w:rsid w:val="00AE724E"/>
    <w:rsid w:val="00AE76A8"/>
    <w:rsid w:val="00AF09A0"/>
    <w:rsid w:val="00AF1091"/>
    <w:rsid w:val="00AF153A"/>
    <w:rsid w:val="00AF18A6"/>
    <w:rsid w:val="00AF18CA"/>
    <w:rsid w:val="00AF1CFD"/>
    <w:rsid w:val="00AF2306"/>
    <w:rsid w:val="00AF2617"/>
    <w:rsid w:val="00AF2AE5"/>
    <w:rsid w:val="00AF2B00"/>
    <w:rsid w:val="00AF3AD9"/>
    <w:rsid w:val="00AF4640"/>
    <w:rsid w:val="00AF5145"/>
    <w:rsid w:val="00AF52CD"/>
    <w:rsid w:val="00AF58F3"/>
    <w:rsid w:val="00AF5ABA"/>
    <w:rsid w:val="00AF6D94"/>
    <w:rsid w:val="00B00317"/>
    <w:rsid w:val="00B0149D"/>
    <w:rsid w:val="00B014EC"/>
    <w:rsid w:val="00B04FE2"/>
    <w:rsid w:val="00B05126"/>
    <w:rsid w:val="00B05277"/>
    <w:rsid w:val="00B05777"/>
    <w:rsid w:val="00B05B5E"/>
    <w:rsid w:val="00B06527"/>
    <w:rsid w:val="00B10C3C"/>
    <w:rsid w:val="00B11271"/>
    <w:rsid w:val="00B112A5"/>
    <w:rsid w:val="00B116FF"/>
    <w:rsid w:val="00B118CF"/>
    <w:rsid w:val="00B12833"/>
    <w:rsid w:val="00B12D4B"/>
    <w:rsid w:val="00B140E9"/>
    <w:rsid w:val="00B14557"/>
    <w:rsid w:val="00B1471D"/>
    <w:rsid w:val="00B15438"/>
    <w:rsid w:val="00B17281"/>
    <w:rsid w:val="00B2131B"/>
    <w:rsid w:val="00B21BF3"/>
    <w:rsid w:val="00B222E2"/>
    <w:rsid w:val="00B230A8"/>
    <w:rsid w:val="00B2310C"/>
    <w:rsid w:val="00B23328"/>
    <w:rsid w:val="00B233EC"/>
    <w:rsid w:val="00B23B81"/>
    <w:rsid w:val="00B242B1"/>
    <w:rsid w:val="00B24E54"/>
    <w:rsid w:val="00B25994"/>
    <w:rsid w:val="00B27646"/>
    <w:rsid w:val="00B30A4E"/>
    <w:rsid w:val="00B31A01"/>
    <w:rsid w:val="00B31E3C"/>
    <w:rsid w:val="00B32C18"/>
    <w:rsid w:val="00B33037"/>
    <w:rsid w:val="00B33732"/>
    <w:rsid w:val="00B3483B"/>
    <w:rsid w:val="00B35C7E"/>
    <w:rsid w:val="00B35D32"/>
    <w:rsid w:val="00B36448"/>
    <w:rsid w:val="00B377F6"/>
    <w:rsid w:val="00B40FEB"/>
    <w:rsid w:val="00B416B1"/>
    <w:rsid w:val="00B418F4"/>
    <w:rsid w:val="00B426A2"/>
    <w:rsid w:val="00B42D4E"/>
    <w:rsid w:val="00B43376"/>
    <w:rsid w:val="00B43E68"/>
    <w:rsid w:val="00B44209"/>
    <w:rsid w:val="00B44CCC"/>
    <w:rsid w:val="00B44EAC"/>
    <w:rsid w:val="00B465C8"/>
    <w:rsid w:val="00B472C9"/>
    <w:rsid w:val="00B47C1C"/>
    <w:rsid w:val="00B47F43"/>
    <w:rsid w:val="00B506AC"/>
    <w:rsid w:val="00B50773"/>
    <w:rsid w:val="00B50D1B"/>
    <w:rsid w:val="00B50E2C"/>
    <w:rsid w:val="00B51364"/>
    <w:rsid w:val="00B517ED"/>
    <w:rsid w:val="00B52041"/>
    <w:rsid w:val="00B52F1D"/>
    <w:rsid w:val="00B53170"/>
    <w:rsid w:val="00B536A8"/>
    <w:rsid w:val="00B53B00"/>
    <w:rsid w:val="00B54AE6"/>
    <w:rsid w:val="00B54F8C"/>
    <w:rsid w:val="00B551CF"/>
    <w:rsid w:val="00B56D06"/>
    <w:rsid w:val="00B5765A"/>
    <w:rsid w:val="00B60C22"/>
    <w:rsid w:val="00B616A0"/>
    <w:rsid w:val="00B620CA"/>
    <w:rsid w:val="00B6232A"/>
    <w:rsid w:val="00B62B8F"/>
    <w:rsid w:val="00B62D75"/>
    <w:rsid w:val="00B63850"/>
    <w:rsid w:val="00B6475C"/>
    <w:rsid w:val="00B649F7"/>
    <w:rsid w:val="00B667C6"/>
    <w:rsid w:val="00B66DB7"/>
    <w:rsid w:val="00B67ADB"/>
    <w:rsid w:val="00B70A7F"/>
    <w:rsid w:val="00B716B3"/>
    <w:rsid w:val="00B719C9"/>
    <w:rsid w:val="00B71C25"/>
    <w:rsid w:val="00B71D4B"/>
    <w:rsid w:val="00B7214B"/>
    <w:rsid w:val="00B72A9B"/>
    <w:rsid w:val="00B73636"/>
    <w:rsid w:val="00B7370E"/>
    <w:rsid w:val="00B7381A"/>
    <w:rsid w:val="00B73C08"/>
    <w:rsid w:val="00B7439C"/>
    <w:rsid w:val="00B743D7"/>
    <w:rsid w:val="00B7534C"/>
    <w:rsid w:val="00B7657E"/>
    <w:rsid w:val="00B76793"/>
    <w:rsid w:val="00B76C42"/>
    <w:rsid w:val="00B76CBC"/>
    <w:rsid w:val="00B770C9"/>
    <w:rsid w:val="00B80C63"/>
    <w:rsid w:val="00B819ED"/>
    <w:rsid w:val="00B8390E"/>
    <w:rsid w:val="00B83CA3"/>
    <w:rsid w:val="00B84219"/>
    <w:rsid w:val="00B84275"/>
    <w:rsid w:val="00B84382"/>
    <w:rsid w:val="00B85068"/>
    <w:rsid w:val="00B85154"/>
    <w:rsid w:val="00B85546"/>
    <w:rsid w:val="00B85D8E"/>
    <w:rsid w:val="00B87377"/>
    <w:rsid w:val="00B87EA2"/>
    <w:rsid w:val="00B913AA"/>
    <w:rsid w:val="00B91481"/>
    <w:rsid w:val="00B91B01"/>
    <w:rsid w:val="00B9205C"/>
    <w:rsid w:val="00B925BA"/>
    <w:rsid w:val="00B93031"/>
    <w:rsid w:val="00B9335D"/>
    <w:rsid w:val="00B94400"/>
    <w:rsid w:val="00B95673"/>
    <w:rsid w:val="00B961C8"/>
    <w:rsid w:val="00B96C2A"/>
    <w:rsid w:val="00B96FD4"/>
    <w:rsid w:val="00B97971"/>
    <w:rsid w:val="00BA04E1"/>
    <w:rsid w:val="00BA18D1"/>
    <w:rsid w:val="00BA19E0"/>
    <w:rsid w:val="00BA1F8A"/>
    <w:rsid w:val="00BA258C"/>
    <w:rsid w:val="00BA280D"/>
    <w:rsid w:val="00BA321E"/>
    <w:rsid w:val="00BA3EDB"/>
    <w:rsid w:val="00BA4441"/>
    <w:rsid w:val="00BA46B0"/>
    <w:rsid w:val="00BA47DA"/>
    <w:rsid w:val="00BA4E91"/>
    <w:rsid w:val="00BA5E59"/>
    <w:rsid w:val="00BA6D0B"/>
    <w:rsid w:val="00BA75F2"/>
    <w:rsid w:val="00BB0F17"/>
    <w:rsid w:val="00BB1A4D"/>
    <w:rsid w:val="00BB228F"/>
    <w:rsid w:val="00BB304B"/>
    <w:rsid w:val="00BB347F"/>
    <w:rsid w:val="00BB36ED"/>
    <w:rsid w:val="00BB50DE"/>
    <w:rsid w:val="00BB641A"/>
    <w:rsid w:val="00BB6DED"/>
    <w:rsid w:val="00BB79A4"/>
    <w:rsid w:val="00BB7A89"/>
    <w:rsid w:val="00BB7CBB"/>
    <w:rsid w:val="00BC08D4"/>
    <w:rsid w:val="00BC0CB8"/>
    <w:rsid w:val="00BC0EE4"/>
    <w:rsid w:val="00BC1B82"/>
    <w:rsid w:val="00BC1D46"/>
    <w:rsid w:val="00BC21D7"/>
    <w:rsid w:val="00BC4A61"/>
    <w:rsid w:val="00BC52EB"/>
    <w:rsid w:val="00BC5978"/>
    <w:rsid w:val="00BC5A14"/>
    <w:rsid w:val="00BC6876"/>
    <w:rsid w:val="00BD0100"/>
    <w:rsid w:val="00BD297C"/>
    <w:rsid w:val="00BD2BB6"/>
    <w:rsid w:val="00BD4509"/>
    <w:rsid w:val="00BD483C"/>
    <w:rsid w:val="00BD4931"/>
    <w:rsid w:val="00BD499A"/>
    <w:rsid w:val="00BD532D"/>
    <w:rsid w:val="00BD6F03"/>
    <w:rsid w:val="00BD6FDA"/>
    <w:rsid w:val="00BD77B5"/>
    <w:rsid w:val="00BD7A55"/>
    <w:rsid w:val="00BE00E4"/>
    <w:rsid w:val="00BE0270"/>
    <w:rsid w:val="00BE0809"/>
    <w:rsid w:val="00BE0965"/>
    <w:rsid w:val="00BE0D73"/>
    <w:rsid w:val="00BE0DD9"/>
    <w:rsid w:val="00BE180E"/>
    <w:rsid w:val="00BE19CD"/>
    <w:rsid w:val="00BE21A8"/>
    <w:rsid w:val="00BE2827"/>
    <w:rsid w:val="00BE2CB6"/>
    <w:rsid w:val="00BE331A"/>
    <w:rsid w:val="00BE391E"/>
    <w:rsid w:val="00BE4444"/>
    <w:rsid w:val="00BE48B7"/>
    <w:rsid w:val="00BE4C20"/>
    <w:rsid w:val="00BE53BC"/>
    <w:rsid w:val="00BE5574"/>
    <w:rsid w:val="00BE5CDB"/>
    <w:rsid w:val="00BE5DF3"/>
    <w:rsid w:val="00BE61B0"/>
    <w:rsid w:val="00BE6BFF"/>
    <w:rsid w:val="00BE74B4"/>
    <w:rsid w:val="00BE74D9"/>
    <w:rsid w:val="00BF01E3"/>
    <w:rsid w:val="00BF0B84"/>
    <w:rsid w:val="00BF19A0"/>
    <w:rsid w:val="00BF2280"/>
    <w:rsid w:val="00BF4843"/>
    <w:rsid w:val="00BF4B69"/>
    <w:rsid w:val="00BF5F81"/>
    <w:rsid w:val="00BF6456"/>
    <w:rsid w:val="00BF6462"/>
    <w:rsid w:val="00BF6F8D"/>
    <w:rsid w:val="00BF7738"/>
    <w:rsid w:val="00C00471"/>
    <w:rsid w:val="00C011B3"/>
    <w:rsid w:val="00C014C6"/>
    <w:rsid w:val="00C01839"/>
    <w:rsid w:val="00C01BF8"/>
    <w:rsid w:val="00C02043"/>
    <w:rsid w:val="00C04A40"/>
    <w:rsid w:val="00C04F50"/>
    <w:rsid w:val="00C05E06"/>
    <w:rsid w:val="00C06FED"/>
    <w:rsid w:val="00C0702F"/>
    <w:rsid w:val="00C076D3"/>
    <w:rsid w:val="00C1041E"/>
    <w:rsid w:val="00C1044E"/>
    <w:rsid w:val="00C10EB9"/>
    <w:rsid w:val="00C11E3B"/>
    <w:rsid w:val="00C1233D"/>
    <w:rsid w:val="00C12AFA"/>
    <w:rsid w:val="00C12E9A"/>
    <w:rsid w:val="00C1412B"/>
    <w:rsid w:val="00C15578"/>
    <w:rsid w:val="00C15648"/>
    <w:rsid w:val="00C16E21"/>
    <w:rsid w:val="00C17244"/>
    <w:rsid w:val="00C2000C"/>
    <w:rsid w:val="00C2020E"/>
    <w:rsid w:val="00C20265"/>
    <w:rsid w:val="00C20ECB"/>
    <w:rsid w:val="00C2112F"/>
    <w:rsid w:val="00C21CA1"/>
    <w:rsid w:val="00C21D7D"/>
    <w:rsid w:val="00C21FB0"/>
    <w:rsid w:val="00C24142"/>
    <w:rsid w:val="00C257EC"/>
    <w:rsid w:val="00C25B6F"/>
    <w:rsid w:val="00C25CA5"/>
    <w:rsid w:val="00C2605E"/>
    <w:rsid w:val="00C2648E"/>
    <w:rsid w:val="00C26B97"/>
    <w:rsid w:val="00C27BE2"/>
    <w:rsid w:val="00C30194"/>
    <w:rsid w:val="00C30973"/>
    <w:rsid w:val="00C30F85"/>
    <w:rsid w:val="00C31129"/>
    <w:rsid w:val="00C313E7"/>
    <w:rsid w:val="00C3210B"/>
    <w:rsid w:val="00C34EEE"/>
    <w:rsid w:val="00C3561D"/>
    <w:rsid w:val="00C3654D"/>
    <w:rsid w:val="00C369FE"/>
    <w:rsid w:val="00C410EB"/>
    <w:rsid w:val="00C4196A"/>
    <w:rsid w:val="00C41CF2"/>
    <w:rsid w:val="00C41E47"/>
    <w:rsid w:val="00C42E87"/>
    <w:rsid w:val="00C42F00"/>
    <w:rsid w:val="00C43453"/>
    <w:rsid w:val="00C44924"/>
    <w:rsid w:val="00C45097"/>
    <w:rsid w:val="00C45C93"/>
    <w:rsid w:val="00C461EB"/>
    <w:rsid w:val="00C50077"/>
    <w:rsid w:val="00C51720"/>
    <w:rsid w:val="00C51E03"/>
    <w:rsid w:val="00C520D7"/>
    <w:rsid w:val="00C52B35"/>
    <w:rsid w:val="00C5372C"/>
    <w:rsid w:val="00C53769"/>
    <w:rsid w:val="00C53EEF"/>
    <w:rsid w:val="00C55CD2"/>
    <w:rsid w:val="00C55E91"/>
    <w:rsid w:val="00C562B4"/>
    <w:rsid w:val="00C56832"/>
    <w:rsid w:val="00C56C08"/>
    <w:rsid w:val="00C57869"/>
    <w:rsid w:val="00C60DF5"/>
    <w:rsid w:val="00C60FED"/>
    <w:rsid w:val="00C627A3"/>
    <w:rsid w:val="00C64C2F"/>
    <w:rsid w:val="00C6528A"/>
    <w:rsid w:val="00C6546A"/>
    <w:rsid w:val="00C66586"/>
    <w:rsid w:val="00C665F2"/>
    <w:rsid w:val="00C672BF"/>
    <w:rsid w:val="00C6749F"/>
    <w:rsid w:val="00C676D3"/>
    <w:rsid w:val="00C7054B"/>
    <w:rsid w:val="00C70598"/>
    <w:rsid w:val="00C71439"/>
    <w:rsid w:val="00C72AE9"/>
    <w:rsid w:val="00C7375A"/>
    <w:rsid w:val="00C74048"/>
    <w:rsid w:val="00C74654"/>
    <w:rsid w:val="00C74775"/>
    <w:rsid w:val="00C74F0F"/>
    <w:rsid w:val="00C754A8"/>
    <w:rsid w:val="00C7556D"/>
    <w:rsid w:val="00C75F55"/>
    <w:rsid w:val="00C76725"/>
    <w:rsid w:val="00C77FDD"/>
    <w:rsid w:val="00C81867"/>
    <w:rsid w:val="00C81AAE"/>
    <w:rsid w:val="00C81EBC"/>
    <w:rsid w:val="00C82FE1"/>
    <w:rsid w:val="00C847AA"/>
    <w:rsid w:val="00C84C3A"/>
    <w:rsid w:val="00C86300"/>
    <w:rsid w:val="00C8679C"/>
    <w:rsid w:val="00C8685C"/>
    <w:rsid w:val="00C87645"/>
    <w:rsid w:val="00C87795"/>
    <w:rsid w:val="00C8788F"/>
    <w:rsid w:val="00C878A2"/>
    <w:rsid w:val="00C93936"/>
    <w:rsid w:val="00C948E7"/>
    <w:rsid w:val="00C963E5"/>
    <w:rsid w:val="00C967BE"/>
    <w:rsid w:val="00C96E4A"/>
    <w:rsid w:val="00C97546"/>
    <w:rsid w:val="00C975A8"/>
    <w:rsid w:val="00C97688"/>
    <w:rsid w:val="00C97773"/>
    <w:rsid w:val="00C9786B"/>
    <w:rsid w:val="00C97D39"/>
    <w:rsid w:val="00CA1482"/>
    <w:rsid w:val="00CA1957"/>
    <w:rsid w:val="00CA2159"/>
    <w:rsid w:val="00CA21E3"/>
    <w:rsid w:val="00CA2ACE"/>
    <w:rsid w:val="00CA3B1F"/>
    <w:rsid w:val="00CA3B41"/>
    <w:rsid w:val="00CA3BA7"/>
    <w:rsid w:val="00CA3D0C"/>
    <w:rsid w:val="00CA7866"/>
    <w:rsid w:val="00CA7F24"/>
    <w:rsid w:val="00CB0C31"/>
    <w:rsid w:val="00CB0D84"/>
    <w:rsid w:val="00CB1580"/>
    <w:rsid w:val="00CB1A38"/>
    <w:rsid w:val="00CB21B3"/>
    <w:rsid w:val="00CB2E9C"/>
    <w:rsid w:val="00CB4072"/>
    <w:rsid w:val="00CB484D"/>
    <w:rsid w:val="00CB517A"/>
    <w:rsid w:val="00CB5E18"/>
    <w:rsid w:val="00CB61C9"/>
    <w:rsid w:val="00CB62EE"/>
    <w:rsid w:val="00CB7176"/>
    <w:rsid w:val="00CB730C"/>
    <w:rsid w:val="00CC0F4A"/>
    <w:rsid w:val="00CC0F68"/>
    <w:rsid w:val="00CC22B1"/>
    <w:rsid w:val="00CC2A03"/>
    <w:rsid w:val="00CC2C93"/>
    <w:rsid w:val="00CC2DC4"/>
    <w:rsid w:val="00CC384C"/>
    <w:rsid w:val="00CC38CF"/>
    <w:rsid w:val="00CC3988"/>
    <w:rsid w:val="00CC5202"/>
    <w:rsid w:val="00CC52C9"/>
    <w:rsid w:val="00CC53F4"/>
    <w:rsid w:val="00CC5AF3"/>
    <w:rsid w:val="00CC68BF"/>
    <w:rsid w:val="00CC6958"/>
    <w:rsid w:val="00CC7C45"/>
    <w:rsid w:val="00CD13B1"/>
    <w:rsid w:val="00CD2107"/>
    <w:rsid w:val="00CD28EC"/>
    <w:rsid w:val="00CD2DC8"/>
    <w:rsid w:val="00CD3D23"/>
    <w:rsid w:val="00CD3FDF"/>
    <w:rsid w:val="00CD561D"/>
    <w:rsid w:val="00CD6EF5"/>
    <w:rsid w:val="00CE052C"/>
    <w:rsid w:val="00CE0CE1"/>
    <w:rsid w:val="00CE20E9"/>
    <w:rsid w:val="00CE3DD3"/>
    <w:rsid w:val="00CE4053"/>
    <w:rsid w:val="00CE4954"/>
    <w:rsid w:val="00CE5016"/>
    <w:rsid w:val="00CE596E"/>
    <w:rsid w:val="00CE5FEF"/>
    <w:rsid w:val="00CF1160"/>
    <w:rsid w:val="00CF3482"/>
    <w:rsid w:val="00CF4940"/>
    <w:rsid w:val="00CF4CD4"/>
    <w:rsid w:val="00CF5293"/>
    <w:rsid w:val="00CF72AC"/>
    <w:rsid w:val="00D0011E"/>
    <w:rsid w:val="00D004E5"/>
    <w:rsid w:val="00D0136A"/>
    <w:rsid w:val="00D0142A"/>
    <w:rsid w:val="00D0150B"/>
    <w:rsid w:val="00D02111"/>
    <w:rsid w:val="00D0280B"/>
    <w:rsid w:val="00D038D7"/>
    <w:rsid w:val="00D052E6"/>
    <w:rsid w:val="00D05DDB"/>
    <w:rsid w:val="00D073F9"/>
    <w:rsid w:val="00D07DD7"/>
    <w:rsid w:val="00D10717"/>
    <w:rsid w:val="00D1147F"/>
    <w:rsid w:val="00D13DF1"/>
    <w:rsid w:val="00D13EDA"/>
    <w:rsid w:val="00D15061"/>
    <w:rsid w:val="00D15D74"/>
    <w:rsid w:val="00D1722E"/>
    <w:rsid w:val="00D176B7"/>
    <w:rsid w:val="00D20B08"/>
    <w:rsid w:val="00D211A5"/>
    <w:rsid w:val="00D2261D"/>
    <w:rsid w:val="00D228B8"/>
    <w:rsid w:val="00D229D4"/>
    <w:rsid w:val="00D24515"/>
    <w:rsid w:val="00D24B00"/>
    <w:rsid w:val="00D24E61"/>
    <w:rsid w:val="00D2526B"/>
    <w:rsid w:val="00D266A9"/>
    <w:rsid w:val="00D27660"/>
    <w:rsid w:val="00D30E94"/>
    <w:rsid w:val="00D31401"/>
    <w:rsid w:val="00D324DA"/>
    <w:rsid w:val="00D3266B"/>
    <w:rsid w:val="00D32A14"/>
    <w:rsid w:val="00D32B43"/>
    <w:rsid w:val="00D33571"/>
    <w:rsid w:val="00D339A1"/>
    <w:rsid w:val="00D33CFC"/>
    <w:rsid w:val="00D344F3"/>
    <w:rsid w:val="00D3524B"/>
    <w:rsid w:val="00D357A4"/>
    <w:rsid w:val="00D36238"/>
    <w:rsid w:val="00D36EB1"/>
    <w:rsid w:val="00D375AE"/>
    <w:rsid w:val="00D4029D"/>
    <w:rsid w:val="00D44DF2"/>
    <w:rsid w:val="00D44EDE"/>
    <w:rsid w:val="00D451A5"/>
    <w:rsid w:val="00D451C1"/>
    <w:rsid w:val="00D45283"/>
    <w:rsid w:val="00D4541B"/>
    <w:rsid w:val="00D477C3"/>
    <w:rsid w:val="00D47CB0"/>
    <w:rsid w:val="00D47DE7"/>
    <w:rsid w:val="00D51271"/>
    <w:rsid w:val="00D51828"/>
    <w:rsid w:val="00D53179"/>
    <w:rsid w:val="00D53DC5"/>
    <w:rsid w:val="00D5465D"/>
    <w:rsid w:val="00D5517C"/>
    <w:rsid w:val="00D55406"/>
    <w:rsid w:val="00D55E9A"/>
    <w:rsid w:val="00D5615B"/>
    <w:rsid w:val="00D56E84"/>
    <w:rsid w:val="00D60759"/>
    <w:rsid w:val="00D6293F"/>
    <w:rsid w:val="00D6559E"/>
    <w:rsid w:val="00D662E4"/>
    <w:rsid w:val="00D670D3"/>
    <w:rsid w:val="00D67470"/>
    <w:rsid w:val="00D6792F"/>
    <w:rsid w:val="00D67B99"/>
    <w:rsid w:val="00D67FC9"/>
    <w:rsid w:val="00D709B5"/>
    <w:rsid w:val="00D729D1"/>
    <w:rsid w:val="00D72B2A"/>
    <w:rsid w:val="00D736FB"/>
    <w:rsid w:val="00D73AAF"/>
    <w:rsid w:val="00D73B35"/>
    <w:rsid w:val="00D74B08"/>
    <w:rsid w:val="00D75461"/>
    <w:rsid w:val="00D75B0B"/>
    <w:rsid w:val="00D77388"/>
    <w:rsid w:val="00D775D2"/>
    <w:rsid w:val="00D77855"/>
    <w:rsid w:val="00D8078E"/>
    <w:rsid w:val="00D80D94"/>
    <w:rsid w:val="00D8118D"/>
    <w:rsid w:val="00D82637"/>
    <w:rsid w:val="00D83283"/>
    <w:rsid w:val="00D83860"/>
    <w:rsid w:val="00D83B8A"/>
    <w:rsid w:val="00D83D34"/>
    <w:rsid w:val="00D85155"/>
    <w:rsid w:val="00D85F3F"/>
    <w:rsid w:val="00D86169"/>
    <w:rsid w:val="00D8652F"/>
    <w:rsid w:val="00D86BF7"/>
    <w:rsid w:val="00D86C18"/>
    <w:rsid w:val="00D875E3"/>
    <w:rsid w:val="00D91421"/>
    <w:rsid w:val="00D91CBD"/>
    <w:rsid w:val="00D926E9"/>
    <w:rsid w:val="00D92B66"/>
    <w:rsid w:val="00D9348C"/>
    <w:rsid w:val="00D93CC1"/>
    <w:rsid w:val="00D93EB9"/>
    <w:rsid w:val="00D942A3"/>
    <w:rsid w:val="00D95384"/>
    <w:rsid w:val="00D9583F"/>
    <w:rsid w:val="00D96C34"/>
    <w:rsid w:val="00D970E9"/>
    <w:rsid w:val="00D97E49"/>
    <w:rsid w:val="00DA073F"/>
    <w:rsid w:val="00DA08BF"/>
    <w:rsid w:val="00DA12F6"/>
    <w:rsid w:val="00DA1419"/>
    <w:rsid w:val="00DA2603"/>
    <w:rsid w:val="00DA2818"/>
    <w:rsid w:val="00DA2876"/>
    <w:rsid w:val="00DA40F8"/>
    <w:rsid w:val="00DA4875"/>
    <w:rsid w:val="00DA4917"/>
    <w:rsid w:val="00DA4E73"/>
    <w:rsid w:val="00DA5117"/>
    <w:rsid w:val="00DA61B6"/>
    <w:rsid w:val="00DA68C1"/>
    <w:rsid w:val="00DA71E0"/>
    <w:rsid w:val="00DA7808"/>
    <w:rsid w:val="00DB2CB5"/>
    <w:rsid w:val="00DB2F25"/>
    <w:rsid w:val="00DB35F8"/>
    <w:rsid w:val="00DB57B7"/>
    <w:rsid w:val="00DB67E5"/>
    <w:rsid w:val="00DB68CD"/>
    <w:rsid w:val="00DB73AB"/>
    <w:rsid w:val="00DB761D"/>
    <w:rsid w:val="00DB7C28"/>
    <w:rsid w:val="00DC13F9"/>
    <w:rsid w:val="00DC1D72"/>
    <w:rsid w:val="00DC2E2C"/>
    <w:rsid w:val="00DC4E8F"/>
    <w:rsid w:val="00DC545A"/>
    <w:rsid w:val="00DC585F"/>
    <w:rsid w:val="00DC77F2"/>
    <w:rsid w:val="00DC78DB"/>
    <w:rsid w:val="00DC7F7D"/>
    <w:rsid w:val="00DD028A"/>
    <w:rsid w:val="00DD08C1"/>
    <w:rsid w:val="00DD19C8"/>
    <w:rsid w:val="00DD1BFF"/>
    <w:rsid w:val="00DD2278"/>
    <w:rsid w:val="00DD2ADC"/>
    <w:rsid w:val="00DD4F3E"/>
    <w:rsid w:val="00DD5FFB"/>
    <w:rsid w:val="00DD67A9"/>
    <w:rsid w:val="00DD6EA5"/>
    <w:rsid w:val="00DD75C0"/>
    <w:rsid w:val="00DD7C85"/>
    <w:rsid w:val="00DE2574"/>
    <w:rsid w:val="00DE2C5D"/>
    <w:rsid w:val="00DE36B6"/>
    <w:rsid w:val="00DE4BD0"/>
    <w:rsid w:val="00DE58C9"/>
    <w:rsid w:val="00DE58D7"/>
    <w:rsid w:val="00DE5D98"/>
    <w:rsid w:val="00DE62BC"/>
    <w:rsid w:val="00DE7572"/>
    <w:rsid w:val="00DE7BEA"/>
    <w:rsid w:val="00DE7DAF"/>
    <w:rsid w:val="00DF154D"/>
    <w:rsid w:val="00DF16FC"/>
    <w:rsid w:val="00DF19F6"/>
    <w:rsid w:val="00DF376E"/>
    <w:rsid w:val="00DF431A"/>
    <w:rsid w:val="00DF62C6"/>
    <w:rsid w:val="00DF6D21"/>
    <w:rsid w:val="00DF75FB"/>
    <w:rsid w:val="00DF7C00"/>
    <w:rsid w:val="00E00BBD"/>
    <w:rsid w:val="00E013E3"/>
    <w:rsid w:val="00E01F2F"/>
    <w:rsid w:val="00E02136"/>
    <w:rsid w:val="00E02157"/>
    <w:rsid w:val="00E0219A"/>
    <w:rsid w:val="00E02370"/>
    <w:rsid w:val="00E02392"/>
    <w:rsid w:val="00E02F84"/>
    <w:rsid w:val="00E03E17"/>
    <w:rsid w:val="00E042FF"/>
    <w:rsid w:val="00E04850"/>
    <w:rsid w:val="00E05C13"/>
    <w:rsid w:val="00E05C1A"/>
    <w:rsid w:val="00E064CA"/>
    <w:rsid w:val="00E065B2"/>
    <w:rsid w:val="00E06813"/>
    <w:rsid w:val="00E10053"/>
    <w:rsid w:val="00E111E4"/>
    <w:rsid w:val="00E11521"/>
    <w:rsid w:val="00E127AF"/>
    <w:rsid w:val="00E13B47"/>
    <w:rsid w:val="00E15933"/>
    <w:rsid w:val="00E15B99"/>
    <w:rsid w:val="00E16FAA"/>
    <w:rsid w:val="00E171C2"/>
    <w:rsid w:val="00E20598"/>
    <w:rsid w:val="00E20664"/>
    <w:rsid w:val="00E2148E"/>
    <w:rsid w:val="00E21C56"/>
    <w:rsid w:val="00E22425"/>
    <w:rsid w:val="00E23F67"/>
    <w:rsid w:val="00E24926"/>
    <w:rsid w:val="00E24E04"/>
    <w:rsid w:val="00E2580D"/>
    <w:rsid w:val="00E2583C"/>
    <w:rsid w:val="00E2789E"/>
    <w:rsid w:val="00E27F2F"/>
    <w:rsid w:val="00E30294"/>
    <w:rsid w:val="00E315D6"/>
    <w:rsid w:val="00E3258F"/>
    <w:rsid w:val="00E330AB"/>
    <w:rsid w:val="00E3317B"/>
    <w:rsid w:val="00E3386F"/>
    <w:rsid w:val="00E341F0"/>
    <w:rsid w:val="00E350BD"/>
    <w:rsid w:val="00E3540A"/>
    <w:rsid w:val="00E35AE0"/>
    <w:rsid w:val="00E36335"/>
    <w:rsid w:val="00E373B4"/>
    <w:rsid w:val="00E37B5C"/>
    <w:rsid w:val="00E37CF8"/>
    <w:rsid w:val="00E40350"/>
    <w:rsid w:val="00E407AC"/>
    <w:rsid w:val="00E413A5"/>
    <w:rsid w:val="00E41AF8"/>
    <w:rsid w:val="00E422BE"/>
    <w:rsid w:val="00E4296A"/>
    <w:rsid w:val="00E43380"/>
    <w:rsid w:val="00E44274"/>
    <w:rsid w:val="00E44603"/>
    <w:rsid w:val="00E44F24"/>
    <w:rsid w:val="00E455B4"/>
    <w:rsid w:val="00E46FA7"/>
    <w:rsid w:val="00E46FBA"/>
    <w:rsid w:val="00E47328"/>
    <w:rsid w:val="00E479DF"/>
    <w:rsid w:val="00E505D8"/>
    <w:rsid w:val="00E50B83"/>
    <w:rsid w:val="00E51530"/>
    <w:rsid w:val="00E5252F"/>
    <w:rsid w:val="00E528C6"/>
    <w:rsid w:val="00E52B26"/>
    <w:rsid w:val="00E535BD"/>
    <w:rsid w:val="00E54596"/>
    <w:rsid w:val="00E55578"/>
    <w:rsid w:val="00E56000"/>
    <w:rsid w:val="00E56378"/>
    <w:rsid w:val="00E57208"/>
    <w:rsid w:val="00E57457"/>
    <w:rsid w:val="00E60175"/>
    <w:rsid w:val="00E6160E"/>
    <w:rsid w:val="00E63F00"/>
    <w:rsid w:val="00E642DC"/>
    <w:rsid w:val="00E64ABC"/>
    <w:rsid w:val="00E64E57"/>
    <w:rsid w:val="00E64F71"/>
    <w:rsid w:val="00E64FC2"/>
    <w:rsid w:val="00E65240"/>
    <w:rsid w:val="00E67590"/>
    <w:rsid w:val="00E67A1A"/>
    <w:rsid w:val="00E703B1"/>
    <w:rsid w:val="00E7045C"/>
    <w:rsid w:val="00E718EA"/>
    <w:rsid w:val="00E71A6E"/>
    <w:rsid w:val="00E72E55"/>
    <w:rsid w:val="00E733D4"/>
    <w:rsid w:val="00E74228"/>
    <w:rsid w:val="00E74759"/>
    <w:rsid w:val="00E74A24"/>
    <w:rsid w:val="00E74E48"/>
    <w:rsid w:val="00E76B64"/>
    <w:rsid w:val="00E76BBE"/>
    <w:rsid w:val="00E77101"/>
    <w:rsid w:val="00E808C9"/>
    <w:rsid w:val="00E80943"/>
    <w:rsid w:val="00E8112D"/>
    <w:rsid w:val="00E81135"/>
    <w:rsid w:val="00E8148D"/>
    <w:rsid w:val="00E818C3"/>
    <w:rsid w:val="00E82DCF"/>
    <w:rsid w:val="00E84DC4"/>
    <w:rsid w:val="00E8561A"/>
    <w:rsid w:val="00E8589E"/>
    <w:rsid w:val="00E85DE8"/>
    <w:rsid w:val="00E86672"/>
    <w:rsid w:val="00E86705"/>
    <w:rsid w:val="00E86E0C"/>
    <w:rsid w:val="00E87FB1"/>
    <w:rsid w:val="00E900CF"/>
    <w:rsid w:val="00E908C6"/>
    <w:rsid w:val="00E924A8"/>
    <w:rsid w:val="00E93450"/>
    <w:rsid w:val="00E9372A"/>
    <w:rsid w:val="00E93AFD"/>
    <w:rsid w:val="00E95441"/>
    <w:rsid w:val="00E95FB9"/>
    <w:rsid w:val="00E96618"/>
    <w:rsid w:val="00E97970"/>
    <w:rsid w:val="00E979A5"/>
    <w:rsid w:val="00E97C50"/>
    <w:rsid w:val="00EA03D8"/>
    <w:rsid w:val="00EA0DB1"/>
    <w:rsid w:val="00EA11F9"/>
    <w:rsid w:val="00EA507E"/>
    <w:rsid w:val="00EA5747"/>
    <w:rsid w:val="00EA6103"/>
    <w:rsid w:val="00EA73BA"/>
    <w:rsid w:val="00EA7745"/>
    <w:rsid w:val="00EB0F28"/>
    <w:rsid w:val="00EB1892"/>
    <w:rsid w:val="00EB2336"/>
    <w:rsid w:val="00EB3B2C"/>
    <w:rsid w:val="00EB3F96"/>
    <w:rsid w:val="00EB3FA2"/>
    <w:rsid w:val="00EB4281"/>
    <w:rsid w:val="00EB4A81"/>
    <w:rsid w:val="00EB5264"/>
    <w:rsid w:val="00EB52AE"/>
    <w:rsid w:val="00EB60D0"/>
    <w:rsid w:val="00EC03D2"/>
    <w:rsid w:val="00EC0719"/>
    <w:rsid w:val="00EC09D5"/>
    <w:rsid w:val="00EC1FA6"/>
    <w:rsid w:val="00EC202F"/>
    <w:rsid w:val="00EC25AB"/>
    <w:rsid w:val="00EC3DF9"/>
    <w:rsid w:val="00EC4F93"/>
    <w:rsid w:val="00EC515F"/>
    <w:rsid w:val="00EC5679"/>
    <w:rsid w:val="00EC5764"/>
    <w:rsid w:val="00EC5DBE"/>
    <w:rsid w:val="00EC5DE6"/>
    <w:rsid w:val="00EC6C65"/>
    <w:rsid w:val="00ED0FC6"/>
    <w:rsid w:val="00ED1C3D"/>
    <w:rsid w:val="00ED2264"/>
    <w:rsid w:val="00ED23A2"/>
    <w:rsid w:val="00ED2B1D"/>
    <w:rsid w:val="00ED412E"/>
    <w:rsid w:val="00ED41A8"/>
    <w:rsid w:val="00ED44D2"/>
    <w:rsid w:val="00ED452D"/>
    <w:rsid w:val="00ED5035"/>
    <w:rsid w:val="00ED5703"/>
    <w:rsid w:val="00ED5DD6"/>
    <w:rsid w:val="00ED65DB"/>
    <w:rsid w:val="00ED6AF2"/>
    <w:rsid w:val="00ED7BC1"/>
    <w:rsid w:val="00EE04D4"/>
    <w:rsid w:val="00EE0C34"/>
    <w:rsid w:val="00EE0C71"/>
    <w:rsid w:val="00EE29BE"/>
    <w:rsid w:val="00EE3C34"/>
    <w:rsid w:val="00EE3CDA"/>
    <w:rsid w:val="00EE4C9E"/>
    <w:rsid w:val="00EE5884"/>
    <w:rsid w:val="00EF038F"/>
    <w:rsid w:val="00EF07C3"/>
    <w:rsid w:val="00EF1944"/>
    <w:rsid w:val="00EF26AE"/>
    <w:rsid w:val="00EF27B5"/>
    <w:rsid w:val="00EF43EA"/>
    <w:rsid w:val="00EF46B1"/>
    <w:rsid w:val="00EF493E"/>
    <w:rsid w:val="00EF5D73"/>
    <w:rsid w:val="00EF607A"/>
    <w:rsid w:val="00EF6331"/>
    <w:rsid w:val="00EF6482"/>
    <w:rsid w:val="00EF71FF"/>
    <w:rsid w:val="00EF7662"/>
    <w:rsid w:val="00EF773B"/>
    <w:rsid w:val="00F00241"/>
    <w:rsid w:val="00F00777"/>
    <w:rsid w:val="00F00887"/>
    <w:rsid w:val="00F01AED"/>
    <w:rsid w:val="00F02876"/>
    <w:rsid w:val="00F06185"/>
    <w:rsid w:val="00F064C3"/>
    <w:rsid w:val="00F06A82"/>
    <w:rsid w:val="00F109A7"/>
    <w:rsid w:val="00F10BFD"/>
    <w:rsid w:val="00F10D7E"/>
    <w:rsid w:val="00F11D60"/>
    <w:rsid w:val="00F12451"/>
    <w:rsid w:val="00F12F74"/>
    <w:rsid w:val="00F1303C"/>
    <w:rsid w:val="00F132E8"/>
    <w:rsid w:val="00F14FD4"/>
    <w:rsid w:val="00F15550"/>
    <w:rsid w:val="00F15E8D"/>
    <w:rsid w:val="00F175AF"/>
    <w:rsid w:val="00F205FB"/>
    <w:rsid w:val="00F20DD7"/>
    <w:rsid w:val="00F21CF8"/>
    <w:rsid w:val="00F22A61"/>
    <w:rsid w:val="00F2357B"/>
    <w:rsid w:val="00F23602"/>
    <w:rsid w:val="00F236DC"/>
    <w:rsid w:val="00F2464A"/>
    <w:rsid w:val="00F247BC"/>
    <w:rsid w:val="00F2482C"/>
    <w:rsid w:val="00F25233"/>
    <w:rsid w:val="00F25CBC"/>
    <w:rsid w:val="00F25EAF"/>
    <w:rsid w:val="00F26AC0"/>
    <w:rsid w:val="00F2719D"/>
    <w:rsid w:val="00F27940"/>
    <w:rsid w:val="00F27A13"/>
    <w:rsid w:val="00F27FA1"/>
    <w:rsid w:val="00F3032E"/>
    <w:rsid w:val="00F3124A"/>
    <w:rsid w:val="00F313E8"/>
    <w:rsid w:val="00F31596"/>
    <w:rsid w:val="00F31EFE"/>
    <w:rsid w:val="00F3277D"/>
    <w:rsid w:val="00F32822"/>
    <w:rsid w:val="00F32EC1"/>
    <w:rsid w:val="00F3329B"/>
    <w:rsid w:val="00F33D35"/>
    <w:rsid w:val="00F340F0"/>
    <w:rsid w:val="00F343CC"/>
    <w:rsid w:val="00F34F38"/>
    <w:rsid w:val="00F350F7"/>
    <w:rsid w:val="00F35253"/>
    <w:rsid w:val="00F36405"/>
    <w:rsid w:val="00F36809"/>
    <w:rsid w:val="00F36950"/>
    <w:rsid w:val="00F371E7"/>
    <w:rsid w:val="00F3733F"/>
    <w:rsid w:val="00F3738F"/>
    <w:rsid w:val="00F37625"/>
    <w:rsid w:val="00F40055"/>
    <w:rsid w:val="00F41E87"/>
    <w:rsid w:val="00F42120"/>
    <w:rsid w:val="00F428F8"/>
    <w:rsid w:val="00F43B83"/>
    <w:rsid w:val="00F44EBF"/>
    <w:rsid w:val="00F45EB3"/>
    <w:rsid w:val="00F47502"/>
    <w:rsid w:val="00F47697"/>
    <w:rsid w:val="00F50DD0"/>
    <w:rsid w:val="00F517F3"/>
    <w:rsid w:val="00F520B3"/>
    <w:rsid w:val="00F53132"/>
    <w:rsid w:val="00F531DC"/>
    <w:rsid w:val="00F538EF"/>
    <w:rsid w:val="00F53F88"/>
    <w:rsid w:val="00F54274"/>
    <w:rsid w:val="00F5456A"/>
    <w:rsid w:val="00F545FC"/>
    <w:rsid w:val="00F547FE"/>
    <w:rsid w:val="00F54E12"/>
    <w:rsid w:val="00F56446"/>
    <w:rsid w:val="00F573F1"/>
    <w:rsid w:val="00F57AF7"/>
    <w:rsid w:val="00F57CAC"/>
    <w:rsid w:val="00F61B21"/>
    <w:rsid w:val="00F61FFC"/>
    <w:rsid w:val="00F625CA"/>
    <w:rsid w:val="00F62A93"/>
    <w:rsid w:val="00F62AF9"/>
    <w:rsid w:val="00F62C6B"/>
    <w:rsid w:val="00F62CDB"/>
    <w:rsid w:val="00F62F06"/>
    <w:rsid w:val="00F644AD"/>
    <w:rsid w:val="00F646BE"/>
    <w:rsid w:val="00F64FF5"/>
    <w:rsid w:val="00F66320"/>
    <w:rsid w:val="00F663A8"/>
    <w:rsid w:val="00F66A76"/>
    <w:rsid w:val="00F674BA"/>
    <w:rsid w:val="00F6767A"/>
    <w:rsid w:val="00F67E6A"/>
    <w:rsid w:val="00F70A48"/>
    <w:rsid w:val="00F70BAD"/>
    <w:rsid w:val="00F71668"/>
    <w:rsid w:val="00F73140"/>
    <w:rsid w:val="00F74364"/>
    <w:rsid w:val="00F74666"/>
    <w:rsid w:val="00F751A4"/>
    <w:rsid w:val="00F7568A"/>
    <w:rsid w:val="00F77C1A"/>
    <w:rsid w:val="00F77E91"/>
    <w:rsid w:val="00F81073"/>
    <w:rsid w:val="00F812E4"/>
    <w:rsid w:val="00F815BB"/>
    <w:rsid w:val="00F825C9"/>
    <w:rsid w:val="00F8344B"/>
    <w:rsid w:val="00F83C40"/>
    <w:rsid w:val="00F83EEA"/>
    <w:rsid w:val="00F8461A"/>
    <w:rsid w:val="00F84BEC"/>
    <w:rsid w:val="00F852BE"/>
    <w:rsid w:val="00F8731D"/>
    <w:rsid w:val="00F879C5"/>
    <w:rsid w:val="00F87CAF"/>
    <w:rsid w:val="00F87FA4"/>
    <w:rsid w:val="00F90063"/>
    <w:rsid w:val="00F90A3D"/>
    <w:rsid w:val="00F90EC0"/>
    <w:rsid w:val="00F91222"/>
    <w:rsid w:val="00F92352"/>
    <w:rsid w:val="00F9267B"/>
    <w:rsid w:val="00F93469"/>
    <w:rsid w:val="00F93B7A"/>
    <w:rsid w:val="00F94ACE"/>
    <w:rsid w:val="00F94AE5"/>
    <w:rsid w:val="00F94C20"/>
    <w:rsid w:val="00F94EAF"/>
    <w:rsid w:val="00F96581"/>
    <w:rsid w:val="00F96AF2"/>
    <w:rsid w:val="00F96D11"/>
    <w:rsid w:val="00F96F50"/>
    <w:rsid w:val="00F970A7"/>
    <w:rsid w:val="00F9731E"/>
    <w:rsid w:val="00F9738D"/>
    <w:rsid w:val="00FA1622"/>
    <w:rsid w:val="00FA1A3F"/>
    <w:rsid w:val="00FA2228"/>
    <w:rsid w:val="00FA2A03"/>
    <w:rsid w:val="00FA57BD"/>
    <w:rsid w:val="00FA59C4"/>
    <w:rsid w:val="00FA59C6"/>
    <w:rsid w:val="00FA5A3F"/>
    <w:rsid w:val="00FA5B04"/>
    <w:rsid w:val="00FA5F7E"/>
    <w:rsid w:val="00FA6AEF"/>
    <w:rsid w:val="00FB0167"/>
    <w:rsid w:val="00FB0EBB"/>
    <w:rsid w:val="00FB10F6"/>
    <w:rsid w:val="00FB13A2"/>
    <w:rsid w:val="00FB15EB"/>
    <w:rsid w:val="00FB19EB"/>
    <w:rsid w:val="00FB3A29"/>
    <w:rsid w:val="00FB41AF"/>
    <w:rsid w:val="00FB47DE"/>
    <w:rsid w:val="00FB492C"/>
    <w:rsid w:val="00FB4A1C"/>
    <w:rsid w:val="00FB60CC"/>
    <w:rsid w:val="00FB60FB"/>
    <w:rsid w:val="00FB6635"/>
    <w:rsid w:val="00FB6B37"/>
    <w:rsid w:val="00FB7510"/>
    <w:rsid w:val="00FC08D8"/>
    <w:rsid w:val="00FC111B"/>
    <w:rsid w:val="00FC1DE5"/>
    <w:rsid w:val="00FC206B"/>
    <w:rsid w:val="00FC23C7"/>
    <w:rsid w:val="00FC2710"/>
    <w:rsid w:val="00FC3E40"/>
    <w:rsid w:val="00FC3FB7"/>
    <w:rsid w:val="00FC4378"/>
    <w:rsid w:val="00FC52C1"/>
    <w:rsid w:val="00FC5A6D"/>
    <w:rsid w:val="00FC5B2A"/>
    <w:rsid w:val="00FC6281"/>
    <w:rsid w:val="00FC65D0"/>
    <w:rsid w:val="00FC772C"/>
    <w:rsid w:val="00FC7DB1"/>
    <w:rsid w:val="00FD0284"/>
    <w:rsid w:val="00FD0BC0"/>
    <w:rsid w:val="00FD1078"/>
    <w:rsid w:val="00FD12DB"/>
    <w:rsid w:val="00FD1306"/>
    <w:rsid w:val="00FD3713"/>
    <w:rsid w:val="00FD4587"/>
    <w:rsid w:val="00FD47F8"/>
    <w:rsid w:val="00FD57E2"/>
    <w:rsid w:val="00FD5B9B"/>
    <w:rsid w:val="00FD66DD"/>
    <w:rsid w:val="00FD6921"/>
    <w:rsid w:val="00FD77C2"/>
    <w:rsid w:val="00FE175F"/>
    <w:rsid w:val="00FE1F8E"/>
    <w:rsid w:val="00FE26DD"/>
    <w:rsid w:val="00FE2ED7"/>
    <w:rsid w:val="00FE329D"/>
    <w:rsid w:val="00FE34B0"/>
    <w:rsid w:val="00FE379B"/>
    <w:rsid w:val="00FE3AFB"/>
    <w:rsid w:val="00FE3E6F"/>
    <w:rsid w:val="00FE400F"/>
    <w:rsid w:val="00FE4187"/>
    <w:rsid w:val="00FE4697"/>
    <w:rsid w:val="00FE58C5"/>
    <w:rsid w:val="00FE5ADE"/>
    <w:rsid w:val="00FE5C0B"/>
    <w:rsid w:val="00FE5E79"/>
    <w:rsid w:val="00FE788D"/>
    <w:rsid w:val="00FE797F"/>
    <w:rsid w:val="00FF052C"/>
    <w:rsid w:val="00FF05CB"/>
    <w:rsid w:val="00FF1B26"/>
    <w:rsid w:val="00FF211E"/>
    <w:rsid w:val="00FF27FB"/>
    <w:rsid w:val="00FF31B0"/>
    <w:rsid w:val="00FF3E5C"/>
    <w:rsid w:val="00FF4658"/>
    <w:rsid w:val="00FF473D"/>
    <w:rsid w:val="00FF4E8A"/>
    <w:rsid w:val="00FF556A"/>
    <w:rsid w:val="00FF5D50"/>
    <w:rsid w:val="00FF5E33"/>
    <w:rsid w:val="00FF609F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08FD0"/>
  <w15:docId w15:val="{A3C56C42-C2BB-4C69-A941-45FEB851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CC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3F1"/>
  </w:style>
  <w:style w:type="paragraph" w:styleId="Zpat">
    <w:name w:val="footer"/>
    <w:basedOn w:val="Normln"/>
    <w:link w:val="Zpat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3F1"/>
  </w:style>
  <w:style w:type="paragraph" w:customStyle="1" w:styleId="Standard">
    <w:name w:val="Standard"/>
    <w:rsid w:val="00F573F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 Unicode MS"/>
      <w:kern w:val="3"/>
      <w:sz w:val="18"/>
      <w:szCs w:val="20"/>
      <w:lang w:eastAsia="zh-CN" w:bidi="hi-IN"/>
    </w:rPr>
  </w:style>
  <w:style w:type="character" w:styleId="Hypertextovodkaz">
    <w:name w:val="Hyperlink"/>
    <w:basedOn w:val="Standardnpsmoodstavce"/>
    <w:uiPriority w:val="99"/>
    <w:rsid w:val="005A2501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5A250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71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39AF"/>
    <w:rPr>
      <w:rFonts w:cs="Arial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9AF"/>
    <w:rPr>
      <w:rFonts w:ascii="Arial" w:eastAsia="Times New Roman" w:hAnsi="Arial" w:cs="Arial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5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74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7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74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6651A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12AFA"/>
    <w:rPr>
      <w:b/>
      <w:bCs/>
    </w:rPr>
  </w:style>
  <w:style w:type="paragraph" w:customStyle="1" w:styleId="THnorm">
    <w:name w:val="TH norm"/>
    <w:basedOn w:val="Normln"/>
    <w:rsid w:val="006A7BEA"/>
    <w:pPr>
      <w:tabs>
        <w:tab w:val="left" w:pos="0"/>
      </w:tabs>
      <w:overflowPunct/>
      <w:autoSpaceDE/>
      <w:autoSpaceDN/>
      <w:adjustRightInd/>
      <w:spacing w:after="120"/>
      <w:ind w:firstLine="709"/>
      <w:textAlignment w:val="auto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68A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444EA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A0AC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A19E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1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7BD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7BDA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F7BDA"/>
    <w:rPr>
      <w:vertAlign w:val="superscript"/>
    </w:rPr>
  </w:style>
  <w:style w:type="paragraph" w:customStyle="1" w:styleId="xmsonormal">
    <w:name w:val="xmsonormal"/>
    <w:basedOn w:val="Normln"/>
    <w:rsid w:val="0005102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xpk-token">
    <w:name w:val="xpk-token"/>
    <w:basedOn w:val="Standardnpsmoodstavce"/>
    <w:rsid w:val="00051022"/>
  </w:style>
  <w:style w:type="paragraph" w:customStyle="1" w:styleId="xmsonormal0">
    <w:name w:val="x_msonormal"/>
    <w:basedOn w:val="Normln"/>
    <w:rsid w:val="00162D23"/>
    <w:pPr>
      <w:overflowPunct/>
      <w:autoSpaceDE/>
      <w:autoSpaceDN/>
      <w:adjustRightInd/>
      <w:jc w:val="left"/>
      <w:textAlignment w:val="auto"/>
    </w:pPr>
    <w:rPr>
      <w:rFonts w:ascii="Calibri" w:eastAsiaTheme="minorHAnsi" w:hAnsi="Calibri" w:cs="Calibri"/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A4A27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A4A2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A4A27"/>
    <w:rPr>
      <w:vertAlign w:val="superscript"/>
    </w:rPr>
  </w:style>
  <w:style w:type="paragraph" w:customStyle="1" w:styleId="CBANadpisvTABULCE">
    <w:name w:val="CBA Nadpis v TABULCE"/>
    <w:basedOn w:val="Normln"/>
    <w:qFormat/>
    <w:rsid w:val="0028530F"/>
    <w:pPr>
      <w:spacing w:before="120" w:after="120"/>
      <w:jc w:val="left"/>
    </w:pPr>
    <w:rPr>
      <w:b/>
      <w:bCs/>
      <w:color w:val="13576B"/>
    </w:rPr>
  </w:style>
  <w:style w:type="paragraph" w:customStyle="1" w:styleId="CBAodstavecvTABULCE">
    <w:name w:val="CBA odstavec v TABULCE"/>
    <w:basedOn w:val="Normln"/>
    <w:qFormat/>
    <w:rsid w:val="0028530F"/>
    <w:pPr>
      <w:spacing w:before="120" w:after="120"/>
      <w:jc w:val="left"/>
    </w:pPr>
    <w:rPr>
      <w:color w:val="13576B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177C9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177C9"/>
    <w:rPr>
      <w:rFonts w:ascii="Consolas" w:eastAsia="Times New Roman" w:hAnsi="Consolas" w:cs="Times New Roman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5723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238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784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497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41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847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03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88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71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20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2814">
          <w:marLeft w:val="0"/>
          <w:marRight w:val="15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19184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830747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14239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2958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8258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8" w:color="000000"/>
            <w:right w:val="single" w:sz="2" w:space="0" w:color="000000"/>
          </w:divBdr>
          <w:divsChild>
            <w:div w:id="2075395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989819">
                  <w:marLeft w:val="0"/>
                  <w:marRight w:val="0"/>
                  <w:marTop w:val="0"/>
                  <w:marBottom w:val="3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798347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058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9207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629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1909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4455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  <w:div w:id="1449860268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5446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4" w:color="000000"/>
                                <w:bottom w:val="single" w:sz="2" w:space="0" w:color="000000"/>
                                <w:right w:val="single" w:sz="2" w:space="4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210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0217159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55556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98203323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43278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942714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640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6207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9757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7284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582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20863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9284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485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90402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298820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912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3542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0146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235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11093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56604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609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213401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32921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477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4796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08359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2758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3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4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8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6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7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2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0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hyperlink" Target="https://www.cbamonitor.cz/kategorie/ceny-nemovitosti" TargetMode="External"/><Relationship Id="rId26" Type="http://schemas.openxmlformats.org/officeDocument/2006/relationships/hyperlink" Target="https://www.cbamonitor.cz/kategorie/cba-hypomonitor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yperlink" Target="https://www.cbamonitor.cz/statistika/dynamika-mezd" TargetMode="External"/><Relationship Id="rId25" Type="http://schemas.openxmlformats.org/officeDocument/2006/relationships/hyperlink" Target="http://www.cbaonline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bamonitor.cz/aktuality/prumyslova-vyroba-v-cervenci" TargetMode="External"/><Relationship Id="rId20" Type="http://schemas.openxmlformats.org/officeDocument/2006/relationships/hyperlink" Target="https://www.cbamonitor.cz/aktuality/kompletni-ceny-nemovitosti-dle-csu-ukazuji-pro-q1-2025-mirnejsi-narust-nez-ceny-bytu-nahled-a-vyzva-do-metodicke-kuchynky-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8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23" Type="http://schemas.openxmlformats.org/officeDocument/2006/relationships/image" Target="media/image7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cbamonitor.cz/aktuality/pokles-transakcnich-cen-bytu-ve-druhem-ctvrtleti-souvisi-spise-s-transakcemi-nez-s-poklesem-c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bamonitor.cz/aktuality/prumyslova-vyroba-v-cervenci" TargetMode="External"/><Relationship Id="rId22" Type="http://schemas.openxmlformats.org/officeDocument/2006/relationships/image" Target="media/image6.emf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9ec118-0c61-46db-bb00-952e09940a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0CBE5B95D55468F8CF7D6D1C8CB6B" ma:contentTypeVersion="10" ma:contentTypeDescription="Create a new document." ma:contentTypeScope="" ma:versionID="03de8c559e19055c2732f6aae148e160">
  <xsd:schema xmlns:xsd="http://www.w3.org/2001/XMLSchema" xmlns:xs="http://www.w3.org/2001/XMLSchema" xmlns:p="http://schemas.microsoft.com/office/2006/metadata/properties" xmlns:ns3="b09ec118-0c61-46db-bb00-952e09940a1f" targetNamespace="http://schemas.microsoft.com/office/2006/metadata/properties" ma:root="true" ma:fieldsID="a58f24d30c88e6ff28d70a1926b856b7" ns3:_="">
    <xsd:import namespace="b09ec118-0c61-46db-bb00-952e09940a1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ec118-0c61-46db-bb00-952e09940a1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935B7-8C88-4CAE-A0AA-13A352B0843E}">
  <ds:schemaRefs>
    <ds:schemaRef ds:uri="http://schemas.microsoft.com/office/2006/metadata/properties"/>
    <ds:schemaRef ds:uri="http://schemas.microsoft.com/office/infopath/2007/PartnerControls"/>
    <ds:schemaRef ds:uri="b09ec118-0c61-46db-bb00-952e09940a1f"/>
  </ds:schemaRefs>
</ds:datastoreItem>
</file>

<file path=customXml/itemProps2.xml><?xml version="1.0" encoding="utf-8"?>
<ds:datastoreItem xmlns:ds="http://schemas.openxmlformats.org/officeDocument/2006/customXml" ds:itemID="{90F695EA-D77D-4F66-A87E-5245D7A92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64796-18D1-44D3-AEB3-40E112819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9ec118-0c61-46db-bb00-952e09940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A9F6F5-D843-4129-900A-FD170C2A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2501</Words>
  <Characters>14760</Characters>
  <Application>Microsoft Office Word</Application>
  <DocSecurity>0</DocSecurity>
  <Lines>123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vlachova</dc:creator>
  <cp:lastModifiedBy>Duffek, Adam (ČBA)</cp:lastModifiedBy>
  <cp:revision>5</cp:revision>
  <cp:lastPrinted>2025-08-14T09:13:00Z</cp:lastPrinted>
  <dcterms:created xsi:type="dcterms:W3CDTF">2025-09-12T12:45:00Z</dcterms:created>
  <dcterms:modified xsi:type="dcterms:W3CDTF">2025-09-14T21:25:00Z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0x0101004DC0CBE5B95D55468F8CF7D6D1C8CB6B</vt:lpwstr>
  </property>
</Properties>
</file>