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45D2" w14:textId="6DC90918" w:rsidR="00266E32" w:rsidRPr="00906FDC" w:rsidRDefault="00266E32" w:rsidP="002B1A4A">
      <w:pPr>
        <w:spacing w:after="120"/>
        <w:rPr>
          <w:rFonts w:ascii="Calibri" w:hAnsi="Calibri" w:cs="Arial"/>
          <w:b/>
          <w:color w:val="13576B"/>
          <w:sz w:val="36"/>
          <w:szCs w:val="36"/>
        </w:rPr>
      </w:pPr>
      <w:bookmarkStart w:id="0" w:name="_Hlk198644776"/>
      <w:bookmarkEnd w:id="0"/>
      <w:r w:rsidRPr="00906FDC">
        <w:rPr>
          <w:rFonts w:ascii="Calibri" w:hAnsi="Calibri" w:cs="Arial"/>
          <w:b/>
          <w:color w:val="13576B"/>
          <w:sz w:val="36"/>
          <w:szCs w:val="36"/>
        </w:rPr>
        <w:t>MAKROEKONOMICKÁ PROGNÓZA ČBA</w:t>
      </w:r>
    </w:p>
    <w:p w14:paraId="2ADD060E" w14:textId="0F7FE82F" w:rsidR="00B22E78" w:rsidRDefault="00B22E78" w:rsidP="00B22E78">
      <w:pPr>
        <w:jc w:val="left"/>
        <w:rPr>
          <w:rFonts w:ascii="Calibri" w:hAnsi="Calibri" w:cs="Arial"/>
          <w:b/>
          <w:color w:val="13576B"/>
          <w:sz w:val="32"/>
          <w:szCs w:val="32"/>
        </w:rPr>
      </w:pPr>
      <w:r>
        <w:rPr>
          <w:rFonts w:ascii="Calibri" w:hAnsi="Calibri" w:cs="Arial"/>
          <w:b/>
          <w:color w:val="13576B"/>
          <w:sz w:val="32"/>
          <w:szCs w:val="32"/>
        </w:rPr>
        <w:t>Srpen</w:t>
      </w:r>
      <w:r w:rsidR="00FF1673">
        <w:rPr>
          <w:rFonts w:ascii="Calibri" w:hAnsi="Calibri" w:cs="Arial"/>
          <w:b/>
          <w:color w:val="13576B"/>
          <w:sz w:val="32"/>
          <w:szCs w:val="32"/>
        </w:rPr>
        <w:t xml:space="preserve"> </w:t>
      </w:r>
      <w:r w:rsidR="000366C2" w:rsidRPr="00906FDC">
        <w:rPr>
          <w:rFonts w:ascii="Calibri" w:hAnsi="Calibri" w:cs="Arial"/>
          <w:b/>
          <w:color w:val="13576B"/>
          <w:sz w:val="32"/>
          <w:szCs w:val="32"/>
        </w:rPr>
        <w:t>20</w:t>
      </w:r>
      <w:r w:rsidR="00335332" w:rsidRPr="00906FDC">
        <w:rPr>
          <w:rFonts w:ascii="Calibri" w:hAnsi="Calibri" w:cs="Arial"/>
          <w:b/>
          <w:color w:val="13576B"/>
          <w:sz w:val="32"/>
          <w:szCs w:val="32"/>
        </w:rPr>
        <w:t>2</w:t>
      </w:r>
      <w:r w:rsidR="003503ED">
        <w:rPr>
          <w:rFonts w:ascii="Calibri" w:hAnsi="Calibri" w:cs="Arial"/>
          <w:b/>
          <w:color w:val="13576B"/>
          <w:sz w:val="32"/>
          <w:szCs w:val="32"/>
        </w:rPr>
        <w:t>5</w:t>
      </w:r>
      <w:r w:rsidR="000366C2" w:rsidRPr="00906FDC">
        <w:rPr>
          <w:rFonts w:ascii="Calibri" w:hAnsi="Calibri" w:cs="Arial"/>
          <w:b/>
          <w:color w:val="13576B"/>
          <w:sz w:val="32"/>
          <w:szCs w:val="32"/>
        </w:rPr>
        <w:t xml:space="preserve">: </w:t>
      </w:r>
      <w:r w:rsidRPr="00B22E78">
        <w:rPr>
          <w:rFonts w:ascii="Calibri" w:hAnsi="Calibri" w:cs="Arial"/>
          <w:b/>
          <w:color w:val="13576B"/>
          <w:sz w:val="32"/>
          <w:szCs w:val="32"/>
        </w:rPr>
        <w:t>ČBA</w:t>
      </w:r>
      <w:r>
        <w:rPr>
          <w:rFonts w:ascii="Calibri" w:hAnsi="Calibri" w:cs="Arial"/>
          <w:b/>
          <w:color w:val="13576B"/>
          <w:sz w:val="32"/>
          <w:szCs w:val="32"/>
        </w:rPr>
        <w:t xml:space="preserve"> zlepšila výhled na českou ekonomiku. </w:t>
      </w:r>
    </w:p>
    <w:p w14:paraId="3719106D" w14:textId="5F6121BA" w:rsidR="00B22E78" w:rsidRDefault="00B22E78" w:rsidP="00B22E78">
      <w:pPr>
        <w:spacing w:after="120"/>
        <w:jc w:val="left"/>
        <w:rPr>
          <w:rFonts w:ascii="Calibri" w:hAnsi="Calibri" w:cs="Arial"/>
          <w:b/>
          <w:color w:val="13576B"/>
          <w:sz w:val="32"/>
          <w:szCs w:val="32"/>
        </w:rPr>
      </w:pPr>
      <w:r>
        <w:rPr>
          <w:rFonts w:ascii="Calibri" w:hAnsi="Calibri" w:cs="Arial"/>
          <w:b/>
          <w:color w:val="13576B"/>
          <w:sz w:val="32"/>
          <w:szCs w:val="32"/>
        </w:rPr>
        <w:t xml:space="preserve">Růst o </w:t>
      </w:r>
      <w:r w:rsidRPr="00B22E78">
        <w:rPr>
          <w:rFonts w:ascii="Calibri" w:hAnsi="Calibri" w:cs="Arial"/>
          <w:b/>
          <w:color w:val="13576B"/>
          <w:sz w:val="32"/>
          <w:szCs w:val="32"/>
        </w:rPr>
        <w:t>2,1 % potvrzuje odolnost</w:t>
      </w:r>
      <w:r>
        <w:rPr>
          <w:rFonts w:ascii="Calibri" w:hAnsi="Calibri" w:cs="Arial"/>
          <w:b/>
          <w:color w:val="13576B"/>
          <w:sz w:val="32"/>
          <w:szCs w:val="32"/>
        </w:rPr>
        <w:t xml:space="preserve"> a m</w:t>
      </w:r>
      <w:r w:rsidRPr="00B22E78">
        <w:rPr>
          <w:rFonts w:ascii="Calibri" w:hAnsi="Calibri" w:cs="Arial"/>
          <w:b/>
          <w:color w:val="13576B"/>
          <w:sz w:val="32"/>
          <w:szCs w:val="32"/>
        </w:rPr>
        <w:t xml:space="preserve">írně vyšší inflace </w:t>
      </w:r>
      <w:r w:rsidR="002057D4">
        <w:rPr>
          <w:rFonts w:ascii="Calibri" w:hAnsi="Calibri" w:cs="Arial"/>
          <w:b/>
          <w:color w:val="13576B"/>
          <w:sz w:val="32"/>
          <w:szCs w:val="32"/>
        </w:rPr>
        <w:t>vede k opatrnější</w:t>
      </w:r>
      <w:r w:rsidRPr="00B22E78">
        <w:rPr>
          <w:rFonts w:ascii="Calibri" w:hAnsi="Calibri" w:cs="Arial"/>
          <w:b/>
          <w:color w:val="13576B"/>
          <w:sz w:val="32"/>
          <w:szCs w:val="32"/>
        </w:rPr>
        <w:t xml:space="preserve"> ČNB</w:t>
      </w:r>
      <w:r>
        <w:rPr>
          <w:rFonts w:ascii="Calibri" w:hAnsi="Calibri" w:cs="Arial"/>
          <w:b/>
          <w:color w:val="13576B"/>
          <w:sz w:val="32"/>
          <w:szCs w:val="32"/>
        </w:rPr>
        <w:t>.</w:t>
      </w:r>
    </w:p>
    <w:p w14:paraId="4D558E81" w14:textId="12DDA145" w:rsidR="00B22E78" w:rsidRDefault="00266E32" w:rsidP="00806391">
      <w:pPr>
        <w:spacing w:after="120"/>
        <w:rPr>
          <w:rFonts w:ascii="Calibri" w:hAnsi="Calibri" w:cs="Calibri"/>
          <w:b/>
          <w:color w:val="13576B"/>
          <w:sz w:val="20"/>
        </w:rPr>
      </w:pPr>
      <w:r w:rsidRPr="005C13B0">
        <w:rPr>
          <w:rFonts w:ascii="Calibri" w:hAnsi="Calibri" w:cs="Calibri"/>
          <w:bCs/>
          <w:color w:val="13576B"/>
          <w:sz w:val="20"/>
        </w:rPr>
        <w:t xml:space="preserve">Praha, </w:t>
      </w:r>
      <w:r w:rsidR="009D61B8" w:rsidRPr="005C13B0">
        <w:rPr>
          <w:rFonts w:ascii="Calibri" w:hAnsi="Calibri" w:cs="Calibri"/>
          <w:bCs/>
          <w:color w:val="13576B"/>
          <w:sz w:val="20"/>
        </w:rPr>
        <w:t>2</w:t>
      </w:r>
      <w:r w:rsidR="00806391">
        <w:rPr>
          <w:rFonts w:ascii="Calibri" w:hAnsi="Calibri" w:cs="Calibri"/>
          <w:bCs/>
          <w:color w:val="13576B"/>
          <w:sz w:val="20"/>
        </w:rPr>
        <w:t>0</w:t>
      </w:r>
      <w:r w:rsidRPr="005C13B0">
        <w:rPr>
          <w:rFonts w:ascii="Calibri" w:hAnsi="Calibri" w:cs="Calibri"/>
          <w:bCs/>
          <w:color w:val="13576B"/>
          <w:sz w:val="20"/>
        </w:rPr>
        <w:t xml:space="preserve">. </w:t>
      </w:r>
      <w:r w:rsidR="00806391">
        <w:rPr>
          <w:rFonts w:ascii="Calibri" w:hAnsi="Calibri" w:cs="Calibri"/>
          <w:bCs/>
          <w:color w:val="13576B"/>
          <w:sz w:val="20"/>
        </w:rPr>
        <w:t>srpen</w:t>
      </w:r>
      <w:r w:rsidR="00FF1673" w:rsidRPr="005C13B0">
        <w:rPr>
          <w:rFonts w:ascii="Calibri" w:hAnsi="Calibri" w:cs="Calibri"/>
          <w:bCs/>
          <w:color w:val="13576B"/>
          <w:sz w:val="20"/>
        </w:rPr>
        <w:t xml:space="preserve"> </w:t>
      </w:r>
      <w:r w:rsidRPr="005C13B0">
        <w:rPr>
          <w:rFonts w:ascii="Calibri" w:hAnsi="Calibri" w:cs="Calibri"/>
          <w:bCs/>
          <w:color w:val="13576B"/>
          <w:sz w:val="20"/>
        </w:rPr>
        <w:t>202</w:t>
      </w:r>
      <w:r w:rsidR="003503ED" w:rsidRPr="005C13B0">
        <w:rPr>
          <w:rFonts w:ascii="Calibri" w:hAnsi="Calibri" w:cs="Calibri"/>
          <w:bCs/>
          <w:color w:val="13576B"/>
          <w:sz w:val="20"/>
        </w:rPr>
        <w:t>5</w:t>
      </w:r>
      <w:r w:rsidRPr="00906FDC">
        <w:rPr>
          <w:rFonts w:ascii="Calibri" w:hAnsi="Calibri" w:cs="Calibri"/>
          <w:b/>
          <w:color w:val="13576B"/>
          <w:sz w:val="20"/>
        </w:rPr>
        <w:t xml:space="preserve"> </w:t>
      </w:r>
      <w:r w:rsidRPr="001869EE">
        <w:rPr>
          <w:rFonts w:ascii="Calibri" w:hAnsi="Calibri" w:cs="Calibri"/>
          <w:bCs/>
          <w:color w:val="13576B"/>
          <w:sz w:val="20"/>
        </w:rPr>
        <w:t>–</w:t>
      </w:r>
      <w:bookmarkStart w:id="1" w:name="_Hlk190799464"/>
      <w:r w:rsidR="00B22E78">
        <w:rPr>
          <w:rFonts w:ascii="Calibri" w:hAnsi="Calibri" w:cs="Calibri"/>
          <w:bCs/>
          <w:color w:val="13576B"/>
          <w:sz w:val="20"/>
        </w:rPr>
        <w:t xml:space="preserve"> </w:t>
      </w:r>
      <w:r w:rsidR="00B22E78" w:rsidRPr="00B22E78">
        <w:rPr>
          <w:rFonts w:ascii="Calibri" w:hAnsi="Calibri" w:cs="Calibri"/>
          <w:b/>
          <w:color w:val="13576B"/>
          <w:sz w:val="20"/>
        </w:rPr>
        <w:t xml:space="preserve">Prognostický panel České bankovní asociace (ČBA) sdružující hlavní ekonomy předních českých bank očekává silnější letošní růst tuzemské ekonomiky o 2,1 %, v příštím roce o 2 %. Prognóza tak působí optimističtěji než květnová predikce, která pro letošní rok počítala pouze s 1,7 %. Zlepšení přichází navzdory vyšším 15% americkým clům, </w:t>
      </w:r>
      <w:r w:rsidR="003707A8" w:rsidRPr="00B22E78">
        <w:rPr>
          <w:rFonts w:ascii="Calibri" w:hAnsi="Calibri" w:cs="Calibri"/>
          <w:b/>
          <w:color w:val="13576B"/>
          <w:sz w:val="20"/>
        </w:rPr>
        <w:t>která</w:t>
      </w:r>
      <w:r w:rsidR="00B22E78" w:rsidRPr="00B22E78">
        <w:rPr>
          <w:rFonts w:ascii="Calibri" w:hAnsi="Calibri" w:cs="Calibri"/>
          <w:b/>
          <w:color w:val="13576B"/>
          <w:sz w:val="20"/>
        </w:rPr>
        <w:t xml:space="preserve"> by měl</w:t>
      </w:r>
      <w:r w:rsidR="003707A8">
        <w:rPr>
          <w:rFonts w:ascii="Calibri" w:hAnsi="Calibri" w:cs="Calibri"/>
          <w:b/>
          <w:color w:val="13576B"/>
          <w:sz w:val="20"/>
        </w:rPr>
        <w:t>a</w:t>
      </w:r>
      <w:r w:rsidR="00B22E78" w:rsidRPr="00B22E78">
        <w:rPr>
          <w:rFonts w:ascii="Calibri" w:hAnsi="Calibri" w:cs="Calibri"/>
          <w:b/>
          <w:color w:val="13576B"/>
          <w:sz w:val="20"/>
        </w:rPr>
        <w:t xml:space="preserve"> zůstat v platnosti i v roce 2026. Do predikce se sice nadále výrazně propisuje dopad obchodních válek, které podle ankety ČBA v letech 2025 a 2026 ukousnou z českého HDP 0,6% bodu, ovšem méně než v květnovém konsensu s -0,8% body. </w:t>
      </w:r>
    </w:p>
    <w:p w14:paraId="6648C5AD" w14:textId="77777777" w:rsidR="00B22E78" w:rsidRPr="00B22E78" w:rsidRDefault="00B22E78" w:rsidP="00806391">
      <w:pPr>
        <w:spacing w:after="120"/>
        <w:rPr>
          <w:rFonts w:ascii="Calibri" w:hAnsi="Calibri" w:cs="Calibri"/>
          <w:bCs/>
          <w:color w:val="13576B"/>
          <w:sz w:val="20"/>
        </w:rPr>
      </w:pPr>
      <w:r w:rsidRPr="00B22E78">
        <w:rPr>
          <w:rFonts w:ascii="Calibri" w:hAnsi="Calibri" w:cs="Calibri"/>
          <w:b/>
          <w:color w:val="13576B"/>
          <w:sz w:val="20"/>
        </w:rPr>
        <w:t>Lepší prognóza ČBA se opírá o: 1) silnější výhled na exportní aktivitu podpořený zahraniční poptávkou</w:t>
      </w:r>
      <w:r w:rsidRPr="00B22E78">
        <w:rPr>
          <w:rFonts w:ascii="Calibri" w:hAnsi="Calibri" w:cs="Calibri"/>
          <w:bCs/>
          <w:color w:val="13576B"/>
          <w:sz w:val="20"/>
        </w:rPr>
        <w:t>, která napomáhá vyvažovat negativní dopady z celních válek ve druhé polovině letošního roku, kdy pravděpodobně rovněž poleví efekt silnějších exportů do USA z důvodu předzásobení v předchozích kvartálech;</w:t>
      </w:r>
      <w:r w:rsidRPr="00B22E78">
        <w:rPr>
          <w:rFonts w:ascii="Calibri" w:hAnsi="Calibri" w:cs="Calibri"/>
          <w:b/>
          <w:color w:val="13576B"/>
          <w:sz w:val="20"/>
        </w:rPr>
        <w:t xml:space="preserve"> 2) lepší počáteční stav ekonomiky </w:t>
      </w:r>
      <w:r w:rsidRPr="00B22E78">
        <w:rPr>
          <w:rFonts w:ascii="Calibri" w:hAnsi="Calibri" w:cs="Calibri"/>
          <w:bCs/>
          <w:color w:val="13576B"/>
          <w:sz w:val="20"/>
        </w:rPr>
        <w:t xml:space="preserve">(včetně očekávané mírné pozitivní revize HDP za druhé čtvrtletí) doprovázený i nepatrně silnější úrovní reálné mzdy. A to navzdory mírně vyšší predikci letošní 2,5% spotřebitelské inflace, která ovšem v roce 2026 s odhadovaným meziročním růstem 2,2 % směřuje blíže ke středu inflačního cíle centrální banky. </w:t>
      </w:r>
    </w:p>
    <w:p w14:paraId="10D45D62" w14:textId="5B809E52" w:rsidR="00B22E78" w:rsidRPr="00B22E78" w:rsidRDefault="00B22E78" w:rsidP="00806391">
      <w:pPr>
        <w:spacing w:after="120"/>
        <w:rPr>
          <w:rFonts w:ascii="Calibri" w:hAnsi="Calibri" w:cs="Calibri"/>
          <w:bCs/>
          <w:color w:val="13576B"/>
          <w:sz w:val="20"/>
        </w:rPr>
      </w:pPr>
      <w:r w:rsidRPr="00B22E78">
        <w:rPr>
          <w:rFonts w:ascii="Calibri" w:hAnsi="Calibri" w:cs="Calibri"/>
          <w:b/>
          <w:color w:val="13576B"/>
          <w:sz w:val="20"/>
        </w:rPr>
        <w:t>Prognóza ČBA proto nadále vyhlíží opatrné snížení úrokové sazby ČNB na 3,25 % v prvním čtvrtletí 2026</w:t>
      </w:r>
      <w:r w:rsidRPr="00B22E78">
        <w:rPr>
          <w:rFonts w:ascii="Calibri" w:hAnsi="Calibri" w:cs="Calibri"/>
          <w:bCs/>
          <w:color w:val="13576B"/>
          <w:sz w:val="20"/>
        </w:rPr>
        <w:t xml:space="preserve">, také díky silnější koruně a nižší úrokové sazbě ECB a měnové politice Fedu. Nicméně výhled na sazbu ČNB je o čtvrt procentního bodu vyšší než v květnové predikci. To společně se stabilním výhledem na nižší sazbu ECB a na robustnější exportní aktivitu vede k očekávání mírně silnější koruny vůči euru (24,6 na konci roku 2026). Zvážíme-li rozptyl prognóz růstu české ekonomiky a spotřebitelských cen mezi panelisty a jejich pohled na měnovou politiku ČNB, lze konstatovat, že výhled na úrokovou sazbu ČNB je spojen s rizikem nepatrně většího snížení na 3 % v roce 2026 než s jejich stabilitou na 3,5% úrovni. </w:t>
      </w:r>
    </w:p>
    <w:p w14:paraId="2D576D60" w14:textId="704689DA" w:rsidR="00B22E78" w:rsidRDefault="00B22E78" w:rsidP="00806391">
      <w:pPr>
        <w:spacing w:after="120"/>
        <w:rPr>
          <w:rFonts w:ascii="Calibri" w:hAnsi="Calibri" w:cs="Calibri"/>
          <w:bCs/>
          <w:color w:val="13576B"/>
          <w:sz w:val="20"/>
        </w:rPr>
      </w:pPr>
      <w:r w:rsidRPr="00B22E78">
        <w:rPr>
          <w:rFonts w:ascii="Calibri" w:hAnsi="Calibri" w:cs="Calibri"/>
          <w:b/>
          <w:color w:val="13576B"/>
          <w:sz w:val="20"/>
        </w:rPr>
        <w:t xml:space="preserve">Ovšem na druhou stranu prognóza ČBA předpokládá stabilizaci veřejných deficitů lehce nad dvěma procenty HDP, což bude vyžadovat dodatečné úspory. </w:t>
      </w:r>
      <w:r w:rsidRPr="00B22E78">
        <w:rPr>
          <w:rFonts w:ascii="Calibri" w:hAnsi="Calibri" w:cs="Calibri"/>
          <w:bCs/>
          <w:color w:val="13576B"/>
          <w:sz w:val="20"/>
        </w:rPr>
        <w:t>Případné výraznější uvolnění fiskální politiky po letošních volbách, s tím spojené vyšší inflační tlaky kvůli silnějšímu růstu ekonomiky, tak naopak představuje opačné riziko pro výhled na úrokovou sazbu ČNB. Solidní a rezistentní růstová trajektorie české ekonomiky vede v letošním roce k částečnému zlepšení jejího postcovidové</w:t>
      </w:r>
      <w:r w:rsidR="00CF750C">
        <w:rPr>
          <w:rFonts w:ascii="Calibri" w:hAnsi="Calibri" w:cs="Calibri"/>
          <w:bCs/>
          <w:color w:val="13576B"/>
          <w:sz w:val="20"/>
        </w:rPr>
        <w:t>ho</w:t>
      </w:r>
      <w:r w:rsidRPr="00B22E78">
        <w:rPr>
          <w:rFonts w:ascii="Calibri" w:hAnsi="Calibri" w:cs="Calibri"/>
          <w:bCs/>
          <w:color w:val="13576B"/>
          <w:sz w:val="20"/>
        </w:rPr>
        <w:t xml:space="preserve"> oživení ve střední Evropě. To navíc v české ekonomice nyní probíhá s nižší inflací, nižšími úroky a menším fiskálním deficitem. Prognóza předjímá mírnější zpomalení úvěrové dynamiky se strukturou odrážející složení růstu české ekonomiky.</w:t>
      </w:r>
    </w:p>
    <w:p w14:paraId="2B86495A" w14:textId="2059DB51" w:rsidR="00B22E78" w:rsidRDefault="00B22E78" w:rsidP="00B22E78">
      <w:pPr>
        <w:spacing w:after="120"/>
        <w:jc w:val="left"/>
        <w:rPr>
          <w:rFonts w:ascii="Calibri" w:hAnsi="Calibri" w:cs="Calibri"/>
          <w:b/>
          <w:color w:val="13576B"/>
          <w:sz w:val="20"/>
        </w:rPr>
      </w:pPr>
      <w:r w:rsidRPr="00B22E78">
        <w:rPr>
          <w:rFonts w:ascii="Calibri" w:hAnsi="Calibri" w:cs="Calibri"/>
          <w:b/>
          <w:noProof/>
          <w:color w:val="13576B"/>
          <w:sz w:val="20"/>
        </w:rPr>
        <w:drawing>
          <wp:inline distT="0" distB="0" distL="0" distR="0" wp14:anchorId="323F87FF" wp14:editId="5DB43215">
            <wp:extent cx="6479540" cy="2863850"/>
            <wp:effectExtent l="0" t="0" r="0" b="0"/>
            <wp:docPr id="1503258540"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58540" name="Picture 1" descr="A blue square with white text&#10;&#10;AI-generated content may be incorrect."/>
                    <pic:cNvPicPr/>
                  </pic:nvPicPr>
                  <pic:blipFill>
                    <a:blip r:embed="rId8"/>
                    <a:stretch>
                      <a:fillRect/>
                    </a:stretch>
                  </pic:blipFill>
                  <pic:spPr>
                    <a:xfrm>
                      <a:off x="0" y="0"/>
                      <a:ext cx="6479540" cy="2863850"/>
                    </a:xfrm>
                    <a:prstGeom prst="rect">
                      <a:avLst/>
                    </a:prstGeom>
                  </pic:spPr>
                </pic:pic>
              </a:graphicData>
            </a:graphic>
          </wp:inline>
        </w:drawing>
      </w:r>
    </w:p>
    <w:bookmarkEnd w:id="1"/>
    <w:p w14:paraId="0E80695B" w14:textId="77DD365C" w:rsidR="00B22E78" w:rsidRPr="00B22E78" w:rsidRDefault="00B22E78" w:rsidP="00222AA1">
      <w:pPr>
        <w:pStyle w:val="Normlnweb"/>
        <w:spacing w:before="0" w:beforeAutospacing="0" w:after="0" w:afterAutospacing="0"/>
        <w:jc w:val="both"/>
        <w:rPr>
          <w:rFonts w:ascii="Calibri" w:hAnsi="Calibri" w:cs="Calibri"/>
          <w:bCs/>
          <w:color w:val="000000" w:themeColor="text1"/>
          <w:sz w:val="20"/>
        </w:rPr>
      </w:pPr>
      <w:r w:rsidRPr="00806391">
        <w:rPr>
          <w:rFonts w:ascii="Calibri" w:hAnsi="Calibri" w:cs="Calibri"/>
          <w:b/>
          <w:color w:val="13576B"/>
          <w:sz w:val="22"/>
          <w:szCs w:val="28"/>
        </w:rPr>
        <w:lastRenderedPageBreak/>
        <w:t>Anketa ČBA: Vyšší 15% americká cla sníží v letech 2025 až 2026 české HDP o 0,6% bodu.</w:t>
      </w:r>
      <w:r w:rsidRPr="00B22E78">
        <w:rPr>
          <w:rFonts w:ascii="Calibri" w:hAnsi="Calibri" w:cs="Calibri"/>
          <w:b/>
          <w:color w:val="000000" w:themeColor="text1"/>
          <w:sz w:val="20"/>
        </w:rPr>
        <w:t xml:space="preserve"> </w:t>
      </w:r>
      <w:r w:rsidRPr="00B22E78">
        <w:rPr>
          <w:rFonts w:ascii="Calibri" w:hAnsi="Calibri" w:cs="Calibri"/>
          <w:bCs/>
          <w:color w:val="000000" w:themeColor="text1"/>
          <w:sz w:val="20"/>
        </w:rPr>
        <w:t xml:space="preserve">Jelikož obchodní války Trumpovy administrativy doznaly dalšího vývoje, opět jsme se na toto téma zaměřili v naší anketě mezi panelisty prognózy. </w:t>
      </w:r>
    </w:p>
    <w:p w14:paraId="6F566E6B" w14:textId="2AAB9C3A" w:rsidR="00B22E78" w:rsidRPr="00B22E78" w:rsidRDefault="00B22E78" w:rsidP="00222AA1">
      <w:pPr>
        <w:pStyle w:val="Normlnweb"/>
        <w:spacing w:before="0" w:beforeAutospacing="0" w:after="0" w:afterAutospacing="0"/>
        <w:jc w:val="both"/>
        <w:rPr>
          <w:rFonts w:ascii="Calibri" w:hAnsi="Calibri" w:cs="Calibri"/>
          <w:bCs/>
          <w:color w:val="000000" w:themeColor="text1"/>
          <w:sz w:val="20"/>
        </w:rPr>
      </w:pPr>
      <w:r w:rsidRPr="00B22E78">
        <w:rPr>
          <w:rFonts w:ascii="Calibri" w:hAnsi="Calibri" w:cs="Calibri"/>
          <w:b/>
          <w:color w:val="000000" w:themeColor="text1"/>
          <w:sz w:val="20"/>
        </w:rPr>
        <w:t>Za prvé, konsensus předpokládá americká cla na evropské dovozy v roce 2026 na průměrné úrovni okolo 15 %</w:t>
      </w:r>
      <w:r w:rsidRPr="00B22E78">
        <w:rPr>
          <w:rFonts w:ascii="Calibri" w:hAnsi="Calibri" w:cs="Calibri"/>
          <w:bCs/>
          <w:color w:val="000000" w:themeColor="text1"/>
          <w:sz w:val="20"/>
        </w:rPr>
        <w:t xml:space="preserve"> (a výše pro vybrané segmenty: ocel, hliník, případně farmacie). Pouze necelá čtvrtina respondentů očekává pozitivní vývoj ve vyjednávání snižující efektivní sazbu na 10 %. V květnu byl konsensuální předpoklad 12% efektivního cla. </w:t>
      </w:r>
    </w:p>
    <w:p w14:paraId="61D6FF12" w14:textId="77777777" w:rsidR="00B22E78" w:rsidRPr="00B22E78" w:rsidRDefault="00B22E78" w:rsidP="00222AA1">
      <w:pPr>
        <w:pStyle w:val="Normlnweb"/>
        <w:spacing w:before="0" w:beforeAutospacing="0" w:after="0" w:afterAutospacing="0"/>
        <w:jc w:val="both"/>
        <w:rPr>
          <w:rFonts w:ascii="Calibri" w:hAnsi="Calibri" w:cs="Calibri"/>
          <w:bCs/>
          <w:color w:val="000000" w:themeColor="text1"/>
          <w:sz w:val="20"/>
        </w:rPr>
      </w:pPr>
      <w:r w:rsidRPr="00B22E78">
        <w:rPr>
          <w:rFonts w:ascii="Calibri" w:hAnsi="Calibri" w:cs="Calibri"/>
          <w:b/>
          <w:color w:val="000000" w:themeColor="text1"/>
          <w:sz w:val="20"/>
        </w:rPr>
        <w:t>Za druhé, během let 2025 a 2026 zpomalí celní války reálný růst české ekonomiky celkově o 0,6% bodu</w:t>
      </w:r>
      <w:r w:rsidRPr="00B22E78">
        <w:rPr>
          <w:rFonts w:ascii="Calibri" w:hAnsi="Calibri" w:cs="Calibri"/>
          <w:bCs/>
          <w:color w:val="000000" w:themeColor="text1"/>
          <w:sz w:val="20"/>
        </w:rPr>
        <w:t xml:space="preserve">, přičemž polovina odpovědí se pohybuje v rozmezí -0,5 až -0,75% bodu. Tento odhad je mírnější než květnových -0,8% bodu navzdory vyšší celkové celní sazbě díky nižším clům na automobily. </w:t>
      </w:r>
    </w:p>
    <w:p w14:paraId="1023B9AA" w14:textId="3CE16898" w:rsidR="00B22E78" w:rsidRPr="00B22E78" w:rsidRDefault="00B22E78" w:rsidP="00806391">
      <w:pPr>
        <w:pStyle w:val="Normlnweb"/>
        <w:spacing w:before="0" w:beforeAutospacing="0" w:after="120" w:afterAutospacing="0"/>
        <w:jc w:val="both"/>
        <w:rPr>
          <w:rFonts w:ascii="Calibri" w:hAnsi="Calibri" w:cs="Calibri"/>
          <w:bCs/>
          <w:color w:val="000000" w:themeColor="text1"/>
          <w:sz w:val="20"/>
        </w:rPr>
      </w:pPr>
      <w:r w:rsidRPr="00B22E78">
        <w:rPr>
          <w:rFonts w:ascii="Calibri" w:hAnsi="Calibri" w:cs="Calibri"/>
          <w:b/>
          <w:color w:val="000000" w:themeColor="text1"/>
          <w:sz w:val="20"/>
        </w:rPr>
        <w:t>Za třetí, pouze čtvrtina respondentů (v květnu to byla polovina) předpokládá dodatečný desinflační tlak na české ceny</w:t>
      </w:r>
      <w:r w:rsidRPr="00B22E78">
        <w:rPr>
          <w:rFonts w:ascii="Calibri" w:hAnsi="Calibri" w:cs="Calibri"/>
          <w:bCs/>
          <w:color w:val="000000" w:themeColor="text1"/>
          <w:sz w:val="20"/>
        </w:rPr>
        <w:t xml:space="preserve"> z americko-čínských obchodních válek, do čehož se pravděpodobně promítá deeskalace celních válek i na této frontě. </w:t>
      </w:r>
    </w:p>
    <w:p w14:paraId="459678DD" w14:textId="77777777" w:rsidR="00B22E78" w:rsidRDefault="00B22E78" w:rsidP="00B22E78">
      <w:pPr>
        <w:pStyle w:val="Normlnweb"/>
        <w:spacing w:before="0" w:beforeAutospacing="0" w:after="120" w:afterAutospacing="0"/>
        <w:rPr>
          <w:rFonts w:ascii="Calibri" w:hAnsi="Calibri" w:cs="Calibri"/>
          <w:b/>
          <w:color w:val="13576B"/>
          <w:sz w:val="22"/>
          <w:szCs w:val="28"/>
        </w:rPr>
      </w:pPr>
      <w:r w:rsidRPr="00B22E78">
        <w:rPr>
          <w:rFonts w:ascii="Calibri" w:hAnsi="Calibri" w:cs="Calibri"/>
          <w:b/>
          <w:color w:val="13576B"/>
          <w:sz w:val="22"/>
          <w:szCs w:val="28"/>
        </w:rPr>
        <w:t>Americká cla přináší nejistotu do síly oživení české ekonomiky ve druhém letošním pololetí</w:t>
      </w:r>
    </w:p>
    <w:p w14:paraId="07A58A29" w14:textId="46BB9778" w:rsidR="00B22E78" w:rsidRPr="00B22E78" w:rsidRDefault="00B22E78" w:rsidP="00B22E78">
      <w:pPr>
        <w:pStyle w:val="Normlnweb"/>
        <w:spacing w:before="0" w:beforeAutospacing="0" w:after="120" w:afterAutospacing="0"/>
        <w:rPr>
          <w:rFonts w:ascii="Calibri" w:hAnsi="Calibri" w:cs="Calibri"/>
          <w:b/>
          <w:color w:val="13576B"/>
          <w:sz w:val="22"/>
          <w:szCs w:val="28"/>
        </w:rPr>
      </w:pPr>
      <w:r w:rsidRPr="00B22E78">
        <w:rPr>
          <w:rFonts w:ascii="Calibri" w:hAnsi="Calibri" w:cs="Calibri"/>
          <w:b/>
          <w:noProof/>
          <w:color w:val="13576B"/>
          <w:sz w:val="22"/>
          <w:szCs w:val="28"/>
        </w:rPr>
        <w:drawing>
          <wp:inline distT="0" distB="0" distL="0" distR="0" wp14:anchorId="5411689D" wp14:editId="75B26767">
            <wp:extent cx="3257550" cy="2227672"/>
            <wp:effectExtent l="0" t="0" r="0" b="1270"/>
            <wp:docPr id="16903838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2967" cy="2231376"/>
                    </a:xfrm>
                    <a:prstGeom prst="rect">
                      <a:avLst/>
                    </a:prstGeom>
                    <a:noFill/>
                    <a:ln>
                      <a:noFill/>
                    </a:ln>
                  </pic:spPr>
                </pic:pic>
              </a:graphicData>
            </a:graphic>
          </wp:inline>
        </w:drawing>
      </w:r>
      <w:r>
        <w:rPr>
          <w:rFonts w:ascii="Calibri" w:hAnsi="Calibri" w:cs="Calibri"/>
          <w:b/>
          <w:color w:val="13576B"/>
          <w:sz w:val="22"/>
          <w:szCs w:val="28"/>
        </w:rPr>
        <w:t xml:space="preserve">  </w:t>
      </w:r>
      <w:r>
        <w:rPr>
          <w:noProof/>
        </w:rPr>
        <w:drawing>
          <wp:inline distT="0" distB="0" distL="0" distR="0" wp14:anchorId="25AEBFA5" wp14:editId="78CFB93B">
            <wp:extent cx="3080069" cy="2165985"/>
            <wp:effectExtent l="0" t="0" r="6350" b="5715"/>
            <wp:docPr id="1343880955" name="Picture 1"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80955" name="Picture 1" descr="A graph with red and blue lines&#10;&#10;AI-generated content may be incorrect."/>
                    <pic:cNvPicPr/>
                  </pic:nvPicPr>
                  <pic:blipFill>
                    <a:blip r:embed="rId10"/>
                    <a:stretch>
                      <a:fillRect/>
                    </a:stretch>
                  </pic:blipFill>
                  <pic:spPr>
                    <a:xfrm>
                      <a:off x="0" y="0"/>
                      <a:ext cx="3089154" cy="2172374"/>
                    </a:xfrm>
                    <a:prstGeom prst="rect">
                      <a:avLst/>
                    </a:prstGeom>
                  </pic:spPr>
                </pic:pic>
              </a:graphicData>
            </a:graphic>
          </wp:inline>
        </w:drawing>
      </w:r>
    </w:p>
    <w:p w14:paraId="45CB5CDF" w14:textId="77777777" w:rsidR="00B22E78" w:rsidRDefault="00B22E78" w:rsidP="00B22E78">
      <w:pPr>
        <w:spacing w:after="120"/>
        <w:rPr>
          <w:rFonts w:ascii="Calibri" w:hAnsi="Calibri" w:cs="Calibri"/>
          <w:bCs/>
          <w:color w:val="13576B"/>
          <w:szCs w:val="18"/>
        </w:rPr>
      </w:pPr>
      <w:r w:rsidRPr="00B22E78">
        <w:rPr>
          <w:rFonts w:ascii="Calibri" w:hAnsi="Calibri" w:cs="Calibri"/>
          <w:bCs/>
          <w:color w:val="13576B"/>
          <w:szCs w:val="18"/>
        </w:rPr>
        <w:t xml:space="preserve">Pramen: Prognóza ČBA </w:t>
      </w:r>
    </w:p>
    <w:p w14:paraId="74ED9F94" w14:textId="149532A4" w:rsidR="00B22E78" w:rsidRPr="00B22E78" w:rsidRDefault="00B22E78" w:rsidP="00B22E78">
      <w:pPr>
        <w:spacing w:after="120"/>
        <w:rPr>
          <w:rFonts w:ascii="Calibri" w:eastAsia="Calibri" w:hAnsi="Calibri" w:cs="Calibri"/>
          <w:b/>
          <w:color w:val="13576B"/>
          <w:sz w:val="20"/>
          <w:szCs w:val="24"/>
        </w:rPr>
      </w:pPr>
      <w:r w:rsidRPr="00806391">
        <w:rPr>
          <w:rFonts w:ascii="Calibri" w:eastAsia="Calibri" w:hAnsi="Calibri" w:cs="Calibri"/>
          <w:b/>
          <w:color w:val="13576B"/>
          <w:sz w:val="22"/>
          <w:szCs w:val="28"/>
        </w:rPr>
        <w:t>Výhled zůstává opředen nejistotami</w:t>
      </w:r>
    </w:p>
    <w:p w14:paraId="5B0FD911" w14:textId="77777777" w:rsidR="00B22E78" w:rsidRPr="00B22E78" w:rsidRDefault="00B22E78" w:rsidP="00806391">
      <w:pPr>
        <w:pStyle w:val="Normlnweb"/>
        <w:spacing w:before="0" w:beforeAutospacing="0" w:after="120" w:afterAutospacing="0"/>
        <w:jc w:val="both"/>
        <w:rPr>
          <w:rFonts w:ascii="Calibri" w:hAnsi="Calibri" w:cs="Calibri"/>
          <w:bCs/>
          <w:color w:val="000000" w:themeColor="text1"/>
          <w:sz w:val="20"/>
        </w:rPr>
      </w:pPr>
      <w:r w:rsidRPr="00B22E78">
        <w:rPr>
          <w:rFonts w:ascii="Calibri" w:hAnsi="Calibri" w:cs="Calibri"/>
          <w:b/>
          <w:color w:val="000000" w:themeColor="text1"/>
          <w:sz w:val="20"/>
        </w:rPr>
        <w:t xml:space="preserve">První nejistotou zůstává dopad celních válek na českou ekonomiku. </w:t>
      </w:r>
      <w:r w:rsidRPr="00B22E78">
        <w:rPr>
          <w:rFonts w:ascii="Calibri" w:hAnsi="Calibri" w:cs="Calibri"/>
          <w:bCs/>
          <w:color w:val="000000" w:themeColor="text1"/>
          <w:sz w:val="20"/>
        </w:rPr>
        <w:t xml:space="preserve">To se zvláště promítá do mírnějšího očekávaného oživení ekonomiky, a to především ve druhé polovině letošního roku (v průměru o 0,35 % mezikvartálně), které je spjato s nejvyšší mírou nejistoty. Na druhou stranu na horizontu predikce předpokládáme stabilizaci výhledu na růst české ekonomiky o 0,7 % mezikvartálně ve druhé polovině roku 2026. Nejistota síly oživení ekonomiky v letošním druhém pololetí může zamíchat kartami ohledně návratu spotřebitelské inflace k cíli v roce 2026, a to oběma směry. To by se projevilo (ovšem pravděpodobně asymetricky) i do odlišného nastavení úrokové politiky ČNB (dodatečné snížení úrokové sazby vs. více jestřábí komunikace). Mezi nejistoty vnějšího prostředí lze nadále zařadit i německý fiskální balíček, jeho realizaci a dopad na českou ekonomiku. </w:t>
      </w:r>
    </w:p>
    <w:p w14:paraId="019978FD" w14:textId="0F4179CB" w:rsidR="00806391" w:rsidRPr="00B22E78" w:rsidRDefault="00222AA1" w:rsidP="00806391">
      <w:pPr>
        <w:pStyle w:val="Normlnweb"/>
        <w:spacing w:before="0" w:beforeAutospacing="0" w:after="120" w:afterAutospacing="0"/>
        <w:jc w:val="both"/>
        <w:rPr>
          <w:rFonts w:ascii="Calibri" w:hAnsi="Calibri" w:cs="Calibri"/>
          <w:bCs/>
          <w:color w:val="000000" w:themeColor="text1"/>
          <w:sz w:val="20"/>
        </w:rPr>
      </w:pPr>
      <w:r w:rsidRPr="003503ED">
        <w:rPr>
          <w:b/>
          <w:bCs/>
          <w:noProof/>
          <w:color w:val="FF0000"/>
          <w:sz w:val="20"/>
        </w:rPr>
        <mc:AlternateContent>
          <mc:Choice Requires="wps">
            <w:drawing>
              <wp:anchor distT="45720" distB="45720" distL="114300" distR="114300" simplePos="0" relativeHeight="251664384" behindDoc="0" locked="0" layoutInCell="1" allowOverlap="1" wp14:anchorId="34F686A2" wp14:editId="1F82B3FC">
                <wp:simplePos x="0" y="0"/>
                <wp:positionH relativeFrom="margin">
                  <wp:posOffset>2540</wp:posOffset>
                </wp:positionH>
                <wp:positionV relativeFrom="paragraph">
                  <wp:posOffset>676910</wp:posOffset>
                </wp:positionV>
                <wp:extent cx="6461760" cy="742950"/>
                <wp:effectExtent l="0" t="0" r="15240" b="19050"/>
                <wp:wrapSquare wrapText="bothSides"/>
                <wp:docPr id="685001379"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42950"/>
                        </a:xfrm>
                        <a:prstGeom prst="rect">
                          <a:avLst/>
                        </a:prstGeom>
                        <a:solidFill>
                          <a:srgbClr val="FFFFFF"/>
                        </a:solidFill>
                        <a:ln w="9525">
                          <a:solidFill>
                            <a:srgbClr val="000000"/>
                          </a:solidFill>
                          <a:miter lim="800000"/>
                          <a:headEnd/>
                          <a:tailEnd/>
                        </a:ln>
                      </wps:spPr>
                      <wps:txbx>
                        <w:txbxContent>
                          <w:p w14:paraId="39209AF2" w14:textId="02F274B4" w:rsidR="00806391" w:rsidRDefault="00222AA1" w:rsidP="00806391">
                            <w:pPr>
                              <w:rPr>
                                <w:rFonts w:ascii="Calibri" w:hAnsi="Calibri" w:cs="Calibri"/>
                                <w:b/>
                                <w:bCs/>
                                <w:sz w:val="20"/>
                              </w:rPr>
                            </w:pPr>
                            <w:r w:rsidRPr="00222AA1">
                              <w:rPr>
                                <w:rFonts w:ascii="Calibri" w:hAnsi="Calibri" w:cs="Calibri"/>
                                <w:b/>
                                <w:bCs/>
                                <w:sz w:val="20"/>
                              </w:rPr>
                              <w:t>Michal Skořepa, makroekonomický analytik České spořitelny</w:t>
                            </w:r>
                            <w:r w:rsidR="00806391">
                              <w:rPr>
                                <w:rFonts w:ascii="Calibri" w:hAnsi="Calibri" w:cs="Calibri"/>
                                <w:b/>
                                <w:bCs/>
                                <w:sz w:val="20"/>
                              </w:rPr>
                              <w:t xml:space="preserve">:  </w:t>
                            </w:r>
                          </w:p>
                          <w:p w14:paraId="32E51932" w14:textId="3B7539A4" w:rsidR="00806391" w:rsidRPr="0035275E" w:rsidRDefault="00806391" w:rsidP="00806391">
                            <w:pPr>
                              <w:rPr>
                                <w:rFonts w:ascii="Calibri" w:hAnsi="Calibri" w:cs="Calibri"/>
                                <w:i/>
                                <w:iCs/>
                                <w:color w:val="000000" w:themeColor="text1"/>
                                <w:sz w:val="20"/>
                              </w:rPr>
                            </w:pPr>
                            <w:r>
                              <w:rPr>
                                <w:rFonts w:ascii="Calibri" w:hAnsi="Calibri" w:cs="Calibri"/>
                                <w:i/>
                                <w:iCs/>
                                <w:sz w:val="20"/>
                              </w:rPr>
                              <w:t>„</w:t>
                            </w:r>
                            <w:r w:rsidR="00222AA1" w:rsidRPr="00222AA1">
                              <w:rPr>
                                <w:rFonts w:ascii="Calibri" w:hAnsi="Calibri" w:cs="Calibri"/>
                                <w:i/>
                                <w:iCs/>
                                <w:color w:val="000000" w:themeColor="text1"/>
                                <w:sz w:val="20"/>
                              </w:rPr>
                              <w:t>Náš panel očekává setrvání deficitu veřejných financí v tomto i příštím roce mírně nad dvěma procenty HDP a jen velmi pozvolné zvyšování míry zadlužení Česka směrem k hladině 45 procent HDP. V tomto smyslu tak předpokládá, že vláda vzešlá z blížících se parlamentních voleb nezavede českou fiskální politiku na zřetelně neudržitelnou cestu</w:t>
                            </w:r>
                            <w:r>
                              <w:rPr>
                                <w:rFonts w:ascii="Calibri" w:hAnsi="Calibri" w:cs="Calibri"/>
                                <w:i/>
                                <w:iCs/>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686A2" id="_x0000_t202" coordsize="21600,21600" o:spt="202" path="m,l,21600r21600,l21600,xe">
                <v:stroke joinstyle="miter"/>
                <v:path gradientshapeok="t" o:connecttype="rect"/>
              </v:shapetype>
              <v:shape id="Textové pole 6" o:spid="_x0000_s1026" type="#_x0000_t202" style="position:absolute;left:0;text-align:left;margin-left:.2pt;margin-top:53.3pt;width:508.8pt;height:5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">
                <v:textbox>
                  <w:txbxContent>
                    <w:p w14:paraId="39209AF2" w14:textId="02F274B4" w:rsidR="00806391" w:rsidRDefault="00222AA1" w:rsidP="00806391">
                      <w:pPr>
                        <w:rPr>
                          <w:rFonts w:ascii="Calibri" w:hAnsi="Calibri" w:cs="Calibri"/>
                          <w:b/>
                          <w:bCs/>
                          <w:sz w:val="20"/>
                        </w:rPr>
                      </w:pPr>
                      <w:r w:rsidRPr="00222AA1">
                        <w:rPr>
                          <w:rFonts w:ascii="Calibri" w:hAnsi="Calibri" w:cs="Calibri"/>
                          <w:b/>
                          <w:bCs/>
                          <w:sz w:val="20"/>
                        </w:rPr>
                        <w:t>Michal Skořepa, makroekonomický analytik České spořitelny</w:t>
                      </w:r>
                      <w:r w:rsidR="00806391">
                        <w:rPr>
                          <w:rFonts w:ascii="Calibri" w:hAnsi="Calibri" w:cs="Calibri"/>
                          <w:b/>
                          <w:bCs/>
                          <w:sz w:val="20"/>
                        </w:rPr>
                        <w:t xml:space="preserve">:  </w:t>
                      </w:r>
                    </w:p>
                    <w:p w14:paraId="32E51932" w14:textId="3B7539A4" w:rsidR="00806391" w:rsidRPr="0035275E" w:rsidRDefault="00806391" w:rsidP="00806391">
                      <w:pPr>
                        <w:rPr>
                          <w:rFonts w:ascii="Calibri" w:hAnsi="Calibri" w:cs="Calibri"/>
                          <w:i/>
                          <w:iCs/>
                          <w:color w:val="000000" w:themeColor="text1"/>
                          <w:sz w:val="20"/>
                        </w:rPr>
                      </w:pPr>
                      <w:r>
                        <w:rPr>
                          <w:rFonts w:ascii="Calibri" w:hAnsi="Calibri" w:cs="Calibri"/>
                          <w:i/>
                          <w:iCs/>
                          <w:sz w:val="20"/>
                        </w:rPr>
                        <w:t>„</w:t>
                      </w:r>
                      <w:r w:rsidR="00222AA1" w:rsidRPr="00222AA1">
                        <w:rPr>
                          <w:rFonts w:ascii="Calibri" w:hAnsi="Calibri" w:cs="Calibri"/>
                          <w:i/>
                          <w:iCs/>
                          <w:color w:val="000000" w:themeColor="text1"/>
                          <w:sz w:val="20"/>
                        </w:rPr>
                        <w:t>Náš panel očekává setrvání deficitu veřejných financí v tomto i příštím roce mírně nad dvěma procenty HDP a jen velmi pozvolné zvyšování míry zadlužení Česka směrem k hladině 45 procent HDP. V tomto smyslu tak předpokládá, že vláda vzešlá z blížících se parlamentních voleb nezavede českou fiskální politiku na zřetelně neudržitelnou cestu</w:t>
                      </w:r>
                      <w:r>
                        <w:rPr>
                          <w:rFonts w:ascii="Calibri" w:hAnsi="Calibri" w:cs="Calibri"/>
                          <w:i/>
                          <w:iCs/>
                          <w:color w:val="000000" w:themeColor="text1"/>
                          <w:sz w:val="20"/>
                        </w:rPr>
                        <w:t>.“</w:t>
                      </w:r>
                    </w:p>
                  </w:txbxContent>
                </v:textbox>
                <w10:wrap type="square" anchorx="margin"/>
              </v:shape>
            </w:pict>
          </mc:Fallback>
        </mc:AlternateContent>
      </w:r>
      <w:r w:rsidR="00B22E78" w:rsidRPr="00B22E78">
        <w:rPr>
          <w:rFonts w:ascii="Calibri" w:hAnsi="Calibri" w:cs="Calibri"/>
          <w:b/>
          <w:color w:val="000000" w:themeColor="text1"/>
          <w:sz w:val="20"/>
        </w:rPr>
        <w:t xml:space="preserve">Druhá nejistota odráží nejasný dopad podzimních voleb do Poslanecké sněmovny, jelikož současný výhled předpokládá stabilizaci vládního deficitu navzdory vyšším výdajům na obranu a investicím do jaderné energetiky. </w:t>
      </w:r>
      <w:r w:rsidR="00B22E78" w:rsidRPr="00B22E78">
        <w:rPr>
          <w:rFonts w:ascii="Calibri" w:hAnsi="Calibri" w:cs="Calibri"/>
          <w:bCs/>
          <w:color w:val="000000" w:themeColor="text1"/>
          <w:sz w:val="20"/>
        </w:rPr>
        <w:t xml:space="preserve">To implikuje pokračující tlak na úspory v rozpočtu, které budou nutné i s ohledem na dluhovou brzdu. Predikce je tak spojena s rizikem více uvolněné fiskální politiky s dopady na růst, inflaci, úroky a měnový kurz. </w:t>
      </w:r>
    </w:p>
    <w:p w14:paraId="46C41ABC" w14:textId="5189E478" w:rsidR="008620DC" w:rsidRDefault="00B22E78" w:rsidP="00806391">
      <w:pPr>
        <w:pStyle w:val="Normlnweb"/>
        <w:spacing w:before="0" w:beforeAutospacing="0" w:after="120" w:afterAutospacing="0"/>
        <w:jc w:val="both"/>
        <w:rPr>
          <w:rFonts w:ascii="Calibri" w:hAnsi="Calibri" w:cs="Calibri"/>
          <w:bCs/>
          <w:color w:val="13576B"/>
          <w:sz w:val="18"/>
          <w:szCs w:val="18"/>
        </w:rPr>
      </w:pPr>
      <w:r w:rsidRPr="00B22E78">
        <w:rPr>
          <w:rFonts w:ascii="Calibri" w:hAnsi="Calibri" w:cs="Calibri"/>
          <w:b/>
          <w:color w:val="000000" w:themeColor="text1"/>
          <w:sz w:val="20"/>
        </w:rPr>
        <w:t xml:space="preserve">Další nejistotu představují nové emisní povolenky ETS2 s potenciálem výrazně a strukturálně ovlivnit inflační vývoj po roce 2026 s asymetrickým dopadem na měnovou politiku. </w:t>
      </w:r>
      <w:r w:rsidRPr="00B22E78">
        <w:rPr>
          <w:rFonts w:ascii="Calibri" w:hAnsi="Calibri" w:cs="Calibri"/>
          <w:bCs/>
          <w:color w:val="000000" w:themeColor="text1"/>
          <w:sz w:val="20"/>
        </w:rPr>
        <w:t>Česká národní banka předpokládá, že oproti scénáři, kdy by tržní cena ETS2 dosáhla limitní, inflačně upravené ceny 57 eur za tunu CO2 s plným promítnutím do meziročního růstu českých spotřebitelský cen, bude dopad do těchto cen ve skutečnosti poloviční, a to ve výši 0,6% bodu (z čehož 0,15% bodu je sekundární dopad relevantní pro měnovou politiku, i když v zanedbatelném rozsahu cca +0,1% bodu na úrokovou sazbu).</w:t>
      </w:r>
      <w:r w:rsidRPr="00B22E78">
        <w:rPr>
          <w:rFonts w:ascii="Calibri" w:hAnsi="Calibri" w:cs="Calibri"/>
          <w:bCs/>
          <w:color w:val="13576B"/>
          <w:sz w:val="18"/>
          <w:szCs w:val="18"/>
        </w:rPr>
        <w:tab/>
      </w:r>
    </w:p>
    <w:p w14:paraId="602B3A0B" w14:textId="77777777" w:rsidR="00806391" w:rsidRPr="00806391" w:rsidRDefault="00806391" w:rsidP="00806391">
      <w:pPr>
        <w:spacing w:after="120"/>
        <w:rPr>
          <w:rFonts w:ascii="Calibri" w:eastAsia="Calibri" w:hAnsi="Calibri" w:cs="Calibri"/>
          <w:b/>
          <w:color w:val="13576B"/>
          <w:sz w:val="20"/>
          <w:szCs w:val="24"/>
        </w:rPr>
      </w:pPr>
      <w:r w:rsidRPr="00806391">
        <w:rPr>
          <w:rFonts w:ascii="Calibri" w:eastAsia="Calibri" w:hAnsi="Calibri" w:cs="Calibri"/>
          <w:b/>
          <w:color w:val="13576B"/>
          <w:sz w:val="22"/>
          <w:szCs w:val="28"/>
        </w:rPr>
        <w:lastRenderedPageBreak/>
        <w:t>Česká ekonomika</w:t>
      </w:r>
    </w:p>
    <w:p w14:paraId="755EB4AD" w14:textId="396CC3A2" w:rsidR="00806391" w:rsidRDefault="001E07DA" w:rsidP="00806391">
      <w:pPr>
        <w:pStyle w:val="Normlnweb"/>
        <w:spacing w:before="0" w:beforeAutospacing="0" w:after="120" w:afterAutospacing="0"/>
        <w:jc w:val="both"/>
        <w:rPr>
          <w:rFonts w:ascii="Calibri" w:hAnsi="Calibri" w:cs="Calibri"/>
          <w:bCs/>
          <w:color w:val="000000" w:themeColor="text1"/>
          <w:sz w:val="20"/>
        </w:rPr>
      </w:pPr>
      <w:r w:rsidRPr="003503ED">
        <w:rPr>
          <w:b/>
          <w:bCs/>
          <w:noProof/>
          <w:color w:val="FF0000"/>
          <w:sz w:val="20"/>
        </w:rPr>
        <mc:AlternateContent>
          <mc:Choice Requires="wps">
            <w:drawing>
              <wp:anchor distT="45720" distB="45720" distL="114300" distR="114300" simplePos="0" relativeHeight="251666432" behindDoc="0" locked="0" layoutInCell="1" allowOverlap="1" wp14:anchorId="64A6C3D5" wp14:editId="43A1AE7C">
                <wp:simplePos x="0" y="0"/>
                <wp:positionH relativeFrom="margin">
                  <wp:posOffset>2540</wp:posOffset>
                </wp:positionH>
                <wp:positionV relativeFrom="paragraph">
                  <wp:posOffset>1656080</wp:posOffset>
                </wp:positionV>
                <wp:extent cx="6461760" cy="752475"/>
                <wp:effectExtent l="0" t="0" r="15240" b="28575"/>
                <wp:wrapSquare wrapText="bothSides"/>
                <wp:docPr id="1361211981"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752475"/>
                        </a:xfrm>
                        <a:prstGeom prst="rect">
                          <a:avLst/>
                        </a:prstGeom>
                        <a:solidFill>
                          <a:srgbClr val="FFFFFF"/>
                        </a:solidFill>
                        <a:ln w="9525">
                          <a:solidFill>
                            <a:srgbClr val="000000"/>
                          </a:solidFill>
                          <a:miter lim="800000"/>
                          <a:headEnd/>
                          <a:tailEnd/>
                        </a:ln>
                      </wps:spPr>
                      <wps:txbx>
                        <w:txbxContent>
                          <w:p w14:paraId="402EA34D" w14:textId="599FA994" w:rsidR="00806391" w:rsidRDefault="00DF20C8" w:rsidP="00806391">
                            <w:pPr>
                              <w:rPr>
                                <w:rFonts w:ascii="Calibri" w:hAnsi="Calibri" w:cs="Calibri"/>
                                <w:b/>
                                <w:bCs/>
                                <w:sz w:val="20"/>
                              </w:rPr>
                            </w:pPr>
                            <w:r w:rsidRPr="00DF20C8">
                              <w:rPr>
                                <w:rFonts w:ascii="Calibri" w:hAnsi="Calibri" w:cs="Calibri"/>
                                <w:b/>
                                <w:bCs/>
                                <w:sz w:val="20"/>
                              </w:rPr>
                              <w:t>Petr Dufek, hlavní ekonom Banky Creditas</w:t>
                            </w:r>
                            <w:r w:rsidR="00806391">
                              <w:rPr>
                                <w:rFonts w:ascii="Calibri" w:hAnsi="Calibri" w:cs="Calibri"/>
                                <w:b/>
                                <w:bCs/>
                                <w:sz w:val="20"/>
                              </w:rPr>
                              <w:t xml:space="preserve">:  </w:t>
                            </w:r>
                          </w:p>
                          <w:p w14:paraId="583B8BFA" w14:textId="67C0059E" w:rsidR="00806391" w:rsidRPr="0035275E" w:rsidRDefault="00806391" w:rsidP="00806391">
                            <w:pPr>
                              <w:rPr>
                                <w:rFonts w:ascii="Calibri" w:hAnsi="Calibri" w:cs="Calibri"/>
                                <w:i/>
                                <w:iCs/>
                                <w:color w:val="000000" w:themeColor="text1"/>
                                <w:sz w:val="20"/>
                              </w:rPr>
                            </w:pPr>
                            <w:r>
                              <w:rPr>
                                <w:rFonts w:ascii="Calibri" w:hAnsi="Calibri" w:cs="Calibri"/>
                                <w:i/>
                                <w:iCs/>
                                <w:sz w:val="20"/>
                              </w:rPr>
                              <w:t>„</w:t>
                            </w:r>
                            <w:r w:rsidR="001E07DA" w:rsidRPr="001E07DA">
                              <w:rPr>
                                <w:rFonts w:ascii="Calibri" w:hAnsi="Calibri" w:cs="Calibri"/>
                                <w:i/>
                                <w:iCs/>
                                <w:color w:val="000000" w:themeColor="text1"/>
                                <w:sz w:val="20"/>
                              </w:rPr>
                              <w:t>Růst české ekonomiky se v letošním i příštím roce primárně odvíjí od spotřeby domácností. Tolik potřebné investice nutné k budování potenciálu české ekonomiky ve stále konkurenčnějším mezinárodním obchodě, se začnou projevovat nejdříve až v příštím roce</w:t>
                            </w:r>
                            <w:r>
                              <w:rPr>
                                <w:rFonts w:ascii="Calibri" w:hAnsi="Calibri" w:cs="Calibri"/>
                                <w:i/>
                                <w:iCs/>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6C3D5" id="_x0000_s1027" type="#_x0000_t202" style="position:absolute;left:0;text-align:left;margin-left:.2pt;margin-top:130.4pt;width:508.8pt;height:59.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">
                <v:textbox>
                  <w:txbxContent>
                    <w:p w14:paraId="402EA34D" w14:textId="599FA994" w:rsidR="00806391" w:rsidRDefault="00DF20C8" w:rsidP="00806391">
                      <w:pPr>
                        <w:rPr>
                          <w:rFonts w:ascii="Calibri" w:hAnsi="Calibri" w:cs="Calibri"/>
                          <w:b/>
                          <w:bCs/>
                          <w:sz w:val="20"/>
                        </w:rPr>
                      </w:pPr>
                      <w:r w:rsidRPr="00DF20C8">
                        <w:rPr>
                          <w:rFonts w:ascii="Calibri" w:hAnsi="Calibri" w:cs="Calibri"/>
                          <w:b/>
                          <w:bCs/>
                          <w:sz w:val="20"/>
                        </w:rPr>
                        <w:t>Petr Dufek, hlavní ekonom Banky Creditas</w:t>
                      </w:r>
                      <w:r w:rsidR="00806391">
                        <w:rPr>
                          <w:rFonts w:ascii="Calibri" w:hAnsi="Calibri" w:cs="Calibri"/>
                          <w:b/>
                          <w:bCs/>
                          <w:sz w:val="20"/>
                        </w:rPr>
                        <w:t xml:space="preserve">:  </w:t>
                      </w:r>
                    </w:p>
                    <w:p w14:paraId="583B8BFA" w14:textId="67C0059E" w:rsidR="00806391" w:rsidRPr="0035275E" w:rsidRDefault="00806391" w:rsidP="00806391">
                      <w:pPr>
                        <w:rPr>
                          <w:rFonts w:ascii="Calibri" w:hAnsi="Calibri" w:cs="Calibri"/>
                          <w:i/>
                          <w:iCs/>
                          <w:color w:val="000000" w:themeColor="text1"/>
                          <w:sz w:val="20"/>
                        </w:rPr>
                      </w:pPr>
                      <w:r>
                        <w:rPr>
                          <w:rFonts w:ascii="Calibri" w:hAnsi="Calibri" w:cs="Calibri"/>
                          <w:i/>
                          <w:iCs/>
                          <w:sz w:val="20"/>
                        </w:rPr>
                        <w:t>„</w:t>
                      </w:r>
                      <w:r w:rsidR="001E07DA" w:rsidRPr="001E07DA">
                        <w:rPr>
                          <w:rFonts w:ascii="Calibri" w:hAnsi="Calibri" w:cs="Calibri"/>
                          <w:i/>
                          <w:iCs/>
                          <w:color w:val="000000" w:themeColor="text1"/>
                          <w:sz w:val="20"/>
                        </w:rPr>
                        <w:t>Růst české ekonomiky se v letošním i příštím roce primárně odvíjí od spotřeby domácností. Tolik potřebné investice nutné k budování potenciálu české ekonomiky ve stále konkurenčnějším mezinárodním obchodě, se začnou projevovat nejdříve až v příštím roce</w:t>
                      </w:r>
                      <w:r>
                        <w:rPr>
                          <w:rFonts w:ascii="Calibri" w:hAnsi="Calibri" w:cs="Calibri"/>
                          <w:i/>
                          <w:iCs/>
                          <w:color w:val="000000" w:themeColor="text1"/>
                          <w:sz w:val="20"/>
                        </w:rPr>
                        <w:t>.“</w:t>
                      </w:r>
                    </w:p>
                  </w:txbxContent>
                </v:textbox>
                <w10:wrap type="square" anchorx="margin"/>
              </v:shape>
            </w:pict>
          </mc:Fallback>
        </mc:AlternateContent>
      </w:r>
      <w:r w:rsidR="00806391" w:rsidRPr="00806391">
        <w:rPr>
          <w:rFonts w:ascii="Calibri" w:hAnsi="Calibri" w:cs="Calibri"/>
          <w:b/>
          <w:color w:val="000000" w:themeColor="text1"/>
          <w:sz w:val="20"/>
        </w:rPr>
        <w:t>Mírně vyšší inflace při mírně příznivější trajektorii průměrné reálné mzdy.</w:t>
      </w:r>
      <w:r w:rsidR="00806391" w:rsidRPr="00806391">
        <w:rPr>
          <w:rFonts w:ascii="Calibri" w:hAnsi="Calibri" w:cs="Calibri"/>
          <w:bCs/>
          <w:color w:val="000000" w:themeColor="text1"/>
          <w:sz w:val="20"/>
        </w:rPr>
        <w:t xml:space="preserve"> V základním scénáři počítáme v letošním roce s mírným zrychlením růstu spotřebitelských cen na 2,5 % meziročně kvůli vyšším cenám potravin, ale i silnějšímu tempu jádrové inflace. Zde se promítají jak vyšší ceny nemovitostí, tak stále silnější dynamika cen ve službách (což odráží jak strukturální změny, tak konvergenci české ekonomiky). Ovšem pro rok 2026 stále vyhlížíme 2,2% růst spotřebitelské inflace ovšem s mírně vyšší 2,4% dynamikou jádrového segmentu. Nominální růst průměrné mzdy v letošním roce pravděpodobně zmírní o jeden procentní bod na 6,2 % a v příštím roce lehce pod 5 %, což je mírně lepší výhled v porovnání s květnem a nadále tak může být lehce proinflační. Ve výsledku v podstatě neměníme růst reálné mzdy o 3,6 % a 2,6 % ovšem po silnějším 4,7 % růstu v loňském roce, což je tedy rovněž o něco příznivější trajektorie než v květnovém výhledu. Dle současné prognózy se tak výše reálné hrubé mzdy navrátí na předcovidovou úroveň roku 2019 až v průběhu příštího roku (disponibilní důchod českých domácností je již nad touto úrovní). Ovšem reálná mzda své doposud nejvyšší úrovně z roku 2021 dosáhne nejdříve až v roce 2027. </w:t>
      </w:r>
    </w:p>
    <w:p w14:paraId="4D463447" w14:textId="1019660D"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
          <w:color w:val="000000" w:themeColor="text1"/>
          <w:sz w:val="20"/>
        </w:rPr>
        <w:t>Robustnější exporty, stabilní výhled na silnější spotřebu, mírné oživení investic.</w:t>
      </w:r>
      <w:r w:rsidRPr="00806391">
        <w:rPr>
          <w:rFonts w:ascii="Calibri" w:hAnsi="Calibri" w:cs="Calibri"/>
          <w:bCs/>
          <w:color w:val="000000" w:themeColor="text1"/>
          <w:sz w:val="20"/>
        </w:rPr>
        <w:t xml:space="preserve"> Zhoršení registrované míry nezaměstnanosti na sezonně očištěných letních 4,5 % odráží jak strukturální (pokračující pokles zaměstnanosti v průmyslu), tak pravděpodobně již i cyklický vývoj v ekonomice. Na druhou stranu rostoucí zaměstnanost v národních účtech naznačuje, že strukturální změny pravděpodobně stále hrají v tomto procesu výraznější úlohu. Nicméně i tento vývoj brání lepšímu výhledu na spotřebu českých domácností, která ale i tak s přibližně 2,5% nárůstem v letošním a příštím roce zůstává tahounem zvyšování českého HDP. </w:t>
      </w:r>
    </w:p>
    <w:p w14:paraId="4FE615F6" w14:textId="1FB01B0D"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3503ED">
        <w:rPr>
          <w:b/>
          <w:bCs/>
          <w:noProof/>
          <w:color w:val="FF0000"/>
          <w:sz w:val="20"/>
        </w:rPr>
        <mc:AlternateContent>
          <mc:Choice Requires="wps">
            <w:drawing>
              <wp:anchor distT="45720" distB="45720" distL="114300" distR="114300" simplePos="0" relativeHeight="251668480" behindDoc="0" locked="0" layoutInCell="1" allowOverlap="1" wp14:anchorId="2ADBF03D" wp14:editId="12B68436">
                <wp:simplePos x="0" y="0"/>
                <wp:positionH relativeFrom="margin">
                  <wp:posOffset>2540</wp:posOffset>
                </wp:positionH>
                <wp:positionV relativeFrom="paragraph">
                  <wp:posOffset>1170940</wp:posOffset>
                </wp:positionV>
                <wp:extent cx="6461760" cy="609600"/>
                <wp:effectExtent l="0" t="0" r="15240" b="19050"/>
                <wp:wrapSquare wrapText="bothSides"/>
                <wp:docPr id="1255743439"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609600"/>
                        </a:xfrm>
                        <a:prstGeom prst="rect">
                          <a:avLst/>
                        </a:prstGeom>
                        <a:solidFill>
                          <a:srgbClr val="FFFFFF"/>
                        </a:solidFill>
                        <a:ln w="9525">
                          <a:solidFill>
                            <a:srgbClr val="000000"/>
                          </a:solidFill>
                          <a:miter lim="800000"/>
                          <a:headEnd/>
                          <a:tailEnd/>
                        </a:ln>
                      </wps:spPr>
                      <wps:txbx>
                        <w:txbxContent>
                          <w:p w14:paraId="08B64C44" w14:textId="463E49B7" w:rsidR="00806391" w:rsidRDefault="001E07DA" w:rsidP="00806391">
                            <w:pPr>
                              <w:rPr>
                                <w:rFonts w:ascii="Calibri" w:hAnsi="Calibri" w:cs="Calibri"/>
                                <w:b/>
                                <w:bCs/>
                                <w:sz w:val="20"/>
                              </w:rPr>
                            </w:pPr>
                            <w:r w:rsidRPr="001E07DA">
                              <w:rPr>
                                <w:rFonts w:ascii="Calibri" w:hAnsi="Calibri" w:cs="Calibri"/>
                                <w:b/>
                                <w:bCs/>
                                <w:sz w:val="20"/>
                              </w:rPr>
                              <w:t>Jaromír Šindel, hlavní ekonom České bankovní asociace</w:t>
                            </w:r>
                            <w:r w:rsidR="00806391">
                              <w:rPr>
                                <w:rFonts w:ascii="Calibri" w:hAnsi="Calibri" w:cs="Calibri"/>
                                <w:b/>
                                <w:bCs/>
                                <w:sz w:val="20"/>
                              </w:rPr>
                              <w:t xml:space="preserve">:  </w:t>
                            </w:r>
                          </w:p>
                          <w:p w14:paraId="53EF6CB4" w14:textId="77777777" w:rsidR="00B8275C" w:rsidRPr="00B8275C" w:rsidRDefault="00B8275C" w:rsidP="00B8275C">
                            <w:pPr>
                              <w:rPr>
                                <w:rFonts w:ascii="Calibri" w:hAnsi="Calibri" w:cs="Calibri"/>
                                <w:i/>
                                <w:iCs/>
                                <w:sz w:val="20"/>
                              </w:rPr>
                            </w:pPr>
                            <w:r w:rsidRPr="00B8275C">
                              <w:rPr>
                                <w:rFonts w:ascii="Calibri" w:hAnsi="Calibri" w:cs="Calibri"/>
                                <w:i/>
                                <w:iCs/>
                                <w:sz w:val="20"/>
                              </w:rPr>
                              <w:t>„Pro druhou polovinu roku 2026 předpokládáme stabilizaci růstu české ekonomiky o 0,7 % mezikvartálně, což otevírá cestu k silnějšímu meziročnímu růstu české ekonomiky v roce 2027, a to blíže ke třem procentům než ke dvěma jako v roce 2026.“</w:t>
                            </w:r>
                          </w:p>
                          <w:p w14:paraId="549893E2" w14:textId="17D7FC1C" w:rsidR="00806391" w:rsidRPr="0035275E" w:rsidRDefault="00806391" w:rsidP="00B8275C">
                            <w:pPr>
                              <w:rPr>
                                <w:rFonts w:ascii="Calibri" w:hAnsi="Calibri" w:cs="Calibri"/>
                                <w:i/>
                                <w:iCs/>
                                <w:color w:val="000000" w:themeColor="text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BF03D" id="_x0000_s1028" type="#_x0000_t202" style="position:absolute;left:0;text-align:left;margin-left:.2pt;margin-top:92.2pt;width:508.8pt;height:4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">
                <v:textbox>
                  <w:txbxContent>
                    <w:p w14:paraId="08B64C44" w14:textId="463E49B7" w:rsidR="00806391" w:rsidRDefault="001E07DA" w:rsidP="00806391">
                      <w:pPr>
                        <w:rPr>
                          <w:rFonts w:ascii="Calibri" w:hAnsi="Calibri" w:cs="Calibri"/>
                          <w:b/>
                          <w:bCs/>
                          <w:sz w:val="20"/>
                        </w:rPr>
                      </w:pPr>
                      <w:r w:rsidRPr="001E07DA">
                        <w:rPr>
                          <w:rFonts w:ascii="Calibri" w:hAnsi="Calibri" w:cs="Calibri"/>
                          <w:b/>
                          <w:bCs/>
                          <w:sz w:val="20"/>
                        </w:rPr>
                        <w:t>Jaromír Šindel, hlavní ekonom České bankovní asociace</w:t>
                      </w:r>
                      <w:r w:rsidR="00806391">
                        <w:rPr>
                          <w:rFonts w:ascii="Calibri" w:hAnsi="Calibri" w:cs="Calibri"/>
                          <w:b/>
                          <w:bCs/>
                          <w:sz w:val="20"/>
                        </w:rPr>
                        <w:t xml:space="preserve">:  </w:t>
                      </w:r>
                    </w:p>
                    <w:p w14:paraId="53EF6CB4" w14:textId="77777777" w:rsidR="00B8275C" w:rsidRPr="00B8275C" w:rsidRDefault="00B8275C" w:rsidP="00B8275C">
                      <w:pPr>
                        <w:rPr>
                          <w:rFonts w:ascii="Calibri" w:hAnsi="Calibri" w:cs="Calibri"/>
                          <w:i/>
                          <w:iCs/>
                          <w:sz w:val="20"/>
                        </w:rPr>
                      </w:pPr>
                      <w:r w:rsidRPr="00B8275C">
                        <w:rPr>
                          <w:rFonts w:ascii="Calibri" w:hAnsi="Calibri" w:cs="Calibri"/>
                          <w:i/>
                          <w:iCs/>
                          <w:sz w:val="20"/>
                        </w:rPr>
                        <w:t>„Pro druhou polovinu roku 2026 předpokládáme stabilizaci růstu české ekonomiky o 0,7 % mezikvartálně, což otevírá cestu k silnějšímu meziročnímu růstu české ekonomiky v roce 2027, a to blíže ke třem procentům než ke dvěma jako v roce 2026.“</w:t>
                      </w:r>
                    </w:p>
                    <w:p w14:paraId="549893E2" w14:textId="17D7FC1C" w:rsidR="00806391" w:rsidRPr="0035275E" w:rsidRDefault="00806391" w:rsidP="00B8275C">
                      <w:pPr>
                        <w:rPr>
                          <w:rFonts w:ascii="Calibri" w:hAnsi="Calibri" w:cs="Calibri"/>
                          <w:i/>
                          <w:iCs/>
                          <w:color w:val="000000" w:themeColor="text1"/>
                          <w:sz w:val="20"/>
                        </w:rPr>
                      </w:pPr>
                    </w:p>
                  </w:txbxContent>
                </v:textbox>
                <w10:wrap type="square" anchorx="margin"/>
              </v:shape>
            </w:pict>
          </mc:Fallback>
        </mc:AlternateContent>
      </w:r>
      <w:r w:rsidRPr="00806391">
        <w:rPr>
          <w:rFonts w:ascii="Calibri" w:hAnsi="Calibri" w:cs="Calibri"/>
          <w:b/>
          <w:color w:val="000000" w:themeColor="text1"/>
          <w:sz w:val="20"/>
        </w:rPr>
        <w:t xml:space="preserve">Ovšem srpnové zlepšení prognózy ČBA odráží především silnější exportní aktivitu v letošním roce a také mírné zlepšení fixních investic v roce příštím. </w:t>
      </w:r>
      <w:r w:rsidRPr="00D75E48">
        <w:rPr>
          <w:rFonts w:ascii="Calibri" w:hAnsi="Calibri" w:cs="Calibri"/>
          <w:bCs/>
          <w:color w:val="000000" w:themeColor="text1"/>
          <w:sz w:val="20"/>
        </w:rPr>
        <w:t>S</w:t>
      </w:r>
      <w:r w:rsidRPr="00806391">
        <w:rPr>
          <w:rFonts w:ascii="Calibri" w:hAnsi="Calibri" w:cs="Calibri"/>
          <w:bCs/>
          <w:color w:val="000000" w:themeColor="text1"/>
          <w:sz w:val="20"/>
        </w:rPr>
        <w:t xml:space="preserve">tále slabý výhled na oživení fixních investic navzdory relativně solidnímu využití výrobních kapacit reflektuje horší konkurenceschopnost, ale i větší nejistotu střednědobého výhledu na českou ekonomiku v důsledku strukturálních změn (například přechod na elektromobilitu, vyšší ceny energií, jakož i nejisté dopady energetické/klimatické politiky). Ve výsledku je to spojeno s nejistotou a prodlužováním doby návratnosti fixních investic. Tento vývoj pak podkopává potenciál české ekonomiky kvůli chybějícím novým konkurenceschopnějším výrobním kapacitám, které by výrazněji uvolnily napětí na trhu práce, a to žádaným způsobem – tedy skrze vyšší produktivitu při stejném či vyšším mzdovém růstu. </w:t>
      </w:r>
    </w:p>
    <w:p w14:paraId="73B89671" w14:textId="77777777" w:rsidR="001A7F7D" w:rsidRDefault="001A7F7D" w:rsidP="00806391">
      <w:pPr>
        <w:pStyle w:val="Normlnweb"/>
        <w:spacing w:before="0" w:beforeAutospacing="0" w:after="120" w:afterAutospacing="0"/>
        <w:jc w:val="both"/>
        <w:rPr>
          <w:rFonts w:ascii="Calibri" w:hAnsi="Calibri" w:cs="Calibri"/>
          <w:b/>
          <w:color w:val="13576B"/>
          <w:sz w:val="22"/>
          <w:szCs w:val="28"/>
        </w:rPr>
      </w:pPr>
    </w:p>
    <w:p w14:paraId="2D6414E2" w14:textId="7EFAB9D8" w:rsidR="00806391" w:rsidRPr="00806391" w:rsidRDefault="00806391" w:rsidP="00806391">
      <w:pPr>
        <w:pStyle w:val="Normlnweb"/>
        <w:spacing w:before="0" w:beforeAutospacing="0" w:after="120" w:afterAutospacing="0"/>
        <w:jc w:val="both"/>
        <w:rPr>
          <w:rFonts w:ascii="Calibri" w:hAnsi="Calibri" w:cs="Calibri"/>
          <w:b/>
          <w:color w:val="13576B"/>
          <w:sz w:val="22"/>
          <w:szCs w:val="28"/>
        </w:rPr>
      </w:pPr>
      <w:r w:rsidRPr="00806391">
        <w:rPr>
          <w:rFonts w:ascii="Calibri" w:hAnsi="Calibri" w:cs="Calibri"/>
          <w:b/>
          <w:color w:val="13576B"/>
          <w:sz w:val="22"/>
          <w:szCs w:val="28"/>
        </w:rPr>
        <w:t xml:space="preserve">Mírnější zpomalení úvěrové dynamiky se strukturou stále odrážející složení růstu ekonomiky </w:t>
      </w:r>
    </w:p>
    <w:p w14:paraId="5C0D0556" w14:textId="4DD1E972"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
          <w:color w:val="000000" w:themeColor="text1"/>
          <w:sz w:val="20"/>
        </w:rPr>
        <w:t>Celkově by klientské úvěry měly pouze neznatelně zmírnit svůj růst lehce pod 6 %.</w:t>
      </w:r>
      <w:r w:rsidRPr="00806391">
        <w:rPr>
          <w:rFonts w:ascii="Calibri" w:hAnsi="Calibri" w:cs="Calibri"/>
          <w:bCs/>
          <w:color w:val="000000" w:themeColor="text1"/>
          <w:sz w:val="20"/>
        </w:rPr>
        <w:t xml:space="preserve"> Růst bankovních úvěrů domácnostem by měl v letošním a příštím roce posílit k 6,5 % po téměř 5% růstu v loňském roce. Jedná se o silnější dynamiku, než jsme předjímali na jaře, což odráží oživení hypoteční aktivity. Ovšem úvěry podnikům by měly v roce 2025 svoji dynamiku mírně zvolnit k 5,5 % z loňského 7,6% meziročního růstu. Ale i zde se jedná o zlepšení výhledu v reakci na robustnější ekonomický a exportní výkon české ekonomiky, což se již odrazilo v oživení nových úvěrů podnikům ve druhém letošním čtvrtletí. Tato čísla potvrzují změnu struktury úvěrové produkce, což potvrzují i dostupná čísla o nových úvěrech za první pololetí letošního roku. Ovšem struktura úvěrového vývoje reflektuje složení růstu ekonomiky. Tedy relativně silněji rostoucí spotřebu v porovnání s investicemi a dále silnější realitní trh a stavebnictví. </w:t>
      </w:r>
    </w:p>
    <w:p w14:paraId="62CC1406"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
          <w:color w:val="000000" w:themeColor="text1"/>
          <w:sz w:val="20"/>
        </w:rPr>
        <w:t>Letos a v příštím roce čekáme zpomalení růstu vkladů, a to nepatrně pod 5 % v roce 2026 po téměř 7,5% růstu v loňském roce.</w:t>
      </w:r>
      <w:r w:rsidRPr="00806391">
        <w:rPr>
          <w:rFonts w:ascii="Calibri" w:hAnsi="Calibri" w:cs="Calibri"/>
          <w:bCs/>
          <w:color w:val="000000" w:themeColor="text1"/>
          <w:sz w:val="20"/>
        </w:rPr>
        <w:t xml:space="preserve"> A to v reakci na mírnější růst korporátních úvěrů, pokles úrokové sazby, relativní oživení portfoliových investic domácností namísto spoření a rovněž předpokládanou nižší míru úspor domácností.</w:t>
      </w:r>
    </w:p>
    <w:p w14:paraId="5AEDE564" w14:textId="77777777" w:rsidR="001E07DA" w:rsidRDefault="001E07DA" w:rsidP="00222AA1">
      <w:pPr>
        <w:spacing w:after="120"/>
        <w:rPr>
          <w:rFonts w:ascii="Calibri" w:eastAsia="Calibri" w:hAnsi="Calibri" w:cs="Calibri"/>
          <w:b/>
          <w:color w:val="13576B"/>
          <w:sz w:val="22"/>
          <w:szCs w:val="28"/>
        </w:rPr>
      </w:pPr>
    </w:p>
    <w:p w14:paraId="5AEBB5F0" w14:textId="7386225D" w:rsidR="00806391" w:rsidRPr="001E07DA" w:rsidRDefault="00806391" w:rsidP="001E07DA">
      <w:pPr>
        <w:rPr>
          <w:rFonts w:ascii="Calibri" w:eastAsia="Calibri" w:hAnsi="Calibri" w:cs="Calibri"/>
          <w:b/>
          <w:color w:val="13576B"/>
          <w:sz w:val="22"/>
          <w:szCs w:val="28"/>
        </w:rPr>
      </w:pPr>
      <w:r w:rsidRPr="001E07DA">
        <w:rPr>
          <w:rFonts w:ascii="Calibri" w:eastAsia="Calibri" w:hAnsi="Calibri" w:cs="Calibri"/>
          <w:b/>
          <w:color w:val="13576B"/>
          <w:sz w:val="22"/>
          <w:szCs w:val="28"/>
        </w:rPr>
        <w:lastRenderedPageBreak/>
        <w:t xml:space="preserve">Výhled české ekonomiky v grafech: </w:t>
      </w:r>
    </w:p>
    <w:p w14:paraId="0CBF7EA2" w14:textId="77777777" w:rsidR="00222AA1" w:rsidRDefault="00222AA1" w:rsidP="001E07DA">
      <w:pPr>
        <w:rPr>
          <w:noProof/>
        </w:rPr>
      </w:pPr>
      <w:r>
        <w:rPr>
          <w:noProof/>
        </w:rPr>
        <w:drawing>
          <wp:inline distT="0" distB="0" distL="0" distR="0" wp14:anchorId="35E44C49" wp14:editId="124F4CE3">
            <wp:extent cx="3200400" cy="1980000"/>
            <wp:effectExtent l="0" t="0" r="0" b="1270"/>
            <wp:docPr id="1053304930" name="Picture 1" descr="A graph with numbers an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3304930" name="Picture 1" descr="A graph with numbers and lines&#10;&#10;AI-generated content may be incorrect."/>
                    <pic:cNvPicPr/>
                  </pic:nvPicPr>
                  <pic:blipFill>
                    <a:blip r:embed="rId11"/>
                    <a:stretch>
                      <a:fillRect/>
                    </a:stretch>
                  </pic:blipFill>
                  <pic:spPr>
                    <a:xfrm>
                      <a:off x="0" y="0"/>
                      <a:ext cx="3200400" cy="1980000"/>
                    </a:xfrm>
                    <a:prstGeom prst="rect">
                      <a:avLst/>
                    </a:prstGeom>
                  </pic:spPr>
                </pic:pic>
              </a:graphicData>
            </a:graphic>
          </wp:inline>
        </w:drawing>
      </w:r>
      <w:r>
        <w:rPr>
          <w:noProof/>
        </w:rPr>
        <w:t xml:space="preserve">  </w:t>
      </w:r>
      <w:r>
        <w:rPr>
          <w:noProof/>
        </w:rPr>
        <w:drawing>
          <wp:inline distT="0" distB="0" distL="0" distR="0" wp14:anchorId="07455511" wp14:editId="09DD3449">
            <wp:extent cx="3204000" cy="1980000"/>
            <wp:effectExtent l="0" t="0" r="0" b="1270"/>
            <wp:docPr id="1159137820" name="Picture 1" descr="A graph with numbers and a l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9137820" name="Picture 1" descr="A graph with numbers and a line&#10;&#10;AI-generated content may be incorrect."/>
                    <pic:cNvPicPr/>
                  </pic:nvPicPr>
                  <pic:blipFill>
                    <a:blip r:embed="rId12"/>
                    <a:stretch>
                      <a:fillRect/>
                    </a:stretch>
                  </pic:blipFill>
                  <pic:spPr>
                    <a:xfrm>
                      <a:off x="0" y="0"/>
                      <a:ext cx="3204000" cy="1980000"/>
                    </a:xfrm>
                    <a:prstGeom prst="rect">
                      <a:avLst/>
                    </a:prstGeom>
                  </pic:spPr>
                </pic:pic>
              </a:graphicData>
            </a:graphic>
          </wp:inline>
        </w:drawing>
      </w:r>
      <w:r>
        <w:rPr>
          <w:noProof/>
        </w:rPr>
        <w:t xml:space="preserve">  </w:t>
      </w:r>
    </w:p>
    <w:p w14:paraId="2969D1B6" w14:textId="77777777" w:rsidR="00222AA1" w:rsidRDefault="00222AA1" w:rsidP="001E07DA">
      <w:pPr>
        <w:rPr>
          <w:noProof/>
        </w:rPr>
      </w:pPr>
      <w:r>
        <w:rPr>
          <w:noProof/>
        </w:rPr>
        <w:drawing>
          <wp:inline distT="0" distB="0" distL="0" distR="0" wp14:anchorId="062B9676" wp14:editId="5137DA59">
            <wp:extent cx="3196590" cy="1979865"/>
            <wp:effectExtent l="0" t="0" r="3810" b="1905"/>
            <wp:docPr id="646167476" name="Picture 1" descr="A graph with numbers and a li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6167476" name="Picture 1" descr="A graph with numbers and a line&#10;&#10;AI-generated content may be incorrect."/>
                    <pic:cNvPicPr/>
                  </pic:nvPicPr>
                  <pic:blipFill>
                    <a:blip r:embed="rId13"/>
                    <a:stretch>
                      <a:fillRect/>
                    </a:stretch>
                  </pic:blipFill>
                  <pic:spPr>
                    <a:xfrm>
                      <a:off x="0" y="0"/>
                      <a:ext cx="3200492" cy="1982282"/>
                    </a:xfrm>
                    <a:prstGeom prst="rect">
                      <a:avLst/>
                    </a:prstGeom>
                  </pic:spPr>
                </pic:pic>
              </a:graphicData>
            </a:graphic>
          </wp:inline>
        </w:drawing>
      </w:r>
      <w:r>
        <w:rPr>
          <w:noProof/>
        </w:rPr>
        <w:t xml:space="preserve">  </w:t>
      </w:r>
      <w:r>
        <w:rPr>
          <w:noProof/>
        </w:rPr>
        <w:drawing>
          <wp:inline distT="0" distB="0" distL="0" distR="0" wp14:anchorId="66C06BFC" wp14:editId="7EFB92B6">
            <wp:extent cx="3189600" cy="1980000"/>
            <wp:effectExtent l="0" t="0" r="0" b="1270"/>
            <wp:docPr id="2059902609" name="Picture 1" descr="A graph with numbers and a bar 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902609" name="Picture 1" descr="A graph with numbers and a bar chart&#10;&#10;AI-generated content may be incorrect."/>
                    <pic:cNvPicPr/>
                  </pic:nvPicPr>
                  <pic:blipFill>
                    <a:blip r:embed="rId14"/>
                    <a:stretch>
                      <a:fillRect/>
                    </a:stretch>
                  </pic:blipFill>
                  <pic:spPr>
                    <a:xfrm>
                      <a:off x="0" y="0"/>
                      <a:ext cx="3189600" cy="1980000"/>
                    </a:xfrm>
                    <a:prstGeom prst="rect">
                      <a:avLst/>
                    </a:prstGeom>
                  </pic:spPr>
                </pic:pic>
              </a:graphicData>
            </a:graphic>
          </wp:inline>
        </w:drawing>
      </w:r>
    </w:p>
    <w:p w14:paraId="5B9F0A2F" w14:textId="77777777" w:rsidR="00222AA1" w:rsidRDefault="00222AA1" w:rsidP="001E07DA">
      <w:pPr>
        <w:rPr>
          <w:noProof/>
        </w:rPr>
      </w:pPr>
      <w:r>
        <w:rPr>
          <w:noProof/>
        </w:rPr>
        <w:drawing>
          <wp:inline distT="0" distB="0" distL="0" distR="0" wp14:anchorId="14384D1A" wp14:editId="451DB6D7">
            <wp:extent cx="3195668" cy="1905000"/>
            <wp:effectExtent l="0" t="0" r="5080" b="0"/>
            <wp:docPr id="648200119" name="Picture 1" descr="A graph with numbers an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8200119" name="Picture 1" descr="A graph with numbers and lines&#10;&#10;AI-generated content may be incorrect."/>
                    <pic:cNvPicPr/>
                  </pic:nvPicPr>
                  <pic:blipFill>
                    <a:blip r:embed="rId15"/>
                    <a:stretch>
                      <a:fillRect/>
                    </a:stretch>
                  </pic:blipFill>
                  <pic:spPr>
                    <a:xfrm>
                      <a:off x="0" y="0"/>
                      <a:ext cx="3203042" cy="1909396"/>
                    </a:xfrm>
                    <a:prstGeom prst="rect">
                      <a:avLst/>
                    </a:prstGeom>
                  </pic:spPr>
                </pic:pic>
              </a:graphicData>
            </a:graphic>
          </wp:inline>
        </w:drawing>
      </w:r>
      <w:r w:rsidRPr="00B42B24">
        <w:rPr>
          <w:noProof/>
        </w:rPr>
        <w:t xml:space="preserve"> </w:t>
      </w:r>
      <w:r>
        <w:rPr>
          <w:noProof/>
        </w:rPr>
        <w:t xml:space="preserve"> </w:t>
      </w:r>
      <w:r>
        <w:rPr>
          <w:noProof/>
        </w:rPr>
        <w:drawing>
          <wp:inline distT="0" distB="0" distL="0" distR="0" wp14:anchorId="4AB25DF5" wp14:editId="687C2D35">
            <wp:extent cx="3178474" cy="1924050"/>
            <wp:effectExtent l="0" t="0" r="3175" b="0"/>
            <wp:docPr id="721115458" name="Picture 1" descr="A graph of a number of ye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1115458" name="Picture 1" descr="A graph of a number of years&#10;&#10;AI-generated content may be incorrect."/>
                    <pic:cNvPicPr/>
                  </pic:nvPicPr>
                  <pic:blipFill>
                    <a:blip r:embed="rId16"/>
                    <a:stretch>
                      <a:fillRect/>
                    </a:stretch>
                  </pic:blipFill>
                  <pic:spPr>
                    <a:xfrm>
                      <a:off x="0" y="0"/>
                      <a:ext cx="3183642" cy="1927179"/>
                    </a:xfrm>
                    <a:prstGeom prst="rect">
                      <a:avLst/>
                    </a:prstGeom>
                  </pic:spPr>
                </pic:pic>
              </a:graphicData>
            </a:graphic>
          </wp:inline>
        </w:drawing>
      </w:r>
      <w:r w:rsidRPr="00B42B24">
        <w:rPr>
          <w:noProof/>
        </w:rPr>
        <w:t xml:space="preserve"> </w:t>
      </w:r>
    </w:p>
    <w:p w14:paraId="596137BA" w14:textId="4B7E8C8B" w:rsidR="00806391" w:rsidRPr="00806391" w:rsidRDefault="00222AA1" w:rsidP="001E07DA">
      <w:pPr>
        <w:rPr>
          <w:rFonts w:ascii="Calibri" w:hAnsi="Calibri" w:cs="Calibri"/>
          <w:bCs/>
          <w:color w:val="000000" w:themeColor="text1"/>
          <w:sz w:val="20"/>
        </w:rPr>
      </w:pPr>
      <w:r>
        <w:rPr>
          <w:noProof/>
        </w:rPr>
        <w:drawing>
          <wp:inline distT="0" distB="0" distL="0" distR="0" wp14:anchorId="10DAB2C8" wp14:editId="2CA7D133">
            <wp:extent cx="3196590" cy="1895475"/>
            <wp:effectExtent l="0" t="0" r="3810" b="9525"/>
            <wp:docPr id="1224761140" name="Picture 1" descr="A graph with blue lines and numb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4761140" name="Picture 1" descr="A graph with blue lines and numbers&#10;&#10;AI-generated content may be incorrect."/>
                    <pic:cNvPicPr/>
                  </pic:nvPicPr>
                  <pic:blipFill>
                    <a:blip r:embed="rId17"/>
                    <a:stretch>
                      <a:fillRect/>
                    </a:stretch>
                  </pic:blipFill>
                  <pic:spPr>
                    <a:xfrm>
                      <a:off x="0" y="0"/>
                      <a:ext cx="3196801" cy="1895600"/>
                    </a:xfrm>
                    <a:prstGeom prst="rect">
                      <a:avLst/>
                    </a:prstGeom>
                  </pic:spPr>
                </pic:pic>
              </a:graphicData>
            </a:graphic>
          </wp:inline>
        </w:drawing>
      </w:r>
      <w:r w:rsidRPr="00C84D31">
        <w:rPr>
          <w:noProof/>
        </w:rPr>
        <w:t xml:space="preserve">  </w:t>
      </w:r>
      <w:r>
        <w:rPr>
          <w:noProof/>
        </w:rPr>
        <w:drawing>
          <wp:inline distT="0" distB="0" distL="0" distR="0" wp14:anchorId="09E45E19" wp14:editId="10AC106D">
            <wp:extent cx="3102610" cy="1914525"/>
            <wp:effectExtent l="0" t="0" r="2540" b="9525"/>
            <wp:docPr id="12014864" name="Picture 1" descr="A graph of different colore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14864" name="Picture 1" descr="A graph of different colored lines&#10;&#10;AI-generated content may be incorrect."/>
                    <pic:cNvPicPr/>
                  </pic:nvPicPr>
                  <pic:blipFill>
                    <a:blip r:embed="rId18"/>
                    <a:stretch>
                      <a:fillRect/>
                    </a:stretch>
                  </pic:blipFill>
                  <pic:spPr>
                    <a:xfrm>
                      <a:off x="0" y="0"/>
                      <a:ext cx="3103200" cy="1914889"/>
                    </a:xfrm>
                    <a:prstGeom prst="rect">
                      <a:avLst/>
                    </a:prstGeom>
                  </pic:spPr>
                </pic:pic>
              </a:graphicData>
            </a:graphic>
          </wp:inline>
        </w:drawing>
      </w:r>
      <w:r w:rsidR="00806391" w:rsidRPr="00806391">
        <w:rPr>
          <w:rFonts w:ascii="Calibri" w:hAnsi="Calibri" w:cs="Calibri"/>
          <w:bCs/>
          <w:color w:val="000000" w:themeColor="text1"/>
          <w:sz w:val="20"/>
        </w:rPr>
        <w:t xml:space="preserve"> </w:t>
      </w:r>
    </w:p>
    <w:p w14:paraId="01A3AFD8" w14:textId="77777777" w:rsidR="00806391" w:rsidRPr="00806391" w:rsidRDefault="00806391" w:rsidP="00806391">
      <w:pPr>
        <w:spacing w:after="120"/>
        <w:rPr>
          <w:rFonts w:ascii="Calibri" w:hAnsi="Calibri" w:cs="Calibri"/>
          <w:bCs/>
          <w:color w:val="13576B"/>
          <w:szCs w:val="18"/>
        </w:rPr>
      </w:pPr>
      <w:r w:rsidRPr="00806391">
        <w:rPr>
          <w:rFonts w:ascii="Calibri" w:hAnsi="Calibri" w:cs="Calibri"/>
          <w:bCs/>
          <w:color w:val="13576B"/>
          <w:szCs w:val="18"/>
        </w:rPr>
        <w:t>Pramen: ČSÚ, ČNB, Úřad práce, LSEG, Prognóza ČBA</w:t>
      </w:r>
    </w:p>
    <w:p w14:paraId="7CFCA929" w14:textId="77777777" w:rsidR="00222AA1" w:rsidRDefault="00222AA1" w:rsidP="00222AA1">
      <w:pPr>
        <w:rPr>
          <w:rFonts w:ascii="Calibri" w:hAnsi="Calibri" w:cs="Calibri"/>
          <w:color w:val="FF0000"/>
          <w:sz w:val="20"/>
        </w:rPr>
      </w:pPr>
      <w:r>
        <w:rPr>
          <w:rFonts w:ascii="Calibri" w:hAnsi="Calibri" w:cs="Calibri"/>
          <w:color w:val="FF0000"/>
          <w:sz w:val="20"/>
        </w:rPr>
        <w:lastRenderedPageBreak/>
        <w:t xml:space="preserve">   </w:t>
      </w:r>
      <w:r w:rsidRPr="00E74478">
        <w:rPr>
          <w:rFonts w:ascii="Calibri" w:hAnsi="Calibri" w:cs="Calibri"/>
          <w:noProof/>
          <w:color w:val="FF0000"/>
          <w:sz w:val="20"/>
        </w:rPr>
        <w:drawing>
          <wp:inline distT="0" distB="0" distL="0" distR="0" wp14:anchorId="03F27F03" wp14:editId="08FF45F9">
            <wp:extent cx="3133725" cy="2042871"/>
            <wp:effectExtent l="0" t="0" r="0" b="0"/>
            <wp:docPr id="19830852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0291" cy="2047151"/>
                    </a:xfrm>
                    <a:prstGeom prst="rect">
                      <a:avLst/>
                    </a:prstGeom>
                    <a:noFill/>
                    <a:ln>
                      <a:noFill/>
                    </a:ln>
                  </pic:spPr>
                </pic:pic>
              </a:graphicData>
            </a:graphic>
          </wp:inline>
        </w:drawing>
      </w:r>
      <w:r w:rsidRPr="00E74478">
        <w:rPr>
          <w:rFonts w:ascii="Calibri" w:hAnsi="Calibri" w:cs="Calibri"/>
          <w:color w:val="FF0000"/>
          <w:sz w:val="20"/>
        </w:rPr>
        <w:t xml:space="preserve"> </w:t>
      </w:r>
      <w:r w:rsidRPr="00E74478">
        <w:rPr>
          <w:rFonts w:ascii="Calibri" w:hAnsi="Calibri" w:cs="Calibri"/>
          <w:noProof/>
          <w:color w:val="FF0000"/>
          <w:sz w:val="20"/>
        </w:rPr>
        <w:drawing>
          <wp:inline distT="0" distB="0" distL="0" distR="0" wp14:anchorId="442C178E" wp14:editId="6A9081F8">
            <wp:extent cx="3114002" cy="2042160"/>
            <wp:effectExtent l="0" t="0" r="0" b="0"/>
            <wp:docPr id="3015868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7119" cy="2057320"/>
                    </a:xfrm>
                    <a:prstGeom prst="rect">
                      <a:avLst/>
                    </a:prstGeom>
                    <a:noFill/>
                    <a:ln>
                      <a:noFill/>
                    </a:ln>
                  </pic:spPr>
                </pic:pic>
              </a:graphicData>
            </a:graphic>
          </wp:inline>
        </w:drawing>
      </w:r>
    </w:p>
    <w:p w14:paraId="7F9D99B4" w14:textId="28826D09" w:rsidR="00806391" w:rsidRPr="00806391" w:rsidRDefault="00806391" w:rsidP="00222AA1">
      <w:pPr>
        <w:spacing w:after="120"/>
        <w:jc w:val="left"/>
        <w:rPr>
          <w:rFonts w:ascii="Calibri" w:hAnsi="Calibri" w:cs="Calibri"/>
          <w:bCs/>
          <w:color w:val="000000" w:themeColor="text1"/>
          <w:sz w:val="20"/>
          <w:szCs w:val="24"/>
        </w:rPr>
      </w:pPr>
      <w:r w:rsidRPr="00806391">
        <w:rPr>
          <w:rFonts w:ascii="Calibri" w:hAnsi="Calibri" w:cs="Calibri"/>
          <w:bCs/>
          <w:color w:val="000000" w:themeColor="text1"/>
          <w:sz w:val="20"/>
          <w:szCs w:val="24"/>
        </w:rPr>
        <w:t xml:space="preserve">   </w:t>
      </w:r>
    </w:p>
    <w:p w14:paraId="5C1E7CFC" w14:textId="77777777" w:rsidR="00806391" w:rsidRPr="00806391" w:rsidRDefault="00806391" w:rsidP="00806391">
      <w:pPr>
        <w:spacing w:after="120"/>
        <w:rPr>
          <w:rFonts w:ascii="Calibri" w:hAnsi="Calibri" w:cs="Calibri"/>
          <w:bCs/>
          <w:color w:val="13576B"/>
          <w:szCs w:val="18"/>
        </w:rPr>
      </w:pPr>
      <w:r w:rsidRPr="00806391">
        <w:rPr>
          <w:rFonts w:ascii="Calibri" w:hAnsi="Calibri" w:cs="Calibri"/>
          <w:bCs/>
          <w:color w:val="13576B"/>
          <w:szCs w:val="18"/>
        </w:rPr>
        <w:t>Zdroj: ČNB, ČBA (sezónní očištění)</w:t>
      </w:r>
    </w:p>
    <w:p w14:paraId="18ADB8D3"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p>
    <w:p w14:paraId="65E86C4D" w14:textId="46EB34EE" w:rsidR="00806391" w:rsidRPr="00806391" w:rsidRDefault="00806391" w:rsidP="00806391">
      <w:pPr>
        <w:spacing w:after="120"/>
        <w:rPr>
          <w:rFonts w:ascii="Calibri" w:eastAsia="Calibri" w:hAnsi="Calibri" w:cs="Calibri"/>
          <w:b/>
          <w:color w:val="13576B"/>
          <w:sz w:val="22"/>
          <w:szCs w:val="28"/>
        </w:rPr>
      </w:pPr>
      <w:r w:rsidRPr="00806391">
        <w:rPr>
          <w:rFonts w:ascii="Calibri" w:eastAsia="Calibri" w:hAnsi="Calibri" w:cs="Calibri"/>
          <w:b/>
          <w:color w:val="13576B"/>
          <w:sz w:val="22"/>
          <w:szCs w:val="28"/>
        </w:rPr>
        <w:t>Makroekonomická Prognóza ČBA v číslech:</w:t>
      </w:r>
    </w:p>
    <w:tbl>
      <w:tblPr>
        <w:tblW w:w="8364" w:type="dxa"/>
        <w:tblCellMar>
          <w:left w:w="70" w:type="dxa"/>
          <w:right w:w="70" w:type="dxa"/>
        </w:tblCellMar>
        <w:tblLook w:val="04A0" w:firstRow="1" w:lastRow="0" w:firstColumn="1" w:lastColumn="0" w:noHBand="0" w:noVBand="1"/>
      </w:tblPr>
      <w:tblGrid>
        <w:gridCol w:w="4605"/>
        <w:gridCol w:w="680"/>
        <w:gridCol w:w="680"/>
        <w:gridCol w:w="680"/>
        <w:gridCol w:w="186"/>
        <w:gridCol w:w="160"/>
        <w:gridCol w:w="664"/>
        <w:gridCol w:w="709"/>
      </w:tblGrid>
      <w:tr w:rsidR="00DF20C8" w:rsidRPr="00743530" w14:paraId="524C563E" w14:textId="77777777" w:rsidTr="00661E85">
        <w:trPr>
          <w:trHeight w:val="225"/>
        </w:trPr>
        <w:tc>
          <w:tcPr>
            <w:tcW w:w="4605" w:type="dxa"/>
            <w:vMerge w:val="restart"/>
            <w:tcBorders>
              <w:top w:val="nil"/>
              <w:left w:val="nil"/>
              <w:bottom w:val="single" w:sz="8" w:space="0" w:color="FFFFFF"/>
              <w:right w:val="single" w:sz="8" w:space="0" w:color="FFFFFF"/>
            </w:tcBorders>
            <w:shd w:val="clear" w:color="000000" w:fill="13576B"/>
            <w:vAlign w:val="center"/>
            <w:hideMark/>
          </w:tcPr>
          <w:p w14:paraId="472A525E"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Ukazatel</w:t>
            </w:r>
          </w:p>
        </w:tc>
        <w:tc>
          <w:tcPr>
            <w:tcW w:w="680" w:type="dxa"/>
            <w:tcBorders>
              <w:top w:val="nil"/>
              <w:left w:val="nil"/>
              <w:bottom w:val="nil"/>
              <w:right w:val="single" w:sz="8" w:space="0" w:color="FFFFFF"/>
            </w:tcBorders>
            <w:shd w:val="clear" w:color="000000" w:fill="13576B"/>
            <w:vAlign w:val="center"/>
            <w:hideMark/>
          </w:tcPr>
          <w:p w14:paraId="3DA6B45E"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Pr>
                <w:rFonts w:ascii="Calibri Light" w:hAnsi="Calibri Light" w:cs="Calibri Light"/>
                <w:b/>
                <w:bCs/>
                <w:color w:val="FFFFFF"/>
                <w:szCs w:val="18"/>
              </w:rPr>
              <w:t>4</w:t>
            </w:r>
          </w:p>
        </w:tc>
        <w:tc>
          <w:tcPr>
            <w:tcW w:w="680" w:type="dxa"/>
            <w:tcBorders>
              <w:top w:val="nil"/>
              <w:left w:val="nil"/>
              <w:bottom w:val="nil"/>
              <w:right w:val="single" w:sz="8" w:space="0" w:color="FFFFFF"/>
            </w:tcBorders>
            <w:shd w:val="clear" w:color="000000" w:fill="13576B"/>
            <w:vAlign w:val="center"/>
            <w:hideMark/>
          </w:tcPr>
          <w:p w14:paraId="3F625A48"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Pr>
                <w:rFonts w:ascii="Calibri Light" w:hAnsi="Calibri Light" w:cs="Calibri Light"/>
                <w:b/>
                <w:bCs/>
                <w:color w:val="FFFFFF"/>
                <w:szCs w:val="18"/>
              </w:rPr>
              <w:t>5</w:t>
            </w:r>
          </w:p>
        </w:tc>
        <w:tc>
          <w:tcPr>
            <w:tcW w:w="680" w:type="dxa"/>
            <w:tcBorders>
              <w:top w:val="nil"/>
              <w:left w:val="nil"/>
              <w:bottom w:val="nil"/>
              <w:right w:val="single" w:sz="8" w:space="0" w:color="FFFFFF"/>
            </w:tcBorders>
            <w:shd w:val="clear" w:color="000000" w:fill="13576B"/>
            <w:vAlign w:val="center"/>
            <w:hideMark/>
          </w:tcPr>
          <w:p w14:paraId="3B2E57B8"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202</w:t>
            </w:r>
            <w:r>
              <w:rPr>
                <w:rFonts w:ascii="Calibri Light" w:hAnsi="Calibri Light" w:cs="Calibri Light"/>
                <w:b/>
                <w:bCs/>
                <w:color w:val="FFFFFF"/>
                <w:szCs w:val="18"/>
              </w:rPr>
              <w:t>6</w:t>
            </w:r>
          </w:p>
        </w:tc>
        <w:tc>
          <w:tcPr>
            <w:tcW w:w="186" w:type="dxa"/>
            <w:tcBorders>
              <w:top w:val="nil"/>
              <w:left w:val="nil"/>
              <w:bottom w:val="nil"/>
              <w:right w:val="single" w:sz="4" w:space="0" w:color="FFFFFF" w:themeColor="background1"/>
            </w:tcBorders>
            <w:shd w:val="clear" w:color="000000" w:fill="13576B"/>
          </w:tcPr>
          <w:p w14:paraId="7BE8065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533" w:type="dxa"/>
            <w:gridSpan w:val="3"/>
            <w:tcBorders>
              <w:top w:val="nil"/>
              <w:left w:val="single" w:sz="4" w:space="0" w:color="FFFFFF" w:themeColor="background1"/>
              <w:bottom w:val="nil"/>
              <w:right w:val="single" w:sz="8" w:space="0" w:color="FFFFFF"/>
            </w:tcBorders>
            <w:shd w:val="clear" w:color="000000" w:fill="13576B"/>
            <w:vAlign w:val="center"/>
          </w:tcPr>
          <w:p w14:paraId="0F47D894" w14:textId="77777777" w:rsidR="00DF20C8" w:rsidRPr="00345D5D" w:rsidRDefault="00DF20C8" w:rsidP="00661E85">
            <w:pPr>
              <w:overflowPunct/>
              <w:autoSpaceDE/>
              <w:autoSpaceDN/>
              <w:adjustRightInd/>
              <w:jc w:val="center"/>
              <w:textAlignment w:val="auto"/>
              <w:rPr>
                <w:rFonts w:ascii="Calibri Light" w:hAnsi="Calibri Light" w:cs="Calibri Light"/>
                <w:b/>
                <w:bCs/>
                <w:i/>
                <w:iCs/>
                <w:color w:val="FFFFFF"/>
                <w:szCs w:val="18"/>
              </w:rPr>
            </w:pPr>
            <w:r w:rsidRPr="00345D5D">
              <w:rPr>
                <w:rFonts w:ascii="Calibri Light" w:hAnsi="Calibri Light" w:cs="Calibri Light"/>
                <w:b/>
                <w:bCs/>
                <w:i/>
                <w:iCs/>
                <w:color w:val="FFFFFF"/>
                <w:szCs w:val="18"/>
              </w:rPr>
              <w:t>vs. předchozí výhled</w:t>
            </w:r>
          </w:p>
        </w:tc>
      </w:tr>
      <w:tr w:rsidR="00DF20C8" w:rsidRPr="00743530" w14:paraId="2A34C502" w14:textId="77777777" w:rsidTr="00661E85">
        <w:trPr>
          <w:trHeight w:val="28"/>
        </w:trPr>
        <w:tc>
          <w:tcPr>
            <w:tcW w:w="4605" w:type="dxa"/>
            <w:vMerge/>
            <w:tcBorders>
              <w:top w:val="nil"/>
              <w:left w:val="nil"/>
              <w:bottom w:val="single" w:sz="8" w:space="0" w:color="FFFFFF"/>
              <w:right w:val="single" w:sz="8" w:space="0" w:color="FFFFFF"/>
            </w:tcBorders>
            <w:vAlign w:val="center"/>
            <w:hideMark/>
          </w:tcPr>
          <w:p w14:paraId="5595765E"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p>
        </w:tc>
        <w:tc>
          <w:tcPr>
            <w:tcW w:w="680" w:type="dxa"/>
            <w:tcBorders>
              <w:top w:val="nil"/>
              <w:left w:val="nil"/>
              <w:bottom w:val="single" w:sz="8" w:space="0" w:color="FFFFFF"/>
              <w:right w:val="single" w:sz="8" w:space="0" w:color="FFFFFF"/>
            </w:tcBorders>
            <w:shd w:val="clear" w:color="000000" w:fill="13576B"/>
            <w:vAlign w:val="center"/>
            <w:hideMark/>
          </w:tcPr>
          <w:p w14:paraId="61EAD8ED"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0990E1B4"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c>
          <w:tcPr>
            <w:tcW w:w="680" w:type="dxa"/>
            <w:tcBorders>
              <w:top w:val="nil"/>
              <w:left w:val="nil"/>
              <w:bottom w:val="single" w:sz="8" w:space="0" w:color="FFFFFF"/>
              <w:right w:val="single" w:sz="8" w:space="0" w:color="FFFFFF"/>
            </w:tcBorders>
            <w:shd w:val="clear" w:color="000000" w:fill="13576B"/>
            <w:vAlign w:val="center"/>
            <w:hideMark/>
          </w:tcPr>
          <w:p w14:paraId="162F758F"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sidRPr="00743530">
              <w:rPr>
                <w:rFonts w:ascii="Calibri Light" w:hAnsi="Calibri Light" w:cs="Calibri Light"/>
                <w:b/>
                <w:bCs/>
                <w:color w:val="FFFFFF"/>
                <w:szCs w:val="18"/>
              </w:rPr>
              <w:t> </w:t>
            </w:r>
          </w:p>
        </w:tc>
        <w:tc>
          <w:tcPr>
            <w:tcW w:w="186" w:type="dxa"/>
            <w:tcBorders>
              <w:top w:val="nil"/>
              <w:left w:val="nil"/>
              <w:bottom w:val="single" w:sz="8" w:space="0" w:color="FFFFFF"/>
              <w:right w:val="single" w:sz="4" w:space="0" w:color="FFFFFF" w:themeColor="background1"/>
            </w:tcBorders>
            <w:shd w:val="clear" w:color="000000" w:fill="13576B"/>
          </w:tcPr>
          <w:p w14:paraId="35BDA72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13576B"/>
            <w:vAlign w:val="center"/>
          </w:tcPr>
          <w:p w14:paraId="47C2191F"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p>
        </w:tc>
        <w:tc>
          <w:tcPr>
            <w:tcW w:w="664" w:type="dxa"/>
            <w:tcBorders>
              <w:top w:val="nil"/>
              <w:left w:val="nil"/>
              <w:bottom w:val="single" w:sz="8" w:space="0" w:color="FFFFFF"/>
              <w:right w:val="single" w:sz="8" w:space="0" w:color="FFFFFF"/>
            </w:tcBorders>
            <w:shd w:val="clear" w:color="000000" w:fill="13576B"/>
            <w:vAlign w:val="center"/>
          </w:tcPr>
          <w:p w14:paraId="7C4A9C90"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Pr>
                <w:rFonts w:ascii="Calibri Light" w:hAnsi="Calibri Light" w:cs="Calibri Light"/>
                <w:b/>
                <w:bCs/>
                <w:i/>
                <w:iCs/>
                <w:color w:val="FFFFFF"/>
                <w:szCs w:val="18"/>
              </w:rPr>
              <w:t>2025</w:t>
            </w:r>
          </w:p>
        </w:tc>
        <w:tc>
          <w:tcPr>
            <w:tcW w:w="709" w:type="dxa"/>
            <w:tcBorders>
              <w:top w:val="nil"/>
              <w:left w:val="nil"/>
              <w:bottom w:val="single" w:sz="8" w:space="0" w:color="FFFFFF"/>
              <w:right w:val="single" w:sz="8" w:space="0" w:color="FFFFFF"/>
            </w:tcBorders>
            <w:shd w:val="clear" w:color="000000" w:fill="13576B"/>
            <w:vAlign w:val="center"/>
          </w:tcPr>
          <w:p w14:paraId="55654C81" w14:textId="77777777" w:rsidR="00DF20C8" w:rsidRPr="00743530" w:rsidRDefault="00DF20C8" w:rsidP="00661E85">
            <w:pPr>
              <w:overflowPunct/>
              <w:autoSpaceDE/>
              <w:autoSpaceDN/>
              <w:adjustRightInd/>
              <w:jc w:val="center"/>
              <w:textAlignment w:val="auto"/>
              <w:rPr>
                <w:rFonts w:ascii="Calibri Light" w:hAnsi="Calibri Light" w:cs="Calibri Light"/>
                <w:b/>
                <w:bCs/>
                <w:color w:val="FFFFFF"/>
                <w:szCs w:val="18"/>
              </w:rPr>
            </w:pPr>
            <w:r>
              <w:rPr>
                <w:rFonts w:ascii="Calibri Light" w:hAnsi="Calibri Light" w:cs="Calibri Light"/>
                <w:b/>
                <w:bCs/>
                <w:i/>
                <w:iCs/>
                <w:color w:val="FFFFFF"/>
                <w:szCs w:val="18"/>
              </w:rPr>
              <w:t>2026</w:t>
            </w:r>
          </w:p>
        </w:tc>
      </w:tr>
      <w:tr w:rsidR="00DF20C8" w:rsidRPr="00743530" w14:paraId="57A8A215"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4576B6E4"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reálného HDP (%)</w:t>
            </w:r>
          </w:p>
        </w:tc>
        <w:tc>
          <w:tcPr>
            <w:tcW w:w="680" w:type="dxa"/>
            <w:tcBorders>
              <w:top w:val="nil"/>
              <w:left w:val="nil"/>
              <w:bottom w:val="nil"/>
              <w:right w:val="single" w:sz="8" w:space="0" w:color="FFFFFF"/>
            </w:tcBorders>
            <w:shd w:val="clear" w:color="000000" w:fill="D9D9D9"/>
            <w:noWrap/>
            <w:vAlign w:val="center"/>
          </w:tcPr>
          <w:p w14:paraId="76532882"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1,1</w:t>
            </w:r>
          </w:p>
        </w:tc>
        <w:tc>
          <w:tcPr>
            <w:tcW w:w="680" w:type="dxa"/>
            <w:tcBorders>
              <w:top w:val="nil"/>
              <w:left w:val="nil"/>
              <w:bottom w:val="nil"/>
              <w:right w:val="single" w:sz="8" w:space="0" w:color="FFFFFF"/>
            </w:tcBorders>
            <w:shd w:val="clear" w:color="000000" w:fill="D9D9D9"/>
            <w:noWrap/>
            <w:vAlign w:val="center"/>
          </w:tcPr>
          <w:p w14:paraId="6F4601B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2,1</w:t>
            </w:r>
          </w:p>
        </w:tc>
        <w:tc>
          <w:tcPr>
            <w:tcW w:w="680" w:type="dxa"/>
            <w:tcBorders>
              <w:top w:val="nil"/>
              <w:left w:val="nil"/>
              <w:bottom w:val="nil"/>
              <w:right w:val="single" w:sz="8" w:space="0" w:color="FFFFFF"/>
            </w:tcBorders>
            <w:shd w:val="clear" w:color="000000" w:fill="D9D9D9"/>
            <w:noWrap/>
            <w:vAlign w:val="center"/>
          </w:tcPr>
          <w:p w14:paraId="6BBC479B"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2,0</w:t>
            </w:r>
          </w:p>
        </w:tc>
        <w:tc>
          <w:tcPr>
            <w:tcW w:w="186" w:type="dxa"/>
            <w:tcBorders>
              <w:top w:val="nil"/>
              <w:left w:val="nil"/>
              <w:bottom w:val="nil"/>
              <w:right w:val="single" w:sz="4" w:space="0" w:color="FFFFFF" w:themeColor="background1"/>
            </w:tcBorders>
            <w:shd w:val="clear" w:color="auto" w:fill="13576B"/>
            <w:vAlign w:val="center"/>
          </w:tcPr>
          <w:p w14:paraId="3113F0D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650AE807"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6E744DC6"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(0,4)</w:t>
            </w:r>
          </w:p>
        </w:tc>
        <w:tc>
          <w:tcPr>
            <w:tcW w:w="709" w:type="dxa"/>
            <w:tcBorders>
              <w:top w:val="nil"/>
              <w:left w:val="nil"/>
              <w:bottom w:val="nil"/>
              <w:right w:val="single" w:sz="8" w:space="0" w:color="FFFFFF"/>
            </w:tcBorders>
            <w:shd w:val="clear" w:color="000000" w:fill="D9D9D9"/>
            <w:vAlign w:val="center"/>
          </w:tcPr>
          <w:p w14:paraId="7ED8A11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r>
      <w:tr w:rsidR="00DF20C8" w:rsidRPr="00743530" w14:paraId="4FF2EF2E"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7B5ED86A" w14:textId="77777777" w:rsidR="00DF20C8" w:rsidRPr="00743530" w:rsidRDefault="00DF20C8" w:rsidP="00661E85">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spotřeby domácností (%)</w:t>
            </w:r>
          </w:p>
        </w:tc>
        <w:tc>
          <w:tcPr>
            <w:tcW w:w="680" w:type="dxa"/>
            <w:tcBorders>
              <w:top w:val="nil"/>
              <w:left w:val="nil"/>
              <w:bottom w:val="nil"/>
              <w:right w:val="single" w:sz="8" w:space="0" w:color="FFFFFF"/>
            </w:tcBorders>
            <w:shd w:val="clear" w:color="000000" w:fill="D9D9D9"/>
            <w:noWrap/>
            <w:vAlign w:val="center"/>
          </w:tcPr>
          <w:p w14:paraId="00A16415"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2,2</w:t>
            </w:r>
          </w:p>
        </w:tc>
        <w:tc>
          <w:tcPr>
            <w:tcW w:w="680" w:type="dxa"/>
            <w:tcBorders>
              <w:top w:val="nil"/>
              <w:left w:val="nil"/>
              <w:bottom w:val="nil"/>
              <w:right w:val="single" w:sz="8" w:space="0" w:color="FFFFFF"/>
            </w:tcBorders>
            <w:shd w:val="clear" w:color="000000" w:fill="D9D9D9"/>
            <w:noWrap/>
            <w:vAlign w:val="center"/>
          </w:tcPr>
          <w:p w14:paraId="4A89199F"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2,6</w:t>
            </w:r>
          </w:p>
        </w:tc>
        <w:tc>
          <w:tcPr>
            <w:tcW w:w="680" w:type="dxa"/>
            <w:tcBorders>
              <w:top w:val="nil"/>
              <w:left w:val="nil"/>
              <w:bottom w:val="nil"/>
              <w:right w:val="single" w:sz="8" w:space="0" w:color="FFFFFF"/>
            </w:tcBorders>
            <w:shd w:val="clear" w:color="000000" w:fill="D9D9D9"/>
            <w:noWrap/>
            <w:vAlign w:val="center"/>
          </w:tcPr>
          <w:p w14:paraId="08A8D81C"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p>
        </w:tc>
        <w:tc>
          <w:tcPr>
            <w:tcW w:w="186" w:type="dxa"/>
            <w:tcBorders>
              <w:top w:val="nil"/>
              <w:left w:val="nil"/>
              <w:bottom w:val="nil"/>
              <w:right w:val="single" w:sz="4" w:space="0" w:color="FFFFFF" w:themeColor="background1"/>
            </w:tcBorders>
            <w:shd w:val="clear" w:color="auto" w:fill="13576B"/>
            <w:vAlign w:val="center"/>
          </w:tcPr>
          <w:p w14:paraId="507765F7"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0F8F8CA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11128C14"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0F94865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r>
      <w:tr w:rsidR="00DF20C8" w:rsidRPr="00743530" w14:paraId="33B59048"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35CE924D" w14:textId="77777777" w:rsidR="00DF20C8" w:rsidRPr="00743530" w:rsidRDefault="00DF20C8" w:rsidP="00661E85">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vládní spotřeby (%)</w:t>
            </w:r>
          </w:p>
        </w:tc>
        <w:tc>
          <w:tcPr>
            <w:tcW w:w="680" w:type="dxa"/>
            <w:tcBorders>
              <w:top w:val="nil"/>
              <w:left w:val="nil"/>
              <w:bottom w:val="nil"/>
              <w:right w:val="single" w:sz="8" w:space="0" w:color="FFFFFF"/>
            </w:tcBorders>
            <w:shd w:val="clear" w:color="000000" w:fill="D9D9D9"/>
            <w:noWrap/>
            <w:vAlign w:val="center"/>
          </w:tcPr>
          <w:p w14:paraId="50CF5E9A"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3,2</w:t>
            </w:r>
          </w:p>
        </w:tc>
        <w:tc>
          <w:tcPr>
            <w:tcW w:w="680" w:type="dxa"/>
            <w:tcBorders>
              <w:top w:val="nil"/>
              <w:left w:val="nil"/>
              <w:bottom w:val="nil"/>
              <w:right w:val="single" w:sz="8" w:space="0" w:color="FFFFFF"/>
            </w:tcBorders>
            <w:shd w:val="clear" w:color="000000" w:fill="D9D9D9"/>
            <w:noWrap/>
            <w:vAlign w:val="center"/>
          </w:tcPr>
          <w:p w14:paraId="3E6D107D"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1,9</w:t>
            </w:r>
          </w:p>
        </w:tc>
        <w:tc>
          <w:tcPr>
            <w:tcW w:w="680" w:type="dxa"/>
            <w:tcBorders>
              <w:top w:val="nil"/>
              <w:left w:val="nil"/>
              <w:bottom w:val="nil"/>
              <w:right w:val="single" w:sz="8" w:space="0" w:color="FFFFFF"/>
            </w:tcBorders>
            <w:shd w:val="clear" w:color="000000" w:fill="D9D9D9"/>
            <w:noWrap/>
            <w:vAlign w:val="center"/>
          </w:tcPr>
          <w:p w14:paraId="791E5D61"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1,8</w:t>
            </w:r>
          </w:p>
        </w:tc>
        <w:tc>
          <w:tcPr>
            <w:tcW w:w="186" w:type="dxa"/>
            <w:tcBorders>
              <w:top w:val="nil"/>
              <w:left w:val="nil"/>
              <w:bottom w:val="nil"/>
              <w:right w:val="single" w:sz="4" w:space="0" w:color="FFFFFF" w:themeColor="background1"/>
            </w:tcBorders>
            <w:shd w:val="clear" w:color="auto" w:fill="13576B"/>
            <w:vAlign w:val="center"/>
          </w:tcPr>
          <w:p w14:paraId="1CF14781"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6F50DDAD"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0C55306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c>
          <w:tcPr>
            <w:tcW w:w="709" w:type="dxa"/>
            <w:tcBorders>
              <w:top w:val="nil"/>
              <w:left w:val="nil"/>
              <w:bottom w:val="nil"/>
              <w:right w:val="single" w:sz="8" w:space="0" w:color="FFFFFF"/>
            </w:tcBorders>
            <w:shd w:val="clear" w:color="000000" w:fill="D9D9D9"/>
            <w:vAlign w:val="center"/>
          </w:tcPr>
          <w:p w14:paraId="3B2FCC1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(0,3)</w:t>
            </w:r>
          </w:p>
        </w:tc>
      </w:tr>
      <w:tr w:rsidR="00DF20C8" w:rsidRPr="00743530" w14:paraId="58DA87A3"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576CF2A5" w14:textId="77777777" w:rsidR="00DF20C8" w:rsidRPr="00743530" w:rsidRDefault="00DF20C8" w:rsidP="00661E85">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investic (bez zásob, %)</w:t>
            </w:r>
          </w:p>
        </w:tc>
        <w:tc>
          <w:tcPr>
            <w:tcW w:w="680" w:type="dxa"/>
            <w:tcBorders>
              <w:top w:val="nil"/>
              <w:left w:val="nil"/>
              <w:bottom w:val="nil"/>
              <w:right w:val="single" w:sz="8" w:space="0" w:color="FFFFFF"/>
            </w:tcBorders>
            <w:shd w:val="clear" w:color="000000" w:fill="D9D9D9"/>
            <w:noWrap/>
            <w:vAlign w:val="center"/>
          </w:tcPr>
          <w:p w14:paraId="09A591A4"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-3,1</w:t>
            </w:r>
          </w:p>
        </w:tc>
        <w:tc>
          <w:tcPr>
            <w:tcW w:w="680" w:type="dxa"/>
            <w:tcBorders>
              <w:top w:val="nil"/>
              <w:left w:val="nil"/>
              <w:bottom w:val="nil"/>
              <w:right w:val="single" w:sz="8" w:space="0" w:color="FFFFFF"/>
            </w:tcBorders>
            <w:shd w:val="clear" w:color="000000" w:fill="D9D9D9"/>
            <w:noWrap/>
            <w:vAlign w:val="center"/>
          </w:tcPr>
          <w:p w14:paraId="2FD0F10F"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0,2</w:t>
            </w:r>
          </w:p>
        </w:tc>
        <w:tc>
          <w:tcPr>
            <w:tcW w:w="680" w:type="dxa"/>
            <w:tcBorders>
              <w:top w:val="nil"/>
              <w:left w:val="nil"/>
              <w:bottom w:val="nil"/>
              <w:right w:val="single" w:sz="8" w:space="0" w:color="FFFFFF"/>
            </w:tcBorders>
            <w:shd w:val="clear" w:color="000000" w:fill="D9D9D9"/>
            <w:noWrap/>
            <w:vAlign w:val="center"/>
          </w:tcPr>
          <w:p w14:paraId="7DBC93ED"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2,8</w:t>
            </w:r>
          </w:p>
        </w:tc>
        <w:tc>
          <w:tcPr>
            <w:tcW w:w="186" w:type="dxa"/>
            <w:tcBorders>
              <w:top w:val="nil"/>
              <w:left w:val="nil"/>
              <w:bottom w:val="nil"/>
              <w:right w:val="single" w:sz="4" w:space="0" w:color="FFFFFF" w:themeColor="background1"/>
            </w:tcBorders>
            <w:shd w:val="clear" w:color="auto" w:fill="13576B"/>
            <w:vAlign w:val="center"/>
          </w:tcPr>
          <w:p w14:paraId="4683F63D"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F8A67D6"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0BBE693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22D8239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r>
      <w:tr w:rsidR="00DF20C8" w:rsidRPr="00743530" w14:paraId="521D6DE3"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52925700" w14:textId="77777777" w:rsidR="00DF20C8" w:rsidRPr="00743530" w:rsidRDefault="00DF20C8" w:rsidP="00661E85">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 xml:space="preserve">Růst vývozů (%) </w:t>
            </w:r>
          </w:p>
        </w:tc>
        <w:tc>
          <w:tcPr>
            <w:tcW w:w="680" w:type="dxa"/>
            <w:tcBorders>
              <w:top w:val="nil"/>
              <w:left w:val="nil"/>
              <w:bottom w:val="nil"/>
              <w:right w:val="single" w:sz="8" w:space="0" w:color="FFFFFF"/>
            </w:tcBorders>
            <w:shd w:val="clear" w:color="000000" w:fill="D9D9D9"/>
            <w:noWrap/>
            <w:vAlign w:val="center"/>
          </w:tcPr>
          <w:p w14:paraId="53206C39"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1,1</w:t>
            </w:r>
          </w:p>
        </w:tc>
        <w:tc>
          <w:tcPr>
            <w:tcW w:w="680" w:type="dxa"/>
            <w:tcBorders>
              <w:top w:val="nil"/>
              <w:left w:val="nil"/>
              <w:bottom w:val="nil"/>
              <w:right w:val="single" w:sz="8" w:space="0" w:color="FFFFFF"/>
            </w:tcBorders>
            <w:shd w:val="clear" w:color="000000" w:fill="D9D9D9"/>
            <w:noWrap/>
            <w:vAlign w:val="center"/>
          </w:tcPr>
          <w:p w14:paraId="1DE49CA7"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2,3</w:t>
            </w:r>
          </w:p>
        </w:tc>
        <w:tc>
          <w:tcPr>
            <w:tcW w:w="680" w:type="dxa"/>
            <w:tcBorders>
              <w:top w:val="nil"/>
              <w:left w:val="nil"/>
              <w:bottom w:val="nil"/>
              <w:right w:val="single" w:sz="8" w:space="0" w:color="FFFFFF"/>
            </w:tcBorders>
            <w:shd w:val="clear" w:color="000000" w:fill="D9D9D9"/>
            <w:noWrap/>
            <w:vAlign w:val="center"/>
          </w:tcPr>
          <w:p w14:paraId="665A7341"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2,7</w:t>
            </w:r>
          </w:p>
        </w:tc>
        <w:tc>
          <w:tcPr>
            <w:tcW w:w="186" w:type="dxa"/>
            <w:tcBorders>
              <w:top w:val="nil"/>
              <w:left w:val="nil"/>
              <w:bottom w:val="nil"/>
              <w:right w:val="single" w:sz="4" w:space="0" w:color="FFFFFF" w:themeColor="background1"/>
            </w:tcBorders>
            <w:shd w:val="clear" w:color="auto" w:fill="13576B"/>
            <w:vAlign w:val="center"/>
          </w:tcPr>
          <w:p w14:paraId="3704747B"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0F573C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2367F5C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(1,1)</w:t>
            </w:r>
          </w:p>
        </w:tc>
        <w:tc>
          <w:tcPr>
            <w:tcW w:w="709" w:type="dxa"/>
            <w:tcBorders>
              <w:top w:val="nil"/>
              <w:left w:val="nil"/>
              <w:bottom w:val="nil"/>
              <w:right w:val="single" w:sz="8" w:space="0" w:color="FFFFFF"/>
            </w:tcBorders>
            <w:shd w:val="clear" w:color="000000" w:fill="D9D9D9"/>
            <w:vAlign w:val="center"/>
          </w:tcPr>
          <w:p w14:paraId="664DCF7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(-0,3)</w:t>
            </w:r>
          </w:p>
        </w:tc>
      </w:tr>
      <w:tr w:rsidR="00DF20C8" w:rsidRPr="00743530" w14:paraId="23A65C65"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4E0D6CE3" w14:textId="77777777" w:rsidR="00DF20C8" w:rsidRPr="00743530" w:rsidRDefault="00DF20C8" w:rsidP="00661E85">
            <w:pPr>
              <w:overflowPunct/>
              <w:autoSpaceDE/>
              <w:autoSpaceDN/>
              <w:adjustRightInd/>
              <w:ind w:firstLineChars="100" w:firstLine="201"/>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dovozů (%)</w:t>
            </w:r>
          </w:p>
        </w:tc>
        <w:tc>
          <w:tcPr>
            <w:tcW w:w="680" w:type="dxa"/>
            <w:tcBorders>
              <w:top w:val="nil"/>
              <w:left w:val="nil"/>
              <w:bottom w:val="single" w:sz="8" w:space="0" w:color="FFFFFF"/>
              <w:right w:val="single" w:sz="8" w:space="0" w:color="FFFFFF"/>
            </w:tcBorders>
            <w:shd w:val="clear" w:color="000000" w:fill="D9D9D9"/>
            <w:noWrap/>
            <w:vAlign w:val="center"/>
          </w:tcPr>
          <w:p w14:paraId="74172EFB"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0,2</w:t>
            </w:r>
          </w:p>
        </w:tc>
        <w:tc>
          <w:tcPr>
            <w:tcW w:w="680" w:type="dxa"/>
            <w:tcBorders>
              <w:top w:val="nil"/>
              <w:left w:val="nil"/>
              <w:bottom w:val="single" w:sz="8" w:space="0" w:color="FFFFFF"/>
              <w:right w:val="single" w:sz="8" w:space="0" w:color="FFFFFF"/>
            </w:tcBorders>
            <w:shd w:val="clear" w:color="000000" w:fill="D9D9D9"/>
            <w:noWrap/>
            <w:vAlign w:val="center"/>
          </w:tcPr>
          <w:p w14:paraId="38725051"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2,7</w:t>
            </w:r>
          </w:p>
        </w:tc>
        <w:tc>
          <w:tcPr>
            <w:tcW w:w="680" w:type="dxa"/>
            <w:tcBorders>
              <w:top w:val="nil"/>
              <w:left w:val="nil"/>
              <w:bottom w:val="single" w:sz="8" w:space="0" w:color="FFFFFF"/>
              <w:right w:val="single" w:sz="8" w:space="0" w:color="FFFFFF"/>
            </w:tcBorders>
            <w:shd w:val="clear" w:color="000000" w:fill="D9D9D9"/>
            <w:noWrap/>
            <w:vAlign w:val="center"/>
          </w:tcPr>
          <w:p w14:paraId="147FF418"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3,1</w:t>
            </w:r>
          </w:p>
        </w:tc>
        <w:tc>
          <w:tcPr>
            <w:tcW w:w="186" w:type="dxa"/>
            <w:tcBorders>
              <w:top w:val="nil"/>
              <w:left w:val="nil"/>
              <w:bottom w:val="single" w:sz="8" w:space="0" w:color="FFFFFF"/>
              <w:right w:val="single" w:sz="4" w:space="0" w:color="FFFFFF" w:themeColor="background1"/>
            </w:tcBorders>
            <w:shd w:val="clear" w:color="auto" w:fill="13576B"/>
            <w:vAlign w:val="center"/>
          </w:tcPr>
          <w:p w14:paraId="0BC3E6D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757B300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11ED59CD"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(1)</w:t>
            </w:r>
          </w:p>
        </w:tc>
        <w:tc>
          <w:tcPr>
            <w:tcW w:w="709" w:type="dxa"/>
            <w:tcBorders>
              <w:top w:val="nil"/>
              <w:left w:val="nil"/>
              <w:bottom w:val="single" w:sz="8" w:space="0" w:color="FFFFFF"/>
              <w:right w:val="single" w:sz="8" w:space="0" w:color="FFFFFF"/>
            </w:tcBorders>
            <w:shd w:val="clear" w:color="000000" w:fill="D9D9D9"/>
            <w:vAlign w:val="center"/>
          </w:tcPr>
          <w:p w14:paraId="599AD33B"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247BED01"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40335FFD"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Míra inflace: CPI (%) průměr</w:t>
            </w:r>
          </w:p>
        </w:tc>
        <w:tc>
          <w:tcPr>
            <w:tcW w:w="680" w:type="dxa"/>
            <w:tcBorders>
              <w:top w:val="nil"/>
              <w:left w:val="nil"/>
              <w:bottom w:val="nil"/>
              <w:right w:val="single" w:sz="4" w:space="0" w:color="FFFFFF"/>
            </w:tcBorders>
            <w:shd w:val="clear" w:color="000000" w:fill="D9D9D9"/>
            <w:noWrap/>
            <w:vAlign w:val="center"/>
          </w:tcPr>
          <w:p w14:paraId="0DF649D3"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2,4</w:t>
            </w:r>
          </w:p>
        </w:tc>
        <w:tc>
          <w:tcPr>
            <w:tcW w:w="680" w:type="dxa"/>
            <w:tcBorders>
              <w:top w:val="nil"/>
              <w:left w:val="nil"/>
              <w:bottom w:val="nil"/>
              <w:right w:val="single" w:sz="8" w:space="0" w:color="FFFFFF"/>
            </w:tcBorders>
            <w:shd w:val="clear" w:color="000000" w:fill="D9D9D9"/>
            <w:noWrap/>
            <w:vAlign w:val="center"/>
          </w:tcPr>
          <w:p w14:paraId="3C7AE01F"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2,5</w:t>
            </w:r>
          </w:p>
        </w:tc>
        <w:tc>
          <w:tcPr>
            <w:tcW w:w="680" w:type="dxa"/>
            <w:tcBorders>
              <w:top w:val="nil"/>
              <w:left w:val="nil"/>
              <w:bottom w:val="nil"/>
              <w:right w:val="single" w:sz="8" w:space="0" w:color="FFFFFF"/>
            </w:tcBorders>
            <w:shd w:val="clear" w:color="000000" w:fill="D9D9D9"/>
            <w:noWrap/>
            <w:vAlign w:val="center"/>
          </w:tcPr>
          <w:p w14:paraId="50F4CF2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2,2</w:t>
            </w:r>
          </w:p>
        </w:tc>
        <w:tc>
          <w:tcPr>
            <w:tcW w:w="186" w:type="dxa"/>
            <w:tcBorders>
              <w:top w:val="nil"/>
              <w:left w:val="nil"/>
              <w:bottom w:val="nil"/>
              <w:right w:val="single" w:sz="4" w:space="0" w:color="FFFFFF" w:themeColor="background1"/>
            </w:tcBorders>
            <w:shd w:val="clear" w:color="auto" w:fill="13576B"/>
            <w:vAlign w:val="center"/>
          </w:tcPr>
          <w:p w14:paraId="5ABB75AA"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649DCF93"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15312BEC"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1A6EB75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79B14475"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414010E3"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Míra inflace: CPI (%) konec roku</w:t>
            </w:r>
          </w:p>
        </w:tc>
        <w:tc>
          <w:tcPr>
            <w:tcW w:w="680" w:type="dxa"/>
            <w:tcBorders>
              <w:top w:val="nil"/>
              <w:left w:val="nil"/>
              <w:bottom w:val="nil"/>
              <w:right w:val="single" w:sz="4" w:space="0" w:color="FFFFFF"/>
            </w:tcBorders>
            <w:shd w:val="clear" w:color="000000" w:fill="D9D9D9"/>
            <w:noWrap/>
            <w:vAlign w:val="center"/>
          </w:tcPr>
          <w:p w14:paraId="51D49FEB"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2,9</w:t>
            </w:r>
          </w:p>
        </w:tc>
        <w:tc>
          <w:tcPr>
            <w:tcW w:w="680" w:type="dxa"/>
            <w:tcBorders>
              <w:top w:val="nil"/>
              <w:left w:val="nil"/>
              <w:bottom w:val="nil"/>
              <w:right w:val="single" w:sz="8" w:space="0" w:color="FFFFFF"/>
            </w:tcBorders>
            <w:shd w:val="clear" w:color="000000" w:fill="D9D9D9"/>
            <w:noWrap/>
            <w:vAlign w:val="center"/>
          </w:tcPr>
          <w:p w14:paraId="6507D0D6"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2,6</w:t>
            </w:r>
          </w:p>
        </w:tc>
        <w:tc>
          <w:tcPr>
            <w:tcW w:w="680" w:type="dxa"/>
            <w:tcBorders>
              <w:top w:val="nil"/>
              <w:left w:val="nil"/>
              <w:bottom w:val="nil"/>
              <w:right w:val="single" w:sz="8" w:space="0" w:color="FFFFFF"/>
            </w:tcBorders>
            <w:shd w:val="clear" w:color="000000" w:fill="D9D9D9"/>
            <w:noWrap/>
            <w:vAlign w:val="center"/>
          </w:tcPr>
          <w:p w14:paraId="77E3931B"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2,2</w:t>
            </w:r>
          </w:p>
        </w:tc>
        <w:tc>
          <w:tcPr>
            <w:tcW w:w="186" w:type="dxa"/>
            <w:tcBorders>
              <w:top w:val="nil"/>
              <w:left w:val="nil"/>
              <w:bottom w:val="nil"/>
              <w:right w:val="single" w:sz="4" w:space="0" w:color="FFFFFF" w:themeColor="background1"/>
            </w:tcBorders>
            <w:shd w:val="clear" w:color="auto" w:fill="13576B"/>
            <w:vAlign w:val="center"/>
          </w:tcPr>
          <w:p w14:paraId="708F6C31"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936778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49946D4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(0,6)</w:t>
            </w:r>
          </w:p>
        </w:tc>
        <w:tc>
          <w:tcPr>
            <w:tcW w:w="709" w:type="dxa"/>
            <w:tcBorders>
              <w:top w:val="nil"/>
              <w:left w:val="nil"/>
              <w:bottom w:val="nil"/>
              <w:right w:val="single" w:sz="8" w:space="0" w:color="FFFFFF"/>
            </w:tcBorders>
            <w:shd w:val="clear" w:color="000000" w:fill="D9D9D9"/>
            <w:vAlign w:val="center"/>
          </w:tcPr>
          <w:p w14:paraId="5E303013"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3331B0F5" w14:textId="77777777" w:rsidTr="00661E85">
        <w:trPr>
          <w:trHeight w:val="270"/>
        </w:trPr>
        <w:tc>
          <w:tcPr>
            <w:tcW w:w="4605" w:type="dxa"/>
            <w:tcBorders>
              <w:top w:val="nil"/>
              <w:left w:val="nil"/>
              <w:bottom w:val="nil"/>
              <w:right w:val="single" w:sz="8" w:space="0" w:color="FFFFFF"/>
            </w:tcBorders>
            <w:shd w:val="clear" w:color="000000" w:fill="13576B"/>
            <w:vAlign w:val="center"/>
          </w:tcPr>
          <w:p w14:paraId="209C2A80"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A5289C">
              <w:rPr>
                <w:rFonts w:ascii="Calibri Light" w:hAnsi="Calibri Light" w:cs="Calibri Light"/>
                <w:b/>
                <w:bCs/>
                <w:color w:val="FFFFFF"/>
                <w:sz w:val="20"/>
              </w:rPr>
              <w:t>Jádrová inflace CPI (%) průměr</w:t>
            </w:r>
          </w:p>
        </w:tc>
        <w:tc>
          <w:tcPr>
            <w:tcW w:w="680" w:type="dxa"/>
            <w:tcBorders>
              <w:top w:val="nil"/>
              <w:left w:val="nil"/>
              <w:bottom w:val="nil"/>
              <w:right w:val="single" w:sz="4" w:space="0" w:color="FFFFFF"/>
            </w:tcBorders>
            <w:shd w:val="clear" w:color="000000" w:fill="D9D9D9"/>
            <w:noWrap/>
            <w:vAlign w:val="center"/>
          </w:tcPr>
          <w:p w14:paraId="22173CDB" w14:textId="77777777" w:rsidR="00DF20C8"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w:t>
            </w:r>
          </w:p>
        </w:tc>
        <w:tc>
          <w:tcPr>
            <w:tcW w:w="680" w:type="dxa"/>
            <w:tcBorders>
              <w:top w:val="nil"/>
              <w:left w:val="nil"/>
              <w:bottom w:val="nil"/>
              <w:right w:val="single" w:sz="8" w:space="0" w:color="FFFFFF"/>
            </w:tcBorders>
            <w:shd w:val="clear" w:color="000000" w:fill="D9D9D9"/>
            <w:noWrap/>
            <w:vAlign w:val="center"/>
          </w:tcPr>
          <w:p w14:paraId="7086548E" w14:textId="77777777" w:rsidR="00DF20C8"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2,7</w:t>
            </w:r>
          </w:p>
        </w:tc>
        <w:tc>
          <w:tcPr>
            <w:tcW w:w="680" w:type="dxa"/>
            <w:tcBorders>
              <w:top w:val="nil"/>
              <w:left w:val="nil"/>
              <w:bottom w:val="nil"/>
              <w:right w:val="single" w:sz="8" w:space="0" w:color="FFFFFF"/>
            </w:tcBorders>
            <w:shd w:val="clear" w:color="000000" w:fill="D9D9D9"/>
            <w:noWrap/>
            <w:vAlign w:val="center"/>
          </w:tcPr>
          <w:p w14:paraId="6C66B1DC" w14:textId="77777777" w:rsidR="00DF20C8"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w:t>
            </w:r>
          </w:p>
        </w:tc>
        <w:tc>
          <w:tcPr>
            <w:tcW w:w="186" w:type="dxa"/>
            <w:tcBorders>
              <w:top w:val="nil"/>
              <w:left w:val="nil"/>
              <w:bottom w:val="nil"/>
              <w:right w:val="single" w:sz="4" w:space="0" w:color="FFFFFF" w:themeColor="background1"/>
            </w:tcBorders>
            <w:shd w:val="clear" w:color="auto" w:fill="13576B"/>
            <w:vAlign w:val="center"/>
          </w:tcPr>
          <w:p w14:paraId="3AC242E1"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98C724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2C07EA27"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46AE990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6B658A2E"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145E73CF"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Podíl nezaměstnaných osob (MPSV): průměr (%)</w:t>
            </w:r>
          </w:p>
        </w:tc>
        <w:tc>
          <w:tcPr>
            <w:tcW w:w="680" w:type="dxa"/>
            <w:tcBorders>
              <w:top w:val="nil"/>
              <w:left w:val="nil"/>
              <w:bottom w:val="nil"/>
              <w:right w:val="single" w:sz="4" w:space="0" w:color="FFFFFF"/>
            </w:tcBorders>
            <w:shd w:val="clear" w:color="000000" w:fill="D9D9D9"/>
            <w:noWrap/>
            <w:vAlign w:val="center"/>
          </w:tcPr>
          <w:p w14:paraId="068D86A6"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3,8</w:t>
            </w:r>
          </w:p>
        </w:tc>
        <w:tc>
          <w:tcPr>
            <w:tcW w:w="680" w:type="dxa"/>
            <w:tcBorders>
              <w:top w:val="nil"/>
              <w:left w:val="nil"/>
              <w:bottom w:val="nil"/>
              <w:right w:val="single" w:sz="8" w:space="0" w:color="FFFFFF"/>
            </w:tcBorders>
            <w:shd w:val="clear" w:color="000000" w:fill="D9D9D9"/>
            <w:noWrap/>
            <w:vAlign w:val="center"/>
          </w:tcPr>
          <w:p w14:paraId="7E73357D"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4,4</w:t>
            </w:r>
          </w:p>
        </w:tc>
        <w:tc>
          <w:tcPr>
            <w:tcW w:w="680" w:type="dxa"/>
            <w:tcBorders>
              <w:top w:val="nil"/>
              <w:left w:val="nil"/>
              <w:bottom w:val="nil"/>
              <w:right w:val="single" w:sz="8" w:space="0" w:color="FFFFFF"/>
            </w:tcBorders>
            <w:shd w:val="clear" w:color="000000" w:fill="D9D9D9"/>
            <w:noWrap/>
            <w:vAlign w:val="center"/>
          </w:tcPr>
          <w:p w14:paraId="24D7FC8A"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4,4</w:t>
            </w:r>
          </w:p>
        </w:tc>
        <w:tc>
          <w:tcPr>
            <w:tcW w:w="186" w:type="dxa"/>
            <w:tcBorders>
              <w:top w:val="nil"/>
              <w:left w:val="nil"/>
              <w:bottom w:val="nil"/>
              <w:right w:val="single" w:sz="4" w:space="0" w:color="FFFFFF" w:themeColor="background1"/>
            </w:tcBorders>
            <w:shd w:val="clear" w:color="auto" w:fill="13576B"/>
            <w:vAlign w:val="center"/>
          </w:tcPr>
          <w:p w14:paraId="0D0004FD"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54CC22F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3667563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35647EE9"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(0,3)</w:t>
            </w:r>
          </w:p>
        </w:tc>
      </w:tr>
      <w:tr w:rsidR="00DF20C8" w:rsidRPr="00743530" w14:paraId="5BF0BB3E"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3173093D"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Průměrná nominální mzda (růst v %)</w:t>
            </w:r>
          </w:p>
        </w:tc>
        <w:tc>
          <w:tcPr>
            <w:tcW w:w="680" w:type="dxa"/>
            <w:tcBorders>
              <w:top w:val="nil"/>
              <w:left w:val="nil"/>
              <w:bottom w:val="nil"/>
              <w:right w:val="single" w:sz="8" w:space="0" w:color="FFFFFF"/>
            </w:tcBorders>
            <w:shd w:val="clear" w:color="000000" w:fill="D9D9D9"/>
            <w:noWrap/>
            <w:vAlign w:val="center"/>
          </w:tcPr>
          <w:p w14:paraId="25362CD3"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7,2</w:t>
            </w:r>
          </w:p>
        </w:tc>
        <w:tc>
          <w:tcPr>
            <w:tcW w:w="680" w:type="dxa"/>
            <w:tcBorders>
              <w:top w:val="nil"/>
              <w:left w:val="nil"/>
              <w:bottom w:val="nil"/>
              <w:right w:val="single" w:sz="8" w:space="0" w:color="FFFFFF"/>
            </w:tcBorders>
            <w:shd w:val="clear" w:color="000000" w:fill="D9D9D9"/>
            <w:noWrap/>
            <w:vAlign w:val="center"/>
          </w:tcPr>
          <w:p w14:paraId="2A624EF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6,2</w:t>
            </w:r>
          </w:p>
        </w:tc>
        <w:tc>
          <w:tcPr>
            <w:tcW w:w="680" w:type="dxa"/>
            <w:tcBorders>
              <w:top w:val="nil"/>
              <w:left w:val="nil"/>
              <w:bottom w:val="nil"/>
              <w:right w:val="single" w:sz="8" w:space="0" w:color="FFFFFF"/>
            </w:tcBorders>
            <w:shd w:val="clear" w:color="000000" w:fill="D9D9D9"/>
            <w:noWrap/>
            <w:vAlign w:val="center"/>
          </w:tcPr>
          <w:p w14:paraId="187BB83E"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4,9</w:t>
            </w:r>
          </w:p>
        </w:tc>
        <w:tc>
          <w:tcPr>
            <w:tcW w:w="186" w:type="dxa"/>
            <w:tcBorders>
              <w:top w:val="nil"/>
              <w:left w:val="nil"/>
              <w:bottom w:val="nil"/>
              <w:right w:val="single" w:sz="4" w:space="0" w:color="FFFFFF" w:themeColor="background1"/>
            </w:tcBorders>
            <w:shd w:val="clear" w:color="auto" w:fill="13576B"/>
            <w:vAlign w:val="center"/>
          </w:tcPr>
          <w:p w14:paraId="5D57CE94"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0C9CFC7B"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7D8E9FB2"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(0,4)</w:t>
            </w:r>
          </w:p>
        </w:tc>
        <w:tc>
          <w:tcPr>
            <w:tcW w:w="709" w:type="dxa"/>
            <w:tcBorders>
              <w:top w:val="nil"/>
              <w:left w:val="nil"/>
              <w:bottom w:val="nil"/>
              <w:right w:val="single" w:sz="8" w:space="0" w:color="FFFFFF"/>
            </w:tcBorders>
            <w:shd w:val="clear" w:color="000000" w:fill="D9D9D9"/>
            <w:vAlign w:val="center"/>
          </w:tcPr>
          <w:p w14:paraId="63916586"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r>
      <w:tr w:rsidR="00DF20C8" w:rsidRPr="00743530" w14:paraId="6077B884"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3D4C1323"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Průměrná reálná mzda (%)</w:t>
            </w:r>
          </w:p>
        </w:tc>
        <w:tc>
          <w:tcPr>
            <w:tcW w:w="680" w:type="dxa"/>
            <w:tcBorders>
              <w:top w:val="nil"/>
              <w:left w:val="nil"/>
              <w:bottom w:val="single" w:sz="8" w:space="0" w:color="FFFFFF"/>
              <w:right w:val="single" w:sz="8" w:space="0" w:color="FFFFFF"/>
            </w:tcBorders>
            <w:shd w:val="clear" w:color="000000" w:fill="D9D9D9"/>
            <w:noWrap/>
            <w:vAlign w:val="center"/>
          </w:tcPr>
          <w:p w14:paraId="2A8708D9"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4,7</w:t>
            </w:r>
          </w:p>
        </w:tc>
        <w:tc>
          <w:tcPr>
            <w:tcW w:w="680" w:type="dxa"/>
            <w:tcBorders>
              <w:top w:val="nil"/>
              <w:left w:val="nil"/>
              <w:bottom w:val="single" w:sz="8" w:space="0" w:color="FFFFFF"/>
              <w:right w:val="single" w:sz="8" w:space="0" w:color="FFFFFF"/>
            </w:tcBorders>
            <w:shd w:val="clear" w:color="000000" w:fill="D9D9D9"/>
            <w:noWrap/>
            <w:vAlign w:val="center"/>
          </w:tcPr>
          <w:p w14:paraId="196B2C39"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3,6</w:t>
            </w:r>
          </w:p>
        </w:tc>
        <w:tc>
          <w:tcPr>
            <w:tcW w:w="680" w:type="dxa"/>
            <w:tcBorders>
              <w:top w:val="nil"/>
              <w:left w:val="nil"/>
              <w:bottom w:val="single" w:sz="8" w:space="0" w:color="FFFFFF"/>
              <w:right w:val="single" w:sz="8" w:space="0" w:color="FFFFFF"/>
            </w:tcBorders>
            <w:shd w:val="clear" w:color="000000" w:fill="D9D9D9"/>
            <w:noWrap/>
            <w:vAlign w:val="center"/>
          </w:tcPr>
          <w:p w14:paraId="3F8C53CF"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2,6</w:t>
            </w:r>
          </w:p>
        </w:tc>
        <w:tc>
          <w:tcPr>
            <w:tcW w:w="186" w:type="dxa"/>
            <w:tcBorders>
              <w:top w:val="nil"/>
              <w:left w:val="nil"/>
              <w:bottom w:val="single" w:sz="8" w:space="0" w:color="FFFFFF"/>
              <w:right w:val="single" w:sz="4" w:space="0" w:color="FFFFFF" w:themeColor="background1"/>
            </w:tcBorders>
            <w:shd w:val="clear" w:color="auto" w:fill="13576B"/>
            <w:vAlign w:val="center"/>
          </w:tcPr>
          <w:p w14:paraId="0578028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6805656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320F3BD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single" w:sz="8" w:space="0" w:color="FFFFFF"/>
              <w:right w:val="single" w:sz="8" w:space="0" w:color="FFFFFF"/>
            </w:tcBorders>
            <w:shd w:val="clear" w:color="000000" w:fill="D9D9D9"/>
            <w:vAlign w:val="center"/>
          </w:tcPr>
          <w:p w14:paraId="0D78704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6FD73238"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6BEE9BA8"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Vládní deficit/přebytek (% HDP)</w:t>
            </w:r>
          </w:p>
        </w:tc>
        <w:tc>
          <w:tcPr>
            <w:tcW w:w="680" w:type="dxa"/>
            <w:tcBorders>
              <w:top w:val="nil"/>
              <w:left w:val="nil"/>
              <w:bottom w:val="nil"/>
              <w:right w:val="single" w:sz="8" w:space="0" w:color="FFFFFF"/>
            </w:tcBorders>
            <w:shd w:val="clear" w:color="000000" w:fill="D9D9D9"/>
            <w:noWrap/>
            <w:vAlign w:val="center"/>
          </w:tcPr>
          <w:p w14:paraId="3BD677F7"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-2,2</w:t>
            </w:r>
          </w:p>
        </w:tc>
        <w:tc>
          <w:tcPr>
            <w:tcW w:w="680" w:type="dxa"/>
            <w:tcBorders>
              <w:top w:val="nil"/>
              <w:left w:val="nil"/>
              <w:bottom w:val="nil"/>
              <w:right w:val="single" w:sz="8" w:space="0" w:color="FFFFFF"/>
            </w:tcBorders>
            <w:shd w:val="clear" w:color="000000" w:fill="D9D9D9"/>
            <w:noWrap/>
            <w:vAlign w:val="center"/>
          </w:tcPr>
          <w:p w14:paraId="2DC502FE"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-2,3</w:t>
            </w:r>
          </w:p>
        </w:tc>
        <w:tc>
          <w:tcPr>
            <w:tcW w:w="680" w:type="dxa"/>
            <w:tcBorders>
              <w:top w:val="nil"/>
              <w:left w:val="nil"/>
              <w:bottom w:val="nil"/>
              <w:right w:val="single" w:sz="8" w:space="0" w:color="FFFFFF"/>
            </w:tcBorders>
            <w:shd w:val="clear" w:color="000000" w:fill="D9D9D9"/>
            <w:noWrap/>
            <w:vAlign w:val="center"/>
          </w:tcPr>
          <w:p w14:paraId="7A108FF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-2,3</w:t>
            </w:r>
          </w:p>
        </w:tc>
        <w:tc>
          <w:tcPr>
            <w:tcW w:w="186" w:type="dxa"/>
            <w:tcBorders>
              <w:top w:val="nil"/>
              <w:left w:val="nil"/>
              <w:bottom w:val="nil"/>
              <w:right w:val="single" w:sz="4" w:space="0" w:color="FFFFFF" w:themeColor="background1"/>
            </w:tcBorders>
            <w:shd w:val="clear" w:color="auto" w:fill="13576B"/>
            <w:vAlign w:val="center"/>
          </w:tcPr>
          <w:p w14:paraId="686F80FE"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18B48C22"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6170B17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c>
          <w:tcPr>
            <w:tcW w:w="709" w:type="dxa"/>
            <w:tcBorders>
              <w:top w:val="nil"/>
              <w:left w:val="nil"/>
              <w:bottom w:val="nil"/>
              <w:right w:val="single" w:sz="8" w:space="0" w:color="FFFFFF"/>
            </w:tcBorders>
            <w:shd w:val="clear" w:color="000000" w:fill="D9D9D9"/>
            <w:vAlign w:val="center"/>
          </w:tcPr>
          <w:p w14:paraId="3B56110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26D877D8"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2DAE8CE6"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 xml:space="preserve">Vládní dluh (% HDP) </w:t>
            </w:r>
          </w:p>
        </w:tc>
        <w:tc>
          <w:tcPr>
            <w:tcW w:w="680" w:type="dxa"/>
            <w:tcBorders>
              <w:top w:val="nil"/>
              <w:left w:val="nil"/>
              <w:bottom w:val="single" w:sz="8" w:space="0" w:color="FFFFFF"/>
              <w:right w:val="single" w:sz="8" w:space="0" w:color="FFFFFF"/>
            </w:tcBorders>
            <w:shd w:val="clear" w:color="000000" w:fill="D9D9D9"/>
            <w:noWrap/>
            <w:vAlign w:val="center"/>
          </w:tcPr>
          <w:p w14:paraId="1C602574"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43,3</w:t>
            </w:r>
          </w:p>
        </w:tc>
        <w:tc>
          <w:tcPr>
            <w:tcW w:w="680" w:type="dxa"/>
            <w:tcBorders>
              <w:top w:val="nil"/>
              <w:left w:val="nil"/>
              <w:bottom w:val="single" w:sz="8" w:space="0" w:color="FFFFFF"/>
              <w:right w:val="single" w:sz="8" w:space="0" w:color="FFFFFF"/>
            </w:tcBorders>
            <w:shd w:val="clear" w:color="000000" w:fill="D9D9D9"/>
            <w:noWrap/>
            <w:vAlign w:val="center"/>
          </w:tcPr>
          <w:p w14:paraId="2F899B13"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44,1</w:t>
            </w:r>
          </w:p>
        </w:tc>
        <w:tc>
          <w:tcPr>
            <w:tcW w:w="680" w:type="dxa"/>
            <w:tcBorders>
              <w:top w:val="nil"/>
              <w:left w:val="nil"/>
              <w:bottom w:val="single" w:sz="8" w:space="0" w:color="FFFFFF"/>
              <w:right w:val="single" w:sz="8" w:space="0" w:color="FFFFFF"/>
            </w:tcBorders>
            <w:shd w:val="clear" w:color="000000" w:fill="D9D9D9"/>
            <w:noWrap/>
            <w:vAlign w:val="center"/>
          </w:tcPr>
          <w:p w14:paraId="4D0EE9C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44,7</w:t>
            </w:r>
          </w:p>
        </w:tc>
        <w:tc>
          <w:tcPr>
            <w:tcW w:w="186" w:type="dxa"/>
            <w:tcBorders>
              <w:top w:val="nil"/>
              <w:left w:val="nil"/>
              <w:bottom w:val="single" w:sz="8" w:space="0" w:color="FFFFFF"/>
              <w:right w:val="single" w:sz="4" w:space="0" w:color="FFFFFF" w:themeColor="background1"/>
            </w:tcBorders>
            <w:shd w:val="clear" w:color="auto" w:fill="13576B"/>
            <w:vAlign w:val="center"/>
          </w:tcPr>
          <w:p w14:paraId="502AD114"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15A3D40B"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490A736D"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single" w:sz="8" w:space="0" w:color="FFFFFF"/>
              <w:right w:val="single" w:sz="8" w:space="0" w:color="FFFFFF"/>
            </w:tcBorders>
            <w:shd w:val="clear" w:color="000000" w:fill="D9D9D9"/>
            <w:vAlign w:val="center"/>
          </w:tcPr>
          <w:p w14:paraId="30FAF6BD"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r>
      <w:tr w:rsidR="00DF20C8" w:rsidRPr="00743530" w14:paraId="2ACC12CD"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597A625F"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Základní sazba ČNB 2T REPO (%): konec období</w:t>
            </w:r>
          </w:p>
        </w:tc>
        <w:tc>
          <w:tcPr>
            <w:tcW w:w="680" w:type="dxa"/>
            <w:tcBorders>
              <w:top w:val="nil"/>
              <w:left w:val="nil"/>
              <w:bottom w:val="nil"/>
              <w:right w:val="single" w:sz="8" w:space="0" w:color="FFFFFF"/>
            </w:tcBorders>
            <w:shd w:val="clear" w:color="000000" w:fill="D9D9D9"/>
            <w:noWrap/>
            <w:vAlign w:val="center"/>
          </w:tcPr>
          <w:p w14:paraId="471CCC99"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4,00</w:t>
            </w:r>
          </w:p>
        </w:tc>
        <w:tc>
          <w:tcPr>
            <w:tcW w:w="680" w:type="dxa"/>
            <w:tcBorders>
              <w:top w:val="nil"/>
              <w:left w:val="nil"/>
              <w:bottom w:val="nil"/>
              <w:right w:val="single" w:sz="8" w:space="0" w:color="FFFFFF"/>
            </w:tcBorders>
            <w:shd w:val="clear" w:color="000000" w:fill="D9D9D9"/>
            <w:noWrap/>
            <w:vAlign w:val="center"/>
          </w:tcPr>
          <w:p w14:paraId="36E1ED9D"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3,50</w:t>
            </w:r>
          </w:p>
        </w:tc>
        <w:tc>
          <w:tcPr>
            <w:tcW w:w="680" w:type="dxa"/>
            <w:tcBorders>
              <w:top w:val="nil"/>
              <w:left w:val="nil"/>
              <w:bottom w:val="nil"/>
              <w:right w:val="single" w:sz="8" w:space="0" w:color="FFFFFF"/>
            </w:tcBorders>
            <w:shd w:val="clear" w:color="000000" w:fill="D9D9D9"/>
            <w:noWrap/>
            <w:vAlign w:val="center"/>
          </w:tcPr>
          <w:p w14:paraId="14656652"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3,25</w:t>
            </w:r>
          </w:p>
        </w:tc>
        <w:tc>
          <w:tcPr>
            <w:tcW w:w="186" w:type="dxa"/>
            <w:tcBorders>
              <w:top w:val="nil"/>
              <w:left w:val="nil"/>
              <w:bottom w:val="nil"/>
              <w:right w:val="single" w:sz="4" w:space="0" w:color="FFFFFF" w:themeColor="background1"/>
            </w:tcBorders>
            <w:shd w:val="clear" w:color="auto" w:fill="13576B"/>
            <w:vAlign w:val="center"/>
          </w:tcPr>
          <w:p w14:paraId="111319CE"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24D1A84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1A31D80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(0,25)</w:t>
            </w:r>
          </w:p>
        </w:tc>
        <w:tc>
          <w:tcPr>
            <w:tcW w:w="709" w:type="dxa"/>
            <w:tcBorders>
              <w:top w:val="nil"/>
              <w:left w:val="nil"/>
              <w:bottom w:val="nil"/>
              <w:right w:val="single" w:sz="8" w:space="0" w:color="FFFFFF"/>
            </w:tcBorders>
            <w:shd w:val="clear" w:color="000000" w:fill="D9D9D9"/>
            <w:vAlign w:val="center"/>
          </w:tcPr>
          <w:p w14:paraId="053A5B4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(0,25)</w:t>
            </w:r>
          </w:p>
        </w:tc>
      </w:tr>
      <w:tr w:rsidR="00DF20C8" w:rsidRPr="00743530" w14:paraId="58B6BEDE"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71FA06CE"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3M-PRIBOR (%): průměr</w:t>
            </w:r>
          </w:p>
        </w:tc>
        <w:tc>
          <w:tcPr>
            <w:tcW w:w="680" w:type="dxa"/>
            <w:tcBorders>
              <w:top w:val="nil"/>
              <w:left w:val="nil"/>
              <w:bottom w:val="nil"/>
              <w:right w:val="single" w:sz="8" w:space="0" w:color="FFFFFF"/>
            </w:tcBorders>
            <w:shd w:val="clear" w:color="000000" w:fill="D9D9D9"/>
            <w:noWrap/>
            <w:vAlign w:val="center"/>
          </w:tcPr>
          <w:p w14:paraId="1FE3FFDA"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5,0</w:t>
            </w:r>
          </w:p>
        </w:tc>
        <w:tc>
          <w:tcPr>
            <w:tcW w:w="680" w:type="dxa"/>
            <w:tcBorders>
              <w:top w:val="nil"/>
              <w:left w:val="nil"/>
              <w:bottom w:val="nil"/>
              <w:right w:val="single" w:sz="8" w:space="0" w:color="FFFFFF"/>
            </w:tcBorders>
            <w:shd w:val="clear" w:color="000000" w:fill="D9D9D9"/>
            <w:noWrap/>
            <w:vAlign w:val="center"/>
          </w:tcPr>
          <w:p w14:paraId="08DB2125"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3,5</w:t>
            </w:r>
          </w:p>
        </w:tc>
        <w:tc>
          <w:tcPr>
            <w:tcW w:w="680" w:type="dxa"/>
            <w:tcBorders>
              <w:top w:val="nil"/>
              <w:left w:val="nil"/>
              <w:bottom w:val="nil"/>
              <w:right w:val="single" w:sz="8" w:space="0" w:color="FFFFFF"/>
            </w:tcBorders>
            <w:shd w:val="clear" w:color="000000" w:fill="D9D9D9"/>
            <w:noWrap/>
            <w:vAlign w:val="center"/>
          </w:tcPr>
          <w:p w14:paraId="59933ED7"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3,3</w:t>
            </w:r>
          </w:p>
        </w:tc>
        <w:tc>
          <w:tcPr>
            <w:tcW w:w="186" w:type="dxa"/>
            <w:tcBorders>
              <w:top w:val="nil"/>
              <w:left w:val="nil"/>
              <w:bottom w:val="nil"/>
              <w:right w:val="single" w:sz="4" w:space="0" w:color="FFFFFF" w:themeColor="background1"/>
            </w:tcBorders>
            <w:shd w:val="clear" w:color="auto" w:fill="13576B"/>
            <w:vAlign w:val="center"/>
          </w:tcPr>
          <w:p w14:paraId="00DE9301"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75BA391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042E371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c>
          <w:tcPr>
            <w:tcW w:w="709" w:type="dxa"/>
            <w:tcBorders>
              <w:top w:val="nil"/>
              <w:left w:val="nil"/>
              <w:bottom w:val="nil"/>
              <w:right w:val="single" w:sz="8" w:space="0" w:color="FFFFFF"/>
            </w:tcBorders>
            <w:shd w:val="clear" w:color="000000" w:fill="D9D9D9"/>
            <w:vAlign w:val="center"/>
          </w:tcPr>
          <w:p w14:paraId="7C04A18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r>
      <w:tr w:rsidR="00DF20C8" w:rsidRPr="00743530" w14:paraId="6EEC517D"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75C53545"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Výnos 10letého vládního dluhopisu (%): průměr</w:t>
            </w:r>
          </w:p>
        </w:tc>
        <w:tc>
          <w:tcPr>
            <w:tcW w:w="680" w:type="dxa"/>
            <w:tcBorders>
              <w:top w:val="nil"/>
              <w:left w:val="nil"/>
              <w:bottom w:val="nil"/>
              <w:right w:val="single" w:sz="8" w:space="0" w:color="FFFFFF"/>
            </w:tcBorders>
            <w:shd w:val="clear" w:color="000000" w:fill="D9D9D9"/>
            <w:noWrap/>
            <w:vAlign w:val="center"/>
          </w:tcPr>
          <w:p w14:paraId="2999841D"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4,0</w:t>
            </w:r>
          </w:p>
        </w:tc>
        <w:tc>
          <w:tcPr>
            <w:tcW w:w="680" w:type="dxa"/>
            <w:tcBorders>
              <w:top w:val="nil"/>
              <w:left w:val="nil"/>
              <w:bottom w:val="nil"/>
              <w:right w:val="single" w:sz="8" w:space="0" w:color="FFFFFF"/>
            </w:tcBorders>
            <w:shd w:val="clear" w:color="000000" w:fill="D9D9D9"/>
            <w:noWrap/>
            <w:vAlign w:val="center"/>
          </w:tcPr>
          <w:p w14:paraId="016E23AE"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4,2</w:t>
            </w:r>
          </w:p>
        </w:tc>
        <w:tc>
          <w:tcPr>
            <w:tcW w:w="680" w:type="dxa"/>
            <w:tcBorders>
              <w:top w:val="nil"/>
              <w:left w:val="nil"/>
              <w:bottom w:val="nil"/>
              <w:right w:val="single" w:sz="8" w:space="0" w:color="FFFFFF"/>
            </w:tcBorders>
            <w:shd w:val="clear" w:color="000000" w:fill="D9D9D9"/>
            <w:noWrap/>
            <w:vAlign w:val="center"/>
          </w:tcPr>
          <w:p w14:paraId="795B8733"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4,1</w:t>
            </w:r>
          </w:p>
        </w:tc>
        <w:tc>
          <w:tcPr>
            <w:tcW w:w="186" w:type="dxa"/>
            <w:tcBorders>
              <w:top w:val="nil"/>
              <w:left w:val="nil"/>
              <w:bottom w:val="nil"/>
              <w:right w:val="single" w:sz="4" w:space="0" w:color="FFFFFF" w:themeColor="background1"/>
            </w:tcBorders>
            <w:shd w:val="clear" w:color="auto" w:fill="13576B"/>
            <w:vAlign w:val="center"/>
          </w:tcPr>
          <w:p w14:paraId="475EAA30"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15B3BFCB"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2BD185B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2004B04E"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(0,3)</w:t>
            </w:r>
          </w:p>
        </w:tc>
      </w:tr>
      <w:tr w:rsidR="00DF20C8" w:rsidRPr="00743530" w14:paraId="5DC04B73"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7AFF083D"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Základní sazba ECB (%): konec období</w:t>
            </w:r>
          </w:p>
        </w:tc>
        <w:tc>
          <w:tcPr>
            <w:tcW w:w="680" w:type="dxa"/>
            <w:tcBorders>
              <w:top w:val="nil"/>
              <w:left w:val="nil"/>
              <w:bottom w:val="single" w:sz="8" w:space="0" w:color="FFFFFF"/>
              <w:right w:val="single" w:sz="8" w:space="0" w:color="FFFFFF"/>
            </w:tcBorders>
            <w:shd w:val="clear" w:color="000000" w:fill="D9D9D9"/>
            <w:noWrap/>
            <w:vAlign w:val="center"/>
          </w:tcPr>
          <w:p w14:paraId="24EC18A7"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3,15</w:t>
            </w:r>
          </w:p>
        </w:tc>
        <w:tc>
          <w:tcPr>
            <w:tcW w:w="680" w:type="dxa"/>
            <w:tcBorders>
              <w:top w:val="nil"/>
              <w:left w:val="nil"/>
              <w:bottom w:val="single" w:sz="8" w:space="0" w:color="FFFFFF"/>
              <w:right w:val="single" w:sz="8" w:space="0" w:color="FFFFFF"/>
            </w:tcBorders>
            <w:shd w:val="clear" w:color="000000" w:fill="D9D9D9"/>
            <w:noWrap/>
            <w:vAlign w:val="center"/>
          </w:tcPr>
          <w:p w14:paraId="107A8853"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1,90</w:t>
            </w:r>
          </w:p>
        </w:tc>
        <w:tc>
          <w:tcPr>
            <w:tcW w:w="680" w:type="dxa"/>
            <w:tcBorders>
              <w:top w:val="nil"/>
              <w:left w:val="nil"/>
              <w:bottom w:val="single" w:sz="8" w:space="0" w:color="FFFFFF"/>
              <w:right w:val="single" w:sz="8" w:space="0" w:color="FFFFFF"/>
            </w:tcBorders>
            <w:shd w:val="clear" w:color="000000" w:fill="D9D9D9"/>
            <w:noWrap/>
            <w:vAlign w:val="center"/>
          </w:tcPr>
          <w:p w14:paraId="47CCA0D5"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1,90</w:t>
            </w:r>
          </w:p>
        </w:tc>
        <w:tc>
          <w:tcPr>
            <w:tcW w:w="186" w:type="dxa"/>
            <w:tcBorders>
              <w:top w:val="nil"/>
              <w:left w:val="nil"/>
              <w:bottom w:val="single" w:sz="8" w:space="0" w:color="FFFFFF"/>
              <w:right w:val="single" w:sz="4" w:space="0" w:color="FFFFFF" w:themeColor="background1"/>
            </w:tcBorders>
            <w:shd w:val="clear" w:color="auto" w:fill="13576B"/>
            <w:vAlign w:val="center"/>
          </w:tcPr>
          <w:p w14:paraId="1042EC90"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727A1A57"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5151672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c>
          <w:tcPr>
            <w:tcW w:w="709" w:type="dxa"/>
            <w:tcBorders>
              <w:top w:val="nil"/>
              <w:left w:val="nil"/>
              <w:bottom w:val="single" w:sz="8" w:space="0" w:color="FFFFFF"/>
              <w:right w:val="single" w:sz="8" w:space="0" w:color="FFFFFF"/>
            </w:tcBorders>
            <w:shd w:val="clear" w:color="000000" w:fill="D9D9D9"/>
            <w:vAlign w:val="center"/>
          </w:tcPr>
          <w:p w14:paraId="3AEE29A4"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r>
      <w:tr w:rsidR="00DF20C8" w:rsidRPr="00743530" w14:paraId="155C15B1"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351B5092"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Kurz CZK/EUR: průměr</w:t>
            </w:r>
          </w:p>
        </w:tc>
        <w:tc>
          <w:tcPr>
            <w:tcW w:w="680" w:type="dxa"/>
            <w:tcBorders>
              <w:top w:val="nil"/>
              <w:left w:val="nil"/>
              <w:bottom w:val="nil"/>
              <w:right w:val="single" w:sz="8" w:space="0" w:color="FFFFFF"/>
            </w:tcBorders>
            <w:shd w:val="clear" w:color="000000" w:fill="D9D9D9"/>
            <w:noWrap/>
            <w:vAlign w:val="center"/>
          </w:tcPr>
          <w:p w14:paraId="73EECA0D"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25,1</w:t>
            </w:r>
          </w:p>
        </w:tc>
        <w:tc>
          <w:tcPr>
            <w:tcW w:w="680" w:type="dxa"/>
            <w:tcBorders>
              <w:top w:val="nil"/>
              <w:left w:val="nil"/>
              <w:bottom w:val="nil"/>
              <w:right w:val="single" w:sz="8" w:space="0" w:color="FFFFFF"/>
            </w:tcBorders>
            <w:shd w:val="clear" w:color="000000" w:fill="D9D9D9"/>
            <w:noWrap/>
            <w:vAlign w:val="center"/>
          </w:tcPr>
          <w:p w14:paraId="2ACA4CD6"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24,8</w:t>
            </w:r>
          </w:p>
        </w:tc>
        <w:tc>
          <w:tcPr>
            <w:tcW w:w="680" w:type="dxa"/>
            <w:tcBorders>
              <w:top w:val="nil"/>
              <w:left w:val="nil"/>
              <w:bottom w:val="nil"/>
              <w:right w:val="single" w:sz="8" w:space="0" w:color="FFFFFF"/>
            </w:tcBorders>
            <w:shd w:val="clear" w:color="000000" w:fill="D9D9D9"/>
            <w:noWrap/>
            <w:vAlign w:val="center"/>
          </w:tcPr>
          <w:p w14:paraId="2DF267D0"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24,7</w:t>
            </w:r>
          </w:p>
        </w:tc>
        <w:tc>
          <w:tcPr>
            <w:tcW w:w="186" w:type="dxa"/>
            <w:tcBorders>
              <w:top w:val="nil"/>
              <w:left w:val="nil"/>
              <w:bottom w:val="nil"/>
              <w:right w:val="single" w:sz="4" w:space="0" w:color="FFFFFF" w:themeColor="background1"/>
            </w:tcBorders>
            <w:shd w:val="clear" w:color="auto" w:fill="13576B"/>
            <w:vAlign w:val="center"/>
          </w:tcPr>
          <w:p w14:paraId="478567A3"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63E5A03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7B407389"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nil"/>
              <w:right w:val="single" w:sz="8" w:space="0" w:color="FFFFFF"/>
            </w:tcBorders>
            <w:shd w:val="clear" w:color="000000" w:fill="D9D9D9"/>
            <w:vAlign w:val="center"/>
          </w:tcPr>
          <w:p w14:paraId="729D3DE3"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r>
      <w:tr w:rsidR="00DF20C8" w:rsidRPr="00743530" w14:paraId="69C0C71D"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08B8F441"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Kurz CZK/EUR: konec roku</w:t>
            </w:r>
          </w:p>
        </w:tc>
        <w:tc>
          <w:tcPr>
            <w:tcW w:w="680" w:type="dxa"/>
            <w:tcBorders>
              <w:top w:val="nil"/>
              <w:left w:val="nil"/>
              <w:bottom w:val="single" w:sz="8" w:space="0" w:color="FFFFFF"/>
              <w:right w:val="single" w:sz="8" w:space="0" w:color="FFFFFF"/>
            </w:tcBorders>
            <w:shd w:val="clear" w:color="000000" w:fill="D9D9D9"/>
            <w:noWrap/>
            <w:vAlign w:val="center"/>
          </w:tcPr>
          <w:p w14:paraId="3A7F29FF"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25,2</w:t>
            </w:r>
          </w:p>
        </w:tc>
        <w:tc>
          <w:tcPr>
            <w:tcW w:w="680" w:type="dxa"/>
            <w:tcBorders>
              <w:top w:val="nil"/>
              <w:left w:val="nil"/>
              <w:bottom w:val="single" w:sz="8" w:space="0" w:color="FFFFFF"/>
              <w:right w:val="single" w:sz="8" w:space="0" w:color="FFFFFF"/>
            </w:tcBorders>
            <w:shd w:val="clear" w:color="000000" w:fill="D9D9D9"/>
            <w:noWrap/>
            <w:vAlign w:val="center"/>
          </w:tcPr>
          <w:p w14:paraId="3B7AE0F2"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24,7</w:t>
            </w:r>
          </w:p>
        </w:tc>
        <w:tc>
          <w:tcPr>
            <w:tcW w:w="680" w:type="dxa"/>
            <w:tcBorders>
              <w:top w:val="nil"/>
              <w:left w:val="nil"/>
              <w:bottom w:val="single" w:sz="8" w:space="0" w:color="FFFFFF"/>
              <w:right w:val="single" w:sz="8" w:space="0" w:color="FFFFFF"/>
            </w:tcBorders>
            <w:shd w:val="clear" w:color="000000" w:fill="D9D9D9"/>
            <w:noWrap/>
            <w:vAlign w:val="center"/>
          </w:tcPr>
          <w:p w14:paraId="74147E6D"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24,6</w:t>
            </w:r>
          </w:p>
        </w:tc>
        <w:tc>
          <w:tcPr>
            <w:tcW w:w="186" w:type="dxa"/>
            <w:tcBorders>
              <w:top w:val="nil"/>
              <w:left w:val="nil"/>
              <w:bottom w:val="single" w:sz="8" w:space="0" w:color="FFFFFF"/>
              <w:right w:val="single" w:sz="4" w:space="0" w:color="FFFFFF" w:themeColor="background1"/>
            </w:tcBorders>
            <w:shd w:val="clear" w:color="auto" w:fill="13576B"/>
            <w:vAlign w:val="center"/>
          </w:tcPr>
          <w:p w14:paraId="5143059F"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133B7F8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6C972A1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(-0,2)</w:t>
            </w:r>
          </w:p>
        </w:tc>
        <w:tc>
          <w:tcPr>
            <w:tcW w:w="709" w:type="dxa"/>
            <w:tcBorders>
              <w:top w:val="nil"/>
              <w:left w:val="nil"/>
              <w:bottom w:val="single" w:sz="8" w:space="0" w:color="FFFFFF"/>
              <w:right w:val="single" w:sz="8" w:space="0" w:color="FFFFFF"/>
            </w:tcBorders>
            <w:shd w:val="clear" w:color="000000" w:fill="D9D9D9"/>
            <w:vAlign w:val="center"/>
          </w:tcPr>
          <w:p w14:paraId="7E359C79"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54D627CE" w14:textId="77777777" w:rsidTr="00661E85">
        <w:trPr>
          <w:trHeight w:val="270"/>
        </w:trPr>
        <w:tc>
          <w:tcPr>
            <w:tcW w:w="4605" w:type="dxa"/>
            <w:tcBorders>
              <w:top w:val="nil"/>
              <w:left w:val="single" w:sz="8" w:space="0" w:color="FFFFFF"/>
              <w:bottom w:val="nil"/>
              <w:right w:val="single" w:sz="8" w:space="0" w:color="FFFFFF"/>
            </w:tcBorders>
            <w:shd w:val="clear" w:color="000000" w:fill="13576B"/>
            <w:vAlign w:val="center"/>
            <w:hideMark/>
          </w:tcPr>
          <w:p w14:paraId="23A398CD"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reálného HDP v eurozóně (%)</w:t>
            </w:r>
          </w:p>
        </w:tc>
        <w:tc>
          <w:tcPr>
            <w:tcW w:w="680" w:type="dxa"/>
            <w:tcBorders>
              <w:top w:val="nil"/>
              <w:left w:val="nil"/>
              <w:bottom w:val="nil"/>
              <w:right w:val="single" w:sz="8" w:space="0" w:color="FFFFFF"/>
            </w:tcBorders>
            <w:shd w:val="clear" w:color="000000" w:fill="D9D9D9"/>
            <w:noWrap/>
            <w:vAlign w:val="center"/>
          </w:tcPr>
          <w:p w14:paraId="5629AE36"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0,9</w:t>
            </w:r>
          </w:p>
        </w:tc>
        <w:tc>
          <w:tcPr>
            <w:tcW w:w="680" w:type="dxa"/>
            <w:tcBorders>
              <w:top w:val="nil"/>
              <w:left w:val="nil"/>
              <w:bottom w:val="nil"/>
              <w:right w:val="single" w:sz="8" w:space="0" w:color="FFFFFF"/>
            </w:tcBorders>
            <w:shd w:val="clear" w:color="000000" w:fill="D9D9D9"/>
            <w:noWrap/>
            <w:vAlign w:val="center"/>
          </w:tcPr>
          <w:p w14:paraId="180D413C"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1,2</w:t>
            </w:r>
          </w:p>
        </w:tc>
        <w:tc>
          <w:tcPr>
            <w:tcW w:w="680" w:type="dxa"/>
            <w:tcBorders>
              <w:top w:val="nil"/>
              <w:left w:val="nil"/>
              <w:bottom w:val="nil"/>
              <w:right w:val="single" w:sz="8" w:space="0" w:color="FFFFFF"/>
            </w:tcBorders>
            <w:shd w:val="clear" w:color="000000" w:fill="D9D9D9"/>
            <w:noWrap/>
            <w:vAlign w:val="center"/>
          </w:tcPr>
          <w:p w14:paraId="4F8C58B0"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1,1</w:t>
            </w:r>
          </w:p>
        </w:tc>
        <w:tc>
          <w:tcPr>
            <w:tcW w:w="186" w:type="dxa"/>
            <w:tcBorders>
              <w:top w:val="nil"/>
              <w:left w:val="nil"/>
              <w:bottom w:val="nil"/>
              <w:right w:val="single" w:sz="4" w:space="0" w:color="FFFFFF" w:themeColor="background1"/>
            </w:tcBorders>
            <w:shd w:val="clear" w:color="auto" w:fill="13576B"/>
            <w:vAlign w:val="center"/>
          </w:tcPr>
          <w:p w14:paraId="56333320"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053D2EA4"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1732FF2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(0,3)</w:t>
            </w:r>
          </w:p>
        </w:tc>
        <w:tc>
          <w:tcPr>
            <w:tcW w:w="709" w:type="dxa"/>
            <w:tcBorders>
              <w:top w:val="nil"/>
              <w:left w:val="nil"/>
              <w:bottom w:val="nil"/>
              <w:right w:val="single" w:sz="8" w:space="0" w:color="FFFFFF"/>
            </w:tcBorders>
            <w:shd w:val="clear" w:color="000000" w:fill="D9D9D9"/>
            <w:vAlign w:val="center"/>
          </w:tcPr>
          <w:p w14:paraId="1A735024"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r w:rsidR="00DF20C8" w:rsidRPr="00743530" w14:paraId="110EDF4D" w14:textId="77777777" w:rsidTr="00661E85">
        <w:trPr>
          <w:trHeight w:val="270"/>
        </w:trPr>
        <w:tc>
          <w:tcPr>
            <w:tcW w:w="4605" w:type="dxa"/>
            <w:tcBorders>
              <w:top w:val="nil"/>
              <w:left w:val="nil"/>
              <w:bottom w:val="single" w:sz="8" w:space="0" w:color="FFFFFF"/>
              <w:right w:val="single" w:sz="8" w:space="0" w:color="FFFFFF"/>
            </w:tcBorders>
            <w:shd w:val="clear" w:color="000000" w:fill="13576B"/>
            <w:vAlign w:val="center"/>
            <w:hideMark/>
          </w:tcPr>
          <w:p w14:paraId="36C1E28D"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Ceny ropy (USD za barel): brent průměr</w:t>
            </w:r>
          </w:p>
        </w:tc>
        <w:tc>
          <w:tcPr>
            <w:tcW w:w="680" w:type="dxa"/>
            <w:tcBorders>
              <w:top w:val="nil"/>
              <w:left w:val="nil"/>
              <w:bottom w:val="single" w:sz="8" w:space="0" w:color="FFFFFF"/>
              <w:right w:val="single" w:sz="8" w:space="0" w:color="FFFFFF"/>
            </w:tcBorders>
            <w:shd w:val="clear" w:color="000000" w:fill="D9D9D9"/>
            <w:noWrap/>
            <w:vAlign w:val="center"/>
          </w:tcPr>
          <w:p w14:paraId="471D1776"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80</w:t>
            </w:r>
          </w:p>
        </w:tc>
        <w:tc>
          <w:tcPr>
            <w:tcW w:w="680" w:type="dxa"/>
            <w:tcBorders>
              <w:top w:val="nil"/>
              <w:left w:val="nil"/>
              <w:bottom w:val="single" w:sz="8" w:space="0" w:color="FFFFFF"/>
              <w:right w:val="single" w:sz="8" w:space="0" w:color="FFFFFF"/>
            </w:tcBorders>
            <w:shd w:val="clear" w:color="000000" w:fill="D9D9D9"/>
            <w:noWrap/>
            <w:vAlign w:val="center"/>
          </w:tcPr>
          <w:p w14:paraId="4219D459"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68</w:t>
            </w:r>
          </w:p>
        </w:tc>
        <w:tc>
          <w:tcPr>
            <w:tcW w:w="680" w:type="dxa"/>
            <w:tcBorders>
              <w:top w:val="nil"/>
              <w:left w:val="nil"/>
              <w:bottom w:val="single" w:sz="8" w:space="0" w:color="FFFFFF"/>
              <w:right w:val="single" w:sz="8" w:space="0" w:color="FFFFFF"/>
            </w:tcBorders>
            <w:shd w:val="clear" w:color="000000" w:fill="D9D9D9"/>
            <w:noWrap/>
            <w:vAlign w:val="center"/>
          </w:tcPr>
          <w:p w14:paraId="73F422EF"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65</w:t>
            </w:r>
          </w:p>
        </w:tc>
        <w:tc>
          <w:tcPr>
            <w:tcW w:w="186" w:type="dxa"/>
            <w:tcBorders>
              <w:top w:val="nil"/>
              <w:left w:val="nil"/>
              <w:bottom w:val="single" w:sz="8" w:space="0" w:color="FFFFFF"/>
              <w:right w:val="single" w:sz="4" w:space="0" w:color="FFFFFF" w:themeColor="background1"/>
            </w:tcBorders>
            <w:shd w:val="clear" w:color="auto" w:fill="13576B"/>
            <w:vAlign w:val="center"/>
          </w:tcPr>
          <w:p w14:paraId="77ED2B66"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single" w:sz="8" w:space="0" w:color="FFFFFF"/>
              <w:right w:val="single" w:sz="8" w:space="0" w:color="FFFFFF"/>
            </w:tcBorders>
            <w:shd w:val="clear" w:color="000000" w:fill="D9D9D9"/>
            <w:vAlign w:val="center"/>
          </w:tcPr>
          <w:p w14:paraId="60A6DC9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single" w:sz="8" w:space="0" w:color="FFFFFF"/>
              <w:right w:val="single" w:sz="8" w:space="0" w:color="FFFFFF"/>
            </w:tcBorders>
            <w:shd w:val="clear" w:color="000000" w:fill="D9D9D9"/>
            <w:vAlign w:val="center"/>
          </w:tcPr>
          <w:p w14:paraId="7C6891E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(2,6)</w:t>
            </w:r>
          </w:p>
        </w:tc>
        <w:tc>
          <w:tcPr>
            <w:tcW w:w="709" w:type="dxa"/>
            <w:tcBorders>
              <w:top w:val="nil"/>
              <w:left w:val="nil"/>
              <w:bottom w:val="single" w:sz="8" w:space="0" w:color="FFFFFF"/>
              <w:right w:val="single" w:sz="8" w:space="0" w:color="FFFFFF"/>
            </w:tcBorders>
            <w:shd w:val="clear" w:color="000000" w:fill="D9D9D9"/>
            <w:vAlign w:val="center"/>
          </w:tcPr>
          <w:p w14:paraId="52B1FB9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r>
      <w:tr w:rsidR="00DF20C8" w:rsidRPr="00743530" w14:paraId="6B047943"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02994CF7"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klientských (%)</w:t>
            </w:r>
          </w:p>
        </w:tc>
        <w:tc>
          <w:tcPr>
            <w:tcW w:w="680" w:type="dxa"/>
            <w:tcBorders>
              <w:top w:val="nil"/>
              <w:left w:val="nil"/>
              <w:bottom w:val="nil"/>
              <w:right w:val="single" w:sz="8" w:space="0" w:color="FFFFFF"/>
            </w:tcBorders>
            <w:shd w:val="clear" w:color="000000" w:fill="D9D9D9"/>
            <w:noWrap/>
            <w:vAlign w:val="center"/>
          </w:tcPr>
          <w:p w14:paraId="4E2A57DA"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6,1</w:t>
            </w:r>
          </w:p>
        </w:tc>
        <w:tc>
          <w:tcPr>
            <w:tcW w:w="680" w:type="dxa"/>
            <w:tcBorders>
              <w:top w:val="nil"/>
              <w:left w:val="nil"/>
              <w:bottom w:val="nil"/>
              <w:right w:val="single" w:sz="8" w:space="0" w:color="FFFFFF"/>
            </w:tcBorders>
            <w:shd w:val="clear" w:color="000000" w:fill="D9D9D9"/>
            <w:noWrap/>
            <w:vAlign w:val="center"/>
          </w:tcPr>
          <w:p w14:paraId="497921E9"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5,9</w:t>
            </w:r>
          </w:p>
        </w:tc>
        <w:tc>
          <w:tcPr>
            <w:tcW w:w="680" w:type="dxa"/>
            <w:tcBorders>
              <w:top w:val="nil"/>
              <w:left w:val="nil"/>
              <w:bottom w:val="nil"/>
              <w:right w:val="single" w:sz="8" w:space="0" w:color="FFFFFF"/>
            </w:tcBorders>
            <w:shd w:val="clear" w:color="000000" w:fill="D9D9D9"/>
            <w:noWrap/>
            <w:vAlign w:val="center"/>
          </w:tcPr>
          <w:p w14:paraId="4716BEB6"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5,9</w:t>
            </w:r>
          </w:p>
        </w:tc>
        <w:tc>
          <w:tcPr>
            <w:tcW w:w="186" w:type="dxa"/>
            <w:tcBorders>
              <w:top w:val="nil"/>
              <w:left w:val="nil"/>
              <w:bottom w:val="nil"/>
              <w:right w:val="single" w:sz="4" w:space="0" w:color="FFFFFF" w:themeColor="background1"/>
            </w:tcBorders>
            <w:shd w:val="clear" w:color="auto" w:fill="13576B"/>
            <w:vAlign w:val="center"/>
          </w:tcPr>
          <w:p w14:paraId="4E9F2881"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AE1B547"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4FF44B8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(0,4)</w:t>
            </w:r>
          </w:p>
        </w:tc>
        <w:tc>
          <w:tcPr>
            <w:tcW w:w="709" w:type="dxa"/>
            <w:tcBorders>
              <w:top w:val="nil"/>
              <w:left w:val="nil"/>
              <w:bottom w:val="nil"/>
              <w:right w:val="single" w:sz="8" w:space="0" w:color="FFFFFF"/>
            </w:tcBorders>
            <w:shd w:val="clear" w:color="000000" w:fill="D9D9D9"/>
            <w:vAlign w:val="center"/>
          </w:tcPr>
          <w:p w14:paraId="6A020847"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(0,8)</w:t>
            </w:r>
          </w:p>
        </w:tc>
      </w:tr>
      <w:tr w:rsidR="00DF20C8" w:rsidRPr="00743530" w14:paraId="671B38E8"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25ACE7A4"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domácnostem (%)</w:t>
            </w:r>
          </w:p>
        </w:tc>
        <w:tc>
          <w:tcPr>
            <w:tcW w:w="680" w:type="dxa"/>
            <w:tcBorders>
              <w:top w:val="nil"/>
              <w:left w:val="nil"/>
              <w:bottom w:val="nil"/>
              <w:right w:val="single" w:sz="8" w:space="0" w:color="FFFFFF"/>
            </w:tcBorders>
            <w:shd w:val="clear" w:color="000000" w:fill="D9D9D9"/>
            <w:noWrap/>
            <w:vAlign w:val="center"/>
          </w:tcPr>
          <w:p w14:paraId="753F526C"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4,9</w:t>
            </w:r>
          </w:p>
        </w:tc>
        <w:tc>
          <w:tcPr>
            <w:tcW w:w="680" w:type="dxa"/>
            <w:tcBorders>
              <w:top w:val="nil"/>
              <w:left w:val="nil"/>
              <w:bottom w:val="nil"/>
              <w:right w:val="single" w:sz="8" w:space="0" w:color="FFFFFF"/>
            </w:tcBorders>
            <w:shd w:val="clear" w:color="000000" w:fill="D9D9D9"/>
            <w:noWrap/>
            <w:vAlign w:val="center"/>
          </w:tcPr>
          <w:p w14:paraId="1949DCE4"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6,6</w:t>
            </w:r>
          </w:p>
        </w:tc>
        <w:tc>
          <w:tcPr>
            <w:tcW w:w="680" w:type="dxa"/>
            <w:tcBorders>
              <w:top w:val="nil"/>
              <w:left w:val="nil"/>
              <w:bottom w:val="nil"/>
              <w:right w:val="single" w:sz="8" w:space="0" w:color="FFFFFF"/>
            </w:tcBorders>
            <w:shd w:val="clear" w:color="000000" w:fill="D9D9D9"/>
            <w:noWrap/>
            <w:vAlign w:val="center"/>
          </w:tcPr>
          <w:p w14:paraId="41ABE0C8"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6,4</w:t>
            </w:r>
          </w:p>
        </w:tc>
        <w:tc>
          <w:tcPr>
            <w:tcW w:w="186" w:type="dxa"/>
            <w:tcBorders>
              <w:top w:val="nil"/>
              <w:left w:val="nil"/>
              <w:bottom w:val="nil"/>
              <w:right w:val="single" w:sz="4" w:space="0" w:color="FFFFFF" w:themeColor="background1"/>
            </w:tcBorders>
            <w:shd w:val="clear" w:color="auto" w:fill="13576B"/>
            <w:vAlign w:val="center"/>
          </w:tcPr>
          <w:p w14:paraId="79DB3D35"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6AC81150"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184D1C08"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(0,9)</w:t>
            </w:r>
          </w:p>
        </w:tc>
        <w:tc>
          <w:tcPr>
            <w:tcW w:w="709" w:type="dxa"/>
            <w:tcBorders>
              <w:top w:val="nil"/>
              <w:left w:val="nil"/>
              <w:bottom w:val="nil"/>
              <w:right w:val="single" w:sz="8" w:space="0" w:color="FFFFFF"/>
            </w:tcBorders>
            <w:shd w:val="clear" w:color="000000" w:fill="D9D9D9"/>
            <w:vAlign w:val="center"/>
          </w:tcPr>
          <w:p w14:paraId="61391D05"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(0,7)</w:t>
            </w:r>
          </w:p>
        </w:tc>
      </w:tr>
      <w:tr w:rsidR="00DF20C8" w:rsidRPr="00743530" w14:paraId="7CB9ED8E" w14:textId="77777777" w:rsidTr="00661E85">
        <w:trPr>
          <w:trHeight w:val="270"/>
        </w:trPr>
        <w:tc>
          <w:tcPr>
            <w:tcW w:w="4605" w:type="dxa"/>
            <w:tcBorders>
              <w:top w:val="nil"/>
              <w:left w:val="nil"/>
              <w:bottom w:val="nil"/>
              <w:right w:val="single" w:sz="8" w:space="0" w:color="FFFFFF"/>
            </w:tcBorders>
            <w:shd w:val="clear" w:color="000000" w:fill="13576B"/>
            <w:vAlign w:val="center"/>
            <w:hideMark/>
          </w:tcPr>
          <w:p w14:paraId="1A63124C"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úvěrů (nefinančním) podnikům (%)</w:t>
            </w:r>
          </w:p>
        </w:tc>
        <w:tc>
          <w:tcPr>
            <w:tcW w:w="680" w:type="dxa"/>
            <w:tcBorders>
              <w:top w:val="nil"/>
              <w:left w:val="nil"/>
              <w:bottom w:val="nil"/>
              <w:right w:val="single" w:sz="8" w:space="0" w:color="FFFFFF"/>
            </w:tcBorders>
            <w:shd w:val="clear" w:color="000000" w:fill="D9D9D9"/>
            <w:noWrap/>
            <w:vAlign w:val="center"/>
          </w:tcPr>
          <w:p w14:paraId="65C1A44E"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7,6</w:t>
            </w:r>
          </w:p>
        </w:tc>
        <w:tc>
          <w:tcPr>
            <w:tcW w:w="680" w:type="dxa"/>
            <w:tcBorders>
              <w:top w:val="nil"/>
              <w:left w:val="nil"/>
              <w:bottom w:val="nil"/>
              <w:right w:val="single" w:sz="8" w:space="0" w:color="FFFFFF"/>
            </w:tcBorders>
            <w:shd w:val="clear" w:color="000000" w:fill="D9D9D9"/>
            <w:noWrap/>
            <w:vAlign w:val="center"/>
          </w:tcPr>
          <w:p w14:paraId="50C9351A"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5,4</w:t>
            </w:r>
          </w:p>
        </w:tc>
        <w:tc>
          <w:tcPr>
            <w:tcW w:w="680" w:type="dxa"/>
            <w:tcBorders>
              <w:top w:val="nil"/>
              <w:left w:val="nil"/>
              <w:bottom w:val="nil"/>
              <w:right w:val="single" w:sz="8" w:space="0" w:color="FFFFFF"/>
            </w:tcBorders>
            <w:shd w:val="clear" w:color="000000" w:fill="D9D9D9"/>
            <w:noWrap/>
            <w:vAlign w:val="center"/>
          </w:tcPr>
          <w:p w14:paraId="52070E72"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5,6</w:t>
            </w:r>
          </w:p>
        </w:tc>
        <w:tc>
          <w:tcPr>
            <w:tcW w:w="186" w:type="dxa"/>
            <w:tcBorders>
              <w:top w:val="nil"/>
              <w:left w:val="nil"/>
              <w:bottom w:val="nil"/>
              <w:right w:val="single" w:sz="4" w:space="0" w:color="FFFFFF" w:themeColor="background1"/>
            </w:tcBorders>
            <w:shd w:val="clear" w:color="auto" w:fill="13576B"/>
            <w:vAlign w:val="center"/>
          </w:tcPr>
          <w:p w14:paraId="73C209BF"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75FCD886"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000B7B81"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(0,7)</w:t>
            </w:r>
          </w:p>
        </w:tc>
        <w:tc>
          <w:tcPr>
            <w:tcW w:w="709" w:type="dxa"/>
            <w:tcBorders>
              <w:top w:val="nil"/>
              <w:left w:val="nil"/>
              <w:bottom w:val="nil"/>
              <w:right w:val="single" w:sz="8" w:space="0" w:color="FFFFFF"/>
            </w:tcBorders>
            <w:shd w:val="clear" w:color="000000" w:fill="D9D9D9"/>
            <w:vAlign w:val="center"/>
          </w:tcPr>
          <w:p w14:paraId="538DA9D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(1,1)</w:t>
            </w:r>
          </w:p>
        </w:tc>
      </w:tr>
      <w:tr w:rsidR="00DF20C8" w:rsidRPr="00743530" w14:paraId="4073899E" w14:textId="77777777" w:rsidTr="00661E85">
        <w:trPr>
          <w:trHeight w:val="270"/>
        </w:trPr>
        <w:tc>
          <w:tcPr>
            <w:tcW w:w="4605" w:type="dxa"/>
            <w:tcBorders>
              <w:top w:val="nil"/>
              <w:left w:val="single" w:sz="8" w:space="0" w:color="FFFFFF"/>
              <w:bottom w:val="nil"/>
              <w:right w:val="single" w:sz="8" w:space="0" w:color="FFFFFF"/>
            </w:tcBorders>
            <w:shd w:val="clear" w:color="000000" w:fill="13576B"/>
            <w:vAlign w:val="center"/>
            <w:hideMark/>
          </w:tcPr>
          <w:p w14:paraId="03DB5481" w14:textId="77777777" w:rsidR="00DF20C8" w:rsidRPr="00743530" w:rsidRDefault="00DF20C8" w:rsidP="00661E85">
            <w:pPr>
              <w:overflowPunct/>
              <w:autoSpaceDE/>
              <w:autoSpaceDN/>
              <w:adjustRightInd/>
              <w:jc w:val="left"/>
              <w:textAlignment w:val="auto"/>
              <w:rPr>
                <w:rFonts w:ascii="Calibri Light" w:hAnsi="Calibri Light" w:cs="Calibri Light"/>
                <w:b/>
                <w:bCs/>
                <w:color w:val="FFFFFF"/>
                <w:sz w:val="20"/>
              </w:rPr>
            </w:pPr>
            <w:r w:rsidRPr="00743530">
              <w:rPr>
                <w:rFonts w:ascii="Calibri Light" w:hAnsi="Calibri Light" w:cs="Calibri Light"/>
                <w:b/>
                <w:bCs/>
                <w:color w:val="FFFFFF"/>
                <w:sz w:val="20"/>
              </w:rPr>
              <w:t>Růst bankovních vkladů klientských celkem (%)</w:t>
            </w:r>
          </w:p>
        </w:tc>
        <w:tc>
          <w:tcPr>
            <w:tcW w:w="680" w:type="dxa"/>
            <w:tcBorders>
              <w:top w:val="nil"/>
              <w:left w:val="nil"/>
              <w:bottom w:val="nil"/>
              <w:right w:val="single" w:sz="4" w:space="0" w:color="FFFFFF"/>
            </w:tcBorders>
            <w:shd w:val="clear" w:color="000000" w:fill="D9D9D9"/>
            <w:noWrap/>
            <w:vAlign w:val="center"/>
          </w:tcPr>
          <w:p w14:paraId="10458C58" w14:textId="77777777" w:rsidR="00DF20C8" w:rsidRPr="00743530" w:rsidRDefault="00DF20C8" w:rsidP="00661E85">
            <w:pPr>
              <w:overflowPunct/>
              <w:autoSpaceDE/>
              <w:autoSpaceDN/>
              <w:adjustRightInd/>
              <w:jc w:val="center"/>
              <w:textAlignment w:val="auto"/>
              <w:rPr>
                <w:rFonts w:ascii="Calibri Light" w:hAnsi="Calibri Light" w:cs="Calibri Light"/>
                <w:color w:val="13576B"/>
                <w:sz w:val="20"/>
              </w:rPr>
            </w:pPr>
            <w:r>
              <w:rPr>
                <w:rFonts w:ascii="Calibri Light" w:hAnsi="Calibri Light" w:cs="Calibri Light"/>
                <w:color w:val="13576B"/>
                <w:sz w:val="20"/>
              </w:rPr>
              <w:t>7,4</w:t>
            </w:r>
          </w:p>
        </w:tc>
        <w:tc>
          <w:tcPr>
            <w:tcW w:w="680" w:type="dxa"/>
            <w:tcBorders>
              <w:top w:val="nil"/>
              <w:left w:val="nil"/>
              <w:bottom w:val="nil"/>
              <w:right w:val="single" w:sz="8" w:space="0" w:color="FFFFFF"/>
            </w:tcBorders>
            <w:shd w:val="clear" w:color="000000" w:fill="D9D9D9"/>
            <w:noWrap/>
            <w:vAlign w:val="center"/>
          </w:tcPr>
          <w:p w14:paraId="5725B747"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4,9</w:t>
            </w:r>
          </w:p>
        </w:tc>
        <w:tc>
          <w:tcPr>
            <w:tcW w:w="680" w:type="dxa"/>
            <w:tcBorders>
              <w:top w:val="nil"/>
              <w:left w:val="nil"/>
              <w:bottom w:val="nil"/>
              <w:right w:val="single" w:sz="8" w:space="0" w:color="FFFFFF"/>
            </w:tcBorders>
            <w:shd w:val="clear" w:color="000000" w:fill="D9D9D9"/>
            <w:noWrap/>
            <w:vAlign w:val="center"/>
          </w:tcPr>
          <w:p w14:paraId="5CF4F82E" w14:textId="77777777" w:rsidR="00DF20C8" w:rsidRPr="00743530" w:rsidRDefault="00DF20C8" w:rsidP="00661E85">
            <w:pPr>
              <w:overflowPunct/>
              <w:autoSpaceDE/>
              <w:autoSpaceDN/>
              <w:adjustRightInd/>
              <w:jc w:val="center"/>
              <w:textAlignment w:val="auto"/>
              <w:rPr>
                <w:rFonts w:ascii="Calibri Light" w:hAnsi="Calibri Light" w:cs="Calibri Light"/>
                <w:color w:val="FF0000"/>
                <w:sz w:val="20"/>
              </w:rPr>
            </w:pPr>
            <w:r>
              <w:rPr>
                <w:rFonts w:ascii="Calibri Light" w:hAnsi="Calibri Light" w:cs="Calibri Light"/>
                <w:color w:val="FF0000"/>
                <w:sz w:val="20"/>
              </w:rPr>
              <w:t>4,8</w:t>
            </w:r>
          </w:p>
        </w:tc>
        <w:tc>
          <w:tcPr>
            <w:tcW w:w="186" w:type="dxa"/>
            <w:tcBorders>
              <w:top w:val="nil"/>
              <w:left w:val="nil"/>
              <w:bottom w:val="nil"/>
              <w:right w:val="single" w:sz="4" w:space="0" w:color="FFFFFF" w:themeColor="background1"/>
            </w:tcBorders>
            <w:shd w:val="clear" w:color="auto" w:fill="13576B"/>
            <w:vAlign w:val="center"/>
          </w:tcPr>
          <w:p w14:paraId="3CE1F14D" w14:textId="77777777" w:rsidR="00DF20C8" w:rsidRPr="00345D5D" w:rsidRDefault="00DF20C8" w:rsidP="00661E85">
            <w:pPr>
              <w:overflowPunct/>
              <w:autoSpaceDE/>
              <w:autoSpaceDN/>
              <w:adjustRightInd/>
              <w:jc w:val="left"/>
              <w:textAlignment w:val="auto"/>
              <w:rPr>
                <w:rFonts w:ascii="Calibri Light" w:hAnsi="Calibri Light" w:cs="Calibri Light"/>
                <w:b/>
                <w:bCs/>
                <w:color w:val="FFFFFF"/>
                <w:sz w:val="20"/>
              </w:rPr>
            </w:pPr>
          </w:p>
        </w:tc>
        <w:tc>
          <w:tcPr>
            <w:tcW w:w="160" w:type="dxa"/>
            <w:tcBorders>
              <w:top w:val="nil"/>
              <w:left w:val="single" w:sz="4" w:space="0" w:color="FFFFFF" w:themeColor="background1"/>
              <w:bottom w:val="nil"/>
              <w:right w:val="single" w:sz="8" w:space="0" w:color="FFFFFF"/>
            </w:tcBorders>
            <w:shd w:val="clear" w:color="000000" w:fill="D9D9D9"/>
            <w:vAlign w:val="center"/>
          </w:tcPr>
          <w:p w14:paraId="42F2E2BA"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p>
        </w:tc>
        <w:tc>
          <w:tcPr>
            <w:tcW w:w="664" w:type="dxa"/>
            <w:tcBorders>
              <w:top w:val="nil"/>
              <w:left w:val="nil"/>
              <w:bottom w:val="nil"/>
              <w:right w:val="single" w:sz="8" w:space="0" w:color="FFFFFF"/>
            </w:tcBorders>
            <w:shd w:val="clear" w:color="000000" w:fill="D9D9D9"/>
            <w:vAlign w:val="center"/>
          </w:tcPr>
          <w:p w14:paraId="7AF0C58B"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w:t>
            </w:r>
          </w:p>
        </w:tc>
        <w:tc>
          <w:tcPr>
            <w:tcW w:w="709" w:type="dxa"/>
            <w:tcBorders>
              <w:top w:val="nil"/>
              <w:left w:val="nil"/>
              <w:bottom w:val="nil"/>
              <w:right w:val="single" w:sz="8" w:space="0" w:color="FFFFFF"/>
            </w:tcBorders>
            <w:shd w:val="clear" w:color="000000" w:fill="D9D9D9"/>
            <w:vAlign w:val="center"/>
          </w:tcPr>
          <w:p w14:paraId="01D76CBF" w14:textId="77777777" w:rsidR="00DF20C8" w:rsidRPr="003571AD" w:rsidRDefault="00DF20C8" w:rsidP="00661E85">
            <w:pPr>
              <w:overflowPunct/>
              <w:autoSpaceDE/>
              <w:autoSpaceDN/>
              <w:adjustRightInd/>
              <w:jc w:val="center"/>
              <w:textAlignment w:val="auto"/>
              <w:rPr>
                <w:rFonts w:ascii="Calibri Light" w:hAnsi="Calibri Light" w:cs="Calibri Light"/>
                <w:color w:val="FF0000"/>
                <w:szCs w:val="18"/>
              </w:rPr>
            </w:pPr>
            <w:r>
              <w:rPr>
                <w:rFonts w:ascii="Calibri Light" w:hAnsi="Calibri Light" w:cs="Calibri Light"/>
                <w:i/>
                <w:iCs/>
                <w:color w:val="FF0000"/>
                <w:sz w:val="20"/>
              </w:rPr>
              <w:t>(0,1)</w:t>
            </w:r>
          </w:p>
        </w:tc>
      </w:tr>
    </w:tbl>
    <w:p w14:paraId="208FBBB0"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p>
    <w:p w14:paraId="45201020" w14:textId="77777777" w:rsidR="00806391" w:rsidRPr="00806391" w:rsidRDefault="00806391" w:rsidP="00806391">
      <w:pPr>
        <w:spacing w:after="120"/>
        <w:rPr>
          <w:rFonts w:ascii="Calibri" w:eastAsia="Calibri" w:hAnsi="Calibri" w:cs="Calibri"/>
          <w:b/>
          <w:color w:val="13576B"/>
          <w:sz w:val="22"/>
          <w:szCs w:val="28"/>
        </w:rPr>
      </w:pPr>
      <w:r w:rsidRPr="00806391">
        <w:rPr>
          <w:rFonts w:ascii="Calibri" w:eastAsia="Calibri" w:hAnsi="Calibri" w:cs="Calibri"/>
          <w:b/>
          <w:color w:val="13576B"/>
          <w:sz w:val="22"/>
          <w:szCs w:val="28"/>
        </w:rPr>
        <w:lastRenderedPageBreak/>
        <w:t>Nejistota globálního vývoje přetrvává</w:t>
      </w:r>
    </w:p>
    <w:p w14:paraId="7A177683"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
          <w:color w:val="000000" w:themeColor="text1"/>
          <w:sz w:val="20"/>
        </w:rPr>
        <w:t>V letošním a příštím roce opět čekáme pouze pozvolný, ale stále křehký růst ekonomiky eurozóny o 1,2 % a 1,1 % meziročně</w:t>
      </w:r>
      <w:r w:rsidRPr="00806391">
        <w:rPr>
          <w:rFonts w:ascii="Calibri" w:hAnsi="Calibri" w:cs="Calibri"/>
          <w:bCs/>
          <w:color w:val="000000" w:themeColor="text1"/>
          <w:sz w:val="20"/>
        </w:rPr>
        <w:t>, což je o 0,4% bodu silnější výkon než v jarní prognóze. To se pozitivně odráží v lepším výhledu na české exporty, také díky zakomponování německého fiskálního balíčku do výhledu (ovšem s dopady až od roku 2026), ale i díky menším americkým clům na evropský automobilový průmysl, což má pozitivní dopad na hlavní české obchodní partnery – Německo a Slovensko.</w:t>
      </w:r>
    </w:p>
    <w:p w14:paraId="712A6617"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
          <w:color w:val="000000" w:themeColor="text1"/>
          <w:sz w:val="20"/>
        </w:rPr>
        <w:t>Navzdory výhledu na silnější ekonomický růst v eurozóně stále v letošním roce předpokládáme další snížení úrokové depozitní sazby ECB na 1,75 % ze současných 2 %.</w:t>
      </w:r>
      <w:r w:rsidRPr="00806391">
        <w:rPr>
          <w:rFonts w:ascii="Calibri" w:hAnsi="Calibri" w:cs="Calibri"/>
          <w:bCs/>
          <w:color w:val="000000" w:themeColor="text1"/>
          <w:sz w:val="20"/>
        </w:rPr>
        <w:t xml:space="preserve"> To by mělo být doprovázeno rovněž uvolněním měnové politiky amerického Fedu. Ačkoliv čekáme mírně vyšší ceny ropy v roce 2025 než v minulém výhledu, tak dopad na českou inflaci bude více než tlumen silnější korunou vůči americkému dolaru. </w:t>
      </w:r>
    </w:p>
    <w:p w14:paraId="1FA8E1D7" w14:textId="77777777" w:rsidR="00806391" w:rsidRPr="00806391" w:rsidRDefault="00806391" w:rsidP="00806391">
      <w:pPr>
        <w:spacing w:after="120"/>
        <w:rPr>
          <w:rFonts w:ascii="Calibri" w:eastAsia="Calibri" w:hAnsi="Calibri" w:cs="Calibri"/>
          <w:b/>
          <w:color w:val="13576B"/>
          <w:sz w:val="22"/>
          <w:szCs w:val="28"/>
        </w:rPr>
      </w:pPr>
      <w:r w:rsidRPr="00806391">
        <w:rPr>
          <w:rFonts w:ascii="Calibri" w:eastAsia="Calibri" w:hAnsi="Calibri" w:cs="Calibri"/>
          <w:b/>
          <w:color w:val="13576B"/>
          <w:sz w:val="22"/>
          <w:szCs w:val="28"/>
        </w:rPr>
        <w:t>Solidní a rezistentní růstová trajektorie české ekonomiky částečně tlumí mezinárodní regionální rozdíly, navíc s nižší inflací, nižšími úroky a menším fiskálním deficitem a dluhem.</w:t>
      </w:r>
    </w:p>
    <w:p w14:paraId="2CECBCE4" w14:textId="77777777" w:rsidR="00806391" w:rsidRPr="00806391" w:rsidRDefault="00806391" w:rsidP="0080639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Cs/>
          <w:color w:val="000000" w:themeColor="text1"/>
          <w:sz w:val="20"/>
        </w:rPr>
        <w:t xml:space="preserve">V rámci post-covidového oživení pokračuje česká ekonomika v silnějších tempech růstu v porovnání s Německem a s ohledem na konsensuální výhled na německou ekonomiku byl měl kumulativní rozdíl v růstech od roku 2020 narůst v příštím roce na 5 %. Zároveň by česká ekonomika měla v roce 2026 téměř uzavřít svoji nižší výkonnost ve srovnání s eurozónou (kumulativní rozdíl se sníží na -0,5 %) a i zmírnit slabší výkonnost vůči slovenské ekonomice (kumulativně na -4 %). Obdobně v letošním roce asi i vůči maďarské ekonomice, ale má se za to, že tamní parlamentní volby na jaře 2026 částečně zvrátí toto zlepšení na -3,3 % z pohledu české ekonomiky. Ta ovšem bude asi i nadále výrazněji ztrácet vůči postcovidovému oživení polské ekonomiky, a to kumulativně téměř 12 % v roce 2026. </w:t>
      </w:r>
    </w:p>
    <w:p w14:paraId="3A776D47" w14:textId="420A7A98" w:rsidR="00222AA1" w:rsidRPr="00222AA1" w:rsidRDefault="00806391" w:rsidP="00222AA1">
      <w:pPr>
        <w:pStyle w:val="Normlnweb"/>
        <w:spacing w:before="0" w:beforeAutospacing="0" w:after="120" w:afterAutospacing="0"/>
        <w:jc w:val="both"/>
        <w:rPr>
          <w:rFonts w:ascii="Calibri" w:hAnsi="Calibri" w:cs="Calibri"/>
          <w:bCs/>
          <w:color w:val="000000" w:themeColor="text1"/>
          <w:sz w:val="20"/>
        </w:rPr>
      </w:pPr>
      <w:r w:rsidRPr="00806391">
        <w:rPr>
          <w:rFonts w:ascii="Calibri" w:hAnsi="Calibri" w:cs="Calibri"/>
          <w:bCs/>
          <w:color w:val="000000" w:themeColor="text1"/>
          <w:sz w:val="20"/>
        </w:rPr>
        <w:t>Zbylé ekonomiky Visegrádu v letošním a příštím roce v průměru překonají růst české ekonomiky o 0,2% bodu a v případě spotřeby domácností o 0,6% bodu. To odráží i impuls z výraznějších deficitů vládních rozpočtů, které v těchto letech u Visegrádských sousedů překonají 3% laťku v průměru o více než 2 % HDP, zatímco český deficit by měl být o 0,7% bodu lepší než 3% hran</w:t>
      </w:r>
      <w:r w:rsidR="00F471FA">
        <w:rPr>
          <w:rFonts w:ascii="Calibri" w:hAnsi="Calibri" w:cs="Calibri"/>
          <w:bCs/>
          <w:color w:val="000000" w:themeColor="text1"/>
          <w:sz w:val="20"/>
        </w:rPr>
        <w:t>i</w:t>
      </w:r>
      <w:r w:rsidRPr="00806391">
        <w:rPr>
          <w:rFonts w:ascii="Calibri" w:hAnsi="Calibri" w:cs="Calibri"/>
          <w:bCs/>
          <w:color w:val="000000" w:themeColor="text1"/>
          <w:sz w:val="20"/>
        </w:rPr>
        <w:t>ce. Zároveň v letošním roce vyhlížíme český vládní dluh na necelých 45 % HDP, zatímco ve zbytku Visegrádu očekává Evropská komise tamní vládní zadluženost v průměru o 4 % body nad 60% úrovní dluhu (Maďarsko 74 %, Slovensko 60 %, Polsko 58 %). To vše se pravděpodobně odehraje za cenu vyšší spotřebitelské inflace, a to o 1,2% bodu nad cílem centrální</w:t>
      </w:r>
      <w:r w:rsidR="00F471FA">
        <w:rPr>
          <w:rFonts w:ascii="Calibri" w:hAnsi="Calibri" w:cs="Calibri"/>
          <w:bCs/>
          <w:color w:val="000000" w:themeColor="text1"/>
          <w:sz w:val="20"/>
        </w:rPr>
        <w:t>ch</w:t>
      </w:r>
      <w:r w:rsidRPr="00806391">
        <w:rPr>
          <w:rFonts w:ascii="Calibri" w:hAnsi="Calibri" w:cs="Calibri"/>
          <w:bCs/>
          <w:color w:val="000000" w:themeColor="text1"/>
          <w:sz w:val="20"/>
        </w:rPr>
        <w:t xml:space="preserve"> bank ve zbylých státech Visegrádu, zatímco v ČR o 0,5% bodu. Ne náhodou jsou úroky centrálních bank v regionu vyšší (Polsko 5,25 %, Maďarsko 6,5 %) než v české ekonomice (3,5 %).</w:t>
      </w:r>
    </w:p>
    <w:p w14:paraId="12A80254" w14:textId="77777777" w:rsidR="00222AA1" w:rsidRDefault="00222AA1" w:rsidP="00222AA1">
      <w:pPr>
        <w:rPr>
          <w:rFonts w:ascii="Calibri" w:eastAsia="Calibri" w:hAnsi="Calibri" w:cs="Calibri"/>
          <w:bCs/>
          <w:color w:val="13576B"/>
          <w:sz w:val="20"/>
          <w:szCs w:val="24"/>
        </w:rPr>
      </w:pPr>
      <w:r w:rsidRPr="006A2A15">
        <w:rPr>
          <w:rFonts w:ascii="Calibri" w:eastAsia="Calibri" w:hAnsi="Calibri" w:cs="Calibri"/>
          <w:bCs/>
          <w:noProof/>
          <w:color w:val="13576B"/>
          <w:sz w:val="20"/>
          <w:szCs w:val="24"/>
        </w:rPr>
        <w:drawing>
          <wp:inline distT="0" distB="0" distL="0" distR="0" wp14:anchorId="64D7D3B3" wp14:editId="46E155D0">
            <wp:extent cx="3177540" cy="2187207"/>
            <wp:effectExtent l="0" t="0" r="3810" b="3810"/>
            <wp:docPr id="14832664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6171" cy="2193148"/>
                    </a:xfrm>
                    <a:prstGeom prst="rect">
                      <a:avLst/>
                    </a:prstGeom>
                    <a:noFill/>
                    <a:ln>
                      <a:noFill/>
                    </a:ln>
                  </pic:spPr>
                </pic:pic>
              </a:graphicData>
            </a:graphic>
          </wp:inline>
        </w:drawing>
      </w:r>
      <w:r w:rsidRPr="009C395F">
        <w:rPr>
          <w:rFonts w:ascii="Calibri" w:eastAsia="Calibri" w:hAnsi="Calibri" w:cs="Calibri"/>
          <w:bCs/>
          <w:color w:val="13576B"/>
          <w:sz w:val="20"/>
          <w:szCs w:val="24"/>
        </w:rPr>
        <w:t xml:space="preserve"> </w:t>
      </w:r>
      <w:r w:rsidRPr="009C395F">
        <w:rPr>
          <w:rFonts w:ascii="Calibri" w:eastAsia="Calibri" w:hAnsi="Calibri" w:cs="Calibri"/>
          <w:bCs/>
          <w:noProof/>
          <w:color w:val="13576B"/>
          <w:sz w:val="20"/>
          <w:szCs w:val="24"/>
        </w:rPr>
        <w:drawing>
          <wp:inline distT="0" distB="0" distL="0" distR="0" wp14:anchorId="4DA5F9F5" wp14:editId="73730D55">
            <wp:extent cx="3213655" cy="2194560"/>
            <wp:effectExtent l="0" t="0" r="6350" b="0"/>
            <wp:docPr id="19405188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8849" cy="2204936"/>
                    </a:xfrm>
                    <a:prstGeom prst="rect">
                      <a:avLst/>
                    </a:prstGeom>
                    <a:noFill/>
                    <a:ln>
                      <a:noFill/>
                    </a:ln>
                  </pic:spPr>
                </pic:pic>
              </a:graphicData>
            </a:graphic>
          </wp:inline>
        </w:drawing>
      </w:r>
    </w:p>
    <w:p w14:paraId="53460E97" w14:textId="526E1992" w:rsidR="00806391" w:rsidRPr="00806391" w:rsidRDefault="00806391" w:rsidP="00806391">
      <w:pPr>
        <w:pStyle w:val="Normlnweb"/>
        <w:spacing w:before="0" w:beforeAutospacing="0" w:after="120" w:afterAutospacing="0"/>
        <w:rPr>
          <w:rFonts w:ascii="Calibri" w:hAnsi="Calibri" w:cs="Calibri"/>
          <w:bCs/>
          <w:color w:val="000000" w:themeColor="text1"/>
          <w:sz w:val="20"/>
        </w:rPr>
      </w:pPr>
    </w:p>
    <w:p w14:paraId="61C12CDE" w14:textId="41AA8CE0" w:rsidR="00806391" w:rsidRPr="00806391" w:rsidRDefault="00806391" w:rsidP="00806391">
      <w:pPr>
        <w:spacing w:after="120"/>
        <w:rPr>
          <w:rFonts w:ascii="Calibri" w:hAnsi="Calibri" w:cs="Calibri"/>
          <w:bCs/>
          <w:color w:val="13576B"/>
          <w:szCs w:val="18"/>
        </w:rPr>
      </w:pPr>
      <w:r w:rsidRPr="00806391">
        <w:rPr>
          <w:rFonts w:ascii="Calibri" w:hAnsi="Calibri" w:cs="Calibri"/>
          <w:bCs/>
          <w:color w:val="13576B"/>
          <w:szCs w:val="18"/>
        </w:rPr>
        <w:t xml:space="preserve">Pramen: Eurostat, Consensus Economics, ČNB, Prognóza ČBA </w:t>
      </w:r>
      <w:r w:rsidRPr="00806391">
        <w:rPr>
          <w:rFonts w:ascii="Calibri" w:hAnsi="Calibri" w:cs="Calibri"/>
          <w:bCs/>
          <w:color w:val="13576B"/>
          <w:szCs w:val="18"/>
        </w:rPr>
        <w:tab/>
        <w:t xml:space="preserve">    Pramen: Eurostat, Consensus Economics, ČNB, Prognóza ČBA</w:t>
      </w:r>
    </w:p>
    <w:p w14:paraId="6E4B95D0" w14:textId="77777777" w:rsidR="002C0B36" w:rsidRDefault="002C0B36" w:rsidP="00B4285D">
      <w:pPr>
        <w:rPr>
          <w:rFonts w:ascii="Calibri" w:eastAsiaTheme="minorEastAsia" w:hAnsi="Calibri" w:cs="Calibri"/>
        </w:rPr>
      </w:pPr>
    </w:p>
    <w:p w14:paraId="7561C03E" w14:textId="497D7DB0" w:rsidR="00F37DC9" w:rsidRDefault="003161ED" w:rsidP="00B4285D">
      <w:pPr>
        <w:rPr>
          <w:rFonts w:ascii="Calibri" w:eastAsiaTheme="minorEastAsia" w:hAnsi="Calibri" w:cs="Calibri"/>
        </w:rPr>
      </w:pPr>
      <w:r w:rsidRPr="00C9674F">
        <w:rPr>
          <w:noProof/>
          <w:sz w:val="16"/>
          <w:szCs w:val="16"/>
        </w:rPr>
        <mc:AlternateContent>
          <mc:Choice Requires="wps">
            <w:drawing>
              <wp:anchor distT="0" distB="0" distL="114300" distR="114300" simplePos="0" relativeHeight="251662336" behindDoc="1" locked="0" layoutInCell="1" hidden="0" allowOverlap="1" wp14:anchorId="3801A402" wp14:editId="54D96C26">
                <wp:simplePos x="0" y="0"/>
                <wp:positionH relativeFrom="margin">
                  <wp:align>right</wp:align>
                </wp:positionH>
                <wp:positionV relativeFrom="paragraph">
                  <wp:posOffset>13005</wp:posOffset>
                </wp:positionV>
                <wp:extent cx="6476365" cy="1168842"/>
                <wp:effectExtent l="0" t="0" r="635" b="0"/>
                <wp:wrapNone/>
                <wp:docPr id="4" name="Obdélník 4"/>
                <wp:cNvGraphicFramePr/>
                <a:graphic xmlns:a="http://schemas.openxmlformats.org/drawingml/2006/main">
                  <a:graphicData uri="http://schemas.microsoft.com/office/word/2010/wordprocessingShape">
                    <wps:wsp>
                      <wps:cNvSpPr/>
                      <wps:spPr>
                        <a:xfrm>
                          <a:off x="0" y="0"/>
                          <a:ext cx="6476365" cy="1168842"/>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13D1E" w14:textId="77777777" w:rsidR="00F37DC9" w:rsidRPr="0073410F" w:rsidRDefault="00F37DC9" w:rsidP="00F37DC9">
                            <w:pPr>
                              <w:spacing w:line="276" w:lineRule="auto"/>
                              <w:rPr>
                                <w:rFonts w:ascii="Calibri" w:hAnsi="Calibri" w:cs="Calibri"/>
                                <w:b/>
                                <w:color w:val="FFFFFF" w:themeColor="background1"/>
                                <w:szCs w:val="18"/>
                              </w:rPr>
                            </w:pPr>
                            <w:bookmarkStart w:id="2" w:name="_Hlk190863040"/>
                            <w:r w:rsidRPr="0073410F">
                              <w:rPr>
                                <w:rFonts w:ascii="Calibri" w:hAnsi="Calibri" w:cs="Calibri"/>
                                <w:b/>
                                <w:color w:val="FFFFFF" w:themeColor="background1"/>
                                <w:szCs w:val="18"/>
                              </w:rPr>
                              <w:t xml:space="preserve">O prognóze ČBA </w:t>
                            </w:r>
                          </w:p>
                          <w:p w14:paraId="77C1A42D" w14:textId="3E292772" w:rsidR="00F37DC9" w:rsidRPr="00A55BDD" w:rsidRDefault="00EE7B05" w:rsidP="00DF20C8">
                            <w:pPr>
                              <w:spacing w:line="276" w:lineRule="auto"/>
                              <w:ind w:left="28" w:hanging="28"/>
                              <w:rPr>
                                <w:sz w:val="16"/>
                                <w:szCs w:val="16"/>
                              </w:rPr>
                            </w:pPr>
                            <w:r w:rsidRPr="0073410F">
                              <w:rPr>
                                <w:rFonts w:ascii="Calibri" w:hAnsi="Calibri" w:cs="Calibri"/>
                                <w:color w:val="FFFFFF" w:themeColor="background1"/>
                                <w:szCs w:val="18"/>
                              </w:rPr>
                              <w:t xml:space="preserve">Tato prognóza vznikla na základě příspěvků analytiků </w:t>
                            </w:r>
                            <w:r w:rsidR="00840194">
                              <w:rPr>
                                <w:rFonts w:ascii="Calibri" w:hAnsi="Calibri" w:cs="Calibri"/>
                                <w:color w:val="FFFFFF" w:themeColor="background1"/>
                                <w:szCs w:val="18"/>
                              </w:rPr>
                              <w:t>8</w:t>
                            </w:r>
                            <w:r w:rsidRPr="0073410F">
                              <w:rPr>
                                <w:rFonts w:ascii="Calibri" w:hAnsi="Calibri" w:cs="Calibri"/>
                                <w:color w:val="FFFFFF" w:themeColor="background1"/>
                                <w:szCs w:val="18"/>
                              </w:rPr>
                              <w:t xml:space="preserve"> členských bank ČBA: </w:t>
                            </w:r>
                            <w:bookmarkEnd w:id="2"/>
                            <w:r w:rsidR="00DF20C8" w:rsidRPr="00DF20C8">
                              <w:rPr>
                                <w:rFonts w:ascii="Calibri" w:hAnsi="Calibri" w:cs="Calibri"/>
                                <w:color w:val="FFFFFF" w:themeColor="background1"/>
                                <w:szCs w:val="18"/>
                              </w:rPr>
                              <w:t>Petr Dufek (hlavní ekonom, Banka CREDITAS), Jan Bureš (hlavní ekonom Patria Finance), Petr Gapko (hlavní ekonom, MONETA Money Bank), Helena Horská a Martin Kron (ekonomický výzkum Raiffeisenbank), Piotr Kalisz (hlavní ekonom Citibank), Michal Skořepa (makroekonomický analytik České spořitelny), Pavel Sobíšek (hlavní ekonom, UniCredit Bank) a Jan Vejmělek a Martin Gürtler (ekonomický výzkum Komerční banky a David Havrlant (hlavní ekonom ING). Za ČBA se na tvorbě prognózy podílel její hlavní ekonom Jaromír Šindel.</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1A402" id="Obdélník 4" o:spid="_x0000_s1029" style="position:absolute;left:0;text-align:left;margin-left:458.75pt;margin-top:1pt;width:509.95pt;height:92.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" fillcolor="#bfbfbf [2412]" stroked="f" strokeweight="1pt">
                <v:textbox inset="3mm,3mm,3mm,3mm">
                  <w:txbxContent>
                    <w:p w14:paraId="7E313D1E" w14:textId="77777777" w:rsidR="00F37DC9" w:rsidRPr="0073410F" w:rsidRDefault="00F37DC9" w:rsidP="00F37DC9">
                      <w:pPr>
                        <w:spacing w:line="276" w:lineRule="auto"/>
                        <w:rPr>
                          <w:rFonts w:ascii="Calibri" w:hAnsi="Calibri" w:cs="Calibri"/>
                          <w:b/>
                          <w:color w:val="FFFFFF" w:themeColor="background1"/>
                          <w:szCs w:val="18"/>
                        </w:rPr>
                      </w:pPr>
                      <w:bookmarkStart w:id="3" w:name="_Hlk190863040"/>
                      <w:r w:rsidRPr="0073410F">
                        <w:rPr>
                          <w:rFonts w:ascii="Calibri" w:hAnsi="Calibri" w:cs="Calibri"/>
                          <w:b/>
                          <w:color w:val="FFFFFF" w:themeColor="background1"/>
                          <w:szCs w:val="18"/>
                        </w:rPr>
                        <w:t xml:space="preserve">O prognóze ČBA </w:t>
                      </w:r>
                    </w:p>
                    <w:p w14:paraId="77C1A42D" w14:textId="3E292772" w:rsidR="00F37DC9" w:rsidRPr="00A55BDD" w:rsidRDefault="00EE7B05" w:rsidP="00DF20C8">
                      <w:pPr>
                        <w:spacing w:line="276" w:lineRule="auto"/>
                        <w:ind w:left="28" w:hanging="28"/>
                        <w:rPr>
                          <w:sz w:val="16"/>
                          <w:szCs w:val="16"/>
                        </w:rPr>
                      </w:pPr>
                      <w:r w:rsidRPr="0073410F">
                        <w:rPr>
                          <w:rFonts w:ascii="Calibri" w:hAnsi="Calibri" w:cs="Calibri"/>
                          <w:color w:val="FFFFFF" w:themeColor="background1"/>
                          <w:szCs w:val="18"/>
                        </w:rPr>
                        <w:t xml:space="preserve">Tato prognóza vznikla na základě příspěvků analytiků </w:t>
                      </w:r>
                      <w:r w:rsidR="00840194">
                        <w:rPr>
                          <w:rFonts w:ascii="Calibri" w:hAnsi="Calibri" w:cs="Calibri"/>
                          <w:color w:val="FFFFFF" w:themeColor="background1"/>
                          <w:szCs w:val="18"/>
                        </w:rPr>
                        <w:t>8</w:t>
                      </w:r>
                      <w:r w:rsidRPr="0073410F">
                        <w:rPr>
                          <w:rFonts w:ascii="Calibri" w:hAnsi="Calibri" w:cs="Calibri"/>
                          <w:color w:val="FFFFFF" w:themeColor="background1"/>
                          <w:szCs w:val="18"/>
                        </w:rPr>
                        <w:t xml:space="preserve"> členských bank ČBA: </w:t>
                      </w:r>
                      <w:bookmarkEnd w:id="3"/>
                      <w:r w:rsidR="00DF20C8" w:rsidRPr="00DF20C8">
                        <w:rPr>
                          <w:rFonts w:ascii="Calibri" w:hAnsi="Calibri" w:cs="Calibri"/>
                          <w:color w:val="FFFFFF" w:themeColor="background1"/>
                          <w:szCs w:val="18"/>
                        </w:rPr>
                        <w:t>Petr Dufek (hlavní ekonom, Banka CREDITAS), Jan Bureš (hlavní ekonom Patria Finance), Petr Gapko (hlavní ekonom, MONETA Money Bank), Helena Horská a Martin Kron (ekonomický výzkum Raiffeisenbank), Piotr Kalisz (hlavní ekonom Citibank), Michal Skořepa (makroekonomický analytik České spořitelny), Pavel Sobíšek (hlavní ekonom, UniCredit Bank) a Jan Vejmělek a Martin Gürtler (ekonomický výzkum Komerční banky a David Havrlant (hlavní ekonom ING). Za ČBA se na tvorbě prognózy podílel její hlavní ekonom Jaromír Šindel.</w:t>
                      </w:r>
                    </w:p>
                  </w:txbxContent>
                </v:textbox>
                <w10:wrap anchorx="margin"/>
              </v:rect>
            </w:pict>
          </mc:Fallback>
        </mc:AlternateContent>
      </w:r>
      <w:r w:rsidR="00165D62" w:rsidRPr="00F37DC9">
        <w:rPr>
          <w:rFonts w:ascii="Calibri" w:eastAsiaTheme="minorEastAsia" w:hAnsi="Calibri" w:cs="Calibri"/>
        </w:rPr>
        <w:tab/>
      </w:r>
    </w:p>
    <w:p w14:paraId="17CF7A7C" w14:textId="77777777" w:rsidR="005547BF" w:rsidRDefault="005547BF" w:rsidP="00B4285D">
      <w:pPr>
        <w:rPr>
          <w:rFonts w:ascii="Calibri" w:eastAsiaTheme="minorEastAsia" w:hAnsi="Calibri" w:cs="Calibri"/>
        </w:rPr>
      </w:pPr>
    </w:p>
    <w:p w14:paraId="3B70CAB7" w14:textId="77777777" w:rsidR="005547BF" w:rsidRDefault="005547BF" w:rsidP="00B4285D">
      <w:pPr>
        <w:rPr>
          <w:rFonts w:ascii="Calibri" w:eastAsiaTheme="minorEastAsia" w:hAnsi="Calibri" w:cs="Calibri"/>
        </w:rPr>
      </w:pPr>
    </w:p>
    <w:p w14:paraId="6DB62AD1" w14:textId="5086AED3" w:rsidR="001642C0" w:rsidRDefault="001642C0" w:rsidP="00B4285D">
      <w:pPr>
        <w:rPr>
          <w:rFonts w:ascii="Calibri" w:eastAsiaTheme="minorEastAsia" w:hAnsi="Calibri" w:cs="Calibri"/>
        </w:rPr>
      </w:pPr>
    </w:p>
    <w:p w14:paraId="52E6141C" w14:textId="16E75886" w:rsidR="00F37DC9" w:rsidRDefault="00F37DC9" w:rsidP="00B4285D">
      <w:pPr>
        <w:rPr>
          <w:rFonts w:ascii="Calibri" w:eastAsiaTheme="minorEastAsia" w:hAnsi="Calibri" w:cs="Calibri"/>
        </w:rPr>
      </w:pPr>
    </w:p>
    <w:p w14:paraId="59DD5F85" w14:textId="14AD5D2F" w:rsidR="00F37DC9" w:rsidRDefault="00F37DC9" w:rsidP="00B4285D">
      <w:pPr>
        <w:rPr>
          <w:rFonts w:ascii="Calibri" w:eastAsiaTheme="minorEastAsia" w:hAnsi="Calibri" w:cs="Calibri"/>
        </w:rPr>
      </w:pPr>
    </w:p>
    <w:p w14:paraId="333F07F6" w14:textId="217C26C9" w:rsidR="00F37DC9" w:rsidRDefault="00F37DC9" w:rsidP="00B4285D">
      <w:pPr>
        <w:rPr>
          <w:rFonts w:ascii="Calibri" w:eastAsiaTheme="minorEastAsia" w:hAnsi="Calibri" w:cs="Calibri"/>
        </w:rPr>
      </w:pPr>
    </w:p>
    <w:p w14:paraId="5ACD7EBC" w14:textId="267566DC" w:rsidR="00F37DC9" w:rsidRDefault="00F37DC9" w:rsidP="00272A8E">
      <w:pPr>
        <w:tabs>
          <w:tab w:val="left" w:pos="2532"/>
        </w:tabs>
        <w:rPr>
          <w:rFonts w:ascii="Calibri" w:eastAsiaTheme="minorEastAsia" w:hAnsi="Calibri" w:cs="Calibri"/>
        </w:rPr>
      </w:pPr>
    </w:p>
    <w:p w14:paraId="77090A9B" w14:textId="5B92B9DD" w:rsidR="00F37DC9" w:rsidRDefault="00F37DC9" w:rsidP="00B4285D">
      <w:pPr>
        <w:rPr>
          <w:rFonts w:ascii="Calibri" w:eastAsiaTheme="minorEastAsia" w:hAnsi="Calibri" w:cs="Calibri"/>
        </w:rPr>
      </w:pPr>
    </w:p>
    <w:p w14:paraId="1EE8715A" w14:textId="77777777" w:rsidR="002F2215" w:rsidRDefault="002F2215" w:rsidP="00B4285D">
      <w:pPr>
        <w:rPr>
          <w:rFonts w:ascii="Calibri" w:eastAsiaTheme="minorEastAsia" w:hAnsi="Calibri" w:cs="Calibri"/>
        </w:rPr>
      </w:pPr>
    </w:p>
    <w:p w14:paraId="5D41C5D7" w14:textId="77777777" w:rsidR="0073410F" w:rsidRDefault="0073410F" w:rsidP="00B4285D">
      <w:pPr>
        <w:rPr>
          <w:rFonts w:ascii="Calibri" w:eastAsiaTheme="minorEastAsia" w:hAnsi="Calibri" w:cs="Calibri"/>
        </w:rPr>
      </w:pPr>
    </w:p>
    <w:tbl>
      <w:tblPr>
        <w:tblW w:w="10201" w:type="dxa"/>
        <w:tblLook w:val="04A0" w:firstRow="1" w:lastRow="0" w:firstColumn="1" w:lastColumn="0" w:noHBand="0" w:noVBand="1"/>
      </w:tblPr>
      <w:tblGrid>
        <w:gridCol w:w="6817"/>
        <w:gridCol w:w="3384"/>
      </w:tblGrid>
      <w:tr w:rsidR="0073410F" w:rsidRPr="00635D8B" w14:paraId="2BB4B9D8" w14:textId="77777777" w:rsidTr="001726CC">
        <w:trPr>
          <w:trHeight w:val="1364"/>
        </w:trPr>
        <w:tc>
          <w:tcPr>
            <w:tcW w:w="6817" w:type="dxa"/>
            <w:shd w:val="clear" w:color="auto" w:fill="13576B"/>
          </w:tcPr>
          <w:p w14:paraId="32CA9EB7" w14:textId="77777777" w:rsidR="0073410F" w:rsidRDefault="0073410F" w:rsidP="001726CC">
            <w:pPr>
              <w:pStyle w:val="CBANadpisvTABULCE"/>
              <w:jc w:val="both"/>
              <w:rPr>
                <w:rFonts w:ascii="IBM Plex Sans" w:hAnsi="IBM Plex Sans" w:cs="Poppins"/>
                <w:color w:val="FFFFFF"/>
                <w:szCs w:val="18"/>
              </w:rPr>
            </w:pPr>
            <w:r>
              <w:rPr>
                <w:rFonts w:ascii="IBM Plex Sans" w:hAnsi="IBM Plex Sans" w:cs="Poppins"/>
                <w:color w:val="FFFFFF"/>
                <w:szCs w:val="18"/>
              </w:rPr>
              <w:t>O České bankovní asociaci</w:t>
            </w:r>
          </w:p>
          <w:p w14:paraId="22379D56" w14:textId="057F3E4D" w:rsidR="0073410F" w:rsidRDefault="0073410F" w:rsidP="001726CC">
            <w:pPr>
              <w:rPr>
                <w:rFonts w:ascii="Calibri" w:hAnsi="Calibri"/>
                <w:color w:val="FFFFFF"/>
                <w:sz w:val="22"/>
              </w:rPr>
            </w:pPr>
            <w:bookmarkStart w:id="3" w:name="_Hlk128734138"/>
            <w:r>
              <w:rPr>
                <w:color w:val="FFFFFF"/>
              </w:rPr>
              <w:t>Česká bankovní asociace (ČBA) je dobrovolné sdružení 3</w:t>
            </w:r>
            <w:r w:rsidR="004E3E95">
              <w:rPr>
                <w:color w:val="FFFFFF"/>
              </w:rPr>
              <w:t>3</w:t>
            </w:r>
            <w:r>
              <w:rPr>
                <w:color w:val="FFFFFF"/>
              </w:rPr>
              <w:t xml:space="preserve"> bank působících v České republice a reprezentuje tak 99 % trhu. Již 30 let podporuje nejen rozvoj bankovního sektoru, ale i celé ekonomiky a všeobecné finanční gramotnosti. ČBA je členem Evropské bankovní federace (EBF).</w:t>
            </w:r>
          </w:p>
          <w:bookmarkEnd w:id="3"/>
          <w:p w14:paraId="4A9BB153" w14:textId="77777777" w:rsidR="0073410F" w:rsidRDefault="0073410F" w:rsidP="001726CC">
            <w:pPr>
              <w:pStyle w:val="CBAodstavecvTABULCE"/>
              <w:jc w:val="both"/>
              <w:rPr>
                <w:rFonts w:ascii="IBM Plex Sans" w:hAnsi="IBM Plex Sans" w:cs="Poppins"/>
                <w:color w:val="FFFFFF"/>
                <w:szCs w:val="18"/>
              </w:rPr>
            </w:pPr>
            <w:r>
              <w:rPr>
                <w:rFonts w:ascii="IBM Plex Sans" w:hAnsi="IBM Plex Sans" w:cs="Poppins"/>
                <w:color w:val="FFFFFF"/>
                <w:szCs w:val="18"/>
              </w:rPr>
              <w:t xml:space="preserve">Více informací na </w:t>
            </w:r>
            <w:r>
              <w:rPr>
                <w:rFonts w:ascii="IBM Plex Sans" w:hAnsi="IBM Plex Sans" w:cs="Poppins"/>
                <w:color w:val="FFFFFF"/>
                <w:szCs w:val="18"/>
                <w:u w:val="single"/>
              </w:rPr>
              <w:t>www.cbaonline.cz.</w:t>
            </w:r>
            <w:r>
              <w:rPr>
                <w:rFonts w:ascii="IBM Plex Sans" w:hAnsi="IBM Plex Sans" w:cs="Poppins"/>
                <w:color w:val="A9936D"/>
                <w:szCs w:val="18"/>
              </w:rPr>
              <w:t xml:space="preserve"> </w:t>
            </w:r>
          </w:p>
        </w:tc>
        <w:tc>
          <w:tcPr>
            <w:tcW w:w="3384" w:type="dxa"/>
            <w:shd w:val="clear" w:color="auto" w:fill="A9936D"/>
            <w:vAlign w:val="center"/>
          </w:tcPr>
          <w:p w14:paraId="51EEA920" w14:textId="77777777" w:rsidR="0073410F" w:rsidRDefault="0073410F" w:rsidP="001726CC">
            <w:pPr>
              <w:pStyle w:val="CBAodstavecvTABULCE"/>
              <w:rPr>
                <w:rFonts w:ascii="IBM Plex Sans" w:hAnsi="IBM Plex Sans" w:cs="Poppins"/>
                <w:b/>
                <w:bCs/>
                <w:color w:val="FFFFFF"/>
                <w:szCs w:val="18"/>
              </w:rPr>
            </w:pPr>
            <w:r>
              <w:rPr>
                <w:rFonts w:ascii="IBM Plex Sans" w:hAnsi="IBM Plex Sans" w:cs="Poppins"/>
                <w:b/>
                <w:bCs/>
                <w:color w:val="FFFFFF"/>
                <w:szCs w:val="18"/>
              </w:rPr>
              <w:t xml:space="preserve">                Dotazy posílejte na</w:t>
            </w:r>
          </w:p>
          <w:p w14:paraId="4BDB00A6" w14:textId="77777777" w:rsidR="0073410F" w:rsidRDefault="0073410F" w:rsidP="001726CC">
            <w:pPr>
              <w:pStyle w:val="CBAodstavecvTABULCE"/>
              <w:jc w:val="center"/>
              <w:rPr>
                <w:rFonts w:ascii="IBM Plex Sans" w:hAnsi="IBM Plex Sans" w:cs="Poppins"/>
                <w:color w:val="FFFFFF"/>
                <w:szCs w:val="18"/>
              </w:rPr>
            </w:pPr>
            <w:r>
              <w:rPr>
                <w:rFonts w:ascii="IBM Plex Sans" w:hAnsi="IBM Plex Sans" w:cs="Poppins"/>
                <w:b/>
                <w:bCs/>
                <w:color w:val="FFFFFF"/>
                <w:szCs w:val="18"/>
              </w:rPr>
              <w:t>radek.salsa@cbaonline.cz</w:t>
            </w:r>
          </w:p>
        </w:tc>
      </w:tr>
    </w:tbl>
    <w:p w14:paraId="1AE6FC8E" w14:textId="01CA802E" w:rsidR="005C1943" w:rsidRPr="00F37DC9" w:rsidRDefault="005C1943" w:rsidP="0063005B">
      <w:pPr>
        <w:rPr>
          <w:rFonts w:ascii="Calibri" w:eastAsiaTheme="minorEastAsia" w:hAnsi="Calibri" w:cs="Calibri"/>
        </w:rPr>
      </w:pPr>
    </w:p>
    <w:sectPr w:rsidR="005C1943" w:rsidRPr="00F37DC9" w:rsidSect="00524989">
      <w:headerReference w:type="default" r:id="rId23"/>
      <w:footerReference w:type="default" r:id="rId24"/>
      <w:pgSz w:w="11906" w:h="16838"/>
      <w:pgMar w:top="2552" w:right="851" w:bottom="1418" w:left="851"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FF32" w14:textId="77777777" w:rsidR="00524989" w:rsidRDefault="00524989" w:rsidP="00F573F1">
      <w:r>
        <w:separator/>
      </w:r>
    </w:p>
  </w:endnote>
  <w:endnote w:type="continuationSeparator" w:id="0">
    <w:p w14:paraId="272D8146" w14:textId="77777777" w:rsidR="00524989" w:rsidRDefault="00524989" w:rsidP="00F573F1">
      <w:r>
        <w:continuationSeparator/>
      </w:r>
    </w:p>
  </w:endnote>
  <w:endnote w:type="continuationNotice" w:id="1">
    <w:p w14:paraId="014565D5" w14:textId="77777777" w:rsidR="00524989" w:rsidRDefault="00524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Poppins">
    <w:charset w:val="EE"/>
    <w:family w:val="auto"/>
    <w:pitch w:val="variable"/>
    <w:sig w:usb0="00008007"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Cs w:val="18"/>
      </w:rPr>
      <w:id w:val="1149944182"/>
      <w:docPartObj>
        <w:docPartGallery w:val="Page Numbers (Bottom of Page)"/>
        <w:docPartUnique/>
      </w:docPartObj>
    </w:sdtPr>
    <w:sdtEndPr/>
    <w:sdtContent>
      <w:sdt>
        <w:sdtPr>
          <w:rPr>
            <w:rFonts w:ascii="Calibri" w:hAnsi="Calibri" w:cs="Calibri"/>
            <w:szCs w:val="18"/>
          </w:rPr>
          <w:id w:val="-1769616900"/>
          <w:docPartObj>
            <w:docPartGallery w:val="Page Numbers (Top of Page)"/>
            <w:docPartUnique/>
          </w:docPartObj>
        </w:sdtPr>
        <w:sdtEndPr/>
        <w:sdtContent>
          <w:p w14:paraId="7854F1F5" w14:textId="19327CD8" w:rsidR="00F37DC9" w:rsidRPr="00F37DC9" w:rsidRDefault="00F37DC9">
            <w:pPr>
              <w:pStyle w:val="Zpat"/>
              <w:jc w:val="right"/>
              <w:rPr>
                <w:rFonts w:ascii="Calibri" w:hAnsi="Calibri" w:cs="Calibri"/>
                <w:szCs w:val="18"/>
              </w:rPr>
            </w:pPr>
            <w:r w:rsidRPr="001E31AB">
              <w:rPr>
                <w:rFonts w:ascii="Calibri" w:hAnsi="Calibri"/>
                <w:noProof/>
                <w:szCs w:val="18"/>
              </w:rPr>
              <w:drawing>
                <wp:anchor distT="0" distB="0" distL="114300" distR="114300" simplePos="0" relativeHeight="251665408" behindDoc="0" locked="0" layoutInCell="1" allowOverlap="1" wp14:anchorId="40EC3339" wp14:editId="625B1AC4">
                  <wp:simplePos x="0" y="0"/>
                  <wp:positionH relativeFrom="column">
                    <wp:posOffset>-541020</wp:posOffset>
                  </wp:positionH>
                  <wp:positionV relativeFrom="paragraph">
                    <wp:posOffset>-137160</wp:posOffset>
                  </wp:positionV>
                  <wp:extent cx="3042285" cy="701040"/>
                  <wp:effectExtent l="0" t="0" r="5715"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7DC9">
              <w:rPr>
                <w:rFonts w:ascii="Calibri" w:hAnsi="Calibri" w:cs="Calibri"/>
                <w:szCs w:val="18"/>
              </w:rPr>
              <w:t xml:space="preserve">Stránka </w:t>
            </w:r>
            <w:r w:rsidRPr="00F37DC9">
              <w:rPr>
                <w:rFonts w:ascii="Calibri" w:hAnsi="Calibri" w:cs="Calibri"/>
                <w:b/>
                <w:bCs/>
                <w:szCs w:val="18"/>
              </w:rPr>
              <w:fldChar w:fldCharType="begin"/>
            </w:r>
            <w:r w:rsidRPr="00F37DC9">
              <w:rPr>
                <w:rFonts w:ascii="Calibri" w:hAnsi="Calibri" w:cs="Calibri"/>
                <w:b/>
                <w:bCs/>
                <w:szCs w:val="18"/>
              </w:rPr>
              <w:instrText>PAGE</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r w:rsidRPr="00F37DC9">
              <w:rPr>
                <w:rFonts w:ascii="Calibri" w:hAnsi="Calibri" w:cs="Calibri"/>
                <w:szCs w:val="18"/>
              </w:rPr>
              <w:t xml:space="preserve"> z </w:t>
            </w:r>
            <w:r w:rsidRPr="00F37DC9">
              <w:rPr>
                <w:rFonts w:ascii="Calibri" w:hAnsi="Calibri" w:cs="Calibri"/>
                <w:b/>
                <w:bCs/>
                <w:szCs w:val="18"/>
              </w:rPr>
              <w:fldChar w:fldCharType="begin"/>
            </w:r>
            <w:r w:rsidRPr="00F37DC9">
              <w:rPr>
                <w:rFonts w:ascii="Calibri" w:hAnsi="Calibri" w:cs="Calibri"/>
                <w:b/>
                <w:bCs/>
                <w:szCs w:val="18"/>
              </w:rPr>
              <w:instrText>NUMPAGES</w:instrText>
            </w:r>
            <w:r w:rsidRPr="00F37DC9">
              <w:rPr>
                <w:rFonts w:ascii="Calibri" w:hAnsi="Calibri" w:cs="Calibri"/>
                <w:b/>
                <w:bCs/>
                <w:szCs w:val="18"/>
              </w:rPr>
              <w:fldChar w:fldCharType="separate"/>
            </w:r>
            <w:r w:rsidRPr="00F37DC9">
              <w:rPr>
                <w:rFonts w:ascii="Calibri" w:hAnsi="Calibri" w:cs="Calibri"/>
                <w:b/>
                <w:bCs/>
                <w:szCs w:val="18"/>
              </w:rPr>
              <w:t>2</w:t>
            </w:r>
            <w:r w:rsidRPr="00F37DC9">
              <w:rPr>
                <w:rFonts w:ascii="Calibri" w:hAnsi="Calibri" w:cs="Calibri"/>
                <w:b/>
                <w:bCs/>
                <w:szCs w:val="18"/>
              </w:rPr>
              <w:fldChar w:fldCharType="end"/>
            </w:r>
          </w:p>
        </w:sdtContent>
      </w:sdt>
    </w:sdtContent>
  </w:sdt>
  <w:p w14:paraId="6B2FBE8E" w14:textId="77777777" w:rsidR="00536B9B" w:rsidRPr="00FB4A1C" w:rsidRDefault="00536B9B"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D9AB" w14:textId="77777777" w:rsidR="00524989" w:rsidRDefault="00524989" w:rsidP="00F573F1">
      <w:r>
        <w:separator/>
      </w:r>
    </w:p>
  </w:footnote>
  <w:footnote w:type="continuationSeparator" w:id="0">
    <w:p w14:paraId="6D941BDB" w14:textId="77777777" w:rsidR="00524989" w:rsidRDefault="00524989" w:rsidP="00F573F1">
      <w:r>
        <w:continuationSeparator/>
      </w:r>
    </w:p>
  </w:footnote>
  <w:footnote w:type="continuationNotice" w:id="1">
    <w:p w14:paraId="4A6414BF" w14:textId="77777777" w:rsidR="00524989" w:rsidRDefault="00524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6A72" w14:textId="2B5E0211" w:rsidR="00F37DC9" w:rsidRDefault="00F37DC9" w:rsidP="00F37DC9">
    <w:pPr>
      <w:pStyle w:val="Zhlav"/>
    </w:pPr>
    <w:r>
      <w:rPr>
        <w:noProof/>
      </w:rPr>
      <w:drawing>
        <wp:anchor distT="0" distB="0" distL="114300" distR="114300" simplePos="0" relativeHeight="251661312" behindDoc="0" locked="0" layoutInCell="1" allowOverlap="1" wp14:anchorId="12F98975" wp14:editId="270559D0">
          <wp:simplePos x="0" y="0"/>
          <wp:positionH relativeFrom="column">
            <wp:posOffset>-52705</wp:posOffset>
          </wp:positionH>
          <wp:positionV relativeFrom="paragraph">
            <wp:posOffset>29845</wp:posOffset>
          </wp:positionV>
          <wp:extent cx="2209800" cy="778510"/>
          <wp:effectExtent l="0" t="0" r="0" b="254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BA7D056" wp14:editId="7FF03F24">
          <wp:simplePos x="0" y="0"/>
          <wp:positionH relativeFrom="column">
            <wp:posOffset>3985895</wp:posOffset>
          </wp:positionH>
          <wp:positionV relativeFrom="paragraph">
            <wp:posOffset>-8255</wp:posOffset>
          </wp:positionV>
          <wp:extent cx="2943225" cy="243840"/>
          <wp:effectExtent l="0" t="0" r="9525" b="381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17EE12" w14:textId="508204F7" w:rsidR="00F37DC9" w:rsidRDefault="002B1A4A">
    <w:pPr>
      <w:pStyle w:val="Zhlav"/>
    </w:pPr>
    <w:r w:rsidRPr="00F615BD">
      <w:rPr>
        <w:noProof/>
        <w:lang w:val="en-GB" w:eastAsia="en-GB"/>
      </w:rPr>
      <mc:AlternateContent>
        <mc:Choice Requires="wps">
          <w:drawing>
            <wp:anchor distT="45720" distB="45720" distL="114300" distR="114300" simplePos="0" relativeHeight="251667456" behindDoc="0" locked="0" layoutInCell="1" allowOverlap="1" wp14:anchorId="65203F4D" wp14:editId="7D6E81C2">
              <wp:simplePos x="0" y="0"/>
              <wp:positionH relativeFrom="margin">
                <wp:posOffset>2425453</wp:posOffset>
              </wp:positionH>
              <wp:positionV relativeFrom="paragraph">
                <wp:posOffset>72859</wp:posOffset>
              </wp:positionV>
              <wp:extent cx="1709530" cy="1404620"/>
              <wp:effectExtent l="0" t="0" r="0" b="254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0" cy="1404620"/>
                      </a:xfrm>
                      <a:prstGeom prst="rect">
                        <a:avLst/>
                      </a:prstGeom>
                      <a:noFill/>
                      <a:ln w="9525">
                        <a:noFill/>
                        <a:miter lim="800000"/>
                        <a:headEnd/>
                        <a:tailEnd/>
                      </a:ln>
                    </wps:spPr>
                    <wps:txbx>
                      <w:txbxContent>
                        <w:p w14:paraId="1F1A903D" w14:textId="5DDA7AE2" w:rsidR="002B1A4A" w:rsidRPr="002B1A4A" w:rsidRDefault="002B1A4A" w:rsidP="002B1A4A">
                          <w:pPr>
                            <w:spacing w:line="276" w:lineRule="auto"/>
                            <w:jc w:val="right"/>
                            <w:rPr>
                              <w:rFonts w:ascii="Calibri" w:hAnsi="Calibri" w:cs="Calibri"/>
                              <w:b/>
                              <w:color w:val="FF0000"/>
                              <w:sz w:val="22"/>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03F4D" id="_x0000_t202" coordsize="21600,21600" o:spt="202" path="m,l,21600r21600,l21600,xe">
              <v:stroke joinstyle="miter"/>
              <v:path gradientshapeok="t" o:connecttype="rect"/>
            </v:shapetype>
            <v:shape id="Textové pole 2" o:spid="_x0000_s1030" type="#_x0000_t202" style="position:absolute;left:0;text-align:left;margin-left:191pt;margin-top:5.75pt;width:134.6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0U+gEAAM4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" filled="f" stroked="f">
              <v:textbox style="mso-fit-shape-to-text:t">
                <w:txbxContent>
                  <w:p w14:paraId="1F1A903D" w14:textId="5DDA7AE2" w:rsidR="002B1A4A" w:rsidRPr="002B1A4A" w:rsidRDefault="002B1A4A" w:rsidP="002B1A4A">
                    <w:pPr>
                      <w:spacing w:line="276" w:lineRule="auto"/>
                      <w:jc w:val="right"/>
                      <w:rPr>
                        <w:rFonts w:ascii="Calibri" w:hAnsi="Calibri" w:cs="Calibri"/>
                        <w:b/>
                        <w:color w:val="FF0000"/>
                        <w:sz w:val="22"/>
                        <w:szCs w:val="24"/>
                      </w:rPr>
                    </w:pPr>
                  </w:p>
                </w:txbxContent>
              </v:textbox>
              <w10:wrap anchorx="margin"/>
            </v:shape>
          </w:pict>
        </mc:Fallback>
      </mc:AlternateContent>
    </w:r>
    <w:r w:rsidR="00F37DC9" w:rsidRPr="00F615BD">
      <w:rPr>
        <w:noProof/>
        <w:lang w:val="en-GB" w:eastAsia="en-GB"/>
      </w:rPr>
      <mc:AlternateContent>
        <mc:Choice Requires="wps">
          <w:drawing>
            <wp:anchor distT="45720" distB="45720" distL="114300" distR="114300" simplePos="0" relativeHeight="251659264" behindDoc="0" locked="0" layoutInCell="1" allowOverlap="1" wp14:anchorId="05CB3763" wp14:editId="0D54C2D8">
              <wp:simplePos x="0" y="0"/>
              <wp:positionH relativeFrom="margin">
                <wp:posOffset>5289974</wp:posOffset>
              </wp:positionH>
              <wp:positionV relativeFrom="paragraph">
                <wp:posOffset>6985</wp:posOffset>
              </wp:positionV>
              <wp:extent cx="1239520" cy="1404620"/>
              <wp:effectExtent l="0" t="0" r="0" b="0"/>
              <wp:wrapNone/>
              <wp:docPr id="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207CC6DF" w:rsidR="00F37DC9" w:rsidRPr="00F37DC9" w:rsidRDefault="003503ED" w:rsidP="00F37DC9">
                          <w:pPr>
                            <w:spacing w:line="276" w:lineRule="auto"/>
                            <w:jc w:val="right"/>
                            <w:rPr>
                              <w:rFonts w:ascii="Calibri" w:hAnsi="Calibri" w:cs="Calibri"/>
                              <w:b/>
                              <w:color w:val="13576B"/>
                              <w:sz w:val="22"/>
                              <w:szCs w:val="24"/>
                            </w:rPr>
                          </w:pPr>
                          <w:r>
                            <w:rPr>
                              <w:rFonts w:ascii="Calibri" w:hAnsi="Calibri" w:cs="Calibri"/>
                              <w:color w:val="13576B"/>
                              <w:sz w:val="22"/>
                              <w:szCs w:val="24"/>
                            </w:rPr>
                            <w:t>2</w:t>
                          </w:r>
                          <w:r w:rsidR="00806391">
                            <w:rPr>
                              <w:rFonts w:ascii="Calibri" w:hAnsi="Calibri" w:cs="Calibri"/>
                              <w:color w:val="13576B"/>
                              <w:sz w:val="22"/>
                              <w:szCs w:val="24"/>
                            </w:rPr>
                            <w:t>0</w:t>
                          </w:r>
                          <w:r w:rsidR="00F37DC9" w:rsidRPr="00F37DC9">
                            <w:rPr>
                              <w:rFonts w:ascii="Calibri" w:hAnsi="Calibri" w:cs="Calibri"/>
                              <w:color w:val="13576B"/>
                              <w:sz w:val="22"/>
                              <w:szCs w:val="24"/>
                            </w:rPr>
                            <w:t xml:space="preserve">. </w:t>
                          </w:r>
                          <w:r w:rsidR="00806391">
                            <w:rPr>
                              <w:rFonts w:ascii="Calibri" w:hAnsi="Calibri" w:cs="Calibri"/>
                              <w:color w:val="13576B"/>
                              <w:sz w:val="22"/>
                              <w:szCs w:val="24"/>
                            </w:rPr>
                            <w:t>8</w:t>
                          </w:r>
                          <w:r w:rsidR="00F37DC9" w:rsidRPr="00F37DC9">
                            <w:rPr>
                              <w:rFonts w:ascii="Calibri" w:hAnsi="Calibri" w:cs="Calibri"/>
                              <w:color w:val="13576B"/>
                              <w:sz w:val="22"/>
                              <w:szCs w:val="24"/>
                            </w:rPr>
                            <w:t>. 202</w:t>
                          </w:r>
                          <w:r>
                            <w:rPr>
                              <w:rFonts w:ascii="Calibri" w:hAnsi="Calibri" w:cs="Calibri"/>
                              <w:color w:val="13576B"/>
                              <w:sz w:val="22"/>
                              <w:szCs w:val="2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3763" id="_x0000_s1031" type="#_x0000_t202" style="position:absolute;left:0;text-align:left;margin-left:416.55pt;margin-top:.55pt;width:97.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" filled="f" stroked="f">
              <v:textbox style="mso-fit-shape-to-text:t">
                <w:txbxContent>
                  <w:p w14:paraId="49CD1CFE" w14:textId="77777777" w:rsidR="00F37DC9" w:rsidRPr="00F37DC9" w:rsidRDefault="00F37DC9" w:rsidP="00F37DC9">
                    <w:pPr>
                      <w:spacing w:line="276" w:lineRule="auto"/>
                      <w:jc w:val="right"/>
                      <w:rPr>
                        <w:rFonts w:ascii="Calibri" w:hAnsi="Calibri" w:cs="Calibri"/>
                        <w:b/>
                        <w:color w:val="13576B"/>
                        <w:sz w:val="22"/>
                        <w:szCs w:val="24"/>
                      </w:rPr>
                    </w:pPr>
                    <w:r w:rsidRPr="00F37DC9">
                      <w:rPr>
                        <w:rFonts w:ascii="Calibri" w:hAnsi="Calibri" w:cs="Calibri"/>
                        <w:b/>
                        <w:color w:val="13576B"/>
                        <w:sz w:val="22"/>
                        <w:szCs w:val="24"/>
                      </w:rPr>
                      <w:t xml:space="preserve">TISKOVÁ ZPRÁVA </w:t>
                    </w:r>
                  </w:p>
                  <w:p w14:paraId="5CDE064D" w14:textId="207CC6DF" w:rsidR="00F37DC9" w:rsidRPr="00F37DC9" w:rsidRDefault="003503ED" w:rsidP="00F37DC9">
                    <w:pPr>
                      <w:spacing w:line="276" w:lineRule="auto"/>
                      <w:jc w:val="right"/>
                      <w:rPr>
                        <w:rFonts w:ascii="Calibri" w:hAnsi="Calibri" w:cs="Calibri"/>
                        <w:b/>
                        <w:color w:val="13576B"/>
                        <w:sz w:val="22"/>
                        <w:szCs w:val="24"/>
                      </w:rPr>
                    </w:pPr>
                    <w:r>
                      <w:rPr>
                        <w:rFonts w:ascii="Calibri" w:hAnsi="Calibri" w:cs="Calibri"/>
                        <w:color w:val="13576B"/>
                        <w:sz w:val="22"/>
                        <w:szCs w:val="24"/>
                      </w:rPr>
                      <w:t>2</w:t>
                    </w:r>
                    <w:r w:rsidR="00806391">
                      <w:rPr>
                        <w:rFonts w:ascii="Calibri" w:hAnsi="Calibri" w:cs="Calibri"/>
                        <w:color w:val="13576B"/>
                        <w:sz w:val="22"/>
                        <w:szCs w:val="24"/>
                      </w:rPr>
                      <w:t>0</w:t>
                    </w:r>
                    <w:r w:rsidR="00F37DC9" w:rsidRPr="00F37DC9">
                      <w:rPr>
                        <w:rFonts w:ascii="Calibri" w:hAnsi="Calibri" w:cs="Calibri"/>
                        <w:color w:val="13576B"/>
                        <w:sz w:val="22"/>
                        <w:szCs w:val="24"/>
                      </w:rPr>
                      <w:t xml:space="preserve">. </w:t>
                    </w:r>
                    <w:r w:rsidR="00806391">
                      <w:rPr>
                        <w:rFonts w:ascii="Calibri" w:hAnsi="Calibri" w:cs="Calibri"/>
                        <w:color w:val="13576B"/>
                        <w:sz w:val="22"/>
                        <w:szCs w:val="24"/>
                      </w:rPr>
                      <w:t>8</w:t>
                    </w:r>
                    <w:r w:rsidR="00F37DC9" w:rsidRPr="00F37DC9">
                      <w:rPr>
                        <w:rFonts w:ascii="Calibri" w:hAnsi="Calibri" w:cs="Calibri"/>
                        <w:color w:val="13576B"/>
                        <w:sz w:val="22"/>
                        <w:szCs w:val="24"/>
                      </w:rPr>
                      <w:t>. 202</w:t>
                    </w:r>
                    <w:r>
                      <w:rPr>
                        <w:rFonts w:ascii="Calibri" w:hAnsi="Calibri" w:cs="Calibri"/>
                        <w:color w:val="13576B"/>
                        <w:sz w:val="22"/>
                        <w:szCs w:val="24"/>
                      </w:rPr>
                      <w:t>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8A7"/>
    <w:multiLevelType w:val="hybridMultilevel"/>
    <w:tmpl w:val="ADD42E08"/>
    <w:lvl w:ilvl="0" w:tplc="9B0CBF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15A72"/>
    <w:multiLevelType w:val="hybridMultilevel"/>
    <w:tmpl w:val="4222A8D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12C4DCE"/>
    <w:multiLevelType w:val="hybridMultilevel"/>
    <w:tmpl w:val="D4D47A08"/>
    <w:lvl w:ilvl="0" w:tplc="F062A1EA">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786F60"/>
    <w:multiLevelType w:val="hybridMultilevel"/>
    <w:tmpl w:val="3232EEBE"/>
    <w:lvl w:ilvl="0" w:tplc="491E84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8B2CEC"/>
    <w:multiLevelType w:val="hybridMultilevel"/>
    <w:tmpl w:val="FDB00238"/>
    <w:lvl w:ilvl="0" w:tplc="BD9EF866">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C57BCF"/>
    <w:multiLevelType w:val="hybridMultilevel"/>
    <w:tmpl w:val="3554269C"/>
    <w:lvl w:ilvl="0" w:tplc="F52C1D16">
      <w:numFmt w:val="bullet"/>
      <w:lvlText w:val="-"/>
      <w:lvlJc w:val="left"/>
      <w:pPr>
        <w:ind w:left="720" w:hanging="360"/>
      </w:pPr>
      <w:rPr>
        <w:rFonts w:ascii="Calibri" w:eastAsia="PMingLiU"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F41FF"/>
    <w:multiLevelType w:val="hybridMultilevel"/>
    <w:tmpl w:val="06ECF1A8"/>
    <w:lvl w:ilvl="0" w:tplc="7216123C">
      <w:start w:val="1"/>
      <w:numFmt w:val="bullet"/>
      <w:lvlText w:val="-"/>
      <w:lvlJc w:val="left"/>
      <w:pPr>
        <w:tabs>
          <w:tab w:val="num" w:pos="720"/>
        </w:tabs>
        <w:ind w:left="720" w:hanging="360"/>
      </w:pPr>
      <w:rPr>
        <w:rFonts w:ascii="Arial" w:hAnsi="Arial" w:hint="default"/>
      </w:rPr>
    </w:lvl>
    <w:lvl w:ilvl="1" w:tplc="D4D69B72" w:tentative="1">
      <w:start w:val="1"/>
      <w:numFmt w:val="bullet"/>
      <w:lvlText w:val="-"/>
      <w:lvlJc w:val="left"/>
      <w:pPr>
        <w:tabs>
          <w:tab w:val="num" w:pos="1440"/>
        </w:tabs>
        <w:ind w:left="1440" w:hanging="360"/>
      </w:pPr>
      <w:rPr>
        <w:rFonts w:ascii="Arial" w:hAnsi="Arial" w:hint="default"/>
      </w:rPr>
    </w:lvl>
    <w:lvl w:ilvl="2" w:tplc="F4A4DA8A" w:tentative="1">
      <w:start w:val="1"/>
      <w:numFmt w:val="bullet"/>
      <w:lvlText w:val="-"/>
      <w:lvlJc w:val="left"/>
      <w:pPr>
        <w:tabs>
          <w:tab w:val="num" w:pos="2160"/>
        </w:tabs>
        <w:ind w:left="2160" w:hanging="360"/>
      </w:pPr>
      <w:rPr>
        <w:rFonts w:ascii="Arial" w:hAnsi="Arial" w:hint="default"/>
      </w:rPr>
    </w:lvl>
    <w:lvl w:ilvl="3" w:tplc="992E1B1C" w:tentative="1">
      <w:start w:val="1"/>
      <w:numFmt w:val="bullet"/>
      <w:lvlText w:val="-"/>
      <w:lvlJc w:val="left"/>
      <w:pPr>
        <w:tabs>
          <w:tab w:val="num" w:pos="2880"/>
        </w:tabs>
        <w:ind w:left="2880" w:hanging="360"/>
      </w:pPr>
      <w:rPr>
        <w:rFonts w:ascii="Arial" w:hAnsi="Arial" w:hint="default"/>
      </w:rPr>
    </w:lvl>
    <w:lvl w:ilvl="4" w:tplc="87344526" w:tentative="1">
      <w:start w:val="1"/>
      <w:numFmt w:val="bullet"/>
      <w:lvlText w:val="-"/>
      <w:lvlJc w:val="left"/>
      <w:pPr>
        <w:tabs>
          <w:tab w:val="num" w:pos="3600"/>
        </w:tabs>
        <w:ind w:left="3600" w:hanging="360"/>
      </w:pPr>
      <w:rPr>
        <w:rFonts w:ascii="Arial" w:hAnsi="Arial" w:hint="default"/>
      </w:rPr>
    </w:lvl>
    <w:lvl w:ilvl="5" w:tplc="48FEB5AE" w:tentative="1">
      <w:start w:val="1"/>
      <w:numFmt w:val="bullet"/>
      <w:lvlText w:val="-"/>
      <w:lvlJc w:val="left"/>
      <w:pPr>
        <w:tabs>
          <w:tab w:val="num" w:pos="4320"/>
        </w:tabs>
        <w:ind w:left="4320" w:hanging="360"/>
      </w:pPr>
      <w:rPr>
        <w:rFonts w:ascii="Arial" w:hAnsi="Arial" w:hint="default"/>
      </w:rPr>
    </w:lvl>
    <w:lvl w:ilvl="6" w:tplc="53A2F4D2" w:tentative="1">
      <w:start w:val="1"/>
      <w:numFmt w:val="bullet"/>
      <w:lvlText w:val="-"/>
      <w:lvlJc w:val="left"/>
      <w:pPr>
        <w:tabs>
          <w:tab w:val="num" w:pos="5040"/>
        </w:tabs>
        <w:ind w:left="5040" w:hanging="360"/>
      </w:pPr>
      <w:rPr>
        <w:rFonts w:ascii="Arial" w:hAnsi="Arial" w:hint="default"/>
      </w:rPr>
    </w:lvl>
    <w:lvl w:ilvl="7" w:tplc="AEA686B4" w:tentative="1">
      <w:start w:val="1"/>
      <w:numFmt w:val="bullet"/>
      <w:lvlText w:val="-"/>
      <w:lvlJc w:val="left"/>
      <w:pPr>
        <w:tabs>
          <w:tab w:val="num" w:pos="5760"/>
        </w:tabs>
        <w:ind w:left="5760" w:hanging="360"/>
      </w:pPr>
      <w:rPr>
        <w:rFonts w:ascii="Arial" w:hAnsi="Arial" w:hint="default"/>
      </w:rPr>
    </w:lvl>
    <w:lvl w:ilvl="8" w:tplc="0F3A89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F3628E"/>
    <w:multiLevelType w:val="hybridMultilevel"/>
    <w:tmpl w:val="771602E6"/>
    <w:lvl w:ilvl="0" w:tplc="30548F9A">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9763A7"/>
    <w:multiLevelType w:val="hybridMultilevel"/>
    <w:tmpl w:val="F904BEEC"/>
    <w:lvl w:ilvl="0" w:tplc="E0A2536E">
      <w:start w:val="20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FA73130"/>
    <w:multiLevelType w:val="hybridMultilevel"/>
    <w:tmpl w:val="65281904"/>
    <w:lvl w:ilvl="0" w:tplc="DF56ABD4">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26451B"/>
    <w:multiLevelType w:val="hybridMultilevel"/>
    <w:tmpl w:val="C1DEF65C"/>
    <w:lvl w:ilvl="0" w:tplc="0E7285A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9576527">
    <w:abstractNumId w:val="1"/>
  </w:num>
  <w:num w:numId="2" w16cid:durableId="433785663">
    <w:abstractNumId w:val="2"/>
  </w:num>
  <w:num w:numId="3" w16cid:durableId="1729918350">
    <w:abstractNumId w:val="10"/>
  </w:num>
  <w:num w:numId="4" w16cid:durableId="253903565">
    <w:abstractNumId w:val="7"/>
  </w:num>
  <w:num w:numId="5" w16cid:durableId="802504195">
    <w:abstractNumId w:val="3"/>
  </w:num>
  <w:num w:numId="6" w16cid:durableId="197862842">
    <w:abstractNumId w:val="4"/>
  </w:num>
  <w:num w:numId="7" w16cid:durableId="1431047350">
    <w:abstractNumId w:val="6"/>
  </w:num>
  <w:num w:numId="8" w16cid:durableId="1469476053">
    <w:abstractNumId w:val="12"/>
  </w:num>
  <w:num w:numId="9" w16cid:durableId="1848516986">
    <w:abstractNumId w:val="0"/>
  </w:num>
  <w:num w:numId="10" w16cid:durableId="2118717874">
    <w:abstractNumId w:val="9"/>
  </w:num>
  <w:num w:numId="11" w16cid:durableId="185876810">
    <w:abstractNumId w:val="8"/>
  </w:num>
  <w:num w:numId="12" w16cid:durableId="2013485861">
    <w:abstractNumId w:val="5"/>
  </w:num>
  <w:num w:numId="13" w16cid:durableId="754328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email"/>
    <w:dataType w:val="textFile"/>
    <w:activeRecord w:val="-1"/>
  </w:mailMerg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169"/>
    <w:rsid w:val="00001E30"/>
    <w:rsid w:val="00004650"/>
    <w:rsid w:val="00004B58"/>
    <w:rsid w:val="00005244"/>
    <w:rsid w:val="00006087"/>
    <w:rsid w:val="00006860"/>
    <w:rsid w:val="00014977"/>
    <w:rsid w:val="0001513F"/>
    <w:rsid w:val="000158F1"/>
    <w:rsid w:val="000162B2"/>
    <w:rsid w:val="00017461"/>
    <w:rsid w:val="00017F00"/>
    <w:rsid w:val="000221D6"/>
    <w:rsid w:val="00023000"/>
    <w:rsid w:val="00026596"/>
    <w:rsid w:val="00032B41"/>
    <w:rsid w:val="00032EF8"/>
    <w:rsid w:val="00033084"/>
    <w:rsid w:val="00034035"/>
    <w:rsid w:val="000349D8"/>
    <w:rsid w:val="00034F87"/>
    <w:rsid w:val="000366C2"/>
    <w:rsid w:val="00036DD3"/>
    <w:rsid w:val="000419CA"/>
    <w:rsid w:val="00044002"/>
    <w:rsid w:val="00044266"/>
    <w:rsid w:val="0005001B"/>
    <w:rsid w:val="0005108F"/>
    <w:rsid w:val="0005493C"/>
    <w:rsid w:val="00054E8F"/>
    <w:rsid w:val="00055376"/>
    <w:rsid w:val="00055B74"/>
    <w:rsid w:val="00062A8A"/>
    <w:rsid w:val="00062D67"/>
    <w:rsid w:val="00062DC6"/>
    <w:rsid w:val="000650ED"/>
    <w:rsid w:val="00065AA0"/>
    <w:rsid w:val="00066333"/>
    <w:rsid w:val="00067197"/>
    <w:rsid w:val="00067501"/>
    <w:rsid w:val="0006786A"/>
    <w:rsid w:val="0007096D"/>
    <w:rsid w:val="00071B9F"/>
    <w:rsid w:val="0007438C"/>
    <w:rsid w:val="000766D5"/>
    <w:rsid w:val="00076970"/>
    <w:rsid w:val="0007755C"/>
    <w:rsid w:val="0008071A"/>
    <w:rsid w:val="0008238B"/>
    <w:rsid w:val="00082CD7"/>
    <w:rsid w:val="00082E1D"/>
    <w:rsid w:val="000831A0"/>
    <w:rsid w:val="0008323B"/>
    <w:rsid w:val="00086563"/>
    <w:rsid w:val="00087711"/>
    <w:rsid w:val="00087849"/>
    <w:rsid w:val="00087A3D"/>
    <w:rsid w:val="00092245"/>
    <w:rsid w:val="00092ACE"/>
    <w:rsid w:val="00093C64"/>
    <w:rsid w:val="00095A11"/>
    <w:rsid w:val="00097B97"/>
    <w:rsid w:val="000A00DE"/>
    <w:rsid w:val="000A086B"/>
    <w:rsid w:val="000A1677"/>
    <w:rsid w:val="000A1D30"/>
    <w:rsid w:val="000A1E1A"/>
    <w:rsid w:val="000A1EA1"/>
    <w:rsid w:val="000A2025"/>
    <w:rsid w:val="000A2144"/>
    <w:rsid w:val="000A2EC0"/>
    <w:rsid w:val="000A337A"/>
    <w:rsid w:val="000A34D4"/>
    <w:rsid w:val="000A39EF"/>
    <w:rsid w:val="000A5EDA"/>
    <w:rsid w:val="000A6730"/>
    <w:rsid w:val="000A72B8"/>
    <w:rsid w:val="000A7E0A"/>
    <w:rsid w:val="000B1B0C"/>
    <w:rsid w:val="000B27C5"/>
    <w:rsid w:val="000B4814"/>
    <w:rsid w:val="000B6BEC"/>
    <w:rsid w:val="000C1155"/>
    <w:rsid w:val="000C1D98"/>
    <w:rsid w:val="000C2287"/>
    <w:rsid w:val="000C552C"/>
    <w:rsid w:val="000C6B0C"/>
    <w:rsid w:val="000C779F"/>
    <w:rsid w:val="000C77D3"/>
    <w:rsid w:val="000D0BFE"/>
    <w:rsid w:val="000D12F8"/>
    <w:rsid w:val="000D1977"/>
    <w:rsid w:val="000D2B81"/>
    <w:rsid w:val="000D314F"/>
    <w:rsid w:val="000D5D2B"/>
    <w:rsid w:val="000D70E4"/>
    <w:rsid w:val="000D7C38"/>
    <w:rsid w:val="000E1A02"/>
    <w:rsid w:val="000E1DF8"/>
    <w:rsid w:val="000E3A69"/>
    <w:rsid w:val="000E5E2A"/>
    <w:rsid w:val="000E7086"/>
    <w:rsid w:val="000F34A7"/>
    <w:rsid w:val="000F39C3"/>
    <w:rsid w:val="000F4797"/>
    <w:rsid w:val="000F60B1"/>
    <w:rsid w:val="000F790F"/>
    <w:rsid w:val="00100481"/>
    <w:rsid w:val="00100B73"/>
    <w:rsid w:val="001045A6"/>
    <w:rsid w:val="00104E9B"/>
    <w:rsid w:val="001058E0"/>
    <w:rsid w:val="00105C84"/>
    <w:rsid w:val="0010643C"/>
    <w:rsid w:val="001064A7"/>
    <w:rsid w:val="00114049"/>
    <w:rsid w:val="0011443F"/>
    <w:rsid w:val="0011497E"/>
    <w:rsid w:val="00114D42"/>
    <w:rsid w:val="00115103"/>
    <w:rsid w:val="00115379"/>
    <w:rsid w:val="00115462"/>
    <w:rsid w:val="00116565"/>
    <w:rsid w:val="00120A0D"/>
    <w:rsid w:val="0012304F"/>
    <w:rsid w:val="001230C1"/>
    <w:rsid w:val="001246BC"/>
    <w:rsid w:val="00124A05"/>
    <w:rsid w:val="00124FA1"/>
    <w:rsid w:val="00125474"/>
    <w:rsid w:val="0012566F"/>
    <w:rsid w:val="001262D3"/>
    <w:rsid w:val="00126D6F"/>
    <w:rsid w:val="00127A07"/>
    <w:rsid w:val="001309A9"/>
    <w:rsid w:val="00131552"/>
    <w:rsid w:val="0013261F"/>
    <w:rsid w:val="00134800"/>
    <w:rsid w:val="00135CBF"/>
    <w:rsid w:val="00135CD7"/>
    <w:rsid w:val="001362D6"/>
    <w:rsid w:val="00141F10"/>
    <w:rsid w:val="001422DD"/>
    <w:rsid w:val="00142834"/>
    <w:rsid w:val="00142FD3"/>
    <w:rsid w:val="00144F4C"/>
    <w:rsid w:val="00146670"/>
    <w:rsid w:val="00146F24"/>
    <w:rsid w:val="0014795B"/>
    <w:rsid w:val="00147E43"/>
    <w:rsid w:val="0015008F"/>
    <w:rsid w:val="00150BD1"/>
    <w:rsid w:val="00151610"/>
    <w:rsid w:val="0015167E"/>
    <w:rsid w:val="00153984"/>
    <w:rsid w:val="00153D1F"/>
    <w:rsid w:val="00154824"/>
    <w:rsid w:val="00156D1E"/>
    <w:rsid w:val="00156EF2"/>
    <w:rsid w:val="001607D6"/>
    <w:rsid w:val="001610CA"/>
    <w:rsid w:val="001613CA"/>
    <w:rsid w:val="00161A57"/>
    <w:rsid w:val="00161E9D"/>
    <w:rsid w:val="001642C0"/>
    <w:rsid w:val="001645F1"/>
    <w:rsid w:val="00164D55"/>
    <w:rsid w:val="00165709"/>
    <w:rsid w:val="00165D62"/>
    <w:rsid w:val="00166404"/>
    <w:rsid w:val="0016743F"/>
    <w:rsid w:val="00174667"/>
    <w:rsid w:val="001766F5"/>
    <w:rsid w:val="001768A6"/>
    <w:rsid w:val="001802DE"/>
    <w:rsid w:val="001828E8"/>
    <w:rsid w:val="0018297A"/>
    <w:rsid w:val="001855FF"/>
    <w:rsid w:val="001869EE"/>
    <w:rsid w:val="00186E9F"/>
    <w:rsid w:val="00187BEF"/>
    <w:rsid w:val="00190861"/>
    <w:rsid w:val="001914C2"/>
    <w:rsid w:val="00191CB2"/>
    <w:rsid w:val="00193933"/>
    <w:rsid w:val="00194F73"/>
    <w:rsid w:val="001951E8"/>
    <w:rsid w:val="00195399"/>
    <w:rsid w:val="00195C6D"/>
    <w:rsid w:val="001960B2"/>
    <w:rsid w:val="0019625C"/>
    <w:rsid w:val="0019764B"/>
    <w:rsid w:val="001A19BA"/>
    <w:rsid w:val="001A3800"/>
    <w:rsid w:val="001A7447"/>
    <w:rsid w:val="001A7E43"/>
    <w:rsid w:val="001A7F7D"/>
    <w:rsid w:val="001B33B0"/>
    <w:rsid w:val="001B44EF"/>
    <w:rsid w:val="001B4FA1"/>
    <w:rsid w:val="001B5613"/>
    <w:rsid w:val="001B5FE5"/>
    <w:rsid w:val="001B69C3"/>
    <w:rsid w:val="001B79B9"/>
    <w:rsid w:val="001B7A61"/>
    <w:rsid w:val="001B7FB3"/>
    <w:rsid w:val="001C03DD"/>
    <w:rsid w:val="001C0DF4"/>
    <w:rsid w:val="001C1C00"/>
    <w:rsid w:val="001C1FEF"/>
    <w:rsid w:val="001C25B6"/>
    <w:rsid w:val="001C297A"/>
    <w:rsid w:val="001C2A36"/>
    <w:rsid w:val="001C333D"/>
    <w:rsid w:val="001C3443"/>
    <w:rsid w:val="001C48A4"/>
    <w:rsid w:val="001C576C"/>
    <w:rsid w:val="001C7F27"/>
    <w:rsid w:val="001D20AB"/>
    <w:rsid w:val="001D245F"/>
    <w:rsid w:val="001D5BB9"/>
    <w:rsid w:val="001E07DA"/>
    <w:rsid w:val="001E0DB9"/>
    <w:rsid w:val="001E1D50"/>
    <w:rsid w:val="001E4A94"/>
    <w:rsid w:val="001E4E51"/>
    <w:rsid w:val="001E6405"/>
    <w:rsid w:val="001E6A1E"/>
    <w:rsid w:val="001F5756"/>
    <w:rsid w:val="001F64CB"/>
    <w:rsid w:val="001F6807"/>
    <w:rsid w:val="001F783F"/>
    <w:rsid w:val="001F7C24"/>
    <w:rsid w:val="00202169"/>
    <w:rsid w:val="00202BDA"/>
    <w:rsid w:val="00203F12"/>
    <w:rsid w:val="002050D0"/>
    <w:rsid w:val="00205254"/>
    <w:rsid w:val="002057D4"/>
    <w:rsid w:val="00213F46"/>
    <w:rsid w:val="00213FC6"/>
    <w:rsid w:val="00214FAB"/>
    <w:rsid w:val="002165FE"/>
    <w:rsid w:val="00217AD4"/>
    <w:rsid w:val="00217E6B"/>
    <w:rsid w:val="002207A6"/>
    <w:rsid w:val="00221E42"/>
    <w:rsid w:val="00222AA1"/>
    <w:rsid w:val="0022377B"/>
    <w:rsid w:val="00224038"/>
    <w:rsid w:val="00224284"/>
    <w:rsid w:val="00224F0E"/>
    <w:rsid w:val="002401B0"/>
    <w:rsid w:val="002418DB"/>
    <w:rsid w:val="00242192"/>
    <w:rsid w:val="00244B0F"/>
    <w:rsid w:val="00245099"/>
    <w:rsid w:val="0024553D"/>
    <w:rsid w:val="00246F10"/>
    <w:rsid w:val="00247943"/>
    <w:rsid w:val="0025106C"/>
    <w:rsid w:val="002511A0"/>
    <w:rsid w:val="00251963"/>
    <w:rsid w:val="00252997"/>
    <w:rsid w:val="00253ECD"/>
    <w:rsid w:val="00254030"/>
    <w:rsid w:val="00254EB5"/>
    <w:rsid w:val="00261296"/>
    <w:rsid w:val="00261512"/>
    <w:rsid w:val="002624E9"/>
    <w:rsid w:val="002636B5"/>
    <w:rsid w:val="00263F96"/>
    <w:rsid w:val="00264CED"/>
    <w:rsid w:val="00264F1B"/>
    <w:rsid w:val="00266E32"/>
    <w:rsid w:val="00267813"/>
    <w:rsid w:val="00267ACA"/>
    <w:rsid w:val="0027007C"/>
    <w:rsid w:val="002728A8"/>
    <w:rsid w:val="00272A8E"/>
    <w:rsid w:val="00272AB0"/>
    <w:rsid w:val="00273B83"/>
    <w:rsid w:val="0027402B"/>
    <w:rsid w:val="00275FB5"/>
    <w:rsid w:val="0027655E"/>
    <w:rsid w:val="0028253D"/>
    <w:rsid w:val="00282A5F"/>
    <w:rsid w:val="00284DD5"/>
    <w:rsid w:val="002858AE"/>
    <w:rsid w:val="002878FD"/>
    <w:rsid w:val="00292C2B"/>
    <w:rsid w:val="002930C9"/>
    <w:rsid w:val="0029614D"/>
    <w:rsid w:val="002A2B40"/>
    <w:rsid w:val="002A2D5A"/>
    <w:rsid w:val="002A2ED6"/>
    <w:rsid w:val="002A3E47"/>
    <w:rsid w:val="002A60DC"/>
    <w:rsid w:val="002A7837"/>
    <w:rsid w:val="002B1A4A"/>
    <w:rsid w:val="002B273C"/>
    <w:rsid w:val="002B3725"/>
    <w:rsid w:val="002B5D56"/>
    <w:rsid w:val="002C063C"/>
    <w:rsid w:val="002C0B36"/>
    <w:rsid w:val="002C1004"/>
    <w:rsid w:val="002C1871"/>
    <w:rsid w:val="002C2AE2"/>
    <w:rsid w:val="002C4547"/>
    <w:rsid w:val="002C4F14"/>
    <w:rsid w:val="002C51A7"/>
    <w:rsid w:val="002C5839"/>
    <w:rsid w:val="002C752B"/>
    <w:rsid w:val="002D12BD"/>
    <w:rsid w:val="002D1376"/>
    <w:rsid w:val="002D2DEC"/>
    <w:rsid w:val="002D34FC"/>
    <w:rsid w:val="002D3F33"/>
    <w:rsid w:val="002D4C1A"/>
    <w:rsid w:val="002D57C2"/>
    <w:rsid w:val="002D6131"/>
    <w:rsid w:val="002D615E"/>
    <w:rsid w:val="002D6B03"/>
    <w:rsid w:val="002E1078"/>
    <w:rsid w:val="002E18D7"/>
    <w:rsid w:val="002E1F2F"/>
    <w:rsid w:val="002E39FF"/>
    <w:rsid w:val="002E3DF7"/>
    <w:rsid w:val="002E4A51"/>
    <w:rsid w:val="002E5008"/>
    <w:rsid w:val="002E732D"/>
    <w:rsid w:val="002E7CA6"/>
    <w:rsid w:val="002F076C"/>
    <w:rsid w:val="002F1A0F"/>
    <w:rsid w:val="002F2215"/>
    <w:rsid w:val="002F3D6C"/>
    <w:rsid w:val="002F477C"/>
    <w:rsid w:val="002F6016"/>
    <w:rsid w:val="00302451"/>
    <w:rsid w:val="00302716"/>
    <w:rsid w:val="00303B8A"/>
    <w:rsid w:val="00303D8D"/>
    <w:rsid w:val="00303DD6"/>
    <w:rsid w:val="00304E17"/>
    <w:rsid w:val="00310201"/>
    <w:rsid w:val="00310D0B"/>
    <w:rsid w:val="00310ECE"/>
    <w:rsid w:val="003123D0"/>
    <w:rsid w:val="00312467"/>
    <w:rsid w:val="0031389C"/>
    <w:rsid w:val="003152F5"/>
    <w:rsid w:val="00315686"/>
    <w:rsid w:val="00315BAC"/>
    <w:rsid w:val="00315F30"/>
    <w:rsid w:val="003161ED"/>
    <w:rsid w:val="00316A23"/>
    <w:rsid w:val="003172F8"/>
    <w:rsid w:val="00320075"/>
    <w:rsid w:val="00320A31"/>
    <w:rsid w:val="00320A3F"/>
    <w:rsid w:val="003215CA"/>
    <w:rsid w:val="0032171F"/>
    <w:rsid w:val="0032297D"/>
    <w:rsid w:val="0032343F"/>
    <w:rsid w:val="003239D9"/>
    <w:rsid w:val="00324583"/>
    <w:rsid w:val="00325C91"/>
    <w:rsid w:val="00327407"/>
    <w:rsid w:val="00327E59"/>
    <w:rsid w:val="003305B2"/>
    <w:rsid w:val="003306A1"/>
    <w:rsid w:val="003334FA"/>
    <w:rsid w:val="00334A50"/>
    <w:rsid w:val="00335332"/>
    <w:rsid w:val="00335638"/>
    <w:rsid w:val="003366D7"/>
    <w:rsid w:val="0033687A"/>
    <w:rsid w:val="00336B96"/>
    <w:rsid w:val="00337931"/>
    <w:rsid w:val="003401BC"/>
    <w:rsid w:val="00342579"/>
    <w:rsid w:val="00342B8F"/>
    <w:rsid w:val="00343CB8"/>
    <w:rsid w:val="00345D5D"/>
    <w:rsid w:val="00346FF6"/>
    <w:rsid w:val="003503ED"/>
    <w:rsid w:val="00351068"/>
    <w:rsid w:val="0035275E"/>
    <w:rsid w:val="003533C5"/>
    <w:rsid w:val="00355435"/>
    <w:rsid w:val="0035571B"/>
    <w:rsid w:val="00356262"/>
    <w:rsid w:val="003571AD"/>
    <w:rsid w:val="00357877"/>
    <w:rsid w:val="00360F61"/>
    <w:rsid w:val="00361426"/>
    <w:rsid w:val="00361DD8"/>
    <w:rsid w:val="00362759"/>
    <w:rsid w:val="00364050"/>
    <w:rsid w:val="00364371"/>
    <w:rsid w:val="0036442C"/>
    <w:rsid w:val="003654CD"/>
    <w:rsid w:val="00365B2D"/>
    <w:rsid w:val="00365D50"/>
    <w:rsid w:val="003668D4"/>
    <w:rsid w:val="00366C7D"/>
    <w:rsid w:val="00367443"/>
    <w:rsid w:val="00367D3B"/>
    <w:rsid w:val="00367F9E"/>
    <w:rsid w:val="0037051A"/>
    <w:rsid w:val="003707A8"/>
    <w:rsid w:val="00370F35"/>
    <w:rsid w:val="003713E7"/>
    <w:rsid w:val="003716C3"/>
    <w:rsid w:val="003724E9"/>
    <w:rsid w:val="003727EB"/>
    <w:rsid w:val="0037320F"/>
    <w:rsid w:val="0037353B"/>
    <w:rsid w:val="00373AE4"/>
    <w:rsid w:val="00373D9D"/>
    <w:rsid w:val="003745FD"/>
    <w:rsid w:val="00380C99"/>
    <w:rsid w:val="003831B6"/>
    <w:rsid w:val="00383E25"/>
    <w:rsid w:val="003844CD"/>
    <w:rsid w:val="003909E1"/>
    <w:rsid w:val="00391FA6"/>
    <w:rsid w:val="0039301A"/>
    <w:rsid w:val="00393731"/>
    <w:rsid w:val="003947A8"/>
    <w:rsid w:val="003952ED"/>
    <w:rsid w:val="00395434"/>
    <w:rsid w:val="00395A5D"/>
    <w:rsid w:val="00396883"/>
    <w:rsid w:val="00397D2D"/>
    <w:rsid w:val="00397F9F"/>
    <w:rsid w:val="003A1647"/>
    <w:rsid w:val="003A2F89"/>
    <w:rsid w:val="003A30BE"/>
    <w:rsid w:val="003A5DED"/>
    <w:rsid w:val="003A6E43"/>
    <w:rsid w:val="003A6F74"/>
    <w:rsid w:val="003B02DB"/>
    <w:rsid w:val="003B0E41"/>
    <w:rsid w:val="003B29C5"/>
    <w:rsid w:val="003B2E15"/>
    <w:rsid w:val="003B2E74"/>
    <w:rsid w:val="003B3F77"/>
    <w:rsid w:val="003B48EF"/>
    <w:rsid w:val="003B61CD"/>
    <w:rsid w:val="003B6752"/>
    <w:rsid w:val="003C2B53"/>
    <w:rsid w:val="003C2DA2"/>
    <w:rsid w:val="003C3D7F"/>
    <w:rsid w:val="003C4F56"/>
    <w:rsid w:val="003C7352"/>
    <w:rsid w:val="003C7394"/>
    <w:rsid w:val="003D104A"/>
    <w:rsid w:val="003D1132"/>
    <w:rsid w:val="003D14D7"/>
    <w:rsid w:val="003D2AB0"/>
    <w:rsid w:val="003D424E"/>
    <w:rsid w:val="003D5446"/>
    <w:rsid w:val="003D6D17"/>
    <w:rsid w:val="003E0BE6"/>
    <w:rsid w:val="003E0E58"/>
    <w:rsid w:val="003E1610"/>
    <w:rsid w:val="003E2BA3"/>
    <w:rsid w:val="003E31EA"/>
    <w:rsid w:val="003E3DCB"/>
    <w:rsid w:val="003E515C"/>
    <w:rsid w:val="003E6581"/>
    <w:rsid w:val="003E6B52"/>
    <w:rsid w:val="003E75D1"/>
    <w:rsid w:val="003F1CB9"/>
    <w:rsid w:val="003F2B91"/>
    <w:rsid w:val="003F3510"/>
    <w:rsid w:val="003F618A"/>
    <w:rsid w:val="003F7F31"/>
    <w:rsid w:val="0040072F"/>
    <w:rsid w:val="00401262"/>
    <w:rsid w:val="00401322"/>
    <w:rsid w:val="00402738"/>
    <w:rsid w:val="00404CED"/>
    <w:rsid w:val="00405C26"/>
    <w:rsid w:val="00407468"/>
    <w:rsid w:val="00407F75"/>
    <w:rsid w:val="00410C72"/>
    <w:rsid w:val="00411E07"/>
    <w:rsid w:val="00414950"/>
    <w:rsid w:val="00416028"/>
    <w:rsid w:val="00416A62"/>
    <w:rsid w:val="00420888"/>
    <w:rsid w:val="00421049"/>
    <w:rsid w:val="0042113A"/>
    <w:rsid w:val="00422611"/>
    <w:rsid w:val="00423B22"/>
    <w:rsid w:val="00425C7D"/>
    <w:rsid w:val="004300C6"/>
    <w:rsid w:val="00430E68"/>
    <w:rsid w:val="00432B0F"/>
    <w:rsid w:val="004333DE"/>
    <w:rsid w:val="00433E42"/>
    <w:rsid w:val="00435968"/>
    <w:rsid w:val="00435AAD"/>
    <w:rsid w:val="00435C21"/>
    <w:rsid w:val="004366A2"/>
    <w:rsid w:val="00437356"/>
    <w:rsid w:val="00437589"/>
    <w:rsid w:val="004401B1"/>
    <w:rsid w:val="004403EB"/>
    <w:rsid w:val="00442322"/>
    <w:rsid w:val="0044304B"/>
    <w:rsid w:val="004475DD"/>
    <w:rsid w:val="004476CB"/>
    <w:rsid w:val="00447B3F"/>
    <w:rsid w:val="00453E1C"/>
    <w:rsid w:val="00454547"/>
    <w:rsid w:val="004551CA"/>
    <w:rsid w:val="00455AD4"/>
    <w:rsid w:val="0045664E"/>
    <w:rsid w:val="00457A66"/>
    <w:rsid w:val="0046134F"/>
    <w:rsid w:val="00462589"/>
    <w:rsid w:val="00463781"/>
    <w:rsid w:val="00463F39"/>
    <w:rsid w:val="0047073B"/>
    <w:rsid w:val="00471FFB"/>
    <w:rsid w:val="004728A5"/>
    <w:rsid w:val="00472906"/>
    <w:rsid w:val="00474A86"/>
    <w:rsid w:val="0047616B"/>
    <w:rsid w:val="00476BD0"/>
    <w:rsid w:val="00477857"/>
    <w:rsid w:val="004817D8"/>
    <w:rsid w:val="00483BB7"/>
    <w:rsid w:val="00484A70"/>
    <w:rsid w:val="00484CE4"/>
    <w:rsid w:val="00484DC6"/>
    <w:rsid w:val="00485076"/>
    <w:rsid w:val="004852C9"/>
    <w:rsid w:val="00485870"/>
    <w:rsid w:val="00490B90"/>
    <w:rsid w:val="00490DDA"/>
    <w:rsid w:val="0049113D"/>
    <w:rsid w:val="0049132F"/>
    <w:rsid w:val="00495A30"/>
    <w:rsid w:val="0049605B"/>
    <w:rsid w:val="0049790B"/>
    <w:rsid w:val="004A03FB"/>
    <w:rsid w:val="004A1724"/>
    <w:rsid w:val="004A2FAE"/>
    <w:rsid w:val="004A6401"/>
    <w:rsid w:val="004A6443"/>
    <w:rsid w:val="004A6B15"/>
    <w:rsid w:val="004A7ABD"/>
    <w:rsid w:val="004A7D28"/>
    <w:rsid w:val="004B1725"/>
    <w:rsid w:val="004B49EC"/>
    <w:rsid w:val="004B4C95"/>
    <w:rsid w:val="004B4D9A"/>
    <w:rsid w:val="004B4E22"/>
    <w:rsid w:val="004C133B"/>
    <w:rsid w:val="004C1B31"/>
    <w:rsid w:val="004C297A"/>
    <w:rsid w:val="004C389E"/>
    <w:rsid w:val="004C3EBA"/>
    <w:rsid w:val="004C4302"/>
    <w:rsid w:val="004C5DF3"/>
    <w:rsid w:val="004C5ED8"/>
    <w:rsid w:val="004C6901"/>
    <w:rsid w:val="004D12DA"/>
    <w:rsid w:val="004D1CED"/>
    <w:rsid w:val="004D5EDF"/>
    <w:rsid w:val="004D63E3"/>
    <w:rsid w:val="004D6922"/>
    <w:rsid w:val="004D7651"/>
    <w:rsid w:val="004E1A7D"/>
    <w:rsid w:val="004E1AC6"/>
    <w:rsid w:val="004E27AE"/>
    <w:rsid w:val="004E3A25"/>
    <w:rsid w:val="004E3E95"/>
    <w:rsid w:val="004E4AD6"/>
    <w:rsid w:val="004E6615"/>
    <w:rsid w:val="004E6814"/>
    <w:rsid w:val="004F0729"/>
    <w:rsid w:val="004F09E3"/>
    <w:rsid w:val="004F1275"/>
    <w:rsid w:val="004F196E"/>
    <w:rsid w:val="004F24F2"/>
    <w:rsid w:val="004F29DA"/>
    <w:rsid w:val="004F4A74"/>
    <w:rsid w:val="005024DC"/>
    <w:rsid w:val="00503095"/>
    <w:rsid w:val="00504443"/>
    <w:rsid w:val="005044E1"/>
    <w:rsid w:val="005045E5"/>
    <w:rsid w:val="00504A5F"/>
    <w:rsid w:val="00505601"/>
    <w:rsid w:val="00505850"/>
    <w:rsid w:val="00505C9C"/>
    <w:rsid w:val="005061AA"/>
    <w:rsid w:val="00506DF1"/>
    <w:rsid w:val="00507B3C"/>
    <w:rsid w:val="00512418"/>
    <w:rsid w:val="0051322A"/>
    <w:rsid w:val="005142C0"/>
    <w:rsid w:val="0051446C"/>
    <w:rsid w:val="00517111"/>
    <w:rsid w:val="005208C8"/>
    <w:rsid w:val="00520AEA"/>
    <w:rsid w:val="00520BE6"/>
    <w:rsid w:val="00520C82"/>
    <w:rsid w:val="00521B07"/>
    <w:rsid w:val="005228D2"/>
    <w:rsid w:val="00524989"/>
    <w:rsid w:val="00525ABD"/>
    <w:rsid w:val="00525F88"/>
    <w:rsid w:val="0052644D"/>
    <w:rsid w:val="00527304"/>
    <w:rsid w:val="00527C61"/>
    <w:rsid w:val="00532363"/>
    <w:rsid w:val="005354AE"/>
    <w:rsid w:val="00536B9B"/>
    <w:rsid w:val="00537515"/>
    <w:rsid w:val="00537656"/>
    <w:rsid w:val="005376D6"/>
    <w:rsid w:val="00537A4D"/>
    <w:rsid w:val="00537C68"/>
    <w:rsid w:val="00540AD1"/>
    <w:rsid w:val="00545533"/>
    <w:rsid w:val="0054647F"/>
    <w:rsid w:val="0054661B"/>
    <w:rsid w:val="00550C81"/>
    <w:rsid w:val="0055128F"/>
    <w:rsid w:val="00551B4C"/>
    <w:rsid w:val="005531EC"/>
    <w:rsid w:val="00553FBC"/>
    <w:rsid w:val="005547BF"/>
    <w:rsid w:val="00554D9D"/>
    <w:rsid w:val="005552E9"/>
    <w:rsid w:val="00555B91"/>
    <w:rsid w:val="00561FE2"/>
    <w:rsid w:val="00562D02"/>
    <w:rsid w:val="0056315C"/>
    <w:rsid w:val="0056335A"/>
    <w:rsid w:val="00563E7E"/>
    <w:rsid w:val="005642DD"/>
    <w:rsid w:val="00564C9B"/>
    <w:rsid w:val="00571647"/>
    <w:rsid w:val="00571819"/>
    <w:rsid w:val="00572DA2"/>
    <w:rsid w:val="00576028"/>
    <w:rsid w:val="005763DB"/>
    <w:rsid w:val="005775FE"/>
    <w:rsid w:val="00577677"/>
    <w:rsid w:val="0058017E"/>
    <w:rsid w:val="00581327"/>
    <w:rsid w:val="00581C97"/>
    <w:rsid w:val="0058265B"/>
    <w:rsid w:val="0058388D"/>
    <w:rsid w:val="005839E3"/>
    <w:rsid w:val="00585A0A"/>
    <w:rsid w:val="005864AD"/>
    <w:rsid w:val="00587061"/>
    <w:rsid w:val="00587F82"/>
    <w:rsid w:val="00591B8C"/>
    <w:rsid w:val="00593090"/>
    <w:rsid w:val="00594873"/>
    <w:rsid w:val="00594F62"/>
    <w:rsid w:val="005954B4"/>
    <w:rsid w:val="00595CAD"/>
    <w:rsid w:val="00596CED"/>
    <w:rsid w:val="005A2501"/>
    <w:rsid w:val="005A28E8"/>
    <w:rsid w:val="005A2AF1"/>
    <w:rsid w:val="005A3968"/>
    <w:rsid w:val="005A44FF"/>
    <w:rsid w:val="005A5299"/>
    <w:rsid w:val="005A7A4D"/>
    <w:rsid w:val="005A7E70"/>
    <w:rsid w:val="005B006B"/>
    <w:rsid w:val="005B12FA"/>
    <w:rsid w:val="005B1718"/>
    <w:rsid w:val="005B2A69"/>
    <w:rsid w:val="005B4768"/>
    <w:rsid w:val="005B493E"/>
    <w:rsid w:val="005B7249"/>
    <w:rsid w:val="005C01AE"/>
    <w:rsid w:val="005C11B5"/>
    <w:rsid w:val="005C13B0"/>
    <w:rsid w:val="005C1943"/>
    <w:rsid w:val="005C3C3C"/>
    <w:rsid w:val="005C41EF"/>
    <w:rsid w:val="005C575F"/>
    <w:rsid w:val="005C60BB"/>
    <w:rsid w:val="005C6A0D"/>
    <w:rsid w:val="005C6BBE"/>
    <w:rsid w:val="005C6D52"/>
    <w:rsid w:val="005C6DB6"/>
    <w:rsid w:val="005C7415"/>
    <w:rsid w:val="005D053D"/>
    <w:rsid w:val="005D0910"/>
    <w:rsid w:val="005D42A6"/>
    <w:rsid w:val="005D42B1"/>
    <w:rsid w:val="005D59CD"/>
    <w:rsid w:val="005D738B"/>
    <w:rsid w:val="005E0B44"/>
    <w:rsid w:val="005E1864"/>
    <w:rsid w:val="005E236A"/>
    <w:rsid w:val="005E3B90"/>
    <w:rsid w:val="005E419A"/>
    <w:rsid w:val="005E51FF"/>
    <w:rsid w:val="005E58E1"/>
    <w:rsid w:val="005E5B24"/>
    <w:rsid w:val="005E5B52"/>
    <w:rsid w:val="005E5ECB"/>
    <w:rsid w:val="005E7020"/>
    <w:rsid w:val="005F084E"/>
    <w:rsid w:val="005F0A8A"/>
    <w:rsid w:val="005F3FF0"/>
    <w:rsid w:val="005F4524"/>
    <w:rsid w:val="005F4ABC"/>
    <w:rsid w:val="005F5EB0"/>
    <w:rsid w:val="005F772B"/>
    <w:rsid w:val="005F7A84"/>
    <w:rsid w:val="0060060A"/>
    <w:rsid w:val="006028B1"/>
    <w:rsid w:val="00602E5F"/>
    <w:rsid w:val="00603141"/>
    <w:rsid w:val="00603B79"/>
    <w:rsid w:val="00603B91"/>
    <w:rsid w:val="00604274"/>
    <w:rsid w:val="0060552B"/>
    <w:rsid w:val="00611326"/>
    <w:rsid w:val="00611C5C"/>
    <w:rsid w:val="00611EFE"/>
    <w:rsid w:val="00612725"/>
    <w:rsid w:val="006146A8"/>
    <w:rsid w:val="00614E76"/>
    <w:rsid w:val="006155CF"/>
    <w:rsid w:val="006160C8"/>
    <w:rsid w:val="00621963"/>
    <w:rsid w:val="006223AD"/>
    <w:rsid w:val="00623B0C"/>
    <w:rsid w:val="006257D7"/>
    <w:rsid w:val="00626065"/>
    <w:rsid w:val="00626382"/>
    <w:rsid w:val="00627C6F"/>
    <w:rsid w:val="0063005B"/>
    <w:rsid w:val="00632959"/>
    <w:rsid w:val="00632A2F"/>
    <w:rsid w:val="00634862"/>
    <w:rsid w:val="00635DD9"/>
    <w:rsid w:val="00635F63"/>
    <w:rsid w:val="00640878"/>
    <w:rsid w:val="00643505"/>
    <w:rsid w:val="0064499D"/>
    <w:rsid w:val="006454CC"/>
    <w:rsid w:val="0064654D"/>
    <w:rsid w:val="0064668C"/>
    <w:rsid w:val="006478ED"/>
    <w:rsid w:val="00647974"/>
    <w:rsid w:val="00650A3A"/>
    <w:rsid w:val="00650A73"/>
    <w:rsid w:val="006529D6"/>
    <w:rsid w:val="00652DE8"/>
    <w:rsid w:val="00653FBB"/>
    <w:rsid w:val="0065523B"/>
    <w:rsid w:val="0065675B"/>
    <w:rsid w:val="00660A8C"/>
    <w:rsid w:val="0066376E"/>
    <w:rsid w:val="00663D34"/>
    <w:rsid w:val="006642E5"/>
    <w:rsid w:val="0066436B"/>
    <w:rsid w:val="00664659"/>
    <w:rsid w:val="006648C4"/>
    <w:rsid w:val="0066682C"/>
    <w:rsid w:val="006669D1"/>
    <w:rsid w:val="006674AE"/>
    <w:rsid w:val="00667BA1"/>
    <w:rsid w:val="0067027E"/>
    <w:rsid w:val="00670BEE"/>
    <w:rsid w:val="0067115A"/>
    <w:rsid w:val="0067201E"/>
    <w:rsid w:val="006723C7"/>
    <w:rsid w:val="006733E8"/>
    <w:rsid w:val="006756EC"/>
    <w:rsid w:val="006756FC"/>
    <w:rsid w:val="00675820"/>
    <w:rsid w:val="00675D0C"/>
    <w:rsid w:val="00675EBD"/>
    <w:rsid w:val="00676F20"/>
    <w:rsid w:val="00680B54"/>
    <w:rsid w:val="00682D20"/>
    <w:rsid w:val="0068337D"/>
    <w:rsid w:val="00683E88"/>
    <w:rsid w:val="00685126"/>
    <w:rsid w:val="0068657C"/>
    <w:rsid w:val="006952F0"/>
    <w:rsid w:val="006963D2"/>
    <w:rsid w:val="006973A5"/>
    <w:rsid w:val="00697575"/>
    <w:rsid w:val="006A00DF"/>
    <w:rsid w:val="006A062A"/>
    <w:rsid w:val="006A1E09"/>
    <w:rsid w:val="006A3419"/>
    <w:rsid w:val="006A3C9A"/>
    <w:rsid w:val="006A4148"/>
    <w:rsid w:val="006A437E"/>
    <w:rsid w:val="006A54C3"/>
    <w:rsid w:val="006A5DB5"/>
    <w:rsid w:val="006A640B"/>
    <w:rsid w:val="006A7A3C"/>
    <w:rsid w:val="006A7ECC"/>
    <w:rsid w:val="006B03F0"/>
    <w:rsid w:val="006B19D1"/>
    <w:rsid w:val="006B211F"/>
    <w:rsid w:val="006B2ADD"/>
    <w:rsid w:val="006B2CA3"/>
    <w:rsid w:val="006B2F86"/>
    <w:rsid w:val="006B3936"/>
    <w:rsid w:val="006B3B72"/>
    <w:rsid w:val="006B5123"/>
    <w:rsid w:val="006B5EA5"/>
    <w:rsid w:val="006B60A6"/>
    <w:rsid w:val="006B650F"/>
    <w:rsid w:val="006B68CC"/>
    <w:rsid w:val="006B7DE5"/>
    <w:rsid w:val="006C035F"/>
    <w:rsid w:val="006C3AF8"/>
    <w:rsid w:val="006C3BE5"/>
    <w:rsid w:val="006C4385"/>
    <w:rsid w:val="006C5A37"/>
    <w:rsid w:val="006C6CFF"/>
    <w:rsid w:val="006C6D8D"/>
    <w:rsid w:val="006C6DCB"/>
    <w:rsid w:val="006C7AFD"/>
    <w:rsid w:val="006D0B7D"/>
    <w:rsid w:val="006D1635"/>
    <w:rsid w:val="006D182D"/>
    <w:rsid w:val="006D23EF"/>
    <w:rsid w:val="006D3D9F"/>
    <w:rsid w:val="006D5E66"/>
    <w:rsid w:val="006D7467"/>
    <w:rsid w:val="006D74B0"/>
    <w:rsid w:val="006D7A25"/>
    <w:rsid w:val="006E0634"/>
    <w:rsid w:val="006E0B29"/>
    <w:rsid w:val="006E0DB3"/>
    <w:rsid w:val="006E18EC"/>
    <w:rsid w:val="006E1DBB"/>
    <w:rsid w:val="006E27F8"/>
    <w:rsid w:val="006E335A"/>
    <w:rsid w:val="006E3A3B"/>
    <w:rsid w:val="006E6C76"/>
    <w:rsid w:val="006E7261"/>
    <w:rsid w:val="006F0636"/>
    <w:rsid w:val="006F0FDF"/>
    <w:rsid w:val="006F3FD9"/>
    <w:rsid w:val="006F4A34"/>
    <w:rsid w:val="006F5022"/>
    <w:rsid w:val="007000AB"/>
    <w:rsid w:val="0070077F"/>
    <w:rsid w:val="00700BFA"/>
    <w:rsid w:val="00700C4E"/>
    <w:rsid w:val="00704FBA"/>
    <w:rsid w:val="00705401"/>
    <w:rsid w:val="007068E5"/>
    <w:rsid w:val="007075B3"/>
    <w:rsid w:val="00710350"/>
    <w:rsid w:val="007204F9"/>
    <w:rsid w:val="00720B0E"/>
    <w:rsid w:val="00724502"/>
    <w:rsid w:val="00724C77"/>
    <w:rsid w:val="007251C1"/>
    <w:rsid w:val="00725295"/>
    <w:rsid w:val="00725BE6"/>
    <w:rsid w:val="00726439"/>
    <w:rsid w:val="007270C0"/>
    <w:rsid w:val="00730B38"/>
    <w:rsid w:val="00732A91"/>
    <w:rsid w:val="0073410F"/>
    <w:rsid w:val="00734471"/>
    <w:rsid w:val="007366FE"/>
    <w:rsid w:val="007403DA"/>
    <w:rsid w:val="00742148"/>
    <w:rsid w:val="00742303"/>
    <w:rsid w:val="00742971"/>
    <w:rsid w:val="00743530"/>
    <w:rsid w:val="0074441D"/>
    <w:rsid w:val="00744504"/>
    <w:rsid w:val="00746582"/>
    <w:rsid w:val="00747A85"/>
    <w:rsid w:val="00747C2E"/>
    <w:rsid w:val="0075147D"/>
    <w:rsid w:val="00751801"/>
    <w:rsid w:val="00752180"/>
    <w:rsid w:val="0075302C"/>
    <w:rsid w:val="00754744"/>
    <w:rsid w:val="0075587C"/>
    <w:rsid w:val="00755B46"/>
    <w:rsid w:val="00757607"/>
    <w:rsid w:val="00757E86"/>
    <w:rsid w:val="00757EA3"/>
    <w:rsid w:val="00760C39"/>
    <w:rsid w:val="00761A85"/>
    <w:rsid w:val="00761C3F"/>
    <w:rsid w:val="0076384E"/>
    <w:rsid w:val="007642B3"/>
    <w:rsid w:val="007656CF"/>
    <w:rsid w:val="00766022"/>
    <w:rsid w:val="00766D42"/>
    <w:rsid w:val="007673D0"/>
    <w:rsid w:val="0077118A"/>
    <w:rsid w:val="007725F7"/>
    <w:rsid w:val="00772999"/>
    <w:rsid w:val="00772E8C"/>
    <w:rsid w:val="00773BB4"/>
    <w:rsid w:val="00777FD3"/>
    <w:rsid w:val="007809DB"/>
    <w:rsid w:val="00781826"/>
    <w:rsid w:val="007836B5"/>
    <w:rsid w:val="00783B41"/>
    <w:rsid w:val="00785CFA"/>
    <w:rsid w:val="00786866"/>
    <w:rsid w:val="00790AE2"/>
    <w:rsid w:val="007948B6"/>
    <w:rsid w:val="00794DCF"/>
    <w:rsid w:val="00794FB6"/>
    <w:rsid w:val="007951F0"/>
    <w:rsid w:val="0079753B"/>
    <w:rsid w:val="007A1BB8"/>
    <w:rsid w:val="007A35E0"/>
    <w:rsid w:val="007A6FBF"/>
    <w:rsid w:val="007A7909"/>
    <w:rsid w:val="007A7D73"/>
    <w:rsid w:val="007B02A8"/>
    <w:rsid w:val="007B17AD"/>
    <w:rsid w:val="007B5891"/>
    <w:rsid w:val="007B5D5A"/>
    <w:rsid w:val="007B5FE5"/>
    <w:rsid w:val="007B657D"/>
    <w:rsid w:val="007C0171"/>
    <w:rsid w:val="007C1FCA"/>
    <w:rsid w:val="007C2872"/>
    <w:rsid w:val="007C2DA0"/>
    <w:rsid w:val="007C2F0D"/>
    <w:rsid w:val="007C4A76"/>
    <w:rsid w:val="007C4C83"/>
    <w:rsid w:val="007C5704"/>
    <w:rsid w:val="007C58D4"/>
    <w:rsid w:val="007C64E9"/>
    <w:rsid w:val="007D02A1"/>
    <w:rsid w:val="007D1A1C"/>
    <w:rsid w:val="007D4025"/>
    <w:rsid w:val="007D4AC5"/>
    <w:rsid w:val="007D52B7"/>
    <w:rsid w:val="007D666C"/>
    <w:rsid w:val="007D6C66"/>
    <w:rsid w:val="007E029B"/>
    <w:rsid w:val="007E0BF1"/>
    <w:rsid w:val="007E0CE4"/>
    <w:rsid w:val="007E2C86"/>
    <w:rsid w:val="007E33A6"/>
    <w:rsid w:val="007E37FD"/>
    <w:rsid w:val="007E4E82"/>
    <w:rsid w:val="007E5F13"/>
    <w:rsid w:val="007E78B4"/>
    <w:rsid w:val="007E7B36"/>
    <w:rsid w:val="007F07AB"/>
    <w:rsid w:val="007F0A89"/>
    <w:rsid w:val="007F10A4"/>
    <w:rsid w:val="007F16CA"/>
    <w:rsid w:val="007F1F07"/>
    <w:rsid w:val="007F2956"/>
    <w:rsid w:val="007F2D02"/>
    <w:rsid w:val="007F40D6"/>
    <w:rsid w:val="007F45C8"/>
    <w:rsid w:val="007F61C7"/>
    <w:rsid w:val="007F6300"/>
    <w:rsid w:val="00801132"/>
    <w:rsid w:val="008030F5"/>
    <w:rsid w:val="00803E55"/>
    <w:rsid w:val="0080505A"/>
    <w:rsid w:val="00805B5F"/>
    <w:rsid w:val="00805FC0"/>
    <w:rsid w:val="00806205"/>
    <w:rsid w:val="00806391"/>
    <w:rsid w:val="008066BB"/>
    <w:rsid w:val="00806F9C"/>
    <w:rsid w:val="00807F85"/>
    <w:rsid w:val="008102BB"/>
    <w:rsid w:val="00811FE2"/>
    <w:rsid w:val="0081429A"/>
    <w:rsid w:val="00816AF0"/>
    <w:rsid w:val="008175B9"/>
    <w:rsid w:val="00821693"/>
    <w:rsid w:val="0082348D"/>
    <w:rsid w:val="008268CD"/>
    <w:rsid w:val="008270D7"/>
    <w:rsid w:val="008315F2"/>
    <w:rsid w:val="00833844"/>
    <w:rsid w:val="0083413A"/>
    <w:rsid w:val="00835E99"/>
    <w:rsid w:val="00840194"/>
    <w:rsid w:val="008404DA"/>
    <w:rsid w:val="008454CD"/>
    <w:rsid w:val="008456CB"/>
    <w:rsid w:val="008466DF"/>
    <w:rsid w:val="00847E22"/>
    <w:rsid w:val="00850043"/>
    <w:rsid w:val="00851A29"/>
    <w:rsid w:val="00851DC6"/>
    <w:rsid w:val="0085398E"/>
    <w:rsid w:val="00854190"/>
    <w:rsid w:val="00855C1D"/>
    <w:rsid w:val="00856019"/>
    <w:rsid w:val="008566F9"/>
    <w:rsid w:val="00857D12"/>
    <w:rsid w:val="008611A0"/>
    <w:rsid w:val="008620DC"/>
    <w:rsid w:val="00862465"/>
    <w:rsid w:val="00864495"/>
    <w:rsid w:val="00864784"/>
    <w:rsid w:val="00864AC0"/>
    <w:rsid w:val="008659F5"/>
    <w:rsid w:val="008667B0"/>
    <w:rsid w:val="008676B2"/>
    <w:rsid w:val="00870102"/>
    <w:rsid w:val="00870714"/>
    <w:rsid w:val="00870D1C"/>
    <w:rsid w:val="00871DD4"/>
    <w:rsid w:val="008722D9"/>
    <w:rsid w:val="00872847"/>
    <w:rsid w:val="00872976"/>
    <w:rsid w:val="00873666"/>
    <w:rsid w:val="008743BF"/>
    <w:rsid w:val="0087441A"/>
    <w:rsid w:val="00877D52"/>
    <w:rsid w:val="00881CB5"/>
    <w:rsid w:val="00881D23"/>
    <w:rsid w:val="008820E6"/>
    <w:rsid w:val="00882583"/>
    <w:rsid w:val="008825F4"/>
    <w:rsid w:val="0088279B"/>
    <w:rsid w:val="00884E72"/>
    <w:rsid w:val="008857AA"/>
    <w:rsid w:val="0089060C"/>
    <w:rsid w:val="00890D45"/>
    <w:rsid w:val="00891074"/>
    <w:rsid w:val="008910AF"/>
    <w:rsid w:val="00892903"/>
    <w:rsid w:val="00892B10"/>
    <w:rsid w:val="00893782"/>
    <w:rsid w:val="00893FAA"/>
    <w:rsid w:val="00895ED5"/>
    <w:rsid w:val="00895EF3"/>
    <w:rsid w:val="00897332"/>
    <w:rsid w:val="008A0F96"/>
    <w:rsid w:val="008A1BEE"/>
    <w:rsid w:val="008A21AE"/>
    <w:rsid w:val="008A304A"/>
    <w:rsid w:val="008A389F"/>
    <w:rsid w:val="008A3A35"/>
    <w:rsid w:val="008A531D"/>
    <w:rsid w:val="008A594F"/>
    <w:rsid w:val="008B0EB9"/>
    <w:rsid w:val="008B1328"/>
    <w:rsid w:val="008B3232"/>
    <w:rsid w:val="008B3FEF"/>
    <w:rsid w:val="008B6D55"/>
    <w:rsid w:val="008C3B72"/>
    <w:rsid w:val="008C3E6D"/>
    <w:rsid w:val="008C4379"/>
    <w:rsid w:val="008C5FB5"/>
    <w:rsid w:val="008C67EB"/>
    <w:rsid w:val="008C782F"/>
    <w:rsid w:val="008C7E08"/>
    <w:rsid w:val="008D0F71"/>
    <w:rsid w:val="008D1230"/>
    <w:rsid w:val="008D240C"/>
    <w:rsid w:val="008D2512"/>
    <w:rsid w:val="008D487B"/>
    <w:rsid w:val="008D49F6"/>
    <w:rsid w:val="008D5313"/>
    <w:rsid w:val="008D576F"/>
    <w:rsid w:val="008D6C27"/>
    <w:rsid w:val="008D7CA2"/>
    <w:rsid w:val="008E02B4"/>
    <w:rsid w:val="008E0A13"/>
    <w:rsid w:val="008E1318"/>
    <w:rsid w:val="008E1BD7"/>
    <w:rsid w:val="008E265E"/>
    <w:rsid w:val="008E31EC"/>
    <w:rsid w:val="008E48CE"/>
    <w:rsid w:val="008E56B6"/>
    <w:rsid w:val="008F06AA"/>
    <w:rsid w:val="008F11D5"/>
    <w:rsid w:val="008F472D"/>
    <w:rsid w:val="008F659D"/>
    <w:rsid w:val="008F69D5"/>
    <w:rsid w:val="008F6F41"/>
    <w:rsid w:val="0090211A"/>
    <w:rsid w:val="009025CC"/>
    <w:rsid w:val="00903A4E"/>
    <w:rsid w:val="009047C8"/>
    <w:rsid w:val="00904D42"/>
    <w:rsid w:val="0090528F"/>
    <w:rsid w:val="009065D8"/>
    <w:rsid w:val="00906FDC"/>
    <w:rsid w:val="00907436"/>
    <w:rsid w:val="00907818"/>
    <w:rsid w:val="009100B7"/>
    <w:rsid w:val="00910CBA"/>
    <w:rsid w:val="00912FA3"/>
    <w:rsid w:val="00912FEF"/>
    <w:rsid w:val="009139AF"/>
    <w:rsid w:val="00914FD1"/>
    <w:rsid w:val="00915B01"/>
    <w:rsid w:val="00915CEC"/>
    <w:rsid w:val="00915DC5"/>
    <w:rsid w:val="0091603D"/>
    <w:rsid w:val="009224FC"/>
    <w:rsid w:val="00926110"/>
    <w:rsid w:val="009263C2"/>
    <w:rsid w:val="009308CD"/>
    <w:rsid w:val="00930E42"/>
    <w:rsid w:val="009331BD"/>
    <w:rsid w:val="00934899"/>
    <w:rsid w:val="009358CC"/>
    <w:rsid w:val="00937940"/>
    <w:rsid w:val="009420E7"/>
    <w:rsid w:val="009430BD"/>
    <w:rsid w:val="00943C78"/>
    <w:rsid w:val="00943FFA"/>
    <w:rsid w:val="00944D10"/>
    <w:rsid w:val="00945AF2"/>
    <w:rsid w:val="00945EB2"/>
    <w:rsid w:val="009471C7"/>
    <w:rsid w:val="00947AC8"/>
    <w:rsid w:val="00947BA5"/>
    <w:rsid w:val="00950AD8"/>
    <w:rsid w:val="00951333"/>
    <w:rsid w:val="00951A46"/>
    <w:rsid w:val="0095568B"/>
    <w:rsid w:val="009563E8"/>
    <w:rsid w:val="00957974"/>
    <w:rsid w:val="00957FF9"/>
    <w:rsid w:val="00960232"/>
    <w:rsid w:val="00961386"/>
    <w:rsid w:val="00961843"/>
    <w:rsid w:val="00962A49"/>
    <w:rsid w:val="009638B3"/>
    <w:rsid w:val="00970450"/>
    <w:rsid w:val="00970853"/>
    <w:rsid w:val="0097099D"/>
    <w:rsid w:val="00972535"/>
    <w:rsid w:val="00975546"/>
    <w:rsid w:val="00976AD3"/>
    <w:rsid w:val="00977317"/>
    <w:rsid w:val="009774DC"/>
    <w:rsid w:val="00977832"/>
    <w:rsid w:val="009808F6"/>
    <w:rsid w:val="0098288C"/>
    <w:rsid w:val="00983579"/>
    <w:rsid w:val="0098366D"/>
    <w:rsid w:val="009836A6"/>
    <w:rsid w:val="00983D2F"/>
    <w:rsid w:val="00984751"/>
    <w:rsid w:val="0098573B"/>
    <w:rsid w:val="00990401"/>
    <w:rsid w:val="00996EDA"/>
    <w:rsid w:val="009976E2"/>
    <w:rsid w:val="009977AA"/>
    <w:rsid w:val="009A05A6"/>
    <w:rsid w:val="009A1A97"/>
    <w:rsid w:val="009A1DCA"/>
    <w:rsid w:val="009A24CC"/>
    <w:rsid w:val="009A3086"/>
    <w:rsid w:val="009A4429"/>
    <w:rsid w:val="009A4D08"/>
    <w:rsid w:val="009A5048"/>
    <w:rsid w:val="009A515B"/>
    <w:rsid w:val="009A6092"/>
    <w:rsid w:val="009A6859"/>
    <w:rsid w:val="009A7905"/>
    <w:rsid w:val="009B0181"/>
    <w:rsid w:val="009B0E09"/>
    <w:rsid w:val="009B1CBB"/>
    <w:rsid w:val="009B4613"/>
    <w:rsid w:val="009B4FEE"/>
    <w:rsid w:val="009B6DA6"/>
    <w:rsid w:val="009B7D7F"/>
    <w:rsid w:val="009C181E"/>
    <w:rsid w:val="009C4DB6"/>
    <w:rsid w:val="009C4DDF"/>
    <w:rsid w:val="009C5136"/>
    <w:rsid w:val="009C63C2"/>
    <w:rsid w:val="009C6555"/>
    <w:rsid w:val="009D150F"/>
    <w:rsid w:val="009D5E6C"/>
    <w:rsid w:val="009D61B8"/>
    <w:rsid w:val="009D6384"/>
    <w:rsid w:val="009D73C5"/>
    <w:rsid w:val="009E2261"/>
    <w:rsid w:val="009E2662"/>
    <w:rsid w:val="009E36B5"/>
    <w:rsid w:val="009E3AA1"/>
    <w:rsid w:val="009E7A41"/>
    <w:rsid w:val="009F012D"/>
    <w:rsid w:val="009F0CA8"/>
    <w:rsid w:val="009F1744"/>
    <w:rsid w:val="009F1949"/>
    <w:rsid w:val="009F1A8B"/>
    <w:rsid w:val="009F4198"/>
    <w:rsid w:val="009F569C"/>
    <w:rsid w:val="009F5B5C"/>
    <w:rsid w:val="009F5C2E"/>
    <w:rsid w:val="009F7CC2"/>
    <w:rsid w:val="00A00BF5"/>
    <w:rsid w:val="00A01EB4"/>
    <w:rsid w:val="00A020B8"/>
    <w:rsid w:val="00A02527"/>
    <w:rsid w:val="00A02AC0"/>
    <w:rsid w:val="00A0532F"/>
    <w:rsid w:val="00A06127"/>
    <w:rsid w:val="00A071F3"/>
    <w:rsid w:val="00A07E80"/>
    <w:rsid w:val="00A1037F"/>
    <w:rsid w:val="00A10A9C"/>
    <w:rsid w:val="00A114A1"/>
    <w:rsid w:val="00A12522"/>
    <w:rsid w:val="00A144A3"/>
    <w:rsid w:val="00A14650"/>
    <w:rsid w:val="00A14763"/>
    <w:rsid w:val="00A16762"/>
    <w:rsid w:val="00A1688A"/>
    <w:rsid w:val="00A177F0"/>
    <w:rsid w:val="00A22DEF"/>
    <w:rsid w:val="00A22F5D"/>
    <w:rsid w:val="00A2430B"/>
    <w:rsid w:val="00A257D9"/>
    <w:rsid w:val="00A25F05"/>
    <w:rsid w:val="00A26182"/>
    <w:rsid w:val="00A26EDB"/>
    <w:rsid w:val="00A2750F"/>
    <w:rsid w:val="00A278C7"/>
    <w:rsid w:val="00A357AF"/>
    <w:rsid w:val="00A414E1"/>
    <w:rsid w:val="00A41BA7"/>
    <w:rsid w:val="00A42EAA"/>
    <w:rsid w:val="00A43387"/>
    <w:rsid w:val="00A4779D"/>
    <w:rsid w:val="00A47C99"/>
    <w:rsid w:val="00A50114"/>
    <w:rsid w:val="00A51840"/>
    <w:rsid w:val="00A52038"/>
    <w:rsid w:val="00A520B1"/>
    <w:rsid w:val="00A55739"/>
    <w:rsid w:val="00A60208"/>
    <w:rsid w:val="00A60B81"/>
    <w:rsid w:val="00A6286E"/>
    <w:rsid w:val="00A6400E"/>
    <w:rsid w:val="00A64535"/>
    <w:rsid w:val="00A666C1"/>
    <w:rsid w:val="00A7019E"/>
    <w:rsid w:val="00A70AFB"/>
    <w:rsid w:val="00A7149F"/>
    <w:rsid w:val="00A71A8B"/>
    <w:rsid w:val="00A71F9A"/>
    <w:rsid w:val="00A72EC7"/>
    <w:rsid w:val="00A73218"/>
    <w:rsid w:val="00A732A1"/>
    <w:rsid w:val="00A757DD"/>
    <w:rsid w:val="00A76466"/>
    <w:rsid w:val="00A80ECC"/>
    <w:rsid w:val="00A81442"/>
    <w:rsid w:val="00A83A83"/>
    <w:rsid w:val="00A84275"/>
    <w:rsid w:val="00A85C43"/>
    <w:rsid w:val="00A85E41"/>
    <w:rsid w:val="00A8617F"/>
    <w:rsid w:val="00A870FD"/>
    <w:rsid w:val="00A8750A"/>
    <w:rsid w:val="00A87E96"/>
    <w:rsid w:val="00A90878"/>
    <w:rsid w:val="00A908BE"/>
    <w:rsid w:val="00A9273C"/>
    <w:rsid w:val="00A928C2"/>
    <w:rsid w:val="00A929EE"/>
    <w:rsid w:val="00A941CA"/>
    <w:rsid w:val="00A95C21"/>
    <w:rsid w:val="00A97B14"/>
    <w:rsid w:val="00AA0A43"/>
    <w:rsid w:val="00AA0A59"/>
    <w:rsid w:val="00AA1435"/>
    <w:rsid w:val="00AA16B8"/>
    <w:rsid w:val="00AA24D9"/>
    <w:rsid w:val="00AA2604"/>
    <w:rsid w:val="00AA2D4E"/>
    <w:rsid w:val="00AA3035"/>
    <w:rsid w:val="00AA6103"/>
    <w:rsid w:val="00AA6453"/>
    <w:rsid w:val="00AA66C1"/>
    <w:rsid w:val="00AA6BA4"/>
    <w:rsid w:val="00AB018D"/>
    <w:rsid w:val="00AB0580"/>
    <w:rsid w:val="00AB12AC"/>
    <w:rsid w:val="00AB1947"/>
    <w:rsid w:val="00AB24BA"/>
    <w:rsid w:val="00AB342B"/>
    <w:rsid w:val="00AB352D"/>
    <w:rsid w:val="00AB36AC"/>
    <w:rsid w:val="00AB39A4"/>
    <w:rsid w:val="00AB4419"/>
    <w:rsid w:val="00AB79C8"/>
    <w:rsid w:val="00AC08E3"/>
    <w:rsid w:val="00AC0E0C"/>
    <w:rsid w:val="00AC1037"/>
    <w:rsid w:val="00AC12D8"/>
    <w:rsid w:val="00AC35AF"/>
    <w:rsid w:val="00AC3C60"/>
    <w:rsid w:val="00AC57E5"/>
    <w:rsid w:val="00AC5A00"/>
    <w:rsid w:val="00AC75B5"/>
    <w:rsid w:val="00AD068B"/>
    <w:rsid w:val="00AD0B10"/>
    <w:rsid w:val="00AD1BCC"/>
    <w:rsid w:val="00AD2C6F"/>
    <w:rsid w:val="00AD4CC5"/>
    <w:rsid w:val="00AD5AF2"/>
    <w:rsid w:val="00AD6D13"/>
    <w:rsid w:val="00AE125F"/>
    <w:rsid w:val="00AE1994"/>
    <w:rsid w:val="00AE3164"/>
    <w:rsid w:val="00AE69C7"/>
    <w:rsid w:val="00AF11ED"/>
    <w:rsid w:val="00AF218D"/>
    <w:rsid w:val="00AF36FE"/>
    <w:rsid w:val="00AF38C7"/>
    <w:rsid w:val="00AF3F59"/>
    <w:rsid w:val="00AF4DF3"/>
    <w:rsid w:val="00B0052C"/>
    <w:rsid w:val="00B03E8F"/>
    <w:rsid w:val="00B04775"/>
    <w:rsid w:val="00B05188"/>
    <w:rsid w:val="00B05DAB"/>
    <w:rsid w:val="00B067AB"/>
    <w:rsid w:val="00B06E15"/>
    <w:rsid w:val="00B07CAE"/>
    <w:rsid w:val="00B10A25"/>
    <w:rsid w:val="00B10C17"/>
    <w:rsid w:val="00B10FE5"/>
    <w:rsid w:val="00B11E30"/>
    <w:rsid w:val="00B1247A"/>
    <w:rsid w:val="00B13428"/>
    <w:rsid w:val="00B16925"/>
    <w:rsid w:val="00B16F18"/>
    <w:rsid w:val="00B20BCD"/>
    <w:rsid w:val="00B22E78"/>
    <w:rsid w:val="00B22F63"/>
    <w:rsid w:val="00B235CA"/>
    <w:rsid w:val="00B2588D"/>
    <w:rsid w:val="00B25E96"/>
    <w:rsid w:val="00B2642D"/>
    <w:rsid w:val="00B2642F"/>
    <w:rsid w:val="00B2720B"/>
    <w:rsid w:val="00B27646"/>
    <w:rsid w:val="00B3003D"/>
    <w:rsid w:val="00B30573"/>
    <w:rsid w:val="00B3068D"/>
    <w:rsid w:val="00B32114"/>
    <w:rsid w:val="00B3228D"/>
    <w:rsid w:val="00B33525"/>
    <w:rsid w:val="00B337FB"/>
    <w:rsid w:val="00B34EF4"/>
    <w:rsid w:val="00B36071"/>
    <w:rsid w:val="00B37804"/>
    <w:rsid w:val="00B403E8"/>
    <w:rsid w:val="00B4285D"/>
    <w:rsid w:val="00B42B24"/>
    <w:rsid w:val="00B4316B"/>
    <w:rsid w:val="00B44088"/>
    <w:rsid w:val="00B445A6"/>
    <w:rsid w:val="00B447B3"/>
    <w:rsid w:val="00B45293"/>
    <w:rsid w:val="00B461D8"/>
    <w:rsid w:val="00B4671E"/>
    <w:rsid w:val="00B4716E"/>
    <w:rsid w:val="00B506AC"/>
    <w:rsid w:val="00B5087D"/>
    <w:rsid w:val="00B518BF"/>
    <w:rsid w:val="00B52170"/>
    <w:rsid w:val="00B521E9"/>
    <w:rsid w:val="00B56AE5"/>
    <w:rsid w:val="00B57E29"/>
    <w:rsid w:val="00B639BE"/>
    <w:rsid w:val="00B64423"/>
    <w:rsid w:val="00B64486"/>
    <w:rsid w:val="00B65809"/>
    <w:rsid w:val="00B717E7"/>
    <w:rsid w:val="00B729D5"/>
    <w:rsid w:val="00B7479B"/>
    <w:rsid w:val="00B74A72"/>
    <w:rsid w:val="00B76371"/>
    <w:rsid w:val="00B8098A"/>
    <w:rsid w:val="00B80CC0"/>
    <w:rsid w:val="00B8275C"/>
    <w:rsid w:val="00B82C4A"/>
    <w:rsid w:val="00B83E9D"/>
    <w:rsid w:val="00B8455A"/>
    <w:rsid w:val="00B85767"/>
    <w:rsid w:val="00B858E0"/>
    <w:rsid w:val="00B87B58"/>
    <w:rsid w:val="00B87C49"/>
    <w:rsid w:val="00B90FB3"/>
    <w:rsid w:val="00B93346"/>
    <w:rsid w:val="00B941DB"/>
    <w:rsid w:val="00B95673"/>
    <w:rsid w:val="00B960DB"/>
    <w:rsid w:val="00B9723F"/>
    <w:rsid w:val="00B97579"/>
    <w:rsid w:val="00B97D6A"/>
    <w:rsid w:val="00BA172A"/>
    <w:rsid w:val="00BA38A9"/>
    <w:rsid w:val="00BA417F"/>
    <w:rsid w:val="00BA49C9"/>
    <w:rsid w:val="00BA4F26"/>
    <w:rsid w:val="00BA56C8"/>
    <w:rsid w:val="00BA56E2"/>
    <w:rsid w:val="00BA5EDD"/>
    <w:rsid w:val="00BB0033"/>
    <w:rsid w:val="00BB1FC3"/>
    <w:rsid w:val="00BB2FFB"/>
    <w:rsid w:val="00BB3F99"/>
    <w:rsid w:val="00BB5FA5"/>
    <w:rsid w:val="00BB751C"/>
    <w:rsid w:val="00BC0374"/>
    <w:rsid w:val="00BC15D2"/>
    <w:rsid w:val="00BC3556"/>
    <w:rsid w:val="00BC3E1C"/>
    <w:rsid w:val="00BC61FC"/>
    <w:rsid w:val="00BC646D"/>
    <w:rsid w:val="00BD1211"/>
    <w:rsid w:val="00BD42F8"/>
    <w:rsid w:val="00BD4DA9"/>
    <w:rsid w:val="00BD51B7"/>
    <w:rsid w:val="00BD55D6"/>
    <w:rsid w:val="00BD5F64"/>
    <w:rsid w:val="00BD64FB"/>
    <w:rsid w:val="00BD6A3F"/>
    <w:rsid w:val="00BD7B5A"/>
    <w:rsid w:val="00BD7BF3"/>
    <w:rsid w:val="00BE1009"/>
    <w:rsid w:val="00BE4AFD"/>
    <w:rsid w:val="00BF0D5A"/>
    <w:rsid w:val="00BF1E98"/>
    <w:rsid w:val="00BF48A4"/>
    <w:rsid w:val="00BF58BD"/>
    <w:rsid w:val="00BF590E"/>
    <w:rsid w:val="00BF5C5A"/>
    <w:rsid w:val="00BF73F4"/>
    <w:rsid w:val="00C019C0"/>
    <w:rsid w:val="00C01A39"/>
    <w:rsid w:val="00C01CB1"/>
    <w:rsid w:val="00C01FF9"/>
    <w:rsid w:val="00C04531"/>
    <w:rsid w:val="00C05636"/>
    <w:rsid w:val="00C05857"/>
    <w:rsid w:val="00C0609E"/>
    <w:rsid w:val="00C10771"/>
    <w:rsid w:val="00C1402D"/>
    <w:rsid w:val="00C154B0"/>
    <w:rsid w:val="00C15C17"/>
    <w:rsid w:val="00C168B8"/>
    <w:rsid w:val="00C16997"/>
    <w:rsid w:val="00C17244"/>
    <w:rsid w:val="00C212A4"/>
    <w:rsid w:val="00C224C2"/>
    <w:rsid w:val="00C23A88"/>
    <w:rsid w:val="00C253FE"/>
    <w:rsid w:val="00C25EA6"/>
    <w:rsid w:val="00C26803"/>
    <w:rsid w:val="00C311F5"/>
    <w:rsid w:val="00C31BC2"/>
    <w:rsid w:val="00C31CD3"/>
    <w:rsid w:val="00C320FB"/>
    <w:rsid w:val="00C322BF"/>
    <w:rsid w:val="00C33B31"/>
    <w:rsid w:val="00C35854"/>
    <w:rsid w:val="00C35F67"/>
    <w:rsid w:val="00C407F3"/>
    <w:rsid w:val="00C408DB"/>
    <w:rsid w:val="00C4207F"/>
    <w:rsid w:val="00C46358"/>
    <w:rsid w:val="00C4653C"/>
    <w:rsid w:val="00C50104"/>
    <w:rsid w:val="00C50233"/>
    <w:rsid w:val="00C50E1A"/>
    <w:rsid w:val="00C53046"/>
    <w:rsid w:val="00C53C29"/>
    <w:rsid w:val="00C552C2"/>
    <w:rsid w:val="00C60A8B"/>
    <w:rsid w:val="00C617BE"/>
    <w:rsid w:val="00C62B5E"/>
    <w:rsid w:val="00C62C4C"/>
    <w:rsid w:val="00C64001"/>
    <w:rsid w:val="00C64546"/>
    <w:rsid w:val="00C65737"/>
    <w:rsid w:val="00C659ED"/>
    <w:rsid w:val="00C65E53"/>
    <w:rsid w:val="00C66678"/>
    <w:rsid w:val="00C66EF2"/>
    <w:rsid w:val="00C6774E"/>
    <w:rsid w:val="00C70439"/>
    <w:rsid w:val="00C71B8F"/>
    <w:rsid w:val="00C720E9"/>
    <w:rsid w:val="00C7355E"/>
    <w:rsid w:val="00C73708"/>
    <w:rsid w:val="00C7383D"/>
    <w:rsid w:val="00C73C02"/>
    <w:rsid w:val="00C74048"/>
    <w:rsid w:val="00C745AE"/>
    <w:rsid w:val="00C74E3F"/>
    <w:rsid w:val="00C77572"/>
    <w:rsid w:val="00C77948"/>
    <w:rsid w:val="00C83793"/>
    <w:rsid w:val="00C84C93"/>
    <w:rsid w:val="00C8570C"/>
    <w:rsid w:val="00C867C8"/>
    <w:rsid w:val="00C900FE"/>
    <w:rsid w:val="00C90A46"/>
    <w:rsid w:val="00C92683"/>
    <w:rsid w:val="00C92B88"/>
    <w:rsid w:val="00C93158"/>
    <w:rsid w:val="00C93EFF"/>
    <w:rsid w:val="00C94438"/>
    <w:rsid w:val="00C94867"/>
    <w:rsid w:val="00C94C33"/>
    <w:rsid w:val="00C94DCE"/>
    <w:rsid w:val="00C94E04"/>
    <w:rsid w:val="00C9579A"/>
    <w:rsid w:val="00C9744E"/>
    <w:rsid w:val="00C975C9"/>
    <w:rsid w:val="00C97815"/>
    <w:rsid w:val="00CA0CF8"/>
    <w:rsid w:val="00CA1CBA"/>
    <w:rsid w:val="00CA3DD4"/>
    <w:rsid w:val="00CA69A8"/>
    <w:rsid w:val="00CA6B72"/>
    <w:rsid w:val="00CA7415"/>
    <w:rsid w:val="00CA74FD"/>
    <w:rsid w:val="00CA7866"/>
    <w:rsid w:val="00CB0619"/>
    <w:rsid w:val="00CB0FD3"/>
    <w:rsid w:val="00CB1B94"/>
    <w:rsid w:val="00CB1D5F"/>
    <w:rsid w:val="00CB1D9D"/>
    <w:rsid w:val="00CB2CC6"/>
    <w:rsid w:val="00CB3A76"/>
    <w:rsid w:val="00CB5392"/>
    <w:rsid w:val="00CB5C47"/>
    <w:rsid w:val="00CB608D"/>
    <w:rsid w:val="00CB6D21"/>
    <w:rsid w:val="00CB6D60"/>
    <w:rsid w:val="00CB6EC2"/>
    <w:rsid w:val="00CB79A1"/>
    <w:rsid w:val="00CC0318"/>
    <w:rsid w:val="00CC0530"/>
    <w:rsid w:val="00CC05B2"/>
    <w:rsid w:val="00CC060E"/>
    <w:rsid w:val="00CC2DDE"/>
    <w:rsid w:val="00CC3338"/>
    <w:rsid w:val="00CC3C89"/>
    <w:rsid w:val="00CC7510"/>
    <w:rsid w:val="00CC7D61"/>
    <w:rsid w:val="00CD149B"/>
    <w:rsid w:val="00CD214E"/>
    <w:rsid w:val="00CD5288"/>
    <w:rsid w:val="00CD67B5"/>
    <w:rsid w:val="00CD7450"/>
    <w:rsid w:val="00CE0212"/>
    <w:rsid w:val="00CE1014"/>
    <w:rsid w:val="00CE165F"/>
    <w:rsid w:val="00CE21CF"/>
    <w:rsid w:val="00CE2F5F"/>
    <w:rsid w:val="00CE5236"/>
    <w:rsid w:val="00CE5BFC"/>
    <w:rsid w:val="00CE5DCA"/>
    <w:rsid w:val="00CE6DF9"/>
    <w:rsid w:val="00CF04CA"/>
    <w:rsid w:val="00CF0E31"/>
    <w:rsid w:val="00CF1CB7"/>
    <w:rsid w:val="00CF2169"/>
    <w:rsid w:val="00CF38A4"/>
    <w:rsid w:val="00CF3F39"/>
    <w:rsid w:val="00CF5488"/>
    <w:rsid w:val="00CF6D15"/>
    <w:rsid w:val="00CF7040"/>
    <w:rsid w:val="00CF750C"/>
    <w:rsid w:val="00D0203A"/>
    <w:rsid w:val="00D021DB"/>
    <w:rsid w:val="00D03D9E"/>
    <w:rsid w:val="00D03EA1"/>
    <w:rsid w:val="00D04098"/>
    <w:rsid w:val="00D04BC7"/>
    <w:rsid w:val="00D071A8"/>
    <w:rsid w:val="00D10717"/>
    <w:rsid w:val="00D108D2"/>
    <w:rsid w:val="00D10FC9"/>
    <w:rsid w:val="00D12935"/>
    <w:rsid w:val="00D13645"/>
    <w:rsid w:val="00D14C65"/>
    <w:rsid w:val="00D15085"/>
    <w:rsid w:val="00D15281"/>
    <w:rsid w:val="00D157A4"/>
    <w:rsid w:val="00D168FB"/>
    <w:rsid w:val="00D16D29"/>
    <w:rsid w:val="00D1792F"/>
    <w:rsid w:val="00D17D09"/>
    <w:rsid w:val="00D20916"/>
    <w:rsid w:val="00D20E42"/>
    <w:rsid w:val="00D2261D"/>
    <w:rsid w:val="00D236FC"/>
    <w:rsid w:val="00D242FD"/>
    <w:rsid w:val="00D24ACA"/>
    <w:rsid w:val="00D27F2C"/>
    <w:rsid w:val="00D30A6F"/>
    <w:rsid w:val="00D31368"/>
    <w:rsid w:val="00D32547"/>
    <w:rsid w:val="00D33278"/>
    <w:rsid w:val="00D347D2"/>
    <w:rsid w:val="00D358D2"/>
    <w:rsid w:val="00D36FE1"/>
    <w:rsid w:val="00D40CC6"/>
    <w:rsid w:val="00D42B95"/>
    <w:rsid w:val="00D43613"/>
    <w:rsid w:val="00D45BA3"/>
    <w:rsid w:val="00D462C7"/>
    <w:rsid w:val="00D47140"/>
    <w:rsid w:val="00D4786E"/>
    <w:rsid w:val="00D47FD0"/>
    <w:rsid w:val="00D50C16"/>
    <w:rsid w:val="00D517DA"/>
    <w:rsid w:val="00D520B2"/>
    <w:rsid w:val="00D53F73"/>
    <w:rsid w:val="00D546E7"/>
    <w:rsid w:val="00D5614B"/>
    <w:rsid w:val="00D568EE"/>
    <w:rsid w:val="00D56D0F"/>
    <w:rsid w:val="00D57204"/>
    <w:rsid w:val="00D57A51"/>
    <w:rsid w:val="00D61603"/>
    <w:rsid w:val="00D6204C"/>
    <w:rsid w:val="00D62AF6"/>
    <w:rsid w:val="00D6328E"/>
    <w:rsid w:val="00D648BF"/>
    <w:rsid w:val="00D65B0A"/>
    <w:rsid w:val="00D676D5"/>
    <w:rsid w:val="00D67A35"/>
    <w:rsid w:val="00D7105D"/>
    <w:rsid w:val="00D72373"/>
    <w:rsid w:val="00D72C77"/>
    <w:rsid w:val="00D73A84"/>
    <w:rsid w:val="00D73B30"/>
    <w:rsid w:val="00D7485D"/>
    <w:rsid w:val="00D7566D"/>
    <w:rsid w:val="00D75E48"/>
    <w:rsid w:val="00D768EB"/>
    <w:rsid w:val="00D7765B"/>
    <w:rsid w:val="00D77C73"/>
    <w:rsid w:val="00D8042C"/>
    <w:rsid w:val="00D80DD5"/>
    <w:rsid w:val="00D81A21"/>
    <w:rsid w:val="00D823C6"/>
    <w:rsid w:val="00D85ED3"/>
    <w:rsid w:val="00D87B97"/>
    <w:rsid w:val="00D90D8D"/>
    <w:rsid w:val="00D91982"/>
    <w:rsid w:val="00D92AD0"/>
    <w:rsid w:val="00D9338E"/>
    <w:rsid w:val="00D93419"/>
    <w:rsid w:val="00D95BCC"/>
    <w:rsid w:val="00D967BD"/>
    <w:rsid w:val="00D97A26"/>
    <w:rsid w:val="00D97E49"/>
    <w:rsid w:val="00DA1EE9"/>
    <w:rsid w:val="00DA293A"/>
    <w:rsid w:val="00DA2C5D"/>
    <w:rsid w:val="00DA347B"/>
    <w:rsid w:val="00DA4328"/>
    <w:rsid w:val="00DA4796"/>
    <w:rsid w:val="00DA61AD"/>
    <w:rsid w:val="00DA7DB9"/>
    <w:rsid w:val="00DB3C8F"/>
    <w:rsid w:val="00DB46CC"/>
    <w:rsid w:val="00DB4B28"/>
    <w:rsid w:val="00DB4EAB"/>
    <w:rsid w:val="00DB5292"/>
    <w:rsid w:val="00DB5DA9"/>
    <w:rsid w:val="00DB7417"/>
    <w:rsid w:val="00DC0C11"/>
    <w:rsid w:val="00DC328A"/>
    <w:rsid w:val="00DC4924"/>
    <w:rsid w:val="00DC556E"/>
    <w:rsid w:val="00DC6426"/>
    <w:rsid w:val="00DC674C"/>
    <w:rsid w:val="00DC7164"/>
    <w:rsid w:val="00DD0F97"/>
    <w:rsid w:val="00DD2360"/>
    <w:rsid w:val="00DD24D1"/>
    <w:rsid w:val="00DD45CD"/>
    <w:rsid w:val="00DD4A8E"/>
    <w:rsid w:val="00DD5178"/>
    <w:rsid w:val="00DE07EE"/>
    <w:rsid w:val="00DE0976"/>
    <w:rsid w:val="00DE3055"/>
    <w:rsid w:val="00DE3268"/>
    <w:rsid w:val="00DE5733"/>
    <w:rsid w:val="00DE70AE"/>
    <w:rsid w:val="00DF00E0"/>
    <w:rsid w:val="00DF0C5E"/>
    <w:rsid w:val="00DF153D"/>
    <w:rsid w:val="00DF1C2C"/>
    <w:rsid w:val="00DF20C8"/>
    <w:rsid w:val="00DF2C13"/>
    <w:rsid w:val="00DF2CEF"/>
    <w:rsid w:val="00DF4577"/>
    <w:rsid w:val="00DF7A07"/>
    <w:rsid w:val="00E00755"/>
    <w:rsid w:val="00E00EC4"/>
    <w:rsid w:val="00E03E1A"/>
    <w:rsid w:val="00E0427D"/>
    <w:rsid w:val="00E04FC0"/>
    <w:rsid w:val="00E07861"/>
    <w:rsid w:val="00E10053"/>
    <w:rsid w:val="00E10472"/>
    <w:rsid w:val="00E11110"/>
    <w:rsid w:val="00E111EF"/>
    <w:rsid w:val="00E12866"/>
    <w:rsid w:val="00E14498"/>
    <w:rsid w:val="00E15014"/>
    <w:rsid w:val="00E15AEB"/>
    <w:rsid w:val="00E1785E"/>
    <w:rsid w:val="00E22F3F"/>
    <w:rsid w:val="00E23BAB"/>
    <w:rsid w:val="00E23E0B"/>
    <w:rsid w:val="00E23F00"/>
    <w:rsid w:val="00E27281"/>
    <w:rsid w:val="00E27B5F"/>
    <w:rsid w:val="00E27F6D"/>
    <w:rsid w:val="00E30032"/>
    <w:rsid w:val="00E3112C"/>
    <w:rsid w:val="00E3213E"/>
    <w:rsid w:val="00E3317B"/>
    <w:rsid w:val="00E3386F"/>
    <w:rsid w:val="00E3424D"/>
    <w:rsid w:val="00E37C53"/>
    <w:rsid w:val="00E40B49"/>
    <w:rsid w:val="00E44BCD"/>
    <w:rsid w:val="00E454BA"/>
    <w:rsid w:val="00E457A7"/>
    <w:rsid w:val="00E463A1"/>
    <w:rsid w:val="00E5038F"/>
    <w:rsid w:val="00E50F70"/>
    <w:rsid w:val="00E516A6"/>
    <w:rsid w:val="00E52382"/>
    <w:rsid w:val="00E52BFC"/>
    <w:rsid w:val="00E52EE1"/>
    <w:rsid w:val="00E62677"/>
    <w:rsid w:val="00E63F7F"/>
    <w:rsid w:val="00E63FE0"/>
    <w:rsid w:val="00E708D5"/>
    <w:rsid w:val="00E729C3"/>
    <w:rsid w:val="00E732C9"/>
    <w:rsid w:val="00E74C2F"/>
    <w:rsid w:val="00E7535A"/>
    <w:rsid w:val="00E76C3A"/>
    <w:rsid w:val="00E77101"/>
    <w:rsid w:val="00E77BCA"/>
    <w:rsid w:val="00E77EE7"/>
    <w:rsid w:val="00E81839"/>
    <w:rsid w:val="00E81FB1"/>
    <w:rsid w:val="00E820A2"/>
    <w:rsid w:val="00E8230A"/>
    <w:rsid w:val="00E82950"/>
    <w:rsid w:val="00E82C0C"/>
    <w:rsid w:val="00E836B3"/>
    <w:rsid w:val="00E8453F"/>
    <w:rsid w:val="00E8486F"/>
    <w:rsid w:val="00E858A7"/>
    <w:rsid w:val="00E868F3"/>
    <w:rsid w:val="00E8716B"/>
    <w:rsid w:val="00E8787F"/>
    <w:rsid w:val="00E900AF"/>
    <w:rsid w:val="00E9176D"/>
    <w:rsid w:val="00E91C6C"/>
    <w:rsid w:val="00E92D8C"/>
    <w:rsid w:val="00E95359"/>
    <w:rsid w:val="00E966FD"/>
    <w:rsid w:val="00E96BF7"/>
    <w:rsid w:val="00EA05BA"/>
    <w:rsid w:val="00EA0715"/>
    <w:rsid w:val="00EA0A1C"/>
    <w:rsid w:val="00EA2DCF"/>
    <w:rsid w:val="00EA3EEC"/>
    <w:rsid w:val="00EA57B1"/>
    <w:rsid w:val="00EA5E6A"/>
    <w:rsid w:val="00EA6FE9"/>
    <w:rsid w:val="00EB0399"/>
    <w:rsid w:val="00EB1AD7"/>
    <w:rsid w:val="00EB2C64"/>
    <w:rsid w:val="00EB2EED"/>
    <w:rsid w:val="00EB2F2C"/>
    <w:rsid w:val="00EB36AD"/>
    <w:rsid w:val="00EB3C69"/>
    <w:rsid w:val="00EB3D5F"/>
    <w:rsid w:val="00EB3E5F"/>
    <w:rsid w:val="00EB531D"/>
    <w:rsid w:val="00EB5CBD"/>
    <w:rsid w:val="00EB62D7"/>
    <w:rsid w:val="00EB6C50"/>
    <w:rsid w:val="00EB6F2B"/>
    <w:rsid w:val="00EB708F"/>
    <w:rsid w:val="00EC126D"/>
    <w:rsid w:val="00EC3AAD"/>
    <w:rsid w:val="00EC4A5C"/>
    <w:rsid w:val="00EC5F71"/>
    <w:rsid w:val="00EC720E"/>
    <w:rsid w:val="00ED1237"/>
    <w:rsid w:val="00ED1277"/>
    <w:rsid w:val="00ED2F8C"/>
    <w:rsid w:val="00ED452D"/>
    <w:rsid w:val="00ED488C"/>
    <w:rsid w:val="00ED4B86"/>
    <w:rsid w:val="00ED525B"/>
    <w:rsid w:val="00EE0272"/>
    <w:rsid w:val="00EE3BCE"/>
    <w:rsid w:val="00EE53AB"/>
    <w:rsid w:val="00EE5AD9"/>
    <w:rsid w:val="00EE6358"/>
    <w:rsid w:val="00EE6EA2"/>
    <w:rsid w:val="00EE7B05"/>
    <w:rsid w:val="00EE7D8D"/>
    <w:rsid w:val="00EF0D43"/>
    <w:rsid w:val="00EF1FB7"/>
    <w:rsid w:val="00F00B3C"/>
    <w:rsid w:val="00F01005"/>
    <w:rsid w:val="00F0109D"/>
    <w:rsid w:val="00F01F41"/>
    <w:rsid w:val="00F039E2"/>
    <w:rsid w:val="00F0442B"/>
    <w:rsid w:val="00F052DC"/>
    <w:rsid w:val="00F05700"/>
    <w:rsid w:val="00F10CEF"/>
    <w:rsid w:val="00F110B1"/>
    <w:rsid w:val="00F11D98"/>
    <w:rsid w:val="00F120F4"/>
    <w:rsid w:val="00F123D1"/>
    <w:rsid w:val="00F1406D"/>
    <w:rsid w:val="00F14133"/>
    <w:rsid w:val="00F20CC6"/>
    <w:rsid w:val="00F20F0C"/>
    <w:rsid w:val="00F21173"/>
    <w:rsid w:val="00F21E02"/>
    <w:rsid w:val="00F21EDB"/>
    <w:rsid w:val="00F21FAB"/>
    <w:rsid w:val="00F23321"/>
    <w:rsid w:val="00F24239"/>
    <w:rsid w:val="00F24AFC"/>
    <w:rsid w:val="00F24D61"/>
    <w:rsid w:val="00F32F3A"/>
    <w:rsid w:val="00F331B0"/>
    <w:rsid w:val="00F345FE"/>
    <w:rsid w:val="00F34E21"/>
    <w:rsid w:val="00F35ABF"/>
    <w:rsid w:val="00F37DC9"/>
    <w:rsid w:val="00F40053"/>
    <w:rsid w:val="00F438E3"/>
    <w:rsid w:val="00F43D1E"/>
    <w:rsid w:val="00F464BF"/>
    <w:rsid w:val="00F46BA9"/>
    <w:rsid w:val="00F471FA"/>
    <w:rsid w:val="00F52243"/>
    <w:rsid w:val="00F52FD1"/>
    <w:rsid w:val="00F531A0"/>
    <w:rsid w:val="00F54329"/>
    <w:rsid w:val="00F545AC"/>
    <w:rsid w:val="00F54FF2"/>
    <w:rsid w:val="00F55212"/>
    <w:rsid w:val="00F55301"/>
    <w:rsid w:val="00F554B9"/>
    <w:rsid w:val="00F56999"/>
    <w:rsid w:val="00F573F1"/>
    <w:rsid w:val="00F602AA"/>
    <w:rsid w:val="00F60422"/>
    <w:rsid w:val="00F60644"/>
    <w:rsid w:val="00F60F91"/>
    <w:rsid w:val="00F615BD"/>
    <w:rsid w:val="00F65020"/>
    <w:rsid w:val="00F664D1"/>
    <w:rsid w:val="00F6767A"/>
    <w:rsid w:val="00F67E6A"/>
    <w:rsid w:val="00F71485"/>
    <w:rsid w:val="00F714C4"/>
    <w:rsid w:val="00F71F1F"/>
    <w:rsid w:val="00F72FB2"/>
    <w:rsid w:val="00F73328"/>
    <w:rsid w:val="00F73F74"/>
    <w:rsid w:val="00F7521F"/>
    <w:rsid w:val="00F75A88"/>
    <w:rsid w:val="00F7728A"/>
    <w:rsid w:val="00F80A00"/>
    <w:rsid w:val="00F811EE"/>
    <w:rsid w:val="00F848CC"/>
    <w:rsid w:val="00F854D8"/>
    <w:rsid w:val="00F860E1"/>
    <w:rsid w:val="00F860F7"/>
    <w:rsid w:val="00F8682A"/>
    <w:rsid w:val="00F8777E"/>
    <w:rsid w:val="00F91676"/>
    <w:rsid w:val="00F91687"/>
    <w:rsid w:val="00F9181B"/>
    <w:rsid w:val="00F93181"/>
    <w:rsid w:val="00F934FC"/>
    <w:rsid w:val="00F9553E"/>
    <w:rsid w:val="00F97C75"/>
    <w:rsid w:val="00FA03BC"/>
    <w:rsid w:val="00FA2AD8"/>
    <w:rsid w:val="00FA2D2A"/>
    <w:rsid w:val="00FA2E41"/>
    <w:rsid w:val="00FA325B"/>
    <w:rsid w:val="00FA3413"/>
    <w:rsid w:val="00FA5F5A"/>
    <w:rsid w:val="00FA68D2"/>
    <w:rsid w:val="00FA7186"/>
    <w:rsid w:val="00FA7D6B"/>
    <w:rsid w:val="00FB115F"/>
    <w:rsid w:val="00FB19F5"/>
    <w:rsid w:val="00FB355A"/>
    <w:rsid w:val="00FB4A1C"/>
    <w:rsid w:val="00FB504D"/>
    <w:rsid w:val="00FB51DC"/>
    <w:rsid w:val="00FB5BF0"/>
    <w:rsid w:val="00FB5CD9"/>
    <w:rsid w:val="00FB66CC"/>
    <w:rsid w:val="00FB6924"/>
    <w:rsid w:val="00FB795F"/>
    <w:rsid w:val="00FB7C60"/>
    <w:rsid w:val="00FC1601"/>
    <w:rsid w:val="00FC1884"/>
    <w:rsid w:val="00FC2DE4"/>
    <w:rsid w:val="00FC3DEC"/>
    <w:rsid w:val="00FC6275"/>
    <w:rsid w:val="00FC64FB"/>
    <w:rsid w:val="00FC7377"/>
    <w:rsid w:val="00FD0E2D"/>
    <w:rsid w:val="00FD0F4E"/>
    <w:rsid w:val="00FD12DB"/>
    <w:rsid w:val="00FD1A61"/>
    <w:rsid w:val="00FD3C84"/>
    <w:rsid w:val="00FD4088"/>
    <w:rsid w:val="00FD41A6"/>
    <w:rsid w:val="00FD57E2"/>
    <w:rsid w:val="00FD58B6"/>
    <w:rsid w:val="00FD5D61"/>
    <w:rsid w:val="00FD64E5"/>
    <w:rsid w:val="00FE03F5"/>
    <w:rsid w:val="00FE2E40"/>
    <w:rsid w:val="00FE493E"/>
    <w:rsid w:val="00FE5DF6"/>
    <w:rsid w:val="00FF07EE"/>
    <w:rsid w:val="00FF1673"/>
    <w:rsid w:val="00FF1D71"/>
    <w:rsid w:val="00FF2AE4"/>
    <w:rsid w:val="00FF3C7C"/>
    <w:rsid w:val="00FF5794"/>
    <w:rsid w:val="00FF69E1"/>
    <w:rsid w:val="00FF6B3D"/>
    <w:rsid w:val="00FF7A8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594D"/>
  <w15:docId w15:val="{AE278A13-9C2A-4D53-8A14-E27E9B8F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744504"/>
    <w:rPr>
      <w:sz w:val="16"/>
      <w:szCs w:val="16"/>
    </w:rPr>
  </w:style>
  <w:style w:type="paragraph" w:styleId="Textkomente">
    <w:name w:val="annotation text"/>
    <w:basedOn w:val="Normln"/>
    <w:link w:val="TextkomenteChar"/>
    <w:uiPriority w:val="99"/>
    <w:unhideWhenUsed/>
    <w:rsid w:val="00744504"/>
    <w:rPr>
      <w:sz w:val="20"/>
    </w:rPr>
  </w:style>
  <w:style w:type="character" w:customStyle="1" w:styleId="TextkomenteChar">
    <w:name w:val="Text komentáře Char"/>
    <w:basedOn w:val="Standardnpsmoodstavce"/>
    <w:link w:val="Textkomente"/>
    <w:uiPriority w:val="99"/>
    <w:rsid w:val="0074450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4504"/>
    <w:rPr>
      <w:b/>
      <w:bCs/>
    </w:rPr>
  </w:style>
  <w:style w:type="character" w:customStyle="1" w:styleId="PedmtkomenteChar">
    <w:name w:val="Předmět komentáře Char"/>
    <w:basedOn w:val="TextkomenteChar"/>
    <w:link w:val="Pedmtkomente"/>
    <w:uiPriority w:val="99"/>
    <w:semiHidden/>
    <w:rsid w:val="00744504"/>
    <w:rPr>
      <w:rFonts w:ascii="Arial" w:eastAsia="Times New Roman" w:hAnsi="Arial" w:cs="Times New Roman"/>
      <w:b/>
      <w:bCs/>
      <w:sz w:val="20"/>
      <w:szCs w:val="20"/>
      <w:lang w:eastAsia="cs-CZ"/>
    </w:rPr>
  </w:style>
  <w:style w:type="paragraph" w:customStyle="1" w:styleId="Default">
    <w:name w:val="Default"/>
    <w:rsid w:val="006E1DBB"/>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747C2E"/>
    <w:pPr>
      <w:spacing w:after="0" w:line="240" w:lineRule="auto"/>
    </w:pPr>
    <w:rPr>
      <w:rFonts w:ascii="Arial" w:eastAsia="Times New Roman" w:hAnsi="Arial" w:cs="Times New Roman"/>
      <w:sz w:val="18"/>
      <w:szCs w:val="20"/>
      <w:lang w:eastAsia="cs-CZ"/>
    </w:rPr>
  </w:style>
  <w:style w:type="paragraph" w:styleId="Textpoznpodarou">
    <w:name w:val="footnote text"/>
    <w:basedOn w:val="Normln"/>
    <w:link w:val="TextpoznpodarouChar"/>
    <w:uiPriority w:val="99"/>
    <w:semiHidden/>
    <w:unhideWhenUsed/>
    <w:rsid w:val="00AA6453"/>
    <w:rPr>
      <w:sz w:val="20"/>
    </w:rPr>
  </w:style>
  <w:style w:type="character" w:customStyle="1" w:styleId="TextpoznpodarouChar">
    <w:name w:val="Text pozn. pod čarou Char"/>
    <w:basedOn w:val="Standardnpsmoodstavce"/>
    <w:link w:val="Textpoznpodarou"/>
    <w:uiPriority w:val="99"/>
    <w:semiHidden/>
    <w:rsid w:val="00AA6453"/>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AA6453"/>
    <w:rPr>
      <w:vertAlign w:val="superscript"/>
    </w:rPr>
  </w:style>
  <w:style w:type="character" w:customStyle="1" w:styleId="cf01">
    <w:name w:val="cf01"/>
    <w:basedOn w:val="Standardnpsmoodstavce"/>
    <w:rsid w:val="00983579"/>
    <w:rPr>
      <w:rFonts w:ascii="Segoe UI" w:hAnsi="Segoe UI" w:cs="Segoe UI" w:hint="default"/>
      <w:sz w:val="18"/>
      <w:szCs w:val="18"/>
    </w:rPr>
  </w:style>
  <w:style w:type="paragraph" w:customStyle="1" w:styleId="CBANadpisvTABULCE">
    <w:name w:val="CBA Nadpis v TABULCE"/>
    <w:basedOn w:val="Normln"/>
    <w:qFormat/>
    <w:rsid w:val="0073410F"/>
    <w:pPr>
      <w:spacing w:before="120" w:after="120"/>
      <w:jc w:val="left"/>
    </w:pPr>
    <w:rPr>
      <w:b/>
      <w:bCs/>
      <w:color w:val="13576B"/>
    </w:rPr>
  </w:style>
  <w:style w:type="paragraph" w:customStyle="1" w:styleId="CBAodstavecvTABULCE">
    <w:name w:val="CBA odstavec v TABULCE"/>
    <w:basedOn w:val="Normln"/>
    <w:qFormat/>
    <w:rsid w:val="0073410F"/>
    <w:pPr>
      <w:spacing w:before="120" w:after="120"/>
      <w:jc w:val="left"/>
    </w:pPr>
    <w:rPr>
      <w:color w:val="13576B"/>
    </w:rPr>
  </w:style>
  <w:style w:type="character" w:styleId="Nevyeenzmnka">
    <w:name w:val="Unresolved Mention"/>
    <w:basedOn w:val="Standardnpsmoodstavce"/>
    <w:uiPriority w:val="99"/>
    <w:semiHidden/>
    <w:unhideWhenUsed/>
    <w:rsid w:val="00E8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939">
      <w:bodyDiv w:val="1"/>
      <w:marLeft w:val="0"/>
      <w:marRight w:val="0"/>
      <w:marTop w:val="0"/>
      <w:marBottom w:val="0"/>
      <w:divBdr>
        <w:top w:val="none" w:sz="0" w:space="0" w:color="auto"/>
        <w:left w:val="none" w:sz="0" w:space="0" w:color="auto"/>
        <w:bottom w:val="none" w:sz="0" w:space="0" w:color="auto"/>
        <w:right w:val="none" w:sz="0" w:space="0" w:color="auto"/>
      </w:divBdr>
    </w:div>
    <w:div w:id="125004222">
      <w:bodyDiv w:val="1"/>
      <w:marLeft w:val="0"/>
      <w:marRight w:val="0"/>
      <w:marTop w:val="0"/>
      <w:marBottom w:val="0"/>
      <w:divBdr>
        <w:top w:val="none" w:sz="0" w:space="0" w:color="auto"/>
        <w:left w:val="none" w:sz="0" w:space="0" w:color="auto"/>
        <w:bottom w:val="none" w:sz="0" w:space="0" w:color="auto"/>
        <w:right w:val="none" w:sz="0" w:space="0" w:color="auto"/>
      </w:divBdr>
    </w:div>
    <w:div w:id="146481197">
      <w:bodyDiv w:val="1"/>
      <w:marLeft w:val="0"/>
      <w:marRight w:val="0"/>
      <w:marTop w:val="0"/>
      <w:marBottom w:val="0"/>
      <w:divBdr>
        <w:top w:val="none" w:sz="0" w:space="0" w:color="auto"/>
        <w:left w:val="none" w:sz="0" w:space="0" w:color="auto"/>
        <w:bottom w:val="none" w:sz="0" w:space="0" w:color="auto"/>
        <w:right w:val="none" w:sz="0" w:space="0" w:color="auto"/>
      </w:divBdr>
    </w:div>
    <w:div w:id="171840413">
      <w:bodyDiv w:val="1"/>
      <w:marLeft w:val="0"/>
      <w:marRight w:val="0"/>
      <w:marTop w:val="0"/>
      <w:marBottom w:val="0"/>
      <w:divBdr>
        <w:top w:val="none" w:sz="0" w:space="0" w:color="auto"/>
        <w:left w:val="none" w:sz="0" w:space="0" w:color="auto"/>
        <w:bottom w:val="none" w:sz="0" w:space="0" w:color="auto"/>
        <w:right w:val="none" w:sz="0" w:space="0" w:color="auto"/>
      </w:divBdr>
    </w:div>
    <w:div w:id="175772208">
      <w:bodyDiv w:val="1"/>
      <w:marLeft w:val="0"/>
      <w:marRight w:val="0"/>
      <w:marTop w:val="0"/>
      <w:marBottom w:val="0"/>
      <w:divBdr>
        <w:top w:val="none" w:sz="0" w:space="0" w:color="auto"/>
        <w:left w:val="none" w:sz="0" w:space="0" w:color="auto"/>
        <w:bottom w:val="none" w:sz="0" w:space="0" w:color="auto"/>
        <w:right w:val="none" w:sz="0" w:space="0" w:color="auto"/>
      </w:divBdr>
    </w:div>
    <w:div w:id="205799727">
      <w:bodyDiv w:val="1"/>
      <w:marLeft w:val="0"/>
      <w:marRight w:val="0"/>
      <w:marTop w:val="0"/>
      <w:marBottom w:val="0"/>
      <w:divBdr>
        <w:top w:val="none" w:sz="0" w:space="0" w:color="auto"/>
        <w:left w:val="none" w:sz="0" w:space="0" w:color="auto"/>
        <w:bottom w:val="none" w:sz="0" w:space="0" w:color="auto"/>
        <w:right w:val="none" w:sz="0" w:space="0" w:color="auto"/>
      </w:divBdr>
    </w:div>
    <w:div w:id="213080258">
      <w:bodyDiv w:val="1"/>
      <w:marLeft w:val="0"/>
      <w:marRight w:val="0"/>
      <w:marTop w:val="0"/>
      <w:marBottom w:val="0"/>
      <w:divBdr>
        <w:top w:val="none" w:sz="0" w:space="0" w:color="auto"/>
        <w:left w:val="none" w:sz="0" w:space="0" w:color="auto"/>
        <w:bottom w:val="none" w:sz="0" w:space="0" w:color="auto"/>
        <w:right w:val="none" w:sz="0" w:space="0" w:color="auto"/>
      </w:divBdr>
    </w:div>
    <w:div w:id="235168362">
      <w:bodyDiv w:val="1"/>
      <w:marLeft w:val="0"/>
      <w:marRight w:val="0"/>
      <w:marTop w:val="0"/>
      <w:marBottom w:val="0"/>
      <w:divBdr>
        <w:top w:val="none" w:sz="0" w:space="0" w:color="auto"/>
        <w:left w:val="none" w:sz="0" w:space="0" w:color="auto"/>
        <w:bottom w:val="none" w:sz="0" w:space="0" w:color="auto"/>
        <w:right w:val="none" w:sz="0" w:space="0" w:color="auto"/>
      </w:divBdr>
    </w:div>
    <w:div w:id="27892470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20087060">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9623159">
      <w:bodyDiv w:val="1"/>
      <w:marLeft w:val="0"/>
      <w:marRight w:val="0"/>
      <w:marTop w:val="0"/>
      <w:marBottom w:val="0"/>
      <w:divBdr>
        <w:top w:val="none" w:sz="0" w:space="0" w:color="auto"/>
        <w:left w:val="none" w:sz="0" w:space="0" w:color="auto"/>
        <w:bottom w:val="none" w:sz="0" w:space="0" w:color="auto"/>
        <w:right w:val="none" w:sz="0" w:space="0" w:color="auto"/>
      </w:divBdr>
    </w:div>
    <w:div w:id="433131831">
      <w:bodyDiv w:val="1"/>
      <w:marLeft w:val="0"/>
      <w:marRight w:val="0"/>
      <w:marTop w:val="0"/>
      <w:marBottom w:val="0"/>
      <w:divBdr>
        <w:top w:val="none" w:sz="0" w:space="0" w:color="auto"/>
        <w:left w:val="none" w:sz="0" w:space="0" w:color="auto"/>
        <w:bottom w:val="none" w:sz="0" w:space="0" w:color="auto"/>
        <w:right w:val="none" w:sz="0" w:space="0" w:color="auto"/>
      </w:divBdr>
    </w:div>
    <w:div w:id="434447739">
      <w:bodyDiv w:val="1"/>
      <w:marLeft w:val="0"/>
      <w:marRight w:val="0"/>
      <w:marTop w:val="0"/>
      <w:marBottom w:val="0"/>
      <w:divBdr>
        <w:top w:val="none" w:sz="0" w:space="0" w:color="auto"/>
        <w:left w:val="none" w:sz="0" w:space="0" w:color="auto"/>
        <w:bottom w:val="none" w:sz="0" w:space="0" w:color="auto"/>
        <w:right w:val="none" w:sz="0" w:space="0" w:color="auto"/>
      </w:divBdr>
    </w:div>
    <w:div w:id="486096695">
      <w:bodyDiv w:val="1"/>
      <w:marLeft w:val="0"/>
      <w:marRight w:val="0"/>
      <w:marTop w:val="0"/>
      <w:marBottom w:val="0"/>
      <w:divBdr>
        <w:top w:val="none" w:sz="0" w:space="0" w:color="auto"/>
        <w:left w:val="none" w:sz="0" w:space="0" w:color="auto"/>
        <w:bottom w:val="none" w:sz="0" w:space="0" w:color="auto"/>
        <w:right w:val="none" w:sz="0" w:space="0" w:color="auto"/>
      </w:divBdr>
    </w:div>
    <w:div w:id="534267763">
      <w:bodyDiv w:val="1"/>
      <w:marLeft w:val="0"/>
      <w:marRight w:val="0"/>
      <w:marTop w:val="0"/>
      <w:marBottom w:val="0"/>
      <w:divBdr>
        <w:top w:val="none" w:sz="0" w:space="0" w:color="auto"/>
        <w:left w:val="none" w:sz="0" w:space="0" w:color="auto"/>
        <w:bottom w:val="none" w:sz="0" w:space="0" w:color="auto"/>
        <w:right w:val="none" w:sz="0" w:space="0" w:color="auto"/>
      </w:divBdr>
    </w:div>
    <w:div w:id="622227915">
      <w:bodyDiv w:val="1"/>
      <w:marLeft w:val="0"/>
      <w:marRight w:val="0"/>
      <w:marTop w:val="0"/>
      <w:marBottom w:val="0"/>
      <w:divBdr>
        <w:top w:val="none" w:sz="0" w:space="0" w:color="auto"/>
        <w:left w:val="none" w:sz="0" w:space="0" w:color="auto"/>
        <w:bottom w:val="none" w:sz="0" w:space="0" w:color="auto"/>
        <w:right w:val="none" w:sz="0" w:space="0" w:color="auto"/>
      </w:divBdr>
    </w:div>
    <w:div w:id="693072444">
      <w:bodyDiv w:val="1"/>
      <w:marLeft w:val="0"/>
      <w:marRight w:val="0"/>
      <w:marTop w:val="0"/>
      <w:marBottom w:val="0"/>
      <w:divBdr>
        <w:top w:val="none" w:sz="0" w:space="0" w:color="auto"/>
        <w:left w:val="none" w:sz="0" w:space="0" w:color="auto"/>
        <w:bottom w:val="none" w:sz="0" w:space="0" w:color="auto"/>
        <w:right w:val="none" w:sz="0" w:space="0" w:color="auto"/>
      </w:divBdr>
    </w:div>
    <w:div w:id="740103959">
      <w:bodyDiv w:val="1"/>
      <w:marLeft w:val="0"/>
      <w:marRight w:val="0"/>
      <w:marTop w:val="0"/>
      <w:marBottom w:val="0"/>
      <w:divBdr>
        <w:top w:val="none" w:sz="0" w:space="0" w:color="auto"/>
        <w:left w:val="none" w:sz="0" w:space="0" w:color="auto"/>
        <w:bottom w:val="none" w:sz="0" w:space="0" w:color="auto"/>
        <w:right w:val="none" w:sz="0" w:space="0" w:color="auto"/>
      </w:divBdr>
    </w:div>
    <w:div w:id="744883708">
      <w:bodyDiv w:val="1"/>
      <w:marLeft w:val="0"/>
      <w:marRight w:val="0"/>
      <w:marTop w:val="0"/>
      <w:marBottom w:val="0"/>
      <w:divBdr>
        <w:top w:val="none" w:sz="0" w:space="0" w:color="auto"/>
        <w:left w:val="none" w:sz="0" w:space="0" w:color="auto"/>
        <w:bottom w:val="none" w:sz="0" w:space="0" w:color="auto"/>
        <w:right w:val="none" w:sz="0" w:space="0" w:color="auto"/>
      </w:divBdr>
    </w:div>
    <w:div w:id="775829942">
      <w:bodyDiv w:val="1"/>
      <w:marLeft w:val="0"/>
      <w:marRight w:val="0"/>
      <w:marTop w:val="0"/>
      <w:marBottom w:val="0"/>
      <w:divBdr>
        <w:top w:val="none" w:sz="0" w:space="0" w:color="auto"/>
        <w:left w:val="none" w:sz="0" w:space="0" w:color="auto"/>
        <w:bottom w:val="none" w:sz="0" w:space="0" w:color="auto"/>
        <w:right w:val="none" w:sz="0" w:space="0" w:color="auto"/>
      </w:divBdr>
    </w:div>
    <w:div w:id="794324714">
      <w:bodyDiv w:val="1"/>
      <w:marLeft w:val="0"/>
      <w:marRight w:val="0"/>
      <w:marTop w:val="0"/>
      <w:marBottom w:val="0"/>
      <w:divBdr>
        <w:top w:val="none" w:sz="0" w:space="0" w:color="auto"/>
        <w:left w:val="none" w:sz="0" w:space="0" w:color="auto"/>
        <w:bottom w:val="none" w:sz="0" w:space="0" w:color="auto"/>
        <w:right w:val="none" w:sz="0" w:space="0" w:color="auto"/>
      </w:divBdr>
    </w:div>
    <w:div w:id="844367420">
      <w:bodyDiv w:val="1"/>
      <w:marLeft w:val="0"/>
      <w:marRight w:val="0"/>
      <w:marTop w:val="0"/>
      <w:marBottom w:val="0"/>
      <w:divBdr>
        <w:top w:val="none" w:sz="0" w:space="0" w:color="auto"/>
        <w:left w:val="none" w:sz="0" w:space="0" w:color="auto"/>
        <w:bottom w:val="none" w:sz="0" w:space="0" w:color="auto"/>
        <w:right w:val="none" w:sz="0" w:space="0" w:color="auto"/>
      </w:divBdr>
    </w:div>
    <w:div w:id="846405975">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74662016">
      <w:bodyDiv w:val="1"/>
      <w:marLeft w:val="0"/>
      <w:marRight w:val="0"/>
      <w:marTop w:val="0"/>
      <w:marBottom w:val="0"/>
      <w:divBdr>
        <w:top w:val="none" w:sz="0" w:space="0" w:color="auto"/>
        <w:left w:val="none" w:sz="0" w:space="0" w:color="auto"/>
        <w:bottom w:val="none" w:sz="0" w:space="0" w:color="auto"/>
        <w:right w:val="none" w:sz="0" w:space="0" w:color="auto"/>
      </w:divBdr>
    </w:div>
    <w:div w:id="881596654">
      <w:bodyDiv w:val="1"/>
      <w:marLeft w:val="0"/>
      <w:marRight w:val="0"/>
      <w:marTop w:val="0"/>
      <w:marBottom w:val="0"/>
      <w:divBdr>
        <w:top w:val="none" w:sz="0" w:space="0" w:color="auto"/>
        <w:left w:val="none" w:sz="0" w:space="0" w:color="auto"/>
        <w:bottom w:val="none" w:sz="0" w:space="0" w:color="auto"/>
        <w:right w:val="none" w:sz="0" w:space="0" w:color="auto"/>
      </w:divBdr>
    </w:div>
    <w:div w:id="952638638">
      <w:bodyDiv w:val="1"/>
      <w:marLeft w:val="0"/>
      <w:marRight w:val="0"/>
      <w:marTop w:val="0"/>
      <w:marBottom w:val="0"/>
      <w:divBdr>
        <w:top w:val="none" w:sz="0" w:space="0" w:color="auto"/>
        <w:left w:val="none" w:sz="0" w:space="0" w:color="auto"/>
        <w:bottom w:val="none" w:sz="0" w:space="0" w:color="auto"/>
        <w:right w:val="none" w:sz="0" w:space="0" w:color="auto"/>
      </w:divBdr>
    </w:div>
    <w:div w:id="972368172">
      <w:bodyDiv w:val="1"/>
      <w:marLeft w:val="0"/>
      <w:marRight w:val="0"/>
      <w:marTop w:val="0"/>
      <w:marBottom w:val="0"/>
      <w:divBdr>
        <w:top w:val="none" w:sz="0" w:space="0" w:color="auto"/>
        <w:left w:val="none" w:sz="0" w:space="0" w:color="auto"/>
        <w:bottom w:val="none" w:sz="0" w:space="0" w:color="auto"/>
        <w:right w:val="none" w:sz="0" w:space="0" w:color="auto"/>
      </w:divBdr>
    </w:div>
    <w:div w:id="974721017">
      <w:bodyDiv w:val="1"/>
      <w:marLeft w:val="0"/>
      <w:marRight w:val="0"/>
      <w:marTop w:val="0"/>
      <w:marBottom w:val="0"/>
      <w:divBdr>
        <w:top w:val="none" w:sz="0" w:space="0" w:color="auto"/>
        <w:left w:val="none" w:sz="0" w:space="0" w:color="auto"/>
        <w:bottom w:val="none" w:sz="0" w:space="0" w:color="auto"/>
        <w:right w:val="none" w:sz="0" w:space="0" w:color="auto"/>
      </w:divBdr>
    </w:div>
    <w:div w:id="1031538979">
      <w:bodyDiv w:val="1"/>
      <w:marLeft w:val="0"/>
      <w:marRight w:val="0"/>
      <w:marTop w:val="0"/>
      <w:marBottom w:val="0"/>
      <w:divBdr>
        <w:top w:val="none" w:sz="0" w:space="0" w:color="auto"/>
        <w:left w:val="none" w:sz="0" w:space="0" w:color="auto"/>
        <w:bottom w:val="none" w:sz="0" w:space="0" w:color="auto"/>
        <w:right w:val="none" w:sz="0" w:space="0" w:color="auto"/>
      </w:divBdr>
    </w:div>
    <w:div w:id="1053165063">
      <w:bodyDiv w:val="1"/>
      <w:marLeft w:val="0"/>
      <w:marRight w:val="0"/>
      <w:marTop w:val="0"/>
      <w:marBottom w:val="0"/>
      <w:divBdr>
        <w:top w:val="none" w:sz="0" w:space="0" w:color="auto"/>
        <w:left w:val="none" w:sz="0" w:space="0" w:color="auto"/>
        <w:bottom w:val="none" w:sz="0" w:space="0" w:color="auto"/>
        <w:right w:val="none" w:sz="0" w:space="0" w:color="auto"/>
      </w:divBdr>
    </w:div>
    <w:div w:id="1097822366">
      <w:bodyDiv w:val="1"/>
      <w:marLeft w:val="0"/>
      <w:marRight w:val="0"/>
      <w:marTop w:val="0"/>
      <w:marBottom w:val="0"/>
      <w:divBdr>
        <w:top w:val="none" w:sz="0" w:space="0" w:color="auto"/>
        <w:left w:val="none" w:sz="0" w:space="0" w:color="auto"/>
        <w:bottom w:val="none" w:sz="0" w:space="0" w:color="auto"/>
        <w:right w:val="none" w:sz="0" w:space="0" w:color="auto"/>
      </w:divBdr>
    </w:div>
    <w:div w:id="1132677217">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244995879">
      <w:bodyDiv w:val="1"/>
      <w:marLeft w:val="0"/>
      <w:marRight w:val="0"/>
      <w:marTop w:val="0"/>
      <w:marBottom w:val="0"/>
      <w:divBdr>
        <w:top w:val="none" w:sz="0" w:space="0" w:color="auto"/>
        <w:left w:val="none" w:sz="0" w:space="0" w:color="auto"/>
        <w:bottom w:val="none" w:sz="0" w:space="0" w:color="auto"/>
        <w:right w:val="none" w:sz="0" w:space="0" w:color="auto"/>
      </w:divBdr>
    </w:div>
    <w:div w:id="1247962172">
      <w:bodyDiv w:val="1"/>
      <w:marLeft w:val="0"/>
      <w:marRight w:val="0"/>
      <w:marTop w:val="0"/>
      <w:marBottom w:val="0"/>
      <w:divBdr>
        <w:top w:val="none" w:sz="0" w:space="0" w:color="auto"/>
        <w:left w:val="none" w:sz="0" w:space="0" w:color="auto"/>
        <w:bottom w:val="none" w:sz="0" w:space="0" w:color="auto"/>
        <w:right w:val="none" w:sz="0" w:space="0" w:color="auto"/>
      </w:divBdr>
    </w:div>
    <w:div w:id="1285036963">
      <w:bodyDiv w:val="1"/>
      <w:marLeft w:val="0"/>
      <w:marRight w:val="0"/>
      <w:marTop w:val="0"/>
      <w:marBottom w:val="0"/>
      <w:divBdr>
        <w:top w:val="none" w:sz="0" w:space="0" w:color="auto"/>
        <w:left w:val="none" w:sz="0" w:space="0" w:color="auto"/>
        <w:bottom w:val="none" w:sz="0" w:space="0" w:color="auto"/>
        <w:right w:val="none" w:sz="0" w:space="0" w:color="auto"/>
      </w:divBdr>
    </w:div>
    <w:div w:id="1303655994">
      <w:bodyDiv w:val="1"/>
      <w:marLeft w:val="0"/>
      <w:marRight w:val="0"/>
      <w:marTop w:val="0"/>
      <w:marBottom w:val="0"/>
      <w:divBdr>
        <w:top w:val="none" w:sz="0" w:space="0" w:color="auto"/>
        <w:left w:val="none" w:sz="0" w:space="0" w:color="auto"/>
        <w:bottom w:val="none" w:sz="0" w:space="0" w:color="auto"/>
        <w:right w:val="none" w:sz="0" w:space="0" w:color="auto"/>
      </w:divBdr>
    </w:div>
    <w:div w:id="1350253804">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509517607">
      <w:bodyDiv w:val="1"/>
      <w:marLeft w:val="0"/>
      <w:marRight w:val="0"/>
      <w:marTop w:val="0"/>
      <w:marBottom w:val="0"/>
      <w:divBdr>
        <w:top w:val="none" w:sz="0" w:space="0" w:color="auto"/>
        <w:left w:val="none" w:sz="0" w:space="0" w:color="auto"/>
        <w:bottom w:val="none" w:sz="0" w:space="0" w:color="auto"/>
        <w:right w:val="none" w:sz="0" w:space="0" w:color="auto"/>
      </w:divBdr>
    </w:div>
    <w:div w:id="1553422533">
      <w:bodyDiv w:val="1"/>
      <w:marLeft w:val="0"/>
      <w:marRight w:val="0"/>
      <w:marTop w:val="0"/>
      <w:marBottom w:val="0"/>
      <w:divBdr>
        <w:top w:val="none" w:sz="0" w:space="0" w:color="auto"/>
        <w:left w:val="none" w:sz="0" w:space="0" w:color="auto"/>
        <w:bottom w:val="none" w:sz="0" w:space="0" w:color="auto"/>
        <w:right w:val="none" w:sz="0" w:space="0" w:color="auto"/>
      </w:divBdr>
    </w:div>
    <w:div w:id="1575361020">
      <w:bodyDiv w:val="1"/>
      <w:marLeft w:val="0"/>
      <w:marRight w:val="0"/>
      <w:marTop w:val="0"/>
      <w:marBottom w:val="0"/>
      <w:divBdr>
        <w:top w:val="none" w:sz="0" w:space="0" w:color="auto"/>
        <w:left w:val="none" w:sz="0" w:space="0" w:color="auto"/>
        <w:bottom w:val="none" w:sz="0" w:space="0" w:color="auto"/>
        <w:right w:val="none" w:sz="0" w:space="0" w:color="auto"/>
      </w:divBdr>
    </w:div>
    <w:div w:id="1615551508">
      <w:bodyDiv w:val="1"/>
      <w:marLeft w:val="0"/>
      <w:marRight w:val="0"/>
      <w:marTop w:val="0"/>
      <w:marBottom w:val="0"/>
      <w:divBdr>
        <w:top w:val="none" w:sz="0" w:space="0" w:color="auto"/>
        <w:left w:val="none" w:sz="0" w:space="0" w:color="auto"/>
        <w:bottom w:val="none" w:sz="0" w:space="0" w:color="auto"/>
        <w:right w:val="none" w:sz="0" w:space="0" w:color="auto"/>
      </w:divBdr>
    </w:div>
    <w:div w:id="1670793888">
      <w:bodyDiv w:val="1"/>
      <w:marLeft w:val="0"/>
      <w:marRight w:val="0"/>
      <w:marTop w:val="0"/>
      <w:marBottom w:val="0"/>
      <w:divBdr>
        <w:top w:val="none" w:sz="0" w:space="0" w:color="auto"/>
        <w:left w:val="none" w:sz="0" w:space="0" w:color="auto"/>
        <w:bottom w:val="none" w:sz="0" w:space="0" w:color="auto"/>
        <w:right w:val="none" w:sz="0" w:space="0" w:color="auto"/>
      </w:divBdr>
    </w:div>
    <w:div w:id="1675649168">
      <w:bodyDiv w:val="1"/>
      <w:marLeft w:val="0"/>
      <w:marRight w:val="0"/>
      <w:marTop w:val="0"/>
      <w:marBottom w:val="0"/>
      <w:divBdr>
        <w:top w:val="none" w:sz="0" w:space="0" w:color="auto"/>
        <w:left w:val="none" w:sz="0" w:space="0" w:color="auto"/>
        <w:bottom w:val="none" w:sz="0" w:space="0" w:color="auto"/>
        <w:right w:val="none" w:sz="0" w:space="0" w:color="auto"/>
      </w:divBdr>
    </w:div>
    <w:div w:id="1727532493">
      <w:bodyDiv w:val="1"/>
      <w:marLeft w:val="0"/>
      <w:marRight w:val="0"/>
      <w:marTop w:val="0"/>
      <w:marBottom w:val="0"/>
      <w:divBdr>
        <w:top w:val="none" w:sz="0" w:space="0" w:color="auto"/>
        <w:left w:val="none" w:sz="0" w:space="0" w:color="auto"/>
        <w:bottom w:val="none" w:sz="0" w:space="0" w:color="auto"/>
        <w:right w:val="none" w:sz="0" w:space="0" w:color="auto"/>
      </w:divBdr>
    </w:div>
    <w:div w:id="1757242897">
      <w:bodyDiv w:val="1"/>
      <w:marLeft w:val="0"/>
      <w:marRight w:val="0"/>
      <w:marTop w:val="0"/>
      <w:marBottom w:val="0"/>
      <w:divBdr>
        <w:top w:val="none" w:sz="0" w:space="0" w:color="auto"/>
        <w:left w:val="none" w:sz="0" w:space="0" w:color="auto"/>
        <w:bottom w:val="none" w:sz="0" w:space="0" w:color="auto"/>
        <w:right w:val="none" w:sz="0" w:space="0" w:color="auto"/>
      </w:divBdr>
    </w:div>
    <w:div w:id="1775709910">
      <w:bodyDiv w:val="1"/>
      <w:marLeft w:val="0"/>
      <w:marRight w:val="0"/>
      <w:marTop w:val="0"/>
      <w:marBottom w:val="0"/>
      <w:divBdr>
        <w:top w:val="none" w:sz="0" w:space="0" w:color="auto"/>
        <w:left w:val="none" w:sz="0" w:space="0" w:color="auto"/>
        <w:bottom w:val="none" w:sz="0" w:space="0" w:color="auto"/>
        <w:right w:val="none" w:sz="0" w:space="0" w:color="auto"/>
      </w:divBdr>
      <w:divsChild>
        <w:div w:id="1008944210">
          <w:marLeft w:val="547"/>
          <w:marRight w:val="0"/>
          <w:marTop w:val="0"/>
          <w:marBottom w:val="0"/>
          <w:divBdr>
            <w:top w:val="none" w:sz="0" w:space="0" w:color="auto"/>
            <w:left w:val="none" w:sz="0" w:space="0" w:color="auto"/>
            <w:bottom w:val="none" w:sz="0" w:space="0" w:color="auto"/>
            <w:right w:val="none" w:sz="0" w:space="0" w:color="auto"/>
          </w:divBdr>
        </w:div>
      </w:divsChild>
    </w:div>
    <w:div w:id="1777214021">
      <w:bodyDiv w:val="1"/>
      <w:marLeft w:val="0"/>
      <w:marRight w:val="0"/>
      <w:marTop w:val="0"/>
      <w:marBottom w:val="0"/>
      <w:divBdr>
        <w:top w:val="none" w:sz="0" w:space="0" w:color="auto"/>
        <w:left w:val="none" w:sz="0" w:space="0" w:color="auto"/>
        <w:bottom w:val="none" w:sz="0" w:space="0" w:color="auto"/>
        <w:right w:val="none" w:sz="0" w:space="0" w:color="auto"/>
      </w:divBdr>
    </w:div>
    <w:div w:id="1824738871">
      <w:bodyDiv w:val="1"/>
      <w:marLeft w:val="0"/>
      <w:marRight w:val="0"/>
      <w:marTop w:val="0"/>
      <w:marBottom w:val="0"/>
      <w:divBdr>
        <w:top w:val="none" w:sz="0" w:space="0" w:color="auto"/>
        <w:left w:val="none" w:sz="0" w:space="0" w:color="auto"/>
        <w:bottom w:val="none" w:sz="0" w:space="0" w:color="auto"/>
        <w:right w:val="none" w:sz="0" w:space="0" w:color="auto"/>
      </w:divBdr>
    </w:div>
    <w:div w:id="1863548730">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994986753">
      <w:bodyDiv w:val="1"/>
      <w:marLeft w:val="0"/>
      <w:marRight w:val="0"/>
      <w:marTop w:val="0"/>
      <w:marBottom w:val="0"/>
      <w:divBdr>
        <w:top w:val="none" w:sz="0" w:space="0" w:color="auto"/>
        <w:left w:val="none" w:sz="0" w:space="0" w:color="auto"/>
        <w:bottom w:val="none" w:sz="0" w:space="0" w:color="auto"/>
        <w:right w:val="none" w:sz="0" w:space="0" w:color="auto"/>
      </w:divBdr>
    </w:div>
    <w:div w:id="2003854515">
      <w:bodyDiv w:val="1"/>
      <w:marLeft w:val="0"/>
      <w:marRight w:val="0"/>
      <w:marTop w:val="0"/>
      <w:marBottom w:val="0"/>
      <w:divBdr>
        <w:top w:val="none" w:sz="0" w:space="0" w:color="auto"/>
        <w:left w:val="none" w:sz="0" w:space="0" w:color="auto"/>
        <w:bottom w:val="none" w:sz="0" w:space="0" w:color="auto"/>
        <w:right w:val="none" w:sz="0" w:space="0" w:color="auto"/>
      </w:divBdr>
    </w:div>
    <w:div w:id="2033920408">
      <w:bodyDiv w:val="1"/>
      <w:marLeft w:val="0"/>
      <w:marRight w:val="0"/>
      <w:marTop w:val="0"/>
      <w:marBottom w:val="0"/>
      <w:divBdr>
        <w:top w:val="none" w:sz="0" w:space="0" w:color="auto"/>
        <w:left w:val="none" w:sz="0" w:space="0" w:color="auto"/>
        <w:bottom w:val="none" w:sz="0" w:space="0" w:color="auto"/>
        <w:right w:val="none" w:sz="0" w:space="0" w:color="auto"/>
      </w:divBdr>
    </w:div>
    <w:div w:id="2048217982">
      <w:bodyDiv w:val="1"/>
      <w:marLeft w:val="0"/>
      <w:marRight w:val="0"/>
      <w:marTop w:val="0"/>
      <w:marBottom w:val="0"/>
      <w:divBdr>
        <w:top w:val="none" w:sz="0" w:space="0" w:color="auto"/>
        <w:left w:val="none" w:sz="0" w:space="0" w:color="auto"/>
        <w:bottom w:val="none" w:sz="0" w:space="0" w:color="auto"/>
        <w:right w:val="none" w:sz="0" w:space="0" w:color="auto"/>
      </w:divBdr>
    </w:div>
    <w:div w:id="2071535983">
      <w:bodyDiv w:val="1"/>
      <w:marLeft w:val="0"/>
      <w:marRight w:val="0"/>
      <w:marTop w:val="0"/>
      <w:marBottom w:val="0"/>
      <w:divBdr>
        <w:top w:val="none" w:sz="0" w:space="0" w:color="auto"/>
        <w:left w:val="none" w:sz="0" w:space="0" w:color="auto"/>
        <w:bottom w:val="none" w:sz="0" w:space="0" w:color="auto"/>
        <w:right w:val="none" w:sz="0" w:space="0" w:color="auto"/>
      </w:divBdr>
    </w:div>
    <w:div w:id="2103793932">
      <w:bodyDiv w:val="1"/>
      <w:marLeft w:val="0"/>
      <w:marRight w:val="0"/>
      <w:marTop w:val="0"/>
      <w:marBottom w:val="0"/>
      <w:divBdr>
        <w:top w:val="none" w:sz="0" w:space="0" w:color="auto"/>
        <w:left w:val="none" w:sz="0" w:space="0" w:color="auto"/>
        <w:bottom w:val="none" w:sz="0" w:space="0" w:color="auto"/>
        <w:right w:val="none" w:sz="0" w:space="0" w:color="auto"/>
      </w:divBdr>
    </w:div>
    <w:div w:id="21213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8650-8B43-417C-931A-06049C16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2193</Words>
  <Characters>12942</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UGIS</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5</cp:revision>
  <cp:lastPrinted>2025-08-20T06:37:00Z</cp:lastPrinted>
  <dcterms:created xsi:type="dcterms:W3CDTF">2025-08-19T12:57:00Z</dcterms:created>
  <dcterms:modified xsi:type="dcterms:W3CDTF">2025-08-20T07:51:00Z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0254f4-34d0-49c5-b888-af4abf762ef7_Enabled">
    <vt:lpwstr>True</vt:lpwstr>
  </property>
  <property fmtid="{D5CDD505-2E9C-101B-9397-08002B2CF9AE}" pid="3" name="MSIP_Label_390254f4-34d0-49c5-b888-af4abf762ef7_SiteId">
    <vt:lpwstr>2cc49ce9-66a1-41ac-a96b-bdc54247696a</vt:lpwstr>
  </property>
  <property fmtid="{D5CDD505-2E9C-101B-9397-08002B2CF9AE}" pid="4" name="MSIP_Label_390254f4-34d0-49c5-b888-af4abf762ef7_Owner">
    <vt:lpwstr>Pavel.Sobisek@unicreditgroup.cz</vt:lpwstr>
  </property>
  <property fmtid="{D5CDD505-2E9C-101B-9397-08002B2CF9AE}" pid="5" name="MSIP_Label_390254f4-34d0-49c5-b888-af4abf762ef7_SetDate">
    <vt:lpwstr>2020-01-15T16:11:29.8787231Z</vt:lpwstr>
  </property>
  <property fmtid="{D5CDD505-2E9C-101B-9397-08002B2CF9AE}" pid="6" name="MSIP_Label_390254f4-34d0-49c5-b888-af4abf762ef7_Name">
    <vt:lpwstr>Internal Use Only</vt:lpwstr>
  </property>
  <property fmtid="{D5CDD505-2E9C-101B-9397-08002B2CF9AE}" pid="7" name="MSIP_Label_390254f4-34d0-49c5-b888-af4abf762ef7_Application">
    <vt:lpwstr>Microsoft Azure Information Protection</vt:lpwstr>
  </property>
  <property fmtid="{D5CDD505-2E9C-101B-9397-08002B2CF9AE}" pid="8" name="MSIP_Label_390254f4-34d0-49c5-b888-af4abf762ef7_ActionId">
    <vt:lpwstr>43f3763f-d3c6-435c-ae50-a4a40081b5fb</vt:lpwstr>
  </property>
  <property fmtid="{D5CDD505-2E9C-101B-9397-08002B2CF9AE}" pid="9" name="MSIP_Label_390254f4-34d0-49c5-b888-af4abf762ef7_Extended_MSFT_Method">
    <vt:lpwstr>Automatic</vt:lpwstr>
  </property>
  <property fmtid="{D5CDD505-2E9C-101B-9397-08002B2CF9AE}" pid="10" name="MSIP_Label_faa92781-1fcb-4da3-a1a2-e534c28a25f3_Enabled">
    <vt:lpwstr>True</vt:lpwstr>
  </property>
  <property fmtid="{D5CDD505-2E9C-101B-9397-08002B2CF9AE}" pid="11" name="MSIP_Label_faa92781-1fcb-4da3-a1a2-e534c28a25f3_SiteId">
    <vt:lpwstr>2cc49ce9-66a1-41ac-a96b-bdc54247696a</vt:lpwstr>
  </property>
  <property fmtid="{D5CDD505-2E9C-101B-9397-08002B2CF9AE}" pid="12" name="MSIP_Label_faa92781-1fcb-4da3-a1a2-e534c28a25f3_Owner">
    <vt:lpwstr>Pavel.Sobisek@unicreditgroup.cz</vt:lpwstr>
  </property>
  <property fmtid="{D5CDD505-2E9C-101B-9397-08002B2CF9AE}" pid="13" name="MSIP_Label_faa92781-1fcb-4da3-a1a2-e534c28a25f3_SetDate">
    <vt:lpwstr>2020-01-15T16:11:29.8787231Z</vt:lpwstr>
  </property>
  <property fmtid="{D5CDD505-2E9C-101B-9397-08002B2CF9AE}" pid="14" name="MSIP_Label_faa92781-1fcb-4da3-a1a2-e534c28a25f3_Name">
    <vt:lpwstr>in UniCredit Group - no visual markings</vt:lpwstr>
  </property>
  <property fmtid="{D5CDD505-2E9C-101B-9397-08002B2CF9AE}" pid="15" name="MSIP_Label_faa92781-1fcb-4da3-a1a2-e534c28a25f3_Application">
    <vt:lpwstr>Microsoft Azure Information Protection</vt:lpwstr>
  </property>
  <property fmtid="{D5CDD505-2E9C-101B-9397-08002B2CF9AE}" pid="16" name="MSIP_Label_faa92781-1fcb-4da3-a1a2-e534c28a25f3_ActionId">
    <vt:lpwstr>43f3763f-d3c6-435c-ae50-a4a40081b5fb</vt:lpwstr>
  </property>
  <property fmtid="{D5CDD505-2E9C-101B-9397-08002B2CF9AE}" pid="17" name="MSIP_Label_faa92781-1fcb-4da3-a1a2-e534c28a25f3_Parent">
    <vt:lpwstr>390254f4-34d0-49c5-b888-af4abf762ef7</vt:lpwstr>
  </property>
  <property fmtid="{D5CDD505-2E9C-101B-9397-08002B2CF9AE}" pid="18" name="MSIP_Label_faa92781-1fcb-4da3-a1a2-e534c28a25f3_Extended_MSFT_Method">
    <vt:lpwstr>Automatic</vt:lpwstr>
  </property>
  <property fmtid="{D5CDD505-2E9C-101B-9397-08002B2CF9AE}" pid="19" name="MSIP_Label_2b3a104e-2916-42dc-a2f6-6210338509ed_Enabled">
    <vt:lpwstr>True</vt:lpwstr>
  </property>
  <property fmtid="{D5CDD505-2E9C-101B-9397-08002B2CF9AE}" pid="20" name="MSIP_Label_2b3a104e-2916-42dc-a2f6-6210338509ed_SiteId">
    <vt:lpwstr>e70aafb3-2e89-46a5-ba50-66803e8a4411</vt:lpwstr>
  </property>
  <property fmtid="{D5CDD505-2E9C-101B-9397-08002B2CF9AE}" pid="21" name="MSIP_Label_2b3a104e-2916-42dc-a2f6-6210338509ed_Owner">
    <vt:lpwstr>cen87316@csin.cz</vt:lpwstr>
  </property>
  <property fmtid="{D5CDD505-2E9C-101B-9397-08002B2CF9AE}" pid="22" name="MSIP_Label_2b3a104e-2916-42dc-a2f6-6210338509ed_SetDate">
    <vt:lpwstr>2020-01-17T08:10:02.3455520Z</vt:lpwstr>
  </property>
  <property fmtid="{D5CDD505-2E9C-101B-9397-08002B2CF9AE}" pid="23" name="MSIP_Label_2b3a104e-2916-42dc-a2f6-6210338509ed_Name">
    <vt:lpwstr>CS Internal</vt:lpwstr>
  </property>
  <property fmtid="{D5CDD505-2E9C-101B-9397-08002B2CF9AE}" pid="24" name="MSIP_Label_2b3a104e-2916-42dc-a2f6-6210338509ed_Application">
    <vt:lpwstr>Microsoft Azure Information Protection</vt:lpwstr>
  </property>
  <property fmtid="{D5CDD505-2E9C-101B-9397-08002B2CF9AE}" pid="25" name="MSIP_Label_2b3a104e-2916-42dc-a2f6-6210338509ed_ActionId">
    <vt:lpwstr>60b9ebe4-46ae-459c-bf59-6a05f328379e</vt:lpwstr>
  </property>
  <property fmtid="{D5CDD505-2E9C-101B-9397-08002B2CF9AE}" pid="26" name="MSIP_Label_2b3a104e-2916-42dc-a2f6-6210338509ed_Extended_MSFT_Method">
    <vt:lpwstr>Automatic</vt:lpwstr>
  </property>
  <property fmtid="{D5CDD505-2E9C-101B-9397-08002B2CF9AE}" pid="27" name="MSIP_Label_2a6524ed-fb1a-49fd-bafe-15c5e5ffd047_Enabled">
    <vt:lpwstr>true</vt:lpwstr>
  </property>
  <property fmtid="{D5CDD505-2E9C-101B-9397-08002B2CF9AE}" pid="28" name="MSIP_Label_2a6524ed-fb1a-49fd-bafe-15c5e5ffd047_SetDate">
    <vt:lpwstr>2021-05-10T05:54:55Z</vt:lpwstr>
  </property>
  <property fmtid="{D5CDD505-2E9C-101B-9397-08002B2CF9AE}" pid="29" name="MSIP_Label_2a6524ed-fb1a-49fd-bafe-15c5e5ffd047_Method">
    <vt:lpwstr>Standard</vt:lpwstr>
  </property>
  <property fmtid="{D5CDD505-2E9C-101B-9397-08002B2CF9AE}" pid="30" name="MSIP_Label_2a6524ed-fb1a-49fd-bafe-15c5e5ffd047_Name">
    <vt:lpwstr>Internal</vt:lpwstr>
  </property>
  <property fmtid="{D5CDD505-2E9C-101B-9397-08002B2CF9AE}" pid="31" name="MSIP_Label_2a6524ed-fb1a-49fd-bafe-15c5e5ffd047_SiteId">
    <vt:lpwstr>9b511fda-f0b1-43a5-b06e-1e720f64520a</vt:lpwstr>
  </property>
  <property fmtid="{D5CDD505-2E9C-101B-9397-08002B2CF9AE}" pid="32" name="MSIP_Label_2a6524ed-fb1a-49fd-bafe-15c5e5ffd047_ActionId">
    <vt:lpwstr>6e16e441-bca8-45fa-8e42-4b14b422a2ce</vt:lpwstr>
  </property>
  <property fmtid="{D5CDD505-2E9C-101B-9397-08002B2CF9AE}" pid="33" name="MSIP_Label_2a6524ed-fb1a-49fd-bafe-15c5e5ffd047_ContentBits">
    <vt:lpwstr>0</vt:lpwstr>
  </property>
  <property fmtid="{D5CDD505-2E9C-101B-9397-08002B2CF9AE}" pid="34" name="MSIP_Label_63f4bb52-bd44-4e71-98c6-b1e43e6be5b6_Enabled">
    <vt:lpwstr>true</vt:lpwstr>
  </property>
  <property fmtid="{D5CDD505-2E9C-101B-9397-08002B2CF9AE}" pid="35" name="MSIP_Label_63f4bb52-bd44-4e71-98c6-b1e43e6be5b6_SetDate">
    <vt:lpwstr>2022-08-10T09:54:41Z</vt:lpwstr>
  </property>
  <property fmtid="{D5CDD505-2E9C-101B-9397-08002B2CF9AE}" pid="36" name="MSIP_Label_63f4bb52-bd44-4e71-98c6-b1e43e6be5b6_Method">
    <vt:lpwstr>Standard</vt:lpwstr>
  </property>
  <property fmtid="{D5CDD505-2E9C-101B-9397-08002B2CF9AE}" pid="37" name="MSIP_Label_63f4bb52-bd44-4e71-98c6-b1e43e6be5b6_Name">
    <vt:lpwstr>Chráněné</vt:lpwstr>
  </property>
  <property fmtid="{D5CDD505-2E9C-101B-9397-08002B2CF9AE}" pid="38" name="MSIP_Label_63f4bb52-bd44-4e71-98c6-b1e43e6be5b6_SiteId">
    <vt:lpwstr>9cca307d-eed7-47e0-a567-a3b37ba0308b</vt:lpwstr>
  </property>
  <property fmtid="{D5CDD505-2E9C-101B-9397-08002B2CF9AE}" pid="39" name="MSIP_Label_63f4bb52-bd44-4e71-98c6-b1e43e6be5b6_ActionId">
    <vt:lpwstr>ca7f3bf3-cf89-4cf9-9bd8-fcbcfa83b433</vt:lpwstr>
  </property>
  <property fmtid="{D5CDD505-2E9C-101B-9397-08002B2CF9AE}" pid="40" name="MSIP_Label_63f4bb52-bd44-4e71-98c6-b1e43e6be5b6_ContentBits">
    <vt:lpwstr>0</vt:lpwstr>
  </property>
  <property fmtid="{D5CDD505-2E9C-101B-9397-08002B2CF9AE}" pid="41" name="MSIP_Label_95047c84-0a67-483c-b79b-e48654b86430_Enabled">
    <vt:lpwstr>true</vt:lpwstr>
  </property>
  <property fmtid="{D5CDD505-2E9C-101B-9397-08002B2CF9AE}" pid="42" name="MSIP_Label_95047c84-0a67-483c-b79b-e48654b86430_SetDate">
    <vt:lpwstr>2022-11-09T11:52:35Z</vt:lpwstr>
  </property>
  <property fmtid="{D5CDD505-2E9C-101B-9397-08002B2CF9AE}" pid="43" name="MSIP_Label_95047c84-0a67-483c-b79b-e48654b86430_Method">
    <vt:lpwstr>Standard</vt:lpwstr>
  </property>
  <property fmtid="{D5CDD505-2E9C-101B-9397-08002B2CF9AE}" pid="44" name="MSIP_Label_95047c84-0a67-483c-b79b-e48654b86430_Name">
    <vt:lpwstr>defa4170-0d19-0005-0004-bc88714345d2</vt:lpwstr>
  </property>
  <property fmtid="{D5CDD505-2E9C-101B-9397-08002B2CF9AE}" pid="45" name="MSIP_Label_95047c84-0a67-483c-b79b-e48654b86430_SiteId">
    <vt:lpwstr>3f20558b-6d29-4505-a3e9-96d02ae92fa1</vt:lpwstr>
  </property>
  <property fmtid="{D5CDD505-2E9C-101B-9397-08002B2CF9AE}" pid="46" name="MSIP_Label_95047c84-0a67-483c-b79b-e48654b86430_ActionId">
    <vt:lpwstr>09b031df-8fbf-4de6-9fcd-b47722a3820f</vt:lpwstr>
  </property>
  <property fmtid="{D5CDD505-2E9C-101B-9397-08002B2CF9AE}" pid="47" name="MSIP_Label_95047c84-0a67-483c-b79b-e48654b86430_ContentBits">
    <vt:lpwstr>0</vt:lpwstr>
  </property>
  <property fmtid="{D5CDD505-2E9C-101B-9397-08002B2CF9AE}" pid="48" name="MSIP_Label_38939b85-7e40-4a1d-91e1-0e84c3b219d7_Enabled">
    <vt:lpwstr>true</vt:lpwstr>
  </property>
  <property fmtid="{D5CDD505-2E9C-101B-9397-08002B2CF9AE}" pid="49" name="MSIP_Label_38939b85-7e40-4a1d-91e1-0e84c3b219d7_SetDate">
    <vt:lpwstr>2023-08-08T13:09:17Z</vt:lpwstr>
  </property>
  <property fmtid="{D5CDD505-2E9C-101B-9397-08002B2CF9AE}" pid="50" name="MSIP_Label_38939b85-7e40-4a1d-91e1-0e84c3b219d7_Method">
    <vt:lpwstr>Standard</vt:lpwstr>
  </property>
  <property fmtid="{D5CDD505-2E9C-101B-9397-08002B2CF9AE}" pid="51" name="MSIP_Label_38939b85-7e40-4a1d-91e1-0e84c3b219d7_Name">
    <vt:lpwstr>38939b85-7e40-4a1d-91e1-0e84c3b219d7</vt:lpwstr>
  </property>
  <property fmtid="{D5CDD505-2E9C-101B-9397-08002B2CF9AE}" pid="52" name="MSIP_Label_38939b85-7e40-4a1d-91e1-0e84c3b219d7_SiteId">
    <vt:lpwstr>3ad0376a-54d3-49a6-9e20-52de0a92fc89</vt:lpwstr>
  </property>
  <property fmtid="{D5CDD505-2E9C-101B-9397-08002B2CF9AE}" pid="53" name="MSIP_Label_38939b85-7e40-4a1d-91e1-0e84c3b219d7_ActionId">
    <vt:lpwstr>a9bfb157-61e9-41a9-8f12-7ab49d163955</vt:lpwstr>
  </property>
  <property fmtid="{D5CDD505-2E9C-101B-9397-08002B2CF9AE}" pid="54" name="MSIP_Label_38939b85-7e40-4a1d-91e1-0e84c3b219d7_ContentBits">
    <vt:lpwstr>0</vt:lpwstr>
  </property>
  <property fmtid="{D5CDD505-2E9C-101B-9397-08002B2CF9AE}" pid="55" name="MSIP_Label_076d9757-80ae-4c87-b4d7-9ffa7a0710d0_Enabled">
    <vt:lpwstr>true</vt:lpwstr>
  </property>
  <property fmtid="{D5CDD505-2E9C-101B-9397-08002B2CF9AE}" pid="56" name="MSIP_Label_076d9757-80ae-4c87-b4d7-9ffa7a0710d0_SetDate">
    <vt:lpwstr>2023-11-08T08:22:38Z</vt:lpwstr>
  </property>
  <property fmtid="{D5CDD505-2E9C-101B-9397-08002B2CF9AE}" pid="57" name="MSIP_Label_076d9757-80ae-4c87-b4d7-9ffa7a0710d0_Method">
    <vt:lpwstr>Standard</vt:lpwstr>
  </property>
  <property fmtid="{D5CDD505-2E9C-101B-9397-08002B2CF9AE}" pid="58" name="MSIP_Label_076d9757-80ae-4c87-b4d7-9ffa7a0710d0_Name">
    <vt:lpwstr>C1 - Internal</vt:lpwstr>
  </property>
  <property fmtid="{D5CDD505-2E9C-101B-9397-08002B2CF9AE}" pid="59" name="MSIP_Label_076d9757-80ae-4c87-b4d7-9ffa7a0710d0_SiteId">
    <vt:lpwstr>c79e7c80-cff5-4503-b468-3702cea89272</vt:lpwstr>
  </property>
  <property fmtid="{D5CDD505-2E9C-101B-9397-08002B2CF9AE}" pid="60" name="MSIP_Label_076d9757-80ae-4c87-b4d7-9ffa7a0710d0_ActionId">
    <vt:lpwstr>e6da5af1-39f2-4f2b-b59b-984e27099740</vt:lpwstr>
  </property>
  <property fmtid="{D5CDD505-2E9C-101B-9397-08002B2CF9AE}" pid="61" name="MSIP_Label_076d9757-80ae-4c87-b4d7-9ffa7a0710d0_ContentBits">
    <vt:lpwstr>0</vt:lpwstr>
  </property>
  <property fmtid="{D5CDD505-2E9C-101B-9397-08002B2CF9AE}" pid="62" name="Kod_Duvernosti">
    <vt:lpwstr>KB_C1_INTERNAL_992521</vt:lpwstr>
  </property>
</Properties>
</file>