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5735" w14:textId="7A1B0D95" w:rsidR="00DF154D" w:rsidRPr="00ED65DB" w:rsidRDefault="003D3759" w:rsidP="003D3759">
      <w:pPr>
        <w:rPr>
          <w:rFonts w:ascii="Calibri" w:hAnsi="Calibri" w:cs="Calibri"/>
          <w:b/>
          <w:color w:val="EE0000"/>
          <w:sz w:val="32"/>
          <w:szCs w:val="32"/>
        </w:rPr>
      </w:pPr>
      <w:bookmarkStart w:id="0" w:name="_Hlk111121205"/>
      <w:bookmarkStart w:id="1" w:name="_Hlk116472656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ČBA </w:t>
      </w:r>
      <w:proofErr w:type="spellStart"/>
      <w:r w:rsidRPr="00616069">
        <w:rPr>
          <w:rFonts w:ascii="Calibri" w:hAnsi="Calibri" w:cs="Calibri"/>
          <w:b/>
          <w:color w:val="13576B"/>
          <w:sz w:val="32"/>
          <w:szCs w:val="32"/>
        </w:rPr>
        <w:t>Hypomonito</w:t>
      </w:r>
      <w:r w:rsidR="007C0E2D">
        <w:rPr>
          <w:rFonts w:ascii="Calibri" w:hAnsi="Calibri" w:cs="Calibri"/>
          <w:b/>
          <w:color w:val="13576B"/>
          <w:sz w:val="32"/>
          <w:szCs w:val="32"/>
        </w:rPr>
        <w:t>r</w:t>
      </w:r>
      <w:proofErr w:type="spellEnd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: </w:t>
      </w:r>
      <w:r w:rsidR="00C82FE1">
        <w:rPr>
          <w:rFonts w:ascii="Calibri" w:hAnsi="Calibri" w:cs="Calibri"/>
          <w:b/>
          <w:color w:val="13576B"/>
          <w:sz w:val="32"/>
          <w:szCs w:val="32"/>
        </w:rPr>
        <w:t xml:space="preserve">Červenec překvapil silnými objemy, ale i počty nových hypoték. Sazba dále mírně </w:t>
      </w:r>
      <w:r w:rsidR="00FC08D8">
        <w:rPr>
          <w:rFonts w:ascii="Calibri" w:hAnsi="Calibri" w:cs="Calibri"/>
          <w:b/>
          <w:color w:val="13576B"/>
          <w:sz w:val="32"/>
          <w:szCs w:val="32"/>
        </w:rPr>
        <w:t xml:space="preserve">klesla </w:t>
      </w:r>
      <w:r w:rsidR="00C82FE1">
        <w:rPr>
          <w:rFonts w:ascii="Calibri" w:hAnsi="Calibri" w:cs="Calibri"/>
          <w:b/>
          <w:color w:val="13576B"/>
          <w:sz w:val="32"/>
          <w:szCs w:val="32"/>
        </w:rPr>
        <w:t>na</w:t>
      </w:r>
      <w:r w:rsidR="00BA280D" w:rsidRPr="00720B68">
        <w:rPr>
          <w:rFonts w:ascii="Calibri" w:hAnsi="Calibri" w:cs="Calibri"/>
          <w:b/>
          <w:color w:val="13576B"/>
          <w:sz w:val="32"/>
          <w:szCs w:val="32"/>
        </w:rPr>
        <w:t xml:space="preserve"> 4,53 %. Obava z</w:t>
      </w:r>
      <w:r w:rsidR="00C82FE1">
        <w:rPr>
          <w:rFonts w:ascii="Calibri" w:hAnsi="Calibri" w:cs="Calibri"/>
          <w:b/>
          <w:color w:val="13576B"/>
          <w:sz w:val="32"/>
          <w:szCs w:val="32"/>
        </w:rPr>
        <w:t> jejího růstu?</w:t>
      </w:r>
    </w:p>
    <w:bookmarkEnd w:id="0"/>
    <w:p w14:paraId="3638D51E" w14:textId="2EFF6955" w:rsidR="00024480" w:rsidRDefault="007967E6" w:rsidP="00425883">
      <w:pPr>
        <w:overflowPunct/>
        <w:autoSpaceDE/>
        <w:autoSpaceDN/>
        <w:adjustRightInd/>
        <w:spacing w:before="120" w:after="120"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 w:rsidRPr="00FB492C">
        <w:rPr>
          <w:rFonts w:ascii="Calibri" w:hAnsi="Calibri" w:cs="Calibri"/>
          <w:color w:val="13576B"/>
          <w:sz w:val="22"/>
          <w:szCs w:val="22"/>
        </w:rPr>
        <w:t>Praha, 1</w:t>
      </w:r>
      <w:r w:rsidR="0015278B">
        <w:rPr>
          <w:rFonts w:ascii="Calibri" w:hAnsi="Calibri" w:cs="Calibri"/>
          <w:color w:val="13576B"/>
          <w:sz w:val="22"/>
          <w:szCs w:val="22"/>
        </w:rPr>
        <w:t>4</w:t>
      </w:r>
      <w:r w:rsidRPr="00FB492C">
        <w:rPr>
          <w:rFonts w:ascii="Calibri" w:hAnsi="Calibri" w:cs="Calibri"/>
          <w:color w:val="13576B"/>
          <w:sz w:val="22"/>
          <w:szCs w:val="22"/>
        </w:rPr>
        <w:t xml:space="preserve">. </w:t>
      </w:r>
      <w:r w:rsidR="0015278B">
        <w:rPr>
          <w:rFonts w:ascii="Calibri" w:hAnsi="Calibri" w:cs="Calibri"/>
          <w:color w:val="13576B"/>
          <w:sz w:val="22"/>
          <w:szCs w:val="22"/>
        </w:rPr>
        <w:t>srpna</w:t>
      </w:r>
      <w:r w:rsidRPr="00FB492C">
        <w:rPr>
          <w:rFonts w:ascii="Calibri" w:hAnsi="Calibri" w:cs="Calibri"/>
          <w:color w:val="13576B"/>
          <w:sz w:val="22"/>
          <w:szCs w:val="22"/>
        </w:rPr>
        <w:t xml:space="preserve"> </w:t>
      </w:r>
      <w:r w:rsidR="00FC08D8" w:rsidRPr="00FB492C">
        <w:rPr>
          <w:rFonts w:ascii="Calibri" w:hAnsi="Calibri" w:cs="Calibri"/>
          <w:color w:val="13576B"/>
          <w:sz w:val="22"/>
          <w:szCs w:val="22"/>
        </w:rPr>
        <w:t>2025</w:t>
      </w:r>
      <w:r w:rsidR="00FC08D8" w:rsidRPr="00FC08D8">
        <w:rPr>
          <w:rFonts w:ascii="Calibri" w:hAnsi="Calibri" w:cs="Calibri"/>
          <w:color w:val="13576B"/>
          <w:sz w:val="22"/>
          <w:szCs w:val="22"/>
        </w:rPr>
        <w:t>–</w:t>
      </w:r>
      <w:r w:rsidR="00FC08D8" w:rsidRPr="007967E6">
        <w:rPr>
          <w:rFonts w:ascii="Calibri" w:hAnsi="Calibri" w:cs="Calibri"/>
          <w:b/>
          <w:bCs/>
          <w:color w:val="13576B"/>
          <w:sz w:val="22"/>
          <w:szCs w:val="22"/>
        </w:rPr>
        <w:t>V</w:t>
      </w:r>
      <w:r w:rsidR="00E924A8" w:rsidRP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 červenci 2025 poskytly banky a stavební spořitelny nové hypotéky za 30 miliardy Kč. Od začátku roku je to celkem 180 miliard korun, tedy o 60 miliard více než před rokem</w:t>
      </w:r>
      <w:r w:rsidR="005545FE" w:rsidRP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 (minulý měsíc to bylo meziročně o 50 miliard více)</w:t>
      </w:r>
      <w:r w:rsidR="00E924A8" w:rsidRP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. </w:t>
      </w:r>
      <w:r w:rsidR="005545FE" w:rsidRP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K tomu se přidal pokračující silný počet nových hypoték okolo 7 tisíc. Toto nejsou sezónou tažená čísla, ale </w:t>
      </w:r>
      <w:r w:rsid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vypadá to na </w:t>
      </w:r>
      <w:r w:rsidR="005545FE" w:rsidRPr="00024480">
        <w:rPr>
          <w:rFonts w:ascii="Calibri" w:hAnsi="Calibri" w:cs="Calibri"/>
          <w:b/>
          <w:bCs/>
          <w:color w:val="13576B"/>
          <w:sz w:val="22"/>
          <w:szCs w:val="22"/>
        </w:rPr>
        <w:t>silnou hypoteční aktivitu</w:t>
      </w:r>
      <w:r w:rsid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, která může odrážet kombinaci dalšího mírného poklesu hypoteční sazby na 4,53 % ve </w:t>
      </w:r>
      <w:r w:rsidR="00024480" w:rsidRPr="00024480">
        <w:rPr>
          <w:rFonts w:ascii="Calibri" w:hAnsi="Calibri" w:cs="Calibri"/>
          <w:b/>
          <w:bCs/>
          <w:color w:val="13576B"/>
          <w:sz w:val="22"/>
          <w:szCs w:val="22"/>
        </w:rPr>
        <w:t>spojení s obavami z jejího možného budoucího růstu kvůli vyšším tržním úrokovým sazbám.</w:t>
      </w:r>
      <w:r w:rsidR="003315E9" w:rsidRP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 Pokud data očistíme o vliv sezóny, tak se objem nových hypoték</w:t>
      </w:r>
      <w:r w:rsidR="005545FE" w:rsidRP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 vyšvihl přes 29 miliard korun</w:t>
      </w:r>
      <w:r w:rsidR="003315E9" w:rsidRPr="00024480">
        <w:rPr>
          <w:rFonts w:ascii="Calibri" w:hAnsi="Calibri" w:cs="Calibri"/>
          <w:b/>
          <w:bCs/>
          <w:color w:val="13576B"/>
          <w:sz w:val="22"/>
          <w:szCs w:val="22"/>
        </w:rPr>
        <w:t>. Takovéto objemy jsme zažily okolo druhé poloviny roku 2021, zatímco sedmitisícové počty žádostí v průběhu roku</w:t>
      </w:r>
      <w:r w:rsid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3315E9" w:rsidRP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2020. </w:t>
      </w:r>
    </w:p>
    <w:p w14:paraId="023CFA40" w14:textId="77777777" w:rsidR="00425883" w:rsidRDefault="00024480" w:rsidP="00425883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>
        <w:rPr>
          <w:rFonts w:ascii="Calibri" w:hAnsi="Calibri" w:cs="Calibri"/>
          <w:b/>
          <w:bCs/>
          <w:color w:val="13576B"/>
          <w:sz w:val="22"/>
          <w:szCs w:val="22"/>
        </w:rPr>
        <w:t xml:space="preserve">Riziko možného růstu hypoteční sazby </w:t>
      </w:r>
      <w:r w:rsidR="00425883">
        <w:rPr>
          <w:rFonts w:ascii="Calibri" w:hAnsi="Calibri" w:cs="Calibri"/>
          <w:b/>
          <w:bCs/>
          <w:color w:val="13576B"/>
          <w:sz w:val="22"/>
          <w:szCs w:val="22"/>
        </w:rPr>
        <w:t>ve spojení s mírnější poptávkou po hypotékách reflektujeme i v našem výhledu, kde nyní předpokládáme budoucí dynamiky z května a června. Tedy p</w:t>
      </w:r>
      <w:r w:rsidRP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okud hypotéky udrží dynamiku z předcházejících dvou měsíců, pak by mohl objem nových hypoték bez refinancování v roce 2025 dosáhnout úrovně 297 miliard Kč, +30 % v porovnání s loňskem. To je lepší odhad než před měsícem (+2,4 %) </w:t>
      </w:r>
      <w:r w:rsidR="00425883">
        <w:rPr>
          <w:rFonts w:ascii="Calibri" w:hAnsi="Calibri" w:cs="Calibri"/>
          <w:b/>
          <w:bCs/>
          <w:color w:val="13576B"/>
          <w:sz w:val="22"/>
          <w:szCs w:val="22"/>
        </w:rPr>
        <w:t>či z předchozích tř</w:t>
      </w:r>
      <w:r w:rsidRPr="00024480">
        <w:rPr>
          <w:rFonts w:ascii="Calibri" w:hAnsi="Calibri" w:cs="Calibri"/>
          <w:b/>
          <w:bCs/>
          <w:color w:val="13576B"/>
          <w:sz w:val="22"/>
          <w:szCs w:val="22"/>
        </w:rPr>
        <w:t xml:space="preserve">í měsíců (293 mld. korun). To je doprovázeno nepatrně lepším odhadem počtu nových hypoték v letošním roce na úrovni 72,2 tisíc, což je poblíž průměrného odhadu ročního výsledku z předcházejících tří měsíců (72 tisíc kusů). </w:t>
      </w:r>
    </w:p>
    <w:p w14:paraId="0C1BFD4A" w14:textId="17789EA6" w:rsidR="00425883" w:rsidRDefault="00425883" w:rsidP="00425883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 w:rsidRPr="00425883">
        <w:rPr>
          <w:rFonts w:ascii="Calibri" w:hAnsi="Calibri" w:cs="Calibri"/>
          <w:b/>
          <w:bCs/>
          <w:color w:val="13576B"/>
          <w:sz w:val="22"/>
          <w:szCs w:val="22"/>
        </w:rPr>
        <w:t xml:space="preserve">Meziroční pokles hypoteční sazby o </w:t>
      </w:r>
      <w:proofErr w:type="gramStart"/>
      <w:r w:rsidRPr="00425883">
        <w:rPr>
          <w:rFonts w:ascii="Calibri" w:hAnsi="Calibri" w:cs="Calibri"/>
          <w:b/>
          <w:bCs/>
          <w:color w:val="13576B"/>
          <w:sz w:val="22"/>
          <w:szCs w:val="22"/>
        </w:rPr>
        <w:t>0,54%</w:t>
      </w:r>
      <w:proofErr w:type="gramEnd"/>
      <w:r w:rsidRPr="00425883">
        <w:rPr>
          <w:rFonts w:ascii="Calibri" w:hAnsi="Calibri" w:cs="Calibri"/>
          <w:b/>
          <w:bCs/>
          <w:color w:val="13576B"/>
          <w:sz w:val="22"/>
          <w:szCs w:val="22"/>
        </w:rPr>
        <w:t xml:space="preserve"> bodu snižuje měsíční splátky přibližně o téměř 1,4 tis. Kč, tedy o 1,5 % čistého příjmu žadatele o hypotéku. Ovšem průměrná velikost nově poskytnuté hypotéky v červenci dále stoupla na 4,28 milionu korun, což meziročně zvedlo průměrnou měsíční splátku téměř o 2,8 tis. Kč, tedy přibližně o 2,9 % příjmu žadatele.</w:t>
      </w:r>
    </w:p>
    <w:p w14:paraId="0E412D06" w14:textId="096B05B3" w:rsidR="00024480" w:rsidRPr="00024480" w:rsidRDefault="00024480" w:rsidP="00425883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 w:rsidRPr="00024480">
        <w:rPr>
          <w:rFonts w:ascii="Calibri" w:hAnsi="Calibri" w:cs="Calibri"/>
          <w:b/>
          <w:bCs/>
          <w:color w:val="13576B"/>
          <w:sz w:val="22"/>
          <w:szCs w:val="22"/>
        </w:rPr>
        <w:t>Uvedené informace plynou z údajů ČBA Hypomonitoru, který zachycuje data všech tuzemských bank a stavebních spořitelen poskytujících hypoteční úvěry.</w:t>
      </w:r>
    </w:p>
    <w:p w14:paraId="1D11EFE6" w14:textId="3E051CAB" w:rsidR="00DB2CB5" w:rsidRDefault="00425883" w:rsidP="00425883">
      <w:pPr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b/>
          <w:bCs/>
          <w:color w:val="13576B"/>
          <w:sz w:val="22"/>
          <w:szCs w:val="22"/>
        </w:rPr>
      </w:pPr>
      <w:r>
        <w:rPr>
          <w:rFonts w:ascii="Calibri" w:hAnsi="Calibri" w:cs="Calibri"/>
          <w:b/>
          <w:bCs/>
          <w:color w:val="13576B"/>
          <w:sz w:val="22"/>
          <w:szCs w:val="22"/>
        </w:rPr>
        <w:t>R</w:t>
      </w:r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 xml:space="preserve">eakce centrální banky na silnější červencová data bude záviset na </w:t>
      </w:r>
      <w:r>
        <w:rPr>
          <w:rFonts w:ascii="Calibri" w:hAnsi="Calibri" w:cs="Calibri"/>
          <w:b/>
          <w:bCs/>
          <w:color w:val="13576B"/>
          <w:sz w:val="22"/>
          <w:szCs w:val="22"/>
        </w:rPr>
        <w:t>budoucí</w:t>
      </w:r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 xml:space="preserve"> trajektori</w:t>
      </w:r>
      <w:r>
        <w:rPr>
          <w:rFonts w:ascii="Calibri" w:hAnsi="Calibri" w:cs="Calibri"/>
          <w:b/>
          <w:bCs/>
          <w:color w:val="13576B"/>
          <w:sz w:val="22"/>
          <w:szCs w:val="22"/>
        </w:rPr>
        <w:t>i</w:t>
      </w:r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 xml:space="preserve"> počtu nových hypoték</w:t>
      </w:r>
      <w:r>
        <w:rPr>
          <w:rFonts w:ascii="Calibri" w:hAnsi="Calibri" w:cs="Calibri"/>
          <w:b/>
          <w:bCs/>
          <w:color w:val="13576B"/>
          <w:sz w:val="22"/>
          <w:szCs w:val="22"/>
        </w:rPr>
        <w:t>, tedy zda</w:t>
      </w:r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 xml:space="preserve"> bude následovat rok 2020 či 2024 (viz graf vpravo dole ve statistické příloze níže). Trajektorie roku 2020</w:t>
      </w:r>
      <w:r w:rsidR="00BA280D">
        <w:rPr>
          <w:rFonts w:ascii="Calibri" w:hAnsi="Calibri" w:cs="Calibri"/>
          <w:b/>
          <w:bCs/>
          <w:color w:val="13576B"/>
          <w:sz w:val="22"/>
          <w:szCs w:val="22"/>
        </w:rPr>
        <w:t xml:space="preserve"> s počty nových hypoték přes 7 500 měsíčně by </w:t>
      </w:r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>pravděpodobně</w:t>
      </w:r>
      <w:r w:rsidR="00BA280D">
        <w:rPr>
          <w:rFonts w:ascii="Calibri" w:hAnsi="Calibri" w:cs="Calibri"/>
          <w:b/>
          <w:bCs/>
          <w:color w:val="13576B"/>
          <w:sz w:val="22"/>
          <w:szCs w:val="22"/>
        </w:rPr>
        <w:t xml:space="preserve"> </w:t>
      </w:r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 xml:space="preserve">v bankovní radě </w:t>
      </w:r>
      <w:r w:rsidR="00BA280D">
        <w:rPr>
          <w:rFonts w:ascii="Calibri" w:hAnsi="Calibri" w:cs="Calibri"/>
          <w:b/>
          <w:bCs/>
          <w:color w:val="13576B"/>
          <w:sz w:val="22"/>
          <w:szCs w:val="22"/>
        </w:rPr>
        <w:t xml:space="preserve">zintenzivnila </w:t>
      </w:r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 xml:space="preserve">debatu o zpřísnění úrokové (zasedání 25. září) či </w:t>
      </w:r>
      <w:proofErr w:type="spellStart"/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>makroobezřetnostní</w:t>
      </w:r>
      <w:proofErr w:type="spellEnd"/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 xml:space="preserve"> politiky (zasedání 11. září)</w:t>
      </w:r>
      <w:r>
        <w:rPr>
          <w:rFonts w:ascii="Calibri" w:hAnsi="Calibri" w:cs="Calibri"/>
          <w:b/>
          <w:bCs/>
          <w:color w:val="13576B"/>
          <w:sz w:val="22"/>
          <w:szCs w:val="22"/>
        </w:rPr>
        <w:t>. Z</w:t>
      </w:r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>atímco trajektorie roku 2024</w:t>
      </w:r>
      <w:r w:rsidR="00BA280D">
        <w:rPr>
          <w:rFonts w:ascii="Calibri" w:hAnsi="Calibri" w:cs="Calibri"/>
          <w:b/>
          <w:bCs/>
          <w:color w:val="13576B"/>
          <w:sz w:val="22"/>
          <w:szCs w:val="22"/>
        </w:rPr>
        <w:t>, tj. stabilizace kolem šesti tisíc</w:t>
      </w:r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 xml:space="preserve"> ve druhém letošní</w:t>
      </w:r>
      <w:r w:rsidR="00BA280D">
        <w:rPr>
          <w:rFonts w:ascii="Calibri" w:hAnsi="Calibri" w:cs="Calibri"/>
          <w:b/>
          <w:bCs/>
          <w:color w:val="13576B"/>
          <w:sz w:val="22"/>
          <w:szCs w:val="22"/>
        </w:rPr>
        <w:t>m</w:t>
      </w:r>
      <w:r w:rsidR="00F50DD0">
        <w:rPr>
          <w:rFonts w:ascii="Calibri" w:hAnsi="Calibri" w:cs="Calibri"/>
          <w:b/>
          <w:bCs/>
          <w:color w:val="13576B"/>
          <w:sz w:val="22"/>
          <w:szCs w:val="22"/>
        </w:rPr>
        <w:t xml:space="preserve"> pololetí by udržela současný přístup vyčkávání. </w:t>
      </w:r>
    </w:p>
    <w:p w14:paraId="4A7C2A28" w14:textId="77777777" w:rsidR="00425883" w:rsidRPr="002B35B7" w:rsidRDefault="00425883" w:rsidP="00425883">
      <w:pPr>
        <w:spacing w:before="240" w:after="120"/>
        <w:rPr>
          <w:rFonts w:ascii="Calibri" w:hAnsi="Calibri" w:cs="Calibri"/>
          <w:b/>
          <w:color w:val="13576B"/>
          <w:sz w:val="23"/>
          <w:szCs w:val="23"/>
        </w:rPr>
      </w:pPr>
      <w:r w:rsidRPr="003F159E">
        <w:rPr>
          <w:rFonts w:ascii="Calibri" w:hAnsi="Calibri" w:cs="Calibri"/>
          <w:b/>
          <w:color w:val="13576B"/>
          <w:sz w:val="23"/>
          <w:szCs w:val="23"/>
        </w:rPr>
        <w:t xml:space="preserve">Tabulka č. 1: Shrnutí objemu poskytnutých hypoték a průměrných úrokových sazeb za </w:t>
      </w:r>
      <w:r>
        <w:rPr>
          <w:rFonts w:ascii="Calibri" w:hAnsi="Calibri" w:cs="Calibri"/>
          <w:b/>
          <w:color w:val="13576B"/>
          <w:sz w:val="23"/>
          <w:szCs w:val="23"/>
        </w:rPr>
        <w:t>červenec 2025 a za dosavadní průběh letošního roku</w:t>
      </w:r>
    </w:p>
    <w:tbl>
      <w:tblPr>
        <w:tblW w:w="9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102"/>
        <w:gridCol w:w="960"/>
        <w:gridCol w:w="960"/>
        <w:gridCol w:w="242"/>
        <w:gridCol w:w="993"/>
        <w:gridCol w:w="850"/>
        <w:gridCol w:w="916"/>
      </w:tblGrid>
      <w:tr w:rsidR="00425883" w:rsidRPr="002138C0" w14:paraId="02897C33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6A0B8A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374959CA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měsíční hodnoty</w:t>
            </w:r>
          </w:p>
        </w:tc>
        <w:tc>
          <w:tcPr>
            <w:tcW w:w="242" w:type="dxa"/>
            <w:tcBorders>
              <w:top w:val="nil"/>
              <w:right w:val="nil"/>
            </w:tcBorders>
            <w:vAlign w:val="bottom"/>
          </w:tcPr>
          <w:p w14:paraId="14067E1E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5820EF4F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t>hodnoty od začátku roku</w:t>
            </w:r>
          </w:p>
        </w:tc>
      </w:tr>
      <w:tr w:rsidR="00425883" w:rsidRPr="002138C0" w14:paraId="4890C229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E637A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D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 w:val="restart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B2CF1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Objem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006D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60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6A53E93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Sazba</w:t>
            </w:r>
            <w:r w:rsidRPr="00072DB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 xml:space="preserve"> (%)</w:t>
            </w:r>
          </w:p>
        </w:tc>
        <w:tc>
          <w:tcPr>
            <w:tcW w:w="242" w:type="dxa"/>
            <w:tcBorders>
              <w:left w:val="nil"/>
              <w:right w:val="nil"/>
            </w:tcBorders>
            <w:vAlign w:val="bottom"/>
          </w:tcPr>
          <w:p w14:paraId="2C5E5350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9AEE999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t>Objem</w:t>
            </w: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45BA4" w14:textId="77777777" w:rsidR="00425883" w:rsidRPr="00A06A94" w:rsidRDefault="00425883" w:rsidP="003E009F">
            <w:pPr>
              <w:overflowPunct/>
              <w:autoSpaceDE/>
              <w:autoSpaceDN/>
              <w:adjustRightInd/>
              <w:ind w:left="-73" w:firstLine="73"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bottom"/>
          </w:tcPr>
          <w:p w14:paraId="077C59E1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t>Sazba</w:t>
            </w:r>
            <w:r w:rsidRPr="00A06A94"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  <w:br/>
              <w:t xml:space="preserve"> (%)</w:t>
            </w:r>
          </w:p>
        </w:tc>
      </w:tr>
      <w:tr w:rsidR="00425883" w:rsidRPr="002138C0" w14:paraId="58F15C0C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58C49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D437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1A06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901C11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14:paraId="3D918162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1D51D7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9524A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36A8A9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i/>
                <w:iCs/>
                <w:color w:val="13576B"/>
                <w:sz w:val="22"/>
                <w:szCs w:val="22"/>
              </w:rPr>
            </w:pPr>
          </w:p>
        </w:tc>
      </w:tr>
      <w:tr w:rsidR="00425883" w:rsidRPr="002138C0" w14:paraId="0D319709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50D8E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C838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ED8B2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9 188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EC0207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4,52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bottom"/>
          </w:tcPr>
          <w:p w14:paraId="48168675" w14:textId="77777777" w:rsidR="00425883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0E06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222,2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3B5A7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55 918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8C875B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4,62</w:t>
            </w:r>
          </w:p>
        </w:tc>
      </w:tr>
      <w:tr w:rsidR="00425883" w:rsidRPr="002138C0" w14:paraId="4CCF9803" w14:textId="77777777" w:rsidTr="003E009F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bottom"/>
            <w:hideMark/>
          </w:tcPr>
          <w:p w14:paraId="427BFA1A" w14:textId="77777777" w:rsidR="00425883" w:rsidRPr="00072DB9" w:rsidRDefault="00425883" w:rsidP="003E009F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Nové úvěry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29369C60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2F19DC0D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6 996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center"/>
            <w:hideMark/>
          </w:tcPr>
          <w:p w14:paraId="0E1BBC03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4,53</w:t>
            </w: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bottom"/>
          </w:tcPr>
          <w:p w14:paraId="59087809" w14:textId="77777777" w:rsidR="00425883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vAlign w:val="center"/>
          </w:tcPr>
          <w:p w14:paraId="34F1CCE8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808080"/>
                <w:sz w:val="22"/>
                <w:szCs w:val="22"/>
              </w:rPr>
              <w:t>179,6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AF3EA" w:fill="C1F7E9"/>
            <w:vAlign w:val="center"/>
          </w:tcPr>
          <w:p w14:paraId="3B4EBFBE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808080"/>
                <w:sz w:val="22"/>
                <w:szCs w:val="22"/>
              </w:rPr>
              <w:t>43 651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solid" w:color="DAF3EA" w:fill="C1F7E9"/>
            <w:vAlign w:val="center"/>
          </w:tcPr>
          <w:p w14:paraId="571E9F3C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808080"/>
                <w:sz w:val="22"/>
                <w:szCs w:val="22"/>
              </w:rPr>
              <w:t>4,63</w:t>
            </w:r>
          </w:p>
        </w:tc>
      </w:tr>
      <w:tr w:rsidR="00425883" w:rsidRPr="002138C0" w14:paraId="7681A9A0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956A" w14:textId="77777777" w:rsidR="00425883" w:rsidRPr="00072DB9" w:rsidRDefault="00425883" w:rsidP="003E009F">
            <w:pPr>
              <w:overflowPunct/>
              <w:autoSpaceDE/>
              <w:autoSpaceDN/>
              <w:adjustRightInd/>
              <w:ind w:firstLineChars="200" w:firstLine="44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BD3AE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4A1B0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BB0DB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CAC2F" w14:textId="77777777" w:rsidR="00425883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964CC2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0B8577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20C2204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 </w:t>
            </w:r>
          </w:p>
        </w:tc>
      </w:tr>
      <w:tr w:rsidR="00425883" w:rsidRPr="002138C0" w14:paraId="044C41DA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5457A" w14:textId="77777777" w:rsidR="00425883" w:rsidRPr="00072DB9" w:rsidRDefault="00425883" w:rsidP="003E009F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koupi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737F4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754B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5 494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27610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5060" w14:textId="77777777" w:rsidR="00425883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F069C9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143,3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1727F9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34 158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8656123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4,63</w:t>
            </w:r>
          </w:p>
        </w:tc>
      </w:tr>
      <w:tr w:rsidR="00425883" w:rsidRPr="002138C0" w14:paraId="2F24DA4A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FC44" w14:textId="77777777" w:rsidR="00425883" w:rsidRPr="00072DB9" w:rsidRDefault="00425883" w:rsidP="003E009F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výstavbu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C61F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7232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1 059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AC752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4,49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88DB" w14:textId="77777777" w:rsidR="00425883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D7FAE5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C10C04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6 907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3F6D3B8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4,59</w:t>
            </w:r>
          </w:p>
        </w:tc>
      </w:tr>
      <w:tr w:rsidR="00425883" w:rsidRPr="002138C0" w14:paraId="6C466F00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71550" w14:textId="77777777" w:rsidR="00425883" w:rsidRPr="00072DB9" w:rsidRDefault="00425883" w:rsidP="003E009F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5C07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C5AB3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A05CEB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bottom"/>
          </w:tcPr>
          <w:p w14:paraId="6B197FAE" w14:textId="77777777" w:rsidR="00425883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2E05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660BD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2 586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DA1437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4,83</w:t>
            </w:r>
          </w:p>
        </w:tc>
      </w:tr>
      <w:tr w:rsidR="00425883" w:rsidRPr="002138C0" w14:paraId="12035089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D37ED" w14:textId="77777777" w:rsidR="00425883" w:rsidRPr="00072DB9" w:rsidRDefault="00425883" w:rsidP="003E009F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z jiné instituce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772B7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945F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1 835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60DBB2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4,49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bottom"/>
          </w:tcPr>
          <w:p w14:paraId="70D93E09" w14:textId="77777777" w:rsidR="00425883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E192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34,4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37315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10 033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D2CCAF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4,59</w:t>
            </w:r>
          </w:p>
        </w:tc>
      </w:tr>
      <w:tr w:rsidR="00425883" w:rsidRPr="002138C0" w14:paraId="01014CF0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54E05" w14:textId="77777777" w:rsidR="00425883" w:rsidRPr="00072DB9" w:rsidRDefault="00425883" w:rsidP="003E009F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interně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, navýšené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EDCC6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724A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F58356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4,55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bottom"/>
          </w:tcPr>
          <w:p w14:paraId="05BC36DD" w14:textId="77777777" w:rsidR="00425883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16DBD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BC102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2 234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9818EE" w14:textId="77777777" w:rsidR="00425883" w:rsidRPr="00A06A94" w:rsidRDefault="00425883" w:rsidP="003E00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808080"/>
                <w:sz w:val="22"/>
                <w:szCs w:val="22"/>
              </w:rPr>
              <w:t>4,58</w:t>
            </w:r>
          </w:p>
        </w:tc>
      </w:tr>
      <w:tr w:rsidR="00425883" w:rsidRPr="002138C0" w14:paraId="6F1DAD0F" w14:textId="77777777" w:rsidTr="003E009F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14AF0" w14:textId="77777777" w:rsidR="00425883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 w:rsidRPr="00072DB9">
              <w:rPr>
                <w:rFonts w:ascii="Calibri Light" w:hAnsi="Calibri Light" w:cs="Calibri Light"/>
                <w:color w:val="13576B"/>
                <w:sz w:val="20"/>
              </w:rPr>
              <w:t xml:space="preserve">Pramen: ČBA </w:t>
            </w:r>
            <w:proofErr w:type="spellStart"/>
            <w:r w:rsidRPr="00072DB9">
              <w:rPr>
                <w:rFonts w:ascii="Calibri Light" w:hAnsi="Calibri Light" w:cs="Calibri Light"/>
                <w:color w:val="13576B"/>
                <w:sz w:val="20"/>
              </w:rPr>
              <w:t>Hypomonitor</w:t>
            </w:r>
            <w:proofErr w:type="spellEnd"/>
          </w:p>
          <w:p w14:paraId="28D49210" w14:textId="77777777" w:rsidR="00425883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</w:p>
          <w:p w14:paraId="7DF4299E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D84A1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5D7DA" w14:textId="77777777" w:rsidR="00425883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  <w:p w14:paraId="6C3684FC" w14:textId="77777777" w:rsidR="00425883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029899A2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867D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072DB9">
              <w:rPr>
                <w:rFonts w:ascii="Calibri Light" w:hAnsi="Calibri Light" w:cs="Calibri Light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D162A73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6761BB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1D289D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ABD52C" w14:textId="77777777" w:rsidR="00425883" w:rsidRPr="00072DB9" w:rsidRDefault="00425883" w:rsidP="003E00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</w:tbl>
    <w:p w14:paraId="7B501680" w14:textId="77777777" w:rsidR="00425883" w:rsidRPr="00E924A8" w:rsidRDefault="00425883" w:rsidP="007967E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EE0000"/>
          <w:sz w:val="22"/>
          <w:szCs w:val="22"/>
        </w:rPr>
      </w:pPr>
    </w:p>
    <w:p w14:paraId="318142AF" w14:textId="0F49CD72" w:rsidR="00E924A8" w:rsidRDefault="00024480" w:rsidP="002B35B7">
      <w:pPr>
        <w:spacing w:before="240" w:after="120"/>
        <w:rPr>
          <w:rFonts w:ascii="Calibri" w:hAnsi="Calibri" w:cs="Calibri"/>
          <w:b/>
          <w:color w:val="13576B"/>
          <w:sz w:val="23"/>
          <w:szCs w:val="23"/>
        </w:rPr>
      </w:pPr>
      <w:r>
        <w:rPr>
          <w:noProof/>
        </w:rPr>
        <w:drawing>
          <wp:inline distT="0" distB="0" distL="0" distR="0" wp14:anchorId="74009F2C" wp14:editId="485A67F6">
            <wp:extent cx="6480810" cy="4993005"/>
            <wp:effectExtent l="0" t="0" r="0" b="0"/>
            <wp:docPr id="183001510" name="Picture 1" descr="A chart of numbers and graph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01510" name="Picture 1" descr="A chart of numbers and graph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Hlk111121228"/>
      <w:bookmarkStart w:id="3" w:name="_Hlk119308742"/>
      <w:r w:rsidR="00E924A8" w:rsidRPr="00E924A8">
        <w:rPr>
          <w:rFonts w:ascii="Calibri" w:hAnsi="Calibri" w:cs="Calibri"/>
          <w:b/>
          <w:color w:val="13576B"/>
          <w:sz w:val="23"/>
          <w:szCs w:val="23"/>
        </w:rPr>
        <w:t xml:space="preserve">Červenec </w:t>
      </w:r>
      <w:r w:rsidR="00C82FE1">
        <w:rPr>
          <w:rFonts w:ascii="Calibri" w:hAnsi="Calibri" w:cs="Calibri"/>
          <w:b/>
          <w:color w:val="13576B"/>
          <w:sz w:val="23"/>
          <w:szCs w:val="23"/>
        </w:rPr>
        <w:t xml:space="preserve">překvapil s pokračujícím silným objemem nových hypoték </w:t>
      </w:r>
    </w:p>
    <w:p w14:paraId="0C13A2A1" w14:textId="6427251A" w:rsidR="00E924A8" w:rsidRDefault="00E924A8" w:rsidP="002B35B7">
      <w:pPr>
        <w:spacing w:before="24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924A8">
        <w:rPr>
          <w:rFonts w:ascii="Calibri" w:hAnsi="Calibri" w:cs="Calibri"/>
          <w:b/>
          <w:bCs/>
          <w:color w:val="000000"/>
          <w:sz w:val="22"/>
          <w:szCs w:val="22"/>
        </w:rPr>
        <w:t xml:space="preserve">V červenci poskytly banky a stavební spořitelny skutečně nové hypoteční úvěry za 30 mld. Kč a k tomu klienti navíc refinancovali či navýšili své hypotéky v rozsahu 7,8 mld. Kč. </w:t>
      </w:r>
      <w:r w:rsidRPr="00E924A8">
        <w:rPr>
          <w:rFonts w:ascii="Calibri" w:hAnsi="Calibri" w:cs="Calibri"/>
          <w:color w:val="000000"/>
          <w:sz w:val="22"/>
          <w:szCs w:val="22"/>
        </w:rPr>
        <w:t xml:space="preserve">Po sezónní úpravě přinesla červencová čísla nových hypoték </w:t>
      </w:r>
      <w:r w:rsidR="00425883">
        <w:rPr>
          <w:rFonts w:ascii="Calibri" w:hAnsi="Calibri" w:cs="Calibri"/>
          <w:color w:val="000000"/>
          <w:sz w:val="22"/>
          <w:szCs w:val="22"/>
        </w:rPr>
        <w:t xml:space="preserve">silný </w:t>
      </w:r>
      <w:r w:rsidRPr="00E924A8">
        <w:rPr>
          <w:rFonts w:ascii="Calibri" w:hAnsi="Calibri" w:cs="Calibri"/>
          <w:color w:val="000000"/>
          <w:sz w:val="22"/>
          <w:szCs w:val="22"/>
        </w:rPr>
        <w:t xml:space="preserve">nárůst na přibližně 29,3 mld. Kč. To představuje 18,5% zlepšení ve srovnání s červnovými 24,7 mld. a zároveň se nachází nad průměrným objemem z předchozích tří měsíců (24,3 mld. Kč). Objem nově poskytnutých hypoték se v červenci dostal na přibližně o 77 % vyšší úroveň ve srovnání s první polovinou minulého roku. V meziročním vyjádření růst objemu poskytnutých hypoték v červenci opět zesílil na 53 % z červnových 39 % po </w:t>
      </w:r>
      <w:proofErr w:type="gramStart"/>
      <w:r w:rsidRPr="00E924A8">
        <w:rPr>
          <w:rFonts w:ascii="Calibri" w:hAnsi="Calibri" w:cs="Calibri"/>
          <w:color w:val="000000"/>
          <w:sz w:val="22"/>
          <w:szCs w:val="22"/>
        </w:rPr>
        <w:t>83%</w:t>
      </w:r>
      <w:proofErr w:type="gramEnd"/>
      <w:r w:rsidRPr="00E924A8">
        <w:rPr>
          <w:rFonts w:ascii="Calibri" w:hAnsi="Calibri" w:cs="Calibri"/>
          <w:color w:val="000000"/>
          <w:sz w:val="22"/>
          <w:szCs w:val="22"/>
        </w:rPr>
        <w:t xml:space="preserve"> meziročním nárůstu v minulém roce.</w:t>
      </w:r>
      <w:r w:rsidRPr="00E924A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FB45B18" w14:textId="1D5B3DEC" w:rsidR="00452B0E" w:rsidRPr="00CC5202" w:rsidRDefault="00452B0E" w:rsidP="00452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Calibri" w:hAnsi="Calibri" w:cs="Calibri"/>
          <w:i/>
          <w:iCs/>
          <w:sz w:val="22"/>
          <w:szCs w:val="22"/>
        </w:rPr>
      </w:pPr>
      <w:r w:rsidRPr="000A6121">
        <w:rPr>
          <w:rFonts w:ascii="Calibri" w:hAnsi="Calibri" w:cs="Calibri"/>
          <w:i/>
          <w:iCs/>
          <w:sz w:val="22"/>
          <w:szCs w:val="22"/>
        </w:rPr>
        <w:t>„</w:t>
      </w:r>
      <w:r w:rsidR="00CB2E9C" w:rsidRPr="000A6121">
        <w:rPr>
          <w:rFonts w:ascii="Calibri" w:hAnsi="Calibri" w:cs="Calibri"/>
          <w:i/>
          <w:iCs/>
          <w:sz w:val="22"/>
          <w:szCs w:val="22"/>
        </w:rPr>
        <w:t>Červencová hypoteční čísla jsem přepočítával natřikrát, jelikož překvapila výrazně nahoru, a to jak objemem, tak počty. Pravděpodobně se ve vyšší poptávce odrazilo riziko možného budoucího růstu hypotečních sazeb, což se později může odrazit v mírnějších číslech v následujících měsících</w:t>
      </w:r>
      <w:r w:rsidRPr="000A6121">
        <w:rPr>
          <w:rFonts w:ascii="Calibri" w:hAnsi="Calibri" w:cs="Calibri"/>
          <w:i/>
          <w:iCs/>
          <w:sz w:val="22"/>
          <w:szCs w:val="22"/>
        </w:rPr>
        <w:t xml:space="preserve">,“ </w:t>
      </w:r>
      <w:r w:rsidR="00CB2E9C" w:rsidRPr="000A6121">
        <w:rPr>
          <w:rFonts w:ascii="Calibri" w:hAnsi="Calibri" w:cs="Calibri"/>
          <w:sz w:val="22"/>
          <w:szCs w:val="22"/>
        </w:rPr>
        <w:t>domnívá se</w:t>
      </w:r>
      <w:r w:rsidR="00CB2E9C" w:rsidRPr="007F690B">
        <w:rPr>
          <w:rFonts w:ascii="Calibri" w:hAnsi="Calibri" w:cs="Calibri"/>
          <w:sz w:val="22"/>
          <w:szCs w:val="22"/>
        </w:rPr>
        <w:t xml:space="preserve"> </w:t>
      </w:r>
      <w:r w:rsidR="0017486D" w:rsidRPr="0017486D">
        <w:rPr>
          <w:rFonts w:ascii="Calibri" w:hAnsi="Calibri" w:cs="Calibri"/>
          <w:b/>
          <w:bCs/>
          <w:sz w:val="22"/>
          <w:szCs w:val="22"/>
        </w:rPr>
        <w:t>Jaromír Šindel, hlavní ekonom České bankovní asociace</w:t>
      </w:r>
      <w:r w:rsidR="00CB2E9C" w:rsidRPr="00E90CF0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0020488B" w:rsidRPr="00E90CF0">
        <w:rPr>
          <w:rFonts w:ascii="Calibri" w:eastAsia="Calibri" w:hAnsi="Calibri" w:cs="Calibri"/>
          <w:sz w:val="22"/>
          <w:szCs w:val="22"/>
        </w:rPr>
        <w:t xml:space="preserve"> </w:t>
      </w:r>
    </w:p>
    <w:p w14:paraId="090054AF" w14:textId="203F54FF" w:rsidR="00425883" w:rsidRPr="00541D7D" w:rsidRDefault="006228C3" w:rsidP="006228C3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Počet </w:t>
      </w:r>
      <w:r w:rsidR="0050674F">
        <w:rPr>
          <w:rFonts w:ascii="Calibri" w:hAnsi="Calibri" w:cs="Calibri"/>
          <w:b/>
          <w:bCs/>
          <w:color w:val="000000"/>
          <w:sz w:val="22"/>
          <w:szCs w:val="22"/>
        </w:rPr>
        <w:t xml:space="preserve">nových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hypoték </w:t>
      </w:r>
      <w:r w:rsidR="00425883">
        <w:rPr>
          <w:rFonts w:ascii="Calibri" w:hAnsi="Calibri" w:cs="Calibri"/>
          <w:b/>
          <w:bCs/>
          <w:color w:val="000000"/>
          <w:sz w:val="22"/>
          <w:szCs w:val="22"/>
        </w:rPr>
        <w:t>rovněž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vzrostl</w:t>
      </w:r>
      <w:r w:rsidR="00425883">
        <w:rPr>
          <w:rFonts w:ascii="Calibri" w:hAnsi="Calibri" w:cs="Calibri"/>
          <w:b/>
          <w:bCs/>
          <w:color w:val="000000"/>
          <w:sz w:val="22"/>
          <w:szCs w:val="22"/>
        </w:rPr>
        <w:t xml:space="preserve"> a </w:t>
      </w:r>
      <w:r w:rsidR="00E924A8">
        <w:rPr>
          <w:rFonts w:ascii="Calibri" w:hAnsi="Calibri" w:cs="Calibri"/>
          <w:b/>
          <w:bCs/>
          <w:color w:val="000000"/>
          <w:sz w:val="22"/>
          <w:szCs w:val="22"/>
        </w:rPr>
        <w:t xml:space="preserve">přibližuje se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úrovni </w:t>
      </w:r>
      <w:r w:rsidR="00E924A8">
        <w:rPr>
          <w:rFonts w:ascii="Calibri" w:hAnsi="Calibri" w:cs="Calibri"/>
          <w:b/>
          <w:bCs/>
          <w:color w:val="000000"/>
          <w:sz w:val="22"/>
          <w:szCs w:val="22"/>
        </w:rPr>
        <w:t xml:space="preserve">z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roku 2019. </w:t>
      </w:r>
      <w:r w:rsidR="00E924A8" w:rsidRPr="00E924A8">
        <w:rPr>
          <w:rFonts w:ascii="Calibri" w:hAnsi="Calibri" w:cs="Calibri"/>
          <w:color w:val="000000"/>
          <w:sz w:val="22"/>
          <w:szCs w:val="22"/>
        </w:rPr>
        <w:t xml:space="preserve">Počet nových hypoték v červenci narostl o 0,9 % meziměsíčně na 6 996 kusů, což je o 34 % více než před rokem. Odhadujeme, že po sezónním očištění se jejich počet pohybuje okolo 6 955, přibližně 17 % nad průměrným počtem (5 944) v předchozích třech měsících. Od počátku roku dosáhl počet nových hypoték 43,7 tisíc kusů (+31,5 % meziročně). </w:t>
      </w:r>
      <w:r w:rsidR="00425883" w:rsidRPr="00425883">
        <w:rPr>
          <w:rFonts w:ascii="Calibri" w:hAnsi="Calibri" w:cs="Calibri"/>
          <w:color w:val="000000"/>
          <w:sz w:val="22"/>
          <w:szCs w:val="22"/>
        </w:rPr>
        <w:t>Dynamika počtu nových hypoték v z předcházejících dvou měsíců implikuje jejich letošní nárůst na celkový počet okolo 72,2 tisíc, což by bylo téměř o 17 % více než v loňském roce a poblíž 72 tisícům z roku 2019.</w:t>
      </w:r>
    </w:p>
    <w:p w14:paraId="1A6B1796" w14:textId="01BDF9D8" w:rsidR="00893E0C" w:rsidRDefault="00893E0C" w:rsidP="00893E0C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277397">
        <w:rPr>
          <w:rFonts w:ascii="Calibri" w:hAnsi="Calibri" w:cs="Calibri"/>
          <w:b/>
          <w:color w:val="13576B"/>
          <w:sz w:val="23"/>
          <w:szCs w:val="23"/>
        </w:rPr>
        <w:t>1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: </w:t>
      </w:r>
      <w:r w:rsidR="00277397">
        <w:rPr>
          <w:rFonts w:ascii="Calibri" w:hAnsi="Calibri" w:cs="Calibri"/>
          <w:b/>
          <w:color w:val="13576B"/>
          <w:sz w:val="23"/>
          <w:szCs w:val="23"/>
        </w:rPr>
        <w:t xml:space="preserve">Nově </w:t>
      </w:r>
      <w:r w:rsidR="00277397" w:rsidRPr="00395026">
        <w:rPr>
          <w:rFonts w:ascii="Calibri" w:hAnsi="Calibri" w:cs="Calibri"/>
          <w:b/>
          <w:color w:val="13576B"/>
          <w:sz w:val="23"/>
          <w:szCs w:val="23"/>
        </w:rPr>
        <w:t>poskytnuté hypotéky bez refinancování</w:t>
      </w:r>
    </w:p>
    <w:p w14:paraId="61884703" w14:textId="0AA8B0B0" w:rsidR="00266ACC" w:rsidRDefault="00541D7D" w:rsidP="00237E0B">
      <w:pPr>
        <w:spacing w:before="120" w:after="120"/>
        <w:rPr>
          <w:rFonts w:ascii="Calibri" w:hAnsi="Calibri" w:cs="Calibri"/>
          <w:bCs/>
          <w:i/>
          <w:iCs/>
          <w:color w:val="13576B"/>
          <w:sz w:val="23"/>
          <w:szCs w:val="23"/>
        </w:rPr>
      </w:pP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V červenci 2025 poskytly banky a stavební spořitelny nové hypotéky za 30 miliardy Kč, tedy o 3 % více než v </w:t>
      </w:r>
      <w:r w:rsidRPr="000A6121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červnu. Po sezónní úpravě </w:t>
      </w:r>
      <w:r w:rsidR="009C38A8" w:rsidRPr="000A6121">
        <w:rPr>
          <w:rFonts w:ascii="Calibri" w:hAnsi="Calibri" w:cs="Calibri"/>
          <w:bCs/>
          <w:i/>
          <w:iCs/>
          <w:color w:val="13576B"/>
          <w:sz w:val="23"/>
          <w:szCs w:val="23"/>
        </w:rPr>
        <w:t>se objem meziměsíčně vyšvihl téměř o pětinu</w:t>
      </w:r>
      <w:r w:rsidRPr="000A6121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na 29,3 mld. Kč.</w:t>
      </w: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</w:t>
      </w: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ab/>
      </w: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ab/>
      </w: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ab/>
      </w: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ab/>
      </w: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ab/>
      </w: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ab/>
      </w: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ab/>
      </w: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ab/>
      </w:r>
      <w:r w:rsidRPr="00541D7D">
        <w:rPr>
          <w:rFonts w:ascii="Calibri" w:hAnsi="Calibri" w:cs="Calibri"/>
          <w:bCs/>
          <w:i/>
          <w:iCs/>
          <w:color w:val="13576B"/>
          <w:sz w:val="23"/>
          <w:szCs w:val="23"/>
        </w:rPr>
        <w:tab/>
      </w:r>
    </w:p>
    <w:p w14:paraId="4CCB83B3" w14:textId="3D8EBD87" w:rsidR="00893E0C" w:rsidRDefault="009F58F4" w:rsidP="00237E0B">
      <w:pPr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58F4">
        <w:rPr>
          <w:rFonts w:ascii="Calibri" w:hAnsi="Calibri" w:cs="Calibri"/>
          <w:b/>
          <w:bCs/>
          <w:noProof/>
          <w:color w:val="000000"/>
          <w:sz w:val="22"/>
          <w:szCs w:val="22"/>
        </w:rPr>
        <w:drawing>
          <wp:inline distT="0" distB="0" distL="0" distR="0" wp14:anchorId="3188D85A" wp14:editId="60F1F69D">
            <wp:extent cx="5897880" cy="3550920"/>
            <wp:effectExtent l="0" t="0" r="7620" b="0"/>
            <wp:docPr id="18154557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6E65" w14:textId="0C9E85D9" w:rsidR="00893E0C" w:rsidRDefault="00277397" w:rsidP="00237E0B">
      <w:pPr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77397">
        <w:rPr>
          <w:rFonts w:ascii="Calibri Light" w:hAnsi="Calibri Light" w:cs="Calibri Light"/>
          <w:color w:val="13576B"/>
          <w:sz w:val="20"/>
        </w:rPr>
        <w:t xml:space="preserve">Pramen: ČNB, ČBA </w:t>
      </w:r>
      <w:proofErr w:type="spellStart"/>
      <w:r w:rsidRPr="00277397">
        <w:rPr>
          <w:rFonts w:ascii="Calibri Light" w:hAnsi="Calibri Light" w:cs="Calibri Light"/>
          <w:color w:val="13576B"/>
          <w:sz w:val="20"/>
        </w:rPr>
        <w:t>Hypomonitor</w:t>
      </w:r>
      <w:proofErr w:type="spellEnd"/>
      <w:r w:rsidRPr="00277397">
        <w:rPr>
          <w:rFonts w:ascii="Calibri Light" w:hAnsi="Calibri Light" w:cs="Calibri Light"/>
          <w:color w:val="13576B"/>
          <w:sz w:val="20"/>
        </w:rPr>
        <w:t xml:space="preserve"> (před rokem 2020 jsou objemy ze statistiky ČNB).</w:t>
      </w:r>
    </w:p>
    <w:bookmarkEnd w:id="1"/>
    <w:bookmarkEnd w:id="2"/>
    <w:bookmarkEnd w:id="3"/>
    <w:p w14:paraId="337DBF9F" w14:textId="6D66FB24" w:rsidR="0020488B" w:rsidRDefault="00541D7D" w:rsidP="0020488B">
      <w:pPr>
        <w:rPr>
          <w:rFonts w:ascii="Calibri" w:hAnsi="Calibri" w:cs="Calibri"/>
          <w:color w:val="000000"/>
          <w:sz w:val="22"/>
          <w:szCs w:val="22"/>
        </w:rPr>
      </w:pPr>
      <w:r w:rsidRPr="00541D7D">
        <w:rPr>
          <w:rFonts w:ascii="Calibri" w:hAnsi="Calibri" w:cs="Calibri"/>
          <w:color w:val="000000"/>
          <w:sz w:val="22"/>
          <w:szCs w:val="22"/>
        </w:rPr>
        <w:t>Objem refinancovaných a navýšených úvěrů (interně či z jiné instituce) v červenci stoupl na 7,8 mld. Kč. To je</w:t>
      </w:r>
      <w:r w:rsidR="00425883">
        <w:rPr>
          <w:rFonts w:ascii="Calibri" w:hAnsi="Calibri" w:cs="Calibri"/>
          <w:color w:val="000000"/>
          <w:sz w:val="22"/>
          <w:szCs w:val="22"/>
        </w:rPr>
        <w:t xml:space="preserve"> téměř dvojnásobný objem ve srovnání s</w:t>
      </w:r>
      <w:r w:rsidRPr="00541D7D">
        <w:rPr>
          <w:rFonts w:ascii="Calibri" w:hAnsi="Calibri" w:cs="Calibri"/>
          <w:color w:val="000000"/>
          <w:sz w:val="22"/>
          <w:szCs w:val="22"/>
        </w:rPr>
        <w:t xml:space="preserve"> průměrný</w:t>
      </w:r>
      <w:r w:rsidR="00425883">
        <w:rPr>
          <w:rFonts w:ascii="Calibri" w:hAnsi="Calibri" w:cs="Calibri"/>
          <w:color w:val="000000"/>
          <w:sz w:val="22"/>
          <w:szCs w:val="22"/>
        </w:rPr>
        <w:t>mi</w:t>
      </w:r>
      <w:r w:rsidRPr="00541D7D">
        <w:rPr>
          <w:rFonts w:ascii="Calibri" w:hAnsi="Calibri" w:cs="Calibri"/>
          <w:color w:val="000000"/>
          <w:sz w:val="22"/>
          <w:szCs w:val="22"/>
        </w:rPr>
        <w:t xml:space="preserve"> 3,9 miliard</w:t>
      </w:r>
      <w:r w:rsidR="00A25215">
        <w:rPr>
          <w:rFonts w:ascii="Calibri" w:hAnsi="Calibri" w:cs="Calibri"/>
          <w:color w:val="000000"/>
          <w:sz w:val="22"/>
          <w:szCs w:val="22"/>
        </w:rPr>
        <w:t>ami</w:t>
      </w:r>
      <w:r w:rsidRPr="00541D7D">
        <w:rPr>
          <w:rFonts w:ascii="Calibri" w:hAnsi="Calibri" w:cs="Calibri"/>
          <w:color w:val="000000"/>
          <w:sz w:val="22"/>
          <w:szCs w:val="22"/>
        </w:rPr>
        <w:t xml:space="preserve"> refinancovaný</w:t>
      </w:r>
      <w:r w:rsidR="00A25215">
        <w:rPr>
          <w:rFonts w:ascii="Calibri" w:hAnsi="Calibri" w:cs="Calibri"/>
          <w:color w:val="000000"/>
          <w:sz w:val="22"/>
          <w:szCs w:val="22"/>
        </w:rPr>
        <w:t>mi</w:t>
      </w:r>
      <w:r w:rsidRPr="00541D7D">
        <w:rPr>
          <w:rFonts w:ascii="Calibri" w:hAnsi="Calibri" w:cs="Calibri"/>
          <w:color w:val="000000"/>
          <w:sz w:val="22"/>
          <w:szCs w:val="22"/>
        </w:rPr>
        <w:t xml:space="preserve"> v loňském roce. Podíl refinancovaných úvěrů na celkovém objemu poskytnutých hypoték pak lehce klesl na 20,6 %</w:t>
      </w:r>
      <w:r w:rsidR="00425883">
        <w:rPr>
          <w:rFonts w:ascii="Calibri" w:hAnsi="Calibri" w:cs="Calibri"/>
          <w:color w:val="000000"/>
          <w:sz w:val="22"/>
          <w:szCs w:val="22"/>
        </w:rPr>
        <w:t xml:space="preserve">. To je rovněž </w:t>
      </w:r>
      <w:r w:rsidRPr="00541D7D">
        <w:rPr>
          <w:rFonts w:ascii="Calibri" w:hAnsi="Calibri" w:cs="Calibri"/>
          <w:color w:val="000000"/>
          <w:sz w:val="22"/>
          <w:szCs w:val="22"/>
        </w:rPr>
        <w:t>nad loňským průměrem 16,9 %</w:t>
      </w:r>
      <w:r w:rsidR="00425883">
        <w:rPr>
          <w:rFonts w:ascii="Calibri" w:hAnsi="Calibri" w:cs="Calibri"/>
          <w:color w:val="000000"/>
          <w:sz w:val="22"/>
          <w:szCs w:val="22"/>
        </w:rPr>
        <w:t xml:space="preserve"> či nad</w:t>
      </w:r>
      <w:r w:rsidRPr="00541D7D">
        <w:rPr>
          <w:rFonts w:ascii="Calibri" w:hAnsi="Calibri" w:cs="Calibri"/>
          <w:color w:val="000000"/>
          <w:sz w:val="22"/>
          <w:szCs w:val="22"/>
        </w:rPr>
        <w:t xml:space="preserve"> 17,2% podílem z let 2022-2023, ovšem stále pod téměř 29% podílem z období 2020-2021, kdy domácnosti refinancovaly za hypoteční sazbu 2,14 %. V červenci 2025 se domácnosti refinancovaly za úrokovou sazbu 4,5 %, což je ovšem stále o výrazných </w:t>
      </w:r>
      <w:proofErr w:type="gramStart"/>
      <w:r w:rsidRPr="00541D7D">
        <w:rPr>
          <w:rFonts w:ascii="Calibri" w:hAnsi="Calibri" w:cs="Calibri"/>
          <w:color w:val="000000"/>
          <w:sz w:val="22"/>
          <w:szCs w:val="22"/>
        </w:rPr>
        <w:t>0,55%</w:t>
      </w:r>
      <w:proofErr w:type="gramEnd"/>
      <w:r w:rsidRPr="00541D7D">
        <w:rPr>
          <w:rFonts w:ascii="Calibri" w:hAnsi="Calibri" w:cs="Calibri"/>
          <w:color w:val="000000"/>
          <w:sz w:val="22"/>
          <w:szCs w:val="22"/>
        </w:rPr>
        <w:t xml:space="preserve"> bodu méně než 5,05 % před rokem.</w:t>
      </w:r>
    </w:p>
    <w:p w14:paraId="30B6542C" w14:textId="77777777" w:rsidR="00541D7D" w:rsidRPr="00F94C20" w:rsidRDefault="00541D7D" w:rsidP="0020488B">
      <w:pPr>
        <w:rPr>
          <w:rFonts w:ascii="Calibri" w:hAnsi="Calibri" w:cs="Calibri"/>
          <w:color w:val="FF0000"/>
          <w:sz w:val="22"/>
          <w:szCs w:val="22"/>
        </w:rPr>
      </w:pPr>
    </w:p>
    <w:p w14:paraId="7A2CF459" w14:textId="4E56FDA2" w:rsidR="0020488B" w:rsidRPr="006406FA" w:rsidRDefault="0020488B" w:rsidP="0064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Calibri" w:hAnsi="Calibri" w:cs="Calibri"/>
          <w:i/>
          <w:iCs/>
          <w:color w:val="EE0000"/>
          <w:sz w:val="22"/>
          <w:szCs w:val="22"/>
        </w:rPr>
      </w:pPr>
      <w:r w:rsidRPr="00C672B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„</w:t>
      </w:r>
      <w:r w:rsidR="006406FA" w:rsidRPr="006406F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V prvním měsíci prázdnin pozorujeme, že i přes období dovolených mírně roste hypoteční aktivita Čechů, a to jak v objemu, tak v počtu i průměrné výši poskytovaných hypoték. Příznivým signálem pro pokračování tohoto trendu směrem k zajištění vlastního bydlení je také mírný pokles úrokových sazeb</w:t>
      </w:r>
      <w:r w:rsidR="006406F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</w:t>
      </w:r>
      <w:r w:rsidRPr="006406F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“ </w:t>
      </w:r>
      <w:r w:rsidRPr="0020488B">
        <w:rPr>
          <w:rFonts w:ascii="Calibri" w:eastAsia="Calibri" w:hAnsi="Calibri" w:cs="Calibri"/>
          <w:color w:val="000000" w:themeColor="text1"/>
          <w:sz w:val="22"/>
          <w:szCs w:val="22"/>
        </w:rPr>
        <w:t>podotýká</w:t>
      </w: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6406FA" w:rsidRPr="006406FA">
        <w:rPr>
          <w:rFonts w:ascii="Calibri" w:hAnsi="Calibri" w:cs="Calibri"/>
          <w:b/>
          <w:bCs/>
          <w:sz w:val="22"/>
          <w:szCs w:val="22"/>
        </w:rPr>
        <w:t>Zde</w:t>
      </w:r>
      <w:r w:rsidR="006D1E26">
        <w:rPr>
          <w:rFonts w:ascii="Calibri" w:hAnsi="Calibri" w:cs="Calibri"/>
          <w:b/>
          <w:bCs/>
          <w:sz w:val="22"/>
          <w:szCs w:val="22"/>
        </w:rPr>
        <w:t>ň</w:t>
      </w:r>
      <w:r w:rsidR="006406FA" w:rsidRPr="006406FA">
        <w:rPr>
          <w:rFonts w:ascii="Calibri" w:hAnsi="Calibri" w:cs="Calibri"/>
          <w:b/>
          <w:bCs/>
          <w:sz w:val="22"/>
          <w:szCs w:val="22"/>
        </w:rPr>
        <w:t>ka Ková</w:t>
      </w:r>
      <w:r w:rsidR="006D1E26">
        <w:rPr>
          <w:rFonts w:ascii="Calibri" w:hAnsi="Calibri" w:cs="Calibri"/>
          <w:b/>
          <w:bCs/>
          <w:sz w:val="22"/>
          <w:szCs w:val="22"/>
        </w:rPr>
        <w:t>ř</w:t>
      </w:r>
      <w:r w:rsidR="006406FA" w:rsidRPr="006406FA">
        <w:rPr>
          <w:rFonts w:ascii="Calibri" w:hAnsi="Calibri" w:cs="Calibri"/>
          <w:b/>
          <w:bCs/>
          <w:sz w:val="22"/>
          <w:szCs w:val="22"/>
        </w:rPr>
        <w:t xml:space="preserve">ová, </w:t>
      </w:r>
      <w:r w:rsidR="006406FA">
        <w:rPr>
          <w:rFonts w:ascii="Calibri" w:hAnsi="Calibri" w:cs="Calibri"/>
          <w:b/>
          <w:bCs/>
          <w:sz w:val="22"/>
          <w:szCs w:val="22"/>
        </w:rPr>
        <w:t>m</w:t>
      </w:r>
      <w:r w:rsidR="006406FA" w:rsidRPr="006406FA">
        <w:rPr>
          <w:rFonts w:ascii="Calibri" w:hAnsi="Calibri" w:cs="Calibri"/>
          <w:b/>
          <w:bCs/>
          <w:sz w:val="22"/>
          <w:szCs w:val="22"/>
        </w:rPr>
        <w:t>anažer</w:t>
      </w:r>
      <w:r w:rsidR="006406FA">
        <w:rPr>
          <w:rFonts w:ascii="Calibri" w:hAnsi="Calibri" w:cs="Calibri"/>
          <w:b/>
          <w:bCs/>
          <w:sz w:val="22"/>
          <w:szCs w:val="22"/>
        </w:rPr>
        <w:t>ka</w:t>
      </w:r>
      <w:r w:rsidR="006406FA" w:rsidRPr="006406FA">
        <w:rPr>
          <w:rFonts w:ascii="Calibri" w:hAnsi="Calibri" w:cs="Calibri"/>
          <w:b/>
          <w:bCs/>
          <w:sz w:val="22"/>
          <w:szCs w:val="22"/>
        </w:rPr>
        <w:t xml:space="preserve"> Hypoték a </w:t>
      </w:r>
      <w:proofErr w:type="spellStart"/>
      <w:r w:rsidR="006406FA" w:rsidRPr="006406FA">
        <w:rPr>
          <w:rFonts w:ascii="Calibri" w:hAnsi="Calibri" w:cs="Calibri"/>
          <w:b/>
          <w:bCs/>
          <w:sz w:val="22"/>
          <w:szCs w:val="22"/>
        </w:rPr>
        <w:t>Microlending</w:t>
      </w:r>
      <w:proofErr w:type="spellEnd"/>
      <w:r w:rsidR="008404FF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="008404FF">
        <w:rPr>
          <w:rFonts w:ascii="Calibri" w:hAnsi="Calibri" w:cs="Calibri"/>
          <w:b/>
          <w:bCs/>
          <w:sz w:val="22"/>
          <w:szCs w:val="22"/>
        </w:rPr>
        <w:t>UniCredict</w:t>
      </w:r>
      <w:proofErr w:type="spellEnd"/>
      <w:r w:rsidR="008404FF">
        <w:rPr>
          <w:rFonts w:ascii="Calibri" w:hAnsi="Calibri" w:cs="Calibri"/>
          <w:b/>
          <w:bCs/>
          <w:sz w:val="22"/>
          <w:szCs w:val="22"/>
        </w:rPr>
        <w:t xml:space="preserve"> Bank</w:t>
      </w:r>
      <w:r>
        <w:rPr>
          <w:b/>
          <w:bCs/>
        </w:rPr>
        <w:t>.</w:t>
      </w:r>
    </w:p>
    <w:p w14:paraId="69247424" w14:textId="77777777" w:rsidR="0020488B" w:rsidRDefault="0020488B" w:rsidP="00F83C40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2040439F" w14:textId="2B951606" w:rsidR="00266ACC" w:rsidRDefault="00541D7D" w:rsidP="00F83C40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541D7D">
        <w:rPr>
          <w:rFonts w:ascii="Calibri" w:hAnsi="Calibri" w:cs="Calibri"/>
          <w:color w:val="000000"/>
          <w:sz w:val="22"/>
          <w:szCs w:val="22"/>
        </w:rPr>
        <w:lastRenderedPageBreak/>
        <w:t>Celkově tak banky a stavební spořitelny v červenci poskytly nové a refinancované hypotéky v objemu 37,8 mld. Kč, což je o 2,2 % více než před měsícem. Jejich celkový objem tak v letošním roce prozatím dosáhl 222 mld. Kč, což představuje 56% nárůst ve srovnání lednem až červencem předcházejícího roku.</w:t>
      </w:r>
    </w:p>
    <w:p w14:paraId="2CE9D6B7" w14:textId="77777777" w:rsidR="00541D7D" w:rsidRDefault="00541D7D" w:rsidP="00F83C40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5A1704D2" w14:textId="409EB757" w:rsidR="009A044E" w:rsidRDefault="009A044E" w:rsidP="009A044E">
      <w:pPr>
        <w:rPr>
          <w:rFonts w:ascii="Calibri" w:hAnsi="Calibri" w:cs="Calibri"/>
          <w:b/>
          <w:color w:val="13576B"/>
          <w:sz w:val="23"/>
          <w:szCs w:val="23"/>
        </w:rPr>
      </w:pPr>
      <w:r w:rsidRPr="008B048B">
        <w:rPr>
          <w:rFonts w:ascii="Calibri" w:hAnsi="Calibri" w:cs="Calibri"/>
          <w:b/>
          <w:color w:val="13576B"/>
          <w:sz w:val="23"/>
          <w:szCs w:val="23"/>
        </w:rPr>
        <w:t xml:space="preserve">Průměrná hypoteční sazba </w:t>
      </w:r>
      <w:r w:rsidR="00F625CA" w:rsidRPr="008B048B">
        <w:rPr>
          <w:rFonts w:ascii="Calibri" w:hAnsi="Calibri" w:cs="Calibri"/>
          <w:b/>
          <w:color w:val="13576B"/>
          <w:sz w:val="23"/>
          <w:szCs w:val="23"/>
        </w:rPr>
        <w:t>pokračuje v klesajícím trendu</w:t>
      </w:r>
      <w:r w:rsidR="00395026">
        <w:rPr>
          <w:rFonts w:ascii="Calibri" w:hAnsi="Calibri" w:cs="Calibri"/>
          <w:b/>
          <w:color w:val="13576B"/>
          <w:sz w:val="23"/>
          <w:szCs w:val="23"/>
        </w:rPr>
        <w:t>, a to na 4,</w:t>
      </w:r>
      <w:r w:rsidR="00266ACC">
        <w:rPr>
          <w:rFonts w:ascii="Calibri" w:hAnsi="Calibri" w:cs="Calibri"/>
          <w:b/>
          <w:color w:val="13576B"/>
          <w:sz w:val="23"/>
          <w:szCs w:val="23"/>
        </w:rPr>
        <w:t>5</w:t>
      </w:r>
      <w:r w:rsidR="00541D7D">
        <w:rPr>
          <w:rFonts w:ascii="Calibri" w:hAnsi="Calibri" w:cs="Calibri"/>
          <w:b/>
          <w:color w:val="13576B"/>
          <w:sz w:val="23"/>
          <w:szCs w:val="23"/>
        </w:rPr>
        <w:t>3</w:t>
      </w:r>
      <w:r w:rsidR="00395026">
        <w:rPr>
          <w:rFonts w:ascii="Calibri" w:hAnsi="Calibri" w:cs="Calibri"/>
          <w:b/>
          <w:color w:val="13576B"/>
          <w:sz w:val="23"/>
          <w:szCs w:val="23"/>
        </w:rPr>
        <w:t xml:space="preserve"> % v </w:t>
      </w:r>
      <w:r w:rsidR="00266ACC">
        <w:rPr>
          <w:rFonts w:ascii="Calibri" w:hAnsi="Calibri" w:cs="Calibri"/>
          <w:b/>
          <w:color w:val="13576B"/>
          <w:sz w:val="23"/>
          <w:szCs w:val="23"/>
        </w:rPr>
        <w:t>červ</w:t>
      </w:r>
      <w:r w:rsidR="00541D7D">
        <w:rPr>
          <w:rFonts w:ascii="Calibri" w:hAnsi="Calibri" w:cs="Calibri"/>
          <w:b/>
          <w:color w:val="13576B"/>
          <w:sz w:val="23"/>
          <w:szCs w:val="23"/>
        </w:rPr>
        <w:t>enci</w:t>
      </w:r>
    </w:p>
    <w:p w14:paraId="6B970EF6" w14:textId="050D6F9F" w:rsidR="008B048B" w:rsidRPr="008B048B" w:rsidRDefault="008B048B" w:rsidP="009A044E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3C328122" w14:textId="0459DDAB" w:rsidR="00541D7D" w:rsidRDefault="00541D7D" w:rsidP="00F625C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41D7D">
        <w:rPr>
          <w:rFonts w:ascii="Calibri" w:hAnsi="Calibri" w:cs="Calibri"/>
          <w:b/>
          <w:bCs/>
          <w:color w:val="000000"/>
          <w:sz w:val="22"/>
          <w:szCs w:val="22"/>
        </w:rPr>
        <w:t xml:space="preserve">Průměrná realizovaná úroková sazba u nových hypoték v červenci nepatrně dále klesla na 4,53 % z červnových 4,56 %. </w:t>
      </w:r>
      <w:r w:rsidRPr="00541D7D">
        <w:rPr>
          <w:rFonts w:ascii="Calibri" w:hAnsi="Calibri" w:cs="Calibri"/>
          <w:color w:val="000000"/>
          <w:sz w:val="22"/>
          <w:szCs w:val="22"/>
        </w:rPr>
        <w:t xml:space="preserve">Její snížení tak potvrzuje klesající trend pod 5 % naposledy zaznamenanými v červenci 2024. Její červencová úroveň je tak o </w:t>
      </w:r>
      <w:proofErr w:type="gramStart"/>
      <w:r w:rsidRPr="00541D7D">
        <w:rPr>
          <w:rFonts w:ascii="Calibri" w:hAnsi="Calibri" w:cs="Calibri"/>
          <w:color w:val="000000"/>
          <w:sz w:val="22"/>
          <w:szCs w:val="22"/>
        </w:rPr>
        <w:t>0,54%</w:t>
      </w:r>
      <w:proofErr w:type="gramEnd"/>
      <w:r w:rsidRPr="00541D7D">
        <w:rPr>
          <w:rFonts w:ascii="Calibri" w:hAnsi="Calibri" w:cs="Calibri"/>
          <w:color w:val="000000"/>
          <w:sz w:val="22"/>
          <w:szCs w:val="22"/>
        </w:rPr>
        <w:t xml:space="preserve"> bodu níže než 5,07% sazba před rokem, což snižuje měsíční splátky hypotéky přibližně o 1,5 % čistého příjmu žadatele, tedy o 1,4 tis. Kč. Pro srovnání průměrná hodnota hypoteční sazby v roce 2024 dosáhla 5,07 % v porovnání se sazbou 5,81 % v roce 2023.</w:t>
      </w:r>
    </w:p>
    <w:p w14:paraId="7B59B3DB" w14:textId="77777777" w:rsidR="00266ACC" w:rsidRDefault="00266ACC" w:rsidP="00F625CA">
      <w:pPr>
        <w:rPr>
          <w:rFonts w:ascii="Calibri" w:hAnsi="Calibri" w:cs="Calibri"/>
          <w:bCs/>
          <w:sz w:val="22"/>
          <w:szCs w:val="22"/>
        </w:rPr>
      </w:pPr>
    </w:p>
    <w:p w14:paraId="6492840A" w14:textId="49E7A20E" w:rsidR="005874B8" w:rsidRDefault="005874B8" w:rsidP="005874B8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2: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 Průměrná hypoteční sazba – nové obchody</w:t>
      </w:r>
    </w:p>
    <w:p w14:paraId="0F619A9F" w14:textId="2EC28F77" w:rsidR="0080372E" w:rsidRPr="0080372E" w:rsidRDefault="007222B0" w:rsidP="000B064D">
      <w:pPr>
        <w:rPr>
          <w:rFonts w:ascii="Calibri" w:hAnsi="Calibri" w:cs="Calibri"/>
          <w:bCs/>
          <w:i/>
          <w:iCs/>
          <w:color w:val="13576B"/>
          <w:sz w:val="23"/>
          <w:szCs w:val="23"/>
        </w:rPr>
      </w:pP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Červ</w:t>
      </w:r>
      <w:r w:rsid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encová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výše hypoteční sazby </w:t>
      </w:r>
      <w:r w:rsidR="00176DFC">
        <w:rPr>
          <w:rFonts w:ascii="Calibri" w:hAnsi="Calibri" w:cs="Calibri"/>
          <w:bCs/>
          <w:i/>
          <w:iCs/>
          <w:color w:val="13576B"/>
          <w:sz w:val="23"/>
          <w:szCs w:val="23"/>
        </w:rPr>
        <w:t>poklesla na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4,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5</w:t>
      </w:r>
      <w:r w:rsid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3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%</w:t>
      </w:r>
      <w:r w:rsid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s meziročním poklesem lehce nad 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>půl procentní</w:t>
      </w:r>
      <w:r w:rsid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m</w:t>
      </w:r>
      <w:r w:rsidR="0080372E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bo</w:t>
      </w:r>
      <w:r w:rsidR="000427B8">
        <w:rPr>
          <w:rFonts w:ascii="Calibri" w:hAnsi="Calibri" w:cs="Calibri"/>
          <w:bCs/>
          <w:i/>
          <w:iCs/>
          <w:color w:val="13576B"/>
          <w:sz w:val="23"/>
          <w:szCs w:val="23"/>
        </w:rPr>
        <w:t>d</w:t>
      </w:r>
      <w:r w:rsid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em</w:t>
      </w:r>
      <w:r w:rsidR="000427B8">
        <w:rPr>
          <w:rFonts w:ascii="Calibri" w:hAnsi="Calibri" w:cs="Calibri"/>
          <w:bCs/>
          <w:i/>
          <w:iCs/>
          <w:color w:val="13576B"/>
          <w:sz w:val="23"/>
          <w:szCs w:val="23"/>
        </w:rPr>
        <w:t>.</w:t>
      </w:r>
    </w:p>
    <w:p w14:paraId="29B8C373" w14:textId="1CDFCCAB" w:rsidR="007F690B" w:rsidRPr="002138C0" w:rsidRDefault="009F58F4" w:rsidP="005874B8">
      <w:pPr>
        <w:rPr>
          <w:rFonts w:ascii="Calibri" w:hAnsi="Calibri" w:cs="Calibri"/>
          <w:sz w:val="22"/>
          <w:szCs w:val="22"/>
          <w:highlight w:val="yellow"/>
        </w:rPr>
      </w:pPr>
      <w:r w:rsidRPr="009F58F4">
        <w:rPr>
          <w:rFonts w:ascii="Calibri" w:hAnsi="Calibri" w:cs="Calibri"/>
          <w:noProof/>
          <w:sz w:val="22"/>
          <w:szCs w:val="22"/>
          <w:highlight w:val="yellow"/>
        </w:rPr>
        <w:drawing>
          <wp:inline distT="0" distB="0" distL="0" distR="0" wp14:anchorId="29F22F5F" wp14:editId="0BB43EF4">
            <wp:extent cx="5158740" cy="3032760"/>
            <wp:effectExtent l="0" t="0" r="3810" b="0"/>
            <wp:docPr id="12355992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5F729" w14:textId="08370F86" w:rsidR="00691287" w:rsidRPr="00616069" w:rsidRDefault="00691287" w:rsidP="00691287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 w:rsidR="006F74BF"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 xml:space="preserve">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1FA0ABF" w14:textId="0D9D88DE" w:rsidR="005874B8" w:rsidRDefault="005874B8" w:rsidP="005874B8">
      <w:pPr>
        <w:rPr>
          <w:rFonts w:ascii="Calibri" w:hAnsi="Calibri" w:cs="Calibri"/>
          <w:sz w:val="22"/>
          <w:szCs w:val="22"/>
          <w:highlight w:val="yellow"/>
        </w:rPr>
      </w:pPr>
    </w:p>
    <w:p w14:paraId="6D208F56" w14:textId="0C024921" w:rsidR="00ED6C2D" w:rsidRDefault="00ED6C2D" w:rsidP="00ED6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4" w:name="_Hlk137652102"/>
      <w:r w:rsidRPr="00ED6C2D">
        <w:rPr>
          <w:rFonts w:ascii="Calibri" w:hAnsi="Calibri" w:cs="Calibri"/>
          <w:i/>
          <w:iCs/>
          <w:color w:val="000000" w:themeColor="text1"/>
          <w:sz w:val="22"/>
          <w:szCs w:val="22"/>
        </w:rPr>
        <w:t>„Český hypoteční trh si i v prvním prázdninovém měsíci udržel vysokou meziroční dynamiku. Pro letní měsíce málo vídaným objemem nových hypoték, který se vyšplhal dokonce na 30 miliard korun, potvrdil, že v celoroční bilanci směřuje k druhému nejsilnějšímu roku v historii. Ceny nemovitostí kvůli jejich nedostatečné nabídce prolamují nová maxima. Kupci tak využívají pokračujícího poklesu průměrných úrokových sazeb hypoték k pořízení vysněného bydlení ještě za současných cen</w:t>
      </w:r>
      <w:r w:rsidRPr="00ED6C2D">
        <w:rPr>
          <w:rFonts w:ascii="Calibri" w:hAnsi="Calibri" w:cs="Calibri"/>
          <w:i/>
          <w:iCs/>
          <w:color w:val="000000" w:themeColor="text1"/>
          <w:sz w:val="22"/>
          <w:szCs w:val="22"/>
        </w:rPr>
        <w:t>,</w:t>
      </w:r>
      <w:r w:rsidRPr="00ED6C2D">
        <w:rPr>
          <w:rFonts w:ascii="Calibri" w:hAnsi="Calibri" w:cs="Calibri"/>
          <w:i/>
          <w:iCs/>
          <w:color w:val="000000" w:themeColor="text1"/>
          <w:sz w:val="22"/>
          <w:szCs w:val="22"/>
        </w:rPr>
        <w:t>“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ED6C2D">
        <w:rPr>
          <w:rFonts w:ascii="Calibri" w:hAnsi="Calibri" w:cs="Calibri"/>
          <w:color w:val="000000" w:themeColor="text1"/>
          <w:sz w:val="22"/>
          <w:szCs w:val="22"/>
        </w:rPr>
        <w:t>říká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ED6C2D">
        <w:rPr>
          <w:rFonts w:ascii="Calibri" w:hAnsi="Calibri" w:cs="Calibri"/>
          <w:b/>
          <w:bCs/>
          <w:color w:val="000000" w:themeColor="text1"/>
          <w:sz w:val="22"/>
          <w:szCs w:val="22"/>
        </w:rPr>
        <w:t>Martin Vašek, generální ředitel ČSOB Hypoteční banky</w:t>
      </w:r>
    </w:p>
    <w:p w14:paraId="33F329D1" w14:textId="77777777" w:rsidR="00ED6C2D" w:rsidRDefault="00ED6C2D" w:rsidP="008F7CC9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374F161" w14:textId="1D01E7A6" w:rsidR="00541D7D" w:rsidRDefault="00541D7D" w:rsidP="008F7CC9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0A6121">
        <w:rPr>
          <w:rFonts w:ascii="Calibri" w:hAnsi="Calibri" w:cs="Calibri"/>
          <w:b/>
          <w:bCs/>
          <w:color w:val="000000" w:themeColor="text1"/>
          <w:sz w:val="22"/>
          <w:szCs w:val="22"/>
        </w:rPr>
        <w:t>Tržní úrokové sazby,</w:t>
      </w:r>
      <w:r w:rsidRPr="000A6121">
        <w:rPr>
          <w:rStyle w:val="Znakapoznpodarou"/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0A6121">
        <w:rPr>
          <w:rStyle w:val="Znakapoznpodarou"/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footnoteReference w:id="1"/>
      </w:r>
      <w:r w:rsidRPr="000A612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které mají klíčový vliv na hypoteční sazby, v červenci v Česku </w:t>
      </w:r>
      <w:r w:rsidR="009C38A8" w:rsidRPr="000A6121">
        <w:rPr>
          <w:rFonts w:ascii="Calibri" w:hAnsi="Calibri" w:cs="Calibri"/>
          <w:b/>
          <w:bCs/>
          <w:color w:val="000000" w:themeColor="text1"/>
          <w:sz w:val="22"/>
          <w:szCs w:val="22"/>
        </w:rPr>
        <w:t>dále pokračovaly v růstu a dále tak l</w:t>
      </w:r>
      <w:r w:rsidRPr="000A6121">
        <w:rPr>
          <w:rFonts w:ascii="Calibri" w:hAnsi="Calibri" w:cs="Calibri"/>
          <w:b/>
          <w:bCs/>
          <w:color w:val="000000" w:themeColor="text1"/>
          <w:sz w:val="22"/>
          <w:szCs w:val="22"/>
        </w:rPr>
        <w:t>imit</w:t>
      </w:r>
      <w:r w:rsidR="009C38A8" w:rsidRPr="000A612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ují </w:t>
      </w:r>
      <w:r w:rsidRPr="000A6121">
        <w:rPr>
          <w:rFonts w:ascii="Calibri" w:hAnsi="Calibri" w:cs="Calibri"/>
          <w:b/>
          <w:bCs/>
          <w:color w:val="000000" w:themeColor="text1"/>
          <w:sz w:val="22"/>
          <w:szCs w:val="22"/>
        </w:rPr>
        <w:t>cestu k </w:t>
      </w:r>
      <w:r w:rsidR="009C38A8" w:rsidRPr="000A6121">
        <w:rPr>
          <w:rFonts w:ascii="Calibri" w:hAnsi="Calibri" w:cs="Calibri"/>
          <w:b/>
          <w:bCs/>
          <w:color w:val="000000" w:themeColor="text1"/>
          <w:sz w:val="22"/>
          <w:szCs w:val="22"/>
        </w:rPr>
        <w:t>d</w:t>
      </w:r>
      <w:r w:rsidRPr="000A6121">
        <w:rPr>
          <w:rFonts w:ascii="Calibri" w:hAnsi="Calibri" w:cs="Calibri"/>
          <w:b/>
          <w:bCs/>
          <w:color w:val="000000" w:themeColor="text1"/>
          <w:sz w:val="22"/>
          <w:szCs w:val="22"/>
        </w:rPr>
        <w:t>alšímu poklesu hypotečních sazeb.</w:t>
      </w:r>
      <w:r w:rsidRPr="000A6121">
        <w:rPr>
          <w:rFonts w:ascii="Calibri" w:hAnsi="Calibri" w:cs="Calibri"/>
          <w:color w:val="000000" w:themeColor="text1"/>
          <w:sz w:val="22"/>
          <w:szCs w:val="22"/>
        </w:rPr>
        <w:t xml:space="preserve"> České pětileté úrokové swapy v červenci stouply o </w:t>
      </w:r>
      <w:proofErr w:type="gramStart"/>
      <w:r w:rsidRPr="000A6121">
        <w:rPr>
          <w:rFonts w:ascii="Calibri" w:hAnsi="Calibri" w:cs="Calibri"/>
          <w:color w:val="000000" w:themeColor="text1"/>
          <w:sz w:val="22"/>
          <w:szCs w:val="22"/>
        </w:rPr>
        <w:t>0,15%</w:t>
      </w:r>
      <w:proofErr w:type="gramEnd"/>
      <w:r w:rsidRPr="000A6121">
        <w:rPr>
          <w:rFonts w:ascii="Calibri" w:hAnsi="Calibri" w:cs="Calibri"/>
          <w:color w:val="000000" w:themeColor="text1"/>
          <w:sz w:val="22"/>
          <w:szCs w:val="22"/>
        </w:rPr>
        <w:t xml:space="preserve"> bodu na 3,69 % z červnových 3,54 % a nacházely se nad květnovými 3,38 %. Jejich červencová úroveň </w:t>
      </w:r>
      <w:r w:rsidR="009C38A8" w:rsidRPr="000A6121">
        <w:rPr>
          <w:rFonts w:ascii="Calibri" w:hAnsi="Calibri" w:cs="Calibri"/>
          <w:color w:val="000000" w:themeColor="text1"/>
          <w:sz w:val="22"/>
          <w:szCs w:val="22"/>
        </w:rPr>
        <w:t>je velice blízko průměrné výši</w:t>
      </w:r>
      <w:r w:rsidRPr="000A6121">
        <w:rPr>
          <w:rFonts w:ascii="Calibri" w:hAnsi="Calibri" w:cs="Calibri"/>
          <w:color w:val="000000" w:themeColor="text1"/>
          <w:sz w:val="22"/>
          <w:szCs w:val="22"/>
        </w:rPr>
        <w:t xml:space="preserve"> 3,66 % z předcházejícího druhého čtvrtletí. V posledních dvanácti měsících se české pětileté swapy pohybovaly v rozmezí měsíčních průměrů 3,</w:t>
      </w:r>
      <w:r w:rsidR="009C38A8" w:rsidRPr="000A6121">
        <w:rPr>
          <w:rFonts w:ascii="Calibri" w:hAnsi="Calibri" w:cs="Calibri"/>
          <w:color w:val="000000" w:themeColor="text1"/>
          <w:sz w:val="22"/>
          <w:szCs w:val="22"/>
        </w:rPr>
        <w:t xml:space="preserve">2 </w:t>
      </w:r>
      <w:r w:rsidRPr="000A6121">
        <w:rPr>
          <w:rFonts w:ascii="Calibri" w:hAnsi="Calibri" w:cs="Calibri"/>
          <w:color w:val="000000" w:themeColor="text1"/>
          <w:sz w:val="22"/>
          <w:szCs w:val="22"/>
        </w:rPr>
        <w:t>% (v září 2024) a 3,</w:t>
      </w:r>
      <w:r w:rsidR="009C38A8" w:rsidRPr="000A6121">
        <w:rPr>
          <w:rFonts w:ascii="Calibri" w:hAnsi="Calibri" w:cs="Calibri"/>
          <w:color w:val="000000" w:themeColor="text1"/>
          <w:sz w:val="22"/>
          <w:szCs w:val="22"/>
        </w:rPr>
        <w:t xml:space="preserve">7 </w:t>
      </w:r>
      <w:r w:rsidRPr="000A6121">
        <w:rPr>
          <w:rFonts w:ascii="Calibri" w:hAnsi="Calibri" w:cs="Calibri"/>
          <w:color w:val="000000" w:themeColor="text1"/>
          <w:sz w:val="22"/>
          <w:szCs w:val="22"/>
        </w:rPr>
        <w:t xml:space="preserve">% (z července 2025). V porovnání s </w:t>
      </w:r>
      <w:r w:rsidRPr="000A6121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průměrnou úrovní pětiletých swapů v roce 2024 byly červencové úroky o 0,1 % bodu výše. </w:t>
      </w:r>
      <w:r w:rsidR="009C38A8" w:rsidRPr="000A6121">
        <w:rPr>
          <w:rFonts w:ascii="Calibri" w:hAnsi="Calibri" w:cs="Calibri"/>
          <w:color w:val="000000" w:themeColor="text1"/>
          <w:sz w:val="22"/>
          <w:szCs w:val="22"/>
        </w:rPr>
        <w:t>Rovněž eurové pětileté swapy v červenci stouply na 2,3 % z červnových 2,23 %, ale byly 0,28 % bodu pod jejich průměrnou loňskou úrovní 2,58 %. Naopak v</w:t>
      </w:r>
      <w:r w:rsidRPr="000A6121">
        <w:rPr>
          <w:rFonts w:ascii="Calibri" w:hAnsi="Calibri" w:cs="Calibri"/>
          <w:color w:val="000000" w:themeColor="text1"/>
          <w:sz w:val="22"/>
          <w:szCs w:val="22"/>
        </w:rPr>
        <w:t xml:space="preserve"> případě amerických pětiletých úrokových swapů došlo v červenci k jejich </w:t>
      </w:r>
      <w:r w:rsidR="009C38A8" w:rsidRPr="000A6121">
        <w:rPr>
          <w:rFonts w:ascii="Calibri" w:hAnsi="Calibri" w:cs="Calibri"/>
          <w:color w:val="000000" w:themeColor="text1"/>
          <w:sz w:val="22"/>
          <w:szCs w:val="22"/>
        </w:rPr>
        <w:t xml:space="preserve">nepatrnému </w:t>
      </w:r>
      <w:r w:rsidRPr="000A6121">
        <w:rPr>
          <w:rFonts w:ascii="Calibri" w:hAnsi="Calibri" w:cs="Calibri"/>
          <w:color w:val="000000" w:themeColor="text1"/>
          <w:sz w:val="22"/>
          <w:szCs w:val="22"/>
        </w:rPr>
        <w:t>poklesu na 3,83 % z červnových 3,88 % a nacházely se 0,</w:t>
      </w:r>
      <w:r w:rsidR="009C38A8" w:rsidRPr="000A6121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0A6121">
        <w:rPr>
          <w:rFonts w:ascii="Calibri" w:hAnsi="Calibri" w:cs="Calibri"/>
          <w:color w:val="000000" w:themeColor="text1"/>
          <w:sz w:val="22"/>
          <w:szCs w:val="22"/>
        </w:rPr>
        <w:t xml:space="preserve"> % bodu pod jejich průměrnou hodnotou z roku 2024. </w:t>
      </w:r>
    </w:p>
    <w:p w14:paraId="2F32535F" w14:textId="77777777" w:rsidR="00CB2E9C" w:rsidRDefault="00CB2E9C" w:rsidP="008F7CC9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E76E888" w14:textId="67844592" w:rsidR="00AA0D5A" w:rsidRPr="000A6121" w:rsidRDefault="00140854" w:rsidP="008F7CC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>Mezi domácí faktory, které ovlivnily vývoj úrokových swapů především patřily</w:t>
      </w:r>
      <w:r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F503AD" w:rsidRPr="00F503AD"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proofErr w:type="spellStart"/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>jestřábější</w:t>
      </w:r>
      <w:proofErr w:type="spellEnd"/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postoj </w:t>
      </w:r>
      <w:r w:rsidRPr="00F503AD">
        <w:rPr>
          <w:rFonts w:ascii="Calibri" w:hAnsi="Calibri" w:cs="Calibri"/>
          <w:color w:val="000000" w:themeColor="text1"/>
          <w:sz w:val="22"/>
          <w:szCs w:val="22"/>
        </w:rPr>
        <w:t>ČN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9C38A8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po její</w:t>
      </w:r>
      <w:r w:rsidR="00F503AD" w:rsidRPr="00F503AD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9C38A8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červnovém zasedání, kdy bankovní rada 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ponechala svoji dvoutýdenní </w:t>
      </w:r>
      <w:proofErr w:type="spellStart"/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>repo</w:t>
      </w:r>
      <w:proofErr w:type="spellEnd"/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sazbu na 3,5 %</w:t>
      </w:r>
      <w:r w:rsidR="009C38A8" w:rsidRPr="00F503AD">
        <w:rPr>
          <w:rFonts w:ascii="Calibri" w:hAnsi="Calibri" w:cs="Calibri"/>
          <w:color w:val="000000" w:themeColor="text1"/>
          <w:sz w:val="22"/>
          <w:szCs w:val="22"/>
        </w:rPr>
        <w:t>. Tento postoj byl zvýrazněn po srpnovém zasedání a publikaci jestřábího výhledu na ekonomiku</w:t>
      </w:r>
      <w:r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  <w:r w:rsidR="00F503AD" w:rsidRPr="00F503AD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>k tomu přispěla i vyšší jádrová inflace v</w:t>
      </w:r>
      <w:r w:rsidR="009C38A8" w:rsidRPr="00F503AD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>červnu</w:t>
      </w:r>
      <w:r w:rsidR="009C38A8" w:rsidRPr="00F503AD">
        <w:rPr>
          <w:rFonts w:ascii="Calibri" w:hAnsi="Calibri" w:cs="Calibri"/>
          <w:color w:val="000000" w:themeColor="text1"/>
          <w:sz w:val="22"/>
          <w:szCs w:val="22"/>
        </w:rPr>
        <w:t>, zatímco její červencové hodnoty mohou přinést částečnou úlevu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  <w:r w:rsidR="00F503AD" w:rsidRPr="00F503AD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F503AD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dalšímu růstu úroků zamezil</w:t>
      </w:r>
      <w:r w:rsidR="00A54D53" w:rsidRPr="00F503A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posílení české koruny díky více podpůrnému úrokovému diferenciálu.</w:t>
      </w:r>
      <w:r w:rsidR="009628F6" w:rsidRPr="000A612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345F2E3" w14:textId="77777777" w:rsidR="00DD1BFF" w:rsidRDefault="00DD1BFF" w:rsidP="00DD1BFF">
      <w:pPr>
        <w:rPr>
          <w:rFonts w:ascii="Calibri" w:hAnsi="Calibri" w:cs="Calibri"/>
          <w:color w:val="FF0000"/>
          <w:sz w:val="22"/>
          <w:szCs w:val="22"/>
        </w:rPr>
      </w:pPr>
    </w:p>
    <w:p w14:paraId="2D839DE5" w14:textId="0405A431" w:rsidR="00DD1BFF" w:rsidRPr="000A6121" w:rsidRDefault="00541D7D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>Úroková hypoteční sazba na nové hypotéky v červenc</w:t>
      </w:r>
      <w:r w:rsidR="008404FF"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>i</w:t>
      </w:r>
      <w:r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dle ČBA </w:t>
      </w:r>
      <w:proofErr w:type="spellStart"/>
      <w:r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>Hypomonitoru</w:t>
      </w:r>
      <w:proofErr w:type="spellEnd"/>
      <w:r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B2E9C"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mírně klesla </w:t>
      </w:r>
      <w:r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na 4,53 % a nacházela se tak přibližně </w:t>
      </w:r>
      <w:proofErr w:type="gramStart"/>
      <w:r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>0,98%</w:t>
      </w:r>
      <w:proofErr w:type="gramEnd"/>
      <w:r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bodu na</w:t>
      </w:r>
      <w:r w:rsidR="008404FF"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>d</w:t>
      </w:r>
      <w:r w:rsidRPr="00F503A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průměrnými tržními swapovými sazbami.</w:t>
      </w:r>
      <w:r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To je přibližně </w:t>
      </w:r>
      <w:proofErr w:type="gramStart"/>
      <w:r w:rsidRPr="00F503AD">
        <w:rPr>
          <w:rFonts w:ascii="Calibri" w:hAnsi="Calibri" w:cs="Calibri"/>
          <w:color w:val="000000" w:themeColor="text1"/>
          <w:sz w:val="22"/>
          <w:szCs w:val="22"/>
        </w:rPr>
        <w:t>0,1%</w:t>
      </w:r>
      <w:proofErr w:type="gramEnd"/>
      <w:r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bodu pod dlouhodobým průměrem od roku 2014, zatímco v předešlých třech měsících tento spread vůči dlouhodobému průměru činil 0,22 % bodu.</w:t>
      </w:r>
      <w:r w:rsidR="00CB2E9C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D1BFF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Pokud nedojde k výraznější korekci tržních úrokových sazeb směrem </w:t>
      </w:r>
      <w:r w:rsidR="00140854" w:rsidRPr="00F503AD">
        <w:rPr>
          <w:rFonts w:ascii="Calibri" w:hAnsi="Calibri" w:cs="Calibri"/>
          <w:color w:val="000000" w:themeColor="text1"/>
          <w:sz w:val="22"/>
          <w:szCs w:val="22"/>
        </w:rPr>
        <w:t>dolů</w:t>
      </w:r>
      <w:r w:rsidR="00DD1BFF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(což by bylo možné ve scénáři </w:t>
      </w:r>
      <w:r w:rsidR="00140854" w:rsidRPr="00F503AD">
        <w:rPr>
          <w:rFonts w:ascii="Calibri" w:hAnsi="Calibri" w:cs="Calibri"/>
          <w:color w:val="000000" w:themeColor="text1"/>
          <w:sz w:val="22"/>
          <w:szCs w:val="22"/>
        </w:rPr>
        <w:t>obnovení negativního rizika spojeného s celními válkami</w:t>
      </w:r>
      <w:r w:rsidR="00CB2E9C" w:rsidRPr="00F503AD">
        <w:rPr>
          <w:rFonts w:ascii="Calibri" w:hAnsi="Calibri" w:cs="Calibri"/>
          <w:color w:val="000000" w:themeColor="text1"/>
          <w:sz w:val="22"/>
          <w:szCs w:val="22"/>
        </w:rPr>
        <w:t>, při dalším silnějším posílení koruny,</w:t>
      </w:r>
      <w:r w:rsidR="00140854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či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v případě </w:t>
      </w:r>
      <w:r w:rsidR="00140854" w:rsidRPr="00F503AD">
        <w:rPr>
          <w:rFonts w:ascii="Calibri" w:hAnsi="Calibri" w:cs="Calibri"/>
          <w:color w:val="000000" w:themeColor="text1"/>
          <w:sz w:val="22"/>
          <w:szCs w:val="22"/>
        </w:rPr>
        <w:t>výraznější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>ho</w:t>
      </w:r>
      <w:r w:rsidR="00140854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zchlazení českého trhu práce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či nemovitostí</w:t>
      </w:r>
      <w:r w:rsidR="00140854" w:rsidRPr="00F503AD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DD1BFF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pak současný rozdíl mezi hypoteční a tržní sazbou </w:t>
      </w:r>
      <w:r w:rsidR="009628F6" w:rsidRPr="00F503AD">
        <w:rPr>
          <w:rFonts w:ascii="Calibri" w:hAnsi="Calibri" w:cs="Calibri"/>
          <w:color w:val="000000" w:themeColor="text1"/>
          <w:sz w:val="22"/>
          <w:szCs w:val="22"/>
        </w:rPr>
        <w:t>bude asi limitovat další výraznější pokles</w:t>
      </w:r>
      <w:r w:rsidR="00DD1BFF" w:rsidRPr="00F503AD">
        <w:rPr>
          <w:rFonts w:ascii="Calibri" w:hAnsi="Calibri" w:cs="Calibri"/>
          <w:color w:val="000000" w:themeColor="text1"/>
          <w:sz w:val="22"/>
          <w:szCs w:val="22"/>
        </w:rPr>
        <w:t xml:space="preserve"> hypoteční sazby.</w:t>
      </w:r>
    </w:p>
    <w:p w14:paraId="72BA0646" w14:textId="77777777" w:rsidR="008F7CC9" w:rsidRDefault="008F7CC9" w:rsidP="00DD1BF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AEA41E0" w14:textId="4F103E35" w:rsidR="008F7CC9" w:rsidRDefault="008F7CC9" w:rsidP="008F7CC9">
      <w:pPr>
        <w:rPr>
          <w:rFonts w:ascii="Calibri" w:hAnsi="Calibri" w:cs="Calibri"/>
          <w:b/>
          <w:color w:val="13576B"/>
          <w:sz w:val="23"/>
          <w:szCs w:val="23"/>
        </w:rPr>
      </w:pPr>
      <w:r>
        <w:rPr>
          <w:rFonts w:ascii="Calibri" w:hAnsi="Calibri" w:cs="Calibri"/>
          <w:b/>
          <w:color w:val="13576B"/>
          <w:sz w:val="23"/>
          <w:szCs w:val="23"/>
        </w:rPr>
        <w:t xml:space="preserve">Tržní dlouhodobé sazby </w:t>
      </w:r>
      <w:r w:rsidR="00B35D32">
        <w:rPr>
          <w:rFonts w:ascii="Calibri" w:hAnsi="Calibri" w:cs="Calibri"/>
          <w:b/>
          <w:color w:val="13576B"/>
          <w:sz w:val="23"/>
          <w:szCs w:val="23"/>
        </w:rPr>
        <w:t xml:space="preserve">si </w:t>
      </w:r>
      <w:r w:rsidR="0088366A">
        <w:rPr>
          <w:rFonts w:ascii="Calibri" w:hAnsi="Calibri" w:cs="Calibri"/>
          <w:b/>
          <w:color w:val="13576B"/>
          <w:sz w:val="23"/>
          <w:szCs w:val="23"/>
        </w:rPr>
        <w:t>v</w:t>
      </w:r>
      <w:r w:rsidR="00B35D32">
        <w:rPr>
          <w:rFonts w:ascii="Calibri" w:hAnsi="Calibri" w:cs="Calibri"/>
          <w:b/>
          <w:color w:val="13576B"/>
          <w:sz w:val="23"/>
          <w:szCs w:val="23"/>
        </w:rPr>
        <w:t> </w:t>
      </w:r>
      <w:r w:rsidR="0088366A">
        <w:rPr>
          <w:rFonts w:ascii="Calibri" w:hAnsi="Calibri" w:cs="Calibri"/>
          <w:b/>
          <w:color w:val="13576B"/>
          <w:sz w:val="23"/>
          <w:szCs w:val="23"/>
        </w:rPr>
        <w:t>červ</w:t>
      </w:r>
      <w:r w:rsidR="00B35D32">
        <w:rPr>
          <w:rFonts w:ascii="Calibri" w:hAnsi="Calibri" w:cs="Calibri"/>
          <w:b/>
          <w:color w:val="13576B"/>
          <w:sz w:val="23"/>
          <w:szCs w:val="23"/>
        </w:rPr>
        <w:t xml:space="preserve">enci nadále prošlapávaly cestu výše, což utvrdila </w:t>
      </w:r>
      <w:r w:rsidR="0088366A">
        <w:rPr>
          <w:rFonts w:ascii="Calibri" w:hAnsi="Calibri" w:cs="Calibri"/>
          <w:b/>
          <w:color w:val="13576B"/>
          <w:sz w:val="23"/>
          <w:szCs w:val="23"/>
        </w:rPr>
        <w:t>přetrvávající vyšší jádrov</w:t>
      </w:r>
      <w:r w:rsidR="00B35D32">
        <w:rPr>
          <w:rFonts w:ascii="Calibri" w:hAnsi="Calibri" w:cs="Calibri"/>
          <w:b/>
          <w:color w:val="13576B"/>
          <w:sz w:val="23"/>
          <w:szCs w:val="23"/>
        </w:rPr>
        <w:t>á</w:t>
      </w:r>
      <w:r w:rsidR="0088366A">
        <w:rPr>
          <w:rFonts w:ascii="Calibri" w:hAnsi="Calibri" w:cs="Calibri"/>
          <w:b/>
          <w:color w:val="13576B"/>
          <w:sz w:val="23"/>
          <w:szCs w:val="23"/>
        </w:rPr>
        <w:t xml:space="preserve"> inflac</w:t>
      </w:r>
      <w:r w:rsidR="00B35D32">
        <w:rPr>
          <w:rFonts w:ascii="Calibri" w:hAnsi="Calibri" w:cs="Calibri"/>
          <w:b/>
          <w:color w:val="13576B"/>
          <w:sz w:val="23"/>
          <w:szCs w:val="23"/>
        </w:rPr>
        <w:t>e a jestřábí srpnová predikce ČNB</w:t>
      </w:r>
    </w:p>
    <w:p w14:paraId="522B8972" w14:textId="00E45E79" w:rsidR="008F7CC9" w:rsidRDefault="00B35D32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35D32">
        <w:rPr>
          <w:rFonts w:ascii="Calibri" w:hAnsi="Calibri" w:cs="Calibri"/>
          <w:noProof/>
          <w:color w:val="000000" w:themeColor="text1"/>
          <w:sz w:val="22"/>
          <w:szCs w:val="22"/>
        </w:rPr>
        <w:drawing>
          <wp:inline distT="0" distB="0" distL="0" distR="0" wp14:anchorId="5479738A" wp14:editId="01C3B276">
            <wp:extent cx="4259580" cy="2536102"/>
            <wp:effectExtent l="0" t="0" r="7620" b="0"/>
            <wp:docPr id="1919744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288" cy="254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7822" w14:textId="0CD84DC2" w:rsidR="008F7CC9" w:rsidRDefault="008F7CC9" w:rsidP="00DD1B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AA62A7">
        <w:rPr>
          <w:rFonts w:asciiTheme="minorHAnsi" w:hAnsiTheme="minorHAnsi" w:cstheme="minorHAnsi"/>
          <w:color w:val="2F5496" w:themeColor="accent5" w:themeShade="BF"/>
          <w:sz w:val="20"/>
        </w:rPr>
        <w:t>Pramen</w:t>
      </w:r>
      <w:r w:rsidRPr="00AA62A7">
        <w:rPr>
          <w:rFonts w:asciiTheme="minorHAnsi" w:hAnsiTheme="minorHAnsi" w:cstheme="minorHAnsi"/>
          <w:color w:val="13576B"/>
          <w:sz w:val="20"/>
        </w:rPr>
        <w:t xml:space="preserve">: </w:t>
      </w:r>
      <w:r w:rsidR="00B35D32">
        <w:rPr>
          <w:rFonts w:asciiTheme="minorHAnsi" w:hAnsiTheme="minorHAnsi" w:cstheme="minorHAnsi"/>
          <w:color w:val="13576B"/>
          <w:sz w:val="20"/>
        </w:rPr>
        <w:t>LSEG (11. srpna 2025)</w:t>
      </w:r>
      <w:r>
        <w:rPr>
          <w:rFonts w:asciiTheme="minorHAnsi" w:hAnsiTheme="minorHAnsi" w:cstheme="minorHAnsi"/>
          <w:color w:val="13576B"/>
          <w:sz w:val="20"/>
        </w:rPr>
        <w:t xml:space="preserve">, </w:t>
      </w:r>
      <w:r w:rsidRPr="00AA62A7">
        <w:rPr>
          <w:rFonts w:asciiTheme="minorHAnsi" w:hAnsiTheme="minorHAnsi" w:cstheme="minorHAnsi"/>
          <w:color w:val="13576B"/>
          <w:sz w:val="20"/>
        </w:rPr>
        <w:t>ČBA</w:t>
      </w:r>
    </w:p>
    <w:p w14:paraId="4F9E18AA" w14:textId="77777777" w:rsidR="008F7CC9" w:rsidRPr="00452B0E" w:rsidRDefault="008F7CC9" w:rsidP="00DD1BFF">
      <w:pPr>
        <w:rPr>
          <w:rFonts w:ascii="Calibri" w:hAnsi="Calibri" w:cs="Calibri"/>
          <w:color w:val="FF0000"/>
          <w:sz w:val="22"/>
          <w:szCs w:val="22"/>
        </w:rPr>
      </w:pPr>
    </w:p>
    <w:p w14:paraId="72E83631" w14:textId="4613529C" w:rsidR="00B04FE2" w:rsidRPr="00A02F5D" w:rsidRDefault="00E4296A" w:rsidP="00B04FE2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5" w:name="_Hlk100672905"/>
      <w:bookmarkEnd w:id="4"/>
      <w:r w:rsidRPr="00A02F5D">
        <w:rPr>
          <w:rFonts w:ascii="Calibri" w:hAnsi="Calibri" w:cs="Calibri"/>
          <w:b/>
          <w:color w:val="13576B"/>
          <w:sz w:val="24"/>
          <w:szCs w:val="24"/>
        </w:rPr>
        <w:t xml:space="preserve">Průměrná velikost </w:t>
      </w:r>
      <w:r w:rsidR="00D73AAF" w:rsidRPr="00A02F5D">
        <w:rPr>
          <w:rFonts w:ascii="Calibri" w:hAnsi="Calibri" w:cs="Calibri"/>
          <w:b/>
          <w:color w:val="13576B"/>
          <w:sz w:val="24"/>
          <w:szCs w:val="24"/>
        </w:rPr>
        <w:t xml:space="preserve">hypotéky </w:t>
      </w:r>
      <w:r w:rsidR="00AF2306">
        <w:rPr>
          <w:rFonts w:ascii="Calibri" w:hAnsi="Calibri" w:cs="Calibri"/>
          <w:b/>
          <w:color w:val="13576B"/>
          <w:sz w:val="24"/>
          <w:szCs w:val="24"/>
        </w:rPr>
        <w:t>v</w:t>
      </w:r>
      <w:r w:rsidR="000427B8">
        <w:rPr>
          <w:rFonts w:ascii="Calibri" w:hAnsi="Calibri" w:cs="Calibri"/>
          <w:b/>
          <w:color w:val="13576B"/>
          <w:sz w:val="24"/>
          <w:szCs w:val="24"/>
        </w:rPr>
        <w:t xml:space="preserve"> červnu překročila 4,2 mil. Kč a hypotéky ke koupi signalizují další růst v budoucnu </w:t>
      </w:r>
    </w:p>
    <w:p w14:paraId="584715CE" w14:textId="77777777" w:rsidR="002725DA" w:rsidRPr="00A02F5D" w:rsidRDefault="002725DA" w:rsidP="00B04FE2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1AB3E1D6" w14:textId="77777777" w:rsidR="00144D9A" w:rsidRDefault="00541D7D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541D7D">
        <w:rPr>
          <w:rFonts w:ascii="Calibri" w:hAnsi="Calibri" w:cs="Calibri"/>
          <w:b/>
          <w:bCs/>
          <w:color w:val="000000"/>
          <w:sz w:val="22"/>
          <w:szCs w:val="22"/>
        </w:rPr>
        <w:t xml:space="preserve">Průměrná velikost skutečně nově poskytnuté hypotéky v červenci mírně stoupla na 4,28 mil. Kč, tedy více než o 1 % meziměsíčně. </w:t>
      </w:r>
      <w:r w:rsidRPr="00541D7D">
        <w:rPr>
          <w:rFonts w:ascii="Calibri" w:hAnsi="Calibri" w:cs="Calibri"/>
          <w:color w:val="000000"/>
          <w:sz w:val="22"/>
          <w:szCs w:val="22"/>
        </w:rPr>
        <w:t xml:space="preserve">Její velikost je tak o 14 % vyšší než 3,77 mil. Kč před rokem. Odhlédneme-li od mimořádné hodnoty téměř 4 mil. Kč v srpnu 2024 (vliv nové legislativy), tak průměrná hodnota od loňského dubna postupně roste a o 24 % převyšuje předcházející rekordní úroveň z listopadu 2021 ve výši 3,46 mil. Kč. Dosáhnout na vyšší hypotéku umožňuje postupný pokles hypotečních sazeb, či postupný růst reálných příjmů domácností </w:t>
      </w:r>
      <w:r w:rsidR="00144D9A" w:rsidRPr="00266ACC">
        <w:rPr>
          <w:rFonts w:ascii="Calibri" w:hAnsi="Calibri" w:cs="Calibri"/>
          <w:color w:val="000000"/>
          <w:sz w:val="22"/>
          <w:szCs w:val="22"/>
        </w:rPr>
        <w:t>(</w:t>
      </w:r>
      <w:r w:rsidR="00144D9A">
        <w:rPr>
          <w:rFonts w:ascii="Calibri" w:hAnsi="Calibri" w:cs="Calibri"/>
          <w:color w:val="000000"/>
          <w:sz w:val="22"/>
          <w:szCs w:val="22"/>
        </w:rPr>
        <w:t>3,9 % meziročně v </w:t>
      </w:r>
      <w:hyperlink r:id="rId15" w:history="1">
        <w:r w:rsidR="00144D9A" w:rsidRPr="00E96618">
          <w:rPr>
            <w:rStyle w:val="Hypertextovodkaz"/>
            <w:rFonts w:ascii="Calibri" w:hAnsi="Calibri" w:cs="Calibri"/>
            <w:sz w:val="22"/>
            <w:szCs w:val="22"/>
          </w:rPr>
          <w:t>Q1-2025</w:t>
        </w:r>
      </w:hyperlink>
      <w:r w:rsidR="00144D9A" w:rsidRPr="00266ACC">
        <w:rPr>
          <w:rFonts w:ascii="Calibri" w:hAnsi="Calibri" w:cs="Calibri"/>
          <w:color w:val="000000"/>
          <w:sz w:val="22"/>
          <w:szCs w:val="22"/>
        </w:rPr>
        <w:t xml:space="preserve">), společně s pokračujícími uvolněnými </w:t>
      </w:r>
      <w:proofErr w:type="spellStart"/>
      <w:r w:rsidR="00144D9A" w:rsidRPr="00266ACC">
        <w:rPr>
          <w:rFonts w:ascii="Calibri" w:hAnsi="Calibri" w:cs="Calibri"/>
          <w:color w:val="000000"/>
          <w:sz w:val="22"/>
          <w:szCs w:val="22"/>
        </w:rPr>
        <w:t>makroobezřetnostními</w:t>
      </w:r>
      <w:proofErr w:type="spellEnd"/>
      <w:r w:rsidR="00144D9A" w:rsidRPr="00266ACC">
        <w:rPr>
          <w:rFonts w:ascii="Calibri" w:hAnsi="Calibri" w:cs="Calibri"/>
          <w:color w:val="000000"/>
          <w:sz w:val="22"/>
          <w:szCs w:val="22"/>
        </w:rPr>
        <w:t xml:space="preserve"> limity ohledně příjmů ze strany </w:t>
      </w:r>
      <w:r w:rsidR="00144D9A" w:rsidRPr="00266ACC">
        <w:rPr>
          <w:rFonts w:ascii="Calibri" w:hAnsi="Calibri" w:cs="Calibri"/>
          <w:color w:val="000000"/>
          <w:sz w:val="22"/>
          <w:szCs w:val="22"/>
        </w:rPr>
        <w:lastRenderedPageBreak/>
        <w:t xml:space="preserve">ČNB (pouze 80% limit LTV či </w:t>
      </w:r>
      <w:proofErr w:type="gramStart"/>
      <w:r w:rsidR="00144D9A" w:rsidRPr="00266ACC">
        <w:rPr>
          <w:rFonts w:ascii="Calibri" w:hAnsi="Calibri" w:cs="Calibri"/>
          <w:color w:val="000000"/>
          <w:sz w:val="22"/>
          <w:szCs w:val="22"/>
        </w:rPr>
        <w:t>90%</w:t>
      </w:r>
      <w:proofErr w:type="gramEnd"/>
      <w:r w:rsidR="00144D9A" w:rsidRPr="00266ACC">
        <w:rPr>
          <w:rFonts w:ascii="Calibri" w:hAnsi="Calibri" w:cs="Calibri"/>
          <w:color w:val="000000"/>
          <w:sz w:val="22"/>
          <w:szCs w:val="22"/>
        </w:rPr>
        <w:t xml:space="preserve"> v případě žadatelů mladších 36 let). </w:t>
      </w:r>
      <w:r w:rsidR="00144D9A">
        <w:rPr>
          <w:rFonts w:ascii="Calibri" w:hAnsi="Calibri" w:cs="Calibri"/>
          <w:color w:val="000000"/>
          <w:sz w:val="22"/>
          <w:szCs w:val="22"/>
        </w:rPr>
        <w:t>Rostoucí vý</w:t>
      </w:r>
      <w:r w:rsidR="00144D9A" w:rsidRPr="00665F6E">
        <w:rPr>
          <w:rFonts w:ascii="Calibri" w:hAnsi="Calibri" w:cs="Calibri"/>
          <w:color w:val="000000" w:themeColor="text1"/>
          <w:sz w:val="22"/>
          <w:szCs w:val="22"/>
        </w:rPr>
        <w:t xml:space="preserve">še hypotéky pak souvisí </w:t>
      </w:r>
      <w:r w:rsidR="00144D9A" w:rsidRPr="002725DA">
        <w:rPr>
          <w:rFonts w:ascii="Calibri" w:hAnsi="Calibri" w:cs="Calibri"/>
          <w:color w:val="000000"/>
          <w:sz w:val="22"/>
          <w:szCs w:val="22"/>
        </w:rPr>
        <w:t xml:space="preserve">také s vývojem cen </w:t>
      </w:r>
      <w:r w:rsidR="00144D9A">
        <w:rPr>
          <w:rFonts w:ascii="Calibri" w:hAnsi="Calibri" w:cs="Calibri"/>
          <w:color w:val="000000"/>
          <w:sz w:val="22"/>
          <w:szCs w:val="22"/>
        </w:rPr>
        <w:t>bytů</w:t>
      </w:r>
      <w:r w:rsidR="00144D9A" w:rsidRPr="002725DA">
        <w:rPr>
          <w:rFonts w:ascii="Calibri" w:hAnsi="Calibri" w:cs="Calibri"/>
          <w:color w:val="000000"/>
          <w:sz w:val="22"/>
          <w:szCs w:val="22"/>
        </w:rPr>
        <w:t>, které</w:t>
      </w:r>
      <w:r w:rsidR="00144D9A">
        <w:rPr>
          <w:rFonts w:ascii="Calibri" w:hAnsi="Calibri" w:cs="Calibri"/>
          <w:color w:val="000000"/>
          <w:sz w:val="22"/>
          <w:szCs w:val="22"/>
        </w:rPr>
        <w:t xml:space="preserve"> si dle údajů společnosti </w:t>
      </w:r>
      <w:proofErr w:type="spellStart"/>
      <w:r w:rsidR="00144D9A">
        <w:rPr>
          <w:rFonts w:ascii="Calibri" w:hAnsi="Calibri" w:cs="Calibri"/>
          <w:color w:val="000000"/>
          <w:sz w:val="22"/>
          <w:szCs w:val="22"/>
        </w:rPr>
        <w:t>Flat</w:t>
      </w:r>
      <w:proofErr w:type="spellEnd"/>
      <w:r w:rsidR="00144D9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44D9A">
        <w:rPr>
          <w:rFonts w:ascii="Calibri" w:hAnsi="Calibri" w:cs="Calibri"/>
          <w:color w:val="000000"/>
          <w:sz w:val="22"/>
          <w:szCs w:val="22"/>
        </w:rPr>
        <w:t>Zone</w:t>
      </w:r>
      <w:proofErr w:type="spellEnd"/>
      <w:r w:rsidR="00144D9A">
        <w:rPr>
          <w:rFonts w:ascii="Calibri" w:hAnsi="Calibri" w:cs="Calibri"/>
          <w:color w:val="000000"/>
          <w:sz w:val="22"/>
          <w:szCs w:val="22"/>
        </w:rPr>
        <w:t xml:space="preserve"> v prvním čtvrtletí roku 2025 udržují silný růst okolo 17 % meziročně a 7 % mezičtvrtletně </w:t>
      </w:r>
      <w:r w:rsidR="00144D9A" w:rsidRPr="002725DA">
        <w:rPr>
          <w:rFonts w:ascii="Calibri" w:hAnsi="Calibri" w:cs="Calibri"/>
          <w:color w:val="000000"/>
          <w:sz w:val="22"/>
          <w:szCs w:val="22"/>
        </w:rPr>
        <w:t xml:space="preserve">(viz ČBA Monitor - </w:t>
      </w:r>
      <w:hyperlink r:id="rId16" w:history="1">
        <w:r w:rsidR="00144D9A" w:rsidRPr="00436F5C">
          <w:rPr>
            <w:rStyle w:val="Hypertextovodkaz"/>
            <w:rFonts w:ascii="Calibri" w:hAnsi="Calibri" w:cs="Calibri"/>
            <w:sz w:val="22"/>
            <w:szCs w:val="22"/>
          </w:rPr>
          <w:t>ČBA Monitor</w:t>
        </w:r>
      </w:hyperlink>
      <w:r w:rsidR="00144D9A">
        <w:t xml:space="preserve"> </w:t>
      </w:r>
      <w:r w:rsidR="00144D9A" w:rsidRPr="00E96618">
        <w:rPr>
          <w:rFonts w:ascii="Calibri" w:hAnsi="Calibri" w:cs="Calibri"/>
          <w:color w:val="000000"/>
          <w:sz w:val="22"/>
          <w:szCs w:val="22"/>
        </w:rPr>
        <w:t xml:space="preserve">či specificky </w:t>
      </w:r>
      <w:hyperlink r:id="rId17" w:history="1">
        <w:r w:rsidR="00144D9A" w:rsidRPr="004951FE">
          <w:rPr>
            <w:rStyle w:val="Hypertextovodkaz"/>
            <w:rFonts w:ascii="Calibri" w:hAnsi="Calibri" w:cs="Calibri"/>
            <w:sz w:val="22"/>
            <w:szCs w:val="22"/>
          </w:rPr>
          <w:t>zde</w:t>
        </w:r>
      </w:hyperlink>
      <w:r w:rsidR="00144D9A" w:rsidRPr="002725DA">
        <w:rPr>
          <w:rFonts w:ascii="Calibri" w:hAnsi="Calibri" w:cs="Calibri"/>
          <w:color w:val="000000"/>
          <w:sz w:val="22"/>
          <w:szCs w:val="22"/>
        </w:rPr>
        <w:t>).</w:t>
      </w:r>
      <w:r w:rsidR="00144D9A">
        <w:rPr>
          <w:rFonts w:ascii="Calibri" w:hAnsi="Calibri" w:cs="Calibri"/>
          <w:color w:val="000000"/>
          <w:sz w:val="22"/>
          <w:szCs w:val="22"/>
        </w:rPr>
        <w:t xml:space="preserve"> Data ČSÚ poukazují na nárůst cen bytů okolo 15 % meziročně a celkový index cen nemovitostí okolo 10 % meziročně v prvním čtvrtletí 2015 (viz komentář </w:t>
      </w:r>
      <w:hyperlink r:id="rId18" w:history="1">
        <w:r w:rsidR="00144D9A" w:rsidRPr="00665F6E">
          <w:rPr>
            <w:rStyle w:val="Hypertextovodkaz"/>
            <w:rFonts w:ascii="Calibri" w:hAnsi="Calibri" w:cs="Calibri"/>
            <w:sz w:val="22"/>
            <w:szCs w:val="22"/>
          </w:rPr>
          <w:t>zde</w:t>
        </w:r>
      </w:hyperlink>
      <w:r w:rsidR="00144D9A"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14:paraId="46B54490" w14:textId="77777777" w:rsidR="00144D9A" w:rsidRDefault="00144D9A" w:rsidP="00436F5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1D487695" w14:textId="2AD919AC" w:rsidR="00436F5C" w:rsidRDefault="00436F5C" w:rsidP="00436F5C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C42E87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3</w:t>
      </w:r>
      <w:r w:rsidRPr="00C42E87">
        <w:rPr>
          <w:rFonts w:ascii="Calibri" w:hAnsi="Calibri" w:cs="Calibri"/>
          <w:b/>
          <w:color w:val="13576B"/>
          <w:sz w:val="23"/>
          <w:szCs w:val="23"/>
        </w:rPr>
        <w:t>: Průměrná výše skutečně nově poskytnuté hypotéky podle účelu</w:t>
      </w:r>
    </w:p>
    <w:p w14:paraId="7FF9E8C0" w14:textId="7B9EC436" w:rsidR="00436F5C" w:rsidRPr="006C6628" w:rsidRDefault="009F58F4" w:rsidP="00436F5C">
      <w:pPr>
        <w:rPr>
          <w:rFonts w:ascii="Calibri" w:hAnsi="Calibri" w:cs="Calibri"/>
          <w:bCs/>
          <w:i/>
          <w:iCs/>
          <w:color w:val="13576B"/>
          <w:sz w:val="23"/>
          <w:szCs w:val="23"/>
        </w:rPr>
      </w:pPr>
      <w:r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„Stotisíc za měsíc“: </w:t>
      </w:r>
      <w:r w:rsidR="00FC6281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P</w:t>
      </w:r>
      <w:r w:rsidR="00436F5C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růměrn</w:t>
      </w:r>
      <w:r w:rsidR="00FC6281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á </w:t>
      </w:r>
      <w:r w:rsidR="00436F5C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výše hypotéky </w:t>
      </w:r>
      <w:r w:rsidR="00FC6281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pokračuje v růstu a to na 4,</w:t>
      </w:r>
      <w:r w:rsidR="007222B0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2</w:t>
      </w:r>
      <w:r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8</w:t>
      </w:r>
      <w:r w:rsidR="007222B0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</w:t>
      </w:r>
      <w:r w:rsidR="00FC6281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mili</w:t>
      </w:r>
      <w:r w:rsidR="00AB5363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>o</w:t>
      </w:r>
      <w:r w:rsidR="00FC6281" w:rsidRPr="009F58F4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nu </w:t>
      </w:r>
      <w:r w:rsidR="00FC6281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korun, přičemž </w:t>
      </w:r>
      <w:r w:rsidR="00436F5C">
        <w:rPr>
          <w:rFonts w:ascii="Calibri" w:hAnsi="Calibri" w:cs="Calibri"/>
          <w:bCs/>
          <w:i/>
          <w:iCs/>
          <w:color w:val="13576B"/>
          <w:sz w:val="23"/>
          <w:szCs w:val="23"/>
        </w:rPr>
        <w:t>průměrn</w:t>
      </w:r>
      <w:r w:rsidR="00FC6281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á nová hypotéka na koupi </w:t>
      </w:r>
      <w:r w:rsidR="007222B0">
        <w:rPr>
          <w:rFonts w:ascii="Calibri" w:hAnsi="Calibri" w:cs="Calibri"/>
          <w:bCs/>
          <w:i/>
          <w:iCs/>
          <w:color w:val="13576B"/>
          <w:sz w:val="23"/>
          <w:szCs w:val="23"/>
        </w:rPr>
        <w:t>se v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 </w:t>
      </w:r>
      <w:r w:rsidR="007222B0">
        <w:rPr>
          <w:rFonts w:ascii="Calibri" w:hAnsi="Calibri" w:cs="Calibri"/>
          <w:bCs/>
          <w:i/>
          <w:iCs/>
          <w:color w:val="13576B"/>
          <w:sz w:val="23"/>
          <w:szCs w:val="23"/>
        </w:rPr>
        <w:t>červ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enci </w:t>
      </w:r>
      <w:r w:rsidR="007222B0">
        <w:rPr>
          <w:rFonts w:ascii="Calibri" w:hAnsi="Calibri" w:cs="Calibri"/>
          <w:bCs/>
          <w:i/>
          <w:iCs/>
          <w:color w:val="13576B"/>
          <w:sz w:val="23"/>
          <w:szCs w:val="23"/>
        </w:rPr>
        <w:t>přiblížila 4,</w:t>
      </w:r>
      <w:r>
        <w:rPr>
          <w:rFonts w:ascii="Calibri" w:hAnsi="Calibri" w:cs="Calibri"/>
          <w:bCs/>
          <w:i/>
          <w:iCs/>
          <w:color w:val="13576B"/>
          <w:sz w:val="23"/>
          <w:szCs w:val="23"/>
        </w:rPr>
        <w:t>4</w:t>
      </w:r>
      <w:r w:rsidR="00FC6281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 mili</w:t>
      </w:r>
      <w:r w:rsidR="00AB5363">
        <w:rPr>
          <w:rFonts w:ascii="Calibri" w:hAnsi="Calibri" w:cs="Calibri"/>
          <w:bCs/>
          <w:i/>
          <w:iCs/>
          <w:color w:val="13576B"/>
          <w:sz w:val="23"/>
          <w:szCs w:val="23"/>
        </w:rPr>
        <w:t>o</w:t>
      </w:r>
      <w:r w:rsidR="00FC6281">
        <w:rPr>
          <w:rFonts w:ascii="Calibri" w:hAnsi="Calibri" w:cs="Calibri"/>
          <w:bCs/>
          <w:i/>
          <w:iCs/>
          <w:color w:val="13576B"/>
          <w:sz w:val="23"/>
          <w:szCs w:val="23"/>
        </w:rPr>
        <w:t>nu korun.</w:t>
      </w:r>
    </w:p>
    <w:p w14:paraId="3162F78D" w14:textId="37BBE5EA" w:rsidR="00436F5C" w:rsidRPr="002138C0" w:rsidRDefault="009F58F4" w:rsidP="00436F5C">
      <w:pPr>
        <w:rPr>
          <w:rFonts w:ascii="Calibri" w:hAnsi="Calibri" w:cs="Calibri"/>
          <w:sz w:val="22"/>
          <w:szCs w:val="22"/>
          <w:highlight w:val="yellow"/>
        </w:rPr>
      </w:pPr>
      <w:r w:rsidRPr="009F58F4">
        <w:rPr>
          <w:rFonts w:ascii="Calibri" w:hAnsi="Calibri" w:cs="Calibri"/>
          <w:noProof/>
          <w:sz w:val="22"/>
          <w:szCs w:val="22"/>
          <w:highlight w:val="yellow"/>
        </w:rPr>
        <w:drawing>
          <wp:inline distT="0" distB="0" distL="0" distR="0" wp14:anchorId="6092E4D5" wp14:editId="43B5FD1C">
            <wp:extent cx="6080760" cy="3550920"/>
            <wp:effectExtent l="0" t="0" r="0" b="0"/>
            <wp:docPr id="17915411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A1FB" w14:textId="77777777" w:rsidR="00436F5C" w:rsidRPr="00616069" w:rsidRDefault="00436F5C" w:rsidP="00436F5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</w:t>
      </w:r>
      <w:r>
        <w:rPr>
          <w:rFonts w:ascii="Calibri Light" w:hAnsi="Calibri Light" w:cs="Calibri Light"/>
          <w:color w:val="13576B"/>
          <w:sz w:val="20"/>
        </w:rPr>
        <w:t xml:space="preserve">ČNB, </w:t>
      </w:r>
      <w:r w:rsidRPr="002F4CBD">
        <w:rPr>
          <w:rFonts w:ascii="Calibri Light" w:hAnsi="Calibri Light" w:cs="Calibri Light"/>
          <w:color w:val="13576B"/>
          <w:sz w:val="20"/>
        </w:rPr>
        <w:t xml:space="preserve">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603646D6" w14:textId="77777777" w:rsidR="00436F5C" w:rsidRPr="0033440C" w:rsidRDefault="00436F5C" w:rsidP="0033440C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4E462F23" w14:textId="77777777" w:rsidR="005343BA" w:rsidRDefault="005343BA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5F044CF" w14:textId="66DFEF82" w:rsidR="005343BA" w:rsidRDefault="005343BA" w:rsidP="005343BA">
      <w:pPr>
        <w:rPr>
          <w:rFonts w:ascii="Calibri" w:hAnsi="Calibri" w:cs="Calibri"/>
          <w:b/>
          <w:color w:val="13576B"/>
          <w:sz w:val="24"/>
          <w:szCs w:val="24"/>
        </w:rPr>
      </w:pPr>
      <w:r w:rsidRPr="00AF2306">
        <w:rPr>
          <w:rFonts w:ascii="Calibri" w:hAnsi="Calibri" w:cs="Calibri"/>
          <w:b/>
          <w:color w:val="13576B"/>
          <w:sz w:val="24"/>
          <w:szCs w:val="24"/>
        </w:rPr>
        <w:t>Dopad na průměrnou</w:t>
      </w:r>
      <w:r w:rsidR="00665F6E">
        <w:rPr>
          <w:rFonts w:ascii="Calibri" w:hAnsi="Calibri" w:cs="Calibri"/>
          <w:b/>
          <w:color w:val="13576B"/>
          <w:sz w:val="24"/>
          <w:szCs w:val="24"/>
        </w:rPr>
        <w:t xml:space="preserve"> měsíční hypoteční</w:t>
      </w:r>
      <w:r w:rsidRPr="00AF2306">
        <w:rPr>
          <w:rFonts w:ascii="Calibri" w:hAnsi="Calibri" w:cs="Calibri"/>
          <w:b/>
          <w:color w:val="13576B"/>
          <w:sz w:val="24"/>
          <w:szCs w:val="24"/>
        </w:rPr>
        <w:t xml:space="preserve"> splátku</w:t>
      </w:r>
      <w:r w:rsidR="00665F6E">
        <w:rPr>
          <w:rFonts w:ascii="Calibri" w:hAnsi="Calibri" w:cs="Calibri"/>
          <w:b/>
          <w:color w:val="13576B"/>
          <w:sz w:val="24"/>
          <w:szCs w:val="24"/>
        </w:rPr>
        <w:t xml:space="preserve"> okolo 2</w:t>
      </w:r>
      <w:r w:rsidR="00541D7D">
        <w:rPr>
          <w:rFonts w:ascii="Calibri" w:hAnsi="Calibri" w:cs="Calibri"/>
          <w:b/>
          <w:color w:val="13576B"/>
          <w:sz w:val="24"/>
          <w:szCs w:val="24"/>
        </w:rPr>
        <w:t>3,1</w:t>
      </w:r>
      <w:r w:rsidR="00665F6E">
        <w:rPr>
          <w:rFonts w:ascii="Calibri" w:hAnsi="Calibri" w:cs="Calibri"/>
          <w:b/>
          <w:color w:val="13576B"/>
          <w:sz w:val="24"/>
          <w:szCs w:val="24"/>
        </w:rPr>
        <w:t xml:space="preserve"> tisíc Kč</w:t>
      </w:r>
    </w:p>
    <w:p w14:paraId="5B7FCDD4" w14:textId="77777777" w:rsidR="00541D7D" w:rsidRDefault="00541D7D" w:rsidP="0026320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978554A" w14:textId="6B47123E" w:rsidR="00541D7D" w:rsidRDefault="00541D7D" w:rsidP="0026320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41D7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Kombinace poklesu úrokové sazby a vyšší průměrné výše hypotéky v červenci 2025 ve srovnání s průměrnými hodnotami z roku 2024 zvýšily průměrnou měsíční splátku hypotéky o 2,1 tis. Kč. </w:t>
      </w:r>
      <w:r w:rsidRPr="00541D7D">
        <w:rPr>
          <w:rFonts w:ascii="Calibri" w:hAnsi="Calibri" w:cs="Calibri"/>
          <w:color w:val="000000" w:themeColor="text1"/>
          <w:sz w:val="22"/>
          <w:szCs w:val="22"/>
        </w:rPr>
        <w:t xml:space="preserve">Scénáře vývoje měsíční splátky pro různé délky splatnosti hypotéky znázorňuje tabulka č. 2. Ta napovídá, že pokles hypotečních sazeb přes </w:t>
      </w:r>
      <w:proofErr w:type="gramStart"/>
      <w:r w:rsidRPr="00541D7D">
        <w:rPr>
          <w:rFonts w:ascii="Calibri" w:hAnsi="Calibri" w:cs="Calibri"/>
          <w:color w:val="000000" w:themeColor="text1"/>
          <w:sz w:val="22"/>
          <w:szCs w:val="22"/>
        </w:rPr>
        <w:t>0,5%</w:t>
      </w:r>
      <w:proofErr w:type="gramEnd"/>
      <w:r w:rsidRPr="00541D7D">
        <w:rPr>
          <w:rFonts w:ascii="Calibri" w:hAnsi="Calibri" w:cs="Calibri"/>
          <w:color w:val="000000" w:themeColor="text1"/>
          <w:sz w:val="22"/>
          <w:szCs w:val="22"/>
        </w:rPr>
        <w:t xml:space="preserve"> bodu vůči jejich průměrné výši 5,07 % v roce 2024 přinesl, pro průměrnou velikost hypotéky při jejím obvyklém přibližně 26,6letém splácení, snížení měsíční splátky o necelých 1 400 Kč na přibližně 23,1 tis. Kč, tedy o 1,5 % čistého příjmu žadatele v porovnání s průměrnou splátkou v minulém roce. Ve srovnání s průměrnou hypoteční sazbou 5,81 % v roce 2023 dosáhla úspora kvůli úrokové sazbě necelých 3 300 Kč pro hypotéku v její aktuální průměrné hodnotě. </w:t>
      </w:r>
    </w:p>
    <w:p w14:paraId="71B6EC55" w14:textId="77777777" w:rsidR="00541D7D" w:rsidRPr="00541D7D" w:rsidRDefault="00541D7D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2539285" w14:textId="60F8AA68" w:rsidR="00541D7D" w:rsidRDefault="00541D7D" w:rsidP="0026320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41D7D">
        <w:rPr>
          <w:rFonts w:ascii="Calibri" w:hAnsi="Calibri" w:cs="Calibri"/>
          <w:color w:val="000000" w:themeColor="text1"/>
          <w:sz w:val="22"/>
          <w:szCs w:val="22"/>
        </w:rPr>
        <w:t xml:space="preserve">Ovšem současná průměrná výše hypotéky je o 16 % vyšší než její průměrná výše v roce 2024, což přispívá k navýšení měsíční splátky o 3,3 tis. Kč ve srovnání s průměrnou měsíční splátkou v minulém roce navázanou na loňskou </w:t>
      </w:r>
      <w:r w:rsidRPr="00541D7D">
        <w:rPr>
          <w:rFonts w:ascii="Calibri" w:hAnsi="Calibri" w:cs="Calibri"/>
          <w:color w:val="000000" w:themeColor="text1"/>
          <w:sz w:val="22"/>
          <w:szCs w:val="22"/>
        </w:rPr>
        <w:lastRenderedPageBreak/>
        <w:t>průměrnou výši hypotéky ovšem při současné úrokové sazbě. Splátka hypotéky ve výši jednoho milionu korun s 30letou splatností se se současnými úrokovými sazbami pohybuje okolo 5,1 tisíce Kč.</w:t>
      </w:r>
    </w:p>
    <w:p w14:paraId="367C5B1C" w14:textId="77777777" w:rsidR="00541D7D" w:rsidRDefault="00541D7D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84AD480" w14:textId="21EB7332" w:rsidR="00541D7D" w:rsidRPr="00541D7D" w:rsidRDefault="00541D7D" w:rsidP="0026320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41D7D">
        <w:rPr>
          <w:rFonts w:ascii="Calibri" w:hAnsi="Calibri" w:cs="Calibri"/>
          <w:color w:val="000000" w:themeColor="text1"/>
          <w:sz w:val="22"/>
          <w:szCs w:val="22"/>
        </w:rPr>
        <w:t xml:space="preserve">Naopak, ve srovnání s průměrnou </w:t>
      </w:r>
      <w:proofErr w:type="gramStart"/>
      <w:r w:rsidRPr="00541D7D">
        <w:rPr>
          <w:rFonts w:ascii="Calibri" w:hAnsi="Calibri" w:cs="Calibri"/>
          <w:color w:val="000000" w:themeColor="text1"/>
          <w:sz w:val="22"/>
          <w:szCs w:val="22"/>
        </w:rPr>
        <w:t>2,8%</w:t>
      </w:r>
      <w:proofErr w:type="gramEnd"/>
      <w:r w:rsidRPr="00541D7D">
        <w:rPr>
          <w:rFonts w:ascii="Calibri" w:hAnsi="Calibri" w:cs="Calibri"/>
          <w:color w:val="000000" w:themeColor="text1"/>
          <w:sz w:val="22"/>
          <w:szCs w:val="22"/>
        </w:rPr>
        <w:t xml:space="preserve"> úrokovou hypoteční sazbou pro nové hypotéky v roce 2019, tak současná hypoteční sazba pro refinancování ve výši 4,5 % při zkrácení splatnosti úvěru zvedá měsíční splátky u průměrné hypotéky téměř o 1700 Kč, tedy asi o 3,5 % současné hrubé průměrné mzdy.</w:t>
      </w:r>
    </w:p>
    <w:p w14:paraId="587C8111" w14:textId="77777777" w:rsidR="00266ACC" w:rsidRDefault="00266ACC" w:rsidP="0026320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A267256" w14:textId="12E300F9" w:rsidR="009D3067" w:rsidRPr="00515ECA" w:rsidRDefault="009D3067" w:rsidP="007F41A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bookmarkStart w:id="6" w:name="_Hlk190458144"/>
      <w:bookmarkEnd w:id="5"/>
      <w:r w:rsidRPr="00515ECA">
        <w:rPr>
          <w:rFonts w:ascii="Calibri" w:hAnsi="Calibri" w:cs="Calibri"/>
          <w:b/>
          <w:color w:val="13576B"/>
          <w:sz w:val="23"/>
          <w:szCs w:val="23"/>
        </w:rPr>
        <w:t xml:space="preserve">Tabulka č. 2: </w:t>
      </w:r>
      <w:r w:rsidR="004B441B">
        <w:rPr>
          <w:rFonts w:ascii="Calibri" w:hAnsi="Calibri" w:cs="Calibri"/>
          <w:b/>
          <w:color w:val="13576B"/>
          <w:sz w:val="23"/>
          <w:szCs w:val="23"/>
        </w:rPr>
        <w:t>Ilustrace</w:t>
      </w:r>
      <w:r w:rsidR="00EB1892">
        <w:rPr>
          <w:rFonts w:ascii="Calibri" w:hAnsi="Calibri" w:cs="Calibri"/>
          <w:b/>
          <w:color w:val="13576B"/>
          <w:sz w:val="23"/>
          <w:szCs w:val="23"/>
        </w:rPr>
        <w:t xml:space="preserve"> m</w:t>
      </w:r>
      <w:r w:rsidRPr="00515ECA">
        <w:rPr>
          <w:rFonts w:ascii="Calibri" w:hAnsi="Calibri" w:cs="Calibri"/>
          <w:b/>
          <w:color w:val="13576B"/>
          <w:sz w:val="23"/>
          <w:szCs w:val="23"/>
        </w:rPr>
        <w:t>ěsíční splátk</w:t>
      </w:r>
      <w:r w:rsidR="004B441B">
        <w:rPr>
          <w:rFonts w:ascii="Calibri" w:hAnsi="Calibri" w:cs="Calibri"/>
          <w:b/>
          <w:color w:val="13576B"/>
          <w:sz w:val="23"/>
          <w:szCs w:val="23"/>
        </w:rPr>
        <w:t>y</w:t>
      </w:r>
      <w:r w:rsidRPr="00515ECA">
        <w:rPr>
          <w:rFonts w:ascii="Calibri" w:hAnsi="Calibri" w:cs="Calibri"/>
          <w:b/>
          <w:color w:val="13576B"/>
          <w:sz w:val="23"/>
          <w:szCs w:val="23"/>
        </w:rPr>
        <w:t xml:space="preserve"> průměrné hypotéky v závislosti na délce splatnosti a úrokové sazbě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48"/>
        <w:gridCol w:w="955"/>
        <w:gridCol w:w="955"/>
        <w:gridCol w:w="955"/>
        <w:gridCol w:w="955"/>
        <w:gridCol w:w="955"/>
        <w:gridCol w:w="955"/>
      </w:tblGrid>
      <w:tr w:rsidR="00D5517C" w:rsidRPr="002138C0" w14:paraId="2E0F9EE8" w14:textId="77777777" w:rsidTr="00EB1892">
        <w:trPr>
          <w:trHeight w:val="555"/>
        </w:trPr>
        <w:tc>
          <w:tcPr>
            <w:tcW w:w="4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FE9691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velikost nové hypotéky v Kč: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E2DFC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B01B2E" w14:textId="294A28AB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00C93" w:rsidRPr="00F236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0F8289" w14:textId="2A27497A" w:rsidR="00490505" w:rsidRPr="00F23602" w:rsidRDefault="00964478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6447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4 282 234</w:t>
            </w:r>
            <w:r w:rsidRPr="0096447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ab/>
            </w:r>
            <w:r w:rsidRPr="0096447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ab/>
            </w:r>
            <w:r w:rsidRPr="0096447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F23602" w:rsidRPr="002138C0" w14:paraId="3A9D14C4" w14:textId="77777777" w:rsidTr="00EB189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4FFBA8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úroková sazba v %: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76198D" w14:textId="77777777" w:rsidR="00F23602" w:rsidRPr="00F23602" w:rsidRDefault="00F23602" w:rsidP="00F236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BEEE92" w14:textId="18F743FA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D3214C" w14:textId="1130DD68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B1144F" w14:textId="1E0730A6" w:rsidR="00F23602" w:rsidRPr="00F23602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29650147" w14:textId="2ECE6084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</w:t>
            </w:r>
            <w:r w:rsidR="003258C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22EECDD2" w14:textId="49E02541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5AC0A3" w14:textId="632AE5E6" w:rsidR="00F23602" w:rsidRPr="002138C0" w:rsidRDefault="00F23602" w:rsidP="00F236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D5517C" w:rsidRPr="002138C0" w14:paraId="4905349F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27E1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71C1EDC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D8A3FA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7A7A8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8798FF" w14:textId="77777777" w:rsidR="00D5517C" w:rsidRPr="00F23602" w:rsidRDefault="00D5517C" w:rsidP="00D551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Měsíční splátka:</w:t>
            </w:r>
          </w:p>
        </w:tc>
      </w:tr>
      <w:tr w:rsidR="00964478" w:rsidRPr="002138C0" w14:paraId="0A342D01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08443" w14:textId="77777777" w:rsidR="00964478" w:rsidRPr="00F23602" w:rsidRDefault="00964478" w:rsidP="009644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Splatnost hypotéky v letech: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9EE9A3" w14:textId="21CDF506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E75F03F" w14:textId="3C12CA61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27 560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E9F84" w14:textId="417E05A2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29 570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A63E5" w14:textId="28F03D07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31 680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0F2712F9" w14:textId="03C6F659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32 810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90F9892" w14:textId="341D1545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33 860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D0922" w14:textId="72A8133A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36 140</w:t>
            </w:r>
          </w:p>
        </w:tc>
      </w:tr>
      <w:tr w:rsidR="00964478" w:rsidRPr="002138C0" w14:paraId="4A78BEF2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F3610" w14:textId="77777777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B9CE37" w14:textId="0DCAB82D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D28FBFB" w14:textId="7430DC1B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21 660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7AA86" w14:textId="67FD865A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23 750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57E18" w14:textId="298F60A4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25 950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6D332706" w14:textId="1D9E5E5A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E6CF5E2" w14:textId="28998372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28 260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1BDBD" w14:textId="592B033C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30 680</w:t>
            </w:r>
          </w:p>
        </w:tc>
      </w:tr>
      <w:tr w:rsidR="00964478" w:rsidRPr="002138C0" w14:paraId="6CF32913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2281A" w14:textId="77777777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092D49" w14:textId="78F991B7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91B1A11" w14:textId="3093398B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3E222" w14:textId="5101F57C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20 310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6F1AB" w14:textId="76FC2D46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22 600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5331F341" w14:textId="1826BC9F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23 860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E4DDF0D" w14:textId="3AED4B0B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25 030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2D8C7" w14:textId="7DDAA1DA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27 590</w:t>
            </w:r>
          </w:p>
        </w:tc>
      </w:tr>
      <w:tr w:rsidR="00964478" w:rsidRPr="002138C0" w14:paraId="2841560E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465CE" w14:textId="77777777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F3EA"/>
            <w:noWrap/>
            <w:vAlign w:val="center"/>
          </w:tcPr>
          <w:p w14:paraId="088256B9" w14:textId="1D5BDCA9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0B45A43E" w14:textId="1C46EF76" w:rsidR="00964478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17 310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09BA985F" w14:textId="5ABA63CE" w:rsidR="00964478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19 490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567430AE" w14:textId="2B85347F" w:rsidR="00964478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21 820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427C5795" w14:textId="7D0A9D50" w:rsidR="00964478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23 100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3738B6D6" w14:textId="4D7EA151" w:rsidR="00964478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24 290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</w:tcPr>
          <w:p w14:paraId="15CB0311" w14:textId="1D5B705E" w:rsidR="00964478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26 890</w:t>
            </w:r>
          </w:p>
        </w:tc>
      </w:tr>
      <w:tr w:rsidR="00964478" w:rsidRPr="002138C0" w14:paraId="46B86678" w14:textId="77777777" w:rsidTr="00B3483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7BB57D" w14:textId="77777777" w:rsidR="00964478" w:rsidRPr="00F23602" w:rsidRDefault="00964478" w:rsidP="009644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23602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525A" w14:textId="7A89106D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DA2DA6" w14:textId="0FF97538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15 830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1602F5" w14:textId="1344300F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18 050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C600D" w14:textId="73890178" w:rsidR="00964478" w:rsidRPr="00F23602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20 440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F3EA"/>
            <w:noWrap/>
            <w:vAlign w:val="center"/>
            <w:hideMark/>
          </w:tcPr>
          <w:p w14:paraId="527D8D8A" w14:textId="274B7AE5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21 760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5ABD787" w14:textId="149F90D0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22 990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781B34" w14:textId="6F9017AF" w:rsidR="00964478" w:rsidRPr="002138C0" w:rsidRDefault="00964478" w:rsidP="009644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25 670</w:t>
            </w:r>
          </w:p>
        </w:tc>
      </w:tr>
      <w:tr w:rsidR="00D5517C" w:rsidRPr="002138C0" w14:paraId="58395EC8" w14:textId="77777777" w:rsidTr="00EB1892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D57F" w14:textId="5396F87E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0"/>
              </w:rPr>
            </w:pPr>
            <w:r w:rsidRPr="00AA62A7">
              <w:rPr>
                <w:rFonts w:asciiTheme="minorHAnsi" w:hAnsiTheme="minorHAnsi" w:cstheme="minorHAnsi"/>
                <w:color w:val="2F5496" w:themeColor="accent5" w:themeShade="BF"/>
                <w:sz w:val="20"/>
              </w:rPr>
              <w:t>Pramen</w:t>
            </w:r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: ČBA</w:t>
            </w:r>
            <w:r w:rsidR="00952AEF"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 </w:t>
            </w:r>
            <w:r w:rsidR="00952AEF" w:rsidRPr="00AA62A7">
              <w:rPr>
                <w:rStyle w:val="Znakapoznpodarou"/>
                <w:rFonts w:asciiTheme="minorHAnsi" w:hAnsiTheme="minorHAnsi" w:cstheme="minorHAnsi"/>
                <w:color w:val="2F5496" w:themeColor="accent5" w:themeShade="BF"/>
                <w:sz w:val="20"/>
              </w:rPr>
              <w:footnoteReference w:id="2"/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E430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F225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61F0D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22AAF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C6A2A" w14:textId="77777777" w:rsidR="00D5517C" w:rsidRPr="00AA62A7" w:rsidRDefault="00D5517C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1D15A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972E4" w14:textId="77777777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5517C" w:rsidRPr="002138C0" w14:paraId="17E5FF51" w14:textId="77777777" w:rsidTr="00EB1892">
        <w:trPr>
          <w:trHeight w:val="3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60336" w14:textId="02728D43" w:rsidR="00D5517C" w:rsidRPr="00AA62A7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13576B"/>
                <w:sz w:val="20"/>
              </w:rPr>
            </w:pPr>
            <w:r w:rsidRPr="00AA62A7">
              <w:rPr>
                <w:rFonts w:asciiTheme="minorHAnsi" w:hAnsiTheme="minorHAnsi" w:cstheme="minorHAnsi"/>
                <w:color w:val="13576B"/>
                <w:sz w:val="20"/>
              </w:rPr>
              <w:t>Pozn.: barevný sloupec odpovídá úrokové sazbě posledního ČBA Hypomonitoru, ostatní sazby jsou ilustrační</w:t>
            </w:r>
            <w:r w:rsidR="00EB1892" w:rsidRPr="00AA62A7">
              <w:rPr>
                <w:rFonts w:asciiTheme="minorHAnsi" w:hAnsiTheme="minorHAnsi" w:cstheme="minorHAnsi"/>
                <w:color w:val="13576B"/>
                <w:sz w:val="20"/>
              </w:rPr>
              <w:t xml:space="preserve">; barevný řádek odpovídá průměrné splatnosti nových hypoték podle dat ČNB; částky jsou zaokrouhleny na desítky korun. </w:t>
            </w:r>
          </w:p>
        </w:tc>
      </w:tr>
    </w:tbl>
    <w:p w14:paraId="008912E8" w14:textId="77777777" w:rsidR="005343BA" w:rsidRDefault="005343BA" w:rsidP="00EB1892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</w:p>
    <w:p w14:paraId="37433820" w14:textId="59EE1DDE" w:rsidR="00573D34" w:rsidRDefault="00EB1892" w:rsidP="00573D34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893E0C">
        <w:rPr>
          <w:rFonts w:ascii="Calibri" w:hAnsi="Calibri" w:cs="Calibri"/>
          <w:b/>
          <w:color w:val="13576B"/>
          <w:sz w:val="23"/>
          <w:szCs w:val="23"/>
        </w:rPr>
        <w:t>4</w:t>
      </w:r>
      <w:r w:rsidRPr="005B4653">
        <w:rPr>
          <w:rFonts w:ascii="Calibri" w:hAnsi="Calibri" w:cs="Calibri"/>
          <w:b/>
          <w:color w:val="13576B"/>
          <w:sz w:val="23"/>
          <w:szCs w:val="23"/>
        </w:rPr>
        <w:t xml:space="preserve">: </w:t>
      </w:r>
      <w:r w:rsidR="009D5F35">
        <w:rPr>
          <w:rFonts w:ascii="Calibri" w:hAnsi="Calibri" w:cs="Calibri"/>
          <w:b/>
          <w:color w:val="13576B"/>
          <w:sz w:val="23"/>
          <w:szCs w:val="23"/>
        </w:rPr>
        <w:t>Ilustrativní srovnání výše měsíční splátky průměrné hypotéky s obdobím před rokem v závislosti na výši úroku, velikosti hypotéky a její splatnosti v</w:t>
      </w:r>
      <w:r w:rsidR="00573D34">
        <w:rPr>
          <w:rFonts w:ascii="Calibri" w:hAnsi="Calibri" w:cs="Calibri"/>
          <w:b/>
          <w:color w:val="13576B"/>
          <w:sz w:val="23"/>
          <w:szCs w:val="23"/>
        </w:rPr>
        <w:t> </w:t>
      </w:r>
      <w:r w:rsidR="009D5F35">
        <w:rPr>
          <w:rFonts w:ascii="Calibri" w:hAnsi="Calibri" w:cs="Calibri"/>
          <w:b/>
          <w:color w:val="13576B"/>
          <w:sz w:val="23"/>
          <w:szCs w:val="23"/>
        </w:rPr>
        <w:t>letech</w:t>
      </w:r>
    </w:p>
    <w:p w14:paraId="53510807" w14:textId="31AB3E8B" w:rsidR="006C6628" w:rsidRPr="00573D34" w:rsidRDefault="00964478" w:rsidP="00573D34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964478">
        <w:rPr>
          <w:rFonts w:ascii="Calibri" w:hAnsi="Calibri" w:cs="Calibri"/>
          <w:bCs/>
          <w:i/>
          <w:iCs/>
          <w:color w:val="13576B"/>
          <w:sz w:val="23"/>
          <w:szCs w:val="23"/>
        </w:rPr>
        <w:t xml:space="preserve">V meziročním srovnání přinesl pokles hypoteční sazby úsporu průměrné měsíční splátky o 1 360 Kč, ovšem růst průměrné výše hypotéky způsobil její navýšení o 2 750 Kč. </w:t>
      </w:r>
    </w:p>
    <w:p w14:paraId="7D566DD6" w14:textId="3ABC8C54" w:rsidR="00B44209" w:rsidRDefault="00964478" w:rsidP="00AA62A7">
      <w:pPr>
        <w:overflowPunct/>
        <w:autoSpaceDE/>
        <w:autoSpaceDN/>
        <w:adjustRightInd/>
        <w:spacing w:line="259" w:lineRule="auto"/>
        <w:jc w:val="left"/>
        <w:textAlignment w:val="auto"/>
        <w:rPr>
          <w:rFonts w:ascii="Calibri" w:hAnsi="Calibri" w:cs="Calibri"/>
          <w:b/>
          <w:color w:val="13576B"/>
          <w:sz w:val="24"/>
          <w:szCs w:val="24"/>
          <w:highlight w:val="yellow"/>
        </w:rPr>
      </w:pPr>
      <w:r>
        <w:rPr>
          <w:noProof/>
        </w:rPr>
        <w:lastRenderedPageBreak/>
        <w:drawing>
          <wp:inline distT="0" distB="0" distL="0" distR="0" wp14:anchorId="6E60533F" wp14:editId="4AB35593">
            <wp:extent cx="5535115" cy="3705417"/>
            <wp:effectExtent l="0" t="0" r="8890" b="9525"/>
            <wp:docPr id="7063802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87B9707-056D-4D6A-B356-82074D6646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DADE1A7" w14:textId="4B9EF024" w:rsidR="009D5F35" w:rsidRDefault="009D5F35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>Pramen: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r w:rsidRPr="002F4CBD">
        <w:rPr>
          <w:rFonts w:ascii="Calibri Light" w:hAnsi="Calibri Light" w:cs="Calibri Light"/>
          <w:color w:val="13576B"/>
          <w:sz w:val="20"/>
        </w:rPr>
        <w:t>ČBA</w:t>
      </w:r>
      <w:r w:rsidR="00AA62A7">
        <w:rPr>
          <w:rFonts w:ascii="Calibri Light" w:hAnsi="Calibri Light" w:cs="Calibri Light"/>
          <w:color w:val="13576B"/>
          <w:sz w:val="20"/>
        </w:rPr>
        <w:t xml:space="preserve">. Pozn.: </w:t>
      </w:r>
      <w:r w:rsidR="00AA62A7" w:rsidRPr="00AA62A7">
        <w:rPr>
          <w:rFonts w:ascii="Calibri Light" w:hAnsi="Calibri Light" w:cs="Calibri Light"/>
          <w:color w:val="13576B"/>
          <w:sz w:val="20"/>
        </w:rPr>
        <w:t>částky jsou zaokrouhleny na desítky korun.</w:t>
      </w:r>
    </w:p>
    <w:p w14:paraId="605CA941" w14:textId="77777777" w:rsidR="00173D31" w:rsidRDefault="00173D31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7ECA69B5" w14:textId="77777777" w:rsidR="00173D31" w:rsidRDefault="00173D31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5A72B105" w14:textId="48AC1F61" w:rsidR="002E4EFD" w:rsidRPr="002A5D11" w:rsidRDefault="008723A8" w:rsidP="002E4EFD">
      <w:pPr>
        <w:rPr>
          <w:rFonts w:ascii="Calibri" w:hAnsi="Calibri" w:cs="Calibri"/>
          <w:b/>
          <w:color w:val="13576B"/>
          <w:sz w:val="24"/>
          <w:szCs w:val="24"/>
        </w:rPr>
      </w:pPr>
      <w:r>
        <w:rPr>
          <w:rFonts w:ascii="Calibri" w:hAnsi="Calibri" w:cs="Calibri"/>
          <w:b/>
          <w:color w:val="13576B"/>
          <w:sz w:val="24"/>
          <w:szCs w:val="24"/>
        </w:rPr>
        <w:t>Statistická příloha</w:t>
      </w:r>
    </w:p>
    <w:p w14:paraId="384BA2E5" w14:textId="40319495" w:rsidR="0033440C" w:rsidRDefault="00F50DD0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F50DD0">
        <w:rPr>
          <w:rFonts w:ascii="Calibri Light" w:hAnsi="Calibri Light" w:cs="Calibri Light"/>
          <w:noProof/>
          <w:color w:val="13576B"/>
          <w:sz w:val="20"/>
        </w:rPr>
        <w:lastRenderedPageBreak/>
        <w:drawing>
          <wp:inline distT="0" distB="0" distL="0" distR="0" wp14:anchorId="491DDD23" wp14:editId="2ADB6A6A">
            <wp:extent cx="6480810" cy="3895090"/>
            <wp:effectExtent l="0" t="0" r="0" b="0"/>
            <wp:docPr id="54082607" name="Picture 1" descr="A graph of different colore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2607" name="Picture 1" descr="A graph of different colored lines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E5F5" w14:textId="68A6E96C" w:rsidR="0033440C" w:rsidRDefault="008723A8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>Pramen: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r w:rsidRPr="002F4CBD">
        <w:rPr>
          <w:rFonts w:ascii="Calibri Light" w:hAnsi="Calibri Light" w:cs="Calibri Light"/>
          <w:color w:val="13576B"/>
          <w:sz w:val="20"/>
        </w:rPr>
        <w:t>ČBA</w:t>
      </w:r>
      <w:r>
        <w:rPr>
          <w:rFonts w:ascii="Calibri Light" w:hAnsi="Calibri Light" w:cs="Calibri Light"/>
          <w:color w:val="13576B"/>
          <w:sz w:val="20"/>
        </w:rPr>
        <w:t xml:space="preserve"> </w:t>
      </w:r>
      <w:proofErr w:type="spellStart"/>
      <w:r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03530238" w14:textId="60CB8DF0" w:rsidR="008723A8" w:rsidRDefault="008723A8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>
        <w:rPr>
          <w:rFonts w:ascii="Calibri Light" w:hAnsi="Calibri Light" w:cs="Calibri Light"/>
          <w:color w:val="13576B"/>
          <w:sz w:val="20"/>
        </w:rPr>
        <w:t xml:space="preserve">Poznámka: </w:t>
      </w:r>
      <w:r w:rsidR="006E2E7E">
        <w:rPr>
          <w:rFonts w:ascii="Calibri Light" w:hAnsi="Calibri Light" w:cs="Calibri Light"/>
          <w:color w:val="13576B"/>
          <w:sz w:val="20"/>
        </w:rPr>
        <w:t xml:space="preserve">Jedná se o skutečně nové hypotéky (tedy </w:t>
      </w:r>
      <w:r w:rsidR="00F50DD0">
        <w:rPr>
          <w:rFonts w:ascii="Calibri Light" w:hAnsi="Calibri Light" w:cs="Calibri Light"/>
          <w:color w:val="13576B"/>
          <w:sz w:val="20"/>
        </w:rPr>
        <w:t xml:space="preserve">bez </w:t>
      </w:r>
      <w:r w:rsidR="006E2E7E">
        <w:rPr>
          <w:rFonts w:ascii="Calibri Light" w:hAnsi="Calibri Light" w:cs="Calibri Light"/>
          <w:color w:val="13576B"/>
          <w:sz w:val="20"/>
        </w:rPr>
        <w:t xml:space="preserve">refinancování a navýšeni). </w:t>
      </w:r>
      <w:r>
        <w:rPr>
          <w:rFonts w:ascii="Calibri Light" w:hAnsi="Calibri Light" w:cs="Calibri Light"/>
          <w:color w:val="13576B"/>
          <w:sz w:val="20"/>
        </w:rPr>
        <w:t xml:space="preserve">Podkladová data jsou </w:t>
      </w:r>
      <w:r w:rsidRPr="008723A8">
        <w:rPr>
          <w:rFonts w:ascii="Calibri Light" w:hAnsi="Calibri Light" w:cs="Calibri Light"/>
          <w:color w:val="13576B"/>
          <w:sz w:val="20"/>
        </w:rPr>
        <w:t xml:space="preserve">k dispozici v souboru </w:t>
      </w:r>
      <w:proofErr w:type="spellStart"/>
      <w:r w:rsidRPr="008723A8">
        <w:rPr>
          <w:rFonts w:ascii="Calibri Light" w:hAnsi="Calibri Light" w:cs="Calibri Light"/>
          <w:color w:val="13576B"/>
          <w:sz w:val="20"/>
        </w:rPr>
        <w:t>xls</w:t>
      </w:r>
      <w:proofErr w:type="spellEnd"/>
      <w:r w:rsidRPr="008723A8">
        <w:rPr>
          <w:rFonts w:ascii="Calibri Light" w:hAnsi="Calibri Light" w:cs="Calibri Light"/>
          <w:color w:val="13576B"/>
          <w:sz w:val="20"/>
        </w:rPr>
        <w:t xml:space="preserve"> přiloženém na webových stránkách ČBA Hypomonitoru</w:t>
      </w:r>
    </w:p>
    <w:p w14:paraId="50F3BD64" w14:textId="77777777" w:rsidR="0033440C" w:rsidRDefault="0033440C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p w14:paraId="5303965F" w14:textId="77777777" w:rsidR="0033440C" w:rsidRPr="00616069" w:rsidRDefault="0033440C" w:rsidP="009D5F35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</w:p>
    <w:bookmarkEnd w:id="6"/>
    <w:p w14:paraId="0D5FBC63" w14:textId="77777777" w:rsidR="002A5D11" w:rsidRPr="002A5D11" w:rsidRDefault="002A5D11" w:rsidP="002A5D11">
      <w:pPr>
        <w:rPr>
          <w:rFonts w:ascii="Calibri" w:hAnsi="Calibri" w:cs="Calibri"/>
          <w:b/>
          <w:color w:val="13576B"/>
          <w:sz w:val="24"/>
          <w:szCs w:val="24"/>
        </w:rPr>
      </w:pPr>
      <w:r w:rsidRPr="002A5D11">
        <w:rPr>
          <w:rFonts w:ascii="Calibri" w:hAnsi="Calibri" w:cs="Calibri"/>
          <w:b/>
          <w:color w:val="13576B"/>
          <w:sz w:val="24"/>
          <w:szCs w:val="24"/>
        </w:rPr>
        <w:t>Hypoteční trh v roce 2024: Rekordní růst o 83 %</w:t>
      </w:r>
    </w:p>
    <w:p w14:paraId="4743E758" w14:textId="77777777" w:rsidR="001002CD" w:rsidRPr="00840F7C" w:rsidRDefault="001002CD" w:rsidP="003E393C">
      <w:pPr>
        <w:rPr>
          <w:rFonts w:ascii="Calibri" w:hAnsi="Calibri" w:cs="Calibri"/>
          <w:b/>
          <w:bCs/>
          <w:sz w:val="22"/>
          <w:szCs w:val="22"/>
        </w:rPr>
      </w:pPr>
    </w:p>
    <w:p w14:paraId="2BEF2B35" w14:textId="32E98697" w:rsidR="003E393C" w:rsidRPr="002138C0" w:rsidRDefault="001002CD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  <w:r w:rsidRPr="00840F7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 celý rok 2024 poskytly banky a stavební spořitelny nové hypoteční úvěry v objemu 228 miliard Kč. 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>To je více než 83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%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 skok vůči objemu z roku 2023. K tomu se navíc refinancovaly hypotéky v rozsahu 47 miliard Kč a celý hypoteční trh tak v roce 2024 narostl na 275 miliard Kč ze 150 miliard v roce 2023. Pokud upravíme objemy o nárůst cen nemovitostí o </w:t>
      </w:r>
      <w:r w:rsidR="00A30764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840F7C">
        <w:rPr>
          <w:rFonts w:ascii="Calibri" w:hAnsi="Calibri" w:cs="Calibri"/>
          <w:color w:val="000000" w:themeColor="text1"/>
          <w:sz w:val="22"/>
          <w:szCs w:val="22"/>
        </w:rPr>
        <w:t xml:space="preserve">-8 % (dle různých statistik), objem nových hypoték vzrostl reálně o něco méně. To odpovídá i mírnějšímu nárůstu počtu nových hypoték v roce 2024 o 53 % meziročně na téměř 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>62 tisíc a téměř 20% nárůstu průměrné výše poskytnuté nové hypotéky na 3,7 milion</w:t>
      </w:r>
      <w:r w:rsidR="00AE4002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Kč</w:t>
      </w:r>
      <w:r w:rsidR="00693034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>Ve srovnání s předpandemickými roky 2017-2019 byl objem poskytnutých</w:t>
      </w:r>
      <w:r w:rsidR="00872E78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nových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hypoték v roce 202</w:t>
      </w:r>
      <w:r w:rsidR="003E4820" w:rsidRPr="00872E78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 zhruba o </w:t>
      </w:r>
      <w:r w:rsidR="00FE400F" w:rsidRPr="00872E78">
        <w:rPr>
          <w:rFonts w:ascii="Calibri" w:hAnsi="Calibri" w:cs="Calibri"/>
          <w:color w:val="000000" w:themeColor="text1"/>
          <w:sz w:val="22"/>
          <w:szCs w:val="22"/>
        </w:rPr>
        <w:t>necelou pětinu vyšší</w:t>
      </w:r>
      <w:r w:rsidR="003E393C" w:rsidRPr="00872E78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FD17B82" w14:textId="77777777" w:rsidR="005F105B" w:rsidRDefault="005F105B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506699D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70B01570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0514B5D2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590DDD4C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AA631AE" w14:textId="77777777" w:rsidR="005343BA" w:rsidRDefault="005343BA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27A57DD1" w14:textId="77777777" w:rsidR="001E4370" w:rsidRPr="002138C0" w:rsidRDefault="001E4370" w:rsidP="003E393C">
      <w:pPr>
        <w:rPr>
          <w:rFonts w:ascii="Calibri" w:hAnsi="Calibri" w:cs="Calibri"/>
          <w:b/>
          <w:color w:val="13576B"/>
          <w:sz w:val="23"/>
          <w:szCs w:val="23"/>
          <w:highlight w:val="yellow"/>
        </w:rPr>
      </w:pPr>
    </w:p>
    <w:p w14:paraId="11595CC2" w14:textId="3C3B4C02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10371D" w:rsidRPr="002F4CBD">
        <w:rPr>
          <w:rFonts w:ascii="Calibri" w:hAnsi="Calibri" w:cs="Calibri"/>
          <w:b/>
          <w:color w:val="13576B"/>
          <w:sz w:val="23"/>
          <w:szCs w:val="23"/>
        </w:rPr>
        <w:t>2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>: Celoroční objem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 xml:space="preserve">, 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počet 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 xml:space="preserve">a průměrná výše 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>poskytnutých hypoték v letech 202</w:t>
      </w:r>
      <w:r w:rsidR="003D57E2">
        <w:rPr>
          <w:rFonts w:ascii="Calibri" w:hAnsi="Calibri" w:cs="Calibri"/>
          <w:b/>
          <w:color w:val="13576B"/>
          <w:sz w:val="23"/>
          <w:szCs w:val="23"/>
        </w:rPr>
        <w:t>0</w:t>
      </w:r>
      <w:r w:rsidRPr="002F4CBD">
        <w:rPr>
          <w:rFonts w:ascii="Calibri" w:hAnsi="Calibri" w:cs="Calibri"/>
          <w:b/>
          <w:color w:val="13576B"/>
          <w:sz w:val="23"/>
          <w:szCs w:val="23"/>
        </w:rPr>
        <w:t xml:space="preserve"> až 202</w:t>
      </w:r>
      <w:r w:rsidR="002138C0" w:rsidRPr="002F4CBD">
        <w:rPr>
          <w:rFonts w:ascii="Calibri" w:hAnsi="Calibri" w:cs="Calibri"/>
          <w:b/>
          <w:color w:val="13576B"/>
          <w:sz w:val="23"/>
          <w:szCs w:val="23"/>
        </w:rPr>
        <w:t>4</w:t>
      </w:r>
    </w:p>
    <w:p w14:paraId="6B4EF12D" w14:textId="28831766" w:rsidR="003E393C" w:rsidRPr="002F4CBD" w:rsidRDefault="003E393C" w:rsidP="003E393C">
      <w:pPr>
        <w:rPr>
          <w:rFonts w:ascii="Calibri" w:hAnsi="Calibri" w:cs="Calibri"/>
          <w:sz w:val="22"/>
          <w:szCs w:val="22"/>
        </w:rPr>
      </w:pPr>
    </w:p>
    <w:p w14:paraId="2F4D295D" w14:textId="6B9E4D05" w:rsidR="002F4CBD" w:rsidRPr="002F4CBD" w:rsidRDefault="003D57E2" w:rsidP="003E393C">
      <w:pPr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2FD9A30" wp14:editId="5FC9F4F0">
            <wp:extent cx="6480810" cy="1790065"/>
            <wp:effectExtent l="0" t="0" r="0" b="635"/>
            <wp:docPr id="204938162" name="Picture 1" descr="A graph of different colored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8162" name="Picture 1" descr="A graph of different colored bars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49FA" w14:textId="77777777" w:rsidR="003E393C" w:rsidRPr="00616069" w:rsidRDefault="003E393C" w:rsidP="003E393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2F4CBD">
        <w:rPr>
          <w:rFonts w:ascii="Calibri Light" w:hAnsi="Calibri Light" w:cs="Calibri Light"/>
          <w:color w:val="13576B"/>
          <w:sz w:val="20"/>
        </w:rPr>
        <w:t xml:space="preserve">Pramen: ČBA </w:t>
      </w:r>
      <w:proofErr w:type="spellStart"/>
      <w:r w:rsidRPr="002F4CBD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72DD4C3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448079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2ED378A" w14:textId="017879D6" w:rsidR="006C53A0" w:rsidRPr="00616069" w:rsidRDefault="006C53A0" w:rsidP="007F41A0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17B780" w14:textId="3B9498AC" w:rsidR="007F41A0" w:rsidRPr="00616069" w:rsidRDefault="007F41A0" w:rsidP="007F41A0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ČBA zveřejňuje souhrnné statistiky za celý bankovní trh</w:t>
      </w:r>
    </w:p>
    <w:p w14:paraId="55E76E82" w14:textId="019F3D7D" w:rsidR="007F41A0" w:rsidRPr="00616069" w:rsidRDefault="007F41A0" w:rsidP="007F41A0">
      <w:pPr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 xml:space="preserve">Česká bankovní asociace zveřejňuje ve spolupráci s členskými bankami nové souhrnné statistiky z trhu bydlení. Jde především o objemy a počty nově poskytnutých a refinancovaných hypoték a příslušnou úrokovou sazbu. Tyto statistiky publikuje ČBA v agregované podobě za celý bankovní sektor na pravidelné bázi vždy zhruba v polovině měsíce. Šetření se účastní všechny tuzemské banky a stavební spořitelny poskytující v ČR hypotéky. Data jsou dostupná od ledna roku 2020 v přiloženém souboru na stránkách </w:t>
      </w:r>
      <w:hyperlink r:id="rId23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www.cbaonline.cz</w:t>
        </w:r>
      </w:hyperlink>
      <w:r w:rsidR="004674AA" w:rsidRPr="0061606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16069">
        <w:rPr>
          <w:rFonts w:ascii="Calibri" w:hAnsi="Calibri" w:cs="Calibri"/>
          <w:sz w:val="22"/>
          <w:szCs w:val="22"/>
        </w:rPr>
        <w:t>kde lze také příslušné statistiky najít zvlášť pro banky a stavební spořitelny. Výše uvedené hodnoty jsou pro sektor jako celek</w:t>
      </w:r>
      <w:r w:rsidR="004674AA" w:rsidRPr="00616069">
        <w:rPr>
          <w:rFonts w:ascii="Calibri" w:hAnsi="Calibri" w:cs="Calibri"/>
          <w:sz w:val="22"/>
          <w:szCs w:val="22"/>
        </w:rPr>
        <w:t>, které lze v jednoduch</w:t>
      </w:r>
      <w:r w:rsidR="004C593C">
        <w:rPr>
          <w:rFonts w:ascii="Calibri" w:hAnsi="Calibri" w:cs="Calibri"/>
          <w:sz w:val="22"/>
          <w:szCs w:val="22"/>
        </w:rPr>
        <w:t>é</w:t>
      </w:r>
      <w:r w:rsidR="004674AA" w:rsidRPr="00616069">
        <w:rPr>
          <w:rFonts w:ascii="Calibri" w:hAnsi="Calibri" w:cs="Calibri"/>
          <w:sz w:val="22"/>
          <w:szCs w:val="22"/>
        </w:rPr>
        <w:t xml:space="preserve"> grafické podobě sledovat také na stránkách </w:t>
      </w:r>
      <w:hyperlink r:id="rId24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cbamonitor.cz</w:t>
        </w:r>
      </w:hyperlink>
      <w:r w:rsidRPr="00616069">
        <w:rPr>
          <w:rFonts w:ascii="Calibri" w:hAnsi="Calibri" w:cs="Calibri"/>
          <w:sz w:val="22"/>
          <w:szCs w:val="22"/>
        </w:rPr>
        <w:t>.</w:t>
      </w:r>
      <w:r w:rsidRPr="00616069">
        <w:rPr>
          <w:rFonts w:ascii="Calibri" w:hAnsi="Calibri" w:cs="Calibri"/>
          <w:i/>
          <w:iCs/>
          <w:sz w:val="20"/>
        </w:rPr>
        <w:t xml:space="preserve"> </w:t>
      </w:r>
    </w:p>
    <w:p w14:paraId="3F99F9FA" w14:textId="6DA0884C" w:rsidR="007F41A0" w:rsidRPr="00616069" w:rsidRDefault="007F41A0" w:rsidP="003417B4">
      <w:pPr>
        <w:rPr>
          <w:rFonts w:ascii="Calibri" w:hAnsi="Calibri" w:cs="Calibri"/>
          <w:sz w:val="22"/>
          <w:szCs w:val="22"/>
        </w:rPr>
      </w:pPr>
    </w:p>
    <w:p w14:paraId="4299C957" w14:textId="36BC1F78" w:rsidR="00B50D1B" w:rsidRPr="00616069" w:rsidRDefault="00B50D1B" w:rsidP="003417B4">
      <w:pPr>
        <w:rPr>
          <w:rFonts w:ascii="Calibri" w:hAnsi="Calibri" w:cs="Calibri"/>
          <w:sz w:val="22"/>
          <w:szCs w:val="22"/>
        </w:rPr>
      </w:pPr>
    </w:p>
    <w:p w14:paraId="6A100EFD" w14:textId="3381F438" w:rsidR="00100269" w:rsidRPr="00616069" w:rsidRDefault="00100269" w:rsidP="003417B4">
      <w:pPr>
        <w:rPr>
          <w:rFonts w:ascii="Calibri" w:hAnsi="Calibri" w:cs="Calibri"/>
          <w:sz w:val="22"/>
          <w:szCs w:val="22"/>
        </w:rPr>
      </w:pPr>
    </w:p>
    <w:p w14:paraId="5F378DF9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012907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4E9F93F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5EDC910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4AE260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146C6D89" w14:textId="77777777" w:rsidR="0028530F" w:rsidRPr="00B04FE2" w:rsidRDefault="004975FD" w:rsidP="00CA3B41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5DA650" wp14:editId="15515F89">
                <wp:simplePos x="0" y="0"/>
                <wp:positionH relativeFrom="margin">
                  <wp:align>center</wp:align>
                </wp:positionH>
                <wp:positionV relativeFrom="paragraph">
                  <wp:posOffset>282527</wp:posOffset>
                </wp:positionV>
                <wp:extent cx="6574790" cy="46755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675505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1E4" w14:textId="20B4FCBA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Metodika ČBA Hypomonitoru</w:t>
                            </w:r>
                          </w:p>
                          <w:p w14:paraId="7401467C" w14:textId="77777777" w:rsidR="00414AD4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1021EABD" w14:textId="16015784" w:rsidR="0001227F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ČBA Hypomonitor </w:t>
                            </w:r>
                            <w:r w:rsidR="00FB47D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rozděluje poskytnuté hypoteční úvěry 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bank a stavebních spořitelen</w:t>
                            </w:r>
                            <w:r w:rsidR="00B426A2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domácnostem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do několika kategorií tak, aby byly rozlišeny nové úvěry od refinancovaných či interních refixací</w:t>
                            </w:r>
                            <w:r w:rsidR="000B70C8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Nové úvěry jsou 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pak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vykazovány v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kategoriích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dle účelu úvěru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:</w:t>
                            </w:r>
                          </w:p>
                          <w:p w14:paraId="58E707E8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227247A" w14:textId="11714118" w:rsidR="0001227F" w:rsidRPr="00616069" w:rsidRDefault="00E818C3" w:rsidP="00E818C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Nové úvěry</w:t>
                            </w:r>
                          </w:p>
                          <w:p w14:paraId="22AF3257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Jsou úvěry, jejichž celý objem poprvé vstupuje do ekonomiky. Do této kategorie nepatří konsolidace úvěrů anebo refinancování úvěrů. Dělí se do tří kategorií:</w:t>
                            </w:r>
                          </w:p>
                          <w:p w14:paraId="362AFB2A" w14:textId="77777777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Nákup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9F23FA5" w14:textId="6EE96893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Výstavba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včetně rekonstrukce nemovitosti </w:t>
                            </w:r>
                          </w:p>
                          <w:p w14:paraId="4D80580F" w14:textId="11E0715F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Ostatní nová ujednání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podílu, atp.</w:t>
                            </w:r>
                          </w:p>
                          <w:p w14:paraId="4FBF1D5A" w14:textId="77777777" w:rsidR="0001227F" w:rsidRPr="00616069" w:rsidRDefault="0001227F" w:rsidP="0001227F">
                            <w:pPr>
                              <w:spacing w:line="276" w:lineRule="auto"/>
                              <w:ind w:left="708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1D5E0BB" w14:textId="7D112C27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Refinancované úvěry z jiné finanční instituce</w:t>
                            </w:r>
                          </w:p>
                          <w:p w14:paraId="351B5A60" w14:textId="0B5DCBB6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vznikly refinancováním jednoho nebo více úvěrů z jiné finanční instituce než </w:t>
                            </w:r>
                            <w:r w:rsidR="00973197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té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vykazující. Bez ohledu na výši refinancované částky a bez ohledu na výši případného navýšení se celková výše nově vzniklého úvěru vykazuje do této kategorie. </w:t>
                            </w:r>
                          </w:p>
                          <w:p w14:paraId="7566D2D6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04B36444" w14:textId="4F20B25F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3.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Navýšené anebo interně refinancované úvěry</w:t>
                            </w:r>
                          </w:p>
                          <w:p w14:paraId="711A3661" w14:textId="2A271010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již byly </w:t>
                            </w:r>
                            <w:r w:rsidR="00647A7A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v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předchozí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vykazované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období součástí portfolia vykazujícího subjektu, a ve vykazovaném období u nich došlo k některé z následujících změn:</w:t>
                            </w:r>
                          </w:p>
                          <w:p w14:paraId="4A6B00C0" w14:textId="77777777" w:rsidR="00E818C3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navýšení sjednané částky </w:t>
                            </w:r>
                          </w:p>
                          <w:p w14:paraId="44682079" w14:textId="72C23671" w:rsidR="0001227F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došlo k takovým změnám, že původní úvěr byl v rámci vykazujícího subjektu refinancován/převeden na nový úvěr.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="00CD28EC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tak o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skutečně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novou smlouvu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nikoli např. jen </w:t>
                            </w:r>
                            <w:r w:rsidR="007B79F6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nové ujednání v rámci refi</w:t>
                            </w:r>
                            <w:r w:rsidR="000F02C1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xace 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stávající smlouvy. Proto je objem takových úvěru ve statistice ČBA nižší oproti „ostatním novým ujednáním“ ve statistice České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árodní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anky.</w:t>
                            </w:r>
                          </w:p>
                          <w:p w14:paraId="1FAF8B9B" w14:textId="4C474A58" w:rsidR="006F08E1" w:rsidRPr="00616069" w:rsidRDefault="006F08E1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65FC0189" w14:textId="1B58C64B" w:rsidR="006F08E1" w:rsidRPr="00616069" w:rsidRDefault="001F49EA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Data pro ČBA Hypomonitor poskytují následující banky a stavební spořitelny: Air Bank, Česká spořitelna, ČSOB, ČSOB Stavební spořitelna, Fio banka, Hypoteční banka, Komerční banka, mBank, Modrá pyramida, MONETA Money Bank, MONETA Stavební spořitelna, Oberbank, </w:t>
                            </w:r>
                            <w:r w:rsidR="003E1AAB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Partners Banka,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Raiffeisen stavební spořitelna, Raiffeisenbank, Stavební spořitelna České spořitelny, UniCredit Bank.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A6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2.25pt;width:517.7pt;height:368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" fillcolor="#13576b" stroked="f">
                <v:fill opacity="54998f"/>
                <v:textbox>
                  <w:txbxContent>
                    <w:p w14:paraId="523681E4" w14:textId="20B4FCBA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Metodika ČBA Hypomonitoru</w:t>
                      </w:r>
                    </w:p>
                    <w:p w14:paraId="7401467C" w14:textId="77777777" w:rsidR="00414AD4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</w:p>
                    <w:p w14:paraId="1021EABD" w14:textId="16015784" w:rsidR="0001227F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ČBA Hypomonitor </w:t>
                      </w:r>
                      <w:r w:rsidR="00FB47D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rozděluje poskytnuté hypoteční úvěry 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bank a stavebních spořitelen</w:t>
                      </w:r>
                      <w:r w:rsidR="00B426A2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domácnostem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do několika kategorií tak, aby byly rozlišeny nové úvěry od refinancovaných či interních refixací</w:t>
                      </w:r>
                      <w:r w:rsidR="000B70C8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Nové úvěry jsou 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pak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vykazovány v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kategoriích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dle účelu úvěru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:</w:t>
                      </w:r>
                    </w:p>
                    <w:p w14:paraId="58E707E8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227247A" w14:textId="11714118" w:rsidR="0001227F" w:rsidRPr="00616069" w:rsidRDefault="00E818C3" w:rsidP="00E818C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1.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Nové úvěry</w:t>
                      </w:r>
                    </w:p>
                    <w:p w14:paraId="22AF3257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Jsou úvěry, jejichž celý objem poprvé vstupuje do ekonomiky. Do této kategorie nepatří konsolidace úvěrů anebo refinancování úvěrů. Dělí se do tří kategorií:</w:t>
                      </w:r>
                    </w:p>
                    <w:p w14:paraId="362AFB2A" w14:textId="77777777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Nákup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29F23FA5" w14:textId="6EE96893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Výstavba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včetně rekonstrukce nemovitosti </w:t>
                      </w:r>
                    </w:p>
                    <w:p w14:paraId="4D80580F" w14:textId="11E0715F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Ostatní nová ujednání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podílu, atp.</w:t>
                      </w:r>
                    </w:p>
                    <w:p w14:paraId="4FBF1D5A" w14:textId="77777777" w:rsidR="0001227F" w:rsidRPr="00616069" w:rsidRDefault="0001227F" w:rsidP="0001227F">
                      <w:pPr>
                        <w:spacing w:line="276" w:lineRule="auto"/>
                        <w:ind w:left="708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1D5E0BB" w14:textId="7D112C27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2.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Refinancované úvěry z jiné finanční instituce</w:t>
                      </w:r>
                    </w:p>
                    <w:p w14:paraId="351B5A60" w14:textId="0B5DCBB6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vznikly refinancováním jednoho nebo více úvěrů z jiné finanční instituce než </w:t>
                      </w:r>
                      <w:r w:rsidR="00973197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té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vykazující. Bez ohledu na výši refinancované částky a bez ohledu na výši případného navýšení se celková výše nově vzniklého úvěru vykazuje do této kategorie. </w:t>
                      </w:r>
                    </w:p>
                    <w:p w14:paraId="7566D2D6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04B36444" w14:textId="4F20B25F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3.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Navýšené anebo interně refinancované úvěry</w:t>
                      </w:r>
                    </w:p>
                    <w:p w14:paraId="711A3661" w14:textId="2A271010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již byly </w:t>
                      </w:r>
                      <w:r w:rsidR="00647A7A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v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předchozí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vykazované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období součástí portfolia vykazujícího subjektu, a ve vykazovaném období u nich došlo k některé z následujících změn:</w:t>
                      </w:r>
                    </w:p>
                    <w:p w14:paraId="4A6B00C0" w14:textId="77777777" w:rsidR="00E818C3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navýšení sjednané částky </w:t>
                      </w:r>
                    </w:p>
                    <w:p w14:paraId="44682079" w14:textId="72C23671" w:rsidR="0001227F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došlo k takovým změnám, že původní úvěr byl v rámci vykazujícího subjektu refinancován/převeden na nový úvěr.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de</w:t>
                      </w:r>
                      <w:r w:rsidR="00CD28EC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tak o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skutečně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novou smlouvu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nikoli např. jen </w:t>
                      </w:r>
                      <w:r w:rsidR="007B79F6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nové ujednání v rámci refi</w:t>
                      </w:r>
                      <w:r w:rsidR="000F02C1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xace 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stávající smlouvy. Proto je objem takových úvěru ve statistice ČBA nižší oproti „ostatním novým ujednáním“ ve statistice České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árodní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anky.</w:t>
                      </w:r>
                    </w:p>
                    <w:p w14:paraId="1FAF8B9B" w14:textId="4C474A58" w:rsidR="006F08E1" w:rsidRPr="00616069" w:rsidRDefault="006F08E1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65FC0189" w14:textId="1B58C64B" w:rsidR="006F08E1" w:rsidRPr="00616069" w:rsidRDefault="001F49EA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Data pro ČBA Hypomonitor poskytují následující banky a stavební spořitelny: Air Bank, Česká spořitelna, ČSOB, ČSOB Stavební spořitelna, Fio banka, Hypoteční banka, Komerční banka, mBank, Modrá pyramida, MONETA Money Bank, MONETA Stavební spořitelna, Oberbank, </w:t>
                      </w:r>
                      <w:r w:rsidR="003E1AAB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Partners Banka,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Raiffeisen stavební spořitelna, Raiffeisenbank, Stavební spořitelna České spořitelny, UniCredit Bank.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7"/>
        <w:gridCol w:w="3384"/>
      </w:tblGrid>
      <w:tr w:rsidR="0028530F" w:rsidRPr="00D80B55" w14:paraId="4825E599" w14:textId="77777777" w:rsidTr="001B1140">
        <w:trPr>
          <w:trHeight w:val="1364"/>
        </w:trPr>
        <w:tc>
          <w:tcPr>
            <w:tcW w:w="6817" w:type="dxa"/>
            <w:shd w:val="clear" w:color="auto" w:fill="13576B"/>
          </w:tcPr>
          <w:p w14:paraId="1EB2DC0A" w14:textId="77777777" w:rsidR="0028530F" w:rsidRPr="00D80B55" w:rsidRDefault="0028530F" w:rsidP="001B1140">
            <w:pPr>
              <w:pStyle w:val="CBANadpis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>O České bankovní asociaci</w:t>
            </w:r>
          </w:p>
          <w:p w14:paraId="4EB0391C" w14:textId="376AE2CD" w:rsidR="0028530F" w:rsidRPr="00D80B55" w:rsidRDefault="0028530F" w:rsidP="001B1140">
            <w:pPr>
              <w:rPr>
                <w:rFonts w:cs="Arial"/>
                <w:color w:val="FFFFFF" w:themeColor="background1"/>
                <w:sz w:val="22"/>
              </w:rPr>
            </w:pPr>
            <w:r w:rsidRPr="00D80B55">
              <w:rPr>
                <w:rFonts w:cs="Arial"/>
                <w:color w:val="FFFFFF" w:themeColor="background1"/>
              </w:rPr>
              <w:t>Česká bankovní asociace (ČBA) je dobrovolné sdružení 3</w:t>
            </w:r>
            <w:r>
              <w:rPr>
                <w:rFonts w:cs="Arial"/>
                <w:color w:val="FFFFFF" w:themeColor="background1"/>
              </w:rPr>
              <w:t>3</w:t>
            </w:r>
            <w:r w:rsidRPr="00D80B55">
              <w:rPr>
                <w:rFonts w:cs="Arial"/>
                <w:color w:val="FFFFFF" w:themeColor="background1"/>
              </w:rPr>
              <w:t xml:space="preserve"> bank, které v ČR působí a reprezentuje tak 99 % trhu. </w:t>
            </w:r>
            <w:r>
              <w:rPr>
                <w:rFonts w:cs="Arial"/>
                <w:color w:val="FFFFFF" w:themeColor="background1"/>
              </w:rPr>
              <w:t>Více než</w:t>
            </w:r>
            <w:r w:rsidRPr="00D80B55">
              <w:rPr>
                <w:rFonts w:cs="Arial"/>
                <w:color w:val="FFFFFF" w:themeColor="background1"/>
              </w:rPr>
              <w:t xml:space="preserve"> 30 let podporuje nejen rozvoj bankovního sektoru, ale i celé ekonomiky a všeobecné finanční gramotnosti. ČBA je členem Evropské bankovní federace (EBF).</w:t>
            </w:r>
          </w:p>
          <w:p w14:paraId="598BB9F7" w14:textId="77777777" w:rsidR="0028530F" w:rsidRPr="00D80B55" w:rsidRDefault="0028530F" w:rsidP="001B1140">
            <w:pPr>
              <w:pStyle w:val="CBAodstavecvTABULCE"/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color w:val="FFFFFF" w:themeColor="background1"/>
                <w:szCs w:val="18"/>
              </w:rPr>
              <w:t xml:space="preserve">Více informací na </w:t>
            </w:r>
            <w:r w:rsidRPr="00D80B55">
              <w:rPr>
                <w:rFonts w:cs="Arial"/>
                <w:color w:val="FFFFFF" w:themeColor="background1"/>
                <w:szCs w:val="18"/>
                <w:u w:val="single"/>
              </w:rPr>
              <w:t>www.cbaonline.cz.</w:t>
            </w:r>
            <w:r w:rsidRPr="00D80B55">
              <w:rPr>
                <w:rFonts w:cs="Arial"/>
                <w:color w:val="A9936D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606A2DEB" w14:textId="77777777" w:rsidR="0028530F" w:rsidRPr="00D80B55" w:rsidRDefault="0028530F" w:rsidP="001B1140">
            <w:pPr>
              <w:pStyle w:val="CBAodstavecvTABULCE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 xml:space="preserve">                Dotazy posílejte na</w:t>
            </w:r>
          </w:p>
          <w:p w14:paraId="64706D81" w14:textId="77777777" w:rsidR="0028530F" w:rsidRPr="00D80B55" w:rsidRDefault="0028530F" w:rsidP="001B1140">
            <w:pPr>
              <w:pStyle w:val="CBAodstavecvTABULCE"/>
              <w:jc w:val="center"/>
              <w:rPr>
                <w:rFonts w:cs="Arial"/>
                <w:color w:val="FFFFFF" w:themeColor="background1"/>
                <w:szCs w:val="18"/>
              </w:rPr>
            </w:pPr>
            <w:r w:rsidRPr="00D80B55">
              <w:rPr>
                <w:rFonts w:cs="Arial"/>
                <w:b/>
                <w:bCs/>
                <w:color w:val="FFFFFF" w:themeColor="background1"/>
                <w:szCs w:val="18"/>
              </w:rPr>
              <w:t>radek.salsa@cbaonline.cz</w:t>
            </w:r>
          </w:p>
        </w:tc>
      </w:tr>
    </w:tbl>
    <w:p w14:paraId="79952D08" w14:textId="7B44AB4C" w:rsidR="00C42F00" w:rsidRPr="00B04FE2" w:rsidRDefault="00C42F00" w:rsidP="00CA3B41">
      <w:pPr>
        <w:rPr>
          <w:rFonts w:ascii="Calibri" w:hAnsi="Calibri" w:cs="Calibri"/>
          <w:sz w:val="22"/>
          <w:szCs w:val="22"/>
        </w:rPr>
      </w:pPr>
    </w:p>
    <w:sectPr w:rsidR="00C42F00" w:rsidRPr="00B04FE2" w:rsidSect="00A06A94">
      <w:headerReference w:type="default" r:id="rId25"/>
      <w:footerReference w:type="default" r:id="rId26"/>
      <w:pgSz w:w="11906" w:h="16838"/>
      <w:pgMar w:top="2552" w:right="849" w:bottom="156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96F7" w14:textId="77777777" w:rsidR="00376841" w:rsidRPr="00616069" w:rsidRDefault="00376841" w:rsidP="00F573F1">
      <w:r w:rsidRPr="00616069">
        <w:separator/>
      </w:r>
    </w:p>
  </w:endnote>
  <w:endnote w:type="continuationSeparator" w:id="0">
    <w:p w14:paraId="3E141E18" w14:textId="77777777" w:rsidR="00376841" w:rsidRPr="00616069" w:rsidRDefault="00376841" w:rsidP="00F573F1">
      <w:r w:rsidRPr="006160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690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EB97C" w14:textId="697C5AC2" w:rsidR="001E31AB" w:rsidRPr="00616069" w:rsidRDefault="001E31AB">
            <w:pPr>
              <w:pStyle w:val="Zpat"/>
              <w:jc w:val="right"/>
            </w:pPr>
            <w:r w:rsidRPr="00616069">
              <w:rPr>
                <w:rFonts w:ascii="Calibri" w:hAnsi="Calibri"/>
                <w:noProof/>
                <w:szCs w:val="18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7B2A8544" wp14:editId="09B386F6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-365760</wp:posOffset>
                  </wp:positionV>
                  <wp:extent cx="3042285" cy="701040"/>
                  <wp:effectExtent l="0" t="0" r="5715" b="0"/>
                  <wp:wrapNone/>
                  <wp:docPr id="1566919382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069">
              <w:rPr>
                <w:rFonts w:ascii="Calibri" w:hAnsi="Calibri"/>
                <w:szCs w:val="18"/>
              </w:rPr>
              <w:t xml:space="preserve">Stránka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PAGE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1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  <w:r w:rsidRPr="00616069">
              <w:rPr>
                <w:rFonts w:ascii="Calibri" w:hAnsi="Calibri"/>
                <w:szCs w:val="18"/>
              </w:rPr>
              <w:t xml:space="preserve"> z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NUMPAGES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2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616069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D59E" w14:textId="77777777" w:rsidR="00376841" w:rsidRPr="00616069" w:rsidRDefault="00376841" w:rsidP="00F573F1">
      <w:r w:rsidRPr="00616069">
        <w:separator/>
      </w:r>
    </w:p>
  </w:footnote>
  <w:footnote w:type="continuationSeparator" w:id="0">
    <w:p w14:paraId="497822EF" w14:textId="77777777" w:rsidR="00376841" w:rsidRPr="00616069" w:rsidRDefault="00376841" w:rsidP="00F573F1">
      <w:r w:rsidRPr="00616069">
        <w:continuationSeparator/>
      </w:r>
    </w:p>
  </w:footnote>
  <w:footnote w:id="1">
    <w:p w14:paraId="05CFF3F2" w14:textId="77777777" w:rsidR="00541D7D" w:rsidRPr="00616069" w:rsidRDefault="00541D7D" w:rsidP="00541D7D">
      <w:pPr>
        <w:pStyle w:val="Textpoznpodarou"/>
        <w:rPr>
          <w:rFonts w:ascii="Calibri" w:hAnsi="Calibri" w:cs="Calibri"/>
          <w:sz w:val="17"/>
          <w:szCs w:val="17"/>
        </w:rPr>
      </w:pPr>
      <w:r w:rsidRPr="00616069">
        <w:rPr>
          <w:rStyle w:val="Znakapoznpodarou"/>
          <w:rFonts w:ascii="Calibri" w:hAnsi="Calibri" w:cs="Calibri"/>
          <w:sz w:val="17"/>
          <w:szCs w:val="17"/>
        </w:rPr>
        <w:footnoteRef/>
      </w:r>
      <w:r w:rsidRPr="00616069">
        <w:rPr>
          <w:rFonts w:ascii="Calibri" w:hAnsi="Calibri" w:cs="Calibr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Jedná se především o dlouholeté úrokové swapy (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interest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rate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swap, IRS), které odráží cenu peněz v delších splatnostech, například </w:t>
      </w:r>
      <w:r>
        <w:rPr>
          <w:rFonts w:asciiTheme="majorHAnsi" w:hAnsiTheme="majorHAnsi" w:cstheme="majorHAnsi"/>
          <w:sz w:val="17"/>
          <w:szCs w:val="17"/>
        </w:rPr>
        <w:t>2</w:t>
      </w:r>
      <w:r w:rsidRPr="00616069">
        <w:rPr>
          <w:rFonts w:asciiTheme="majorHAnsi" w:hAnsiTheme="majorHAnsi" w:cstheme="majorHAnsi"/>
          <w:sz w:val="17"/>
          <w:szCs w:val="17"/>
        </w:rPr>
        <w:t xml:space="preserve"> až 10 let.</w:t>
      </w:r>
    </w:p>
  </w:footnote>
  <w:footnote w:id="2">
    <w:p w14:paraId="3F408451" w14:textId="77777777" w:rsidR="00952AEF" w:rsidRPr="00952AEF" w:rsidRDefault="00952AEF" w:rsidP="00952AEF">
      <w:pPr>
        <w:pStyle w:val="Textpoznpodarou"/>
        <w:rPr>
          <w:rFonts w:asciiTheme="majorHAnsi" w:hAnsiTheme="majorHAnsi" w:cstheme="majorHAnsi"/>
          <w:sz w:val="17"/>
          <w:szCs w:val="17"/>
        </w:rPr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Tabulka je k dispozici v souboru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xls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přiloženém na webových stránkách ČBA Hypomonitoru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4485" w14:textId="25969B31" w:rsidR="0065124E" w:rsidRPr="00616069" w:rsidRDefault="00A86552">
    <w:pPr>
      <w:pStyle w:val="Zhlav"/>
    </w:pPr>
    <w:r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CC7344" wp14:editId="2F0B41DB">
              <wp:simplePos x="0" y="0"/>
              <wp:positionH relativeFrom="margin">
                <wp:posOffset>2228694</wp:posOffset>
              </wp:positionH>
              <wp:positionV relativeFrom="paragraph">
                <wp:posOffset>214019</wp:posOffset>
              </wp:positionV>
              <wp:extent cx="2941608" cy="140462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60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6907" w14:textId="51A08B32" w:rsidR="00A86552" w:rsidRPr="00616069" w:rsidRDefault="00A86552" w:rsidP="00A86552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CC73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5.5pt;margin-top:16.85pt;width:23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Be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" filled="f" stroked="f">
              <v:textbox style="mso-fit-shape-to-text:t">
                <w:txbxContent>
                  <w:p w14:paraId="24986907" w14:textId="51A08B32" w:rsidR="00A86552" w:rsidRPr="00616069" w:rsidRDefault="00A86552" w:rsidP="00A86552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4C66" w:rsidRPr="006160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7D896D" wp14:editId="7A6FB449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127232028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720" w:rsidRPr="0061606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A1D7AA9" wp14:editId="7A7B0A01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68288928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720"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DE097" wp14:editId="755E40ED">
              <wp:simplePos x="0" y="0"/>
              <wp:positionH relativeFrom="margin">
                <wp:posOffset>5238115</wp:posOffset>
              </wp:positionH>
              <wp:positionV relativeFrom="paragraph">
                <wp:posOffset>153035</wp:posOffset>
              </wp:positionV>
              <wp:extent cx="1239520" cy="14046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E40D2" w14:textId="77777777" w:rsidR="002D4720" w:rsidRPr="00616069" w:rsidRDefault="002D4720" w:rsidP="002D472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  <w:t>KOMENTÁŘ</w:t>
                          </w:r>
                        </w:p>
                        <w:p w14:paraId="0A69756F" w14:textId="1B8E60EE" w:rsidR="002D4720" w:rsidRPr="00616069" w:rsidRDefault="007F41A0" w:rsidP="002138C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 xml:space="preserve">            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FC08D8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4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</w:t>
                          </w:r>
                          <w:r w:rsidR="00FC08D8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8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.202</w:t>
                          </w:r>
                          <w:r w:rsidR="002138C0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6DE097" id="_x0000_s1028" type="#_x0000_t202" style="position:absolute;left:0;text-align:left;margin-left:412.45pt;margin-top:12.05pt;width:9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" filled="f" stroked="f">
              <v:textbox style="mso-fit-shape-to-text:t">
                <w:txbxContent>
                  <w:p w14:paraId="15DE40D2" w14:textId="77777777" w:rsidR="002D4720" w:rsidRPr="00616069" w:rsidRDefault="002D4720" w:rsidP="002D472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  <w:t>KOMENTÁŘ</w:t>
                    </w:r>
                  </w:p>
                  <w:p w14:paraId="0A69756F" w14:textId="1B8E60EE" w:rsidR="002D4720" w:rsidRPr="00616069" w:rsidRDefault="007F41A0" w:rsidP="002138C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 xml:space="preserve">            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FC08D8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4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</w:t>
                    </w:r>
                    <w:r w:rsidR="00FC08D8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8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.202</w:t>
                    </w:r>
                    <w:r w:rsidR="002138C0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9A1"/>
    <w:multiLevelType w:val="hybridMultilevel"/>
    <w:tmpl w:val="28EA1BD4"/>
    <w:lvl w:ilvl="0" w:tplc="F8600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3A48A1"/>
    <w:multiLevelType w:val="hybridMultilevel"/>
    <w:tmpl w:val="6E121294"/>
    <w:lvl w:ilvl="0" w:tplc="BEC070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43AD"/>
    <w:multiLevelType w:val="hybridMultilevel"/>
    <w:tmpl w:val="EB82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D76"/>
    <w:multiLevelType w:val="hybridMultilevel"/>
    <w:tmpl w:val="6D52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C3C"/>
    <w:multiLevelType w:val="hybridMultilevel"/>
    <w:tmpl w:val="163C6E8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206309C"/>
    <w:multiLevelType w:val="hybridMultilevel"/>
    <w:tmpl w:val="855E01C6"/>
    <w:lvl w:ilvl="0" w:tplc="9F3AF1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919"/>
    <w:multiLevelType w:val="hybridMultilevel"/>
    <w:tmpl w:val="2B56FAFE"/>
    <w:lvl w:ilvl="0" w:tplc="698817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A4083"/>
    <w:multiLevelType w:val="hybridMultilevel"/>
    <w:tmpl w:val="3C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A4577"/>
    <w:multiLevelType w:val="hybridMultilevel"/>
    <w:tmpl w:val="553EAC9E"/>
    <w:lvl w:ilvl="0" w:tplc="8B20C2B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43A30"/>
    <w:multiLevelType w:val="hybridMultilevel"/>
    <w:tmpl w:val="26BEA028"/>
    <w:lvl w:ilvl="0" w:tplc="886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E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BB14DD"/>
    <w:multiLevelType w:val="hybridMultilevel"/>
    <w:tmpl w:val="17628C18"/>
    <w:lvl w:ilvl="0" w:tplc="E50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643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B6E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F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ECDB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6A6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85E4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F0E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AD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C5A2A51"/>
    <w:multiLevelType w:val="hybridMultilevel"/>
    <w:tmpl w:val="633C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CE5"/>
    <w:multiLevelType w:val="hybridMultilevel"/>
    <w:tmpl w:val="F91C69CC"/>
    <w:lvl w:ilvl="0" w:tplc="AA88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2B28"/>
    <w:multiLevelType w:val="hybridMultilevel"/>
    <w:tmpl w:val="A77C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0A7D"/>
    <w:multiLevelType w:val="hybridMultilevel"/>
    <w:tmpl w:val="E76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A024A"/>
    <w:multiLevelType w:val="hybridMultilevel"/>
    <w:tmpl w:val="123AA014"/>
    <w:lvl w:ilvl="0" w:tplc="A1E6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8A7633"/>
    <w:multiLevelType w:val="hybridMultilevel"/>
    <w:tmpl w:val="A68019BE"/>
    <w:lvl w:ilvl="0" w:tplc="D6B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6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9105EB"/>
    <w:multiLevelType w:val="hybridMultilevel"/>
    <w:tmpl w:val="25882682"/>
    <w:lvl w:ilvl="0" w:tplc="E586E02A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606843DC"/>
    <w:multiLevelType w:val="hybridMultilevel"/>
    <w:tmpl w:val="3E4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214D"/>
    <w:multiLevelType w:val="hybridMultilevel"/>
    <w:tmpl w:val="9F34024E"/>
    <w:lvl w:ilvl="0" w:tplc="ADB0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C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613CD2"/>
    <w:multiLevelType w:val="hybridMultilevel"/>
    <w:tmpl w:val="0CF0BB3A"/>
    <w:lvl w:ilvl="0" w:tplc="15082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B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5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65577F"/>
    <w:multiLevelType w:val="hybridMultilevel"/>
    <w:tmpl w:val="BBB23B48"/>
    <w:lvl w:ilvl="0" w:tplc="AC68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FD055A"/>
    <w:multiLevelType w:val="hybridMultilevel"/>
    <w:tmpl w:val="F490C3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EA509EA"/>
    <w:multiLevelType w:val="hybridMultilevel"/>
    <w:tmpl w:val="14E0161E"/>
    <w:lvl w:ilvl="0" w:tplc="9F3AF1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DE4F03"/>
    <w:multiLevelType w:val="hybridMultilevel"/>
    <w:tmpl w:val="D458DCC2"/>
    <w:lvl w:ilvl="0" w:tplc="ABAA372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767A3"/>
    <w:multiLevelType w:val="hybridMultilevel"/>
    <w:tmpl w:val="50648AEA"/>
    <w:lvl w:ilvl="0" w:tplc="A250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8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FB636A"/>
    <w:multiLevelType w:val="hybridMultilevel"/>
    <w:tmpl w:val="4454BAA0"/>
    <w:lvl w:ilvl="0" w:tplc="3A1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6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C2B4724"/>
    <w:multiLevelType w:val="hybridMultilevel"/>
    <w:tmpl w:val="A27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2314">
    <w:abstractNumId w:val="3"/>
  </w:num>
  <w:num w:numId="2" w16cid:durableId="1910113698">
    <w:abstractNumId w:val="9"/>
  </w:num>
  <w:num w:numId="3" w16cid:durableId="405613309">
    <w:abstractNumId w:val="26"/>
  </w:num>
  <w:num w:numId="4" w16cid:durableId="240213499">
    <w:abstractNumId w:val="15"/>
  </w:num>
  <w:num w:numId="5" w16cid:durableId="740492638">
    <w:abstractNumId w:val="5"/>
  </w:num>
  <w:num w:numId="6" w16cid:durableId="211576891">
    <w:abstractNumId w:val="24"/>
  </w:num>
  <w:num w:numId="7" w16cid:durableId="1918248069">
    <w:abstractNumId w:val="7"/>
  </w:num>
  <w:num w:numId="8" w16cid:durableId="1159419045">
    <w:abstractNumId w:val="29"/>
  </w:num>
  <w:num w:numId="9" w16cid:durableId="1798374138">
    <w:abstractNumId w:val="6"/>
  </w:num>
  <w:num w:numId="10" w16cid:durableId="1530677457">
    <w:abstractNumId w:val="25"/>
  </w:num>
  <w:num w:numId="11" w16cid:durableId="984315201">
    <w:abstractNumId w:val="2"/>
  </w:num>
  <w:num w:numId="12" w16cid:durableId="776219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10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389165">
    <w:abstractNumId w:val="16"/>
  </w:num>
  <w:num w:numId="15" w16cid:durableId="1323195451">
    <w:abstractNumId w:val="13"/>
  </w:num>
  <w:num w:numId="16" w16cid:durableId="467165265">
    <w:abstractNumId w:val="10"/>
  </w:num>
  <w:num w:numId="17" w16cid:durableId="676033370">
    <w:abstractNumId w:val="12"/>
  </w:num>
  <w:num w:numId="18" w16cid:durableId="1742554342">
    <w:abstractNumId w:val="18"/>
  </w:num>
  <w:num w:numId="19" w16cid:durableId="613287013">
    <w:abstractNumId w:val="21"/>
  </w:num>
  <w:num w:numId="20" w16cid:durableId="8067070">
    <w:abstractNumId w:val="11"/>
  </w:num>
  <w:num w:numId="21" w16cid:durableId="825434180">
    <w:abstractNumId w:val="0"/>
  </w:num>
  <w:num w:numId="22" w16cid:durableId="1082681076">
    <w:abstractNumId w:val="23"/>
  </w:num>
  <w:num w:numId="23" w16cid:durableId="1901165520">
    <w:abstractNumId w:val="28"/>
  </w:num>
  <w:num w:numId="24" w16cid:durableId="1991010767">
    <w:abstractNumId w:val="22"/>
  </w:num>
  <w:num w:numId="25" w16cid:durableId="1542282676">
    <w:abstractNumId w:val="17"/>
  </w:num>
  <w:num w:numId="26" w16cid:durableId="986973659">
    <w:abstractNumId w:val="14"/>
  </w:num>
  <w:num w:numId="27" w16cid:durableId="815336034">
    <w:abstractNumId w:val="27"/>
  </w:num>
  <w:num w:numId="28" w16cid:durableId="1895651473">
    <w:abstractNumId w:val="8"/>
  </w:num>
  <w:num w:numId="29" w16cid:durableId="1858687908">
    <w:abstractNumId w:val="4"/>
  </w:num>
  <w:num w:numId="30" w16cid:durableId="1758164458">
    <w:abstractNumId w:val="20"/>
  </w:num>
  <w:num w:numId="31" w16cid:durableId="1425541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954"/>
    <w:rsid w:val="00001C42"/>
    <w:rsid w:val="00001E72"/>
    <w:rsid w:val="0000226C"/>
    <w:rsid w:val="0000363D"/>
    <w:rsid w:val="00004596"/>
    <w:rsid w:val="00004B72"/>
    <w:rsid w:val="00005419"/>
    <w:rsid w:val="000054D2"/>
    <w:rsid w:val="00005B3F"/>
    <w:rsid w:val="00006511"/>
    <w:rsid w:val="00006C79"/>
    <w:rsid w:val="000070E2"/>
    <w:rsid w:val="00010564"/>
    <w:rsid w:val="000118C2"/>
    <w:rsid w:val="00011AF5"/>
    <w:rsid w:val="0001227F"/>
    <w:rsid w:val="00015933"/>
    <w:rsid w:val="000159E5"/>
    <w:rsid w:val="0001656C"/>
    <w:rsid w:val="000175B3"/>
    <w:rsid w:val="000176E6"/>
    <w:rsid w:val="000202BA"/>
    <w:rsid w:val="00020581"/>
    <w:rsid w:val="00020ED0"/>
    <w:rsid w:val="00020FE5"/>
    <w:rsid w:val="000213CC"/>
    <w:rsid w:val="000221E0"/>
    <w:rsid w:val="00023E9F"/>
    <w:rsid w:val="00024480"/>
    <w:rsid w:val="0002473E"/>
    <w:rsid w:val="000264B4"/>
    <w:rsid w:val="000265A3"/>
    <w:rsid w:val="00027099"/>
    <w:rsid w:val="00027B22"/>
    <w:rsid w:val="00027BAD"/>
    <w:rsid w:val="00031418"/>
    <w:rsid w:val="00031478"/>
    <w:rsid w:val="00031DC0"/>
    <w:rsid w:val="00035040"/>
    <w:rsid w:val="00036FAB"/>
    <w:rsid w:val="00037707"/>
    <w:rsid w:val="00037C17"/>
    <w:rsid w:val="00040FA4"/>
    <w:rsid w:val="000427B8"/>
    <w:rsid w:val="00043889"/>
    <w:rsid w:val="00043DB1"/>
    <w:rsid w:val="00044002"/>
    <w:rsid w:val="000444EA"/>
    <w:rsid w:val="000458CD"/>
    <w:rsid w:val="0004612A"/>
    <w:rsid w:val="00047DF1"/>
    <w:rsid w:val="000509DD"/>
    <w:rsid w:val="00050AF7"/>
    <w:rsid w:val="00051022"/>
    <w:rsid w:val="00051A5B"/>
    <w:rsid w:val="00052C6A"/>
    <w:rsid w:val="00053780"/>
    <w:rsid w:val="00053EE4"/>
    <w:rsid w:val="000559DE"/>
    <w:rsid w:val="00055CBC"/>
    <w:rsid w:val="000563EB"/>
    <w:rsid w:val="00056A4F"/>
    <w:rsid w:val="00057396"/>
    <w:rsid w:val="000606C6"/>
    <w:rsid w:val="00060D7F"/>
    <w:rsid w:val="00063DEB"/>
    <w:rsid w:val="00066F52"/>
    <w:rsid w:val="0006711A"/>
    <w:rsid w:val="00072447"/>
    <w:rsid w:val="00072DB9"/>
    <w:rsid w:val="000733AD"/>
    <w:rsid w:val="0007445A"/>
    <w:rsid w:val="00074C45"/>
    <w:rsid w:val="000752D6"/>
    <w:rsid w:val="00075932"/>
    <w:rsid w:val="0007638A"/>
    <w:rsid w:val="00076C37"/>
    <w:rsid w:val="000770D8"/>
    <w:rsid w:val="00080102"/>
    <w:rsid w:val="00081E35"/>
    <w:rsid w:val="00083D1A"/>
    <w:rsid w:val="000841C2"/>
    <w:rsid w:val="000842AE"/>
    <w:rsid w:val="00084CF9"/>
    <w:rsid w:val="00086094"/>
    <w:rsid w:val="00086BE0"/>
    <w:rsid w:val="0008743D"/>
    <w:rsid w:val="000900C9"/>
    <w:rsid w:val="0009101B"/>
    <w:rsid w:val="00091B3B"/>
    <w:rsid w:val="0009491E"/>
    <w:rsid w:val="00097293"/>
    <w:rsid w:val="000976B9"/>
    <w:rsid w:val="00097B42"/>
    <w:rsid w:val="000A019A"/>
    <w:rsid w:val="000A0285"/>
    <w:rsid w:val="000A0ECE"/>
    <w:rsid w:val="000A16EA"/>
    <w:rsid w:val="000A2779"/>
    <w:rsid w:val="000A29DE"/>
    <w:rsid w:val="000A2C3B"/>
    <w:rsid w:val="000A3ECF"/>
    <w:rsid w:val="000A4D59"/>
    <w:rsid w:val="000A5220"/>
    <w:rsid w:val="000A549A"/>
    <w:rsid w:val="000A6121"/>
    <w:rsid w:val="000A664C"/>
    <w:rsid w:val="000B064D"/>
    <w:rsid w:val="000B0992"/>
    <w:rsid w:val="000B2005"/>
    <w:rsid w:val="000B3BFA"/>
    <w:rsid w:val="000B4C8F"/>
    <w:rsid w:val="000B510F"/>
    <w:rsid w:val="000B51A4"/>
    <w:rsid w:val="000B70C8"/>
    <w:rsid w:val="000B79A4"/>
    <w:rsid w:val="000C045B"/>
    <w:rsid w:val="000C11CC"/>
    <w:rsid w:val="000C12D3"/>
    <w:rsid w:val="000C12F1"/>
    <w:rsid w:val="000C1E4E"/>
    <w:rsid w:val="000C234E"/>
    <w:rsid w:val="000C3211"/>
    <w:rsid w:val="000C4910"/>
    <w:rsid w:val="000C502F"/>
    <w:rsid w:val="000C5651"/>
    <w:rsid w:val="000C6834"/>
    <w:rsid w:val="000C78A3"/>
    <w:rsid w:val="000D011A"/>
    <w:rsid w:val="000D02A4"/>
    <w:rsid w:val="000D1749"/>
    <w:rsid w:val="000D1D61"/>
    <w:rsid w:val="000D32BB"/>
    <w:rsid w:val="000D49D0"/>
    <w:rsid w:val="000D4F26"/>
    <w:rsid w:val="000D56F1"/>
    <w:rsid w:val="000D5D2B"/>
    <w:rsid w:val="000D684D"/>
    <w:rsid w:val="000D6EF9"/>
    <w:rsid w:val="000E087A"/>
    <w:rsid w:val="000E0B50"/>
    <w:rsid w:val="000E0C43"/>
    <w:rsid w:val="000E1975"/>
    <w:rsid w:val="000E2B4E"/>
    <w:rsid w:val="000E2FCE"/>
    <w:rsid w:val="000E3B1C"/>
    <w:rsid w:val="000E4810"/>
    <w:rsid w:val="000E4ABC"/>
    <w:rsid w:val="000E563F"/>
    <w:rsid w:val="000E59CE"/>
    <w:rsid w:val="000E5F43"/>
    <w:rsid w:val="000F02C1"/>
    <w:rsid w:val="000F02FD"/>
    <w:rsid w:val="000F0342"/>
    <w:rsid w:val="000F0636"/>
    <w:rsid w:val="000F0A03"/>
    <w:rsid w:val="000F0B04"/>
    <w:rsid w:val="000F30E9"/>
    <w:rsid w:val="000F426C"/>
    <w:rsid w:val="000F4318"/>
    <w:rsid w:val="000F617D"/>
    <w:rsid w:val="000F61F5"/>
    <w:rsid w:val="000F680C"/>
    <w:rsid w:val="000F70CA"/>
    <w:rsid w:val="00100269"/>
    <w:rsid w:val="001002CD"/>
    <w:rsid w:val="00100394"/>
    <w:rsid w:val="0010159F"/>
    <w:rsid w:val="00102262"/>
    <w:rsid w:val="0010268F"/>
    <w:rsid w:val="0010277A"/>
    <w:rsid w:val="00102D9A"/>
    <w:rsid w:val="00103662"/>
    <w:rsid w:val="0010371D"/>
    <w:rsid w:val="00105514"/>
    <w:rsid w:val="00105918"/>
    <w:rsid w:val="00105ACC"/>
    <w:rsid w:val="00105DB5"/>
    <w:rsid w:val="00106451"/>
    <w:rsid w:val="00106D78"/>
    <w:rsid w:val="00106F70"/>
    <w:rsid w:val="00107915"/>
    <w:rsid w:val="001102C6"/>
    <w:rsid w:val="001104C5"/>
    <w:rsid w:val="001106DD"/>
    <w:rsid w:val="00110C31"/>
    <w:rsid w:val="0011113B"/>
    <w:rsid w:val="001126B2"/>
    <w:rsid w:val="00112AA1"/>
    <w:rsid w:val="00112C5A"/>
    <w:rsid w:val="00112D3E"/>
    <w:rsid w:val="00112E70"/>
    <w:rsid w:val="0011443F"/>
    <w:rsid w:val="0011553C"/>
    <w:rsid w:val="00115D53"/>
    <w:rsid w:val="00115DDC"/>
    <w:rsid w:val="00116003"/>
    <w:rsid w:val="00116F4B"/>
    <w:rsid w:val="001177C9"/>
    <w:rsid w:val="00117860"/>
    <w:rsid w:val="00120FB7"/>
    <w:rsid w:val="001226BC"/>
    <w:rsid w:val="00122810"/>
    <w:rsid w:val="00122CC4"/>
    <w:rsid w:val="0012351B"/>
    <w:rsid w:val="00123FF9"/>
    <w:rsid w:val="00124EF9"/>
    <w:rsid w:val="001253CC"/>
    <w:rsid w:val="001259D2"/>
    <w:rsid w:val="00126A7F"/>
    <w:rsid w:val="00130063"/>
    <w:rsid w:val="00130359"/>
    <w:rsid w:val="001306A2"/>
    <w:rsid w:val="00131D36"/>
    <w:rsid w:val="00131E94"/>
    <w:rsid w:val="00132EE9"/>
    <w:rsid w:val="0013407D"/>
    <w:rsid w:val="001348D9"/>
    <w:rsid w:val="00134A41"/>
    <w:rsid w:val="001361CA"/>
    <w:rsid w:val="00136519"/>
    <w:rsid w:val="0013679D"/>
    <w:rsid w:val="00136825"/>
    <w:rsid w:val="00136D3A"/>
    <w:rsid w:val="00136EC9"/>
    <w:rsid w:val="00136FC5"/>
    <w:rsid w:val="00137050"/>
    <w:rsid w:val="0013716D"/>
    <w:rsid w:val="00137560"/>
    <w:rsid w:val="00140854"/>
    <w:rsid w:val="00140E10"/>
    <w:rsid w:val="001438F4"/>
    <w:rsid w:val="00143BF5"/>
    <w:rsid w:val="00143DCC"/>
    <w:rsid w:val="00144794"/>
    <w:rsid w:val="00144D53"/>
    <w:rsid w:val="00144D9A"/>
    <w:rsid w:val="00145506"/>
    <w:rsid w:val="001457AA"/>
    <w:rsid w:val="00145E7A"/>
    <w:rsid w:val="00146F46"/>
    <w:rsid w:val="0015125A"/>
    <w:rsid w:val="00151A74"/>
    <w:rsid w:val="001526EE"/>
    <w:rsid w:val="0015278B"/>
    <w:rsid w:val="0015295E"/>
    <w:rsid w:val="00152A73"/>
    <w:rsid w:val="001534F6"/>
    <w:rsid w:val="00154B70"/>
    <w:rsid w:val="00154EE2"/>
    <w:rsid w:val="001553F8"/>
    <w:rsid w:val="00155A3F"/>
    <w:rsid w:val="00157080"/>
    <w:rsid w:val="001570E1"/>
    <w:rsid w:val="00157C6A"/>
    <w:rsid w:val="001605B3"/>
    <w:rsid w:val="001622C2"/>
    <w:rsid w:val="00162D23"/>
    <w:rsid w:val="001633ED"/>
    <w:rsid w:val="00163F5F"/>
    <w:rsid w:val="00165DDC"/>
    <w:rsid w:val="0016769F"/>
    <w:rsid w:val="00170298"/>
    <w:rsid w:val="00170CF6"/>
    <w:rsid w:val="001715A2"/>
    <w:rsid w:val="0017388B"/>
    <w:rsid w:val="00173D31"/>
    <w:rsid w:val="0017441E"/>
    <w:rsid w:val="0017486D"/>
    <w:rsid w:val="00175839"/>
    <w:rsid w:val="00175A85"/>
    <w:rsid w:val="00175E6C"/>
    <w:rsid w:val="00175FBC"/>
    <w:rsid w:val="00176669"/>
    <w:rsid w:val="001766FF"/>
    <w:rsid w:val="00176C20"/>
    <w:rsid w:val="00176DFC"/>
    <w:rsid w:val="00177598"/>
    <w:rsid w:val="00180856"/>
    <w:rsid w:val="0018097B"/>
    <w:rsid w:val="00180A13"/>
    <w:rsid w:val="00182C97"/>
    <w:rsid w:val="00183066"/>
    <w:rsid w:val="001833C7"/>
    <w:rsid w:val="00183FB4"/>
    <w:rsid w:val="00184412"/>
    <w:rsid w:val="00186A72"/>
    <w:rsid w:val="001903B2"/>
    <w:rsid w:val="001906F3"/>
    <w:rsid w:val="00192933"/>
    <w:rsid w:val="001929FC"/>
    <w:rsid w:val="00195C6D"/>
    <w:rsid w:val="001961C5"/>
    <w:rsid w:val="00196F95"/>
    <w:rsid w:val="00197315"/>
    <w:rsid w:val="0019772B"/>
    <w:rsid w:val="001A05A9"/>
    <w:rsid w:val="001A2614"/>
    <w:rsid w:val="001A2623"/>
    <w:rsid w:val="001A463E"/>
    <w:rsid w:val="001A46CC"/>
    <w:rsid w:val="001A6304"/>
    <w:rsid w:val="001B1060"/>
    <w:rsid w:val="001B11F1"/>
    <w:rsid w:val="001B1467"/>
    <w:rsid w:val="001B1C5E"/>
    <w:rsid w:val="001B2B23"/>
    <w:rsid w:val="001B3197"/>
    <w:rsid w:val="001B39D3"/>
    <w:rsid w:val="001B4DA8"/>
    <w:rsid w:val="001B59D9"/>
    <w:rsid w:val="001B5F14"/>
    <w:rsid w:val="001B6935"/>
    <w:rsid w:val="001B7154"/>
    <w:rsid w:val="001C091C"/>
    <w:rsid w:val="001C121C"/>
    <w:rsid w:val="001C150C"/>
    <w:rsid w:val="001C1FAA"/>
    <w:rsid w:val="001C2261"/>
    <w:rsid w:val="001C266E"/>
    <w:rsid w:val="001C280D"/>
    <w:rsid w:val="001C306A"/>
    <w:rsid w:val="001C49DC"/>
    <w:rsid w:val="001C6945"/>
    <w:rsid w:val="001C698F"/>
    <w:rsid w:val="001C7200"/>
    <w:rsid w:val="001C7CD3"/>
    <w:rsid w:val="001C7F88"/>
    <w:rsid w:val="001D12D6"/>
    <w:rsid w:val="001D169B"/>
    <w:rsid w:val="001D1B1C"/>
    <w:rsid w:val="001D2B76"/>
    <w:rsid w:val="001D2C14"/>
    <w:rsid w:val="001D2ECE"/>
    <w:rsid w:val="001D3292"/>
    <w:rsid w:val="001D39E5"/>
    <w:rsid w:val="001D3C90"/>
    <w:rsid w:val="001D43DB"/>
    <w:rsid w:val="001D474C"/>
    <w:rsid w:val="001D5BB9"/>
    <w:rsid w:val="001D6B1A"/>
    <w:rsid w:val="001D7365"/>
    <w:rsid w:val="001D7DA5"/>
    <w:rsid w:val="001E15FD"/>
    <w:rsid w:val="001E1AED"/>
    <w:rsid w:val="001E27B8"/>
    <w:rsid w:val="001E31AB"/>
    <w:rsid w:val="001E3706"/>
    <w:rsid w:val="001E4032"/>
    <w:rsid w:val="001E432A"/>
    <w:rsid w:val="001E4370"/>
    <w:rsid w:val="001E4D27"/>
    <w:rsid w:val="001E5169"/>
    <w:rsid w:val="001E5571"/>
    <w:rsid w:val="001E60C5"/>
    <w:rsid w:val="001E6F5D"/>
    <w:rsid w:val="001E71FE"/>
    <w:rsid w:val="001F0819"/>
    <w:rsid w:val="001F1677"/>
    <w:rsid w:val="001F1C52"/>
    <w:rsid w:val="001F2A1F"/>
    <w:rsid w:val="001F3DF4"/>
    <w:rsid w:val="001F49EA"/>
    <w:rsid w:val="001F5CF7"/>
    <w:rsid w:val="001F64C3"/>
    <w:rsid w:val="001F6A78"/>
    <w:rsid w:val="001F6E8A"/>
    <w:rsid w:val="001F72D8"/>
    <w:rsid w:val="001F7B28"/>
    <w:rsid w:val="002010C8"/>
    <w:rsid w:val="0020111C"/>
    <w:rsid w:val="0020121A"/>
    <w:rsid w:val="00201DDA"/>
    <w:rsid w:val="002027D4"/>
    <w:rsid w:val="0020296D"/>
    <w:rsid w:val="00203021"/>
    <w:rsid w:val="00203302"/>
    <w:rsid w:val="00203A7B"/>
    <w:rsid w:val="00203F87"/>
    <w:rsid w:val="002045A5"/>
    <w:rsid w:val="0020488B"/>
    <w:rsid w:val="00204F09"/>
    <w:rsid w:val="0020667A"/>
    <w:rsid w:val="0020698C"/>
    <w:rsid w:val="00206F7E"/>
    <w:rsid w:val="00207AE7"/>
    <w:rsid w:val="00207CB1"/>
    <w:rsid w:val="002105A2"/>
    <w:rsid w:val="00210A9C"/>
    <w:rsid w:val="00211E6F"/>
    <w:rsid w:val="002128AF"/>
    <w:rsid w:val="002137B0"/>
    <w:rsid w:val="002138C0"/>
    <w:rsid w:val="002150BF"/>
    <w:rsid w:val="00215481"/>
    <w:rsid w:val="00216187"/>
    <w:rsid w:val="00216A54"/>
    <w:rsid w:val="00217881"/>
    <w:rsid w:val="0022075B"/>
    <w:rsid w:val="00221F77"/>
    <w:rsid w:val="00221FF5"/>
    <w:rsid w:val="002226C1"/>
    <w:rsid w:val="00222917"/>
    <w:rsid w:val="00222DB9"/>
    <w:rsid w:val="002244BA"/>
    <w:rsid w:val="00224E2B"/>
    <w:rsid w:val="0022581B"/>
    <w:rsid w:val="00225F51"/>
    <w:rsid w:val="0022648E"/>
    <w:rsid w:val="00226AB8"/>
    <w:rsid w:val="00226F32"/>
    <w:rsid w:val="00227ACD"/>
    <w:rsid w:val="00227C82"/>
    <w:rsid w:val="0023165F"/>
    <w:rsid w:val="00231F3A"/>
    <w:rsid w:val="002328F4"/>
    <w:rsid w:val="0023390F"/>
    <w:rsid w:val="0023393E"/>
    <w:rsid w:val="0023493E"/>
    <w:rsid w:val="00235942"/>
    <w:rsid w:val="00236538"/>
    <w:rsid w:val="0023703D"/>
    <w:rsid w:val="002375B2"/>
    <w:rsid w:val="00237A71"/>
    <w:rsid w:val="00237E0B"/>
    <w:rsid w:val="00242D73"/>
    <w:rsid w:val="002443DF"/>
    <w:rsid w:val="002446E1"/>
    <w:rsid w:val="00244923"/>
    <w:rsid w:val="002472A6"/>
    <w:rsid w:val="00247512"/>
    <w:rsid w:val="00247A4D"/>
    <w:rsid w:val="00250212"/>
    <w:rsid w:val="002507F2"/>
    <w:rsid w:val="00250C73"/>
    <w:rsid w:val="00251163"/>
    <w:rsid w:val="00251393"/>
    <w:rsid w:val="0025241A"/>
    <w:rsid w:val="0025305E"/>
    <w:rsid w:val="00253D09"/>
    <w:rsid w:val="00254CA2"/>
    <w:rsid w:val="002556C2"/>
    <w:rsid w:val="00256268"/>
    <w:rsid w:val="002567A3"/>
    <w:rsid w:val="00260219"/>
    <w:rsid w:val="00260B2C"/>
    <w:rsid w:val="0026106F"/>
    <w:rsid w:val="0026210C"/>
    <w:rsid w:val="00262B7F"/>
    <w:rsid w:val="00263207"/>
    <w:rsid w:val="00264741"/>
    <w:rsid w:val="00264C92"/>
    <w:rsid w:val="0026639E"/>
    <w:rsid w:val="00266980"/>
    <w:rsid w:val="00266ACC"/>
    <w:rsid w:val="00267ACA"/>
    <w:rsid w:val="002707C5"/>
    <w:rsid w:val="00270A4E"/>
    <w:rsid w:val="00270E60"/>
    <w:rsid w:val="00270F52"/>
    <w:rsid w:val="00271563"/>
    <w:rsid w:val="00271569"/>
    <w:rsid w:val="00272177"/>
    <w:rsid w:val="002725DA"/>
    <w:rsid w:val="00274645"/>
    <w:rsid w:val="002748F6"/>
    <w:rsid w:val="00274D15"/>
    <w:rsid w:val="00275209"/>
    <w:rsid w:val="00277397"/>
    <w:rsid w:val="00277D90"/>
    <w:rsid w:val="0028055F"/>
    <w:rsid w:val="002808DB"/>
    <w:rsid w:val="00280AB4"/>
    <w:rsid w:val="00280D31"/>
    <w:rsid w:val="00280F92"/>
    <w:rsid w:val="002817B5"/>
    <w:rsid w:val="00282BE6"/>
    <w:rsid w:val="00283681"/>
    <w:rsid w:val="00284721"/>
    <w:rsid w:val="0028530F"/>
    <w:rsid w:val="002853A9"/>
    <w:rsid w:val="00285A75"/>
    <w:rsid w:val="00287580"/>
    <w:rsid w:val="00290498"/>
    <w:rsid w:val="0029071C"/>
    <w:rsid w:val="00291656"/>
    <w:rsid w:val="0029179B"/>
    <w:rsid w:val="00291BE8"/>
    <w:rsid w:val="00293122"/>
    <w:rsid w:val="0029502E"/>
    <w:rsid w:val="00296021"/>
    <w:rsid w:val="0029774E"/>
    <w:rsid w:val="00297B85"/>
    <w:rsid w:val="002A0002"/>
    <w:rsid w:val="002A02A1"/>
    <w:rsid w:val="002A04EB"/>
    <w:rsid w:val="002A07F7"/>
    <w:rsid w:val="002A1748"/>
    <w:rsid w:val="002A23FA"/>
    <w:rsid w:val="002A266C"/>
    <w:rsid w:val="002A2CE3"/>
    <w:rsid w:val="002A31A1"/>
    <w:rsid w:val="002A3CF3"/>
    <w:rsid w:val="002A3F7E"/>
    <w:rsid w:val="002A4191"/>
    <w:rsid w:val="002A5D11"/>
    <w:rsid w:val="002A6290"/>
    <w:rsid w:val="002A6A60"/>
    <w:rsid w:val="002B1743"/>
    <w:rsid w:val="002B1996"/>
    <w:rsid w:val="002B35B7"/>
    <w:rsid w:val="002B3AB2"/>
    <w:rsid w:val="002B4617"/>
    <w:rsid w:val="002B4641"/>
    <w:rsid w:val="002B5069"/>
    <w:rsid w:val="002B58A5"/>
    <w:rsid w:val="002B724C"/>
    <w:rsid w:val="002C02A9"/>
    <w:rsid w:val="002C0719"/>
    <w:rsid w:val="002C179D"/>
    <w:rsid w:val="002C18CD"/>
    <w:rsid w:val="002C2C2B"/>
    <w:rsid w:val="002C30D4"/>
    <w:rsid w:val="002C47FE"/>
    <w:rsid w:val="002C513E"/>
    <w:rsid w:val="002D1376"/>
    <w:rsid w:val="002D238E"/>
    <w:rsid w:val="002D2A30"/>
    <w:rsid w:val="002D2DC7"/>
    <w:rsid w:val="002D3F94"/>
    <w:rsid w:val="002D4720"/>
    <w:rsid w:val="002D49FB"/>
    <w:rsid w:val="002D4A25"/>
    <w:rsid w:val="002D4DF8"/>
    <w:rsid w:val="002D6038"/>
    <w:rsid w:val="002E0041"/>
    <w:rsid w:val="002E1390"/>
    <w:rsid w:val="002E1AEB"/>
    <w:rsid w:val="002E1DBF"/>
    <w:rsid w:val="002E2498"/>
    <w:rsid w:val="002E3105"/>
    <w:rsid w:val="002E320D"/>
    <w:rsid w:val="002E3E1D"/>
    <w:rsid w:val="002E4CA1"/>
    <w:rsid w:val="002E4EFD"/>
    <w:rsid w:val="002E5E57"/>
    <w:rsid w:val="002E6192"/>
    <w:rsid w:val="002E6312"/>
    <w:rsid w:val="002E6C7C"/>
    <w:rsid w:val="002F0118"/>
    <w:rsid w:val="002F0F08"/>
    <w:rsid w:val="002F1752"/>
    <w:rsid w:val="002F1AFD"/>
    <w:rsid w:val="002F20C7"/>
    <w:rsid w:val="002F2F90"/>
    <w:rsid w:val="002F2FAA"/>
    <w:rsid w:val="002F4373"/>
    <w:rsid w:val="002F477C"/>
    <w:rsid w:val="002F4A74"/>
    <w:rsid w:val="002F4CBD"/>
    <w:rsid w:val="002F4CDA"/>
    <w:rsid w:val="002F506A"/>
    <w:rsid w:val="002F52DA"/>
    <w:rsid w:val="002F557F"/>
    <w:rsid w:val="002F6432"/>
    <w:rsid w:val="003012B9"/>
    <w:rsid w:val="0030161E"/>
    <w:rsid w:val="00301915"/>
    <w:rsid w:val="003028DC"/>
    <w:rsid w:val="003029D1"/>
    <w:rsid w:val="0030348A"/>
    <w:rsid w:val="003045DD"/>
    <w:rsid w:val="00304727"/>
    <w:rsid w:val="0030613B"/>
    <w:rsid w:val="00306844"/>
    <w:rsid w:val="003077DD"/>
    <w:rsid w:val="003111F3"/>
    <w:rsid w:val="003131EC"/>
    <w:rsid w:val="003134AE"/>
    <w:rsid w:val="00313DD8"/>
    <w:rsid w:val="003142AD"/>
    <w:rsid w:val="003143A4"/>
    <w:rsid w:val="00314AB6"/>
    <w:rsid w:val="00314CF6"/>
    <w:rsid w:val="00315F32"/>
    <w:rsid w:val="00316BAA"/>
    <w:rsid w:val="00317242"/>
    <w:rsid w:val="00320811"/>
    <w:rsid w:val="00322BF9"/>
    <w:rsid w:val="00324743"/>
    <w:rsid w:val="00324769"/>
    <w:rsid w:val="00324B27"/>
    <w:rsid w:val="003253AF"/>
    <w:rsid w:val="003258C4"/>
    <w:rsid w:val="00327407"/>
    <w:rsid w:val="00327CB6"/>
    <w:rsid w:val="00330A92"/>
    <w:rsid w:val="003315E9"/>
    <w:rsid w:val="0033298A"/>
    <w:rsid w:val="00333B31"/>
    <w:rsid w:val="00334257"/>
    <w:rsid w:val="0033440C"/>
    <w:rsid w:val="00335341"/>
    <w:rsid w:val="00335B88"/>
    <w:rsid w:val="00336412"/>
    <w:rsid w:val="00336CA6"/>
    <w:rsid w:val="00337157"/>
    <w:rsid w:val="003373BE"/>
    <w:rsid w:val="00340F22"/>
    <w:rsid w:val="003411DB"/>
    <w:rsid w:val="003417B4"/>
    <w:rsid w:val="00341D86"/>
    <w:rsid w:val="003423A7"/>
    <w:rsid w:val="003426EE"/>
    <w:rsid w:val="0034310E"/>
    <w:rsid w:val="00344213"/>
    <w:rsid w:val="003444F4"/>
    <w:rsid w:val="00344B88"/>
    <w:rsid w:val="00344EBB"/>
    <w:rsid w:val="00345842"/>
    <w:rsid w:val="0034612F"/>
    <w:rsid w:val="00346684"/>
    <w:rsid w:val="003472AF"/>
    <w:rsid w:val="00347FD9"/>
    <w:rsid w:val="003508FE"/>
    <w:rsid w:val="00351369"/>
    <w:rsid w:val="0035167B"/>
    <w:rsid w:val="003522BD"/>
    <w:rsid w:val="00352D4E"/>
    <w:rsid w:val="003543D2"/>
    <w:rsid w:val="0035493D"/>
    <w:rsid w:val="00356528"/>
    <w:rsid w:val="00356C7A"/>
    <w:rsid w:val="00356FF7"/>
    <w:rsid w:val="0035718C"/>
    <w:rsid w:val="003600A2"/>
    <w:rsid w:val="003608A1"/>
    <w:rsid w:val="003608FD"/>
    <w:rsid w:val="0036420C"/>
    <w:rsid w:val="00364A11"/>
    <w:rsid w:val="00366057"/>
    <w:rsid w:val="00366A68"/>
    <w:rsid w:val="003677E2"/>
    <w:rsid w:val="0037051F"/>
    <w:rsid w:val="003707E0"/>
    <w:rsid w:val="00370F35"/>
    <w:rsid w:val="003725F0"/>
    <w:rsid w:val="003732C7"/>
    <w:rsid w:val="0037346E"/>
    <w:rsid w:val="003739F0"/>
    <w:rsid w:val="00373FC2"/>
    <w:rsid w:val="003742A8"/>
    <w:rsid w:val="003749A5"/>
    <w:rsid w:val="00375CF8"/>
    <w:rsid w:val="00376841"/>
    <w:rsid w:val="00376918"/>
    <w:rsid w:val="00376F07"/>
    <w:rsid w:val="003775A3"/>
    <w:rsid w:val="00380502"/>
    <w:rsid w:val="00380788"/>
    <w:rsid w:val="003809CD"/>
    <w:rsid w:val="00381524"/>
    <w:rsid w:val="00381FAF"/>
    <w:rsid w:val="00383D10"/>
    <w:rsid w:val="00384170"/>
    <w:rsid w:val="003847A3"/>
    <w:rsid w:val="00385683"/>
    <w:rsid w:val="00386E7F"/>
    <w:rsid w:val="00387749"/>
    <w:rsid w:val="00387CB8"/>
    <w:rsid w:val="0039010C"/>
    <w:rsid w:val="00390C7F"/>
    <w:rsid w:val="00390E5C"/>
    <w:rsid w:val="00391AED"/>
    <w:rsid w:val="00391C4B"/>
    <w:rsid w:val="00391FA6"/>
    <w:rsid w:val="00393046"/>
    <w:rsid w:val="00394F6F"/>
    <w:rsid w:val="00395026"/>
    <w:rsid w:val="003952ED"/>
    <w:rsid w:val="00395549"/>
    <w:rsid w:val="00395F29"/>
    <w:rsid w:val="00396610"/>
    <w:rsid w:val="00396DEC"/>
    <w:rsid w:val="00396F9D"/>
    <w:rsid w:val="00397430"/>
    <w:rsid w:val="003A0443"/>
    <w:rsid w:val="003A0F5E"/>
    <w:rsid w:val="003A1E08"/>
    <w:rsid w:val="003A1F79"/>
    <w:rsid w:val="003A39B8"/>
    <w:rsid w:val="003A424B"/>
    <w:rsid w:val="003A46D3"/>
    <w:rsid w:val="003A542D"/>
    <w:rsid w:val="003A5636"/>
    <w:rsid w:val="003A5765"/>
    <w:rsid w:val="003A623D"/>
    <w:rsid w:val="003A68A3"/>
    <w:rsid w:val="003A76ED"/>
    <w:rsid w:val="003B0281"/>
    <w:rsid w:val="003B0433"/>
    <w:rsid w:val="003B04C1"/>
    <w:rsid w:val="003B2C84"/>
    <w:rsid w:val="003B4E23"/>
    <w:rsid w:val="003B4F01"/>
    <w:rsid w:val="003B505C"/>
    <w:rsid w:val="003B519E"/>
    <w:rsid w:val="003B5E6F"/>
    <w:rsid w:val="003C0B1B"/>
    <w:rsid w:val="003C1195"/>
    <w:rsid w:val="003C12B6"/>
    <w:rsid w:val="003C185F"/>
    <w:rsid w:val="003C2D27"/>
    <w:rsid w:val="003C373E"/>
    <w:rsid w:val="003C3D7F"/>
    <w:rsid w:val="003C41DD"/>
    <w:rsid w:val="003C4DE7"/>
    <w:rsid w:val="003C5F2E"/>
    <w:rsid w:val="003C6326"/>
    <w:rsid w:val="003C6710"/>
    <w:rsid w:val="003C6D87"/>
    <w:rsid w:val="003C7600"/>
    <w:rsid w:val="003D079C"/>
    <w:rsid w:val="003D0D7D"/>
    <w:rsid w:val="003D164F"/>
    <w:rsid w:val="003D18F0"/>
    <w:rsid w:val="003D224C"/>
    <w:rsid w:val="003D2390"/>
    <w:rsid w:val="003D2EFA"/>
    <w:rsid w:val="003D3759"/>
    <w:rsid w:val="003D45D4"/>
    <w:rsid w:val="003D57E2"/>
    <w:rsid w:val="003D613B"/>
    <w:rsid w:val="003D684B"/>
    <w:rsid w:val="003D749F"/>
    <w:rsid w:val="003D7D9E"/>
    <w:rsid w:val="003E0FC6"/>
    <w:rsid w:val="003E14DF"/>
    <w:rsid w:val="003E1AAB"/>
    <w:rsid w:val="003E1F42"/>
    <w:rsid w:val="003E3584"/>
    <w:rsid w:val="003E382B"/>
    <w:rsid w:val="003E393C"/>
    <w:rsid w:val="003E3ACA"/>
    <w:rsid w:val="003E3DCB"/>
    <w:rsid w:val="003E4312"/>
    <w:rsid w:val="003E4820"/>
    <w:rsid w:val="003E48FA"/>
    <w:rsid w:val="003E4ADE"/>
    <w:rsid w:val="003E5891"/>
    <w:rsid w:val="003E7ED0"/>
    <w:rsid w:val="003F021E"/>
    <w:rsid w:val="003F03DF"/>
    <w:rsid w:val="003F1189"/>
    <w:rsid w:val="003F12BC"/>
    <w:rsid w:val="003F12D5"/>
    <w:rsid w:val="003F159E"/>
    <w:rsid w:val="003F1CB9"/>
    <w:rsid w:val="003F2050"/>
    <w:rsid w:val="003F37CA"/>
    <w:rsid w:val="003F3922"/>
    <w:rsid w:val="003F470D"/>
    <w:rsid w:val="003F512D"/>
    <w:rsid w:val="003F6A8D"/>
    <w:rsid w:val="003F6E69"/>
    <w:rsid w:val="003F7F31"/>
    <w:rsid w:val="004009B6"/>
    <w:rsid w:val="00400E23"/>
    <w:rsid w:val="004015AF"/>
    <w:rsid w:val="00401CD3"/>
    <w:rsid w:val="00401F79"/>
    <w:rsid w:val="00402778"/>
    <w:rsid w:val="00402D75"/>
    <w:rsid w:val="00402FA1"/>
    <w:rsid w:val="00403744"/>
    <w:rsid w:val="0040474A"/>
    <w:rsid w:val="00404E84"/>
    <w:rsid w:val="00405D7E"/>
    <w:rsid w:val="00406F40"/>
    <w:rsid w:val="00407FB6"/>
    <w:rsid w:val="00410561"/>
    <w:rsid w:val="004120D6"/>
    <w:rsid w:val="00412186"/>
    <w:rsid w:val="00412763"/>
    <w:rsid w:val="00412A2D"/>
    <w:rsid w:val="00413258"/>
    <w:rsid w:val="0041355F"/>
    <w:rsid w:val="00414181"/>
    <w:rsid w:val="0041427D"/>
    <w:rsid w:val="00414AD4"/>
    <w:rsid w:val="0041521E"/>
    <w:rsid w:val="004164DD"/>
    <w:rsid w:val="00416763"/>
    <w:rsid w:val="0041745A"/>
    <w:rsid w:val="004179B3"/>
    <w:rsid w:val="004207D5"/>
    <w:rsid w:val="00422B81"/>
    <w:rsid w:val="00422E44"/>
    <w:rsid w:val="004231FB"/>
    <w:rsid w:val="00423374"/>
    <w:rsid w:val="00423E0D"/>
    <w:rsid w:val="004257BB"/>
    <w:rsid w:val="00425883"/>
    <w:rsid w:val="00425A84"/>
    <w:rsid w:val="00425B3B"/>
    <w:rsid w:val="0042602B"/>
    <w:rsid w:val="004279BD"/>
    <w:rsid w:val="00430F3C"/>
    <w:rsid w:val="004325D3"/>
    <w:rsid w:val="00435176"/>
    <w:rsid w:val="00436F5C"/>
    <w:rsid w:val="004371EE"/>
    <w:rsid w:val="00437589"/>
    <w:rsid w:val="0043780A"/>
    <w:rsid w:val="00440A53"/>
    <w:rsid w:val="00442170"/>
    <w:rsid w:val="0044352D"/>
    <w:rsid w:val="004444EE"/>
    <w:rsid w:val="004445E7"/>
    <w:rsid w:val="00444BDA"/>
    <w:rsid w:val="00445609"/>
    <w:rsid w:val="004464CF"/>
    <w:rsid w:val="00446AAD"/>
    <w:rsid w:val="004476C2"/>
    <w:rsid w:val="00451368"/>
    <w:rsid w:val="004522D4"/>
    <w:rsid w:val="00452B0E"/>
    <w:rsid w:val="00453473"/>
    <w:rsid w:val="004555E6"/>
    <w:rsid w:val="00456A9B"/>
    <w:rsid w:val="00460772"/>
    <w:rsid w:val="00461E79"/>
    <w:rsid w:val="00462717"/>
    <w:rsid w:val="004641CC"/>
    <w:rsid w:val="00464E64"/>
    <w:rsid w:val="00465403"/>
    <w:rsid w:val="00465526"/>
    <w:rsid w:val="0046651A"/>
    <w:rsid w:val="004674AA"/>
    <w:rsid w:val="004714FB"/>
    <w:rsid w:val="004718BD"/>
    <w:rsid w:val="00471B86"/>
    <w:rsid w:val="00471D6F"/>
    <w:rsid w:val="00472210"/>
    <w:rsid w:val="00473C52"/>
    <w:rsid w:val="00474524"/>
    <w:rsid w:val="00475D5E"/>
    <w:rsid w:val="00475F13"/>
    <w:rsid w:val="0047661B"/>
    <w:rsid w:val="00476A2A"/>
    <w:rsid w:val="00477094"/>
    <w:rsid w:val="0047757F"/>
    <w:rsid w:val="00477AF5"/>
    <w:rsid w:val="00477CEB"/>
    <w:rsid w:val="00480B75"/>
    <w:rsid w:val="00483136"/>
    <w:rsid w:val="0048354D"/>
    <w:rsid w:val="00483FA6"/>
    <w:rsid w:val="0048489E"/>
    <w:rsid w:val="004852E3"/>
    <w:rsid w:val="00485ADC"/>
    <w:rsid w:val="00486858"/>
    <w:rsid w:val="00486C1D"/>
    <w:rsid w:val="004904F6"/>
    <w:rsid w:val="00490505"/>
    <w:rsid w:val="004908DB"/>
    <w:rsid w:val="00490E1A"/>
    <w:rsid w:val="00491DB6"/>
    <w:rsid w:val="00492636"/>
    <w:rsid w:val="004935C1"/>
    <w:rsid w:val="00493A20"/>
    <w:rsid w:val="00493C14"/>
    <w:rsid w:val="004951FE"/>
    <w:rsid w:val="00495C6A"/>
    <w:rsid w:val="004969D8"/>
    <w:rsid w:val="00496A0D"/>
    <w:rsid w:val="0049704E"/>
    <w:rsid w:val="004975FD"/>
    <w:rsid w:val="004979BF"/>
    <w:rsid w:val="004A1724"/>
    <w:rsid w:val="004A2349"/>
    <w:rsid w:val="004A31A7"/>
    <w:rsid w:val="004A435C"/>
    <w:rsid w:val="004A44DB"/>
    <w:rsid w:val="004A4D8B"/>
    <w:rsid w:val="004A4E6A"/>
    <w:rsid w:val="004A53BB"/>
    <w:rsid w:val="004A5819"/>
    <w:rsid w:val="004A5C0E"/>
    <w:rsid w:val="004A5D84"/>
    <w:rsid w:val="004A6CE0"/>
    <w:rsid w:val="004A724B"/>
    <w:rsid w:val="004A74F4"/>
    <w:rsid w:val="004B1175"/>
    <w:rsid w:val="004B1442"/>
    <w:rsid w:val="004B1766"/>
    <w:rsid w:val="004B19DD"/>
    <w:rsid w:val="004B3889"/>
    <w:rsid w:val="004B3E0D"/>
    <w:rsid w:val="004B3F04"/>
    <w:rsid w:val="004B441B"/>
    <w:rsid w:val="004B4571"/>
    <w:rsid w:val="004B51F9"/>
    <w:rsid w:val="004B564F"/>
    <w:rsid w:val="004B6A7C"/>
    <w:rsid w:val="004B7ECE"/>
    <w:rsid w:val="004C04EA"/>
    <w:rsid w:val="004C0763"/>
    <w:rsid w:val="004C0A56"/>
    <w:rsid w:val="004C0AC1"/>
    <w:rsid w:val="004C10E7"/>
    <w:rsid w:val="004C23FB"/>
    <w:rsid w:val="004C3997"/>
    <w:rsid w:val="004C423D"/>
    <w:rsid w:val="004C4C1F"/>
    <w:rsid w:val="004C50BF"/>
    <w:rsid w:val="004C53CB"/>
    <w:rsid w:val="004C593C"/>
    <w:rsid w:val="004C629B"/>
    <w:rsid w:val="004C693B"/>
    <w:rsid w:val="004C751A"/>
    <w:rsid w:val="004C7E8B"/>
    <w:rsid w:val="004D0B15"/>
    <w:rsid w:val="004D0EBA"/>
    <w:rsid w:val="004D114D"/>
    <w:rsid w:val="004D14D3"/>
    <w:rsid w:val="004D18AC"/>
    <w:rsid w:val="004D23AD"/>
    <w:rsid w:val="004D3E58"/>
    <w:rsid w:val="004D4156"/>
    <w:rsid w:val="004D4333"/>
    <w:rsid w:val="004D6531"/>
    <w:rsid w:val="004E011D"/>
    <w:rsid w:val="004E0D15"/>
    <w:rsid w:val="004E1AC6"/>
    <w:rsid w:val="004E2434"/>
    <w:rsid w:val="004E26E2"/>
    <w:rsid w:val="004E3070"/>
    <w:rsid w:val="004E32FB"/>
    <w:rsid w:val="004E4B5B"/>
    <w:rsid w:val="004E5779"/>
    <w:rsid w:val="004E5E51"/>
    <w:rsid w:val="004E642B"/>
    <w:rsid w:val="004E668A"/>
    <w:rsid w:val="004E7E07"/>
    <w:rsid w:val="004F32E1"/>
    <w:rsid w:val="004F34F2"/>
    <w:rsid w:val="004F3D9B"/>
    <w:rsid w:val="004F4632"/>
    <w:rsid w:val="004F46CE"/>
    <w:rsid w:val="004F46D6"/>
    <w:rsid w:val="004F5C1C"/>
    <w:rsid w:val="004F62FF"/>
    <w:rsid w:val="004F69E2"/>
    <w:rsid w:val="004F6CFB"/>
    <w:rsid w:val="004F6EA8"/>
    <w:rsid w:val="004F70A7"/>
    <w:rsid w:val="005019FE"/>
    <w:rsid w:val="00502C28"/>
    <w:rsid w:val="00503D06"/>
    <w:rsid w:val="00504229"/>
    <w:rsid w:val="00504370"/>
    <w:rsid w:val="00505434"/>
    <w:rsid w:val="005063FD"/>
    <w:rsid w:val="0050674F"/>
    <w:rsid w:val="005069C2"/>
    <w:rsid w:val="00507747"/>
    <w:rsid w:val="00510452"/>
    <w:rsid w:val="00510AD7"/>
    <w:rsid w:val="00510EB1"/>
    <w:rsid w:val="0051164C"/>
    <w:rsid w:val="00512176"/>
    <w:rsid w:val="005122E9"/>
    <w:rsid w:val="005137DB"/>
    <w:rsid w:val="005142AC"/>
    <w:rsid w:val="0051437A"/>
    <w:rsid w:val="0051449F"/>
    <w:rsid w:val="0051508B"/>
    <w:rsid w:val="0051570C"/>
    <w:rsid w:val="00515A05"/>
    <w:rsid w:val="00515ECA"/>
    <w:rsid w:val="00516007"/>
    <w:rsid w:val="00517111"/>
    <w:rsid w:val="005203B7"/>
    <w:rsid w:val="005208BD"/>
    <w:rsid w:val="0052161C"/>
    <w:rsid w:val="00521FF6"/>
    <w:rsid w:val="0052347F"/>
    <w:rsid w:val="00527260"/>
    <w:rsid w:val="00527681"/>
    <w:rsid w:val="0052771A"/>
    <w:rsid w:val="00527FC5"/>
    <w:rsid w:val="00530245"/>
    <w:rsid w:val="00530967"/>
    <w:rsid w:val="00530DE6"/>
    <w:rsid w:val="00531FAE"/>
    <w:rsid w:val="005343BA"/>
    <w:rsid w:val="0053589B"/>
    <w:rsid w:val="00535CDB"/>
    <w:rsid w:val="00535E49"/>
    <w:rsid w:val="0053659F"/>
    <w:rsid w:val="00537D18"/>
    <w:rsid w:val="00537D95"/>
    <w:rsid w:val="005417AF"/>
    <w:rsid w:val="00541D7D"/>
    <w:rsid w:val="00543780"/>
    <w:rsid w:val="005442D1"/>
    <w:rsid w:val="005450EB"/>
    <w:rsid w:val="0054574A"/>
    <w:rsid w:val="00545AC2"/>
    <w:rsid w:val="00546646"/>
    <w:rsid w:val="0054665C"/>
    <w:rsid w:val="00547A43"/>
    <w:rsid w:val="00550C47"/>
    <w:rsid w:val="00552694"/>
    <w:rsid w:val="00552D45"/>
    <w:rsid w:val="0055337B"/>
    <w:rsid w:val="0055377C"/>
    <w:rsid w:val="00553860"/>
    <w:rsid w:val="005541F4"/>
    <w:rsid w:val="005545FE"/>
    <w:rsid w:val="00554717"/>
    <w:rsid w:val="00555261"/>
    <w:rsid w:val="00556DE6"/>
    <w:rsid w:val="005574AF"/>
    <w:rsid w:val="0055785D"/>
    <w:rsid w:val="005578C6"/>
    <w:rsid w:val="00557A53"/>
    <w:rsid w:val="0056090E"/>
    <w:rsid w:val="005613B3"/>
    <w:rsid w:val="00561ED7"/>
    <w:rsid w:val="00562166"/>
    <w:rsid w:val="00562995"/>
    <w:rsid w:val="00563855"/>
    <w:rsid w:val="005642DD"/>
    <w:rsid w:val="00564453"/>
    <w:rsid w:val="00566025"/>
    <w:rsid w:val="0056611F"/>
    <w:rsid w:val="005666D7"/>
    <w:rsid w:val="005676A0"/>
    <w:rsid w:val="00567ADA"/>
    <w:rsid w:val="005718D7"/>
    <w:rsid w:val="00571AFD"/>
    <w:rsid w:val="00571BEE"/>
    <w:rsid w:val="00571C08"/>
    <w:rsid w:val="00571C69"/>
    <w:rsid w:val="00572232"/>
    <w:rsid w:val="005722E9"/>
    <w:rsid w:val="00572D52"/>
    <w:rsid w:val="00573D34"/>
    <w:rsid w:val="00573F62"/>
    <w:rsid w:val="00574588"/>
    <w:rsid w:val="00574592"/>
    <w:rsid w:val="00574619"/>
    <w:rsid w:val="005746F6"/>
    <w:rsid w:val="00575D36"/>
    <w:rsid w:val="005761EE"/>
    <w:rsid w:val="00576C13"/>
    <w:rsid w:val="00576CB6"/>
    <w:rsid w:val="00576CF4"/>
    <w:rsid w:val="00577164"/>
    <w:rsid w:val="00577D9F"/>
    <w:rsid w:val="00580391"/>
    <w:rsid w:val="0058086E"/>
    <w:rsid w:val="005818DE"/>
    <w:rsid w:val="00581AC8"/>
    <w:rsid w:val="00581CC1"/>
    <w:rsid w:val="00584718"/>
    <w:rsid w:val="00584D4C"/>
    <w:rsid w:val="005861DC"/>
    <w:rsid w:val="0058622F"/>
    <w:rsid w:val="00586418"/>
    <w:rsid w:val="00587350"/>
    <w:rsid w:val="005874B8"/>
    <w:rsid w:val="00587BA9"/>
    <w:rsid w:val="0059007C"/>
    <w:rsid w:val="00590699"/>
    <w:rsid w:val="00591A31"/>
    <w:rsid w:val="00591E29"/>
    <w:rsid w:val="00592318"/>
    <w:rsid w:val="00594C44"/>
    <w:rsid w:val="0059556C"/>
    <w:rsid w:val="00596B76"/>
    <w:rsid w:val="00597DD9"/>
    <w:rsid w:val="005A0ACF"/>
    <w:rsid w:val="005A0C34"/>
    <w:rsid w:val="005A2501"/>
    <w:rsid w:val="005A292F"/>
    <w:rsid w:val="005A2FF8"/>
    <w:rsid w:val="005A34B6"/>
    <w:rsid w:val="005A3E34"/>
    <w:rsid w:val="005A44FF"/>
    <w:rsid w:val="005A4BD9"/>
    <w:rsid w:val="005A4D8E"/>
    <w:rsid w:val="005A51C6"/>
    <w:rsid w:val="005A576D"/>
    <w:rsid w:val="005A5BAB"/>
    <w:rsid w:val="005A5CB3"/>
    <w:rsid w:val="005A6604"/>
    <w:rsid w:val="005A78DE"/>
    <w:rsid w:val="005A7E09"/>
    <w:rsid w:val="005B08A6"/>
    <w:rsid w:val="005B0F22"/>
    <w:rsid w:val="005B0F27"/>
    <w:rsid w:val="005B1A31"/>
    <w:rsid w:val="005B1B6C"/>
    <w:rsid w:val="005B2B4F"/>
    <w:rsid w:val="005B2CB5"/>
    <w:rsid w:val="005B3439"/>
    <w:rsid w:val="005B4653"/>
    <w:rsid w:val="005B4E45"/>
    <w:rsid w:val="005B4E85"/>
    <w:rsid w:val="005B5E17"/>
    <w:rsid w:val="005B6419"/>
    <w:rsid w:val="005B6CC1"/>
    <w:rsid w:val="005C1943"/>
    <w:rsid w:val="005C22C2"/>
    <w:rsid w:val="005C2322"/>
    <w:rsid w:val="005C501A"/>
    <w:rsid w:val="005C5673"/>
    <w:rsid w:val="005C6D52"/>
    <w:rsid w:val="005C6F67"/>
    <w:rsid w:val="005C7858"/>
    <w:rsid w:val="005C7A9A"/>
    <w:rsid w:val="005C7FCE"/>
    <w:rsid w:val="005D05FD"/>
    <w:rsid w:val="005D11A5"/>
    <w:rsid w:val="005D1A7D"/>
    <w:rsid w:val="005D3508"/>
    <w:rsid w:val="005D48E0"/>
    <w:rsid w:val="005D4BC8"/>
    <w:rsid w:val="005D55D6"/>
    <w:rsid w:val="005D593D"/>
    <w:rsid w:val="005D65FF"/>
    <w:rsid w:val="005D6E43"/>
    <w:rsid w:val="005D717B"/>
    <w:rsid w:val="005D769A"/>
    <w:rsid w:val="005D7FC2"/>
    <w:rsid w:val="005E092E"/>
    <w:rsid w:val="005E1DD8"/>
    <w:rsid w:val="005E1EA0"/>
    <w:rsid w:val="005E1F6F"/>
    <w:rsid w:val="005E4132"/>
    <w:rsid w:val="005E58E1"/>
    <w:rsid w:val="005E5F8B"/>
    <w:rsid w:val="005F0EC7"/>
    <w:rsid w:val="005F105B"/>
    <w:rsid w:val="005F1295"/>
    <w:rsid w:val="005F2075"/>
    <w:rsid w:val="005F2341"/>
    <w:rsid w:val="005F2B48"/>
    <w:rsid w:val="005F3ADE"/>
    <w:rsid w:val="005F432C"/>
    <w:rsid w:val="005F4B41"/>
    <w:rsid w:val="005F4F2A"/>
    <w:rsid w:val="005F5099"/>
    <w:rsid w:val="005F73A6"/>
    <w:rsid w:val="006002FC"/>
    <w:rsid w:val="00600D9B"/>
    <w:rsid w:val="0060128D"/>
    <w:rsid w:val="006015EB"/>
    <w:rsid w:val="006021B4"/>
    <w:rsid w:val="00602BDA"/>
    <w:rsid w:val="0060305B"/>
    <w:rsid w:val="0060308F"/>
    <w:rsid w:val="0060552B"/>
    <w:rsid w:val="00606E04"/>
    <w:rsid w:val="00607B8A"/>
    <w:rsid w:val="00611A97"/>
    <w:rsid w:val="00611B3C"/>
    <w:rsid w:val="00611C5C"/>
    <w:rsid w:val="00612686"/>
    <w:rsid w:val="006131E9"/>
    <w:rsid w:val="0061392C"/>
    <w:rsid w:val="00613C92"/>
    <w:rsid w:val="00615685"/>
    <w:rsid w:val="00616069"/>
    <w:rsid w:val="00616FDD"/>
    <w:rsid w:val="00617E42"/>
    <w:rsid w:val="00617E6C"/>
    <w:rsid w:val="006203EC"/>
    <w:rsid w:val="00622015"/>
    <w:rsid w:val="00622191"/>
    <w:rsid w:val="006228C3"/>
    <w:rsid w:val="00622D62"/>
    <w:rsid w:val="00622D80"/>
    <w:rsid w:val="0062336F"/>
    <w:rsid w:val="00623D41"/>
    <w:rsid w:val="00624A28"/>
    <w:rsid w:val="00624E5B"/>
    <w:rsid w:val="006264F1"/>
    <w:rsid w:val="00626A29"/>
    <w:rsid w:val="00626AF4"/>
    <w:rsid w:val="00626CB1"/>
    <w:rsid w:val="00626CBB"/>
    <w:rsid w:val="00627894"/>
    <w:rsid w:val="00627FF6"/>
    <w:rsid w:val="00630506"/>
    <w:rsid w:val="00630BC9"/>
    <w:rsid w:val="0063314F"/>
    <w:rsid w:val="0063422F"/>
    <w:rsid w:val="006354FF"/>
    <w:rsid w:val="00635832"/>
    <w:rsid w:val="00635AB6"/>
    <w:rsid w:val="006361B1"/>
    <w:rsid w:val="006365E9"/>
    <w:rsid w:val="00636E18"/>
    <w:rsid w:val="0063705B"/>
    <w:rsid w:val="00637228"/>
    <w:rsid w:val="006406FA"/>
    <w:rsid w:val="00641532"/>
    <w:rsid w:val="00641E0B"/>
    <w:rsid w:val="0064225E"/>
    <w:rsid w:val="0064298D"/>
    <w:rsid w:val="0064364F"/>
    <w:rsid w:val="006445A3"/>
    <w:rsid w:val="00645115"/>
    <w:rsid w:val="006462F1"/>
    <w:rsid w:val="006464CF"/>
    <w:rsid w:val="00647A7A"/>
    <w:rsid w:val="00650724"/>
    <w:rsid w:val="0065124E"/>
    <w:rsid w:val="006513A0"/>
    <w:rsid w:val="00652C4F"/>
    <w:rsid w:val="0065308E"/>
    <w:rsid w:val="006534DC"/>
    <w:rsid w:val="006541D1"/>
    <w:rsid w:val="00654860"/>
    <w:rsid w:val="00654F37"/>
    <w:rsid w:val="00655662"/>
    <w:rsid w:val="00656ABE"/>
    <w:rsid w:val="00657521"/>
    <w:rsid w:val="0066000B"/>
    <w:rsid w:val="0066030A"/>
    <w:rsid w:val="00660931"/>
    <w:rsid w:val="00660DB9"/>
    <w:rsid w:val="00661956"/>
    <w:rsid w:val="00661C43"/>
    <w:rsid w:val="00662C23"/>
    <w:rsid w:val="00663A53"/>
    <w:rsid w:val="0066473E"/>
    <w:rsid w:val="00664F66"/>
    <w:rsid w:val="00665069"/>
    <w:rsid w:val="0066537B"/>
    <w:rsid w:val="00665718"/>
    <w:rsid w:val="00665E8C"/>
    <w:rsid w:val="00665F6E"/>
    <w:rsid w:val="0066692E"/>
    <w:rsid w:val="00666CC6"/>
    <w:rsid w:val="006677D7"/>
    <w:rsid w:val="00667828"/>
    <w:rsid w:val="00667AF6"/>
    <w:rsid w:val="00670CDD"/>
    <w:rsid w:val="00670F37"/>
    <w:rsid w:val="00672277"/>
    <w:rsid w:val="00674930"/>
    <w:rsid w:val="00676079"/>
    <w:rsid w:val="00676326"/>
    <w:rsid w:val="006777C7"/>
    <w:rsid w:val="006839E8"/>
    <w:rsid w:val="00683D65"/>
    <w:rsid w:val="00684AB4"/>
    <w:rsid w:val="00684FDE"/>
    <w:rsid w:val="006851CB"/>
    <w:rsid w:val="00685F12"/>
    <w:rsid w:val="00687672"/>
    <w:rsid w:val="00690239"/>
    <w:rsid w:val="00690FB6"/>
    <w:rsid w:val="00691287"/>
    <w:rsid w:val="006919FC"/>
    <w:rsid w:val="00693034"/>
    <w:rsid w:val="0069373F"/>
    <w:rsid w:val="00693FDC"/>
    <w:rsid w:val="006963D2"/>
    <w:rsid w:val="00697FEB"/>
    <w:rsid w:val="006A02C9"/>
    <w:rsid w:val="006A0B4A"/>
    <w:rsid w:val="006A0D71"/>
    <w:rsid w:val="006A0E7E"/>
    <w:rsid w:val="006A0F4A"/>
    <w:rsid w:val="006A1D16"/>
    <w:rsid w:val="006A1EA8"/>
    <w:rsid w:val="006A4300"/>
    <w:rsid w:val="006A4428"/>
    <w:rsid w:val="006A7BEA"/>
    <w:rsid w:val="006A7D62"/>
    <w:rsid w:val="006B120F"/>
    <w:rsid w:val="006B1FE2"/>
    <w:rsid w:val="006B2EBD"/>
    <w:rsid w:val="006B2F86"/>
    <w:rsid w:val="006B3690"/>
    <w:rsid w:val="006B37A6"/>
    <w:rsid w:val="006B3C0D"/>
    <w:rsid w:val="006C0355"/>
    <w:rsid w:val="006C090C"/>
    <w:rsid w:val="006C13D5"/>
    <w:rsid w:val="006C3A40"/>
    <w:rsid w:val="006C3F79"/>
    <w:rsid w:val="006C4E8E"/>
    <w:rsid w:val="006C53A0"/>
    <w:rsid w:val="006C5E9B"/>
    <w:rsid w:val="006C6628"/>
    <w:rsid w:val="006C6D77"/>
    <w:rsid w:val="006C7240"/>
    <w:rsid w:val="006C74D6"/>
    <w:rsid w:val="006C7663"/>
    <w:rsid w:val="006D0EE8"/>
    <w:rsid w:val="006D12C7"/>
    <w:rsid w:val="006D175B"/>
    <w:rsid w:val="006D1BF7"/>
    <w:rsid w:val="006D1E26"/>
    <w:rsid w:val="006D23EF"/>
    <w:rsid w:val="006D457D"/>
    <w:rsid w:val="006D59F8"/>
    <w:rsid w:val="006D61DA"/>
    <w:rsid w:val="006D6AF7"/>
    <w:rsid w:val="006D6EBB"/>
    <w:rsid w:val="006D781E"/>
    <w:rsid w:val="006D7F80"/>
    <w:rsid w:val="006D7FC7"/>
    <w:rsid w:val="006E00DA"/>
    <w:rsid w:val="006E04F7"/>
    <w:rsid w:val="006E0941"/>
    <w:rsid w:val="006E0B68"/>
    <w:rsid w:val="006E0EAD"/>
    <w:rsid w:val="006E1DC5"/>
    <w:rsid w:val="006E2E7E"/>
    <w:rsid w:val="006E2EFD"/>
    <w:rsid w:val="006E3420"/>
    <w:rsid w:val="006E39D7"/>
    <w:rsid w:val="006E3BD0"/>
    <w:rsid w:val="006E3FA9"/>
    <w:rsid w:val="006E4444"/>
    <w:rsid w:val="006E4D14"/>
    <w:rsid w:val="006E6866"/>
    <w:rsid w:val="006E702B"/>
    <w:rsid w:val="006E7DC6"/>
    <w:rsid w:val="006F01FC"/>
    <w:rsid w:val="006F0349"/>
    <w:rsid w:val="006F08E1"/>
    <w:rsid w:val="006F0E10"/>
    <w:rsid w:val="006F13D2"/>
    <w:rsid w:val="006F1A53"/>
    <w:rsid w:val="006F2196"/>
    <w:rsid w:val="006F2B29"/>
    <w:rsid w:val="006F337C"/>
    <w:rsid w:val="006F3620"/>
    <w:rsid w:val="006F3D73"/>
    <w:rsid w:val="006F5A87"/>
    <w:rsid w:val="006F747C"/>
    <w:rsid w:val="006F74BF"/>
    <w:rsid w:val="006F7BDA"/>
    <w:rsid w:val="00700C93"/>
    <w:rsid w:val="00701FC8"/>
    <w:rsid w:val="0070288A"/>
    <w:rsid w:val="00702D07"/>
    <w:rsid w:val="00703676"/>
    <w:rsid w:val="00706655"/>
    <w:rsid w:val="007078D6"/>
    <w:rsid w:val="007106DD"/>
    <w:rsid w:val="00710F87"/>
    <w:rsid w:val="00711217"/>
    <w:rsid w:val="007116F8"/>
    <w:rsid w:val="00712900"/>
    <w:rsid w:val="007133E9"/>
    <w:rsid w:val="007137B3"/>
    <w:rsid w:val="00713BD4"/>
    <w:rsid w:val="00714542"/>
    <w:rsid w:val="00714837"/>
    <w:rsid w:val="00714EF0"/>
    <w:rsid w:val="00714F04"/>
    <w:rsid w:val="00715087"/>
    <w:rsid w:val="00715712"/>
    <w:rsid w:val="007158C7"/>
    <w:rsid w:val="00715D0C"/>
    <w:rsid w:val="0071628B"/>
    <w:rsid w:val="00716F27"/>
    <w:rsid w:val="00717727"/>
    <w:rsid w:val="00717B00"/>
    <w:rsid w:val="00720B68"/>
    <w:rsid w:val="00720DE3"/>
    <w:rsid w:val="00721C6A"/>
    <w:rsid w:val="007222B0"/>
    <w:rsid w:val="007227EC"/>
    <w:rsid w:val="00722F2C"/>
    <w:rsid w:val="00723293"/>
    <w:rsid w:val="00723439"/>
    <w:rsid w:val="00723CB3"/>
    <w:rsid w:val="00724D46"/>
    <w:rsid w:val="007252D4"/>
    <w:rsid w:val="00727012"/>
    <w:rsid w:val="0072723A"/>
    <w:rsid w:val="007279EC"/>
    <w:rsid w:val="00727D29"/>
    <w:rsid w:val="00730818"/>
    <w:rsid w:val="00730E2D"/>
    <w:rsid w:val="0073142D"/>
    <w:rsid w:val="0073237F"/>
    <w:rsid w:val="007323B9"/>
    <w:rsid w:val="007330A4"/>
    <w:rsid w:val="00733C05"/>
    <w:rsid w:val="00734568"/>
    <w:rsid w:val="0073460E"/>
    <w:rsid w:val="007349F9"/>
    <w:rsid w:val="00734A12"/>
    <w:rsid w:val="00735CDE"/>
    <w:rsid w:val="00736EAE"/>
    <w:rsid w:val="00737F9B"/>
    <w:rsid w:val="007402C2"/>
    <w:rsid w:val="0074044C"/>
    <w:rsid w:val="007405B1"/>
    <w:rsid w:val="00740AF0"/>
    <w:rsid w:val="007419ED"/>
    <w:rsid w:val="00742174"/>
    <w:rsid w:val="00742C4C"/>
    <w:rsid w:val="007431F0"/>
    <w:rsid w:val="00743577"/>
    <w:rsid w:val="007435D3"/>
    <w:rsid w:val="00744220"/>
    <w:rsid w:val="00744C66"/>
    <w:rsid w:val="007464CC"/>
    <w:rsid w:val="00747238"/>
    <w:rsid w:val="00747B4B"/>
    <w:rsid w:val="00747D5E"/>
    <w:rsid w:val="00750679"/>
    <w:rsid w:val="00751EDA"/>
    <w:rsid w:val="00754851"/>
    <w:rsid w:val="007575D0"/>
    <w:rsid w:val="00757649"/>
    <w:rsid w:val="00760944"/>
    <w:rsid w:val="007609D5"/>
    <w:rsid w:val="00760C75"/>
    <w:rsid w:val="007611AD"/>
    <w:rsid w:val="0076126B"/>
    <w:rsid w:val="007613B3"/>
    <w:rsid w:val="00762FBA"/>
    <w:rsid w:val="0076316D"/>
    <w:rsid w:val="00763FB6"/>
    <w:rsid w:val="0076401D"/>
    <w:rsid w:val="0076473F"/>
    <w:rsid w:val="00764748"/>
    <w:rsid w:val="00765515"/>
    <w:rsid w:val="00766F28"/>
    <w:rsid w:val="007713E8"/>
    <w:rsid w:val="00771967"/>
    <w:rsid w:val="00771AA1"/>
    <w:rsid w:val="00772FC8"/>
    <w:rsid w:val="0077322C"/>
    <w:rsid w:val="00774715"/>
    <w:rsid w:val="007747EE"/>
    <w:rsid w:val="00774999"/>
    <w:rsid w:val="00774F98"/>
    <w:rsid w:val="00776623"/>
    <w:rsid w:val="007768F5"/>
    <w:rsid w:val="0077735A"/>
    <w:rsid w:val="0078095B"/>
    <w:rsid w:val="00780D10"/>
    <w:rsid w:val="007813D1"/>
    <w:rsid w:val="00782158"/>
    <w:rsid w:val="007821BC"/>
    <w:rsid w:val="007826E0"/>
    <w:rsid w:val="0078271A"/>
    <w:rsid w:val="00783194"/>
    <w:rsid w:val="00783455"/>
    <w:rsid w:val="007835D5"/>
    <w:rsid w:val="0078383A"/>
    <w:rsid w:val="00783BA7"/>
    <w:rsid w:val="007853F8"/>
    <w:rsid w:val="0078687A"/>
    <w:rsid w:val="00786AA2"/>
    <w:rsid w:val="00786BB9"/>
    <w:rsid w:val="00786FE5"/>
    <w:rsid w:val="007870B3"/>
    <w:rsid w:val="00787297"/>
    <w:rsid w:val="007877DC"/>
    <w:rsid w:val="0079039B"/>
    <w:rsid w:val="007908E2"/>
    <w:rsid w:val="00792C45"/>
    <w:rsid w:val="00793842"/>
    <w:rsid w:val="00794379"/>
    <w:rsid w:val="007953B5"/>
    <w:rsid w:val="00795F3C"/>
    <w:rsid w:val="00796271"/>
    <w:rsid w:val="00796431"/>
    <w:rsid w:val="007964DC"/>
    <w:rsid w:val="007967E6"/>
    <w:rsid w:val="00797D07"/>
    <w:rsid w:val="00797EC1"/>
    <w:rsid w:val="007A03B9"/>
    <w:rsid w:val="007A06C5"/>
    <w:rsid w:val="007A0B4E"/>
    <w:rsid w:val="007A117C"/>
    <w:rsid w:val="007A2635"/>
    <w:rsid w:val="007A3BFB"/>
    <w:rsid w:val="007A5DE7"/>
    <w:rsid w:val="007A69A5"/>
    <w:rsid w:val="007A6B52"/>
    <w:rsid w:val="007A6C81"/>
    <w:rsid w:val="007A7B10"/>
    <w:rsid w:val="007B02A8"/>
    <w:rsid w:val="007B0B30"/>
    <w:rsid w:val="007B129D"/>
    <w:rsid w:val="007B219A"/>
    <w:rsid w:val="007B31A6"/>
    <w:rsid w:val="007B4508"/>
    <w:rsid w:val="007B5E3D"/>
    <w:rsid w:val="007B6B28"/>
    <w:rsid w:val="007B79F6"/>
    <w:rsid w:val="007B7B44"/>
    <w:rsid w:val="007C0E2D"/>
    <w:rsid w:val="007C1271"/>
    <w:rsid w:val="007C12F0"/>
    <w:rsid w:val="007C15B2"/>
    <w:rsid w:val="007C4747"/>
    <w:rsid w:val="007C4C83"/>
    <w:rsid w:val="007C525A"/>
    <w:rsid w:val="007C533A"/>
    <w:rsid w:val="007C591A"/>
    <w:rsid w:val="007C6206"/>
    <w:rsid w:val="007C6225"/>
    <w:rsid w:val="007C64E2"/>
    <w:rsid w:val="007C7C72"/>
    <w:rsid w:val="007D065D"/>
    <w:rsid w:val="007D1196"/>
    <w:rsid w:val="007D1E88"/>
    <w:rsid w:val="007D275E"/>
    <w:rsid w:val="007D2928"/>
    <w:rsid w:val="007D37BA"/>
    <w:rsid w:val="007D3850"/>
    <w:rsid w:val="007D3F75"/>
    <w:rsid w:val="007D4025"/>
    <w:rsid w:val="007D66F0"/>
    <w:rsid w:val="007D73E5"/>
    <w:rsid w:val="007D750A"/>
    <w:rsid w:val="007D7523"/>
    <w:rsid w:val="007E0084"/>
    <w:rsid w:val="007E0678"/>
    <w:rsid w:val="007E0A18"/>
    <w:rsid w:val="007E0EF4"/>
    <w:rsid w:val="007E1035"/>
    <w:rsid w:val="007E18D1"/>
    <w:rsid w:val="007E199C"/>
    <w:rsid w:val="007E2A76"/>
    <w:rsid w:val="007E4D07"/>
    <w:rsid w:val="007E581F"/>
    <w:rsid w:val="007E722A"/>
    <w:rsid w:val="007E72EF"/>
    <w:rsid w:val="007E770A"/>
    <w:rsid w:val="007E7968"/>
    <w:rsid w:val="007E7C0D"/>
    <w:rsid w:val="007F0CB0"/>
    <w:rsid w:val="007F1600"/>
    <w:rsid w:val="007F166D"/>
    <w:rsid w:val="007F1EDF"/>
    <w:rsid w:val="007F2054"/>
    <w:rsid w:val="007F299B"/>
    <w:rsid w:val="007F365B"/>
    <w:rsid w:val="007F3B50"/>
    <w:rsid w:val="007F4023"/>
    <w:rsid w:val="007F40D6"/>
    <w:rsid w:val="007F41A0"/>
    <w:rsid w:val="007F5346"/>
    <w:rsid w:val="007F690B"/>
    <w:rsid w:val="007F6FBE"/>
    <w:rsid w:val="007F742B"/>
    <w:rsid w:val="007F7CBC"/>
    <w:rsid w:val="00800C45"/>
    <w:rsid w:val="0080130F"/>
    <w:rsid w:val="008026FE"/>
    <w:rsid w:val="00802F9F"/>
    <w:rsid w:val="0080372E"/>
    <w:rsid w:val="00803E55"/>
    <w:rsid w:val="00804358"/>
    <w:rsid w:val="00804F92"/>
    <w:rsid w:val="00807F19"/>
    <w:rsid w:val="00807F85"/>
    <w:rsid w:val="0081060D"/>
    <w:rsid w:val="00810A52"/>
    <w:rsid w:val="00810DCF"/>
    <w:rsid w:val="008110C4"/>
    <w:rsid w:val="00811527"/>
    <w:rsid w:val="00811F2C"/>
    <w:rsid w:val="00811FE2"/>
    <w:rsid w:val="008134F5"/>
    <w:rsid w:val="00814399"/>
    <w:rsid w:val="00815A51"/>
    <w:rsid w:val="008208F2"/>
    <w:rsid w:val="00820A66"/>
    <w:rsid w:val="00820F38"/>
    <w:rsid w:val="00822D27"/>
    <w:rsid w:val="008242DA"/>
    <w:rsid w:val="00824A84"/>
    <w:rsid w:val="00826371"/>
    <w:rsid w:val="0082668B"/>
    <w:rsid w:val="0082687A"/>
    <w:rsid w:val="008272AC"/>
    <w:rsid w:val="00830214"/>
    <w:rsid w:val="00830902"/>
    <w:rsid w:val="00832118"/>
    <w:rsid w:val="00832C2F"/>
    <w:rsid w:val="00833EC7"/>
    <w:rsid w:val="00834366"/>
    <w:rsid w:val="008358AE"/>
    <w:rsid w:val="008363D1"/>
    <w:rsid w:val="00836C3B"/>
    <w:rsid w:val="008404FF"/>
    <w:rsid w:val="00840749"/>
    <w:rsid w:val="00840F7C"/>
    <w:rsid w:val="008412E1"/>
    <w:rsid w:val="008413A8"/>
    <w:rsid w:val="00842443"/>
    <w:rsid w:val="00843285"/>
    <w:rsid w:val="00843286"/>
    <w:rsid w:val="00843386"/>
    <w:rsid w:val="00844479"/>
    <w:rsid w:val="00844C79"/>
    <w:rsid w:val="00846122"/>
    <w:rsid w:val="008466C4"/>
    <w:rsid w:val="00850FDB"/>
    <w:rsid w:val="008510D6"/>
    <w:rsid w:val="008522B5"/>
    <w:rsid w:val="0085346F"/>
    <w:rsid w:val="00853C4A"/>
    <w:rsid w:val="00854190"/>
    <w:rsid w:val="00854682"/>
    <w:rsid w:val="00855DA1"/>
    <w:rsid w:val="00856359"/>
    <w:rsid w:val="00856DA4"/>
    <w:rsid w:val="00857078"/>
    <w:rsid w:val="00857A3C"/>
    <w:rsid w:val="00860613"/>
    <w:rsid w:val="00861279"/>
    <w:rsid w:val="008612B4"/>
    <w:rsid w:val="00862A90"/>
    <w:rsid w:val="00863D31"/>
    <w:rsid w:val="0086454A"/>
    <w:rsid w:val="00866E95"/>
    <w:rsid w:val="00870102"/>
    <w:rsid w:val="00870456"/>
    <w:rsid w:val="008721A5"/>
    <w:rsid w:val="008723A8"/>
    <w:rsid w:val="00872847"/>
    <w:rsid w:val="00872C9B"/>
    <w:rsid w:val="00872E78"/>
    <w:rsid w:val="00872FDB"/>
    <w:rsid w:val="00873451"/>
    <w:rsid w:val="00873471"/>
    <w:rsid w:val="00873C14"/>
    <w:rsid w:val="0087619E"/>
    <w:rsid w:val="00877706"/>
    <w:rsid w:val="00877F7D"/>
    <w:rsid w:val="008811FC"/>
    <w:rsid w:val="00881D54"/>
    <w:rsid w:val="008825CE"/>
    <w:rsid w:val="0088366A"/>
    <w:rsid w:val="0088460D"/>
    <w:rsid w:val="008857AA"/>
    <w:rsid w:val="00885FA2"/>
    <w:rsid w:val="0088688E"/>
    <w:rsid w:val="00887608"/>
    <w:rsid w:val="00887ABB"/>
    <w:rsid w:val="00887FD1"/>
    <w:rsid w:val="008900AF"/>
    <w:rsid w:val="008906E6"/>
    <w:rsid w:val="00890AD0"/>
    <w:rsid w:val="00890B66"/>
    <w:rsid w:val="00891109"/>
    <w:rsid w:val="00891BA0"/>
    <w:rsid w:val="00891BF0"/>
    <w:rsid w:val="00891F38"/>
    <w:rsid w:val="00893E0C"/>
    <w:rsid w:val="00893E72"/>
    <w:rsid w:val="00896BC2"/>
    <w:rsid w:val="00896C06"/>
    <w:rsid w:val="008A072D"/>
    <w:rsid w:val="008A1815"/>
    <w:rsid w:val="008A1C42"/>
    <w:rsid w:val="008A2D63"/>
    <w:rsid w:val="008A2FA0"/>
    <w:rsid w:val="008A3348"/>
    <w:rsid w:val="008A3889"/>
    <w:rsid w:val="008A4BAF"/>
    <w:rsid w:val="008A5CE1"/>
    <w:rsid w:val="008A5EE6"/>
    <w:rsid w:val="008A6398"/>
    <w:rsid w:val="008B048B"/>
    <w:rsid w:val="008B08D3"/>
    <w:rsid w:val="008B19B7"/>
    <w:rsid w:val="008B19E5"/>
    <w:rsid w:val="008B1C16"/>
    <w:rsid w:val="008B2AC1"/>
    <w:rsid w:val="008B2D32"/>
    <w:rsid w:val="008B2E9A"/>
    <w:rsid w:val="008B2EB5"/>
    <w:rsid w:val="008B3ADE"/>
    <w:rsid w:val="008B44C3"/>
    <w:rsid w:val="008B5255"/>
    <w:rsid w:val="008B5613"/>
    <w:rsid w:val="008B62E9"/>
    <w:rsid w:val="008B7050"/>
    <w:rsid w:val="008B7162"/>
    <w:rsid w:val="008C1507"/>
    <w:rsid w:val="008C19A3"/>
    <w:rsid w:val="008C2501"/>
    <w:rsid w:val="008C383B"/>
    <w:rsid w:val="008C3A5F"/>
    <w:rsid w:val="008C44A7"/>
    <w:rsid w:val="008C5671"/>
    <w:rsid w:val="008C59BA"/>
    <w:rsid w:val="008C5D4D"/>
    <w:rsid w:val="008C6671"/>
    <w:rsid w:val="008C739D"/>
    <w:rsid w:val="008C7707"/>
    <w:rsid w:val="008D1695"/>
    <w:rsid w:val="008D22DA"/>
    <w:rsid w:val="008D3273"/>
    <w:rsid w:val="008D3CA0"/>
    <w:rsid w:val="008D4696"/>
    <w:rsid w:val="008D6805"/>
    <w:rsid w:val="008D6CA8"/>
    <w:rsid w:val="008D733D"/>
    <w:rsid w:val="008E0A95"/>
    <w:rsid w:val="008E136A"/>
    <w:rsid w:val="008E14A5"/>
    <w:rsid w:val="008E2336"/>
    <w:rsid w:val="008E27A7"/>
    <w:rsid w:val="008E33F9"/>
    <w:rsid w:val="008E34A2"/>
    <w:rsid w:val="008E34AE"/>
    <w:rsid w:val="008E3D1C"/>
    <w:rsid w:val="008E4D1F"/>
    <w:rsid w:val="008E694D"/>
    <w:rsid w:val="008E78B4"/>
    <w:rsid w:val="008F047E"/>
    <w:rsid w:val="008F2841"/>
    <w:rsid w:val="008F2959"/>
    <w:rsid w:val="008F399F"/>
    <w:rsid w:val="008F39F1"/>
    <w:rsid w:val="008F432C"/>
    <w:rsid w:val="008F6034"/>
    <w:rsid w:val="008F7859"/>
    <w:rsid w:val="008F7ADB"/>
    <w:rsid w:val="008F7CC9"/>
    <w:rsid w:val="009001B0"/>
    <w:rsid w:val="00900940"/>
    <w:rsid w:val="00900CC0"/>
    <w:rsid w:val="0090288E"/>
    <w:rsid w:val="009038F9"/>
    <w:rsid w:val="00905028"/>
    <w:rsid w:val="009055D6"/>
    <w:rsid w:val="00905AAB"/>
    <w:rsid w:val="009068C3"/>
    <w:rsid w:val="00906F53"/>
    <w:rsid w:val="0090775D"/>
    <w:rsid w:val="00910432"/>
    <w:rsid w:val="0091050C"/>
    <w:rsid w:val="00911865"/>
    <w:rsid w:val="00911A8D"/>
    <w:rsid w:val="00912D34"/>
    <w:rsid w:val="009139AF"/>
    <w:rsid w:val="009148EC"/>
    <w:rsid w:val="00914BFD"/>
    <w:rsid w:val="00914CD2"/>
    <w:rsid w:val="00915EF9"/>
    <w:rsid w:val="009174DB"/>
    <w:rsid w:val="009174F6"/>
    <w:rsid w:val="00917A99"/>
    <w:rsid w:val="00921BFB"/>
    <w:rsid w:val="00921EF9"/>
    <w:rsid w:val="00922AFA"/>
    <w:rsid w:val="00922BF2"/>
    <w:rsid w:val="009234FD"/>
    <w:rsid w:val="00923665"/>
    <w:rsid w:val="00924258"/>
    <w:rsid w:val="00924973"/>
    <w:rsid w:val="00924ED5"/>
    <w:rsid w:val="0092631A"/>
    <w:rsid w:val="009311DF"/>
    <w:rsid w:val="009314B6"/>
    <w:rsid w:val="0093152E"/>
    <w:rsid w:val="009315A3"/>
    <w:rsid w:val="00931779"/>
    <w:rsid w:val="00931E42"/>
    <w:rsid w:val="0093252C"/>
    <w:rsid w:val="0093283A"/>
    <w:rsid w:val="0093430F"/>
    <w:rsid w:val="00935AC3"/>
    <w:rsid w:val="00935EAC"/>
    <w:rsid w:val="00937529"/>
    <w:rsid w:val="00940DF7"/>
    <w:rsid w:val="00940F2E"/>
    <w:rsid w:val="00942405"/>
    <w:rsid w:val="00942818"/>
    <w:rsid w:val="00942AD5"/>
    <w:rsid w:val="00942F66"/>
    <w:rsid w:val="00943510"/>
    <w:rsid w:val="00943A66"/>
    <w:rsid w:val="00944371"/>
    <w:rsid w:val="00944529"/>
    <w:rsid w:val="00944CB3"/>
    <w:rsid w:val="00944D10"/>
    <w:rsid w:val="009450BA"/>
    <w:rsid w:val="009454B6"/>
    <w:rsid w:val="009460DF"/>
    <w:rsid w:val="00946929"/>
    <w:rsid w:val="00946D29"/>
    <w:rsid w:val="009474F2"/>
    <w:rsid w:val="00950E7E"/>
    <w:rsid w:val="00952AEF"/>
    <w:rsid w:val="00955C33"/>
    <w:rsid w:val="0095625A"/>
    <w:rsid w:val="00956446"/>
    <w:rsid w:val="00957B4C"/>
    <w:rsid w:val="009603BF"/>
    <w:rsid w:val="00960B5B"/>
    <w:rsid w:val="00960F24"/>
    <w:rsid w:val="00960FAF"/>
    <w:rsid w:val="0096172B"/>
    <w:rsid w:val="00961C91"/>
    <w:rsid w:val="009628F6"/>
    <w:rsid w:val="00962AB8"/>
    <w:rsid w:val="00962CB7"/>
    <w:rsid w:val="00962E64"/>
    <w:rsid w:val="00963AA3"/>
    <w:rsid w:val="00963B80"/>
    <w:rsid w:val="00964478"/>
    <w:rsid w:val="00966080"/>
    <w:rsid w:val="0096628F"/>
    <w:rsid w:val="009664DD"/>
    <w:rsid w:val="00966F48"/>
    <w:rsid w:val="0096744E"/>
    <w:rsid w:val="009704A0"/>
    <w:rsid w:val="00970792"/>
    <w:rsid w:val="00970EB5"/>
    <w:rsid w:val="00971E1A"/>
    <w:rsid w:val="00971EE1"/>
    <w:rsid w:val="00973197"/>
    <w:rsid w:val="00973E14"/>
    <w:rsid w:val="009753FB"/>
    <w:rsid w:val="00975439"/>
    <w:rsid w:val="009756E8"/>
    <w:rsid w:val="00976F97"/>
    <w:rsid w:val="00977317"/>
    <w:rsid w:val="009802E6"/>
    <w:rsid w:val="009804C2"/>
    <w:rsid w:val="0098055B"/>
    <w:rsid w:val="00980C11"/>
    <w:rsid w:val="00981086"/>
    <w:rsid w:val="0098257D"/>
    <w:rsid w:val="0098302F"/>
    <w:rsid w:val="009831C8"/>
    <w:rsid w:val="00983D28"/>
    <w:rsid w:val="0098474E"/>
    <w:rsid w:val="009857EB"/>
    <w:rsid w:val="00986110"/>
    <w:rsid w:val="009869D5"/>
    <w:rsid w:val="00987232"/>
    <w:rsid w:val="009877E3"/>
    <w:rsid w:val="0099047A"/>
    <w:rsid w:val="009905A0"/>
    <w:rsid w:val="00990EC7"/>
    <w:rsid w:val="00991B95"/>
    <w:rsid w:val="00991D3E"/>
    <w:rsid w:val="00992630"/>
    <w:rsid w:val="00992840"/>
    <w:rsid w:val="00994C6F"/>
    <w:rsid w:val="00994CC4"/>
    <w:rsid w:val="00995379"/>
    <w:rsid w:val="009968AC"/>
    <w:rsid w:val="00996911"/>
    <w:rsid w:val="00996DB9"/>
    <w:rsid w:val="009976E7"/>
    <w:rsid w:val="009A044E"/>
    <w:rsid w:val="009A10AD"/>
    <w:rsid w:val="009A10DD"/>
    <w:rsid w:val="009A11ED"/>
    <w:rsid w:val="009A1795"/>
    <w:rsid w:val="009A1CB0"/>
    <w:rsid w:val="009A2547"/>
    <w:rsid w:val="009A4D66"/>
    <w:rsid w:val="009A5821"/>
    <w:rsid w:val="009A63A6"/>
    <w:rsid w:val="009A65F0"/>
    <w:rsid w:val="009A67A1"/>
    <w:rsid w:val="009A7026"/>
    <w:rsid w:val="009A702B"/>
    <w:rsid w:val="009A7D0C"/>
    <w:rsid w:val="009A7F30"/>
    <w:rsid w:val="009B069B"/>
    <w:rsid w:val="009B097A"/>
    <w:rsid w:val="009B10E0"/>
    <w:rsid w:val="009B18EB"/>
    <w:rsid w:val="009B27DF"/>
    <w:rsid w:val="009B36AF"/>
    <w:rsid w:val="009B393A"/>
    <w:rsid w:val="009B5A7A"/>
    <w:rsid w:val="009B7972"/>
    <w:rsid w:val="009B7A5A"/>
    <w:rsid w:val="009C0544"/>
    <w:rsid w:val="009C0DD6"/>
    <w:rsid w:val="009C1B29"/>
    <w:rsid w:val="009C1C07"/>
    <w:rsid w:val="009C1F84"/>
    <w:rsid w:val="009C38A8"/>
    <w:rsid w:val="009C38DF"/>
    <w:rsid w:val="009C40F8"/>
    <w:rsid w:val="009C5A3E"/>
    <w:rsid w:val="009C6CC1"/>
    <w:rsid w:val="009D05F1"/>
    <w:rsid w:val="009D089E"/>
    <w:rsid w:val="009D094F"/>
    <w:rsid w:val="009D0BF3"/>
    <w:rsid w:val="009D0E88"/>
    <w:rsid w:val="009D1003"/>
    <w:rsid w:val="009D24D7"/>
    <w:rsid w:val="009D256E"/>
    <w:rsid w:val="009D2DB6"/>
    <w:rsid w:val="009D2EAF"/>
    <w:rsid w:val="009D2F47"/>
    <w:rsid w:val="009D2FB9"/>
    <w:rsid w:val="009D3067"/>
    <w:rsid w:val="009D39EE"/>
    <w:rsid w:val="009D3B45"/>
    <w:rsid w:val="009D4E78"/>
    <w:rsid w:val="009D5487"/>
    <w:rsid w:val="009D55B8"/>
    <w:rsid w:val="009D5F35"/>
    <w:rsid w:val="009D674E"/>
    <w:rsid w:val="009D6791"/>
    <w:rsid w:val="009D7835"/>
    <w:rsid w:val="009D7CDF"/>
    <w:rsid w:val="009D7EFC"/>
    <w:rsid w:val="009E05AC"/>
    <w:rsid w:val="009E1649"/>
    <w:rsid w:val="009E172B"/>
    <w:rsid w:val="009E1B55"/>
    <w:rsid w:val="009E204D"/>
    <w:rsid w:val="009E253A"/>
    <w:rsid w:val="009E25F5"/>
    <w:rsid w:val="009E39C0"/>
    <w:rsid w:val="009E4CE0"/>
    <w:rsid w:val="009E523E"/>
    <w:rsid w:val="009E5367"/>
    <w:rsid w:val="009E7B93"/>
    <w:rsid w:val="009F0062"/>
    <w:rsid w:val="009F0349"/>
    <w:rsid w:val="009F1CE1"/>
    <w:rsid w:val="009F1E76"/>
    <w:rsid w:val="009F2FEB"/>
    <w:rsid w:val="009F3268"/>
    <w:rsid w:val="009F4230"/>
    <w:rsid w:val="009F4860"/>
    <w:rsid w:val="009F58F4"/>
    <w:rsid w:val="009F5F2C"/>
    <w:rsid w:val="009F6749"/>
    <w:rsid w:val="009F6A7F"/>
    <w:rsid w:val="009F6C56"/>
    <w:rsid w:val="00A0021A"/>
    <w:rsid w:val="00A0178C"/>
    <w:rsid w:val="00A01D67"/>
    <w:rsid w:val="00A01EAA"/>
    <w:rsid w:val="00A0206E"/>
    <w:rsid w:val="00A02A33"/>
    <w:rsid w:val="00A02F5D"/>
    <w:rsid w:val="00A031CC"/>
    <w:rsid w:val="00A0323B"/>
    <w:rsid w:val="00A04192"/>
    <w:rsid w:val="00A04474"/>
    <w:rsid w:val="00A0482C"/>
    <w:rsid w:val="00A06A94"/>
    <w:rsid w:val="00A0762A"/>
    <w:rsid w:val="00A0776D"/>
    <w:rsid w:val="00A0778F"/>
    <w:rsid w:val="00A1004D"/>
    <w:rsid w:val="00A1182A"/>
    <w:rsid w:val="00A13922"/>
    <w:rsid w:val="00A13DB8"/>
    <w:rsid w:val="00A13F1D"/>
    <w:rsid w:val="00A1482D"/>
    <w:rsid w:val="00A14AA1"/>
    <w:rsid w:val="00A155ED"/>
    <w:rsid w:val="00A15F37"/>
    <w:rsid w:val="00A16191"/>
    <w:rsid w:val="00A163E3"/>
    <w:rsid w:val="00A220C0"/>
    <w:rsid w:val="00A22229"/>
    <w:rsid w:val="00A2239A"/>
    <w:rsid w:val="00A2295F"/>
    <w:rsid w:val="00A22A52"/>
    <w:rsid w:val="00A23246"/>
    <w:rsid w:val="00A24A2E"/>
    <w:rsid w:val="00A25215"/>
    <w:rsid w:val="00A25889"/>
    <w:rsid w:val="00A2710F"/>
    <w:rsid w:val="00A3034C"/>
    <w:rsid w:val="00A30764"/>
    <w:rsid w:val="00A325EE"/>
    <w:rsid w:val="00A338A1"/>
    <w:rsid w:val="00A349CB"/>
    <w:rsid w:val="00A34E5A"/>
    <w:rsid w:val="00A3508F"/>
    <w:rsid w:val="00A35D8A"/>
    <w:rsid w:val="00A364F7"/>
    <w:rsid w:val="00A36DDD"/>
    <w:rsid w:val="00A378ED"/>
    <w:rsid w:val="00A425BA"/>
    <w:rsid w:val="00A42D6B"/>
    <w:rsid w:val="00A42EEB"/>
    <w:rsid w:val="00A430E2"/>
    <w:rsid w:val="00A4316F"/>
    <w:rsid w:val="00A447E7"/>
    <w:rsid w:val="00A44A0C"/>
    <w:rsid w:val="00A454B6"/>
    <w:rsid w:val="00A4559F"/>
    <w:rsid w:val="00A45FC0"/>
    <w:rsid w:val="00A46558"/>
    <w:rsid w:val="00A472F8"/>
    <w:rsid w:val="00A50571"/>
    <w:rsid w:val="00A50AEA"/>
    <w:rsid w:val="00A5314F"/>
    <w:rsid w:val="00A53F81"/>
    <w:rsid w:val="00A54055"/>
    <w:rsid w:val="00A54B25"/>
    <w:rsid w:val="00A54D53"/>
    <w:rsid w:val="00A55882"/>
    <w:rsid w:val="00A5590F"/>
    <w:rsid w:val="00A569E0"/>
    <w:rsid w:val="00A56B6B"/>
    <w:rsid w:val="00A60311"/>
    <w:rsid w:val="00A60546"/>
    <w:rsid w:val="00A61107"/>
    <w:rsid w:val="00A63EEE"/>
    <w:rsid w:val="00A6445C"/>
    <w:rsid w:val="00A66F1E"/>
    <w:rsid w:val="00A6760A"/>
    <w:rsid w:val="00A676D3"/>
    <w:rsid w:val="00A679AD"/>
    <w:rsid w:val="00A71142"/>
    <w:rsid w:val="00A711B7"/>
    <w:rsid w:val="00A7149F"/>
    <w:rsid w:val="00A72C93"/>
    <w:rsid w:val="00A72DB7"/>
    <w:rsid w:val="00A72FF3"/>
    <w:rsid w:val="00A7410C"/>
    <w:rsid w:val="00A754A0"/>
    <w:rsid w:val="00A76082"/>
    <w:rsid w:val="00A7784F"/>
    <w:rsid w:val="00A80A07"/>
    <w:rsid w:val="00A811D6"/>
    <w:rsid w:val="00A81F02"/>
    <w:rsid w:val="00A82860"/>
    <w:rsid w:val="00A82B36"/>
    <w:rsid w:val="00A82F07"/>
    <w:rsid w:val="00A832BA"/>
    <w:rsid w:val="00A8331B"/>
    <w:rsid w:val="00A83BF6"/>
    <w:rsid w:val="00A84963"/>
    <w:rsid w:val="00A84D9C"/>
    <w:rsid w:val="00A85048"/>
    <w:rsid w:val="00A86552"/>
    <w:rsid w:val="00A86CD7"/>
    <w:rsid w:val="00A86D7C"/>
    <w:rsid w:val="00A8750A"/>
    <w:rsid w:val="00A9017B"/>
    <w:rsid w:val="00A90878"/>
    <w:rsid w:val="00A91266"/>
    <w:rsid w:val="00A9266A"/>
    <w:rsid w:val="00A9310D"/>
    <w:rsid w:val="00A9367D"/>
    <w:rsid w:val="00A950F4"/>
    <w:rsid w:val="00A9567A"/>
    <w:rsid w:val="00A96783"/>
    <w:rsid w:val="00A97098"/>
    <w:rsid w:val="00A97337"/>
    <w:rsid w:val="00A97B08"/>
    <w:rsid w:val="00A97D41"/>
    <w:rsid w:val="00A97F5A"/>
    <w:rsid w:val="00A97F92"/>
    <w:rsid w:val="00AA0D5A"/>
    <w:rsid w:val="00AA17F7"/>
    <w:rsid w:val="00AA253F"/>
    <w:rsid w:val="00AA25AC"/>
    <w:rsid w:val="00AA28D2"/>
    <w:rsid w:val="00AA2D58"/>
    <w:rsid w:val="00AA4A27"/>
    <w:rsid w:val="00AA4C06"/>
    <w:rsid w:val="00AA5C1F"/>
    <w:rsid w:val="00AA62A7"/>
    <w:rsid w:val="00AA7E5F"/>
    <w:rsid w:val="00AB0ED1"/>
    <w:rsid w:val="00AB16F3"/>
    <w:rsid w:val="00AB1ED1"/>
    <w:rsid w:val="00AB23B0"/>
    <w:rsid w:val="00AB2567"/>
    <w:rsid w:val="00AB3537"/>
    <w:rsid w:val="00AB365A"/>
    <w:rsid w:val="00AB3A63"/>
    <w:rsid w:val="00AB4201"/>
    <w:rsid w:val="00AB453D"/>
    <w:rsid w:val="00AB48D1"/>
    <w:rsid w:val="00AB4CFC"/>
    <w:rsid w:val="00AB5363"/>
    <w:rsid w:val="00AB58F2"/>
    <w:rsid w:val="00AB5E9F"/>
    <w:rsid w:val="00AB61EF"/>
    <w:rsid w:val="00AB689B"/>
    <w:rsid w:val="00AB7541"/>
    <w:rsid w:val="00AB7CDE"/>
    <w:rsid w:val="00AC0AAA"/>
    <w:rsid w:val="00AC0D62"/>
    <w:rsid w:val="00AC1771"/>
    <w:rsid w:val="00AC1934"/>
    <w:rsid w:val="00AC277A"/>
    <w:rsid w:val="00AC41F9"/>
    <w:rsid w:val="00AC4EEC"/>
    <w:rsid w:val="00AC5B51"/>
    <w:rsid w:val="00AC6C46"/>
    <w:rsid w:val="00AC6D5D"/>
    <w:rsid w:val="00AC6F64"/>
    <w:rsid w:val="00AC706B"/>
    <w:rsid w:val="00AC7487"/>
    <w:rsid w:val="00AC7B00"/>
    <w:rsid w:val="00AD03D9"/>
    <w:rsid w:val="00AD20AF"/>
    <w:rsid w:val="00AD25AD"/>
    <w:rsid w:val="00AD3A59"/>
    <w:rsid w:val="00AD3BBF"/>
    <w:rsid w:val="00AD485D"/>
    <w:rsid w:val="00AD613B"/>
    <w:rsid w:val="00AE079E"/>
    <w:rsid w:val="00AE0D0C"/>
    <w:rsid w:val="00AE1BA9"/>
    <w:rsid w:val="00AE2387"/>
    <w:rsid w:val="00AE4002"/>
    <w:rsid w:val="00AE6E19"/>
    <w:rsid w:val="00AE724E"/>
    <w:rsid w:val="00AE76A8"/>
    <w:rsid w:val="00AF09A0"/>
    <w:rsid w:val="00AF1091"/>
    <w:rsid w:val="00AF153A"/>
    <w:rsid w:val="00AF18A6"/>
    <w:rsid w:val="00AF18CA"/>
    <w:rsid w:val="00AF1CFD"/>
    <w:rsid w:val="00AF2306"/>
    <w:rsid w:val="00AF2617"/>
    <w:rsid w:val="00AF2AE5"/>
    <w:rsid w:val="00AF2B00"/>
    <w:rsid w:val="00AF3AD9"/>
    <w:rsid w:val="00AF4640"/>
    <w:rsid w:val="00AF5145"/>
    <w:rsid w:val="00AF52CD"/>
    <w:rsid w:val="00AF58F3"/>
    <w:rsid w:val="00AF5ABA"/>
    <w:rsid w:val="00AF6D94"/>
    <w:rsid w:val="00B00317"/>
    <w:rsid w:val="00B0149D"/>
    <w:rsid w:val="00B014EC"/>
    <w:rsid w:val="00B04FE2"/>
    <w:rsid w:val="00B05126"/>
    <w:rsid w:val="00B05277"/>
    <w:rsid w:val="00B05777"/>
    <w:rsid w:val="00B05B5E"/>
    <w:rsid w:val="00B06527"/>
    <w:rsid w:val="00B10C3C"/>
    <w:rsid w:val="00B11271"/>
    <w:rsid w:val="00B112A5"/>
    <w:rsid w:val="00B116FF"/>
    <w:rsid w:val="00B118CF"/>
    <w:rsid w:val="00B12833"/>
    <w:rsid w:val="00B12D4B"/>
    <w:rsid w:val="00B140E9"/>
    <w:rsid w:val="00B14557"/>
    <w:rsid w:val="00B1471D"/>
    <w:rsid w:val="00B15438"/>
    <w:rsid w:val="00B17281"/>
    <w:rsid w:val="00B2131B"/>
    <w:rsid w:val="00B21BF3"/>
    <w:rsid w:val="00B222E2"/>
    <w:rsid w:val="00B230A8"/>
    <w:rsid w:val="00B2310C"/>
    <w:rsid w:val="00B23328"/>
    <w:rsid w:val="00B233EC"/>
    <w:rsid w:val="00B23B81"/>
    <w:rsid w:val="00B242B1"/>
    <w:rsid w:val="00B24E54"/>
    <w:rsid w:val="00B25994"/>
    <w:rsid w:val="00B27646"/>
    <w:rsid w:val="00B30A4E"/>
    <w:rsid w:val="00B31A01"/>
    <w:rsid w:val="00B31E3C"/>
    <w:rsid w:val="00B32C18"/>
    <w:rsid w:val="00B33037"/>
    <w:rsid w:val="00B33732"/>
    <w:rsid w:val="00B3483B"/>
    <w:rsid w:val="00B35C7E"/>
    <w:rsid w:val="00B35D32"/>
    <w:rsid w:val="00B36448"/>
    <w:rsid w:val="00B377F6"/>
    <w:rsid w:val="00B416B1"/>
    <w:rsid w:val="00B418F4"/>
    <w:rsid w:val="00B426A2"/>
    <w:rsid w:val="00B43376"/>
    <w:rsid w:val="00B43E68"/>
    <w:rsid w:val="00B44209"/>
    <w:rsid w:val="00B44CCC"/>
    <w:rsid w:val="00B44EAC"/>
    <w:rsid w:val="00B465C8"/>
    <w:rsid w:val="00B472C9"/>
    <w:rsid w:val="00B47C1C"/>
    <w:rsid w:val="00B47F43"/>
    <w:rsid w:val="00B506AC"/>
    <w:rsid w:val="00B50773"/>
    <w:rsid w:val="00B50D1B"/>
    <w:rsid w:val="00B50E2C"/>
    <w:rsid w:val="00B51364"/>
    <w:rsid w:val="00B517ED"/>
    <w:rsid w:val="00B52041"/>
    <w:rsid w:val="00B52F1D"/>
    <w:rsid w:val="00B53170"/>
    <w:rsid w:val="00B536A8"/>
    <w:rsid w:val="00B53B00"/>
    <w:rsid w:val="00B54AE6"/>
    <w:rsid w:val="00B54F8C"/>
    <w:rsid w:val="00B551CF"/>
    <w:rsid w:val="00B56D06"/>
    <w:rsid w:val="00B5765A"/>
    <w:rsid w:val="00B60C22"/>
    <w:rsid w:val="00B616A0"/>
    <w:rsid w:val="00B620CA"/>
    <w:rsid w:val="00B6232A"/>
    <w:rsid w:val="00B62B8F"/>
    <w:rsid w:val="00B62D75"/>
    <w:rsid w:val="00B63850"/>
    <w:rsid w:val="00B6475C"/>
    <w:rsid w:val="00B649F7"/>
    <w:rsid w:val="00B667C6"/>
    <w:rsid w:val="00B66DB7"/>
    <w:rsid w:val="00B67ADB"/>
    <w:rsid w:val="00B70A7F"/>
    <w:rsid w:val="00B716B3"/>
    <w:rsid w:val="00B719C9"/>
    <w:rsid w:val="00B71C25"/>
    <w:rsid w:val="00B71D4B"/>
    <w:rsid w:val="00B7214B"/>
    <w:rsid w:val="00B72A9B"/>
    <w:rsid w:val="00B73636"/>
    <w:rsid w:val="00B7370E"/>
    <w:rsid w:val="00B7381A"/>
    <w:rsid w:val="00B73C08"/>
    <w:rsid w:val="00B7439C"/>
    <w:rsid w:val="00B743D7"/>
    <w:rsid w:val="00B7534C"/>
    <w:rsid w:val="00B7657E"/>
    <w:rsid w:val="00B76793"/>
    <w:rsid w:val="00B76C42"/>
    <w:rsid w:val="00B76CBC"/>
    <w:rsid w:val="00B770C9"/>
    <w:rsid w:val="00B80C63"/>
    <w:rsid w:val="00B819ED"/>
    <w:rsid w:val="00B8390E"/>
    <w:rsid w:val="00B83CA3"/>
    <w:rsid w:val="00B84219"/>
    <w:rsid w:val="00B84275"/>
    <w:rsid w:val="00B84382"/>
    <w:rsid w:val="00B85068"/>
    <w:rsid w:val="00B85154"/>
    <w:rsid w:val="00B85546"/>
    <w:rsid w:val="00B85D8E"/>
    <w:rsid w:val="00B87377"/>
    <w:rsid w:val="00B87EA2"/>
    <w:rsid w:val="00B913AA"/>
    <w:rsid w:val="00B91481"/>
    <w:rsid w:val="00B91B01"/>
    <w:rsid w:val="00B9205C"/>
    <w:rsid w:val="00B925BA"/>
    <w:rsid w:val="00B93031"/>
    <w:rsid w:val="00B9335D"/>
    <w:rsid w:val="00B94400"/>
    <w:rsid w:val="00B95673"/>
    <w:rsid w:val="00B961C8"/>
    <w:rsid w:val="00B96C2A"/>
    <w:rsid w:val="00B96FD4"/>
    <w:rsid w:val="00B97971"/>
    <w:rsid w:val="00BA04E1"/>
    <w:rsid w:val="00BA18D1"/>
    <w:rsid w:val="00BA19E0"/>
    <w:rsid w:val="00BA1F8A"/>
    <w:rsid w:val="00BA258C"/>
    <w:rsid w:val="00BA280D"/>
    <w:rsid w:val="00BA321E"/>
    <w:rsid w:val="00BA3EDB"/>
    <w:rsid w:val="00BA4441"/>
    <w:rsid w:val="00BA46B0"/>
    <w:rsid w:val="00BA47DA"/>
    <w:rsid w:val="00BA4E91"/>
    <w:rsid w:val="00BA5E59"/>
    <w:rsid w:val="00BA6D0B"/>
    <w:rsid w:val="00BA75F2"/>
    <w:rsid w:val="00BB0F17"/>
    <w:rsid w:val="00BB1A4D"/>
    <w:rsid w:val="00BB228F"/>
    <w:rsid w:val="00BB304B"/>
    <w:rsid w:val="00BB347F"/>
    <w:rsid w:val="00BB36ED"/>
    <w:rsid w:val="00BB50DE"/>
    <w:rsid w:val="00BB641A"/>
    <w:rsid w:val="00BB6DED"/>
    <w:rsid w:val="00BB79A4"/>
    <w:rsid w:val="00BB7A89"/>
    <w:rsid w:val="00BB7CBB"/>
    <w:rsid w:val="00BC08D4"/>
    <w:rsid w:val="00BC0CB8"/>
    <w:rsid w:val="00BC0EE4"/>
    <w:rsid w:val="00BC1B82"/>
    <w:rsid w:val="00BC1D46"/>
    <w:rsid w:val="00BC21D7"/>
    <w:rsid w:val="00BC4A61"/>
    <w:rsid w:val="00BC52EB"/>
    <w:rsid w:val="00BC5978"/>
    <w:rsid w:val="00BC5A14"/>
    <w:rsid w:val="00BC6876"/>
    <w:rsid w:val="00BD0100"/>
    <w:rsid w:val="00BD297C"/>
    <w:rsid w:val="00BD2BB6"/>
    <w:rsid w:val="00BD4509"/>
    <w:rsid w:val="00BD483C"/>
    <w:rsid w:val="00BD4931"/>
    <w:rsid w:val="00BD499A"/>
    <w:rsid w:val="00BD532D"/>
    <w:rsid w:val="00BD6F03"/>
    <w:rsid w:val="00BD6FDA"/>
    <w:rsid w:val="00BD77B5"/>
    <w:rsid w:val="00BD7A55"/>
    <w:rsid w:val="00BE00E4"/>
    <w:rsid w:val="00BE0270"/>
    <w:rsid w:val="00BE0809"/>
    <w:rsid w:val="00BE0965"/>
    <w:rsid w:val="00BE0D73"/>
    <w:rsid w:val="00BE0DD9"/>
    <w:rsid w:val="00BE180E"/>
    <w:rsid w:val="00BE19CD"/>
    <w:rsid w:val="00BE21A8"/>
    <w:rsid w:val="00BE2827"/>
    <w:rsid w:val="00BE2CB6"/>
    <w:rsid w:val="00BE331A"/>
    <w:rsid w:val="00BE391E"/>
    <w:rsid w:val="00BE4444"/>
    <w:rsid w:val="00BE48B7"/>
    <w:rsid w:val="00BE4C20"/>
    <w:rsid w:val="00BE53BC"/>
    <w:rsid w:val="00BE5574"/>
    <w:rsid w:val="00BE5CDB"/>
    <w:rsid w:val="00BE5DF3"/>
    <w:rsid w:val="00BE61B0"/>
    <w:rsid w:val="00BE6BFF"/>
    <w:rsid w:val="00BE74B4"/>
    <w:rsid w:val="00BE74D9"/>
    <w:rsid w:val="00BF01E3"/>
    <w:rsid w:val="00BF0B84"/>
    <w:rsid w:val="00BF19A0"/>
    <w:rsid w:val="00BF2280"/>
    <w:rsid w:val="00BF4843"/>
    <w:rsid w:val="00BF4B69"/>
    <w:rsid w:val="00BF5F81"/>
    <w:rsid w:val="00BF6456"/>
    <w:rsid w:val="00BF6462"/>
    <w:rsid w:val="00BF6F8D"/>
    <w:rsid w:val="00BF7738"/>
    <w:rsid w:val="00C00471"/>
    <w:rsid w:val="00C011B3"/>
    <w:rsid w:val="00C014C6"/>
    <w:rsid w:val="00C01839"/>
    <w:rsid w:val="00C01BF8"/>
    <w:rsid w:val="00C02043"/>
    <w:rsid w:val="00C04A40"/>
    <w:rsid w:val="00C04F50"/>
    <w:rsid w:val="00C05E06"/>
    <w:rsid w:val="00C06FED"/>
    <w:rsid w:val="00C0702F"/>
    <w:rsid w:val="00C076D3"/>
    <w:rsid w:val="00C1041E"/>
    <w:rsid w:val="00C1044E"/>
    <w:rsid w:val="00C10EB9"/>
    <w:rsid w:val="00C11E3B"/>
    <w:rsid w:val="00C1233D"/>
    <w:rsid w:val="00C12AFA"/>
    <w:rsid w:val="00C12E9A"/>
    <w:rsid w:val="00C1412B"/>
    <w:rsid w:val="00C15578"/>
    <w:rsid w:val="00C15648"/>
    <w:rsid w:val="00C16E21"/>
    <w:rsid w:val="00C17244"/>
    <w:rsid w:val="00C2000C"/>
    <w:rsid w:val="00C2020E"/>
    <w:rsid w:val="00C20265"/>
    <w:rsid w:val="00C20ECB"/>
    <w:rsid w:val="00C2112F"/>
    <w:rsid w:val="00C21CA1"/>
    <w:rsid w:val="00C21D7D"/>
    <w:rsid w:val="00C21FB0"/>
    <w:rsid w:val="00C24142"/>
    <w:rsid w:val="00C257EC"/>
    <w:rsid w:val="00C25B6F"/>
    <w:rsid w:val="00C25CA5"/>
    <w:rsid w:val="00C2605E"/>
    <w:rsid w:val="00C2648E"/>
    <w:rsid w:val="00C26B97"/>
    <w:rsid w:val="00C27BE2"/>
    <w:rsid w:val="00C30194"/>
    <w:rsid w:val="00C30973"/>
    <w:rsid w:val="00C30F85"/>
    <w:rsid w:val="00C31129"/>
    <w:rsid w:val="00C313E7"/>
    <w:rsid w:val="00C3210B"/>
    <w:rsid w:val="00C34EEE"/>
    <w:rsid w:val="00C3561D"/>
    <w:rsid w:val="00C3654D"/>
    <w:rsid w:val="00C369FE"/>
    <w:rsid w:val="00C410EB"/>
    <w:rsid w:val="00C4196A"/>
    <w:rsid w:val="00C41CF2"/>
    <w:rsid w:val="00C41E47"/>
    <w:rsid w:val="00C42E87"/>
    <w:rsid w:val="00C42F00"/>
    <w:rsid w:val="00C43453"/>
    <w:rsid w:val="00C44924"/>
    <w:rsid w:val="00C45097"/>
    <w:rsid w:val="00C45C93"/>
    <w:rsid w:val="00C461EB"/>
    <w:rsid w:val="00C50077"/>
    <w:rsid w:val="00C51720"/>
    <w:rsid w:val="00C51E03"/>
    <w:rsid w:val="00C520D7"/>
    <w:rsid w:val="00C52B35"/>
    <w:rsid w:val="00C5372C"/>
    <w:rsid w:val="00C53769"/>
    <w:rsid w:val="00C53EEF"/>
    <w:rsid w:val="00C55CD2"/>
    <w:rsid w:val="00C55E91"/>
    <w:rsid w:val="00C562B4"/>
    <w:rsid w:val="00C56832"/>
    <w:rsid w:val="00C56C08"/>
    <w:rsid w:val="00C57869"/>
    <w:rsid w:val="00C60DF5"/>
    <w:rsid w:val="00C60FED"/>
    <w:rsid w:val="00C627A3"/>
    <w:rsid w:val="00C64C2F"/>
    <w:rsid w:val="00C6528A"/>
    <w:rsid w:val="00C6546A"/>
    <w:rsid w:val="00C66586"/>
    <w:rsid w:val="00C665F2"/>
    <w:rsid w:val="00C672BF"/>
    <w:rsid w:val="00C6749F"/>
    <w:rsid w:val="00C676D3"/>
    <w:rsid w:val="00C7054B"/>
    <w:rsid w:val="00C70598"/>
    <w:rsid w:val="00C71439"/>
    <w:rsid w:val="00C72AE9"/>
    <w:rsid w:val="00C7375A"/>
    <w:rsid w:val="00C74048"/>
    <w:rsid w:val="00C74654"/>
    <w:rsid w:val="00C74775"/>
    <w:rsid w:val="00C74F0F"/>
    <w:rsid w:val="00C754A8"/>
    <w:rsid w:val="00C7556D"/>
    <w:rsid w:val="00C75F55"/>
    <w:rsid w:val="00C76725"/>
    <w:rsid w:val="00C77FDD"/>
    <w:rsid w:val="00C81867"/>
    <w:rsid w:val="00C81AAE"/>
    <w:rsid w:val="00C81EBC"/>
    <w:rsid w:val="00C82FE1"/>
    <w:rsid w:val="00C847AA"/>
    <w:rsid w:val="00C84C3A"/>
    <w:rsid w:val="00C86300"/>
    <w:rsid w:val="00C8679C"/>
    <w:rsid w:val="00C8685C"/>
    <w:rsid w:val="00C87645"/>
    <w:rsid w:val="00C87795"/>
    <w:rsid w:val="00C8788F"/>
    <w:rsid w:val="00C878A2"/>
    <w:rsid w:val="00C93936"/>
    <w:rsid w:val="00C948E7"/>
    <w:rsid w:val="00C963E5"/>
    <w:rsid w:val="00C967BE"/>
    <w:rsid w:val="00C96E4A"/>
    <w:rsid w:val="00C97546"/>
    <w:rsid w:val="00C975A8"/>
    <w:rsid w:val="00C97688"/>
    <w:rsid w:val="00C97773"/>
    <w:rsid w:val="00C9786B"/>
    <w:rsid w:val="00C97D39"/>
    <w:rsid w:val="00CA1482"/>
    <w:rsid w:val="00CA1957"/>
    <w:rsid w:val="00CA2159"/>
    <w:rsid w:val="00CA21E3"/>
    <w:rsid w:val="00CA2ACE"/>
    <w:rsid w:val="00CA3B1F"/>
    <w:rsid w:val="00CA3B41"/>
    <w:rsid w:val="00CA3BA7"/>
    <w:rsid w:val="00CA3D0C"/>
    <w:rsid w:val="00CA7866"/>
    <w:rsid w:val="00CA7F24"/>
    <w:rsid w:val="00CB0C31"/>
    <w:rsid w:val="00CB0D84"/>
    <w:rsid w:val="00CB1580"/>
    <w:rsid w:val="00CB1A38"/>
    <w:rsid w:val="00CB21B3"/>
    <w:rsid w:val="00CB2E9C"/>
    <w:rsid w:val="00CB4072"/>
    <w:rsid w:val="00CB484D"/>
    <w:rsid w:val="00CB517A"/>
    <w:rsid w:val="00CB61C9"/>
    <w:rsid w:val="00CB62EE"/>
    <w:rsid w:val="00CB7176"/>
    <w:rsid w:val="00CB730C"/>
    <w:rsid w:val="00CC0F4A"/>
    <w:rsid w:val="00CC0F68"/>
    <w:rsid w:val="00CC22B1"/>
    <w:rsid w:val="00CC2A03"/>
    <w:rsid w:val="00CC2C93"/>
    <w:rsid w:val="00CC2DC4"/>
    <w:rsid w:val="00CC384C"/>
    <w:rsid w:val="00CC38CF"/>
    <w:rsid w:val="00CC3988"/>
    <w:rsid w:val="00CC5202"/>
    <w:rsid w:val="00CC52C9"/>
    <w:rsid w:val="00CC53F4"/>
    <w:rsid w:val="00CC5AF3"/>
    <w:rsid w:val="00CC68BF"/>
    <w:rsid w:val="00CC6958"/>
    <w:rsid w:val="00CC7C45"/>
    <w:rsid w:val="00CD13B1"/>
    <w:rsid w:val="00CD2107"/>
    <w:rsid w:val="00CD28EC"/>
    <w:rsid w:val="00CD2DC8"/>
    <w:rsid w:val="00CD3D23"/>
    <w:rsid w:val="00CD3FDF"/>
    <w:rsid w:val="00CD561D"/>
    <w:rsid w:val="00CD6EF5"/>
    <w:rsid w:val="00CE052C"/>
    <w:rsid w:val="00CE0CE1"/>
    <w:rsid w:val="00CE20E9"/>
    <w:rsid w:val="00CE3DD3"/>
    <w:rsid w:val="00CE4053"/>
    <w:rsid w:val="00CE4954"/>
    <w:rsid w:val="00CE5016"/>
    <w:rsid w:val="00CE596E"/>
    <w:rsid w:val="00CE5FEF"/>
    <w:rsid w:val="00CF1160"/>
    <w:rsid w:val="00CF3482"/>
    <w:rsid w:val="00CF4940"/>
    <w:rsid w:val="00CF4CD4"/>
    <w:rsid w:val="00CF5293"/>
    <w:rsid w:val="00CF72AC"/>
    <w:rsid w:val="00D0011E"/>
    <w:rsid w:val="00D004E5"/>
    <w:rsid w:val="00D0136A"/>
    <w:rsid w:val="00D0142A"/>
    <w:rsid w:val="00D0150B"/>
    <w:rsid w:val="00D02111"/>
    <w:rsid w:val="00D0280B"/>
    <w:rsid w:val="00D038D7"/>
    <w:rsid w:val="00D052E6"/>
    <w:rsid w:val="00D05DDB"/>
    <w:rsid w:val="00D073F9"/>
    <w:rsid w:val="00D07DD7"/>
    <w:rsid w:val="00D10717"/>
    <w:rsid w:val="00D1147F"/>
    <w:rsid w:val="00D13DF1"/>
    <w:rsid w:val="00D13EDA"/>
    <w:rsid w:val="00D15061"/>
    <w:rsid w:val="00D15D74"/>
    <w:rsid w:val="00D1722E"/>
    <w:rsid w:val="00D176B7"/>
    <w:rsid w:val="00D20B08"/>
    <w:rsid w:val="00D211A5"/>
    <w:rsid w:val="00D2261D"/>
    <w:rsid w:val="00D228B8"/>
    <w:rsid w:val="00D24515"/>
    <w:rsid w:val="00D24E61"/>
    <w:rsid w:val="00D2526B"/>
    <w:rsid w:val="00D266A9"/>
    <w:rsid w:val="00D27660"/>
    <w:rsid w:val="00D30E94"/>
    <w:rsid w:val="00D31401"/>
    <w:rsid w:val="00D324DA"/>
    <w:rsid w:val="00D3266B"/>
    <w:rsid w:val="00D32A14"/>
    <w:rsid w:val="00D32B43"/>
    <w:rsid w:val="00D33571"/>
    <w:rsid w:val="00D339A1"/>
    <w:rsid w:val="00D33CFC"/>
    <w:rsid w:val="00D344F3"/>
    <w:rsid w:val="00D3524B"/>
    <w:rsid w:val="00D357A4"/>
    <w:rsid w:val="00D36238"/>
    <w:rsid w:val="00D36EB1"/>
    <w:rsid w:val="00D375AE"/>
    <w:rsid w:val="00D4029D"/>
    <w:rsid w:val="00D44DF2"/>
    <w:rsid w:val="00D44EDE"/>
    <w:rsid w:val="00D451A5"/>
    <w:rsid w:val="00D451C1"/>
    <w:rsid w:val="00D45283"/>
    <w:rsid w:val="00D4541B"/>
    <w:rsid w:val="00D477C3"/>
    <w:rsid w:val="00D47CB0"/>
    <w:rsid w:val="00D47DE7"/>
    <w:rsid w:val="00D51271"/>
    <w:rsid w:val="00D51828"/>
    <w:rsid w:val="00D53179"/>
    <w:rsid w:val="00D53DC5"/>
    <w:rsid w:val="00D5465D"/>
    <w:rsid w:val="00D5517C"/>
    <w:rsid w:val="00D55406"/>
    <w:rsid w:val="00D55E9A"/>
    <w:rsid w:val="00D5615B"/>
    <w:rsid w:val="00D56E84"/>
    <w:rsid w:val="00D60759"/>
    <w:rsid w:val="00D6293F"/>
    <w:rsid w:val="00D662E4"/>
    <w:rsid w:val="00D670D3"/>
    <w:rsid w:val="00D67470"/>
    <w:rsid w:val="00D6792F"/>
    <w:rsid w:val="00D67B99"/>
    <w:rsid w:val="00D67FC9"/>
    <w:rsid w:val="00D709B5"/>
    <w:rsid w:val="00D729D1"/>
    <w:rsid w:val="00D72B2A"/>
    <w:rsid w:val="00D736FB"/>
    <w:rsid w:val="00D73AAF"/>
    <w:rsid w:val="00D73B35"/>
    <w:rsid w:val="00D74B08"/>
    <w:rsid w:val="00D75461"/>
    <w:rsid w:val="00D75B0B"/>
    <w:rsid w:val="00D77388"/>
    <w:rsid w:val="00D775D2"/>
    <w:rsid w:val="00D77855"/>
    <w:rsid w:val="00D8078E"/>
    <w:rsid w:val="00D80D94"/>
    <w:rsid w:val="00D8118D"/>
    <w:rsid w:val="00D82637"/>
    <w:rsid w:val="00D83283"/>
    <w:rsid w:val="00D83860"/>
    <w:rsid w:val="00D83B8A"/>
    <w:rsid w:val="00D83D34"/>
    <w:rsid w:val="00D85155"/>
    <w:rsid w:val="00D85F3F"/>
    <w:rsid w:val="00D86169"/>
    <w:rsid w:val="00D8652F"/>
    <w:rsid w:val="00D86BF7"/>
    <w:rsid w:val="00D86C18"/>
    <w:rsid w:val="00D875E3"/>
    <w:rsid w:val="00D91421"/>
    <w:rsid w:val="00D91CBD"/>
    <w:rsid w:val="00D926E9"/>
    <w:rsid w:val="00D92B66"/>
    <w:rsid w:val="00D9348C"/>
    <w:rsid w:val="00D93CC1"/>
    <w:rsid w:val="00D93EB9"/>
    <w:rsid w:val="00D942A3"/>
    <w:rsid w:val="00D95384"/>
    <w:rsid w:val="00D9583F"/>
    <w:rsid w:val="00D96C34"/>
    <w:rsid w:val="00D970E9"/>
    <w:rsid w:val="00D97E49"/>
    <w:rsid w:val="00DA073F"/>
    <w:rsid w:val="00DA08BF"/>
    <w:rsid w:val="00DA12F6"/>
    <w:rsid w:val="00DA1419"/>
    <w:rsid w:val="00DA2603"/>
    <w:rsid w:val="00DA2818"/>
    <w:rsid w:val="00DA2876"/>
    <w:rsid w:val="00DA40F8"/>
    <w:rsid w:val="00DA4875"/>
    <w:rsid w:val="00DA4917"/>
    <w:rsid w:val="00DA4E73"/>
    <w:rsid w:val="00DA5117"/>
    <w:rsid w:val="00DA61B6"/>
    <w:rsid w:val="00DA68C1"/>
    <w:rsid w:val="00DA71E0"/>
    <w:rsid w:val="00DA7808"/>
    <w:rsid w:val="00DB2CB5"/>
    <w:rsid w:val="00DB2F25"/>
    <w:rsid w:val="00DB35F8"/>
    <w:rsid w:val="00DB57B7"/>
    <w:rsid w:val="00DB67E5"/>
    <w:rsid w:val="00DB68CD"/>
    <w:rsid w:val="00DB73AB"/>
    <w:rsid w:val="00DB761D"/>
    <w:rsid w:val="00DB7C28"/>
    <w:rsid w:val="00DC13F9"/>
    <w:rsid w:val="00DC1D72"/>
    <w:rsid w:val="00DC2E2C"/>
    <w:rsid w:val="00DC4E8F"/>
    <w:rsid w:val="00DC545A"/>
    <w:rsid w:val="00DC585F"/>
    <w:rsid w:val="00DC77F2"/>
    <w:rsid w:val="00DC78DB"/>
    <w:rsid w:val="00DC7F7D"/>
    <w:rsid w:val="00DD028A"/>
    <w:rsid w:val="00DD08C1"/>
    <w:rsid w:val="00DD19C8"/>
    <w:rsid w:val="00DD1BFF"/>
    <w:rsid w:val="00DD2278"/>
    <w:rsid w:val="00DD2ADC"/>
    <w:rsid w:val="00DD4F3E"/>
    <w:rsid w:val="00DD5FFB"/>
    <w:rsid w:val="00DD67A9"/>
    <w:rsid w:val="00DD6EA5"/>
    <w:rsid w:val="00DD75C0"/>
    <w:rsid w:val="00DD7C85"/>
    <w:rsid w:val="00DE2574"/>
    <w:rsid w:val="00DE2C5D"/>
    <w:rsid w:val="00DE36B6"/>
    <w:rsid w:val="00DE4BD0"/>
    <w:rsid w:val="00DE58C9"/>
    <w:rsid w:val="00DE58D7"/>
    <w:rsid w:val="00DE5D98"/>
    <w:rsid w:val="00DE62BC"/>
    <w:rsid w:val="00DE7572"/>
    <w:rsid w:val="00DE7BEA"/>
    <w:rsid w:val="00DE7DAF"/>
    <w:rsid w:val="00DF154D"/>
    <w:rsid w:val="00DF16FC"/>
    <w:rsid w:val="00DF19F6"/>
    <w:rsid w:val="00DF376E"/>
    <w:rsid w:val="00DF431A"/>
    <w:rsid w:val="00DF62C6"/>
    <w:rsid w:val="00DF6D21"/>
    <w:rsid w:val="00DF75FB"/>
    <w:rsid w:val="00DF7C00"/>
    <w:rsid w:val="00E00BBD"/>
    <w:rsid w:val="00E01F2F"/>
    <w:rsid w:val="00E02136"/>
    <w:rsid w:val="00E02157"/>
    <w:rsid w:val="00E0219A"/>
    <w:rsid w:val="00E02370"/>
    <w:rsid w:val="00E02392"/>
    <w:rsid w:val="00E02F84"/>
    <w:rsid w:val="00E03E17"/>
    <w:rsid w:val="00E042FF"/>
    <w:rsid w:val="00E04850"/>
    <w:rsid w:val="00E05C13"/>
    <w:rsid w:val="00E05C1A"/>
    <w:rsid w:val="00E064CA"/>
    <w:rsid w:val="00E065B2"/>
    <w:rsid w:val="00E06813"/>
    <w:rsid w:val="00E10053"/>
    <w:rsid w:val="00E111E4"/>
    <w:rsid w:val="00E11521"/>
    <w:rsid w:val="00E127AF"/>
    <w:rsid w:val="00E13B47"/>
    <w:rsid w:val="00E15933"/>
    <w:rsid w:val="00E15B99"/>
    <w:rsid w:val="00E16FAA"/>
    <w:rsid w:val="00E171C2"/>
    <w:rsid w:val="00E20598"/>
    <w:rsid w:val="00E20664"/>
    <w:rsid w:val="00E2148E"/>
    <w:rsid w:val="00E21C56"/>
    <w:rsid w:val="00E22425"/>
    <w:rsid w:val="00E23F67"/>
    <w:rsid w:val="00E24926"/>
    <w:rsid w:val="00E24E04"/>
    <w:rsid w:val="00E2580D"/>
    <w:rsid w:val="00E2583C"/>
    <w:rsid w:val="00E2789E"/>
    <w:rsid w:val="00E27F2F"/>
    <w:rsid w:val="00E30294"/>
    <w:rsid w:val="00E315D6"/>
    <w:rsid w:val="00E3258F"/>
    <w:rsid w:val="00E330AB"/>
    <w:rsid w:val="00E3317B"/>
    <w:rsid w:val="00E3386F"/>
    <w:rsid w:val="00E341F0"/>
    <w:rsid w:val="00E350BD"/>
    <w:rsid w:val="00E3540A"/>
    <w:rsid w:val="00E35AE0"/>
    <w:rsid w:val="00E36335"/>
    <w:rsid w:val="00E373B4"/>
    <w:rsid w:val="00E37B5C"/>
    <w:rsid w:val="00E37CF8"/>
    <w:rsid w:val="00E40350"/>
    <w:rsid w:val="00E407AC"/>
    <w:rsid w:val="00E413A5"/>
    <w:rsid w:val="00E41AF8"/>
    <w:rsid w:val="00E422BE"/>
    <w:rsid w:val="00E4296A"/>
    <w:rsid w:val="00E43380"/>
    <w:rsid w:val="00E44274"/>
    <w:rsid w:val="00E44603"/>
    <w:rsid w:val="00E44F24"/>
    <w:rsid w:val="00E455B4"/>
    <w:rsid w:val="00E46FA7"/>
    <w:rsid w:val="00E46FBA"/>
    <w:rsid w:val="00E47328"/>
    <w:rsid w:val="00E479DF"/>
    <w:rsid w:val="00E505D8"/>
    <w:rsid w:val="00E50B83"/>
    <w:rsid w:val="00E51530"/>
    <w:rsid w:val="00E5252F"/>
    <w:rsid w:val="00E528C6"/>
    <w:rsid w:val="00E52B26"/>
    <w:rsid w:val="00E535BD"/>
    <w:rsid w:val="00E54596"/>
    <w:rsid w:val="00E55578"/>
    <w:rsid w:val="00E56000"/>
    <w:rsid w:val="00E56378"/>
    <w:rsid w:val="00E57208"/>
    <w:rsid w:val="00E57457"/>
    <w:rsid w:val="00E60175"/>
    <w:rsid w:val="00E6160E"/>
    <w:rsid w:val="00E63F00"/>
    <w:rsid w:val="00E642DC"/>
    <w:rsid w:val="00E64ABC"/>
    <w:rsid w:val="00E64E57"/>
    <w:rsid w:val="00E64F71"/>
    <w:rsid w:val="00E64FC2"/>
    <w:rsid w:val="00E65240"/>
    <w:rsid w:val="00E67590"/>
    <w:rsid w:val="00E67A1A"/>
    <w:rsid w:val="00E703B1"/>
    <w:rsid w:val="00E7045C"/>
    <w:rsid w:val="00E718EA"/>
    <w:rsid w:val="00E71A6E"/>
    <w:rsid w:val="00E72E55"/>
    <w:rsid w:val="00E733D4"/>
    <w:rsid w:val="00E74228"/>
    <w:rsid w:val="00E74759"/>
    <w:rsid w:val="00E74A24"/>
    <w:rsid w:val="00E74E48"/>
    <w:rsid w:val="00E76B64"/>
    <w:rsid w:val="00E76BBE"/>
    <w:rsid w:val="00E77101"/>
    <w:rsid w:val="00E808C9"/>
    <w:rsid w:val="00E80943"/>
    <w:rsid w:val="00E8112D"/>
    <w:rsid w:val="00E81135"/>
    <w:rsid w:val="00E8148D"/>
    <w:rsid w:val="00E818C3"/>
    <w:rsid w:val="00E82DCF"/>
    <w:rsid w:val="00E84DC4"/>
    <w:rsid w:val="00E8561A"/>
    <w:rsid w:val="00E8589E"/>
    <w:rsid w:val="00E85DE8"/>
    <w:rsid w:val="00E86672"/>
    <w:rsid w:val="00E86705"/>
    <w:rsid w:val="00E86E0C"/>
    <w:rsid w:val="00E87FB1"/>
    <w:rsid w:val="00E900CF"/>
    <w:rsid w:val="00E908C6"/>
    <w:rsid w:val="00E90CF0"/>
    <w:rsid w:val="00E924A8"/>
    <w:rsid w:val="00E93450"/>
    <w:rsid w:val="00E9372A"/>
    <w:rsid w:val="00E93AFD"/>
    <w:rsid w:val="00E95441"/>
    <w:rsid w:val="00E96618"/>
    <w:rsid w:val="00E97970"/>
    <w:rsid w:val="00E979A5"/>
    <w:rsid w:val="00E97C50"/>
    <w:rsid w:val="00EA03D8"/>
    <w:rsid w:val="00EA0DB1"/>
    <w:rsid w:val="00EA507E"/>
    <w:rsid w:val="00EA5747"/>
    <w:rsid w:val="00EA73BA"/>
    <w:rsid w:val="00EA7745"/>
    <w:rsid w:val="00EB0F28"/>
    <w:rsid w:val="00EB1892"/>
    <w:rsid w:val="00EB2336"/>
    <w:rsid w:val="00EB3B2C"/>
    <w:rsid w:val="00EB3F96"/>
    <w:rsid w:val="00EB3FA2"/>
    <w:rsid w:val="00EB4281"/>
    <w:rsid w:val="00EB4A81"/>
    <w:rsid w:val="00EB5264"/>
    <w:rsid w:val="00EB52AE"/>
    <w:rsid w:val="00EB60D0"/>
    <w:rsid w:val="00EC03D2"/>
    <w:rsid w:val="00EC0719"/>
    <w:rsid w:val="00EC09D5"/>
    <w:rsid w:val="00EC1FA6"/>
    <w:rsid w:val="00EC202F"/>
    <w:rsid w:val="00EC25AB"/>
    <w:rsid w:val="00EC3DF9"/>
    <w:rsid w:val="00EC4F93"/>
    <w:rsid w:val="00EC515F"/>
    <w:rsid w:val="00EC5679"/>
    <w:rsid w:val="00EC5764"/>
    <w:rsid w:val="00EC5DBE"/>
    <w:rsid w:val="00EC5DE6"/>
    <w:rsid w:val="00EC6C65"/>
    <w:rsid w:val="00ED0FC6"/>
    <w:rsid w:val="00ED1C3D"/>
    <w:rsid w:val="00ED2264"/>
    <w:rsid w:val="00ED23A2"/>
    <w:rsid w:val="00ED2B1D"/>
    <w:rsid w:val="00ED412E"/>
    <w:rsid w:val="00ED41A8"/>
    <w:rsid w:val="00ED44D2"/>
    <w:rsid w:val="00ED452D"/>
    <w:rsid w:val="00ED5035"/>
    <w:rsid w:val="00ED5703"/>
    <w:rsid w:val="00ED5DD6"/>
    <w:rsid w:val="00ED65DB"/>
    <w:rsid w:val="00ED6AF2"/>
    <w:rsid w:val="00ED6C2D"/>
    <w:rsid w:val="00ED7BC1"/>
    <w:rsid w:val="00EE04D4"/>
    <w:rsid w:val="00EE0C34"/>
    <w:rsid w:val="00EE0C71"/>
    <w:rsid w:val="00EE29BE"/>
    <w:rsid w:val="00EE3C34"/>
    <w:rsid w:val="00EE3CDA"/>
    <w:rsid w:val="00EE4C9E"/>
    <w:rsid w:val="00EE5884"/>
    <w:rsid w:val="00EF038F"/>
    <w:rsid w:val="00EF07C3"/>
    <w:rsid w:val="00EF1944"/>
    <w:rsid w:val="00EF26AE"/>
    <w:rsid w:val="00EF27B5"/>
    <w:rsid w:val="00EF43EA"/>
    <w:rsid w:val="00EF493E"/>
    <w:rsid w:val="00EF5D73"/>
    <w:rsid w:val="00EF607A"/>
    <w:rsid w:val="00EF6331"/>
    <w:rsid w:val="00EF6482"/>
    <w:rsid w:val="00EF71FF"/>
    <w:rsid w:val="00EF7662"/>
    <w:rsid w:val="00EF773B"/>
    <w:rsid w:val="00F00241"/>
    <w:rsid w:val="00F00777"/>
    <w:rsid w:val="00F00887"/>
    <w:rsid w:val="00F01AED"/>
    <w:rsid w:val="00F02876"/>
    <w:rsid w:val="00F06185"/>
    <w:rsid w:val="00F064C3"/>
    <w:rsid w:val="00F06A82"/>
    <w:rsid w:val="00F109A7"/>
    <w:rsid w:val="00F10BFD"/>
    <w:rsid w:val="00F10D7E"/>
    <w:rsid w:val="00F11D60"/>
    <w:rsid w:val="00F12451"/>
    <w:rsid w:val="00F12F74"/>
    <w:rsid w:val="00F1303C"/>
    <w:rsid w:val="00F132E8"/>
    <w:rsid w:val="00F14FD4"/>
    <w:rsid w:val="00F15550"/>
    <w:rsid w:val="00F15E8D"/>
    <w:rsid w:val="00F175AF"/>
    <w:rsid w:val="00F205FB"/>
    <w:rsid w:val="00F20DD7"/>
    <w:rsid w:val="00F21CF8"/>
    <w:rsid w:val="00F22A61"/>
    <w:rsid w:val="00F2357B"/>
    <w:rsid w:val="00F23602"/>
    <w:rsid w:val="00F236DC"/>
    <w:rsid w:val="00F2464A"/>
    <w:rsid w:val="00F247BC"/>
    <w:rsid w:val="00F2482C"/>
    <w:rsid w:val="00F25233"/>
    <w:rsid w:val="00F25CBC"/>
    <w:rsid w:val="00F25EAF"/>
    <w:rsid w:val="00F26AC0"/>
    <w:rsid w:val="00F2719D"/>
    <w:rsid w:val="00F27940"/>
    <w:rsid w:val="00F27A13"/>
    <w:rsid w:val="00F27FA1"/>
    <w:rsid w:val="00F3032E"/>
    <w:rsid w:val="00F3124A"/>
    <w:rsid w:val="00F313E8"/>
    <w:rsid w:val="00F31EFE"/>
    <w:rsid w:val="00F3277D"/>
    <w:rsid w:val="00F32822"/>
    <w:rsid w:val="00F32EC1"/>
    <w:rsid w:val="00F3329B"/>
    <w:rsid w:val="00F33D35"/>
    <w:rsid w:val="00F340F0"/>
    <w:rsid w:val="00F343CC"/>
    <w:rsid w:val="00F34F38"/>
    <w:rsid w:val="00F350F7"/>
    <w:rsid w:val="00F35253"/>
    <w:rsid w:val="00F36405"/>
    <w:rsid w:val="00F36809"/>
    <w:rsid w:val="00F36950"/>
    <w:rsid w:val="00F371E7"/>
    <w:rsid w:val="00F3733F"/>
    <w:rsid w:val="00F3738F"/>
    <w:rsid w:val="00F37625"/>
    <w:rsid w:val="00F40055"/>
    <w:rsid w:val="00F41E87"/>
    <w:rsid w:val="00F42120"/>
    <w:rsid w:val="00F428F8"/>
    <w:rsid w:val="00F43B83"/>
    <w:rsid w:val="00F44EBF"/>
    <w:rsid w:val="00F45EB3"/>
    <w:rsid w:val="00F47502"/>
    <w:rsid w:val="00F47697"/>
    <w:rsid w:val="00F503AD"/>
    <w:rsid w:val="00F50DD0"/>
    <w:rsid w:val="00F517F3"/>
    <w:rsid w:val="00F520B3"/>
    <w:rsid w:val="00F53132"/>
    <w:rsid w:val="00F531DC"/>
    <w:rsid w:val="00F538EF"/>
    <w:rsid w:val="00F53F88"/>
    <w:rsid w:val="00F54274"/>
    <w:rsid w:val="00F5456A"/>
    <w:rsid w:val="00F545FC"/>
    <w:rsid w:val="00F547FE"/>
    <w:rsid w:val="00F54E12"/>
    <w:rsid w:val="00F56446"/>
    <w:rsid w:val="00F573F1"/>
    <w:rsid w:val="00F57AF7"/>
    <w:rsid w:val="00F57CAC"/>
    <w:rsid w:val="00F61B21"/>
    <w:rsid w:val="00F61FFC"/>
    <w:rsid w:val="00F625CA"/>
    <w:rsid w:val="00F62A93"/>
    <w:rsid w:val="00F62AF9"/>
    <w:rsid w:val="00F62C6B"/>
    <w:rsid w:val="00F62CDB"/>
    <w:rsid w:val="00F62F06"/>
    <w:rsid w:val="00F644AD"/>
    <w:rsid w:val="00F646BE"/>
    <w:rsid w:val="00F64FF5"/>
    <w:rsid w:val="00F66320"/>
    <w:rsid w:val="00F663A8"/>
    <w:rsid w:val="00F66A76"/>
    <w:rsid w:val="00F674BA"/>
    <w:rsid w:val="00F6767A"/>
    <w:rsid w:val="00F67E6A"/>
    <w:rsid w:val="00F70A48"/>
    <w:rsid w:val="00F70BAD"/>
    <w:rsid w:val="00F71668"/>
    <w:rsid w:val="00F73140"/>
    <w:rsid w:val="00F74364"/>
    <w:rsid w:val="00F74666"/>
    <w:rsid w:val="00F751A4"/>
    <w:rsid w:val="00F7568A"/>
    <w:rsid w:val="00F77C1A"/>
    <w:rsid w:val="00F81073"/>
    <w:rsid w:val="00F812E4"/>
    <w:rsid w:val="00F815BB"/>
    <w:rsid w:val="00F825C9"/>
    <w:rsid w:val="00F8344B"/>
    <w:rsid w:val="00F83C40"/>
    <w:rsid w:val="00F83EEA"/>
    <w:rsid w:val="00F8461A"/>
    <w:rsid w:val="00F84BEC"/>
    <w:rsid w:val="00F852BE"/>
    <w:rsid w:val="00F8731D"/>
    <w:rsid w:val="00F879C5"/>
    <w:rsid w:val="00F87CAF"/>
    <w:rsid w:val="00F87FA4"/>
    <w:rsid w:val="00F90063"/>
    <w:rsid w:val="00F90A3D"/>
    <w:rsid w:val="00F90EC0"/>
    <w:rsid w:val="00F91222"/>
    <w:rsid w:val="00F92352"/>
    <w:rsid w:val="00F9267B"/>
    <w:rsid w:val="00F93469"/>
    <w:rsid w:val="00F93B7A"/>
    <w:rsid w:val="00F94ACE"/>
    <w:rsid w:val="00F94AE5"/>
    <w:rsid w:val="00F94C20"/>
    <w:rsid w:val="00F94EAF"/>
    <w:rsid w:val="00F96581"/>
    <w:rsid w:val="00F96AF2"/>
    <w:rsid w:val="00F96D11"/>
    <w:rsid w:val="00F96F50"/>
    <w:rsid w:val="00F970A7"/>
    <w:rsid w:val="00F9731E"/>
    <w:rsid w:val="00F9738D"/>
    <w:rsid w:val="00FA1622"/>
    <w:rsid w:val="00FA1A3F"/>
    <w:rsid w:val="00FA2228"/>
    <w:rsid w:val="00FA2A03"/>
    <w:rsid w:val="00FA57BD"/>
    <w:rsid w:val="00FA59C4"/>
    <w:rsid w:val="00FA59C6"/>
    <w:rsid w:val="00FA5A3F"/>
    <w:rsid w:val="00FA5B04"/>
    <w:rsid w:val="00FA5F7E"/>
    <w:rsid w:val="00FA6AEF"/>
    <w:rsid w:val="00FB0167"/>
    <w:rsid w:val="00FB0EBB"/>
    <w:rsid w:val="00FB10F6"/>
    <w:rsid w:val="00FB13A2"/>
    <w:rsid w:val="00FB15EB"/>
    <w:rsid w:val="00FB19EB"/>
    <w:rsid w:val="00FB3A29"/>
    <w:rsid w:val="00FB41AF"/>
    <w:rsid w:val="00FB47DE"/>
    <w:rsid w:val="00FB492C"/>
    <w:rsid w:val="00FB4A1C"/>
    <w:rsid w:val="00FB60CC"/>
    <w:rsid w:val="00FB60FB"/>
    <w:rsid w:val="00FB6635"/>
    <w:rsid w:val="00FB6B37"/>
    <w:rsid w:val="00FB7510"/>
    <w:rsid w:val="00FC08D8"/>
    <w:rsid w:val="00FC111B"/>
    <w:rsid w:val="00FC1DE5"/>
    <w:rsid w:val="00FC206B"/>
    <w:rsid w:val="00FC23C7"/>
    <w:rsid w:val="00FC2710"/>
    <w:rsid w:val="00FC3E40"/>
    <w:rsid w:val="00FC3FB7"/>
    <w:rsid w:val="00FC4378"/>
    <w:rsid w:val="00FC52C1"/>
    <w:rsid w:val="00FC5A6D"/>
    <w:rsid w:val="00FC5B2A"/>
    <w:rsid w:val="00FC6281"/>
    <w:rsid w:val="00FC65D0"/>
    <w:rsid w:val="00FC772C"/>
    <w:rsid w:val="00FC7DB1"/>
    <w:rsid w:val="00FD0284"/>
    <w:rsid w:val="00FD0BC0"/>
    <w:rsid w:val="00FD1078"/>
    <w:rsid w:val="00FD12DB"/>
    <w:rsid w:val="00FD1306"/>
    <w:rsid w:val="00FD3713"/>
    <w:rsid w:val="00FD4587"/>
    <w:rsid w:val="00FD47F8"/>
    <w:rsid w:val="00FD57E2"/>
    <w:rsid w:val="00FD5B9B"/>
    <w:rsid w:val="00FD66DD"/>
    <w:rsid w:val="00FD6921"/>
    <w:rsid w:val="00FD77C2"/>
    <w:rsid w:val="00FE175F"/>
    <w:rsid w:val="00FE1F8E"/>
    <w:rsid w:val="00FE26DD"/>
    <w:rsid w:val="00FE2ED7"/>
    <w:rsid w:val="00FE329D"/>
    <w:rsid w:val="00FE34B0"/>
    <w:rsid w:val="00FE379B"/>
    <w:rsid w:val="00FE3AFB"/>
    <w:rsid w:val="00FE3E6F"/>
    <w:rsid w:val="00FE400F"/>
    <w:rsid w:val="00FE4187"/>
    <w:rsid w:val="00FE4697"/>
    <w:rsid w:val="00FE58C5"/>
    <w:rsid w:val="00FE5ADE"/>
    <w:rsid w:val="00FE5C0B"/>
    <w:rsid w:val="00FE5E79"/>
    <w:rsid w:val="00FE788D"/>
    <w:rsid w:val="00FE797F"/>
    <w:rsid w:val="00FF052C"/>
    <w:rsid w:val="00FF05CB"/>
    <w:rsid w:val="00FF1B26"/>
    <w:rsid w:val="00FF211E"/>
    <w:rsid w:val="00FF27FB"/>
    <w:rsid w:val="00FF31B0"/>
    <w:rsid w:val="00FF3E5C"/>
    <w:rsid w:val="00FF4658"/>
    <w:rsid w:val="00FF473D"/>
    <w:rsid w:val="00FF4E8A"/>
    <w:rsid w:val="00FF556A"/>
    <w:rsid w:val="00FF5D50"/>
    <w:rsid w:val="00FF5E33"/>
    <w:rsid w:val="00FF609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A3C56C42-C2BB-4C69-A941-45FEB85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C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BD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D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F7BDA"/>
    <w:rPr>
      <w:vertAlign w:val="superscript"/>
    </w:rPr>
  </w:style>
  <w:style w:type="paragraph" w:customStyle="1" w:styleId="xmsonormal">
    <w:name w:val="xmsonormal"/>
    <w:basedOn w:val="Normln"/>
    <w:rsid w:val="000510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xpk-token">
    <w:name w:val="xpk-token"/>
    <w:basedOn w:val="Standardnpsmoodstavce"/>
    <w:rsid w:val="00051022"/>
  </w:style>
  <w:style w:type="paragraph" w:customStyle="1" w:styleId="xmsonormal0">
    <w:name w:val="x_msonormal"/>
    <w:basedOn w:val="Normln"/>
    <w:rsid w:val="00162D23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A4A27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A4A2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A4A27"/>
    <w:rPr>
      <w:vertAlign w:val="superscript"/>
    </w:rPr>
  </w:style>
  <w:style w:type="paragraph" w:customStyle="1" w:styleId="CBANadpisvTABULCE">
    <w:name w:val="CBA Nadpis v TABULCE"/>
    <w:basedOn w:val="Normln"/>
    <w:qFormat/>
    <w:rsid w:val="0028530F"/>
    <w:pPr>
      <w:spacing w:before="120" w:after="120"/>
      <w:jc w:val="left"/>
    </w:pPr>
    <w:rPr>
      <w:b/>
      <w:bCs/>
      <w:color w:val="13576B"/>
    </w:rPr>
  </w:style>
  <w:style w:type="paragraph" w:customStyle="1" w:styleId="CBAodstavecvTABULCE">
    <w:name w:val="CBA odstavec v TABULCE"/>
    <w:basedOn w:val="Normln"/>
    <w:qFormat/>
    <w:rsid w:val="0028530F"/>
    <w:pPr>
      <w:spacing w:before="120" w:after="120"/>
      <w:jc w:val="left"/>
    </w:pPr>
    <w:rPr>
      <w:color w:val="13576B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77C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77C9"/>
    <w:rPr>
      <w:rFonts w:ascii="Consolas" w:eastAsia="Times New Roman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s://www.cbamonitor.cz/aktuality/kompletni-ceny-nemovitosti-dle-csu-ukazuji-pro-q1-2025-mirnejsi-narust-nez-ceny-bytu-nahled-a-vyzva-do-metodicke-kuchynky-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.cbamonitor.cz/statistika/ceny-rodinnych-domu-pocet-transakci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amonitor.cz/kategorie/ceny-nemovitosti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bamonitor.cz/kategorie/cba-hypomoni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bamonitor.cz/aktuality/rust-realnych-mezd-v-prvnim-ctvrtleti-mirne-pod-4-tahounem-byl-netrzni-sektor" TargetMode="External"/><Relationship Id="rId23" Type="http://schemas.openxmlformats.org/officeDocument/2006/relationships/hyperlink" Target="http://www.cbaonline.c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01\zona3\__HYPOMONITOR\__Summary.xlsm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876771155976784"/>
          <c:y val="2.4329959520507417E-2"/>
          <c:w val="0.57305226197612291"/>
          <c:h val="0.89184388836885076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Splátky!$B$1</c:f>
              <c:strCache>
                <c:ptCount val="1"/>
                <c:pt idx="0">
                  <c:v>Ilustrativní srovnání splátek z července 2025 vs. červenec2024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Splátky!$A$2:$A$11</c:f>
              <c:strCache>
                <c:ptCount val="10"/>
                <c:pt idx="1">
                  <c:v>Červenec 2025: 4,53 %;
 4,28 mil. Kč; 26,6 let</c:v>
                </c:pt>
                <c:pt idx="2">
                  <c:v>dopad úrokové sazby </c:v>
                </c:pt>
                <c:pt idx="3">
                  <c:v> … s úrokovou sazbou 
5,07 % z července 2024</c:v>
                </c:pt>
                <c:pt idx="4">
                  <c:v>dopad výše hypotéky</c:v>
                </c:pt>
                <c:pt idx="5">
                  <c:v> … s průměrnou výší hypotéky 
3,77 mil. Kč z července 2024</c:v>
                </c:pt>
                <c:pt idx="6">
                  <c:v>dopad sazby a výše hypotéky</c:v>
                </c:pt>
                <c:pt idx="7">
                  <c:v>… s úrokem a výší hypotéky z 
července 2024</c:v>
                </c:pt>
                <c:pt idx="8">
                  <c:v>dopad splatnosti</c:v>
                </c:pt>
                <c:pt idx="9">
                  <c:v>… se splatností 26,7 let 
jako z 2024 Q3</c:v>
                </c:pt>
              </c:strCache>
            </c:strRef>
          </c:cat>
          <c:val>
            <c:numRef>
              <c:f>Splátky!$B$2:$B$11</c:f>
              <c:numCache>
                <c:formatCode>General</c:formatCode>
                <c:ptCount val="10"/>
                <c:pt idx="1">
                  <c:v>0</c:v>
                </c:pt>
                <c:pt idx="2" formatCode="#,##0">
                  <c:v>23099.416424524923</c:v>
                </c:pt>
                <c:pt idx="3">
                  <c:v>0</c:v>
                </c:pt>
                <c:pt idx="4" formatCode="#,##0">
                  <c:v>20348.112269629139</c:v>
                </c:pt>
                <c:pt idx="5">
                  <c:v>0</c:v>
                </c:pt>
                <c:pt idx="6" formatCode="#,##0">
                  <c:v>21544.540032095967</c:v>
                </c:pt>
                <c:pt idx="7">
                  <c:v>0</c:v>
                </c:pt>
                <c:pt idx="8" formatCode="#,##0">
                  <c:v>23099.416424524923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80-43C9-BE3A-4EAC7DDF12D1}"/>
            </c:ext>
          </c:extLst>
        </c:ser>
        <c:ser>
          <c:idx val="0"/>
          <c:order val="1"/>
          <c:tx>
            <c:strRef>
              <c:f>Splátky!$C$1</c:f>
              <c:strCache>
                <c:ptCount val="1"/>
                <c:pt idx="0">
                  <c:v>Illustrativní měsíční splátky hypoték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A80-43C9-BE3A-4EAC7DDF12D1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A80-43C9-BE3A-4EAC7DDF12D1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A80-43C9-BE3A-4EAC7DDF12D1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A80-43C9-BE3A-4EAC7DDF12D1}"/>
              </c:ext>
            </c:extLst>
          </c:dPt>
          <c:dLbls>
            <c:dLbl>
              <c:idx val="1"/>
              <c:tx>
                <c:strRef>
                  <c:f>Splátky!$D$3</c:f>
                  <c:strCache>
                    <c:ptCount val="1"/>
                    <c:pt idx="0">
                      <c:v>23 100</c:v>
                    </c:pt>
                  </c:strCache>
                </c:strRef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{43AB482C-ED9B-4008-BB5F-96A41A685E2B}</c15:txfldGUID>
                      <c15:f>Splátky!$D$3</c15:f>
                      <c15:dlblFieldTableCache>
                        <c:ptCount val="1"/>
                        <c:pt idx="0">
                          <c:v>23 100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9-7A80-43C9-BE3A-4EAC7DDF12D1}"/>
                </c:ext>
              </c:extLst>
            </c:dLbl>
            <c:dLbl>
              <c:idx val="2"/>
              <c:layout>
                <c:manualLayout>
                  <c:x val="-6.6666666666666666E-2"/>
                  <c:y val="3.5574709971729888E-3"/>
                </c:manualLayout>
              </c:layout>
              <c:tx>
                <c:strRef>
                  <c:f>Splátky!$D$4</c:f>
                  <c:strCache>
                    <c:ptCount val="1"/>
                    <c:pt idx="0">
                      <c:v>1 360</c:v>
                    </c:pt>
                  </c:strCache>
                </c:strRef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{48982806-0A3C-47A8-ABD9-512E816E2C43}</c15:txfldGUID>
                      <c15:f>Splátky!$D$4</c15:f>
                      <c15:dlblFieldTableCache>
                        <c:ptCount val="1"/>
                        <c:pt idx="0">
                          <c:v>1 360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A-7A80-43C9-BE3A-4EAC7DDF12D1}"/>
                </c:ext>
              </c:extLst>
            </c:dLbl>
            <c:dLbl>
              <c:idx val="3"/>
              <c:tx>
                <c:strRef>
                  <c:f>Splátky!$D$5</c:f>
                  <c:strCache>
                    <c:ptCount val="1"/>
                    <c:pt idx="0">
                      <c:v>24 460</c:v>
                    </c:pt>
                  </c:strCache>
                </c:strRef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{4CD9D4D3-7106-40B1-A338-2E0169C52BC4}</c15:txfldGUID>
                      <c15:f>Splátky!$D$5</c15:f>
                      <c15:dlblFieldTableCache>
                        <c:ptCount val="1"/>
                        <c:pt idx="0">
                          <c:v>24 460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2-7A80-43C9-BE3A-4EAC7DDF12D1}"/>
                </c:ext>
              </c:extLst>
            </c:dLbl>
            <c:dLbl>
              <c:idx val="4"/>
              <c:layout>
                <c:manualLayout>
                  <c:x val="-7.4358974358974358E-2"/>
                  <c:y val="-7.1127014205797819E-3"/>
                </c:manualLayout>
              </c:layout>
              <c:tx>
                <c:strRef>
                  <c:f>Splátky!$D$6</c:f>
                  <c:strCache>
                    <c:ptCount val="1"/>
                    <c:pt idx="0">
                      <c:v>2 750</c:v>
                    </c:pt>
                  </c:strCache>
                </c:strRef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{B707DE55-E24E-487D-8E97-2E0140B8CD4A}</c15:txfldGUID>
                      <c15:f>Splátky!$D$6</c15:f>
                      <c15:dlblFieldTableCache>
                        <c:ptCount val="1"/>
                        <c:pt idx="0">
                          <c:v>2 750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B-7A80-43C9-BE3A-4EAC7DDF12D1}"/>
                </c:ext>
              </c:extLst>
            </c:dLbl>
            <c:dLbl>
              <c:idx val="5"/>
              <c:tx>
                <c:strRef>
                  <c:f>Splátky!$D$7</c:f>
                  <c:strCache>
                    <c:ptCount val="1"/>
                    <c:pt idx="0">
                      <c:v>20 350</c:v>
                    </c:pt>
                  </c:strCache>
                </c:strRef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{8DCDF944-4876-4AE7-A95F-C147C2DB4165}</c15:txfldGUID>
                      <c15:f>Splátky!$D$7</c15:f>
                      <c15:dlblFieldTableCache>
                        <c:ptCount val="1"/>
                        <c:pt idx="0">
                          <c:v>20 350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4-7A80-43C9-BE3A-4EAC7DDF12D1}"/>
                </c:ext>
              </c:extLst>
            </c:dLbl>
            <c:dLbl>
              <c:idx val="6"/>
              <c:layout>
                <c:manualLayout>
                  <c:x val="-5.8974358974358973E-2"/>
                  <c:y val="-3.5563507102898909E-3"/>
                </c:manualLayout>
              </c:layout>
              <c:tx>
                <c:strRef>
                  <c:f>Splátky!$D$8</c:f>
                  <c:strCache>
                    <c:ptCount val="1"/>
                    <c:pt idx="0">
                      <c:v>1 550</c:v>
                    </c:pt>
                  </c:strCache>
                </c:strRef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{2DD26649-8376-4B63-9A07-12B0C06DEAB3}</c15:txfldGUID>
                      <c15:f>Splátky!$D$8</c15:f>
                      <c15:dlblFieldTableCache>
                        <c:ptCount val="1"/>
                        <c:pt idx="0">
                          <c:v>1 550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C-7A80-43C9-BE3A-4EAC7DDF12D1}"/>
                </c:ext>
              </c:extLst>
            </c:dLbl>
            <c:dLbl>
              <c:idx val="7"/>
              <c:tx>
                <c:strRef>
                  <c:f>Splátky!$D$9</c:f>
                  <c:strCache>
                    <c:ptCount val="1"/>
                    <c:pt idx="0">
                      <c:v>21 540</c:v>
                    </c:pt>
                  </c:strCache>
                </c:strRef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{F4808779-99FD-4FB2-A0D2-E7DDA6433EA1}</c15:txfldGUID>
                      <c15:f>Splátky!$D$9</c15:f>
                      <c15:dlblFieldTableCache>
                        <c:ptCount val="1"/>
                        <c:pt idx="0">
                          <c:v>21 540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6-7A80-43C9-BE3A-4EAC7DDF12D1}"/>
                </c:ext>
              </c:extLst>
            </c:dLbl>
            <c:dLbl>
              <c:idx val="8"/>
              <c:layout>
                <c:manualLayout>
                  <c:x val="1.9444443912826882E-2"/>
                  <c:y val="1.3121865610097413E-16"/>
                </c:manualLayout>
              </c:layout>
              <c:tx>
                <c:strRef>
                  <c:f>Splátky!$D$10</c:f>
                  <c:strCache>
                    <c:ptCount val="1"/>
                    <c:pt idx="0">
                      <c:v>40</c:v>
                    </c:pt>
                  </c:strCache>
                </c:strRef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{4BC5116D-CEC7-4C78-9530-AE2C13174171}</c15:txfldGUID>
                      <c15:f>Splátky!$D$10</c15:f>
                      <c15:dlblFieldTableCache>
                        <c:ptCount val="1"/>
                        <c:pt idx="0">
                          <c:v>40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D-7A80-43C9-BE3A-4EAC7DDF12D1}"/>
                </c:ext>
              </c:extLst>
            </c:dLbl>
            <c:dLbl>
              <c:idx val="9"/>
              <c:tx>
                <c:strRef>
                  <c:f>Splátky!$D$11</c:f>
                  <c:strCache>
                    <c:ptCount val="1"/>
                    <c:pt idx="0">
                      <c:v>23 050</c:v>
                    </c:pt>
                  </c:strCache>
                </c:strRef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{5D264690-117F-4B94-8215-C4C14035CCB0}</c15:txfldGUID>
                      <c15:f>Splátky!$D$11</c15:f>
                      <c15:dlblFieldTableCache>
                        <c:ptCount val="1"/>
                        <c:pt idx="0">
                          <c:v>23 050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8-7A80-43C9-BE3A-4EAC7DDF1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oppins" panose="00000500000000000000" pitchFamily="2" charset="-18"/>
                    <a:ea typeface="+mn-ea"/>
                    <a:cs typeface="Poppins" panose="00000500000000000000" pitchFamily="2" charset="-18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Splátky!$A$2:$A$11</c:f>
              <c:strCache>
                <c:ptCount val="10"/>
                <c:pt idx="1">
                  <c:v>Červenec 2025: 4,53 %;
 4,28 mil. Kč; 26,6 let</c:v>
                </c:pt>
                <c:pt idx="2">
                  <c:v>dopad úrokové sazby </c:v>
                </c:pt>
                <c:pt idx="3">
                  <c:v> … s úrokovou sazbou 
5,07 % z července 2024</c:v>
                </c:pt>
                <c:pt idx="4">
                  <c:v>dopad výše hypotéky</c:v>
                </c:pt>
                <c:pt idx="5">
                  <c:v> … s průměrnou výší hypotéky 
3,77 mil. Kč z července 2024</c:v>
                </c:pt>
                <c:pt idx="6">
                  <c:v>dopad sazby a výše hypotéky</c:v>
                </c:pt>
                <c:pt idx="7">
                  <c:v>… s úrokem a výší hypotéky z 
července 2024</c:v>
                </c:pt>
                <c:pt idx="8">
                  <c:v>dopad splatnosti</c:v>
                </c:pt>
                <c:pt idx="9">
                  <c:v>… se splatností 26,7 let 
jako z 2024 Q3</c:v>
                </c:pt>
              </c:strCache>
            </c:strRef>
          </c:cat>
          <c:val>
            <c:numRef>
              <c:f>Splátky!$C$2:$C$11</c:f>
              <c:numCache>
                <c:formatCode>#,##0</c:formatCode>
                <c:ptCount val="10"/>
                <c:pt idx="1">
                  <c:v>23099.416424524923</c:v>
                </c:pt>
                <c:pt idx="2">
                  <c:v>1358.1988707784731</c:v>
                </c:pt>
                <c:pt idx="3">
                  <c:v>24457.615295303396</c:v>
                </c:pt>
                <c:pt idx="4">
                  <c:v>2751.3041548957844</c:v>
                </c:pt>
                <c:pt idx="5">
                  <c:v>20348.112269629139</c:v>
                </c:pt>
                <c:pt idx="6">
                  <c:v>1554.876392428956</c:v>
                </c:pt>
                <c:pt idx="7">
                  <c:v>21544.540032095967</c:v>
                </c:pt>
                <c:pt idx="8">
                  <c:v>44.71497175218974</c:v>
                </c:pt>
                <c:pt idx="9">
                  <c:v>23054.701452772733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A80-43C9-BE3A-4EAC7DDF1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85988143"/>
        <c:axId val="185991503"/>
      </c:barChart>
      <c:catAx>
        <c:axId val="185988143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accent2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-18"/>
                <a:ea typeface="+mn-ea"/>
                <a:cs typeface="Poppins" panose="00000500000000000000" pitchFamily="2" charset="-18"/>
              </a:defRPr>
            </a:pPr>
            <a:endParaRPr lang="cs-CZ"/>
          </a:p>
        </c:txPr>
        <c:crossAx val="185991503"/>
        <c:crossesAt val="23099"/>
        <c:auto val="1"/>
        <c:lblAlgn val="ctr"/>
        <c:lblOffset val="100"/>
        <c:tickLblSkip val="1"/>
        <c:tickMarkSkip val="2"/>
        <c:noMultiLvlLbl val="0"/>
      </c:catAx>
      <c:valAx>
        <c:axId val="185991503"/>
        <c:scaling>
          <c:orientation val="minMax"/>
          <c:min val="0"/>
        </c:scaling>
        <c:delete val="0"/>
        <c:axPos val="t"/>
        <c:numFmt formatCode="#,##0" sourceLinked="0"/>
        <c:majorTickMark val="cross"/>
        <c:minorTickMark val="none"/>
        <c:tickLblPos val="high"/>
        <c:spPr>
          <a:noFill/>
          <a:ln>
            <a:solidFill>
              <a:schemeClr val="bg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-18"/>
                <a:ea typeface="+mn-ea"/>
                <a:cs typeface="Poppins" panose="00000500000000000000" pitchFamily="2" charset="-18"/>
              </a:defRPr>
            </a:pPr>
            <a:endParaRPr lang="cs-CZ"/>
          </a:p>
        </c:txPr>
        <c:crossAx val="185988143"/>
        <c:crosses val="autoZero"/>
        <c:crossBetween val="between"/>
      </c:valAx>
      <c:spPr>
        <a:noFill/>
        <a:ln>
          <a:solidFill>
            <a:schemeClr val="bg2"/>
          </a:solidFill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Poppins" panose="00000500000000000000" pitchFamily="2" charset="-18"/>
          <a:cs typeface="Poppins" panose="00000500000000000000" pitchFamily="2" charset="-18"/>
        </a:defRPr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0.00354</cdr:x>
      <cdr:y>0.20402</cdr:y>
    </cdr:from>
    <cdr:to>
      <cdr:x>0.36817</cdr:x>
      <cdr:y>0.26978</cdr:y>
    </cdr:to>
    <cdr:sp macro="" textlink="">
      <cdr:nvSpPr>
        <cdr:cNvPr id="3" name="Rectangle 2">
          <a:extLst xmlns:a="http://schemas.openxmlformats.org/drawingml/2006/main">
            <a:ext uri="{FF2B5EF4-FFF2-40B4-BE49-F238E27FC236}">
              <a16:creationId xmlns:a16="http://schemas.microsoft.com/office/drawing/2014/main" id="{A45EF1A5-6D79-B339-9FE9-06CF73BFF61B}"/>
            </a:ext>
          </a:extLst>
        </cdr:cNvPr>
        <cdr:cNvSpPr/>
      </cdr:nvSpPr>
      <cdr:spPr>
        <a:xfrm xmlns:a="http://schemas.openxmlformats.org/drawingml/2006/main">
          <a:off x="19050" y="782038"/>
          <a:ext cx="1964783" cy="2520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9050">
          <a:solidFill>
            <a:schemeClr val="accent2"/>
          </a:solidFill>
          <a:prstDash val="solid"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0.00177</cdr:x>
      <cdr:y>0.3867</cdr:y>
    </cdr:from>
    <cdr:to>
      <cdr:x>0.3664</cdr:x>
      <cdr:y>0.45246</cdr:y>
    </cdr:to>
    <cdr:sp macro="" textlink="">
      <cdr:nvSpPr>
        <cdr:cNvPr id="4" name="Rectangle 3">
          <a:extLst xmlns:a="http://schemas.openxmlformats.org/drawingml/2006/main">
            <a:ext uri="{FF2B5EF4-FFF2-40B4-BE49-F238E27FC236}">
              <a16:creationId xmlns:a16="http://schemas.microsoft.com/office/drawing/2014/main" id="{A45EF1A5-6D79-B339-9FE9-06CF73BFF61B}"/>
            </a:ext>
          </a:extLst>
        </cdr:cNvPr>
        <cdr:cNvSpPr/>
      </cdr:nvSpPr>
      <cdr:spPr>
        <a:xfrm xmlns:a="http://schemas.openxmlformats.org/drawingml/2006/main">
          <a:off x="9525" y="1482260"/>
          <a:ext cx="1964783" cy="2520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9050">
          <a:solidFill>
            <a:schemeClr val="accent2"/>
          </a:solidFill>
          <a:prstDash val="solid"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</cdr:x>
      <cdr:y>0.56689</cdr:y>
    </cdr:from>
    <cdr:to>
      <cdr:x>0.36463</cdr:x>
      <cdr:y>0.63265</cdr:y>
    </cdr:to>
    <cdr:sp macro="" textlink="">
      <cdr:nvSpPr>
        <cdr:cNvPr id="5" name="Rectangle 4">
          <a:extLst xmlns:a="http://schemas.openxmlformats.org/drawingml/2006/main">
            <a:ext uri="{FF2B5EF4-FFF2-40B4-BE49-F238E27FC236}">
              <a16:creationId xmlns:a16="http://schemas.microsoft.com/office/drawing/2014/main" id="{A45EF1A5-6D79-B339-9FE9-06CF73BFF61B}"/>
            </a:ext>
          </a:extLst>
        </cdr:cNvPr>
        <cdr:cNvSpPr/>
      </cdr:nvSpPr>
      <cdr:spPr>
        <a:xfrm xmlns:a="http://schemas.openxmlformats.org/drawingml/2006/main">
          <a:off x="0" y="2172918"/>
          <a:ext cx="1964783" cy="2520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9050">
          <a:solidFill>
            <a:schemeClr val="accent2"/>
          </a:solidFill>
          <a:prstDash val="solid"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0.00177</cdr:x>
      <cdr:y>0.74707</cdr:y>
    </cdr:from>
    <cdr:to>
      <cdr:x>0.3664</cdr:x>
      <cdr:y>0.81283</cdr:y>
    </cdr:to>
    <cdr:sp macro="" textlink="">
      <cdr:nvSpPr>
        <cdr:cNvPr id="6" name="Rectangle 5">
          <a:extLst xmlns:a="http://schemas.openxmlformats.org/drawingml/2006/main">
            <a:ext uri="{FF2B5EF4-FFF2-40B4-BE49-F238E27FC236}">
              <a16:creationId xmlns:a16="http://schemas.microsoft.com/office/drawing/2014/main" id="{A45EF1A5-6D79-B339-9FE9-06CF73BFF61B}"/>
            </a:ext>
          </a:extLst>
        </cdr:cNvPr>
        <cdr:cNvSpPr/>
      </cdr:nvSpPr>
      <cdr:spPr>
        <a:xfrm xmlns:a="http://schemas.openxmlformats.org/drawingml/2006/main">
          <a:off x="9525" y="2863577"/>
          <a:ext cx="1964783" cy="2520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9050">
          <a:solidFill>
            <a:schemeClr val="accent2"/>
          </a:solidFill>
          <a:prstDash val="solid"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0.94583</cdr:x>
      <cdr:y>0.48121</cdr:y>
    </cdr:from>
    <cdr:to>
      <cdr:x>1</cdr:x>
      <cdr:y>0.90988</cdr:y>
    </cdr:to>
    <cdr:sp macro="" textlink="">
      <cdr:nvSpPr>
        <cdr:cNvPr id="7" name="TextBox 6">
          <a:extLst xmlns:a="http://schemas.openxmlformats.org/drawingml/2006/main">
            <a:ext uri="{FF2B5EF4-FFF2-40B4-BE49-F238E27FC236}">
              <a16:creationId xmlns:a16="http://schemas.microsoft.com/office/drawing/2014/main" id="{C3C1E9D7-0A64-7CDA-AB75-C5BE0ADC26A1}"/>
            </a:ext>
          </a:extLst>
        </cdr:cNvPr>
        <cdr:cNvSpPr txBox="1"/>
      </cdr:nvSpPr>
      <cdr:spPr>
        <a:xfrm xmlns:a="http://schemas.openxmlformats.org/drawingml/2006/main">
          <a:off x="5232188" y="1771170"/>
          <a:ext cx="299676" cy="15777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cs-CZ" sz="1000" kern="1200">
              <a:latin typeface="Poppins" panose="00000500000000000000" pitchFamily="2" charset="-18"/>
              <a:cs typeface="Poppins" panose="00000500000000000000" pitchFamily="2" charset="-18"/>
            </a:rPr>
            <a:t>Kč / měsíc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7691080" cy="1904238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0CBE5B95D55468F8CF7D6D1C8CB6B" ma:contentTypeVersion="10" ma:contentTypeDescription="Create a new document." ma:contentTypeScope="" ma:versionID="03de8c559e19055c2732f6aae148e160">
  <xsd:schema xmlns:xsd="http://www.w3.org/2001/XMLSchema" xmlns:xs="http://www.w3.org/2001/XMLSchema" xmlns:p="http://schemas.microsoft.com/office/2006/metadata/properties" xmlns:ns3="b09ec118-0c61-46db-bb00-952e09940a1f" targetNamespace="http://schemas.microsoft.com/office/2006/metadata/properties" ma:root="true" ma:fieldsID="a58f24d30c88e6ff28d70a1926b856b7" ns3:_="">
    <xsd:import namespace="b09ec118-0c61-46db-bb00-952e09940a1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c118-0c61-46db-bb00-952e09940a1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ec118-0c61-46db-bb00-952e09940a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4796-18D1-44D3-AEB3-40E112819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c118-0c61-46db-bb00-952e0994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695EA-D77D-4F66-A87E-5245D7A92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935B7-8C88-4CAE-A0AA-13A352B0843E}">
  <ds:schemaRefs>
    <ds:schemaRef ds:uri="http://schemas.microsoft.com/office/2006/metadata/properties"/>
    <ds:schemaRef ds:uri="http://schemas.microsoft.com/office/infopath/2007/PartnerControls"/>
    <ds:schemaRef ds:uri="b09ec118-0c61-46db-bb00-952e09940a1f"/>
  </ds:schemaRefs>
</ds:datastoreItem>
</file>

<file path=customXml/itemProps4.xml><?xml version="1.0" encoding="utf-8"?>
<ds:datastoreItem xmlns:ds="http://schemas.openxmlformats.org/officeDocument/2006/customXml" ds:itemID="{B2A9F6F5-D843-4129-900A-FD170C2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2541</Words>
  <Characters>14995</Characters>
  <Application>Microsoft Office Word</Application>
  <DocSecurity>0</DocSecurity>
  <Lines>124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4</cp:revision>
  <cp:lastPrinted>2025-05-16T09:08:00Z</cp:lastPrinted>
  <dcterms:created xsi:type="dcterms:W3CDTF">2025-08-13T14:34:00Z</dcterms:created>
  <dcterms:modified xsi:type="dcterms:W3CDTF">2025-08-14T03:56:00Z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0x0101004DC0CBE5B95D55468F8CF7D6D1C8CB6B</vt:lpwstr>
  </property>
</Properties>
</file>