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7C8E7569" w:rsidR="00DF154D" w:rsidRPr="00ED65DB" w:rsidRDefault="003D3759" w:rsidP="003D3759">
      <w:pPr>
        <w:rPr>
          <w:rFonts w:ascii="Calibri" w:hAnsi="Calibri" w:cs="Calibri"/>
          <w:b/>
          <w:color w:val="EE0000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>ČBA Hypomonito</w:t>
      </w:r>
      <w:r w:rsidR="007C0E2D">
        <w:rPr>
          <w:rFonts w:ascii="Calibri" w:hAnsi="Calibri" w:cs="Calibri"/>
          <w:b/>
          <w:color w:val="13576B"/>
          <w:sz w:val="32"/>
          <w:szCs w:val="32"/>
        </w:rPr>
        <w:t>r</w:t>
      </w:r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EE0C34" w:rsidRPr="0043215E">
        <w:rPr>
          <w:rFonts w:ascii="Calibri" w:hAnsi="Calibri" w:cs="Calibri"/>
          <w:b/>
          <w:color w:val="13576B"/>
          <w:sz w:val="32"/>
          <w:szCs w:val="32"/>
        </w:rPr>
        <w:t>Nižší červnová sazba na 4,56 % přinesla oživení nových hypoték</w:t>
      </w:r>
      <w:r w:rsidR="00AD485D" w:rsidRPr="0043215E">
        <w:rPr>
          <w:rFonts w:ascii="Calibri" w:hAnsi="Calibri" w:cs="Calibri"/>
          <w:b/>
          <w:color w:val="13576B"/>
          <w:sz w:val="32"/>
          <w:szCs w:val="32"/>
        </w:rPr>
        <w:t>.</w:t>
      </w:r>
      <w:r w:rsidR="00EE0C34" w:rsidRPr="0043215E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  <w:r w:rsidR="00AD485D" w:rsidRPr="0043215E">
        <w:rPr>
          <w:rFonts w:ascii="Calibri" w:hAnsi="Calibri" w:cs="Calibri"/>
          <w:b/>
          <w:color w:val="13576B"/>
          <w:sz w:val="32"/>
          <w:szCs w:val="32"/>
        </w:rPr>
        <w:t xml:space="preserve">V prvním pololetí </w:t>
      </w:r>
      <w:r w:rsidR="00AD485D">
        <w:rPr>
          <w:rFonts w:ascii="Calibri" w:hAnsi="Calibri" w:cs="Calibri"/>
          <w:b/>
          <w:color w:val="13576B"/>
          <w:sz w:val="32"/>
          <w:szCs w:val="32"/>
        </w:rPr>
        <w:t xml:space="preserve">byl objem 150 miliard. </w:t>
      </w:r>
    </w:p>
    <w:bookmarkEnd w:id="0"/>
    <w:p w14:paraId="5E7258BB" w14:textId="77777777" w:rsidR="0001227F" w:rsidRPr="002138C0" w:rsidRDefault="0001227F" w:rsidP="0001227F">
      <w:pPr>
        <w:rPr>
          <w:rFonts w:ascii="Calibri" w:hAnsi="Calibri" w:cs="Calibri"/>
          <w:b/>
          <w:bCs/>
          <w:highlight w:val="yellow"/>
        </w:rPr>
      </w:pPr>
    </w:p>
    <w:p w14:paraId="1D11EFE6" w14:textId="16BC32F4" w:rsidR="00DB2CB5" w:rsidRDefault="007967E6" w:rsidP="007967E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FB492C">
        <w:rPr>
          <w:rFonts w:ascii="Calibri" w:hAnsi="Calibri" w:cs="Calibri"/>
          <w:color w:val="13576B"/>
          <w:sz w:val="22"/>
          <w:szCs w:val="22"/>
        </w:rPr>
        <w:t>Praha, 1</w:t>
      </w:r>
      <w:r w:rsidR="00ED65DB">
        <w:rPr>
          <w:rFonts w:ascii="Calibri" w:hAnsi="Calibri" w:cs="Calibri"/>
          <w:color w:val="13576B"/>
          <w:sz w:val="22"/>
          <w:szCs w:val="22"/>
        </w:rPr>
        <w:t>5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. </w:t>
      </w:r>
      <w:r w:rsidR="00ED65DB">
        <w:rPr>
          <w:rFonts w:ascii="Calibri" w:hAnsi="Calibri" w:cs="Calibri"/>
          <w:color w:val="13576B"/>
          <w:sz w:val="22"/>
          <w:szCs w:val="22"/>
        </w:rPr>
        <w:t>července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 2025</w:t>
      </w:r>
      <w:r w:rsidRPr="007967E6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FB492C" w:rsidRPr="00FB492C">
        <w:rPr>
          <w:rFonts w:ascii="Calibri" w:hAnsi="Calibri" w:cs="Calibri"/>
          <w:color w:val="13576B"/>
          <w:sz w:val="22"/>
          <w:szCs w:val="22"/>
        </w:rPr>
        <w:t>-</w:t>
      </w:r>
      <w:r w:rsid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66ACC" w:rsidRPr="00266ACC">
        <w:rPr>
          <w:rFonts w:ascii="Calibri" w:hAnsi="Calibri" w:cs="Calibri"/>
          <w:b/>
          <w:bCs/>
          <w:color w:val="13576B"/>
          <w:sz w:val="22"/>
          <w:szCs w:val="22"/>
        </w:rPr>
        <w:t>V červnu 2025 poskytly banky a stavební spořitelny nové hypotéky za 29,4 miliardy Kč. Oproti květnu aktivita objemově zesílila o 7 %, což spíše odpovídá sezónnímu vliv</w:t>
      </w:r>
      <w:r w:rsidR="00DD5FFB">
        <w:rPr>
          <w:rFonts w:ascii="Calibri" w:hAnsi="Calibri" w:cs="Calibri"/>
          <w:b/>
          <w:bCs/>
          <w:color w:val="13576B"/>
          <w:sz w:val="22"/>
          <w:szCs w:val="22"/>
        </w:rPr>
        <w:t>u</w:t>
      </w:r>
      <w:r w:rsidR="00960B5B">
        <w:rPr>
          <w:rFonts w:ascii="Calibri" w:hAnsi="Calibri" w:cs="Calibri"/>
          <w:b/>
          <w:bCs/>
          <w:color w:val="13576B"/>
          <w:sz w:val="22"/>
          <w:szCs w:val="22"/>
        </w:rPr>
        <w:t>. A</w:t>
      </w:r>
      <w:r w:rsidR="00DD5FFB">
        <w:rPr>
          <w:rFonts w:ascii="Calibri" w:hAnsi="Calibri" w:cs="Calibri"/>
          <w:b/>
          <w:bCs/>
          <w:color w:val="13576B"/>
          <w:sz w:val="22"/>
          <w:szCs w:val="22"/>
        </w:rPr>
        <w:t xml:space="preserve">le k mírnému </w:t>
      </w:r>
      <w:r w:rsidR="00960B5B">
        <w:rPr>
          <w:rFonts w:ascii="Calibri" w:hAnsi="Calibri" w:cs="Calibri"/>
          <w:b/>
          <w:bCs/>
          <w:color w:val="13576B"/>
          <w:sz w:val="22"/>
          <w:szCs w:val="22"/>
        </w:rPr>
        <w:t>zlepšení došlo i</w:t>
      </w:r>
      <w:r w:rsidR="00DD5FFB">
        <w:rPr>
          <w:rFonts w:ascii="Calibri" w:hAnsi="Calibri" w:cs="Calibri"/>
          <w:b/>
          <w:bCs/>
          <w:color w:val="13576B"/>
          <w:sz w:val="22"/>
          <w:szCs w:val="22"/>
        </w:rPr>
        <w:t xml:space="preserve"> po sezónním </w:t>
      </w:r>
      <w:r w:rsidR="00960B5B">
        <w:rPr>
          <w:rFonts w:ascii="Calibri" w:hAnsi="Calibri" w:cs="Calibri"/>
          <w:b/>
          <w:bCs/>
          <w:color w:val="13576B"/>
          <w:sz w:val="22"/>
          <w:szCs w:val="22"/>
        </w:rPr>
        <w:t>očištění,</w:t>
      </w:r>
      <w:r w:rsidR="00DD5FFB">
        <w:rPr>
          <w:rFonts w:ascii="Calibri" w:hAnsi="Calibri" w:cs="Calibri"/>
          <w:b/>
          <w:bCs/>
          <w:color w:val="13576B"/>
          <w:sz w:val="22"/>
          <w:szCs w:val="22"/>
        </w:rPr>
        <w:t xml:space="preserve"> a to včetně počtu nových hypoték</w:t>
      </w:r>
      <w:r w:rsidR="00266ACC" w:rsidRPr="00266ACC">
        <w:rPr>
          <w:rFonts w:ascii="Calibri" w:hAnsi="Calibri" w:cs="Calibri"/>
          <w:b/>
          <w:bCs/>
          <w:color w:val="13576B"/>
          <w:sz w:val="22"/>
          <w:szCs w:val="22"/>
        </w:rPr>
        <w:t xml:space="preserve">. </w:t>
      </w:r>
      <w:r w:rsidR="00794379" w:rsidRPr="0043215E">
        <w:rPr>
          <w:rFonts w:ascii="Calibri" w:hAnsi="Calibri" w:cs="Calibri"/>
          <w:b/>
          <w:bCs/>
          <w:color w:val="13576B"/>
          <w:sz w:val="22"/>
          <w:szCs w:val="22"/>
        </w:rPr>
        <w:t>Od začátku roku je to celkem</w:t>
      </w:r>
      <w:r w:rsidR="00EE0C34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150 miliard korun, tedy o 50 miliard více než před rokem. </w:t>
      </w:r>
      <w:r w:rsidR="00960B5B" w:rsidRPr="0043215E">
        <w:rPr>
          <w:rFonts w:ascii="Calibri" w:hAnsi="Calibri" w:cs="Calibri"/>
          <w:b/>
          <w:bCs/>
          <w:color w:val="13576B"/>
          <w:sz w:val="22"/>
          <w:szCs w:val="22"/>
        </w:rPr>
        <w:t>Navzdory růstu tržních úrokových sazeb červen přinesl další pokles p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>růměrn</w:t>
      </w:r>
      <w:r w:rsidR="00960B5B" w:rsidRPr="0043215E">
        <w:rPr>
          <w:rFonts w:ascii="Calibri" w:hAnsi="Calibri" w:cs="Calibri"/>
          <w:b/>
          <w:bCs/>
          <w:color w:val="13576B"/>
          <w:sz w:val="22"/>
          <w:szCs w:val="22"/>
        </w:rPr>
        <w:t>é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realizovan</w:t>
      </w:r>
      <w:r w:rsidR="00960B5B" w:rsidRPr="0043215E">
        <w:rPr>
          <w:rFonts w:ascii="Calibri" w:hAnsi="Calibri" w:cs="Calibri"/>
          <w:b/>
          <w:bCs/>
          <w:color w:val="13576B"/>
          <w:sz w:val="22"/>
          <w:szCs w:val="22"/>
        </w:rPr>
        <w:t>é úrokové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sazb</w:t>
      </w:r>
      <w:r w:rsidR="00960B5B" w:rsidRPr="0043215E">
        <w:rPr>
          <w:rFonts w:ascii="Calibri" w:hAnsi="Calibri" w:cs="Calibri"/>
          <w:b/>
          <w:bCs/>
          <w:color w:val="13576B"/>
          <w:sz w:val="22"/>
          <w:szCs w:val="22"/>
        </w:rPr>
        <w:t>y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hypoték na 4,56 % z květnových 4,6 %. Její meziroční pokles o 0,49</w:t>
      </w:r>
      <w:r w:rsidR="007C0E2D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>% bodu snižuje měsíční splátky přibližně o více než 1,2 tis. Kč, tedy o</w:t>
      </w:r>
      <w:r w:rsidR="007C0E2D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1,3 % čistého příjmu žadatele o hypotéku. </w:t>
      </w:r>
      <w:r w:rsidR="00DD5FFB" w:rsidRPr="0043215E">
        <w:rPr>
          <w:rFonts w:ascii="Calibri" w:hAnsi="Calibri" w:cs="Calibri"/>
          <w:b/>
          <w:bCs/>
          <w:color w:val="13576B"/>
          <w:sz w:val="22"/>
          <w:szCs w:val="22"/>
        </w:rPr>
        <w:t>Ovšem p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růměrná velikost nově poskytnuté hypotéky v červnu mírně stoupla na 4,21 milionu korun, což meziročně zvedlo průměrnou měsíční splátku </w:t>
      </w:r>
      <w:r w:rsidR="00690239" w:rsidRPr="0043215E">
        <w:rPr>
          <w:rFonts w:ascii="Calibri" w:hAnsi="Calibri" w:cs="Calibri"/>
          <w:b/>
          <w:bCs/>
          <w:color w:val="13576B"/>
          <w:sz w:val="22"/>
          <w:szCs w:val="22"/>
        </w:rPr>
        <w:t>téměř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o 2,7 tis. Kč, tedy přibližně o 2,9 % příjmu žadatele. </w:t>
      </w:r>
      <w:r w:rsidR="000427B8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Vyšší úroveň průměrné </w:t>
      </w:r>
      <w:r w:rsidR="00665F6E" w:rsidRPr="0043215E">
        <w:rPr>
          <w:rFonts w:ascii="Calibri" w:hAnsi="Calibri" w:cs="Calibri"/>
          <w:b/>
          <w:bCs/>
          <w:color w:val="13576B"/>
          <w:sz w:val="22"/>
          <w:szCs w:val="22"/>
        </w:rPr>
        <w:t>hypotéky</w:t>
      </w:r>
      <w:r w:rsidR="000427B8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ke koupi signalizuje další budoucí navýšení průměrné výše hypotéky. </w:t>
      </w:r>
      <w:r w:rsidR="00266ACC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Pokud hypotéky udrží dynamiku z posledních dvou měsíců, pak by mohl objem nových hypoték v roce 2025 dosáhnout úrovně 294 miliard Kč, o 29 % více než ve srovnání s loňskem. </w:t>
      </w:r>
      <w:r w:rsidR="00DD5FFB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To </w:t>
      </w:r>
      <w:r w:rsidR="00EE0C34" w:rsidRPr="0043215E">
        <w:rPr>
          <w:rFonts w:ascii="Calibri" w:hAnsi="Calibri" w:cs="Calibri"/>
          <w:b/>
          <w:bCs/>
          <w:color w:val="13576B"/>
          <w:sz w:val="22"/>
          <w:szCs w:val="22"/>
        </w:rPr>
        <w:t>představuje</w:t>
      </w:r>
      <w:r w:rsidR="00DD5FFB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 nepatrně lepší odhad než v minulém měsíci, ale blízko odhadům z března a </w:t>
      </w:r>
      <w:r w:rsidR="00665F6E" w:rsidRPr="0043215E">
        <w:rPr>
          <w:rFonts w:ascii="Calibri" w:hAnsi="Calibri" w:cs="Calibri"/>
          <w:b/>
          <w:bCs/>
          <w:color w:val="13576B"/>
          <w:sz w:val="22"/>
          <w:szCs w:val="22"/>
        </w:rPr>
        <w:t>dubna</w:t>
      </w:r>
      <w:r w:rsidR="00DD5FFB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. </w:t>
      </w:r>
      <w:r w:rsidR="00B05277" w:rsidRPr="0043215E">
        <w:rPr>
          <w:rFonts w:ascii="Calibri" w:hAnsi="Calibri" w:cs="Calibri"/>
          <w:b/>
          <w:bCs/>
          <w:color w:val="13576B"/>
          <w:sz w:val="22"/>
          <w:szCs w:val="22"/>
        </w:rPr>
        <w:t xml:space="preserve">Zde se promítá </w:t>
      </w:r>
      <w:r w:rsidR="00DD5FFB" w:rsidRPr="0043215E">
        <w:rPr>
          <w:rFonts w:ascii="Calibri" w:hAnsi="Calibri" w:cs="Calibri"/>
          <w:b/>
          <w:bCs/>
          <w:color w:val="13576B"/>
          <w:sz w:val="22"/>
          <w:szCs w:val="22"/>
        </w:rPr>
        <w:t>o něco mírnější</w:t>
      </w:r>
      <w:r w:rsidR="00DD5FFB" w:rsidRPr="00266ACC">
        <w:rPr>
          <w:rFonts w:ascii="Calibri" w:hAnsi="Calibri" w:cs="Calibri"/>
          <w:b/>
          <w:bCs/>
          <w:color w:val="13576B"/>
          <w:sz w:val="22"/>
          <w:szCs w:val="22"/>
        </w:rPr>
        <w:t xml:space="preserve"> odhad počtu nových hypoték v letošním roce, a to 71,4 tisíc. </w:t>
      </w:r>
      <w:r w:rsidR="00266ACC" w:rsidRPr="00266ACC">
        <w:rPr>
          <w:rFonts w:ascii="Calibri" w:hAnsi="Calibri" w:cs="Calibri"/>
          <w:b/>
          <w:bCs/>
          <w:color w:val="13576B"/>
          <w:sz w:val="22"/>
          <w:szCs w:val="22"/>
        </w:rPr>
        <w:t>Uvedené informace plynou z údajů ČBA Hypomonitoru, který zachycuje data všech tuzemských bank a stavebních spořitelen poskytujících hypoteční úvěry.</w:t>
      </w:r>
    </w:p>
    <w:p w14:paraId="2E8CBA8F" w14:textId="4CFB7502" w:rsidR="00266ACC" w:rsidRDefault="00F879C5" w:rsidP="007967E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>
        <w:rPr>
          <w:noProof/>
        </w:rPr>
        <w:drawing>
          <wp:inline distT="0" distB="0" distL="0" distR="0" wp14:anchorId="1AA86943" wp14:editId="6923B0BA">
            <wp:extent cx="6480273" cy="4750130"/>
            <wp:effectExtent l="0" t="0" r="0" b="0"/>
            <wp:docPr id="1444076735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76735" name="Picture 1" descr="A screenshot of a graph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4794" cy="476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116FC" w14:textId="77777777" w:rsidR="00CA79F2" w:rsidRDefault="00CA79F2" w:rsidP="002A5D11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44AD2489" w14:textId="7426D11C" w:rsidR="002A5D11" w:rsidRPr="000B064D" w:rsidRDefault="00266ACC" w:rsidP="002A5D11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lastRenderedPageBreak/>
        <w:t>Červen</w:t>
      </w:r>
      <w:r w:rsidR="00274645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F83C40">
        <w:rPr>
          <w:rFonts w:ascii="Calibri" w:hAnsi="Calibri" w:cs="Calibri"/>
          <w:b/>
          <w:color w:val="13576B"/>
          <w:sz w:val="23"/>
          <w:szCs w:val="23"/>
        </w:rPr>
        <w:t xml:space="preserve">přinesl </w:t>
      </w:r>
      <w:r w:rsidR="00274645" w:rsidRPr="00960B5B">
        <w:rPr>
          <w:rFonts w:ascii="Calibri" w:hAnsi="Calibri" w:cs="Calibri"/>
          <w:b/>
          <w:color w:val="13576B"/>
          <w:sz w:val="23"/>
          <w:szCs w:val="23"/>
        </w:rPr>
        <w:t>mírné oživení n</w:t>
      </w:r>
      <w:r w:rsidR="00287580" w:rsidRPr="00960B5B">
        <w:rPr>
          <w:rFonts w:ascii="Calibri" w:hAnsi="Calibri" w:cs="Calibri"/>
          <w:b/>
          <w:color w:val="13576B"/>
          <w:sz w:val="23"/>
          <w:szCs w:val="23"/>
        </w:rPr>
        <w:t xml:space="preserve">ově </w:t>
      </w:r>
      <w:r w:rsidR="002A5D11" w:rsidRPr="00960B5B">
        <w:rPr>
          <w:rFonts w:ascii="Calibri" w:hAnsi="Calibri" w:cs="Calibri"/>
          <w:b/>
          <w:color w:val="13576B"/>
          <w:sz w:val="23"/>
          <w:szCs w:val="23"/>
        </w:rPr>
        <w:t xml:space="preserve">poskytnutých </w:t>
      </w:r>
      <w:r w:rsidR="00665F6E" w:rsidRPr="00960B5B">
        <w:rPr>
          <w:rFonts w:ascii="Calibri" w:hAnsi="Calibri" w:cs="Calibri"/>
          <w:b/>
          <w:color w:val="13576B"/>
          <w:sz w:val="23"/>
          <w:szCs w:val="23"/>
        </w:rPr>
        <w:t>hypoték,</w:t>
      </w:r>
      <w:r w:rsidR="002A5D11" w:rsidRPr="00960B5B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960B5B" w:rsidRPr="00960B5B">
        <w:rPr>
          <w:rFonts w:ascii="Calibri" w:hAnsi="Calibri" w:cs="Calibri"/>
          <w:b/>
          <w:color w:val="13576B"/>
          <w:sz w:val="23"/>
          <w:szCs w:val="23"/>
        </w:rPr>
        <w:t xml:space="preserve">a to jak </w:t>
      </w:r>
      <w:r w:rsidR="00665F6E">
        <w:rPr>
          <w:rFonts w:ascii="Calibri" w:hAnsi="Calibri" w:cs="Calibri"/>
          <w:b/>
          <w:color w:val="13576B"/>
          <w:sz w:val="23"/>
          <w:szCs w:val="23"/>
        </w:rPr>
        <w:t xml:space="preserve">v případě </w:t>
      </w:r>
      <w:r w:rsidR="00960B5B" w:rsidRPr="00960B5B">
        <w:rPr>
          <w:rFonts w:ascii="Calibri" w:hAnsi="Calibri" w:cs="Calibri"/>
          <w:b/>
          <w:color w:val="13576B"/>
          <w:sz w:val="23"/>
          <w:szCs w:val="23"/>
        </w:rPr>
        <w:t xml:space="preserve">objemu, tak i </w:t>
      </w:r>
      <w:r w:rsidR="00665F6E">
        <w:rPr>
          <w:rFonts w:ascii="Calibri" w:hAnsi="Calibri" w:cs="Calibri"/>
          <w:b/>
          <w:color w:val="13576B"/>
          <w:sz w:val="23"/>
          <w:szCs w:val="23"/>
        </w:rPr>
        <w:t xml:space="preserve">jejich </w:t>
      </w:r>
      <w:r w:rsidR="00960B5B" w:rsidRPr="00960B5B">
        <w:rPr>
          <w:rFonts w:ascii="Calibri" w:hAnsi="Calibri" w:cs="Calibri"/>
          <w:b/>
          <w:color w:val="13576B"/>
          <w:sz w:val="23"/>
          <w:szCs w:val="23"/>
        </w:rPr>
        <w:t>počtu</w:t>
      </w:r>
      <w:r w:rsidR="00274645" w:rsidRPr="00266ACC">
        <w:rPr>
          <w:rFonts w:ascii="Calibri" w:hAnsi="Calibri" w:cs="Calibri"/>
          <w:b/>
          <w:color w:val="EE0000"/>
          <w:sz w:val="23"/>
          <w:szCs w:val="23"/>
        </w:rPr>
        <w:t xml:space="preserve"> </w:t>
      </w:r>
    </w:p>
    <w:p w14:paraId="54E73B5B" w14:textId="2CCAB33A" w:rsidR="000427B8" w:rsidRDefault="00266ACC" w:rsidP="002B35B7">
      <w:pPr>
        <w:spacing w:before="24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111121228"/>
      <w:bookmarkStart w:id="3" w:name="_Hlk119308742"/>
      <w:r w:rsidRPr="00266ACC">
        <w:rPr>
          <w:rFonts w:ascii="Calibri" w:hAnsi="Calibri" w:cs="Calibri"/>
          <w:b/>
          <w:bCs/>
          <w:color w:val="000000"/>
          <w:sz w:val="22"/>
          <w:szCs w:val="22"/>
        </w:rPr>
        <w:t xml:space="preserve">V červnu poskytly banky a stavební spořitelny skutečně nové hypoteční úvěry za 29,4 mld. Kč a k tomu klienti navíc refinancovali své hypotéky v rozsahu 8,1 mld. Kč. </w:t>
      </w:r>
      <w:r w:rsidRPr="00266ACC">
        <w:rPr>
          <w:rFonts w:ascii="Calibri" w:hAnsi="Calibri" w:cs="Calibri"/>
          <w:color w:val="000000"/>
          <w:sz w:val="22"/>
          <w:szCs w:val="22"/>
        </w:rPr>
        <w:t>Oproti květnu tak nová hypoteční aktivita objemově stoupla přibližně o 7 %, což spíše odpovídá sezónnímu vlivu</w:t>
      </w:r>
      <w:r w:rsidR="000427B8">
        <w:rPr>
          <w:rFonts w:ascii="Calibri" w:hAnsi="Calibri" w:cs="Calibri"/>
          <w:color w:val="000000"/>
          <w:sz w:val="22"/>
          <w:szCs w:val="22"/>
        </w:rPr>
        <w:t xml:space="preserve">. Ovšem i </w:t>
      </w:r>
      <w:r w:rsidR="000427B8" w:rsidRPr="000427B8">
        <w:rPr>
          <w:rFonts w:ascii="Calibri" w:hAnsi="Calibri" w:cs="Calibri"/>
          <w:color w:val="000000"/>
          <w:sz w:val="22"/>
          <w:szCs w:val="22"/>
        </w:rPr>
        <w:t>po sezónní úpravě přinesla červnová čísla nových hypoték mírný nárůst na přibližně 24,9 mld. Kč. To představuje 2% zlepšení ve srovnání s květnovými 24,4 mld. a zároveň se nachází nad průměrným objemem z</w:t>
      </w:r>
      <w:r w:rsidR="007C0E2D">
        <w:rPr>
          <w:rFonts w:ascii="Calibri" w:hAnsi="Calibri" w:cs="Calibri"/>
          <w:color w:val="000000"/>
          <w:sz w:val="22"/>
          <w:szCs w:val="22"/>
        </w:rPr>
        <w:t> </w:t>
      </w:r>
      <w:r w:rsidR="000427B8" w:rsidRPr="000427B8">
        <w:rPr>
          <w:rFonts w:ascii="Calibri" w:hAnsi="Calibri" w:cs="Calibri"/>
          <w:color w:val="000000"/>
          <w:sz w:val="22"/>
          <w:szCs w:val="22"/>
        </w:rPr>
        <w:t>předchozích</w:t>
      </w:r>
      <w:r w:rsidR="007C0E2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27B8" w:rsidRPr="000427B8">
        <w:rPr>
          <w:rFonts w:ascii="Calibri" w:hAnsi="Calibri" w:cs="Calibri"/>
          <w:color w:val="000000"/>
          <w:sz w:val="22"/>
          <w:szCs w:val="22"/>
        </w:rPr>
        <w:t>tř</w:t>
      </w:r>
      <w:r w:rsidR="00794379">
        <w:rPr>
          <w:rFonts w:ascii="Calibri" w:hAnsi="Calibri" w:cs="Calibri"/>
          <w:color w:val="000000"/>
          <w:sz w:val="22"/>
          <w:szCs w:val="22"/>
        </w:rPr>
        <w:t>í</w:t>
      </w:r>
      <w:r w:rsidR="000427B8" w:rsidRPr="000427B8">
        <w:rPr>
          <w:rFonts w:ascii="Calibri" w:hAnsi="Calibri" w:cs="Calibri"/>
          <w:color w:val="000000"/>
          <w:sz w:val="22"/>
          <w:szCs w:val="22"/>
        </w:rPr>
        <w:t xml:space="preserve"> měsíců (24,5 mld. Kč). Objem nově poskytnutých hypoték se v červnu dostal na přibližně o 50 % vyšší úroveň ve srovnání s první polovinou minulého roku. V meziročním vyjádření růst objemu poskytnutých hypoték v červnu zesílil na 40 % z květnových 33 % po 83% meziročním nárůstu v minulém roce.</w:t>
      </w:r>
    </w:p>
    <w:p w14:paraId="6D0DF5DF" w14:textId="05A1752C" w:rsidR="0080372E" w:rsidRPr="002B35B7" w:rsidRDefault="006E04F7" w:rsidP="002B35B7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r w:rsidRPr="003F159E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6851CB">
        <w:rPr>
          <w:rFonts w:ascii="Calibri" w:hAnsi="Calibri" w:cs="Calibri"/>
          <w:b/>
          <w:color w:val="13576B"/>
          <w:sz w:val="23"/>
          <w:szCs w:val="23"/>
        </w:rPr>
        <w:t>červen</w:t>
      </w:r>
      <w:r w:rsidR="001306A2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3F159E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641532">
        <w:rPr>
          <w:rFonts w:ascii="Calibri" w:hAnsi="Calibri" w:cs="Calibri"/>
          <w:b/>
          <w:color w:val="13576B"/>
          <w:sz w:val="23"/>
          <w:szCs w:val="23"/>
        </w:rPr>
        <w:t>5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2138C0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316ED53A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2138C0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15FBAEA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6851CB" w:rsidRPr="002138C0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55D0463E" w:rsidR="006851CB" w:rsidRPr="00072DB9" w:rsidRDefault="006851CB" w:rsidP="006851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0474FFC2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4DE9283E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9 265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63A2EB9C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4,55</w:t>
            </w:r>
          </w:p>
        </w:tc>
      </w:tr>
      <w:tr w:rsidR="006851CB" w:rsidRPr="002138C0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6851CB" w:rsidRPr="00072DB9" w:rsidRDefault="006851CB" w:rsidP="006851C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30407D66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6330A3EE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6 990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19E7DBD5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4,56</w:t>
            </w:r>
          </w:p>
        </w:tc>
      </w:tr>
      <w:tr w:rsidR="006851CB" w:rsidRPr="002138C0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6851CB" w:rsidRPr="00072DB9" w:rsidRDefault="006851CB" w:rsidP="006851CB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03267582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6795432A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4D95CC75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6851CB" w:rsidRPr="002138C0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4481CAD" w:rsidR="006851CB" w:rsidRPr="00072DB9" w:rsidRDefault="006851CB" w:rsidP="006851C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3083A9A3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62AA225C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5 428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5A932EC4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4,56</w:t>
            </w:r>
          </w:p>
        </w:tc>
      </w:tr>
      <w:tr w:rsidR="006851CB" w:rsidRPr="002138C0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02A472AC" w:rsidR="006851CB" w:rsidRPr="00072DB9" w:rsidRDefault="006851CB" w:rsidP="006851C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595168C9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2C6693F1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0238CFAE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4,51</w:t>
            </w:r>
          </w:p>
        </w:tc>
      </w:tr>
      <w:tr w:rsidR="006851CB" w:rsidRPr="002138C0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6B59A630" w:rsidR="006851CB" w:rsidRPr="00072DB9" w:rsidRDefault="006851CB" w:rsidP="006851CB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59EC282A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13C151E8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30406851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4,75</w:t>
            </w:r>
          </w:p>
        </w:tc>
      </w:tr>
      <w:tr w:rsidR="006851CB" w:rsidRPr="002138C0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6851CB" w:rsidRPr="00072DB9" w:rsidRDefault="006851CB" w:rsidP="006851C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2CB9F9EA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4A2AD981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017A6295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4,51</w:t>
            </w:r>
          </w:p>
        </w:tc>
      </w:tr>
      <w:tr w:rsidR="006851CB" w:rsidRPr="002138C0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3B6FF053" w:rsidR="006851CB" w:rsidRPr="00072DB9" w:rsidRDefault="006851CB" w:rsidP="006851CB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, navýšené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4DBFAD4E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3A69533C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39654281" w:rsidR="006851CB" w:rsidRPr="00072DB9" w:rsidRDefault="006851CB" w:rsidP="006851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4,52</w:t>
            </w:r>
          </w:p>
        </w:tc>
      </w:tr>
      <w:tr w:rsidR="006E04F7" w:rsidRPr="002138C0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A067" w14:textId="77777777" w:rsidR="006E04F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>Pramen: ČBA Hypomonitor</w:t>
            </w:r>
          </w:p>
          <w:p w14:paraId="30E574FB" w14:textId="77777777" w:rsidR="008F7CC9" w:rsidRDefault="008F7CC9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  <w:p w14:paraId="06A1A28A" w14:textId="63A22841" w:rsidR="00395026" w:rsidRPr="00072DB9" w:rsidRDefault="00395026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D4C4" w14:textId="77777777" w:rsidR="006E04F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  <w:p w14:paraId="6ECA0B01" w14:textId="77777777" w:rsidR="008F7CC9" w:rsidRDefault="008F7CC9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31856BD" w14:textId="77777777" w:rsidR="00395026" w:rsidRPr="00072DB9" w:rsidRDefault="00395026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1FB45B18" w14:textId="4662E47D" w:rsidR="00452B0E" w:rsidRPr="00CC5202" w:rsidRDefault="00452B0E" w:rsidP="00452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Calibri"/>
          <w:i/>
          <w:iCs/>
          <w:sz w:val="22"/>
          <w:szCs w:val="22"/>
        </w:rPr>
      </w:pPr>
      <w:r w:rsidRPr="00CC5202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17486D" w:rsidRPr="00CC5202">
        <w:rPr>
          <w:rFonts w:ascii="Calibri" w:hAnsi="Calibri" w:cs="Calibri"/>
          <w:i/>
          <w:iCs/>
          <w:color w:val="000000" w:themeColor="text1"/>
          <w:sz w:val="22"/>
          <w:szCs w:val="22"/>
        </w:rPr>
        <w:t>Hypoteční sazba v červnu dále klesla na 4,56 % navzdory korekci tržních úrokových sazeb vzhůru, která asi bude limitovat další poklesy hypotečních sazeb</w:t>
      </w:r>
      <w:r w:rsidR="0020488B" w:rsidRPr="00CC520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v budoucnu</w:t>
      </w:r>
      <w:r w:rsidRPr="00CC520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,“ </w:t>
      </w:r>
      <w:r w:rsidRPr="007F690B">
        <w:rPr>
          <w:rFonts w:ascii="Calibri" w:hAnsi="Calibri" w:cs="Calibri"/>
          <w:sz w:val="22"/>
          <w:szCs w:val="22"/>
        </w:rPr>
        <w:t xml:space="preserve">říká </w:t>
      </w:r>
      <w:r w:rsidR="0017486D" w:rsidRPr="0017486D">
        <w:rPr>
          <w:rFonts w:ascii="Calibri" w:hAnsi="Calibri" w:cs="Calibri"/>
          <w:b/>
          <w:bCs/>
          <w:sz w:val="22"/>
          <w:szCs w:val="22"/>
        </w:rPr>
        <w:t xml:space="preserve">Jaromír Šindel, hlavní ekonom České bankovní asociace, </w:t>
      </w:r>
      <w:r w:rsidR="0017486D" w:rsidRPr="0020488B">
        <w:rPr>
          <w:rFonts w:ascii="Calibri" w:hAnsi="Calibri" w:cs="Calibri"/>
          <w:sz w:val="22"/>
          <w:szCs w:val="22"/>
        </w:rPr>
        <w:t>a dodává</w:t>
      </w:r>
      <w:r w:rsidR="0017486D" w:rsidRPr="0020488B">
        <w:rPr>
          <w:rFonts w:ascii="Calibri" w:eastAsia="Calibri" w:hAnsi="Calibri" w:cs="Calibri"/>
          <w:sz w:val="22"/>
          <w:szCs w:val="22"/>
        </w:rPr>
        <w:t>,</w:t>
      </w:r>
      <w:r w:rsidR="0017486D">
        <w:rPr>
          <w:rFonts w:ascii="Calibri" w:eastAsia="Calibri" w:hAnsi="Calibri" w:cs="Calibri"/>
          <w:sz w:val="22"/>
          <w:szCs w:val="22"/>
        </w:rPr>
        <w:t xml:space="preserve"> ž</w:t>
      </w:r>
      <w:r w:rsidR="0020488B">
        <w:rPr>
          <w:rFonts w:ascii="Calibri" w:eastAsia="Calibri" w:hAnsi="Calibri" w:cs="Calibri"/>
          <w:sz w:val="22"/>
          <w:szCs w:val="22"/>
        </w:rPr>
        <w:t>e „</w:t>
      </w:r>
      <w:r w:rsidR="0020488B" w:rsidRPr="00CC5202">
        <w:rPr>
          <w:rFonts w:ascii="Calibri" w:eastAsia="Calibri" w:hAnsi="Calibri" w:cs="Calibri"/>
          <w:i/>
          <w:iCs/>
          <w:sz w:val="22"/>
          <w:szCs w:val="22"/>
        </w:rPr>
        <w:t xml:space="preserve">české hypoteční sazby se pohybují výrazně pod </w:t>
      </w:r>
      <w:r w:rsidR="00CC5202">
        <w:rPr>
          <w:rFonts w:ascii="Calibri" w:eastAsia="Calibri" w:hAnsi="Calibri" w:cs="Calibri"/>
          <w:i/>
          <w:iCs/>
          <w:sz w:val="22"/>
          <w:szCs w:val="22"/>
        </w:rPr>
        <w:t xml:space="preserve">přibližně </w:t>
      </w:r>
      <w:r w:rsidR="0020488B" w:rsidRPr="00CC5202">
        <w:rPr>
          <w:rFonts w:ascii="Calibri" w:eastAsia="Calibri" w:hAnsi="Calibri" w:cs="Calibri"/>
          <w:i/>
          <w:iCs/>
          <w:sz w:val="22"/>
          <w:szCs w:val="22"/>
        </w:rPr>
        <w:t xml:space="preserve">7% úrovní v Polsku </w:t>
      </w:r>
      <w:r w:rsidR="00CC5202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0020488B" w:rsidRPr="00CC5202">
        <w:rPr>
          <w:rFonts w:ascii="Calibri" w:eastAsia="Calibri" w:hAnsi="Calibri" w:cs="Calibri"/>
          <w:i/>
          <w:iCs/>
          <w:sz w:val="22"/>
          <w:szCs w:val="22"/>
        </w:rPr>
        <w:t xml:space="preserve"> Maďarsku, i když jsou o necelý jeden procentní bod </w:t>
      </w:r>
      <w:r w:rsidR="00CC5202">
        <w:rPr>
          <w:rFonts w:ascii="Calibri" w:eastAsia="Calibri" w:hAnsi="Calibri" w:cs="Calibri"/>
          <w:i/>
          <w:iCs/>
          <w:sz w:val="22"/>
          <w:szCs w:val="22"/>
        </w:rPr>
        <w:t>výše</w:t>
      </w:r>
      <w:r w:rsidR="0020488B" w:rsidRPr="00CC5202">
        <w:rPr>
          <w:rFonts w:ascii="Calibri" w:eastAsia="Calibri" w:hAnsi="Calibri" w:cs="Calibri"/>
          <w:i/>
          <w:iCs/>
          <w:sz w:val="22"/>
          <w:szCs w:val="22"/>
        </w:rPr>
        <w:t xml:space="preserve"> než</w:t>
      </w:r>
      <w:r w:rsidR="00794379">
        <w:rPr>
          <w:rFonts w:ascii="Calibri" w:eastAsia="Calibri" w:hAnsi="Calibri" w:cs="Calibri"/>
          <w:i/>
          <w:iCs/>
          <w:sz w:val="22"/>
          <w:szCs w:val="22"/>
        </w:rPr>
        <w:t xml:space="preserve"> na</w:t>
      </w:r>
      <w:r w:rsidR="0020488B" w:rsidRPr="00CC5202">
        <w:rPr>
          <w:rFonts w:ascii="Calibri" w:eastAsia="Calibri" w:hAnsi="Calibri" w:cs="Calibri"/>
          <w:i/>
          <w:iCs/>
          <w:sz w:val="22"/>
          <w:szCs w:val="22"/>
        </w:rPr>
        <w:t xml:space="preserve"> Slovensk</w:t>
      </w:r>
      <w:r w:rsidR="00CC5202">
        <w:rPr>
          <w:rFonts w:ascii="Calibri" w:eastAsia="Calibri" w:hAnsi="Calibri" w:cs="Calibri"/>
          <w:i/>
          <w:iCs/>
          <w:sz w:val="22"/>
          <w:szCs w:val="22"/>
        </w:rPr>
        <w:t>u či v Německu, ale při přibližně stejném rozpětí vůči pětiletým tržním úrokům.</w:t>
      </w:r>
      <w:r w:rsidR="0020488B">
        <w:rPr>
          <w:rFonts w:ascii="Calibri" w:eastAsia="Calibri" w:hAnsi="Calibri" w:cs="Calibri"/>
          <w:sz w:val="22"/>
          <w:szCs w:val="22"/>
        </w:rPr>
        <w:t xml:space="preserve"> “ </w:t>
      </w:r>
    </w:p>
    <w:p w14:paraId="70269255" w14:textId="0E8813B2" w:rsidR="008F7CC9" w:rsidRDefault="006228C3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Počet </w:t>
      </w:r>
      <w:r w:rsidR="0050674F">
        <w:rPr>
          <w:rFonts w:ascii="Calibri" w:hAnsi="Calibri" w:cs="Calibri"/>
          <w:b/>
          <w:bCs/>
          <w:color w:val="000000"/>
          <w:sz w:val="22"/>
          <w:szCs w:val="22"/>
        </w:rPr>
        <w:t xml:space="preserve">nových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hypoték lehce vzrostl, ale zůstává na úrovni roku 2019. </w:t>
      </w:r>
      <w:r w:rsidRPr="00266ACC">
        <w:rPr>
          <w:rFonts w:ascii="Calibri" w:hAnsi="Calibri" w:cs="Calibri"/>
          <w:color w:val="000000"/>
          <w:sz w:val="22"/>
          <w:szCs w:val="22"/>
        </w:rPr>
        <w:t>Počet nových hypoték v červnu narostl o 5,7 % meziměsíčně na 6</w:t>
      </w:r>
      <w:r w:rsidR="000427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66ACC">
        <w:rPr>
          <w:rFonts w:ascii="Calibri" w:hAnsi="Calibri" w:cs="Calibri"/>
          <w:color w:val="000000"/>
          <w:sz w:val="22"/>
          <w:szCs w:val="22"/>
        </w:rPr>
        <w:t xml:space="preserve">990 kusů, což je o 24 % více než před rokem. </w:t>
      </w:r>
      <w:r w:rsidR="00266ACC" w:rsidRPr="00266ACC">
        <w:rPr>
          <w:rFonts w:ascii="Calibri" w:hAnsi="Calibri" w:cs="Calibri"/>
          <w:color w:val="000000"/>
          <w:sz w:val="22"/>
          <w:szCs w:val="22"/>
        </w:rPr>
        <w:t>Odhadujeme, že po sezónním očištění se jejich počet pohybuje okolo 5</w:t>
      </w:r>
      <w:r w:rsidR="000427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6ACC" w:rsidRPr="00266ACC">
        <w:rPr>
          <w:rFonts w:ascii="Calibri" w:hAnsi="Calibri" w:cs="Calibri"/>
          <w:color w:val="000000"/>
          <w:sz w:val="22"/>
          <w:szCs w:val="22"/>
        </w:rPr>
        <w:t>952</w:t>
      </w:r>
      <w:r>
        <w:rPr>
          <w:rFonts w:ascii="Calibri" w:hAnsi="Calibri" w:cs="Calibri"/>
          <w:color w:val="000000"/>
          <w:sz w:val="22"/>
          <w:szCs w:val="22"/>
        </w:rPr>
        <w:t xml:space="preserve">. Ačkoliv došlo k nepatrnému 0,6% meziměsíčnímu zlepšení, tak počet hypoték zůstává </w:t>
      </w:r>
      <w:r w:rsidR="00266ACC" w:rsidRPr="00266ACC">
        <w:rPr>
          <w:rFonts w:ascii="Calibri" w:hAnsi="Calibri" w:cs="Calibri"/>
          <w:color w:val="000000"/>
          <w:sz w:val="22"/>
          <w:szCs w:val="22"/>
        </w:rPr>
        <w:t>přibližně 1 % pod průměrným počtem (6</w:t>
      </w:r>
      <w:r w:rsidR="000427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6ACC" w:rsidRPr="00266ACC">
        <w:rPr>
          <w:rFonts w:ascii="Calibri" w:hAnsi="Calibri" w:cs="Calibri"/>
          <w:color w:val="000000"/>
          <w:sz w:val="22"/>
          <w:szCs w:val="22"/>
        </w:rPr>
        <w:t>037) v předchozích třech měsících. Od počátku roku dosáhl počet nových hypoték 36,7 tisíc kusů (+30,5</w:t>
      </w:r>
      <w:r w:rsidR="005067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6ACC" w:rsidRPr="00266ACC">
        <w:rPr>
          <w:rFonts w:ascii="Calibri" w:hAnsi="Calibri" w:cs="Calibri"/>
          <w:color w:val="000000"/>
          <w:sz w:val="22"/>
          <w:szCs w:val="22"/>
        </w:rPr>
        <w:t>% meziročně). Dynamika počtu nových hypoték v posledních dvou měsících implikuje jejich letošní nárůst na celkový počet okolo 71,4 tisíc, což by bylo téměř o 16 % více než v loňském roce a poblíž 72 tisícům z roku 2019.</w:t>
      </w:r>
    </w:p>
    <w:p w14:paraId="59B24F18" w14:textId="77777777" w:rsidR="00CD3FDF" w:rsidRDefault="00CD3FDF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2BF5E263" w14:textId="77777777" w:rsidR="00CD3FDF" w:rsidRDefault="00CD3FDF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06FF2730" w14:textId="77777777" w:rsidR="00CD3FDF" w:rsidRDefault="00CD3FDF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26BD3B94" w14:textId="77777777" w:rsidR="00CD3FDF" w:rsidRDefault="00CD3FDF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666D8268" w14:textId="77777777" w:rsidR="00CD3FDF" w:rsidRDefault="00CD3FDF" w:rsidP="006228C3">
      <w:pPr>
        <w:spacing w:before="120"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1A6B1796" w14:textId="01BDF9D8" w:rsidR="00893E0C" w:rsidRDefault="00893E0C" w:rsidP="00893E0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>1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 xml:space="preserve">Nově </w:t>
      </w:r>
      <w:r w:rsidR="00277397" w:rsidRPr="00395026">
        <w:rPr>
          <w:rFonts w:ascii="Calibri" w:hAnsi="Calibri" w:cs="Calibri"/>
          <w:b/>
          <w:color w:val="13576B"/>
          <w:sz w:val="23"/>
          <w:szCs w:val="23"/>
        </w:rPr>
        <w:t>poskytnuté hypotéky bez refinancování</w:t>
      </w:r>
    </w:p>
    <w:p w14:paraId="61884703" w14:textId="43191BFE" w:rsidR="00266ACC" w:rsidRDefault="00395026" w:rsidP="00237E0B">
      <w:pPr>
        <w:spacing w:before="120" w:after="120"/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lastRenderedPageBreak/>
        <w:t xml:space="preserve">V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červnu</w:t>
      </w: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2025 poskytly banky a stavební spořitelny nové hypotéky za 2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9</w:t>
      </w: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,4 miliardy Kč. Oproti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květnu</w:t>
      </w: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aktivita objemově zesílila o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7</w:t>
      </w: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%, což podpořilo nejen sezónní oživení, ale i 2% nárůstu objemu po sezónním očištění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na 24,9 miliardy Kč. </w:t>
      </w:r>
    </w:p>
    <w:p w14:paraId="4CCB83B3" w14:textId="7B555CAA" w:rsidR="00893E0C" w:rsidRDefault="006228C3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228C3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716B5C3F" wp14:editId="50983C7D">
            <wp:extent cx="5867400" cy="3606800"/>
            <wp:effectExtent l="0" t="0" r="0" b="0"/>
            <wp:docPr id="19467929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6E65" w14:textId="0C9E85D9" w:rsidR="00893E0C" w:rsidRDefault="00277397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7397">
        <w:rPr>
          <w:rFonts w:ascii="Calibri Light" w:hAnsi="Calibri Light" w:cs="Calibri Light"/>
          <w:color w:val="13576B"/>
          <w:sz w:val="20"/>
        </w:rPr>
        <w:t>Pramen: ČNB, ČBA Hypomonitor (před rokem 2020 jsou objemy ze statistiky ČNB).</w:t>
      </w:r>
    </w:p>
    <w:bookmarkEnd w:id="1"/>
    <w:bookmarkEnd w:id="2"/>
    <w:bookmarkEnd w:id="3"/>
    <w:p w14:paraId="32559D13" w14:textId="5144354B" w:rsidR="002725DA" w:rsidRDefault="00266ACC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66ACC">
        <w:rPr>
          <w:rFonts w:ascii="Calibri" w:hAnsi="Calibri" w:cs="Calibri"/>
          <w:color w:val="000000"/>
          <w:sz w:val="22"/>
          <w:szCs w:val="22"/>
        </w:rPr>
        <w:t>Objem refinancovaných a navýšených úvěrů (interně či z jiné instituce) v červnu stoupl na 8,1 mld. Kč. To je o 107 % více než průměrných 3,9 miliardy refinancovaných v loňském roce a o 277 % nad 2,2 miliardami refinancovanými v roce 2023. Podíl refinancovaných úvěrů na celkovém objemu poskytnutých hypoték pak vzrostl na 21,6 %, což je nad loňským průměrem 16,9 %. Nachází se tak nad 17,2% podílem z let 2022-2023, ovšem stále pod téměř 29% podílem z období 2020-2021, kdy domácnosti refinancovaly za hypoteční sazbu 2,14 %. V červnu 2025 se domácnosti refinancovaly za úrokovou sazbu 4,51 %, což je ovšem stále o výrazných 0,5</w:t>
      </w:r>
      <w:r w:rsidR="00CD3F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66ACC">
        <w:rPr>
          <w:rFonts w:ascii="Calibri" w:hAnsi="Calibri" w:cs="Calibri"/>
          <w:color w:val="000000"/>
          <w:sz w:val="22"/>
          <w:szCs w:val="22"/>
        </w:rPr>
        <w:t>% bodu méně než 5,05 % před rokem.</w:t>
      </w:r>
    </w:p>
    <w:p w14:paraId="337DBF9F" w14:textId="77777777" w:rsidR="0020488B" w:rsidRPr="00F94C20" w:rsidRDefault="0020488B" w:rsidP="0020488B">
      <w:pPr>
        <w:rPr>
          <w:rFonts w:ascii="Calibri" w:hAnsi="Calibri" w:cs="Calibri"/>
          <w:color w:val="FF0000"/>
          <w:sz w:val="22"/>
          <w:szCs w:val="22"/>
        </w:rPr>
      </w:pPr>
    </w:p>
    <w:p w14:paraId="7A2CF459" w14:textId="6894D1F3" w:rsidR="0020488B" w:rsidRPr="0017486D" w:rsidRDefault="0020488B" w:rsidP="0020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672B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„</w:t>
      </w:r>
      <w:r w:rsidR="00C672BF" w:rsidRPr="00C672B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Hypoteční sazby pokračují ve svém návratu k dlouhodobému normálu, což se odráží ve stabilní poptávce po hypotékách. I přes tento pozitivní vývoj ale nelze přehlížet fakt, že ceny nemovitostí dál rostou a bydlení zůstává pro velkou část obyvatel finančně nedostupné. Proto je klíčové, aby kromě oživení vlastnického bydlení šly ruku v ruce také investice do kvalitního nájemního bydlení – jak ze strany bank, tak ze strany státu</w:t>
      </w:r>
      <w:r w:rsidRPr="00C672B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,“ </w:t>
      </w:r>
      <w:r w:rsidRPr="0020488B">
        <w:rPr>
          <w:rFonts w:ascii="Calibri" w:eastAsia="Calibri" w:hAnsi="Calibri" w:cs="Calibri"/>
          <w:color w:val="000000" w:themeColor="text1"/>
          <w:sz w:val="22"/>
          <w:szCs w:val="22"/>
        </w:rPr>
        <w:t>podotýká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C672BF" w:rsidRPr="00C672BF">
        <w:rPr>
          <w:rFonts w:ascii="Calibri" w:hAnsi="Calibri" w:cs="Calibri"/>
          <w:b/>
          <w:bCs/>
          <w:sz w:val="22"/>
          <w:szCs w:val="22"/>
        </w:rPr>
        <w:t>Petr</w:t>
      </w:r>
      <w:r w:rsidR="00C672BF">
        <w:rPr>
          <w:rFonts w:ascii="Calibri" w:hAnsi="Calibri" w:cs="Calibri"/>
          <w:b/>
          <w:bCs/>
          <w:sz w:val="22"/>
          <w:szCs w:val="22"/>
        </w:rPr>
        <w:t>a</w:t>
      </w:r>
      <w:r w:rsidR="00C672BF" w:rsidRPr="00C672BF">
        <w:rPr>
          <w:rFonts w:ascii="Calibri" w:hAnsi="Calibri" w:cs="Calibri"/>
          <w:b/>
          <w:bCs/>
          <w:sz w:val="22"/>
          <w:szCs w:val="22"/>
        </w:rPr>
        <w:t xml:space="preserve"> Skrbkov</w:t>
      </w:r>
      <w:r w:rsidR="00C672BF">
        <w:rPr>
          <w:rFonts w:ascii="Calibri" w:hAnsi="Calibri" w:cs="Calibri"/>
          <w:b/>
          <w:bCs/>
          <w:sz w:val="22"/>
          <w:szCs w:val="22"/>
        </w:rPr>
        <w:t>á</w:t>
      </w:r>
      <w:r w:rsidR="00C672BF" w:rsidRPr="00C672BF">
        <w:rPr>
          <w:rFonts w:ascii="Calibri" w:hAnsi="Calibri" w:cs="Calibri"/>
          <w:b/>
          <w:bCs/>
          <w:sz w:val="22"/>
          <w:szCs w:val="22"/>
        </w:rPr>
        <w:t>, ředitelka týmu Bydlení v České spořitelně</w:t>
      </w:r>
      <w:r>
        <w:rPr>
          <w:b/>
          <w:bCs/>
        </w:rPr>
        <w:t>.</w:t>
      </w:r>
    </w:p>
    <w:p w14:paraId="69247424" w14:textId="77777777" w:rsidR="0020488B" w:rsidRDefault="0020488B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99425DB" w14:textId="6F4E060F" w:rsidR="00266ACC" w:rsidRDefault="00266ACC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66ACC">
        <w:rPr>
          <w:rFonts w:ascii="Calibri" w:hAnsi="Calibri" w:cs="Calibri"/>
          <w:color w:val="000000"/>
          <w:sz w:val="22"/>
          <w:szCs w:val="22"/>
        </w:rPr>
        <w:t>Celkově tak banky a stavební spořitelny v červnu poskytly nové a refinancované hypotéky v objemu 37,5 mld. Kč, což je o 9,3 % více než před měsícem. Jejich celkový objem tak v letošním roce prozatím dosáhl 185 mld. Kč, což představuje 56% nárůst ve srovnání lednem až červnem předcházejícího roku.</w:t>
      </w:r>
    </w:p>
    <w:p w14:paraId="2040439F" w14:textId="77777777" w:rsidR="00266ACC" w:rsidRDefault="00266ACC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5A1704D2" w14:textId="3B966501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>pokračuje v klesajícím trendu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>, a to na 4,</w:t>
      </w:r>
      <w:r w:rsidR="00266ACC">
        <w:rPr>
          <w:rFonts w:ascii="Calibri" w:hAnsi="Calibri" w:cs="Calibri"/>
          <w:b/>
          <w:color w:val="13576B"/>
          <w:sz w:val="23"/>
          <w:szCs w:val="23"/>
        </w:rPr>
        <w:t>5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 xml:space="preserve">6 % v </w:t>
      </w:r>
      <w:r w:rsidR="00266ACC">
        <w:rPr>
          <w:rFonts w:ascii="Calibri" w:hAnsi="Calibri" w:cs="Calibri"/>
          <w:b/>
          <w:color w:val="13576B"/>
          <w:sz w:val="23"/>
          <w:szCs w:val="23"/>
        </w:rPr>
        <w:t>červnu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847B546" w14:textId="39B7759E" w:rsidR="00A83BF6" w:rsidRDefault="00266ACC" w:rsidP="00F625C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66AC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Průměrná realizovaná úroková sazba u nových hypoték v červnu dále klesla na 4,56 % z květnových 4,6 %. </w:t>
      </w:r>
      <w:r w:rsidRPr="00266ACC">
        <w:rPr>
          <w:rFonts w:ascii="Calibri" w:hAnsi="Calibri" w:cs="Calibri"/>
          <w:color w:val="000000"/>
          <w:sz w:val="22"/>
          <w:szCs w:val="22"/>
        </w:rPr>
        <w:t>Její snížení tak potvrzuje klesající trend pod 5 % naposledy zaznamenaný</w:t>
      </w:r>
      <w:r w:rsidR="00A54D53">
        <w:rPr>
          <w:rFonts w:ascii="Calibri" w:hAnsi="Calibri" w:cs="Calibri"/>
          <w:color w:val="000000"/>
          <w:sz w:val="22"/>
          <w:szCs w:val="22"/>
        </w:rPr>
        <w:t>mi</w:t>
      </w:r>
      <w:r w:rsidRPr="00266ACC">
        <w:rPr>
          <w:rFonts w:ascii="Calibri" w:hAnsi="Calibri" w:cs="Calibri"/>
          <w:color w:val="000000"/>
          <w:sz w:val="22"/>
          <w:szCs w:val="22"/>
        </w:rPr>
        <w:t xml:space="preserve"> v červenci 2024. Její červnová úroveň je tak o 0,49</w:t>
      </w:r>
      <w:r w:rsidR="00C672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66ACC">
        <w:rPr>
          <w:rFonts w:ascii="Calibri" w:hAnsi="Calibri" w:cs="Calibri"/>
          <w:color w:val="000000"/>
          <w:sz w:val="22"/>
          <w:szCs w:val="22"/>
        </w:rPr>
        <w:t>% bodu níže než 5,05% sazba před rokem, což snižuje měsíční splátky hypotéky přibližně o 1,3 % čistého příjmu žadatele, tedy o 1,2 tis. Kč. Pro srovnání průměrná hodnota hypoteční sazby v roce 2024 dosáhla 5,07 % v porovnání se sazbou 5,81 % v roce 2023.</w:t>
      </w:r>
    </w:p>
    <w:p w14:paraId="7B59B3DB" w14:textId="77777777" w:rsidR="00266ACC" w:rsidRDefault="00266ACC" w:rsidP="00F625CA">
      <w:pPr>
        <w:rPr>
          <w:rFonts w:ascii="Calibri" w:hAnsi="Calibri" w:cs="Calibri"/>
          <w:bCs/>
          <w:sz w:val="22"/>
          <w:szCs w:val="22"/>
        </w:rPr>
      </w:pPr>
    </w:p>
    <w:p w14:paraId="6492840A" w14:textId="49E7A20E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2: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 Průměrná hypoteční sazba – nové obchody</w:t>
      </w:r>
    </w:p>
    <w:p w14:paraId="0F619A9F" w14:textId="5C13F7A6" w:rsidR="0080372E" w:rsidRPr="0080372E" w:rsidRDefault="007222B0" w:rsidP="000B064D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Červnová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výše hypoteční sazby </w:t>
      </w:r>
      <w:r w:rsidR="00176DFC">
        <w:rPr>
          <w:rFonts w:ascii="Calibri" w:hAnsi="Calibri" w:cs="Calibri"/>
          <w:bCs/>
          <w:i/>
          <w:iCs/>
          <w:color w:val="13576B"/>
          <w:sz w:val="23"/>
          <w:szCs w:val="23"/>
        </w:rPr>
        <w:t>poklesla na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4,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5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6 % 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>a udržuje si mezioční pokles o n</w:t>
      </w:r>
      <w:r w:rsidR="00154B70">
        <w:rPr>
          <w:rFonts w:ascii="Calibri" w:hAnsi="Calibri" w:cs="Calibri"/>
          <w:bCs/>
          <w:i/>
          <w:iCs/>
          <w:color w:val="13576B"/>
          <w:sz w:val="23"/>
          <w:szCs w:val="23"/>
        </w:rPr>
        <w:t>ecelý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půl procentní bo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>d.</w:t>
      </w:r>
    </w:p>
    <w:p w14:paraId="29B8C373" w14:textId="1F80D25C" w:rsidR="007F690B" w:rsidRPr="002138C0" w:rsidRDefault="007222B0" w:rsidP="005874B8">
      <w:pPr>
        <w:rPr>
          <w:rFonts w:ascii="Calibri" w:hAnsi="Calibri" w:cs="Calibri"/>
          <w:sz w:val="22"/>
          <w:szCs w:val="22"/>
          <w:highlight w:val="yellow"/>
        </w:rPr>
      </w:pPr>
      <w:r w:rsidRPr="007222B0">
        <w:rPr>
          <w:rFonts w:ascii="Calibri" w:hAnsi="Calibri" w:cs="Calibri"/>
          <w:noProof/>
          <w:sz w:val="22"/>
          <w:szCs w:val="22"/>
          <w:highlight w:val="yellow"/>
        </w:rPr>
        <w:drawing>
          <wp:inline distT="0" distB="0" distL="0" distR="0" wp14:anchorId="66AC0A0B" wp14:editId="468CB822">
            <wp:extent cx="5173345" cy="3005455"/>
            <wp:effectExtent l="0" t="0" r="8255" b="4445"/>
            <wp:docPr id="882859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F729" w14:textId="08370F86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>ČBA Hypomonitor</w:t>
      </w:r>
    </w:p>
    <w:p w14:paraId="31FA0ABF" w14:textId="0D9D88DE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6413F21E" w14:textId="14F49F76" w:rsidR="0013679D" w:rsidRPr="0043215E" w:rsidRDefault="0013679D" w:rsidP="0013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43215E" w:rsidRPr="0043215E">
        <w:rPr>
          <w:rFonts w:ascii="Calibri" w:hAnsi="Calibri" w:cs="Calibri"/>
          <w:i/>
          <w:iCs/>
          <w:color w:val="000000" w:themeColor="text1"/>
          <w:sz w:val="22"/>
          <w:szCs w:val="22"/>
        </w:rPr>
        <w:t>Červnová čísla opět potvrzují, že pokud se nestane nic dramatického, hypoteční trh nezadržitelně míří za druhým nejúspěšnějším rokem v historii. Těžko ovšem srovnávat s rokem 2021, kdy se sazby v prvním pololetí pohybovaly kolem 2</w:t>
      </w:r>
      <w:r w:rsidR="0010445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3215E" w:rsidRPr="0043215E">
        <w:rPr>
          <w:rFonts w:ascii="Calibri" w:hAnsi="Calibri" w:cs="Calibri"/>
          <w:i/>
          <w:iCs/>
          <w:color w:val="000000" w:themeColor="text1"/>
          <w:sz w:val="22"/>
          <w:szCs w:val="22"/>
        </w:rPr>
        <w:t>%, zatímco dnes je průměrná sazba hypotéky více než dvojnásobná. Hypotéky žene nahoru zejména dynamický růst cen nemovitostí a také očekávání, že úrokové sazby v dohledné době již příliš nezlevní. Mnoho domácností tak díky zkušenosti z posledních dvou let již nechce čekat na lepší poměr „cena nemovitosti vs. sazba“ a do nemovitostí investuje právě nyní</w:t>
      </w:r>
      <w:r w:rsidR="0043215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43215E">
        <w:rPr>
          <w:rFonts w:ascii="Calibri" w:hAnsi="Calibri" w:cs="Calibri"/>
          <w:color w:val="000000" w:themeColor="text1"/>
          <w:sz w:val="22"/>
          <w:szCs w:val="22"/>
        </w:rPr>
        <w:t xml:space="preserve">říká </w:t>
      </w:r>
      <w:r w:rsidR="0043215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Ondřej Šuchman, </w:t>
      </w:r>
      <w:r w:rsidR="00406259">
        <w:rPr>
          <w:rFonts w:ascii="Calibri" w:hAnsi="Calibri" w:cs="Calibri"/>
          <w:b/>
          <w:bCs/>
          <w:color w:val="000000" w:themeColor="text1"/>
          <w:sz w:val="22"/>
          <w:szCs w:val="22"/>
        </w:rPr>
        <w:t>manažer hypoték skupiny</w:t>
      </w:r>
      <w:r w:rsidR="0043215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Komerční banky. </w:t>
      </w:r>
    </w:p>
    <w:p w14:paraId="6C7EAB99" w14:textId="77777777" w:rsidR="0013679D" w:rsidRDefault="0013679D" w:rsidP="00DD1BFF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Hlk137652102"/>
    </w:p>
    <w:p w14:paraId="3667EDD6" w14:textId="33D64B30" w:rsidR="00140854" w:rsidRDefault="00900CC0" w:rsidP="008F7CC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40854">
        <w:rPr>
          <w:rFonts w:ascii="Calibri" w:hAnsi="Calibri" w:cs="Calibri"/>
          <w:b/>
          <w:bCs/>
          <w:color w:val="000000" w:themeColor="text1"/>
          <w:sz w:val="22"/>
          <w:szCs w:val="22"/>
        </w:rPr>
        <w:t>Tržní úrokové sazby</w:t>
      </w:r>
      <w:r w:rsidR="000F30E9" w:rsidRPr="00140854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0F30E9" w:rsidRPr="00140854">
        <w:rPr>
          <w:rStyle w:val="Znakapoznpodarou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footnoteReference w:id="1"/>
      </w:r>
      <w:r w:rsidR="000F30E9" w:rsidRPr="0014085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40854" w:rsidRPr="00140854">
        <w:rPr>
          <w:rFonts w:ascii="Calibri" w:hAnsi="Calibri" w:cs="Calibri"/>
          <w:b/>
          <w:bCs/>
          <w:color w:val="000000" w:themeColor="text1"/>
          <w:sz w:val="22"/>
          <w:szCs w:val="22"/>
        </w:rPr>
        <w:t>které mají klíčový vliv na hypoteční sazby, v červnu v Česku dále korigovaly směrem nahoru a opět tak připomínají limitovanou cestu k dalšímu výraznějšímu poklesu hypotečních sazeb.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 České pětileté úrokové swapy v červnu stouply o</w:t>
      </w:r>
      <w:r w:rsidR="00140854">
        <w:rPr>
          <w:rFonts w:ascii="Calibri" w:hAnsi="Calibri" w:cs="Calibri"/>
          <w:color w:val="000000" w:themeColor="text1"/>
          <w:sz w:val="22"/>
          <w:szCs w:val="22"/>
        </w:rPr>
        <w:t xml:space="preserve"> necelé dvě desetinky procenta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 na 3,54 % z květnových 3,38 %</w:t>
      </w:r>
      <w:r w:rsidR="00140854">
        <w:rPr>
          <w:rFonts w:ascii="Calibri" w:hAnsi="Calibri" w:cs="Calibri"/>
          <w:color w:val="000000" w:themeColor="text1"/>
          <w:sz w:val="22"/>
          <w:szCs w:val="22"/>
        </w:rPr>
        <w:t xml:space="preserve">. Ačkoliv se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nacházely se nad dubnovými 3,29 %</w:t>
      </w:r>
      <w:r w:rsidR="00140854">
        <w:rPr>
          <w:rFonts w:ascii="Calibri" w:hAnsi="Calibri" w:cs="Calibri"/>
          <w:color w:val="000000" w:themeColor="text1"/>
          <w:sz w:val="22"/>
          <w:szCs w:val="22"/>
        </w:rPr>
        <w:t>, tak j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ejich červnová úroveň je o </w:t>
      </w:r>
      <w:r w:rsidR="00140854">
        <w:rPr>
          <w:rFonts w:ascii="Calibri" w:hAnsi="Calibri" w:cs="Calibri"/>
          <w:color w:val="000000" w:themeColor="text1"/>
          <w:sz w:val="22"/>
          <w:szCs w:val="22"/>
        </w:rPr>
        <w:t xml:space="preserve">necelou desetinku procentního bodu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pod 3,45 % z předcházejícího prvního čtvrtletí. V posledních dvanácti měsících se české pětileté swapy pohybovaly v rozmezí měsíčních průměrů 3,19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% (v září 2024) a 3,64 % (z ledna 2025). V porovnání s průměrnou úrovní pětiletých swapů v roce 2024 byly červnové úroky o 0,04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% bodu níže. V případě amerických pětiletých úrokových swapů došlo v červnu poklesu na 3,88 % z květnových 3,92 % a nacházely se 0,24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% bodu pod jejich průměrnou hodnotou z roku 2024. Eurové pětileté swapy v červnu zůstaly v podstatě beze změny na 2,23 % a byly 0,35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0854" w:rsidRPr="00140854">
        <w:rPr>
          <w:rFonts w:ascii="Calibri" w:hAnsi="Calibri" w:cs="Calibri"/>
          <w:color w:val="000000" w:themeColor="text1"/>
          <w:sz w:val="22"/>
          <w:szCs w:val="22"/>
        </w:rPr>
        <w:t>% bodu pod jejich průměrnou loňskou úrovní 2,58 %.</w:t>
      </w:r>
    </w:p>
    <w:p w14:paraId="3DCD62B1" w14:textId="77777777" w:rsidR="00140854" w:rsidRPr="00140854" w:rsidRDefault="00140854" w:rsidP="008F7CC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E76E888" w14:textId="46E0A8DA" w:rsidR="00AA0D5A" w:rsidRPr="008F7CC9" w:rsidRDefault="00140854" w:rsidP="008F7CC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628F6">
        <w:rPr>
          <w:rFonts w:ascii="Calibri" w:hAnsi="Calibri" w:cs="Calibri"/>
          <w:b/>
          <w:bCs/>
          <w:color w:val="000000" w:themeColor="text1"/>
          <w:sz w:val="22"/>
          <w:szCs w:val="22"/>
        </w:rPr>
        <w:t>Mezi domácí faktory, které ovlivnily vývoj úrokových swapů především patřily</w:t>
      </w:r>
      <w:r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: i) 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 xml:space="preserve">jestřábější postoj </w:t>
      </w:r>
      <w:r w:rsidRPr="00140854">
        <w:rPr>
          <w:rFonts w:ascii="Calibri" w:hAnsi="Calibri" w:cs="Calibri"/>
          <w:color w:val="000000" w:themeColor="text1"/>
          <w:sz w:val="22"/>
          <w:szCs w:val="22"/>
        </w:rPr>
        <w:t>ČN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>B, která ponechala svoji dvoutýdenní repo sazbu na 3,5 %</w:t>
      </w:r>
      <w:r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; ii) 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 xml:space="preserve">k tomu přispěla i vyšší jádrová inflace v květnu, potažmo i v červnu; </w:t>
      </w:r>
      <w:r w:rsidRPr="00140854">
        <w:rPr>
          <w:rFonts w:ascii="Calibri" w:hAnsi="Calibri" w:cs="Calibri"/>
          <w:color w:val="000000" w:themeColor="text1"/>
          <w:sz w:val="22"/>
          <w:szCs w:val="22"/>
        </w:rPr>
        <w:t xml:space="preserve">iii) 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>stále solidní ekonomická aktivita v dubnu, která pokračovala i v květnu, i když s horším průmyslem; iv) dalšímu růstu úroků zamezil</w:t>
      </w:r>
      <w:r w:rsidR="00A54D53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 xml:space="preserve"> posílení české koruny díky více podpůrnému úrokovému diferenciálu. </w:t>
      </w:r>
    </w:p>
    <w:p w14:paraId="0345F2E3" w14:textId="77777777" w:rsidR="00DD1BFF" w:rsidRDefault="00DD1BFF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2D839DE5" w14:textId="2E204658" w:rsidR="00DD1BFF" w:rsidRDefault="00140854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628F6">
        <w:rPr>
          <w:rFonts w:ascii="Calibri" w:hAnsi="Calibri" w:cs="Calibri"/>
          <w:b/>
          <w:bCs/>
          <w:color w:val="000000" w:themeColor="text1"/>
          <w:sz w:val="22"/>
          <w:szCs w:val="22"/>
        </w:rPr>
        <w:t>Úroková hypoteční sazba na nové hypotéky v červnových dle ČBA Hypomonitoru spadla na 4,56 %</w:t>
      </w:r>
      <w:r w:rsidR="009628F6" w:rsidRPr="009628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 n</w:t>
      </w:r>
      <w:r w:rsidRPr="009628F6">
        <w:rPr>
          <w:rFonts w:ascii="Calibri" w:hAnsi="Calibri" w:cs="Calibri"/>
          <w:b/>
          <w:bCs/>
          <w:color w:val="000000" w:themeColor="text1"/>
          <w:sz w:val="22"/>
          <w:szCs w:val="22"/>
        </w:rPr>
        <w:t>acházela se tak přibližně 1,13</w:t>
      </w:r>
      <w:r w:rsidR="00C672B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9628F6">
        <w:rPr>
          <w:rFonts w:ascii="Calibri" w:hAnsi="Calibri" w:cs="Calibri"/>
          <w:b/>
          <w:bCs/>
          <w:color w:val="000000" w:themeColor="text1"/>
          <w:sz w:val="22"/>
          <w:szCs w:val="22"/>
        </w:rPr>
        <w:t>% bodu na průměrnými tržními swapovými sazbami.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 To je přibližně 0,05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>% bodu nad dlouhodobým průměrem od roku 2014, zatímco v předešlých třech měsících tento spread vůči dlouhodobému průměru činil 0,25</w:t>
      </w:r>
      <w:r w:rsidR="00C672B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% bodu. </w:t>
      </w:r>
      <w:r w:rsidR="00DD1BFF"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Pokud nedojde k výraznější korekci tržních úrokových sazeb směrem 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>dolů</w:t>
      </w:r>
      <w:r w:rsidR="00DD1BFF"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 (což by bylo možné ve scénáři 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>obnovení negativního rizika spojeného s celními válkami či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 xml:space="preserve"> v případě 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>výraznější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>ho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 zchlazení českého trhu práce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 xml:space="preserve"> či nemovitostí</w:t>
      </w:r>
      <w:r w:rsidRPr="009628F6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628F6"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D1BFF"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pak současný rozdíl mezi hypoteční a tržní sazbou </w:t>
      </w:r>
      <w:r w:rsidR="009628F6" w:rsidRPr="009628F6">
        <w:rPr>
          <w:rFonts w:ascii="Calibri" w:hAnsi="Calibri" w:cs="Calibri"/>
          <w:color w:val="000000" w:themeColor="text1"/>
          <w:sz w:val="22"/>
          <w:szCs w:val="22"/>
        </w:rPr>
        <w:t xml:space="preserve">bude asi limitovat další výraznější </w:t>
      </w:r>
      <w:r w:rsidR="009628F6">
        <w:rPr>
          <w:rFonts w:ascii="Calibri" w:hAnsi="Calibri" w:cs="Calibri"/>
          <w:color w:val="000000" w:themeColor="text1"/>
          <w:sz w:val="22"/>
          <w:szCs w:val="22"/>
        </w:rPr>
        <w:t>pokles</w:t>
      </w:r>
      <w:r w:rsidR="00DD1BFF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hypoteční sazby.</w:t>
      </w:r>
    </w:p>
    <w:p w14:paraId="72BA0646" w14:textId="77777777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AEA41E0" w14:textId="2695E244" w:rsidR="008F7CC9" w:rsidRDefault="008F7CC9" w:rsidP="008F7CC9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 xml:space="preserve">Tržní dlouhodobé sazby </w:t>
      </w:r>
      <w:r w:rsidR="0088366A">
        <w:rPr>
          <w:rFonts w:ascii="Calibri" w:hAnsi="Calibri" w:cs="Calibri"/>
          <w:b/>
          <w:color w:val="13576B"/>
          <w:sz w:val="23"/>
          <w:szCs w:val="23"/>
        </w:rPr>
        <w:t>v červnu výrazně korigovaly směrem nahoru kvůli přetrvávající vyšší jádrové inflaci</w:t>
      </w:r>
    </w:p>
    <w:p w14:paraId="522B8972" w14:textId="52AB7E34" w:rsidR="008F7CC9" w:rsidRDefault="0088366A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8366A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163F91D8" wp14:editId="791C52EC">
            <wp:extent cx="4157134" cy="2494426"/>
            <wp:effectExtent l="0" t="0" r="0" b="1270"/>
            <wp:docPr id="15392383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80" cy="24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7822" w14:textId="1BAD012F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A62A7">
        <w:rPr>
          <w:rFonts w:asciiTheme="minorHAnsi" w:hAnsiTheme="minorHAnsi" w:cstheme="minorHAnsi"/>
          <w:color w:val="2F5496" w:themeColor="accent5" w:themeShade="BF"/>
          <w:sz w:val="20"/>
        </w:rPr>
        <w:t>Pramen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: </w:t>
      </w:r>
      <w:r>
        <w:rPr>
          <w:rFonts w:asciiTheme="minorHAnsi" w:hAnsiTheme="minorHAnsi" w:cstheme="minorHAnsi"/>
          <w:color w:val="13576B"/>
          <w:sz w:val="20"/>
        </w:rPr>
        <w:t xml:space="preserve">Eikon, 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ČBA </w:t>
      </w:r>
      <w:r w:rsidRPr="00AA62A7">
        <w:rPr>
          <w:rStyle w:val="Znakapoznpodarou"/>
          <w:rFonts w:asciiTheme="minorHAnsi" w:hAnsiTheme="minorHAnsi" w:cstheme="minorHAnsi"/>
          <w:color w:val="2F5496" w:themeColor="accent5" w:themeShade="BF"/>
          <w:sz w:val="20"/>
        </w:rPr>
        <w:footnoteReference w:id="2"/>
      </w:r>
    </w:p>
    <w:p w14:paraId="4F9E18AA" w14:textId="77777777" w:rsidR="008F7CC9" w:rsidRPr="00452B0E" w:rsidRDefault="008F7CC9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72E83631" w14:textId="4613529C" w:rsidR="00B04FE2" w:rsidRPr="00A02F5D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5" w:name="_Hlk100672905"/>
      <w:bookmarkEnd w:id="4"/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v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 červnu překročila 4,2 mil. Kč a hypotéky ke koupi signalizují další růst v budoucnu </w:t>
      </w:r>
    </w:p>
    <w:p w14:paraId="584715CE" w14:textId="77777777" w:rsidR="002725DA" w:rsidRPr="00A02F5D" w:rsidRDefault="002725DA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1969CFEE" w14:textId="16FB4A5B" w:rsidR="002725DA" w:rsidRDefault="00266ACC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66ACC">
        <w:rPr>
          <w:rFonts w:ascii="Calibri" w:hAnsi="Calibri" w:cs="Calibri"/>
          <w:b/>
          <w:bCs/>
          <w:color w:val="000000"/>
          <w:sz w:val="22"/>
          <w:szCs w:val="22"/>
        </w:rPr>
        <w:t>Průměrná velikost skutečně nově poskytnuté hypotéky v červnu mírně stoupla na 4,21 mil. Kč, tedy téměř</w:t>
      </w:r>
      <w:r w:rsidR="00D83B8A">
        <w:rPr>
          <w:rFonts w:ascii="Calibri" w:hAnsi="Calibri" w:cs="Calibri"/>
          <w:b/>
          <w:bCs/>
          <w:color w:val="000000"/>
          <w:sz w:val="22"/>
          <w:szCs w:val="22"/>
        </w:rPr>
        <w:t xml:space="preserve"> o</w:t>
      </w:r>
      <w:r w:rsidRPr="00266ACC">
        <w:rPr>
          <w:rFonts w:ascii="Calibri" w:hAnsi="Calibri" w:cs="Calibri"/>
          <w:b/>
          <w:bCs/>
          <w:color w:val="000000"/>
          <w:sz w:val="22"/>
          <w:szCs w:val="22"/>
        </w:rPr>
        <w:t xml:space="preserve"> 2 % meziměsíčně. </w:t>
      </w:r>
      <w:r w:rsidRPr="00266ACC">
        <w:rPr>
          <w:rFonts w:ascii="Calibri" w:hAnsi="Calibri" w:cs="Calibri"/>
          <w:color w:val="000000"/>
          <w:sz w:val="22"/>
          <w:szCs w:val="22"/>
        </w:rPr>
        <w:t>Její velikost je tak o 13 % vyšší než 3,72 mil. Kč před rokem. Odhlédneme-li od mimořádné hodnoty téměř 4 mil. Kč v srpnu 2024 (vliv nové legislativy), tak průměrná hodnota od loňského dubna postupně roste a o 22 % převyšuje předcházející rekordní úroveň z listopadu 2021 ve výši 3,46 mil. Kč. Dosáhnout na vyšší hypotéku umožňuje postupný pokles hypotečních sazeb, či postupný růst reálných příjmů domácností (</w:t>
      </w:r>
      <w:r>
        <w:rPr>
          <w:rFonts w:ascii="Calibri" w:hAnsi="Calibri" w:cs="Calibri"/>
          <w:color w:val="000000"/>
          <w:sz w:val="22"/>
          <w:szCs w:val="22"/>
        </w:rPr>
        <w:t>3,9 % meziročně v </w:t>
      </w:r>
      <w:hyperlink r:id="rId15" w:history="1">
        <w:r w:rsidRPr="00E96618">
          <w:rPr>
            <w:rStyle w:val="Hypertextovodkaz"/>
            <w:rFonts w:ascii="Calibri" w:hAnsi="Calibri" w:cs="Calibri"/>
            <w:sz w:val="22"/>
            <w:szCs w:val="22"/>
          </w:rPr>
          <w:t>Q1-2025</w:t>
        </w:r>
      </w:hyperlink>
      <w:r w:rsidRPr="00266ACC">
        <w:rPr>
          <w:rFonts w:ascii="Calibri" w:hAnsi="Calibri" w:cs="Calibri"/>
          <w:color w:val="000000"/>
          <w:sz w:val="22"/>
          <w:szCs w:val="22"/>
        </w:rPr>
        <w:t xml:space="preserve">), společně s pokračujícími uvolněnými makroobezřetnostními limity ohledně příjmů ze strany ČNB (pouze 80% limit LTV či 90% v případě žadatelů mladších 36 let). </w:t>
      </w:r>
      <w:r w:rsidR="00665F6E">
        <w:rPr>
          <w:rFonts w:ascii="Calibri" w:hAnsi="Calibri" w:cs="Calibri"/>
          <w:color w:val="000000"/>
          <w:sz w:val="22"/>
          <w:szCs w:val="22"/>
        </w:rPr>
        <w:t>Rostoucí vý</w:t>
      </w:r>
      <w:r w:rsidR="002725DA" w:rsidRPr="00665F6E">
        <w:rPr>
          <w:rFonts w:ascii="Calibri" w:hAnsi="Calibri" w:cs="Calibri"/>
          <w:color w:val="000000" w:themeColor="text1"/>
          <w:sz w:val="22"/>
          <w:szCs w:val="22"/>
        </w:rPr>
        <w:t xml:space="preserve">še hypotéky pak souvisí </w:t>
      </w:r>
      <w:r w:rsidR="002725DA" w:rsidRPr="002725DA">
        <w:rPr>
          <w:rFonts w:ascii="Calibri" w:hAnsi="Calibri" w:cs="Calibri"/>
          <w:color w:val="000000"/>
          <w:sz w:val="22"/>
          <w:szCs w:val="22"/>
        </w:rPr>
        <w:t xml:space="preserve">také s vývojem cen </w:t>
      </w:r>
      <w:r w:rsidR="00665F6E">
        <w:rPr>
          <w:rFonts w:ascii="Calibri" w:hAnsi="Calibri" w:cs="Calibri"/>
          <w:color w:val="000000"/>
          <w:sz w:val="22"/>
          <w:szCs w:val="22"/>
        </w:rPr>
        <w:t>bytů</w:t>
      </w:r>
      <w:r w:rsidR="002725DA" w:rsidRPr="002725DA">
        <w:rPr>
          <w:rFonts w:ascii="Calibri" w:hAnsi="Calibri" w:cs="Calibri"/>
          <w:color w:val="000000"/>
          <w:sz w:val="22"/>
          <w:szCs w:val="22"/>
        </w:rPr>
        <w:t>, které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si dle údajů společnosti Flat Zone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v prvním čtvrtletí </w:t>
      </w:r>
      <w:r w:rsidR="00E96618">
        <w:rPr>
          <w:rFonts w:ascii="Calibri" w:hAnsi="Calibri" w:cs="Calibri"/>
          <w:color w:val="000000"/>
          <w:sz w:val="22"/>
          <w:szCs w:val="22"/>
        </w:rPr>
        <w:t>roku 2025 udržují silný růst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6618">
        <w:rPr>
          <w:rFonts w:ascii="Calibri" w:hAnsi="Calibri" w:cs="Calibri"/>
          <w:color w:val="000000"/>
          <w:sz w:val="22"/>
          <w:szCs w:val="22"/>
        </w:rPr>
        <w:t>okolo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17 </w:t>
      </w:r>
      <w:r w:rsidR="00E96618">
        <w:rPr>
          <w:rFonts w:ascii="Calibri" w:hAnsi="Calibri" w:cs="Calibri"/>
          <w:color w:val="000000"/>
          <w:sz w:val="22"/>
          <w:szCs w:val="22"/>
        </w:rPr>
        <w:t>% meziročně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a 7 % mezičtvrtletně </w:t>
      </w:r>
      <w:r w:rsidR="002725DA" w:rsidRPr="002725DA">
        <w:rPr>
          <w:rFonts w:ascii="Calibri" w:hAnsi="Calibri" w:cs="Calibri"/>
          <w:color w:val="000000"/>
          <w:sz w:val="22"/>
          <w:szCs w:val="22"/>
        </w:rPr>
        <w:t xml:space="preserve">(viz ČBA Monitor - </w:t>
      </w:r>
      <w:hyperlink r:id="rId16" w:history="1">
        <w:r w:rsidR="002725DA" w:rsidRPr="00436F5C">
          <w:rPr>
            <w:rStyle w:val="Hypertextovodkaz"/>
            <w:rFonts w:ascii="Calibri" w:hAnsi="Calibri" w:cs="Calibri"/>
            <w:sz w:val="22"/>
            <w:szCs w:val="22"/>
          </w:rPr>
          <w:t>ČBA Monitor</w:t>
        </w:r>
      </w:hyperlink>
      <w:r w:rsidR="00E96618">
        <w:t xml:space="preserve"> </w:t>
      </w:r>
      <w:r w:rsidR="00E96618" w:rsidRPr="00E96618">
        <w:rPr>
          <w:rFonts w:ascii="Calibri" w:hAnsi="Calibri" w:cs="Calibri"/>
          <w:color w:val="000000"/>
          <w:sz w:val="22"/>
          <w:szCs w:val="22"/>
        </w:rPr>
        <w:t xml:space="preserve">či specificky </w:t>
      </w:r>
      <w:hyperlink r:id="rId17" w:history="1">
        <w:r w:rsidR="00E96618" w:rsidRPr="004951FE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  <w:r w:rsidR="002725DA" w:rsidRPr="002725DA">
        <w:rPr>
          <w:rFonts w:ascii="Calibri" w:hAnsi="Calibri" w:cs="Calibri"/>
          <w:color w:val="000000"/>
          <w:sz w:val="22"/>
          <w:szCs w:val="22"/>
        </w:rPr>
        <w:t>).</w:t>
      </w:r>
      <w:r w:rsidR="00665F6E">
        <w:rPr>
          <w:rFonts w:ascii="Calibri" w:hAnsi="Calibri" w:cs="Calibri"/>
          <w:color w:val="000000"/>
          <w:sz w:val="22"/>
          <w:szCs w:val="22"/>
        </w:rPr>
        <w:t xml:space="preserve"> Data ČSÚ poukazují na nárůst cen bytů okolo 15 % meziročně a celkový index cen nemovitostí okolo 10 % meziročně v prvním čtvrtletí 2015 (viz komentář </w:t>
      </w:r>
      <w:hyperlink r:id="rId18" w:history="1">
        <w:r w:rsidR="00665F6E" w:rsidRPr="00665F6E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  <w:r w:rsidR="00665F6E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14:paraId="6A34E8BE" w14:textId="77777777" w:rsidR="002725DA" w:rsidRPr="002725DA" w:rsidRDefault="002725D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65BAB64C" w14:textId="77777777" w:rsidR="0050674F" w:rsidRDefault="0050674F" w:rsidP="00436F5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1D487695" w14:textId="2AD919AC" w:rsidR="00436F5C" w:rsidRDefault="00436F5C" w:rsidP="00436F5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C42E87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3</w:t>
      </w:r>
      <w:r w:rsidRPr="00C42E87">
        <w:rPr>
          <w:rFonts w:ascii="Calibri" w:hAnsi="Calibri" w:cs="Calibri"/>
          <w:b/>
          <w:color w:val="13576B"/>
          <w:sz w:val="23"/>
          <w:szCs w:val="23"/>
        </w:rPr>
        <w:t>: Průměrná výše skutečně nově poskytnuté hypotéky podle účelu</w:t>
      </w:r>
    </w:p>
    <w:p w14:paraId="7FF9E8C0" w14:textId="45D83627" w:rsidR="00436F5C" w:rsidRPr="006C6628" w:rsidRDefault="00FC6281" w:rsidP="00436F5C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P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>růměrn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výše hypotéky 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pokračuje v růstu a to na 4,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21 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mili</w:t>
      </w:r>
      <w:r w:rsidR="00AB5363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nu korun, přičemž 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>průměrn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nová hypotéka na koupi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se v červnu přiblížila 4,3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mili</w:t>
      </w:r>
      <w:r w:rsidR="00AB5363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nu korun.</w:t>
      </w:r>
    </w:p>
    <w:p w14:paraId="3162F78D" w14:textId="4577DC64" w:rsidR="00436F5C" w:rsidRPr="002138C0" w:rsidRDefault="007222B0" w:rsidP="00436F5C">
      <w:pPr>
        <w:rPr>
          <w:rFonts w:ascii="Calibri" w:hAnsi="Calibri" w:cs="Calibri"/>
          <w:sz w:val="22"/>
          <w:szCs w:val="22"/>
          <w:highlight w:val="yellow"/>
        </w:rPr>
      </w:pPr>
      <w:r w:rsidRPr="007222B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4F60FE" wp14:editId="529E3AF4">
            <wp:extent cx="6053455" cy="3615055"/>
            <wp:effectExtent l="0" t="0" r="4445" b="4445"/>
            <wp:docPr id="11703027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A1FB" w14:textId="77777777" w:rsidR="00436F5C" w:rsidRPr="00616069" w:rsidRDefault="00436F5C" w:rsidP="00436F5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>ČBA Hypomonitor</w:t>
      </w:r>
    </w:p>
    <w:p w14:paraId="603646D6" w14:textId="77777777" w:rsidR="00436F5C" w:rsidRPr="0033440C" w:rsidRDefault="00436F5C" w:rsidP="0033440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4E462F23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F044CF" w14:textId="0E49D89B" w:rsidR="005343BA" w:rsidRDefault="005343BA" w:rsidP="005343BA">
      <w:pPr>
        <w:rPr>
          <w:rFonts w:ascii="Calibri" w:hAnsi="Calibri" w:cs="Calibri"/>
          <w:b/>
          <w:color w:val="13576B"/>
          <w:sz w:val="24"/>
          <w:szCs w:val="24"/>
        </w:rPr>
      </w:pPr>
      <w:r w:rsidRPr="00AF2306">
        <w:rPr>
          <w:rFonts w:ascii="Calibri" w:hAnsi="Calibri" w:cs="Calibri"/>
          <w:b/>
          <w:color w:val="13576B"/>
          <w:sz w:val="24"/>
          <w:szCs w:val="24"/>
        </w:rPr>
        <w:t>Dopad na průměrnou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měsíční hypoteční</w:t>
      </w:r>
      <w:r w:rsidRPr="00AF2306">
        <w:rPr>
          <w:rFonts w:ascii="Calibri" w:hAnsi="Calibri" w:cs="Calibri"/>
          <w:b/>
          <w:color w:val="13576B"/>
          <w:sz w:val="24"/>
          <w:szCs w:val="24"/>
        </w:rPr>
        <w:t xml:space="preserve"> splátku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okolo 22,8 tisíc Kč</w:t>
      </w:r>
    </w:p>
    <w:p w14:paraId="50D3F3A4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06C4BB8" w14:textId="2CC540D3" w:rsidR="00266ACC" w:rsidRDefault="00266ACC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66ACC">
        <w:rPr>
          <w:rFonts w:ascii="Calibri" w:hAnsi="Calibri" w:cs="Calibri"/>
          <w:b/>
          <w:bCs/>
          <w:color w:val="000000" w:themeColor="text1"/>
          <w:sz w:val="22"/>
          <w:szCs w:val="22"/>
        </w:rPr>
        <w:t>Kombinace poklesu úrokové sazby a vyšší průměrné výše hypotéky v červnu 2025 ve srovnání s průměrnými hodnotami z roku 2024 zvýšily průměrnou měsíční splátku hypotéky o 1,8 tis. Kč.</w:t>
      </w:r>
      <w:r w:rsidRPr="00266ACC">
        <w:rPr>
          <w:rFonts w:ascii="Calibri" w:hAnsi="Calibri" w:cs="Calibri"/>
          <w:color w:val="000000" w:themeColor="text1"/>
          <w:sz w:val="22"/>
          <w:szCs w:val="22"/>
        </w:rPr>
        <w:t xml:space="preserve"> Scénáře vývoje měsíční splátky pro různé délky splatnosti hypotéky znázorňuje tabulka č. 2. Ta napovídá, že pokles hypotečních sazeb přes 0,5</w:t>
      </w:r>
      <w:r w:rsidR="0050674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66ACC">
        <w:rPr>
          <w:rFonts w:ascii="Calibri" w:hAnsi="Calibri" w:cs="Calibri"/>
          <w:color w:val="000000" w:themeColor="text1"/>
          <w:sz w:val="22"/>
          <w:szCs w:val="22"/>
        </w:rPr>
        <w:t xml:space="preserve">% bodu vůči jejich průměrné výši 5,07 % v roce 2024 přinesl, pro průměrnou velikost hypotéky při jejím obvyklém přibližně 26,6letém splácení, snížení měsíční splátky o necelých 1300 Kč na přibližně 22,8 tis. Kč, tedy o 1,3 % čistého příjmu žadatele v porovnání s průměrnou splátkou v minulém roce. Ve srovnání s průměrnou hypoteční sazbou 5,81 % v roce 2023 dosáhla úspora kvůli úrokové sazbě více než 3100 Kč pro hypotéku v její aktuální průměrné hodnotě. </w:t>
      </w:r>
    </w:p>
    <w:p w14:paraId="061BEC0F" w14:textId="77777777" w:rsidR="00266ACC" w:rsidRDefault="00266ACC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786EB2E" w14:textId="33BB6075" w:rsidR="00266ACC" w:rsidRDefault="00266ACC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66ACC">
        <w:rPr>
          <w:rFonts w:ascii="Calibri" w:hAnsi="Calibri" w:cs="Calibri"/>
          <w:color w:val="000000" w:themeColor="text1"/>
          <w:sz w:val="22"/>
          <w:szCs w:val="22"/>
        </w:rPr>
        <w:t xml:space="preserve">Ovšem současná průměrná výše hypotéky je o 15 % vyšší než její průměrná výše v roce 2024, což přispívá k navýšení měsíční splátky o 2,9 tis. Kč ve srovnání s průměrnou měsíční splátkou v minulém roce navázanou na loňskou průměrnou výši hypotéky ovšem při současné úrokové sazbě.  Splátka hypotéky ve výši jednoho milionu korun s 30letou splatností se se současnými úrokovými sazbami pohybuje okolo 5,1 tisíce Kč. </w:t>
      </w:r>
    </w:p>
    <w:p w14:paraId="587C8111" w14:textId="77777777" w:rsidR="00266ACC" w:rsidRDefault="00266ACC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A288EED" w14:textId="0DF07BB2" w:rsidR="00EF43EA" w:rsidRPr="00266ACC" w:rsidRDefault="00266ACC" w:rsidP="00436F5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66ACC">
        <w:rPr>
          <w:rFonts w:ascii="Calibri" w:hAnsi="Calibri" w:cs="Calibri"/>
          <w:color w:val="000000" w:themeColor="text1"/>
          <w:sz w:val="22"/>
          <w:szCs w:val="22"/>
        </w:rPr>
        <w:lastRenderedPageBreak/>
        <w:t>Naopak, ve srovnání s průměrnou 2,8% úrokovou hypoteční sazbou pro nové hypotéky v roce 2019, tak současná hypoteční sazba pro refinancování ve výši 4,51 % při zkrácení splatnosti úvěru zvedá měsíční splátky u průměrné hypotéky téměř</w:t>
      </w:r>
      <w:r w:rsidR="0050674F">
        <w:rPr>
          <w:rFonts w:ascii="Calibri" w:hAnsi="Calibri" w:cs="Calibri"/>
          <w:color w:val="000000" w:themeColor="text1"/>
          <w:sz w:val="22"/>
          <w:szCs w:val="22"/>
        </w:rPr>
        <w:t xml:space="preserve"> o</w:t>
      </w:r>
      <w:r w:rsidRPr="00266ACC">
        <w:rPr>
          <w:rFonts w:ascii="Calibri" w:hAnsi="Calibri" w:cs="Calibri"/>
          <w:color w:val="000000" w:themeColor="text1"/>
          <w:sz w:val="22"/>
          <w:szCs w:val="22"/>
        </w:rPr>
        <w:t xml:space="preserve"> 1700 Kč, tedy asi o 3,5 % současné hrubé průměrné mzdy.</w:t>
      </w:r>
    </w:p>
    <w:p w14:paraId="29A90416" w14:textId="77777777" w:rsidR="00266ACC" w:rsidRDefault="00266ACC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bookmarkStart w:id="6" w:name="_Hlk190458144"/>
      <w:bookmarkEnd w:id="5"/>
    </w:p>
    <w:p w14:paraId="1A267256" w14:textId="12E300F9" w:rsidR="009D3067" w:rsidRPr="00515ECA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Tabulka č. 2: 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Ilustrace</w:t>
      </w:r>
      <w:r w:rsidR="00EB1892">
        <w:rPr>
          <w:rFonts w:ascii="Calibri" w:hAnsi="Calibri" w:cs="Calibri"/>
          <w:b/>
          <w:color w:val="13576B"/>
          <w:sz w:val="23"/>
          <w:szCs w:val="23"/>
        </w:rPr>
        <w:t xml:space="preserve"> m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>ěsíční splátk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y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 průměrné hypotéky v závislosti na délce splatnosti a úrokové sazbě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8"/>
        <w:gridCol w:w="955"/>
        <w:gridCol w:w="955"/>
        <w:gridCol w:w="955"/>
        <w:gridCol w:w="955"/>
        <w:gridCol w:w="955"/>
        <w:gridCol w:w="955"/>
      </w:tblGrid>
      <w:tr w:rsidR="00D5517C" w:rsidRPr="002138C0" w14:paraId="2E0F9EE8" w14:textId="77777777" w:rsidTr="00EB1892">
        <w:trPr>
          <w:trHeight w:val="555"/>
        </w:trPr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52A9F486" w:rsidR="00490505" w:rsidRPr="00F23602" w:rsidRDefault="006851CB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4 210 394</w:t>
            </w:r>
          </w:p>
        </w:tc>
      </w:tr>
      <w:tr w:rsidR="00F23602" w:rsidRPr="002138C0" w14:paraId="3A9D14C4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0881928B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33440C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</w:t>
            </w:r>
            <w:r w:rsidR="00573D3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6228C3" w:rsidRPr="002138C0" w14:paraId="0A342D01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6228C3" w:rsidRPr="00F23602" w:rsidRDefault="006228C3" w:rsidP="006228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E9A3" w14:textId="21CDF506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572C5329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5B056CE6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29 080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0EDCDB85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6CF4228D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2DFE18AC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33 300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50B572D7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35 530</w:t>
            </w:r>
          </w:p>
        </w:tc>
      </w:tr>
      <w:tr w:rsidR="006228C3" w:rsidRPr="002138C0" w14:paraId="4A78BEF2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E37" w14:textId="0DCAB82D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1827CACC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21 300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7270830F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5A59DEF3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25 510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3902A15F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26 780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4A6AE927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27 790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6CA97D55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30 160</w:t>
            </w:r>
          </w:p>
        </w:tc>
      </w:tr>
      <w:tr w:rsidR="006228C3" w:rsidRPr="002138C0" w14:paraId="6CF32913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D49" w14:textId="78F991B7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61E716E0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17 850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4708A089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19 970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6CD56342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22 220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302C647F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23 560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6593ACB9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24 610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1D6BC46B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27 130</w:t>
            </w:r>
          </w:p>
        </w:tc>
      </w:tr>
      <w:tr w:rsidR="006228C3" w:rsidRPr="002138C0" w14:paraId="2841560E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65CE" w14:textId="77777777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F3EA"/>
            <w:noWrap/>
            <w:vAlign w:val="center"/>
          </w:tcPr>
          <w:p w14:paraId="088256B9" w14:textId="1D5BDCA9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B45A43E" w14:textId="24592E0A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17 020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9BA985F" w14:textId="432A6AC4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567430AE" w14:textId="62DD0A79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427C5795" w14:textId="57E4C704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22 810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3738B6D6" w14:textId="542A2BCB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23 880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15CB0311" w14:textId="30F72B8C" w:rsidR="006228C3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26 440</w:t>
            </w:r>
          </w:p>
        </w:tc>
      </w:tr>
      <w:tr w:rsidR="006228C3" w:rsidRPr="002138C0" w14:paraId="46B86678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6228C3" w:rsidRPr="00F23602" w:rsidRDefault="006228C3" w:rsidP="006228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25A" w14:textId="7A89106D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22F95C96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15 560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6775960D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181D3981" w:rsidR="006228C3" w:rsidRPr="00F23602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3FB4471F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214201D7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3FA6799C" w:rsidR="006228C3" w:rsidRPr="002138C0" w:rsidRDefault="006228C3" w:rsidP="006228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25 240</w:t>
            </w:r>
          </w:p>
        </w:tc>
      </w:tr>
      <w:tr w:rsidR="00D5517C" w:rsidRPr="002138C0" w14:paraId="58395EC8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5396F87E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2F5496" w:themeColor="accent5" w:themeShade="BF"/>
                <w:sz w:val="20"/>
              </w:rPr>
              <w:t>Pramen</w:t>
            </w: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: ČBA</w:t>
            </w:r>
            <w:r w:rsidR="00952AEF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 </w:t>
            </w:r>
            <w:r w:rsidR="00952AEF" w:rsidRPr="00AA62A7">
              <w:rPr>
                <w:rStyle w:val="Znakapoznpodarou"/>
                <w:rFonts w:asciiTheme="minorHAnsi" w:hAnsiTheme="minorHAnsi" w:cstheme="minorHAnsi"/>
                <w:color w:val="2F5496" w:themeColor="accent5" w:themeShade="BF"/>
                <w:sz w:val="20"/>
              </w:rPr>
              <w:footnoteReference w:id="3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AA62A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EB1892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02728D43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Pozn.: barevný sloupec odpovídá úrokové sazbě posledního ČBA Hypomonitoru, ostatní sazby jsou ilustrační</w:t>
            </w:r>
            <w:r w:rsidR="00EB1892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; barevný řádek odpovídá průměrné splatnosti nových hypoték podle dat ČNB; částky jsou zaokrouhleny na desítky korun. </w:t>
            </w:r>
          </w:p>
        </w:tc>
      </w:tr>
    </w:tbl>
    <w:p w14:paraId="008912E8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37433820" w14:textId="59EE1DDE" w:rsidR="00573D34" w:rsidRDefault="00EB1892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4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Ilustrativní srovnání výše měsíční splátky průměrné hypotéky s obdobím před rokem v závislosti na výši úroku, velikosti hypotéky a její splatnosti v</w:t>
      </w:r>
      <w:r w:rsidR="00573D34">
        <w:rPr>
          <w:rFonts w:ascii="Calibri" w:hAnsi="Calibri" w:cs="Calibri"/>
          <w:b/>
          <w:color w:val="13576B"/>
          <w:sz w:val="23"/>
          <w:szCs w:val="23"/>
        </w:rPr>
        <w:t> 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letech</w:t>
      </w:r>
    </w:p>
    <w:p w14:paraId="53510807" w14:textId="5E08C686" w:rsidR="006C6628" w:rsidRPr="00573D34" w:rsidRDefault="006C6628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>V meziročním srovnání přinesl pokles hypoteční sazby úsporu průměrné měsíční splátky o 1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</w:t>
      </w:r>
      <w:r w:rsidR="00EF7662">
        <w:rPr>
          <w:rFonts w:ascii="Calibri" w:hAnsi="Calibri" w:cs="Calibri"/>
          <w:bCs/>
          <w:i/>
          <w:iCs/>
          <w:color w:val="13576B"/>
          <w:sz w:val="23"/>
          <w:szCs w:val="23"/>
        </w:rPr>
        <w:t>210</w:t>
      </w: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Kč, ovšem růst průměrné výše hypotéky způsobil její navýšení o </w:t>
      </w:r>
      <w:r w:rsidR="00A42D6B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2 </w:t>
      </w:r>
      <w:r w:rsidR="00EF7662">
        <w:rPr>
          <w:rFonts w:ascii="Calibri" w:hAnsi="Calibri" w:cs="Calibri"/>
          <w:bCs/>
          <w:i/>
          <w:iCs/>
          <w:color w:val="13576B"/>
          <w:sz w:val="23"/>
          <w:szCs w:val="23"/>
        </w:rPr>
        <w:t>670</w:t>
      </w: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Kč.</w:t>
      </w:r>
    </w:p>
    <w:p w14:paraId="7D566DD6" w14:textId="7A2A1F43" w:rsidR="00B44209" w:rsidRDefault="00EF7662" w:rsidP="00AA62A7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 w:rsidRPr="00EF7662">
        <w:rPr>
          <w:rFonts w:ascii="Calibri" w:hAnsi="Calibri" w:cs="Calibri"/>
          <w:b/>
          <w:noProof/>
          <w:color w:val="13576B"/>
          <w:sz w:val="24"/>
          <w:szCs w:val="24"/>
          <w:highlight w:val="yellow"/>
        </w:rPr>
        <w:lastRenderedPageBreak/>
        <w:drawing>
          <wp:inline distT="0" distB="0" distL="0" distR="0" wp14:anchorId="1C51B339" wp14:editId="2790D438">
            <wp:extent cx="5528945" cy="3835400"/>
            <wp:effectExtent l="0" t="0" r="0" b="0"/>
            <wp:docPr id="4798755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E1A7" w14:textId="4B9EF024" w:rsidR="009D5F35" w:rsidRDefault="009D5F3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 w:rsidR="00AA62A7">
        <w:rPr>
          <w:rFonts w:ascii="Calibri Light" w:hAnsi="Calibri Light" w:cs="Calibri Light"/>
          <w:color w:val="13576B"/>
          <w:sz w:val="20"/>
        </w:rPr>
        <w:t xml:space="preserve">. Pozn.: </w:t>
      </w:r>
      <w:r w:rsidR="00AA62A7" w:rsidRPr="00AA62A7">
        <w:rPr>
          <w:rFonts w:ascii="Calibri Light" w:hAnsi="Calibri Light" w:cs="Calibri Light"/>
          <w:color w:val="13576B"/>
          <w:sz w:val="20"/>
        </w:rPr>
        <w:t>částky jsou zaokrouhleny na desítky korun.</w:t>
      </w:r>
    </w:p>
    <w:p w14:paraId="605CA941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7ECA69B5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A72B105" w14:textId="48AC1F61" w:rsidR="002E4EFD" w:rsidRPr="002A5D11" w:rsidRDefault="008723A8" w:rsidP="002E4EFD">
      <w:pPr>
        <w:rPr>
          <w:rFonts w:ascii="Calibri" w:hAnsi="Calibri" w:cs="Calibri"/>
          <w:b/>
          <w:color w:val="13576B"/>
          <w:sz w:val="24"/>
          <w:szCs w:val="24"/>
        </w:rPr>
      </w:pPr>
      <w:r>
        <w:rPr>
          <w:rFonts w:ascii="Calibri" w:hAnsi="Calibri" w:cs="Calibri"/>
          <w:b/>
          <w:color w:val="13576B"/>
          <w:sz w:val="24"/>
          <w:szCs w:val="24"/>
        </w:rPr>
        <w:t>Statistická příloha</w:t>
      </w:r>
    </w:p>
    <w:p w14:paraId="384BA2E5" w14:textId="41A39AEF" w:rsidR="0033440C" w:rsidRDefault="00266AC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>
        <w:rPr>
          <w:noProof/>
        </w:rPr>
        <w:lastRenderedPageBreak/>
        <w:drawing>
          <wp:inline distT="0" distB="0" distL="0" distR="0" wp14:anchorId="3C7B9133" wp14:editId="477EC910">
            <wp:extent cx="6474666" cy="3970867"/>
            <wp:effectExtent l="0" t="0" r="2540" b="0"/>
            <wp:docPr id="575922208" name="Picture 1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22208" name="Picture 1" descr="A graph of different colored lines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90405" cy="398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E5F5" w14:textId="68A6E96C" w:rsidR="0033440C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>
        <w:rPr>
          <w:rFonts w:ascii="Calibri Light" w:hAnsi="Calibri Light" w:cs="Calibri Light"/>
          <w:color w:val="13576B"/>
          <w:sz w:val="20"/>
        </w:rPr>
        <w:t xml:space="preserve"> Hypomonitor</w:t>
      </w:r>
    </w:p>
    <w:p w14:paraId="03530238" w14:textId="416720AC" w:rsidR="008723A8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>
        <w:rPr>
          <w:rFonts w:ascii="Calibri Light" w:hAnsi="Calibri Light" w:cs="Calibri Light"/>
          <w:color w:val="13576B"/>
          <w:sz w:val="20"/>
        </w:rPr>
        <w:t xml:space="preserve">Poznámka: </w:t>
      </w:r>
      <w:r w:rsidR="006E2E7E">
        <w:rPr>
          <w:rFonts w:ascii="Calibri Light" w:hAnsi="Calibri Light" w:cs="Calibri Light"/>
          <w:color w:val="13576B"/>
          <w:sz w:val="20"/>
        </w:rPr>
        <w:t xml:space="preserve">Jedná se o skutečně nové hypotéky (tedy refinancování a navýšeni). </w:t>
      </w:r>
      <w:r>
        <w:rPr>
          <w:rFonts w:ascii="Calibri Light" w:hAnsi="Calibri Light" w:cs="Calibri Light"/>
          <w:color w:val="13576B"/>
          <w:sz w:val="20"/>
        </w:rPr>
        <w:t xml:space="preserve">Podkladová data jsou </w:t>
      </w:r>
      <w:r w:rsidRPr="008723A8">
        <w:rPr>
          <w:rFonts w:ascii="Calibri Light" w:hAnsi="Calibri Light" w:cs="Calibri Light"/>
          <w:color w:val="13576B"/>
          <w:sz w:val="20"/>
        </w:rPr>
        <w:t>k dispozici v souboru xls přiloženém na webových stránkách ČBA Hypomonitoru</w:t>
      </w:r>
    </w:p>
    <w:p w14:paraId="50F3BD64" w14:textId="77777777" w:rsidR="0033440C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303965F" w14:textId="77777777" w:rsidR="0033440C" w:rsidRPr="00616069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bookmarkEnd w:id="6"/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32E98697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</w:t>
      </w:r>
      <w:r w:rsidR="00A30764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-8 % (dle různých statistik),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506699D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70B01570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0514B5D2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590DDD4C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AA631AE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27A57DD1" w14:textId="77777777" w:rsidR="001E4370" w:rsidRPr="002138C0" w:rsidRDefault="001E4370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3C3B4C02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,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počet 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a průměrná výše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poskytnutých hypoték v letech 202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>0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6B9E4D05" w:rsidR="002F4CBD" w:rsidRPr="002F4CBD" w:rsidRDefault="003D57E2" w:rsidP="003E393C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2FD9A30" wp14:editId="5FC9F4F0">
            <wp:extent cx="6480810" cy="1790065"/>
            <wp:effectExtent l="0" t="0" r="0" b="635"/>
            <wp:docPr id="204938162" name="Picture 1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8162" name="Picture 1" descr="A graph of different colored bars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 ČBA Hypomonitor</w:t>
      </w:r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23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24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Metodika ČBA Hypomonitoru</w:t>
                            </w:r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Hypomonitor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1B58C64B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      </w:r>
                            <w:r w:rsidR="003E1AA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Partners Banka,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Metodika ČBA Hypomonitoru</w:t>
                      </w:r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Hypomonitor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1B58C64B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</w:r>
                      <w:r w:rsidR="003E1AAB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Partners Banka,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0C6834">
      <w:headerReference w:type="default" r:id="rId25"/>
      <w:footerReference w:type="default" r:id="rId26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8DA4" w14:textId="77777777" w:rsidR="00985E07" w:rsidRPr="00616069" w:rsidRDefault="00985E07" w:rsidP="00F573F1">
      <w:r w:rsidRPr="00616069">
        <w:separator/>
      </w:r>
    </w:p>
  </w:endnote>
  <w:endnote w:type="continuationSeparator" w:id="0">
    <w:p w14:paraId="2B2D2EA4" w14:textId="77777777" w:rsidR="00985E07" w:rsidRPr="00616069" w:rsidRDefault="00985E07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FB5B" w14:textId="77777777" w:rsidR="00985E07" w:rsidRPr="00616069" w:rsidRDefault="00985E07" w:rsidP="00F573F1">
      <w:r w:rsidRPr="00616069">
        <w:separator/>
      </w:r>
    </w:p>
  </w:footnote>
  <w:footnote w:type="continuationSeparator" w:id="0">
    <w:p w14:paraId="58DEA570" w14:textId="77777777" w:rsidR="00985E07" w:rsidRPr="00616069" w:rsidRDefault="00985E07" w:rsidP="00F573F1">
      <w:r w:rsidRPr="00616069">
        <w:continuationSeparator/>
      </w:r>
    </w:p>
  </w:footnote>
  <w:footnote w:id="1">
    <w:p w14:paraId="7617BCAF" w14:textId="77777777" w:rsidR="000F30E9" w:rsidRPr="00616069" w:rsidRDefault="000F30E9" w:rsidP="000F30E9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Jedná se především o dlouholeté úrokové swapy (interest rate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00841603" w14:textId="77777777" w:rsidR="008F7CC9" w:rsidRPr="00952AEF" w:rsidRDefault="008F7CC9" w:rsidP="008F7CC9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Tabulka je k dispozici v souboru xls přiloženém na webových stránkách ČBA Hypomonitoru</w:t>
      </w:r>
    </w:p>
  </w:footnote>
  <w:footnote w:id="3">
    <w:p w14:paraId="3F408451" w14:textId="77777777" w:rsidR="00952AEF" w:rsidRPr="00952AEF" w:rsidRDefault="00952AEF" w:rsidP="00952AEF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Tabulka je k dispozici v souboru xls přiloženém na webových stránkách 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5B15339A" w:rsidR="0065124E" w:rsidRPr="00616069" w:rsidRDefault="00744C66">
    <w:pPr>
      <w:pStyle w:val="Zhlav"/>
    </w:pPr>
    <w:r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57698531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21247312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9628F6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9628F6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7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DE0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21247312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9628F6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9628F6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7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A48A1"/>
    <w:multiLevelType w:val="hybridMultilevel"/>
    <w:tmpl w:val="6E121294"/>
    <w:lvl w:ilvl="0" w:tplc="BEC07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3"/>
  </w:num>
  <w:num w:numId="2" w16cid:durableId="1910113698">
    <w:abstractNumId w:val="9"/>
  </w:num>
  <w:num w:numId="3" w16cid:durableId="405613309">
    <w:abstractNumId w:val="26"/>
  </w:num>
  <w:num w:numId="4" w16cid:durableId="240213499">
    <w:abstractNumId w:val="15"/>
  </w:num>
  <w:num w:numId="5" w16cid:durableId="740492638">
    <w:abstractNumId w:val="5"/>
  </w:num>
  <w:num w:numId="6" w16cid:durableId="211576891">
    <w:abstractNumId w:val="24"/>
  </w:num>
  <w:num w:numId="7" w16cid:durableId="1918248069">
    <w:abstractNumId w:val="7"/>
  </w:num>
  <w:num w:numId="8" w16cid:durableId="1159419045">
    <w:abstractNumId w:val="29"/>
  </w:num>
  <w:num w:numId="9" w16cid:durableId="1798374138">
    <w:abstractNumId w:val="6"/>
  </w:num>
  <w:num w:numId="10" w16cid:durableId="1530677457">
    <w:abstractNumId w:val="25"/>
  </w:num>
  <w:num w:numId="11" w16cid:durableId="984315201">
    <w:abstractNumId w:val="2"/>
  </w:num>
  <w:num w:numId="12" w16cid:durableId="776219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6"/>
  </w:num>
  <w:num w:numId="15" w16cid:durableId="1323195451">
    <w:abstractNumId w:val="13"/>
  </w:num>
  <w:num w:numId="16" w16cid:durableId="467165265">
    <w:abstractNumId w:val="10"/>
  </w:num>
  <w:num w:numId="17" w16cid:durableId="676033370">
    <w:abstractNumId w:val="12"/>
  </w:num>
  <w:num w:numId="18" w16cid:durableId="1742554342">
    <w:abstractNumId w:val="18"/>
  </w:num>
  <w:num w:numId="19" w16cid:durableId="613287013">
    <w:abstractNumId w:val="21"/>
  </w:num>
  <w:num w:numId="20" w16cid:durableId="8067070">
    <w:abstractNumId w:val="11"/>
  </w:num>
  <w:num w:numId="21" w16cid:durableId="825434180">
    <w:abstractNumId w:val="0"/>
  </w:num>
  <w:num w:numId="22" w16cid:durableId="1082681076">
    <w:abstractNumId w:val="23"/>
  </w:num>
  <w:num w:numId="23" w16cid:durableId="1901165520">
    <w:abstractNumId w:val="28"/>
  </w:num>
  <w:num w:numId="24" w16cid:durableId="1991010767">
    <w:abstractNumId w:val="22"/>
  </w:num>
  <w:num w:numId="25" w16cid:durableId="1542282676">
    <w:abstractNumId w:val="17"/>
  </w:num>
  <w:num w:numId="26" w16cid:durableId="986973659">
    <w:abstractNumId w:val="14"/>
  </w:num>
  <w:num w:numId="27" w16cid:durableId="815336034">
    <w:abstractNumId w:val="27"/>
  </w:num>
  <w:num w:numId="28" w16cid:durableId="1895651473">
    <w:abstractNumId w:val="8"/>
  </w:num>
  <w:num w:numId="29" w16cid:durableId="1858687908">
    <w:abstractNumId w:val="4"/>
  </w:num>
  <w:num w:numId="30" w16cid:durableId="1758164458">
    <w:abstractNumId w:val="20"/>
  </w:num>
  <w:num w:numId="31" w16cid:durableId="142554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5419"/>
    <w:rsid w:val="000054D2"/>
    <w:rsid w:val="00005B3F"/>
    <w:rsid w:val="00006511"/>
    <w:rsid w:val="00006C79"/>
    <w:rsid w:val="000070E2"/>
    <w:rsid w:val="00010564"/>
    <w:rsid w:val="000118C2"/>
    <w:rsid w:val="00011AF5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21E0"/>
    <w:rsid w:val="00023E9F"/>
    <w:rsid w:val="0002473E"/>
    <w:rsid w:val="000264B4"/>
    <w:rsid w:val="000265A3"/>
    <w:rsid w:val="00027099"/>
    <w:rsid w:val="00027B22"/>
    <w:rsid w:val="00027BAD"/>
    <w:rsid w:val="00031418"/>
    <w:rsid w:val="00031478"/>
    <w:rsid w:val="00035040"/>
    <w:rsid w:val="00036FAB"/>
    <w:rsid w:val="00037707"/>
    <w:rsid w:val="00037C17"/>
    <w:rsid w:val="00040FA4"/>
    <w:rsid w:val="000427B8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3DEB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00C9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64D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D3"/>
    <w:rsid w:val="000C12F1"/>
    <w:rsid w:val="000C1E4E"/>
    <w:rsid w:val="000C234E"/>
    <w:rsid w:val="000C3211"/>
    <w:rsid w:val="000C4910"/>
    <w:rsid w:val="000C502F"/>
    <w:rsid w:val="000C5651"/>
    <w:rsid w:val="000C6834"/>
    <w:rsid w:val="000C78A3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F02C1"/>
    <w:rsid w:val="000F02FD"/>
    <w:rsid w:val="000F0342"/>
    <w:rsid w:val="000F0636"/>
    <w:rsid w:val="000F0A03"/>
    <w:rsid w:val="000F30E9"/>
    <w:rsid w:val="000F426C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445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53C"/>
    <w:rsid w:val="00115D53"/>
    <w:rsid w:val="00115DDC"/>
    <w:rsid w:val="00116003"/>
    <w:rsid w:val="00116F4B"/>
    <w:rsid w:val="001177C9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519"/>
    <w:rsid w:val="0013679D"/>
    <w:rsid w:val="00136825"/>
    <w:rsid w:val="00136D3A"/>
    <w:rsid w:val="00136EC9"/>
    <w:rsid w:val="00136FC5"/>
    <w:rsid w:val="00137050"/>
    <w:rsid w:val="0013716D"/>
    <w:rsid w:val="00137560"/>
    <w:rsid w:val="00140854"/>
    <w:rsid w:val="00140E10"/>
    <w:rsid w:val="001438F4"/>
    <w:rsid w:val="00143BF5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B70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15A2"/>
    <w:rsid w:val="0017388B"/>
    <w:rsid w:val="00173D31"/>
    <w:rsid w:val="0017441E"/>
    <w:rsid w:val="0017486D"/>
    <w:rsid w:val="00175839"/>
    <w:rsid w:val="00175A85"/>
    <w:rsid w:val="00175E6C"/>
    <w:rsid w:val="00175FBC"/>
    <w:rsid w:val="00176669"/>
    <w:rsid w:val="001766FF"/>
    <w:rsid w:val="00176C20"/>
    <w:rsid w:val="00176DFC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3B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1F1"/>
    <w:rsid w:val="001B1467"/>
    <w:rsid w:val="001B1C5E"/>
    <w:rsid w:val="001B2B23"/>
    <w:rsid w:val="001B3197"/>
    <w:rsid w:val="001B39D3"/>
    <w:rsid w:val="001B4DA8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370"/>
    <w:rsid w:val="001E4D27"/>
    <w:rsid w:val="001E5169"/>
    <w:rsid w:val="001E5571"/>
    <w:rsid w:val="001E60C5"/>
    <w:rsid w:val="001E6F5D"/>
    <w:rsid w:val="001E71FE"/>
    <w:rsid w:val="001F0819"/>
    <w:rsid w:val="001F1677"/>
    <w:rsid w:val="001F1C52"/>
    <w:rsid w:val="001F2A1F"/>
    <w:rsid w:val="001F3DF4"/>
    <w:rsid w:val="001F49EA"/>
    <w:rsid w:val="001F5CF7"/>
    <w:rsid w:val="001F64C3"/>
    <w:rsid w:val="001F6A78"/>
    <w:rsid w:val="001F72D8"/>
    <w:rsid w:val="001F7B28"/>
    <w:rsid w:val="002010C8"/>
    <w:rsid w:val="0020111C"/>
    <w:rsid w:val="0020121A"/>
    <w:rsid w:val="00201DDA"/>
    <w:rsid w:val="002027D4"/>
    <w:rsid w:val="0020296D"/>
    <w:rsid w:val="00203021"/>
    <w:rsid w:val="00203302"/>
    <w:rsid w:val="00203A7B"/>
    <w:rsid w:val="002045A5"/>
    <w:rsid w:val="0020488B"/>
    <w:rsid w:val="00204F09"/>
    <w:rsid w:val="0020667A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0F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10C"/>
    <w:rsid w:val="00262B7F"/>
    <w:rsid w:val="00263207"/>
    <w:rsid w:val="00264741"/>
    <w:rsid w:val="00264C92"/>
    <w:rsid w:val="0026639E"/>
    <w:rsid w:val="00266980"/>
    <w:rsid w:val="00266ACC"/>
    <w:rsid w:val="00267ACA"/>
    <w:rsid w:val="00270A4E"/>
    <w:rsid w:val="00270F52"/>
    <w:rsid w:val="00271563"/>
    <w:rsid w:val="00271569"/>
    <w:rsid w:val="00272177"/>
    <w:rsid w:val="002725DA"/>
    <w:rsid w:val="00274645"/>
    <w:rsid w:val="002748F6"/>
    <w:rsid w:val="00274D15"/>
    <w:rsid w:val="00275209"/>
    <w:rsid w:val="00277397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4721"/>
    <w:rsid w:val="0028530F"/>
    <w:rsid w:val="002853A9"/>
    <w:rsid w:val="00285A75"/>
    <w:rsid w:val="00287580"/>
    <w:rsid w:val="00290498"/>
    <w:rsid w:val="0029071C"/>
    <w:rsid w:val="00291656"/>
    <w:rsid w:val="0029179B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5B7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D603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4EFD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BD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0A92"/>
    <w:rsid w:val="0033298A"/>
    <w:rsid w:val="00333B31"/>
    <w:rsid w:val="00334257"/>
    <w:rsid w:val="0033440C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4EDD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0A2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46E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568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026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281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185F"/>
    <w:rsid w:val="003C2D27"/>
    <w:rsid w:val="003C373E"/>
    <w:rsid w:val="003C3D7F"/>
    <w:rsid w:val="003C41DD"/>
    <w:rsid w:val="003C5F2E"/>
    <w:rsid w:val="003C6326"/>
    <w:rsid w:val="003C6710"/>
    <w:rsid w:val="003C6D87"/>
    <w:rsid w:val="003C7600"/>
    <w:rsid w:val="003C770F"/>
    <w:rsid w:val="003D079C"/>
    <w:rsid w:val="003D0D7D"/>
    <w:rsid w:val="003D164F"/>
    <w:rsid w:val="003D18F0"/>
    <w:rsid w:val="003D224C"/>
    <w:rsid w:val="003D2390"/>
    <w:rsid w:val="003D3759"/>
    <w:rsid w:val="003D45D4"/>
    <w:rsid w:val="003D57E2"/>
    <w:rsid w:val="003D613B"/>
    <w:rsid w:val="003D684B"/>
    <w:rsid w:val="003D749F"/>
    <w:rsid w:val="003D7D9E"/>
    <w:rsid w:val="003E0FC6"/>
    <w:rsid w:val="003E14DF"/>
    <w:rsid w:val="003E1AAB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470D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4E84"/>
    <w:rsid w:val="00405D7E"/>
    <w:rsid w:val="00406259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0F3C"/>
    <w:rsid w:val="0043215E"/>
    <w:rsid w:val="004325D3"/>
    <w:rsid w:val="00435176"/>
    <w:rsid w:val="00436F5C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2B0E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52E3"/>
    <w:rsid w:val="00485ADC"/>
    <w:rsid w:val="00486858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1FE"/>
    <w:rsid w:val="00495C6A"/>
    <w:rsid w:val="004969D8"/>
    <w:rsid w:val="00496A0D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41B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23FB"/>
    <w:rsid w:val="004C3997"/>
    <w:rsid w:val="004C423D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68A"/>
    <w:rsid w:val="004E7E07"/>
    <w:rsid w:val="004F32E1"/>
    <w:rsid w:val="004F34F2"/>
    <w:rsid w:val="004F3D9B"/>
    <w:rsid w:val="004F4632"/>
    <w:rsid w:val="004F46CE"/>
    <w:rsid w:val="004F46D6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74F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2AC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43BA"/>
    <w:rsid w:val="0053589B"/>
    <w:rsid w:val="00535CDB"/>
    <w:rsid w:val="00535E49"/>
    <w:rsid w:val="0053659F"/>
    <w:rsid w:val="00537D18"/>
    <w:rsid w:val="00537D95"/>
    <w:rsid w:val="005417AF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D34"/>
    <w:rsid w:val="00573F62"/>
    <w:rsid w:val="00574588"/>
    <w:rsid w:val="00574592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2B4F"/>
    <w:rsid w:val="005B2CB5"/>
    <w:rsid w:val="005B3439"/>
    <w:rsid w:val="005B4653"/>
    <w:rsid w:val="005B4E45"/>
    <w:rsid w:val="005B4E85"/>
    <w:rsid w:val="005B5E17"/>
    <w:rsid w:val="005B6419"/>
    <w:rsid w:val="005B6CC1"/>
    <w:rsid w:val="005C1943"/>
    <w:rsid w:val="005C22C2"/>
    <w:rsid w:val="005C232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8C3"/>
    <w:rsid w:val="00622D62"/>
    <w:rsid w:val="00622D80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05B"/>
    <w:rsid w:val="00637228"/>
    <w:rsid w:val="00641532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34DC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1956"/>
    <w:rsid w:val="00661C43"/>
    <w:rsid w:val="00662C23"/>
    <w:rsid w:val="00663A53"/>
    <w:rsid w:val="0066473E"/>
    <w:rsid w:val="00664F66"/>
    <w:rsid w:val="00665069"/>
    <w:rsid w:val="0066537B"/>
    <w:rsid w:val="00665718"/>
    <w:rsid w:val="00665E8C"/>
    <w:rsid w:val="00665F6E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4FDE"/>
    <w:rsid w:val="006851CB"/>
    <w:rsid w:val="00685F12"/>
    <w:rsid w:val="00687672"/>
    <w:rsid w:val="00690239"/>
    <w:rsid w:val="00690FB6"/>
    <w:rsid w:val="00691287"/>
    <w:rsid w:val="006919FC"/>
    <w:rsid w:val="00693034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628"/>
    <w:rsid w:val="006C6D77"/>
    <w:rsid w:val="006C7240"/>
    <w:rsid w:val="006C74D6"/>
    <w:rsid w:val="006C7663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7E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620"/>
    <w:rsid w:val="006F3D73"/>
    <w:rsid w:val="006F5A87"/>
    <w:rsid w:val="006F747C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21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DE3"/>
    <w:rsid w:val="00721C6A"/>
    <w:rsid w:val="007222B0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9EC"/>
    <w:rsid w:val="00727D29"/>
    <w:rsid w:val="00730818"/>
    <w:rsid w:val="00730E2D"/>
    <w:rsid w:val="0073142D"/>
    <w:rsid w:val="007323B9"/>
    <w:rsid w:val="007330A4"/>
    <w:rsid w:val="00733C05"/>
    <w:rsid w:val="00734568"/>
    <w:rsid w:val="0073460E"/>
    <w:rsid w:val="007349F9"/>
    <w:rsid w:val="00734A12"/>
    <w:rsid w:val="00735CDE"/>
    <w:rsid w:val="00736EAE"/>
    <w:rsid w:val="00737F9B"/>
    <w:rsid w:val="007402C2"/>
    <w:rsid w:val="0074044C"/>
    <w:rsid w:val="007405B1"/>
    <w:rsid w:val="00740AF0"/>
    <w:rsid w:val="007419ED"/>
    <w:rsid w:val="00742174"/>
    <w:rsid w:val="00742C4C"/>
    <w:rsid w:val="007431F0"/>
    <w:rsid w:val="00743577"/>
    <w:rsid w:val="007435D3"/>
    <w:rsid w:val="00744220"/>
    <w:rsid w:val="00744C66"/>
    <w:rsid w:val="007464CC"/>
    <w:rsid w:val="00747238"/>
    <w:rsid w:val="00747B4B"/>
    <w:rsid w:val="00747D5E"/>
    <w:rsid w:val="00750679"/>
    <w:rsid w:val="00751EDA"/>
    <w:rsid w:val="00754851"/>
    <w:rsid w:val="007575D0"/>
    <w:rsid w:val="00757649"/>
    <w:rsid w:val="00760944"/>
    <w:rsid w:val="007609D5"/>
    <w:rsid w:val="00760C75"/>
    <w:rsid w:val="007611AD"/>
    <w:rsid w:val="0076126B"/>
    <w:rsid w:val="007613B3"/>
    <w:rsid w:val="00762FBA"/>
    <w:rsid w:val="0076316D"/>
    <w:rsid w:val="00763FB6"/>
    <w:rsid w:val="0076473F"/>
    <w:rsid w:val="00764748"/>
    <w:rsid w:val="00765515"/>
    <w:rsid w:val="00766F28"/>
    <w:rsid w:val="007713E8"/>
    <w:rsid w:val="00771967"/>
    <w:rsid w:val="00771AA1"/>
    <w:rsid w:val="00772FC8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AA2"/>
    <w:rsid w:val="00786BB9"/>
    <w:rsid w:val="00786FE5"/>
    <w:rsid w:val="007870B3"/>
    <w:rsid w:val="00787297"/>
    <w:rsid w:val="007877DC"/>
    <w:rsid w:val="0079039B"/>
    <w:rsid w:val="007908E2"/>
    <w:rsid w:val="00793842"/>
    <w:rsid w:val="00794379"/>
    <w:rsid w:val="007953B5"/>
    <w:rsid w:val="00795F3C"/>
    <w:rsid w:val="00796271"/>
    <w:rsid w:val="00796431"/>
    <w:rsid w:val="007964DC"/>
    <w:rsid w:val="007967E6"/>
    <w:rsid w:val="00797D07"/>
    <w:rsid w:val="00797EC1"/>
    <w:rsid w:val="007A03B9"/>
    <w:rsid w:val="007A06C5"/>
    <w:rsid w:val="007A0B4E"/>
    <w:rsid w:val="007A117C"/>
    <w:rsid w:val="007A2635"/>
    <w:rsid w:val="007A3BFB"/>
    <w:rsid w:val="007A5DE7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0E2D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690B"/>
    <w:rsid w:val="007F742B"/>
    <w:rsid w:val="007F7CBC"/>
    <w:rsid w:val="00800C45"/>
    <w:rsid w:val="0080130F"/>
    <w:rsid w:val="008026FE"/>
    <w:rsid w:val="00802F9F"/>
    <w:rsid w:val="0080372E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0F7C"/>
    <w:rsid w:val="008412E1"/>
    <w:rsid w:val="008413A8"/>
    <w:rsid w:val="00842443"/>
    <w:rsid w:val="00843285"/>
    <w:rsid w:val="00843286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5DA1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3A8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366A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0C"/>
    <w:rsid w:val="00893E72"/>
    <w:rsid w:val="00896BC2"/>
    <w:rsid w:val="00896C06"/>
    <w:rsid w:val="008A072D"/>
    <w:rsid w:val="008A1815"/>
    <w:rsid w:val="008A1C42"/>
    <w:rsid w:val="008A2D63"/>
    <w:rsid w:val="008A2FA0"/>
    <w:rsid w:val="008A3348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62E9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6034"/>
    <w:rsid w:val="008F7ADB"/>
    <w:rsid w:val="008F7CC9"/>
    <w:rsid w:val="009001B0"/>
    <w:rsid w:val="00900940"/>
    <w:rsid w:val="00900CC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39AF"/>
    <w:rsid w:val="009148EC"/>
    <w:rsid w:val="00914BFD"/>
    <w:rsid w:val="00914CD2"/>
    <w:rsid w:val="00915EF9"/>
    <w:rsid w:val="009174F6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AC3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0DF"/>
    <w:rsid w:val="00946929"/>
    <w:rsid w:val="00946D29"/>
    <w:rsid w:val="009474F2"/>
    <w:rsid w:val="00950E7E"/>
    <w:rsid w:val="00952AEF"/>
    <w:rsid w:val="00955C33"/>
    <w:rsid w:val="0095625A"/>
    <w:rsid w:val="00956446"/>
    <w:rsid w:val="00957B4C"/>
    <w:rsid w:val="009603BF"/>
    <w:rsid w:val="00960B5B"/>
    <w:rsid w:val="00960F24"/>
    <w:rsid w:val="00960FAF"/>
    <w:rsid w:val="0096172B"/>
    <w:rsid w:val="00961C91"/>
    <w:rsid w:val="009628F6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0EB5"/>
    <w:rsid w:val="00971E1A"/>
    <w:rsid w:val="00971EE1"/>
    <w:rsid w:val="00973197"/>
    <w:rsid w:val="00973E14"/>
    <w:rsid w:val="009753FB"/>
    <w:rsid w:val="00975439"/>
    <w:rsid w:val="009756E8"/>
    <w:rsid w:val="00976F97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57EB"/>
    <w:rsid w:val="00985E07"/>
    <w:rsid w:val="00986110"/>
    <w:rsid w:val="009869D5"/>
    <w:rsid w:val="00987232"/>
    <w:rsid w:val="009877E3"/>
    <w:rsid w:val="0099047A"/>
    <w:rsid w:val="009905A0"/>
    <w:rsid w:val="00990EC7"/>
    <w:rsid w:val="00991B95"/>
    <w:rsid w:val="00991D3E"/>
    <w:rsid w:val="00992630"/>
    <w:rsid w:val="00992840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544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5F35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06E"/>
    <w:rsid w:val="00A02A33"/>
    <w:rsid w:val="00A02F5D"/>
    <w:rsid w:val="00A031CC"/>
    <w:rsid w:val="00A0323B"/>
    <w:rsid w:val="00A04192"/>
    <w:rsid w:val="00A04474"/>
    <w:rsid w:val="00A0482C"/>
    <w:rsid w:val="00A0762A"/>
    <w:rsid w:val="00A0776D"/>
    <w:rsid w:val="00A0778F"/>
    <w:rsid w:val="00A1004D"/>
    <w:rsid w:val="00A1182A"/>
    <w:rsid w:val="00A13922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95F"/>
    <w:rsid w:val="00A22A52"/>
    <w:rsid w:val="00A23246"/>
    <w:rsid w:val="00A24A2E"/>
    <w:rsid w:val="00A25889"/>
    <w:rsid w:val="00A2710F"/>
    <w:rsid w:val="00A3034C"/>
    <w:rsid w:val="00A30764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D6B"/>
    <w:rsid w:val="00A42EEB"/>
    <w:rsid w:val="00A430E2"/>
    <w:rsid w:val="00A4316F"/>
    <w:rsid w:val="00A447E7"/>
    <w:rsid w:val="00A44A0C"/>
    <w:rsid w:val="00A454B6"/>
    <w:rsid w:val="00A4559F"/>
    <w:rsid w:val="00A45FC0"/>
    <w:rsid w:val="00A46558"/>
    <w:rsid w:val="00A472F8"/>
    <w:rsid w:val="00A50571"/>
    <w:rsid w:val="00A50AEA"/>
    <w:rsid w:val="00A5314F"/>
    <w:rsid w:val="00A53F81"/>
    <w:rsid w:val="00A54055"/>
    <w:rsid w:val="00A54B25"/>
    <w:rsid w:val="00A54D53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F07"/>
    <w:rsid w:val="00A832BA"/>
    <w:rsid w:val="00A8331B"/>
    <w:rsid w:val="00A83BF6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0D5A"/>
    <w:rsid w:val="00AA17F7"/>
    <w:rsid w:val="00AA253F"/>
    <w:rsid w:val="00AA25AC"/>
    <w:rsid w:val="00AA28D2"/>
    <w:rsid w:val="00AA2D58"/>
    <w:rsid w:val="00AA4A27"/>
    <w:rsid w:val="00AA4C06"/>
    <w:rsid w:val="00AA5C1F"/>
    <w:rsid w:val="00AA62A7"/>
    <w:rsid w:val="00AA7E5F"/>
    <w:rsid w:val="00AB0ED1"/>
    <w:rsid w:val="00AB16F3"/>
    <w:rsid w:val="00AB1ED1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363"/>
    <w:rsid w:val="00AB58F2"/>
    <w:rsid w:val="00AB5E9F"/>
    <w:rsid w:val="00AB61EF"/>
    <w:rsid w:val="00AB689B"/>
    <w:rsid w:val="00AB7541"/>
    <w:rsid w:val="00AB7CDE"/>
    <w:rsid w:val="00AC0AAA"/>
    <w:rsid w:val="00AC0D62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485D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E76B4"/>
    <w:rsid w:val="00AF09A0"/>
    <w:rsid w:val="00AF1091"/>
    <w:rsid w:val="00AF153A"/>
    <w:rsid w:val="00AF18A6"/>
    <w:rsid w:val="00AF18CA"/>
    <w:rsid w:val="00AF1CFD"/>
    <w:rsid w:val="00AF2306"/>
    <w:rsid w:val="00AF2617"/>
    <w:rsid w:val="00AF2AE5"/>
    <w:rsid w:val="00AF2B00"/>
    <w:rsid w:val="00AF3AD9"/>
    <w:rsid w:val="00AF4640"/>
    <w:rsid w:val="00AF5145"/>
    <w:rsid w:val="00AF58F3"/>
    <w:rsid w:val="00AF5ABA"/>
    <w:rsid w:val="00AF6D94"/>
    <w:rsid w:val="00B00317"/>
    <w:rsid w:val="00B0149D"/>
    <w:rsid w:val="00B014EC"/>
    <w:rsid w:val="00B04FE2"/>
    <w:rsid w:val="00B05126"/>
    <w:rsid w:val="00B05277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1A01"/>
    <w:rsid w:val="00B31E3C"/>
    <w:rsid w:val="00B32C18"/>
    <w:rsid w:val="00B33037"/>
    <w:rsid w:val="00B33732"/>
    <w:rsid w:val="00B3483B"/>
    <w:rsid w:val="00B35C7E"/>
    <w:rsid w:val="00B36448"/>
    <w:rsid w:val="00B377F6"/>
    <w:rsid w:val="00B416B1"/>
    <w:rsid w:val="00B418F4"/>
    <w:rsid w:val="00B426A2"/>
    <w:rsid w:val="00B43376"/>
    <w:rsid w:val="00B43E68"/>
    <w:rsid w:val="00B44209"/>
    <w:rsid w:val="00B44CCC"/>
    <w:rsid w:val="00B44EAC"/>
    <w:rsid w:val="00B465C8"/>
    <w:rsid w:val="00B472C9"/>
    <w:rsid w:val="00B47C1C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2D75"/>
    <w:rsid w:val="00B63850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2A9B"/>
    <w:rsid w:val="00B73636"/>
    <w:rsid w:val="00B7370E"/>
    <w:rsid w:val="00B73C08"/>
    <w:rsid w:val="00B7439C"/>
    <w:rsid w:val="00B743D7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031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21E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1B3"/>
    <w:rsid w:val="00C014C6"/>
    <w:rsid w:val="00C01839"/>
    <w:rsid w:val="00C01BF8"/>
    <w:rsid w:val="00C02043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D7D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973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E87"/>
    <w:rsid w:val="00C42F00"/>
    <w:rsid w:val="00C43453"/>
    <w:rsid w:val="00C44924"/>
    <w:rsid w:val="00C45097"/>
    <w:rsid w:val="00C45C93"/>
    <w:rsid w:val="00C461EB"/>
    <w:rsid w:val="00C50077"/>
    <w:rsid w:val="00C51720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2BF"/>
    <w:rsid w:val="00C6749F"/>
    <w:rsid w:val="00C676D3"/>
    <w:rsid w:val="00C7054B"/>
    <w:rsid w:val="00C70598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878A2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9F2"/>
    <w:rsid w:val="00CA7F24"/>
    <w:rsid w:val="00CB0C31"/>
    <w:rsid w:val="00CB0D8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8CF"/>
    <w:rsid w:val="00CC3988"/>
    <w:rsid w:val="00CC5202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3D23"/>
    <w:rsid w:val="00CD3FDF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5293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11A5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4DF2"/>
    <w:rsid w:val="00D44EDE"/>
    <w:rsid w:val="00D451A5"/>
    <w:rsid w:val="00D451C1"/>
    <w:rsid w:val="00D45283"/>
    <w:rsid w:val="00D4541B"/>
    <w:rsid w:val="00D477C3"/>
    <w:rsid w:val="00D47CB0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2B2A"/>
    <w:rsid w:val="00D736FB"/>
    <w:rsid w:val="00D73AAF"/>
    <w:rsid w:val="00D73B35"/>
    <w:rsid w:val="00D74B08"/>
    <w:rsid w:val="00D75B0B"/>
    <w:rsid w:val="00D77388"/>
    <w:rsid w:val="00D775D2"/>
    <w:rsid w:val="00D77855"/>
    <w:rsid w:val="00D8078E"/>
    <w:rsid w:val="00D80D94"/>
    <w:rsid w:val="00D8118D"/>
    <w:rsid w:val="00D82637"/>
    <w:rsid w:val="00D83283"/>
    <w:rsid w:val="00D83860"/>
    <w:rsid w:val="00D83B8A"/>
    <w:rsid w:val="00D83D34"/>
    <w:rsid w:val="00D85155"/>
    <w:rsid w:val="00D85F3F"/>
    <w:rsid w:val="00D86169"/>
    <w:rsid w:val="00D8652F"/>
    <w:rsid w:val="00D86BF7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2CB5"/>
    <w:rsid w:val="00DB2F25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1BFF"/>
    <w:rsid w:val="00DD2278"/>
    <w:rsid w:val="00DD2ADC"/>
    <w:rsid w:val="00DD4084"/>
    <w:rsid w:val="00DD4F3E"/>
    <w:rsid w:val="00DD5FFB"/>
    <w:rsid w:val="00DD67A9"/>
    <w:rsid w:val="00DD6EA5"/>
    <w:rsid w:val="00DD75C0"/>
    <w:rsid w:val="00DD7C85"/>
    <w:rsid w:val="00DE2574"/>
    <w:rsid w:val="00DE2C5D"/>
    <w:rsid w:val="00DE36B6"/>
    <w:rsid w:val="00DE4BD0"/>
    <w:rsid w:val="00DE58C9"/>
    <w:rsid w:val="00DE58D7"/>
    <w:rsid w:val="00DE5D98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3"/>
    <w:rsid w:val="00E05C1A"/>
    <w:rsid w:val="00E064CA"/>
    <w:rsid w:val="00E065B2"/>
    <w:rsid w:val="00E06813"/>
    <w:rsid w:val="00E10053"/>
    <w:rsid w:val="00E111E4"/>
    <w:rsid w:val="00E11521"/>
    <w:rsid w:val="00E127AF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350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89E"/>
    <w:rsid w:val="00E85DE8"/>
    <w:rsid w:val="00E86672"/>
    <w:rsid w:val="00E86E0C"/>
    <w:rsid w:val="00E87FB1"/>
    <w:rsid w:val="00E900CF"/>
    <w:rsid w:val="00E908C6"/>
    <w:rsid w:val="00E93450"/>
    <w:rsid w:val="00E9372A"/>
    <w:rsid w:val="00E93AFD"/>
    <w:rsid w:val="00E95441"/>
    <w:rsid w:val="00E96618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1892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1FA6"/>
    <w:rsid w:val="00EC202F"/>
    <w:rsid w:val="00EC25AB"/>
    <w:rsid w:val="00EC3DF9"/>
    <w:rsid w:val="00EC4F93"/>
    <w:rsid w:val="00EC515F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5DB"/>
    <w:rsid w:val="00ED6AF2"/>
    <w:rsid w:val="00ED7BC1"/>
    <w:rsid w:val="00EE04D4"/>
    <w:rsid w:val="00EE0C34"/>
    <w:rsid w:val="00EE0C71"/>
    <w:rsid w:val="00EE29BE"/>
    <w:rsid w:val="00EE3C34"/>
    <w:rsid w:val="00EE3CDA"/>
    <w:rsid w:val="00EF038F"/>
    <w:rsid w:val="00EF07C3"/>
    <w:rsid w:val="00EF1944"/>
    <w:rsid w:val="00EF26AE"/>
    <w:rsid w:val="00EF27B5"/>
    <w:rsid w:val="00EF43EA"/>
    <w:rsid w:val="00EF493E"/>
    <w:rsid w:val="00EF5D73"/>
    <w:rsid w:val="00EF607A"/>
    <w:rsid w:val="00EF6331"/>
    <w:rsid w:val="00EF6482"/>
    <w:rsid w:val="00EF71FF"/>
    <w:rsid w:val="00EF7662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2F74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EFE"/>
    <w:rsid w:val="00F3277D"/>
    <w:rsid w:val="00F32822"/>
    <w:rsid w:val="00F3329B"/>
    <w:rsid w:val="00F33D35"/>
    <w:rsid w:val="00F340F0"/>
    <w:rsid w:val="00F343CC"/>
    <w:rsid w:val="00F34F38"/>
    <w:rsid w:val="00F350F7"/>
    <w:rsid w:val="00F35253"/>
    <w:rsid w:val="00F36405"/>
    <w:rsid w:val="00F36950"/>
    <w:rsid w:val="00F371E7"/>
    <w:rsid w:val="00F3733F"/>
    <w:rsid w:val="00F3738F"/>
    <w:rsid w:val="00F37625"/>
    <w:rsid w:val="00F4005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B21"/>
    <w:rsid w:val="00F61FFC"/>
    <w:rsid w:val="00F625CA"/>
    <w:rsid w:val="00F62A93"/>
    <w:rsid w:val="00F62AF9"/>
    <w:rsid w:val="00F62C6B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C40"/>
    <w:rsid w:val="00F83EEA"/>
    <w:rsid w:val="00F8461A"/>
    <w:rsid w:val="00F84BEC"/>
    <w:rsid w:val="00F852BE"/>
    <w:rsid w:val="00F8731D"/>
    <w:rsid w:val="00F879C5"/>
    <w:rsid w:val="00F87CAF"/>
    <w:rsid w:val="00F87FA4"/>
    <w:rsid w:val="00F90063"/>
    <w:rsid w:val="00F90A3D"/>
    <w:rsid w:val="00F90EC0"/>
    <w:rsid w:val="00F91222"/>
    <w:rsid w:val="00F92352"/>
    <w:rsid w:val="00F9267B"/>
    <w:rsid w:val="00F93469"/>
    <w:rsid w:val="00F93B7A"/>
    <w:rsid w:val="00F94ACE"/>
    <w:rsid w:val="00F94AE5"/>
    <w:rsid w:val="00F94C20"/>
    <w:rsid w:val="00F94EAF"/>
    <w:rsid w:val="00F96581"/>
    <w:rsid w:val="00F96AF2"/>
    <w:rsid w:val="00F96F50"/>
    <w:rsid w:val="00F970A7"/>
    <w:rsid w:val="00F9731E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92C"/>
    <w:rsid w:val="00FB4A1C"/>
    <w:rsid w:val="00FB60CC"/>
    <w:rsid w:val="00FB60FB"/>
    <w:rsid w:val="00FB6635"/>
    <w:rsid w:val="00FB6B37"/>
    <w:rsid w:val="00FB7510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281"/>
    <w:rsid w:val="00FC65D0"/>
    <w:rsid w:val="00FC772C"/>
    <w:rsid w:val="00FC7DB1"/>
    <w:rsid w:val="00FD0284"/>
    <w:rsid w:val="00FD0BC0"/>
    <w:rsid w:val="00FD1078"/>
    <w:rsid w:val="00FD12DB"/>
    <w:rsid w:val="00FD1306"/>
    <w:rsid w:val="00FD3713"/>
    <w:rsid w:val="00FD4587"/>
    <w:rsid w:val="00FD57E2"/>
    <w:rsid w:val="00FD5B9B"/>
    <w:rsid w:val="00FD66DD"/>
    <w:rsid w:val="00FD6921"/>
    <w:rsid w:val="00FD77C2"/>
    <w:rsid w:val="00FE175F"/>
    <w:rsid w:val="00FE1F8E"/>
    <w:rsid w:val="00FE2ED7"/>
    <w:rsid w:val="00FE329D"/>
    <w:rsid w:val="00FE34B0"/>
    <w:rsid w:val="00FE3AFB"/>
    <w:rsid w:val="00FE3E6F"/>
    <w:rsid w:val="00FE400F"/>
    <w:rsid w:val="00FE418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C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7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7C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www.cbamonitor.cz/aktuality/kompletni-ceny-nemovitosti-dle-csu-ukazuji-pro-q1-2025-mirnejsi-narust-nez-ceny-bytu-nahled-a-vyzva-do-metodicke-kuchynky-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cbamonitor.cz/statistika/ceny-rodinnych-domu-pocet-transakc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amonitor.cz/kategorie/ceny-nemovitosti" TargetMode="Externa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bamonitor.cz/kategorie/cba-hypomoni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bamonitor.cz/aktuality/rust-realnych-mezd-v-prvnim-ctvrtleti-mirne-pod-4-tahounem-byl-netrzni-sektor" TargetMode="External"/><Relationship Id="rId23" Type="http://schemas.openxmlformats.org/officeDocument/2006/relationships/hyperlink" Target="http://www.cbaonline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2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2417</Words>
  <Characters>14266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Možná, Radana (ČBA)</cp:lastModifiedBy>
  <cp:revision>2</cp:revision>
  <cp:lastPrinted>2025-05-16T09:08:00Z</cp:lastPrinted>
  <dcterms:created xsi:type="dcterms:W3CDTF">2025-07-15T04:16:00Z</dcterms:created>
  <dcterms:modified xsi:type="dcterms:W3CDTF">2025-07-15T04:16:00Z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