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5735" w14:textId="0CC6D152" w:rsidR="00DF154D" w:rsidRDefault="003D3759" w:rsidP="00B516F9">
      <w:pPr>
        <w:ind w:left="709" w:firstLine="709"/>
        <w:rPr>
          <w:rFonts w:ascii="Calibri" w:hAnsi="Calibri" w:cs="Calibri"/>
          <w:b/>
          <w:color w:val="13576B"/>
          <w:sz w:val="32"/>
          <w:szCs w:val="32"/>
        </w:rPr>
      </w:pPr>
      <w:bookmarkStart w:id="0" w:name="_Hlk111121205"/>
      <w:bookmarkStart w:id="1" w:name="_Hlk116472656"/>
      <w:r w:rsidRPr="00616069">
        <w:rPr>
          <w:rFonts w:ascii="Calibri" w:hAnsi="Calibri" w:cs="Calibri"/>
          <w:b/>
          <w:color w:val="13576B"/>
          <w:sz w:val="32"/>
          <w:szCs w:val="32"/>
        </w:rPr>
        <w:t xml:space="preserve">ČBA </w:t>
      </w:r>
      <w:proofErr w:type="spellStart"/>
      <w:r w:rsidRPr="00616069">
        <w:rPr>
          <w:rFonts w:ascii="Calibri" w:hAnsi="Calibri" w:cs="Calibri"/>
          <w:b/>
          <w:color w:val="13576B"/>
          <w:sz w:val="32"/>
          <w:szCs w:val="32"/>
        </w:rPr>
        <w:t>Hypomonitor</w:t>
      </w:r>
      <w:proofErr w:type="spellEnd"/>
      <w:r w:rsidR="00FB492C">
        <w:rPr>
          <w:rFonts w:ascii="Calibri" w:hAnsi="Calibri" w:cs="Calibri"/>
          <w:b/>
          <w:color w:val="13576B"/>
          <w:sz w:val="32"/>
          <w:szCs w:val="32"/>
        </w:rPr>
        <w:t xml:space="preserve"> květen 2025</w:t>
      </w:r>
      <w:r w:rsidRPr="00616069">
        <w:rPr>
          <w:rFonts w:ascii="Calibri" w:hAnsi="Calibri" w:cs="Calibri"/>
          <w:b/>
          <w:color w:val="13576B"/>
          <w:sz w:val="32"/>
          <w:szCs w:val="32"/>
        </w:rPr>
        <w:t xml:space="preserve">: </w:t>
      </w:r>
      <w:r w:rsidR="00FB492C">
        <w:rPr>
          <w:rFonts w:ascii="Calibri" w:hAnsi="Calibri" w:cs="Calibri"/>
          <w:b/>
          <w:color w:val="13576B"/>
          <w:sz w:val="32"/>
          <w:szCs w:val="32"/>
        </w:rPr>
        <w:t>větší objem hypoték,</w:t>
      </w:r>
      <w:r w:rsidR="009460DF">
        <w:rPr>
          <w:rFonts w:ascii="Calibri" w:hAnsi="Calibri" w:cs="Calibri"/>
          <w:b/>
          <w:color w:val="13576B"/>
          <w:sz w:val="32"/>
          <w:szCs w:val="32"/>
        </w:rPr>
        <w:t xml:space="preserve"> </w:t>
      </w:r>
      <w:r w:rsidR="00B72A9B">
        <w:rPr>
          <w:rFonts w:ascii="Calibri" w:hAnsi="Calibri" w:cs="Calibri"/>
          <w:b/>
          <w:color w:val="13576B"/>
          <w:sz w:val="32"/>
          <w:szCs w:val="32"/>
        </w:rPr>
        <w:t xml:space="preserve">sazba </w:t>
      </w:r>
      <w:r w:rsidR="00AA17F7">
        <w:rPr>
          <w:rFonts w:ascii="Calibri" w:hAnsi="Calibri" w:cs="Calibri"/>
          <w:b/>
          <w:color w:val="13576B"/>
          <w:sz w:val="32"/>
          <w:szCs w:val="32"/>
        </w:rPr>
        <w:t xml:space="preserve">klesla na </w:t>
      </w:r>
      <w:r w:rsidR="00B72A9B">
        <w:rPr>
          <w:rFonts w:ascii="Calibri" w:hAnsi="Calibri" w:cs="Calibri"/>
          <w:b/>
          <w:color w:val="13576B"/>
          <w:sz w:val="32"/>
          <w:szCs w:val="32"/>
        </w:rPr>
        <w:t>4,6</w:t>
      </w:r>
      <w:r w:rsidR="00AA17F7">
        <w:rPr>
          <w:rFonts w:ascii="Calibri" w:hAnsi="Calibri" w:cs="Calibri"/>
          <w:b/>
          <w:color w:val="13576B"/>
          <w:sz w:val="32"/>
          <w:szCs w:val="32"/>
        </w:rPr>
        <w:t>0</w:t>
      </w:r>
      <w:r w:rsidR="00B72A9B">
        <w:rPr>
          <w:rFonts w:ascii="Calibri" w:hAnsi="Calibri" w:cs="Calibri"/>
          <w:b/>
          <w:color w:val="13576B"/>
          <w:sz w:val="32"/>
          <w:szCs w:val="32"/>
        </w:rPr>
        <w:t xml:space="preserve"> %</w:t>
      </w:r>
      <w:r w:rsidR="00A42D6B">
        <w:rPr>
          <w:rFonts w:ascii="Calibri" w:hAnsi="Calibri" w:cs="Calibri"/>
          <w:b/>
          <w:color w:val="13576B"/>
          <w:sz w:val="32"/>
          <w:szCs w:val="32"/>
        </w:rPr>
        <w:t xml:space="preserve"> </w:t>
      </w:r>
      <w:r w:rsidR="00F83C40">
        <w:rPr>
          <w:rFonts w:ascii="Calibri" w:hAnsi="Calibri" w:cs="Calibri"/>
          <w:b/>
          <w:color w:val="13576B"/>
          <w:sz w:val="32"/>
          <w:szCs w:val="32"/>
        </w:rPr>
        <w:t xml:space="preserve"> </w:t>
      </w:r>
      <w:r w:rsidR="00A83BF6">
        <w:rPr>
          <w:rFonts w:ascii="Calibri" w:hAnsi="Calibri" w:cs="Calibri"/>
          <w:b/>
          <w:color w:val="13576B"/>
          <w:sz w:val="32"/>
          <w:szCs w:val="32"/>
        </w:rPr>
        <w:t xml:space="preserve"> </w:t>
      </w:r>
    </w:p>
    <w:bookmarkEnd w:id="0"/>
    <w:p w14:paraId="5E7258BB" w14:textId="77777777" w:rsidR="0001227F" w:rsidRPr="002138C0" w:rsidRDefault="0001227F" w:rsidP="0001227F">
      <w:pPr>
        <w:rPr>
          <w:rFonts w:ascii="Calibri" w:hAnsi="Calibri" w:cs="Calibri"/>
          <w:b/>
          <w:bCs/>
          <w:highlight w:val="yellow"/>
        </w:rPr>
      </w:pPr>
    </w:p>
    <w:p w14:paraId="11E2CC53" w14:textId="6300E192" w:rsidR="002725DA" w:rsidRDefault="007967E6" w:rsidP="007967E6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13576B"/>
          <w:sz w:val="22"/>
          <w:szCs w:val="22"/>
        </w:rPr>
      </w:pPr>
      <w:r w:rsidRPr="00FB492C">
        <w:rPr>
          <w:rFonts w:ascii="Calibri" w:hAnsi="Calibri" w:cs="Calibri"/>
          <w:color w:val="13576B"/>
          <w:sz w:val="22"/>
          <w:szCs w:val="22"/>
        </w:rPr>
        <w:t xml:space="preserve">Praha, </w:t>
      </w:r>
      <w:r w:rsidR="00265B39">
        <w:rPr>
          <w:rFonts w:ascii="Calibri" w:hAnsi="Calibri" w:cs="Calibri"/>
          <w:color w:val="13576B"/>
          <w:sz w:val="22"/>
          <w:szCs w:val="22"/>
        </w:rPr>
        <w:t>13. červn</w:t>
      </w:r>
      <w:r w:rsidRPr="00FB492C">
        <w:rPr>
          <w:rFonts w:ascii="Calibri" w:hAnsi="Calibri" w:cs="Calibri"/>
          <w:color w:val="13576B"/>
          <w:sz w:val="22"/>
          <w:szCs w:val="22"/>
        </w:rPr>
        <w:t xml:space="preserve">a </w:t>
      </w:r>
      <w:proofErr w:type="gramStart"/>
      <w:r w:rsidRPr="00FB492C">
        <w:rPr>
          <w:rFonts w:ascii="Calibri" w:hAnsi="Calibri" w:cs="Calibri"/>
          <w:color w:val="13576B"/>
          <w:sz w:val="22"/>
          <w:szCs w:val="22"/>
        </w:rPr>
        <w:t>2025</w:t>
      </w:r>
      <w:r w:rsidRPr="007967E6">
        <w:rPr>
          <w:rFonts w:ascii="Calibri" w:hAnsi="Calibri" w:cs="Calibri"/>
          <w:b/>
          <w:bCs/>
          <w:color w:val="13576B"/>
          <w:sz w:val="22"/>
          <w:szCs w:val="22"/>
        </w:rPr>
        <w:t xml:space="preserve"> </w:t>
      </w:r>
      <w:r w:rsidR="00FB492C" w:rsidRPr="00FB492C">
        <w:rPr>
          <w:rFonts w:ascii="Calibri" w:hAnsi="Calibri" w:cs="Calibri"/>
          <w:color w:val="13576B"/>
          <w:sz w:val="22"/>
          <w:szCs w:val="22"/>
        </w:rPr>
        <w:t>-</w:t>
      </w:r>
      <w:r w:rsidR="002725DA">
        <w:rPr>
          <w:rFonts w:ascii="Calibri" w:hAnsi="Calibri" w:cs="Calibri"/>
          <w:b/>
          <w:bCs/>
          <w:color w:val="13576B"/>
          <w:sz w:val="22"/>
          <w:szCs w:val="22"/>
        </w:rPr>
        <w:t xml:space="preserve"> </w:t>
      </w:r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>V</w:t>
      </w:r>
      <w:proofErr w:type="gramEnd"/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 xml:space="preserve"> květnu 2025 poskytly banky a stavební spořitelny nové hypotéky za 27,4 miliardy Kč. Oproti dubnu aktivita objemově zesílila o 5 %, což </w:t>
      </w:r>
      <w:r w:rsidR="008F6034">
        <w:rPr>
          <w:rFonts w:ascii="Calibri" w:hAnsi="Calibri" w:cs="Calibri"/>
          <w:b/>
          <w:bCs/>
          <w:color w:val="13576B"/>
          <w:sz w:val="22"/>
          <w:szCs w:val="22"/>
        </w:rPr>
        <w:t>podpořilo nejen sezónní oživení, ale i 2% nárůst objemu po sezónním očištění</w:t>
      </w:r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>.</w:t>
      </w:r>
      <w:r w:rsidR="008F6034">
        <w:rPr>
          <w:rFonts w:ascii="Calibri" w:hAnsi="Calibri" w:cs="Calibri"/>
          <w:b/>
          <w:bCs/>
          <w:color w:val="13576B"/>
          <w:sz w:val="22"/>
          <w:szCs w:val="22"/>
        </w:rPr>
        <w:t xml:space="preserve"> Do toho se pozitivně promítla p</w:t>
      </w:r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>růměrná realizovaná sazba hypoték</w:t>
      </w:r>
      <w:r w:rsidR="008F6034">
        <w:rPr>
          <w:rFonts w:ascii="Calibri" w:hAnsi="Calibri" w:cs="Calibri"/>
          <w:b/>
          <w:bCs/>
          <w:color w:val="13576B"/>
          <w:sz w:val="22"/>
          <w:szCs w:val="22"/>
        </w:rPr>
        <w:t>, která v květnu</w:t>
      </w:r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 xml:space="preserve"> dále klesla na 4,6 % z dubnových 4,65 %. Její meziroční pokles o </w:t>
      </w:r>
      <w:r w:rsidR="008F6034">
        <w:rPr>
          <w:rFonts w:ascii="Calibri" w:hAnsi="Calibri" w:cs="Calibri"/>
          <w:b/>
          <w:bCs/>
          <w:color w:val="13576B"/>
          <w:sz w:val="22"/>
          <w:szCs w:val="22"/>
        </w:rPr>
        <w:t>necelý půl procentní bod</w:t>
      </w:r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 xml:space="preserve"> snižuje měsíční splátky</w:t>
      </w:r>
      <w:r w:rsidR="008F6034">
        <w:rPr>
          <w:rFonts w:ascii="Calibri" w:hAnsi="Calibri" w:cs="Calibri"/>
          <w:b/>
          <w:bCs/>
          <w:color w:val="13576B"/>
          <w:sz w:val="22"/>
          <w:szCs w:val="22"/>
        </w:rPr>
        <w:t xml:space="preserve"> o jedenáct set korun, tedy</w:t>
      </w:r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 xml:space="preserve"> přibližně o 1,2 % čistého příjmu žadatele o hypotéku. </w:t>
      </w:r>
      <w:r w:rsidR="008F6034">
        <w:rPr>
          <w:rFonts w:ascii="Calibri" w:hAnsi="Calibri" w:cs="Calibri"/>
          <w:b/>
          <w:bCs/>
          <w:color w:val="13576B"/>
          <w:sz w:val="22"/>
          <w:szCs w:val="22"/>
        </w:rPr>
        <w:t>Do silnějšího květnového růstu hypoték ovšem také promluvila její průměrná v</w:t>
      </w:r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>elikost</w:t>
      </w:r>
      <w:r w:rsidR="008F6034">
        <w:rPr>
          <w:rFonts w:ascii="Calibri" w:hAnsi="Calibri" w:cs="Calibri"/>
          <w:b/>
          <w:bCs/>
          <w:color w:val="13576B"/>
          <w:sz w:val="22"/>
          <w:szCs w:val="22"/>
        </w:rPr>
        <w:t>, která u</w:t>
      </w:r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 xml:space="preserve"> nově poskytnuté hypotéky mírně stoupla na 4,14 milionu korun</w:t>
      </w:r>
      <w:r w:rsidR="008F6034">
        <w:rPr>
          <w:rFonts w:ascii="Calibri" w:hAnsi="Calibri" w:cs="Calibri"/>
          <w:b/>
          <w:bCs/>
          <w:color w:val="13576B"/>
          <w:sz w:val="22"/>
          <w:szCs w:val="22"/>
        </w:rPr>
        <w:t xml:space="preserve">. Tento nárůst </w:t>
      </w:r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 xml:space="preserve">meziročně </w:t>
      </w:r>
      <w:r w:rsidR="008F6034">
        <w:rPr>
          <w:rFonts w:ascii="Calibri" w:hAnsi="Calibri" w:cs="Calibri"/>
          <w:b/>
          <w:bCs/>
          <w:color w:val="13576B"/>
          <w:sz w:val="22"/>
          <w:szCs w:val="22"/>
        </w:rPr>
        <w:t xml:space="preserve">přispěl k vyšší </w:t>
      </w:r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>měsíční</w:t>
      </w:r>
      <w:r w:rsidR="008F6034">
        <w:rPr>
          <w:rFonts w:ascii="Calibri" w:hAnsi="Calibri" w:cs="Calibri"/>
          <w:b/>
          <w:bCs/>
          <w:color w:val="13576B"/>
          <w:sz w:val="22"/>
          <w:szCs w:val="22"/>
        </w:rPr>
        <w:t xml:space="preserve"> průměrné</w:t>
      </w:r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 xml:space="preserve"> splát</w:t>
      </w:r>
      <w:r w:rsidR="008F6034">
        <w:rPr>
          <w:rFonts w:ascii="Calibri" w:hAnsi="Calibri" w:cs="Calibri"/>
          <w:b/>
          <w:bCs/>
          <w:color w:val="13576B"/>
          <w:sz w:val="22"/>
          <w:szCs w:val="22"/>
        </w:rPr>
        <w:t>ce o necelé tři tisíce korun, tedy</w:t>
      </w:r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 xml:space="preserve"> přibližně </w:t>
      </w:r>
      <w:r w:rsidR="00063DEB">
        <w:rPr>
          <w:rFonts w:ascii="Calibri" w:hAnsi="Calibri" w:cs="Calibri"/>
          <w:b/>
          <w:bCs/>
          <w:color w:val="13576B"/>
          <w:sz w:val="22"/>
          <w:szCs w:val="22"/>
        </w:rPr>
        <w:t xml:space="preserve">o </w:t>
      </w:r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>3,1 % příjmu</w:t>
      </w:r>
      <w:r w:rsidR="008F6034">
        <w:rPr>
          <w:rFonts w:ascii="Calibri" w:hAnsi="Calibri" w:cs="Calibri"/>
          <w:b/>
          <w:bCs/>
          <w:color w:val="13576B"/>
          <w:sz w:val="22"/>
          <w:szCs w:val="22"/>
        </w:rPr>
        <w:t xml:space="preserve"> žadatele</w:t>
      </w:r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>. Pokud hypotéky udrží dynamiku z posledních dvou měsíců, pak by mohl objem nových hypoték v roce 2025 dosáhnout úrovně 290 miliard Kč, více než</w:t>
      </w:r>
      <w:r w:rsidR="00063DEB">
        <w:rPr>
          <w:rFonts w:ascii="Calibri" w:hAnsi="Calibri" w:cs="Calibri"/>
          <w:b/>
          <w:bCs/>
          <w:color w:val="13576B"/>
          <w:sz w:val="22"/>
          <w:szCs w:val="22"/>
        </w:rPr>
        <w:t xml:space="preserve"> o</w:t>
      </w:r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 xml:space="preserve"> </w:t>
      </w:r>
      <w:r w:rsidR="00274645">
        <w:rPr>
          <w:rFonts w:ascii="Calibri" w:hAnsi="Calibri" w:cs="Calibri"/>
          <w:b/>
          <w:bCs/>
          <w:color w:val="13576B"/>
          <w:sz w:val="22"/>
          <w:szCs w:val="22"/>
        </w:rPr>
        <w:t xml:space="preserve">čtvrtinu výše </w:t>
      </w:r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>ve srovnání s loňskem.</w:t>
      </w:r>
      <w:r w:rsidR="00274645">
        <w:rPr>
          <w:rFonts w:ascii="Calibri" w:hAnsi="Calibri" w:cs="Calibri"/>
          <w:b/>
          <w:bCs/>
          <w:color w:val="13576B"/>
          <w:sz w:val="22"/>
          <w:szCs w:val="22"/>
        </w:rPr>
        <w:t xml:space="preserve"> </w:t>
      </w:r>
      <w:r w:rsidR="00274645" w:rsidRPr="00274645">
        <w:rPr>
          <w:rFonts w:ascii="Calibri" w:hAnsi="Calibri" w:cs="Calibri"/>
          <w:b/>
          <w:bCs/>
          <w:color w:val="13576B"/>
          <w:sz w:val="22"/>
          <w:szCs w:val="22"/>
        </w:rPr>
        <w:t xml:space="preserve">Tato úroveň by za celý rok zůstala přibližně na půl cesty mezi covidovými roky 2020 (224 mld. Kč) a 2021 (379 mld.). </w:t>
      </w:r>
      <w:r w:rsidR="008F6034">
        <w:rPr>
          <w:rFonts w:ascii="Calibri" w:hAnsi="Calibri" w:cs="Calibri"/>
          <w:b/>
          <w:bCs/>
          <w:color w:val="13576B"/>
          <w:sz w:val="22"/>
          <w:szCs w:val="22"/>
        </w:rPr>
        <w:t xml:space="preserve">To je nepatrně menší odhad než v minulém měsíci, což rovněž reflektuje o něco mírnější odhad </w:t>
      </w:r>
      <w:r w:rsidR="00274645">
        <w:rPr>
          <w:rFonts w:ascii="Calibri" w:hAnsi="Calibri" w:cs="Calibri"/>
          <w:b/>
          <w:bCs/>
          <w:color w:val="13576B"/>
          <w:sz w:val="22"/>
          <w:szCs w:val="22"/>
        </w:rPr>
        <w:t xml:space="preserve">nárůstu </w:t>
      </w:r>
      <w:r w:rsidR="008F6034">
        <w:rPr>
          <w:rFonts w:ascii="Calibri" w:hAnsi="Calibri" w:cs="Calibri"/>
          <w:b/>
          <w:bCs/>
          <w:color w:val="13576B"/>
          <w:sz w:val="22"/>
          <w:szCs w:val="22"/>
        </w:rPr>
        <w:t>počtu nových hypoték v letošním roce, a to</w:t>
      </w:r>
      <w:r w:rsidR="00274645">
        <w:rPr>
          <w:rFonts w:ascii="Calibri" w:hAnsi="Calibri" w:cs="Calibri"/>
          <w:b/>
          <w:bCs/>
          <w:color w:val="13576B"/>
          <w:sz w:val="22"/>
          <w:szCs w:val="22"/>
        </w:rPr>
        <w:t xml:space="preserve"> na</w:t>
      </w:r>
      <w:r w:rsidR="008F6034">
        <w:rPr>
          <w:rFonts w:ascii="Calibri" w:hAnsi="Calibri" w:cs="Calibri"/>
          <w:b/>
          <w:bCs/>
          <w:color w:val="13576B"/>
          <w:sz w:val="22"/>
          <w:szCs w:val="22"/>
        </w:rPr>
        <w:t xml:space="preserve"> 71,7 tisíc</w:t>
      </w:r>
      <w:r w:rsidR="000C78A3">
        <w:rPr>
          <w:rFonts w:ascii="Calibri" w:hAnsi="Calibri" w:cs="Calibri"/>
          <w:b/>
          <w:bCs/>
          <w:color w:val="13576B"/>
          <w:sz w:val="22"/>
          <w:szCs w:val="22"/>
        </w:rPr>
        <w:t>e</w:t>
      </w:r>
      <w:r w:rsidR="008F6034">
        <w:rPr>
          <w:rFonts w:ascii="Calibri" w:hAnsi="Calibri" w:cs="Calibri"/>
          <w:b/>
          <w:bCs/>
          <w:color w:val="13576B"/>
          <w:sz w:val="22"/>
          <w:szCs w:val="22"/>
        </w:rPr>
        <w:t>.</w:t>
      </w:r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 xml:space="preserve"> Uvedené informace plynou z údajů ČBA </w:t>
      </w:r>
      <w:proofErr w:type="spellStart"/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>Hypomonitoru</w:t>
      </w:r>
      <w:proofErr w:type="spellEnd"/>
      <w:r w:rsidR="002725DA" w:rsidRPr="002725DA">
        <w:rPr>
          <w:rFonts w:ascii="Calibri" w:hAnsi="Calibri" w:cs="Calibri"/>
          <w:b/>
          <w:bCs/>
          <w:color w:val="13576B"/>
          <w:sz w:val="22"/>
          <w:szCs w:val="22"/>
        </w:rPr>
        <w:t>, který zachycuje data všech tuzemských bank a stavebních spořitelen poskytujících hypoteční úvěry.</w:t>
      </w:r>
    </w:p>
    <w:p w14:paraId="5F014B54" w14:textId="77777777" w:rsidR="002725DA" w:rsidRDefault="002725DA" w:rsidP="007967E6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13576B"/>
          <w:sz w:val="22"/>
          <w:szCs w:val="22"/>
        </w:rPr>
      </w:pPr>
    </w:p>
    <w:p w14:paraId="44AD2489" w14:textId="37578678" w:rsidR="002A5D11" w:rsidRPr="000B064D" w:rsidRDefault="00274645" w:rsidP="002A5D11">
      <w:pPr>
        <w:rPr>
          <w:rFonts w:ascii="Calibri" w:hAnsi="Calibri" w:cs="Calibri"/>
          <w:b/>
          <w:color w:val="13576B"/>
          <w:sz w:val="23"/>
          <w:szCs w:val="23"/>
        </w:rPr>
      </w:pPr>
      <w:r>
        <w:rPr>
          <w:rFonts w:ascii="Calibri" w:hAnsi="Calibri" w:cs="Calibri"/>
          <w:b/>
          <w:color w:val="13576B"/>
          <w:sz w:val="23"/>
          <w:szCs w:val="23"/>
        </w:rPr>
        <w:t xml:space="preserve">Květen </w:t>
      </w:r>
      <w:r w:rsidR="00F83C40">
        <w:rPr>
          <w:rFonts w:ascii="Calibri" w:hAnsi="Calibri" w:cs="Calibri"/>
          <w:b/>
          <w:color w:val="13576B"/>
          <w:sz w:val="23"/>
          <w:szCs w:val="23"/>
        </w:rPr>
        <w:t xml:space="preserve">přinesl </w:t>
      </w:r>
      <w:r>
        <w:rPr>
          <w:rFonts w:ascii="Calibri" w:hAnsi="Calibri" w:cs="Calibri"/>
          <w:b/>
          <w:color w:val="13576B"/>
          <w:sz w:val="23"/>
          <w:szCs w:val="23"/>
        </w:rPr>
        <w:t>mírné oživení n</w:t>
      </w:r>
      <w:r w:rsidR="00287580" w:rsidRPr="000B064D">
        <w:rPr>
          <w:rFonts w:ascii="Calibri" w:hAnsi="Calibri" w:cs="Calibri"/>
          <w:b/>
          <w:color w:val="13576B"/>
          <w:sz w:val="23"/>
          <w:szCs w:val="23"/>
        </w:rPr>
        <w:t xml:space="preserve">ově </w:t>
      </w:r>
      <w:r w:rsidR="002A5D11" w:rsidRPr="000B064D">
        <w:rPr>
          <w:rFonts w:ascii="Calibri" w:hAnsi="Calibri" w:cs="Calibri"/>
          <w:b/>
          <w:color w:val="13576B"/>
          <w:sz w:val="23"/>
          <w:szCs w:val="23"/>
        </w:rPr>
        <w:t xml:space="preserve">poskytnutých hypoték </w:t>
      </w:r>
      <w:r>
        <w:rPr>
          <w:rFonts w:ascii="Calibri" w:hAnsi="Calibri" w:cs="Calibri"/>
          <w:b/>
          <w:color w:val="13576B"/>
          <w:sz w:val="23"/>
          <w:szCs w:val="23"/>
        </w:rPr>
        <w:t xml:space="preserve">po dubnové stabilizaci </w:t>
      </w:r>
    </w:p>
    <w:p w14:paraId="16F876A0" w14:textId="12C8AFEF" w:rsidR="002725DA" w:rsidRPr="008F7CC9" w:rsidRDefault="002725DA" w:rsidP="00F83C40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2725DA">
        <w:rPr>
          <w:rFonts w:ascii="Calibri" w:hAnsi="Calibri" w:cs="Calibri"/>
          <w:b/>
          <w:bCs/>
          <w:color w:val="000000"/>
          <w:sz w:val="22"/>
          <w:szCs w:val="22"/>
        </w:rPr>
        <w:t xml:space="preserve">V květnu poskytly banky a stavební spořitelny skutečně nové hypoteční úvěry za 27,4 mld. Kč a k tomu klienti navíc refinancovali své hypotéky v rozsahu 6,9 mld. Kč. </w:t>
      </w:r>
      <w:r w:rsidRPr="002725DA">
        <w:rPr>
          <w:rFonts w:ascii="Calibri" w:hAnsi="Calibri" w:cs="Calibri"/>
          <w:color w:val="000000"/>
          <w:sz w:val="22"/>
          <w:szCs w:val="22"/>
        </w:rPr>
        <w:t xml:space="preserve">Oproti dubnu tak nová hypoteční aktivita objemově stoupla přibližně o 5 %, což </w:t>
      </w:r>
      <w:r w:rsidR="00274645">
        <w:rPr>
          <w:rFonts w:ascii="Calibri" w:hAnsi="Calibri" w:cs="Calibri"/>
          <w:color w:val="000000"/>
          <w:sz w:val="22"/>
          <w:szCs w:val="22"/>
        </w:rPr>
        <w:t>z větší části</w:t>
      </w:r>
      <w:r w:rsidRPr="002725DA">
        <w:rPr>
          <w:rFonts w:ascii="Calibri" w:hAnsi="Calibri" w:cs="Calibri"/>
          <w:color w:val="000000"/>
          <w:sz w:val="22"/>
          <w:szCs w:val="22"/>
        </w:rPr>
        <w:t xml:space="preserve"> odpovídá sezónnímu vlivu (obvykle objem nových hypoték v květnu meziměsíčně naroste o 13 %; předchozí měsíc poklesl o 4 % v porovnání s obvyklými -10 %).  </w:t>
      </w:r>
      <w:r w:rsidR="00274645">
        <w:rPr>
          <w:rFonts w:ascii="Calibri" w:hAnsi="Calibri" w:cs="Calibri"/>
          <w:color w:val="000000"/>
          <w:sz w:val="22"/>
          <w:szCs w:val="22"/>
        </w:rPr>
        <w:t>Ovšem p</w:t>
      </w:r>
      <w:r w:rsidRPr="002725DA">
        <w:rPr>
          <w:rFonts w:ascii="Calibri" w:hAnsi="Calibri" w:cs="Calibri"/>
          <w:color w:val="000000"/>
          <w:sz w:val="22"/>
          <w:szCs w:val="22"/>
        </w:rPr>
        <w:t>o sezónní úpravě přinesla květnová čísla nových hypoték mírný</w:t>
      </w:r>
      <w:r w:rsidR="00274645">
        <w:rPr>
          <w:rFonts w:ascii="Calibri" w:hAnsi="Calibri" w:cs="Calibri"/>
          <w:color w:val="000000"/>
          <w:sz w:val="22"/>
          <w:szCs w:val="22"/>
        </w:rPr>
        <w:t xml:space="preserve">, asi 2% meziměsíční nárůst </w:t>
      </w:r>
      <w:r w:rsidRPr="002725DA">
        <w:rPr>
          <w:rFonts w:ascii="Calibri" w:hAnsi="Calibri" w:cs="Calibri"/>
          <w:color w:val="000000"/>
          <w:sz w:val="22"/>
          <w:szCs w:val="22"/>
        </w:rPr>
        <w:t>na přibližně 24,4 mld. Kč</w:t>
      </w:r>
      <w:r w:rsidR="00274645">
        <w:rPr>
          <w:rFonts w:ascii="Calibri" w:hAnsi="Calibri" w:cs="Calibri"/>
          <w:color w:val="000000"/>
          <w:sz w:val="22"/>
          <w:szCs w:val="22"/>
        </w:rPr>
        <w:t>. To odpovídá průměrným</w:t>
      </w:r>
      <w:r w:rsidRPr="002725DA">
        <w:rPr>
          <w:rFonts w:ascii="Calibri" w:hAnsi="Calibri" w:cs="Calibri"/>
          <w:color w:val="000000"/>
          <w:sz w:val="22"/>
          <w:szCs w:val="22"/>
        </w:rPr>
        <w:t xml:space="preserve"> 24,4 mld. v předchozích třech měsících</w:t>
      </w:r>
      <w:r w:rsidR="00274645">
        <w:rPr>
          <w:rFonts w:ascii="Calibri" w:hAnsi="Calibri" w:cs="Calibri"/>
          <w:color w:val="000000"/>
          <w:sz w:val="22"/>
          <w:szCs w:val="22"/>
        </w:rPr>
        <w:t xml:space="preserve"> (</w:t>
      </w:r>
      <w:r w:rsidRPr="002725DA">
        <w:rPr>
          <w:rFonts w:ascii="Calibri" w:hAnsi="Calibri" w:cs="Calibri"/>
          <w:color w:val="000000"/>
          <w:sz w:val="22"/>
          <w:szCs w:val="22"/>
        </w:rPr>
        <w:t>duben: 23,9 mld.)</w:t>
      </w:r>
      <w:r w:rsidR="00274645">
        <w:rPr>
          <w:rFonts w:ascii="Calibri" w:hAnsi="Calibri" w:cs="Calibri"/>
          <w:color w:val="000000"/>
          <w:sz w:val="22"/>
          <w:szCs w:val="22"/>
        </w:rPr>
        <w:t xml:space="preserve">. Objem nových hypoték </w:t>
      </w:r>
      <w:r w:rsidRPr="002725DA">
        <w:rPr>
          <w:rFonts w:ascii="Calibri" w:hAnsi="Calibri" w:cs="Calibri"/>
          <w:color w:val="000000"/>
          <w:sz w:val="22"/>
          <w:szCs w:val="22"/>
        </w:rPr>
        <w:t xml:space="preserve">se tak </w:t>
      </w:r>
      <w:r w:rsidR="00274645">
        <w:rPr>
          <w:rFonts w:ascii="Calibri" w:hAnsi="Calibri" w:cs="Calibri"/>
          <w:color w:val="000000"/>
          <w:sz w:val="22"/>
          <w:szCs w:val="22"/>
        </w:rPr>
        <w:t>pohybuje o necelou polovinu výše</w:t>
      </w:r>
      <w:r w:rsidRPr="002725DA">
        <w:rPr>
          <w:rFonts w:ascii="Calibri" w:hAnsi="Calibri" w:cs="Calibri"/>
          <w:color w:val="000000"/>
          <w:sz w:val="22"/>
          <w:szCs w:val="22"/>
        </w:rPr>
        <w:t xml:space="preserve"> ve srovnání s první polovinou minulého roku. V meziročním vyjádření růst objemu poskytnutých hypoték v květnu dále zvolnil na 33 % z dubnových 37 % a po </w:t>
      </w:r>
      <w:proofErr w:type="gramStart"/>
      <w:r w:rsidRPr="002725DA">
        <w:rPr>
          <w:rFonts w:ascii="Calibri" w:hAnsi="Calibri" w:cs="Calibri"/>
          <w:color w:val="000000"/>
          <w:sz w:val="22"/>
          <w:szCs w:val="22"/>
        </w:rPr>
        <w:t>83%</w:t>
      </w:r>
      <w:proofErr w:type="gramEnd"/>
      <w:r w:rsidRPr="002725DA">
        <w:rPr>
          <w:rFonts w:ascii="Calibri" w:hAnsi="Calibri" w:cs="Calibri"/>
          <w:color w:val="000000"/>
          <w:sz w:val="22"/>
          <w:szCs w:val="22"/>
        </w:rPr>
        <w:t xml:space="preserve"> meziročním nárůstu v minulém roce. </w:t>
      </w:r>
    </w:p>
    <w:p w14:paraId="6D0DF5DF" w14:textId="431CA7F8" w:rsidR="0080372E" w:rsidRPr="002B35B7" w:rsidRDefault="006E04F7" w:rsidP="002B35B7">
      <w:pPr>
        <w:spacing w:before="240" w:after="120"/>
        <w:rPr>
          <w:rFonts w:ascii="Calibri" w:hAnsi="Calibri" w:cs="Calibri"/>
          <w:b/>
          <w:color w:val="13576B"/>
          <w:sz w:val="23"/>
          <w:szCs w:val="23"/>
        </w:rPr>
      </w:pPr>
      <w:bookmarkStart w:id="2" w:name="_Hlk111121228"/>
      <w:bookmarkStart w:id="3" w:name="_Hlk119308742"/>
      <w:r w:rsidRPr="003F159E">
        <w:rPr>
          <w:rFonts w:ascii="Calibri" w:hAnsi="Calibri" w:cs="Calibri"/>
          <w:b/>
          <w:color w:val="13576B"/>
          <w:sz w:val="23"/>
          <w:szCs w:val="23"/>
        </w:rPr>
        <w:t>Tabulka č. 1: Shrnutí objemu poskytnutých hypoték a průměrných úrokových sazeb za</w:t>
      </w:r>
      <w:r w:rsidR="003E393C" w:rsidRPr="003F159E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="00FC6281">
        <w:rPr>
          <w:rFonts w:ascii="Calibri" w:hAnsi="Calibri" w:cs="Calibri"/>
          <w:b/>
          <w:color w:val="13576B"/>
          <w:sz w:val="23"/>
          <w:szCs w:val="23"/>
        </w:rPr>
        <w:t>květen</w:t>
      </w:r>
      <w:r w:rsidR="001306A2" w:rsidRPr="003F159E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Pr="003F159E">
        <w:rPr>
          <w:rFonts w:ascii="Calibri" w:hAnsi="Calibri" w:cs="Calibri"/>
          <w:b/>
          <w:color w:val="13576B"/>
          <w:sz w:val="23"/>
          <w:szCs w:val="23"/>
        </w:rPr>
        <w:t>202</w:t>
      </w:r>
      <w:r w:rsidR="00641532">
        <w:rPr>
          <w:rFonts w:ascii="Calibri" w:hAnsi="Calibri" w:cs="Calibri"/>
          <w:b/>
          <w:color w:val="13576B"/>
          <w:sz w:val="23"/>
          <w:szCs w:val="23"/>
        </w:rPr>
        <w:t>5</w:t>
      </w: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101"/>
        <w:gridCol w:w="960"/>
        <w:gridCol w:w="960"/>
      </w:tblGrid>
      <w:tr w:rsidR="006E04F7" w:rsidRPr="002138C0" w14:paraId="17FF1971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F3251" w14:textId="316ED53A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D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A24DE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Objem</w:t>
            </w: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>(mld. Kč)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3183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Počet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9E958C3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Sazba</w:t>
            </w: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 xml:space="preserve"> (%)</w:t>
            </w:r>
          </w:p>
        </w:tc>
      </w:tr>
      <w:tr w:rsidR="006E04F7" w:rsidRPr="002138C0" w14:paraId="07461CAA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FCD68" w14:textId="715FBAEA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E1F4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18F2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5DC471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</w:tr>
      <w:tr w:rsidR="00FC6281" w:rsidRPr="002138C0" w14:paraId="35D90BA7" w14:textId="77777777" w:rsidTr="00991D3E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651BE" w14:textId="55D0463E" w:rsidR="00FC6281" w:rsidRPr="00072DB9" w:rsidRDefault="00FC6281" w:rsidP="00FC62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AB166" w14:textId="01FC2754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8BEB" w14:textId="04854B62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8 569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688592" w14:textId="6F4E4457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4,59</w:t>
            </w:r>
          </w:p>
        </w:tc>
      </w:tr>
      <w:tr w:rsidR="00FC6281" w:rsidRPr="002138C0" w14:paraId="76C06795" w14:textId="77777777" w:rsidTr="00991D3E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bottom"/>
            <w:hideMark/>
          </w:tcPr>
          <w:p w14:paraId="62A0E8CC" w14:textId="77777777" w:rsidR="00FC6281" w:rsidRPr="00072DB9" w:rsidRDefault="00FC6281" w:rsidP="00FC6281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Nové úvěry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520FBFDC" w14:textId="36CD0055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41404E63" w14:textId="1F6505C0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6 610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center"/>
            <w:hideMark/>
          </w:tcPr>
          <w:p w14:paraId="5B0C0248" w14:textId="1B00F7FF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4,60</w:t>
            </w:r>
          </w:p>
        </w:tc>
      </w:tr>
      <w:tr w:rsidR="00FC6281" w:rsidRPr="002138C0" w14:paraId="6E865282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2C0C1" w14:textId="77777777" w:rsidR="00FC6281" w:rsidRPr="00072DB9" w:rsidRDefault="00FC6281" w:rsidP="00FC6281">
            <w:pPr>
              <w:overflowPunct/>
              <w:autoSpaceDE/>
              <w:autoSpaceDN/>
              <w:adjustRightInd/>
              <w:ind w:firstLineChars="200" w:firstLine="44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z toho: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98F3E" w14:textId="43207064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2348" w14:textId="4E903095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B27E5" w14:textId="234439A5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FC6281" w:rsidRPr="002138C0" w14:paraId="10DD8204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28A8" w14:textId="74481CAD" w:rsidR="00FC6281" w:rsidRPr="00072DB9" w:rsidRDefault="00FC6281" w:rsidP="00FC6281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koupi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905E" w14:textId="1FD902E2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B5019" w14:textId="1EAECD8E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5 085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CA2C7" w14:textId="1B74C224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4,60</w:t>
            </w:r>
          </w:p>
        </w:tc>
      </w:tr>
      <w:tr w:rsidR="00FC6281" w:rsidRPr="002138C0" w14:paraId="6815BAA0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17F24" w14:textId="02A472AC" w:rsidR="00FC6281" w:rsidRPr="00072DB9" w:rsidRDefault="00FC6281" w:rsidP="00FC6281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výstavbu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73796" w14:textId="1FC967A8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2F1D" w14:textId="19FE617B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1 107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8392A" w14:textId="2E1B07A6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4,56</w:t>
            </w:r>
          </w:p>
        </w:tc>
      </w:tr>
      <w:tr w:rsidR="00FC6281" w:rsidRPr="002138C0" w14:paraId="13F97586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57913" w14:textId="6B59A630" w:rsidR="00FC6281" w:rsidRPr="00072DB9" w:rsidRDefault="00FC6281" w:rsidP="00FC6281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856C" w14:textId="6F090DAB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70EC" w14:textId="3EFB0BEC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A1522" w14:textId="2444C8FB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4,67</w:t>
            </w:r>
          </w:p>
        </w:tc>
      </w:tr>
      <w:tr w:rsidR="00FC6281" w:rsidRPr="002138C0" w14:paraId="219FB66B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E43AF" w14:textId="77777777" w:rsidR="00FC6281" w:rsidRPr="00072DB9" w:rsidRDefault="00FC6281" w:rsidP="00FC6281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z jiné instituce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7EA4" w14:textId="6F914A92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5343" w14:textId="34BACBD8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1 601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10A95" w14:textId="71F45F2C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4,57</w:t>
            </w:r>
          </w:p>
        </w:tc>
      </w:tr>
      <w:tr w:rsidR="00FC6281" w:rsidRPr="002138C0" w14:paraId="3D627EA7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5FADF" w14:textId="3B6FF053" w:rsidR="00FC6281" w:rsidRPr="00072DB9" w:rsidRDefault="00FC6281" w:rsidP="00FC6281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interně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, navýšené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5E1E0" w14:textId="1E424C7F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7364C" w14:textId="1623765A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AFF57" w14:textId="74279790" w:rsidR="00FC6281" w:rsidRPr="00072DB9" w:rsidRDefault="00FC6281" w:rsidP="00FC62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4,58</w:t>
            </w:r>
          </w:p>
        </w:tc>
      </w:tr>
      <w:tr w:rsidR="006E04F7" w:rsidRPr="002138C0" w14:paraId="763F0D46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DA067" w14:textId="77777777" w:rsidR="006E04F7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 w:rsidRPr="00072DB9">
              <w:rPr>
                <w:rFonts w:ascii="Calibri Light" w:hAnsi="Calibri Light" w:cs="Calibri Light"/>
                <w:color w:val="13576B"/>
                <w:sz w:val="20"/>
              </w:rPr>
              <w:t xml:space="preserve">Pramen: ČBA </w:t>
            </w:r>
            <w:proofErr w:type="spellStart"/>
            <w:r w:rsidRPr="00072DB9">
              <w:rPr>
                <w:rFonts w:ascii="Calibri Light" w:hAnsi="Calibri Light" w:cs="Calibri Light"/>
                <w:color w:val="13576B"/>
                <w:sz w:val="20"/>
              </w:rPr>
              <w:t>Hypomonitor</w:t>
            </w:r>
            <w:proofErr w:type="spellEnd"/>
          </w:p>
          <w:p w14:paraId="30E574FB" w14:textId="77777777" w:rsidR="008F7CC9" w:rsidRDefault="008F7CC9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</w:p>
          <w:p w14:paraId="06A1A28A" w14:textId="63A22841" w:rsidR="00395026" w:rsidRPr="00072DB9" w:rsidRDefault="00395026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541C2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AD4C4" w14:textId="77777777" w:rsidR="006E04F7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  <w:p w14:paraId="6ECA0B01" w14:textId="77777777" w:rsidR="008F7CC9" w:rsidRDefault="008F7CC9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531856BD" w14:textId="77777777" w:rsidR="00395026" w:rsidRPr="00072DB9" w:rsidRDefault="00395026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7165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</w:tbl>
    <w:p w14:paraId="6E6F3FF1" w14:textId="5684132C" w:rsidR="00350110" w:rsidRPr="00350110" w:rsidRDefault="00452B0E" w:rsidP="00350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„</w:t>
      </w:r>
      <w:r w:rsidR="00350110" w:rsidRPr="0035011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Ustálení počtu nových hypoték okolo šesti tisíc měsíčně naznačuje dosažení 290miliardového objemu nových hypoték v roce </w:t>
      </w:r>
      <w:proofErr w:type="gramStart"/>
      <w:r w:rsidR="00350110" w:rsidRPr="00350110">
        <w:rPr>
          <w:rFonts w:ascii="Calibri" w:hAnsi="Calibri" w:cs="Calibri"/>
          <w:i/>
          <w:iCs/>
          <w:color w:val="000000" w:themeColor="text1"/>
          <w:sz w:val="22"/>
          <w:szCs w:val="22"/>
        </w:rPr>
        <w:t>2025 ,</w:t>
      </w:r>
      <w:proofErr w:type="gramEnd"/>
      <w:r w:rsidR="00350110" w:rsidRPr="0035011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“ </w:t>
      </w:r>
      <w:r w:rsidR="00350110" w:rsidRPr="00350110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domnívá se Jaromír Šindel, hlavní ekonom České bankovní asociace, a dodává </w:t>
      </w:r>
      <w:r w:rsidR="00350110" w:rsidRPr="0035011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„že nárůst průměrné výše hypotéky odráží spíše vyšší ceny nemovitostí než růst příjmů, vzhledem k tomu, že domácnostem </w:t>
      </w:r>
      <w:r w:rsidR="00350110" w:rsidRPr="00350110">
        <w:rPr>
          <w:rFonts w:ascii="Calibri" w:hAnsi="Calibri" w:cs="Calibri"/>
          <w:i/>
          <w:iCs/>
          <w:color w:val="000000" w:themeColor="text1"/>
          <w:sz w:val="22"/>
          <w:szCs w:val="22"/>
        </w:rPr>
        <w:lastRenderedPageBreak/>
        <w:t>navzdory rostoucím příjmům zůstává stejný obnos po zaplacení hypotéky</w:t>
      </w:r>
      <w:r w:rsidR="00350110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,</w:t>
      </w:r>
      <w:r w:rsidR="00350110" w:rsidRPr="00350110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“</w:t>
      </w:r>
      <w:r w:rsidR="00350110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350110">
        <w:rPr>
          <w:rFonts w:ascii="Calibri" w:hAnsi="Calibri" w:cs="Calibri"/>
          <w:i/>
          <w:iCs/>
          <w:color w:val="000000" w:themeColor="text1"/>
          <w:sz w:val="22"/>
          <w:szCs w:val="22"/>
        </w:rPr>
        <w:t>říká</w:t>
      </w:r>
      <w:r w:rsidR="0035011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Jaromír Šindel, hlavní ekonom České bankovní asociace.  </w:t>
      </w:r>
    </w:p>
    <w:p w14:paraId="3E66A743" w14:textId="77777777" w:rsidR="008F7CC9" w:rsidRDefault="008F7CC9" w:rsidP="008F7CC9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9C0544">
        <w:rPr>
          <w:rFonts w:ascii="Calibri" w:hAnsi="Calibri" w:cs="Calibri"/>
          <w:b/>
          <w:bCs/>
          <w:color w:val="000000"/>
          <w:sz w:val="22"/>
          <w:szCs w:val="22"/>
        </w:rPr>
        <w:t>Květen sice oživil i počty nových hypoték, ale ty po sezónním očištění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ve skutečnosti mírně zeslábly</w:t>
      </w:r>
      <w:r w:rsidRPr="009C0544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725DA">
        <w:rPr>
          <w:rFonts w:ascii="Calibri" w:hAnsi="Calibri" w:cs="Calibri"/>
          <w:color w:val="000000"/>
          <w:sz w:val="22"/>
          <w:szCs w:val="22"/>
        </w:rPr>
        <w:t xml:space="preserve">Počet nových hypoték v květnu dosáhl 6610 kusů, což je o 16 % více než před rokem. Odhadujeme, že po sezónním očištění se jejich počet pohybuje okolo 5918, přibližně 2 % pod průměrným počtem (6031) v předchozích třech měsících. </w:t>
      </w:r>
    </w:p>
    <w:p w14:paraId="032B799B" w14:textId="5473D1F5" w:rsidR="008F7CC9" w:rsidRPr="00395026" w:rsidRDefault="008F7CC9" w:rsidP="008F7CC9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395026">
        <w:rPr>
          <w:rFonts w:ascii="Calibri" w:hAnsi="Calibri" w:cs="Calibri"/>
          <w:color w:val="000000"/>
          <w:sz w:val="22"/>
          <w:szCs w:val="22"/>
        </w:rPr>
        <w:t>Od počátku roku dosáhl počet nových hypoték 29,7 tisíc</w:t>
      </w:r>
      <w:r w:rsidR="00EC1FA6">
        <w:rPr>
          <w:rFonts w:ascii="Calibri" w:hAnsi="Calibri" w:cs="Calibri"/>
          <w:color w:val="000000"/>
          <w:sz w:val="22"/>
          <w:szCs w:val="22"/>
        </w:rPr>
        <w:t>e</w:t>
      </w:r>
      <w:r w:rsidRPr="00395026">
        <w:rPr>
          <w:rFonts w:ascii="Calibri" w:hAnsi="Calibri" w:cs="Calibri"/>
          <w:color w:val="000000"/>
          <w:sz w:val="22"/>
          <w:szCs w:val="22"/>
        </w:rPr>
        <w:t xml:space="preserve"> kusů (</w:t>
      </w:r>
      <w:r>
        <w:rPr>
          <w:rFonts w:ascii="Calibri" w:hAnsi="Calibri" w:cs="Calibri"/>
          <w:color w:val="000000"/>
          <w:sz w:val="22"/>
          <w:szCs w:val="22"/>
        </w:rPr>
        <w:t>+</w:t>
      </w:r>
      <w:proofErr w:type="gramStart"/>
      <w:r w:rsidRPr="00395026">
        <w:rPr>
          <w:rFonts w:ascii="Calibri" w:hAnsi="Calibri" w:cs="Calibri"/>
          <w:color w:val="000000"/>
          <w:sz w:val="22"/>
          <w:szCs w:val="22"/>
        </w:rPr>
        <w:t>33%</w:t>
      </w:r>
      <w:proofErr w:type="gramEnd"/>
      <w:r w:rsidRPr="00395026">
        <w:rPr>
          <w:rFonts w:ascii="Calibri" w:hAnsi="Calibri" w:cs="Calibri"/>
          <w:color w:val="000000"/>
          <w:sz w:val="22"/>
          <w:szCs w:val="22"/>
        </w:rPr>
        <w:t xml:space="preserve"> meziročně). Dynamika počtu nových hypoték v posledních dvou měsících implikuje jejich letošní nárůst na celkový počet okolo 71,7 tisíc, což by bylo téměř o 16 % více než v loňském roce a </w:t>
      </w:r>
      <w:r>
        <w:rPr>
          <w:rFonts w:ascii="Calibri" w:hAnsi="Calibri" w:cs="Calibri"/>
          <w:color w:val="000000"/>
          <w:sz w:val="22"/>
          <w:szCs w:val="22"/>
        </w:rPr>
        <w:t>poblíž</w:t>
      </w:r>
      <w:r w:rsidRPr="00395026">
        <w:rPr>
          <w:rFonts w:ascii="Calibri" w:hAnsi="Calibri" w:cs="Calibri"/>
          <w:color w:val="000000"/>
          <w:sz w:val="22"/>
          <w:szCs w:val="22"/>
        </w:rPr>
        <w:t xml:space="preserve"> 72</w:t>
      </w:r>
      <w:r>
        <w:rPr>
          <w:rFonts w:ascii="Calibri" w:hAnsi="Calibri" w:cs="Calibri"/>
          <w:color w:val="000000"/>
          <w:sz w:val="22"/>
          <w:szCs w:val="22"/>
        </w:rPr>
        <w:t xml:space="preserve"> tisícům </w:t>
      </w:r>
      <w:r w:rsidRPr="00395026">
        <w:rPr>
          <w:rFonts w:ascii="Calibri" w:hAnsi="Calibri" w:cs="Calibri"/>
          <w:color w:val="000000"/>
          <w:sz w:val="22"/>
          <w:szCs w:val="22"/>
        </w:rPr>
        <w:t>z roku 2019.</w:t>
      </w:r>
    </w:p>
    <w:p w14:paraId="70269255" w14:textId="77777777" w:rsidR="008F7CC9" w:rsidRDefault="008F7CC9" w:rsidP="00893E0C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</w:p>
    <w:p w14:paraId="1A6B1796" w14:textId="01BDF9D8" w:rsidR="00893E0C" w:rsidRDefault="00893E0C" w:rsidP="00893E0C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277397">
        <w:rPr>
          <w:rFonts w:ascii="Calibri" w:hAnsi="Calibri" w:cs="Calibri"/>
          <w:b/>
          <w:color w:val="13576B"/>
          <w:sz w:val="23"/>
          <w:szCs w:val="23"/>
        </w:rPr>
        <w:t>1</w:t>
      </w: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: </w:t>
      </w:r>
      <w:r w:rsidR="00277397">
        <w:rPr>
          <w:rFonts w:ascii="Calibri" w:hAnsi="Calibri" w:cs="Calibri"/>
          <w:b/>
          <w:color w:val="13576B"/>
          <w:sz w:val="23"/>
          <w:szCs w:val="23"/>
        </w:rPr>
        <w:t xml:space="preserve">Nově </w:t>
      </w:r>
      <w:r w:rsidR="00277397" w:rsidRPr="00395026">
        <w:rPr>
          <w:rFonts w:ascii="Calibri" w:hAnsi="Calibri" w:cs="Calibri"/>
          <w:b/>
          <w:color w:val="13576B"/>
          <w:sz w:val="23"/>
          <w:szCs w:val="23"/>
        </w:rPr>
        <w:t>poskytnuté hypotéky bez refinancování</w:t>
      </w:r>
    </w:p>
    <w:p w14:paraId="4CCB83B3" w14:textId="1AFF7935" w:rsidR="00893E0C" w:rsidRDefault="00395026" w:rsidP="00237E0B">
      <w:pPr>
        <w:spacing w:before="120"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95026">
        <w:rPr>
          <w:rFonts w:ascii="Calibri" w:hAnsi="Calibri" w:cs="Calibri"/>
          <w:bCs/>
          <w:i/>
          <w:iCs/>
          <w:color w:val="13576B"/>
          <w:sz w:val="23"/>
          <w:szCs w:val="23"/>
        </w:rPr>
        <w:t>V květnu 2025 poskytly banky a stavební spořitelny nové hypotéky za 27,4 miliardy Kč. Oproti dubnu aktivita objemově zesílila o 5 %, což podpořilo nejen sezónní oživení, ale i 2% nárůstu objemu po sezónním očištění.</w:t>
      </w:r>
      <w:r w:rsidR="002725DA" w:rsidRPr="002725DA">
        <w:rPr>
          <w:rFonts w:ascii="Calibri" w:hAnsi="Calibri" w:cs="Calibri"/>
          <w:b/>
          <w:bCs/>
          <w:noProof/>
          <w:color w:val="000000"/>
          <w:sz w:val="22"/>
          <w:szCs w:val="22"/>
        </w:rPr>
        <w:drawing>
          <wp:inline distT="0" distB="0" distL="0" distR="0" wp14:anchorId="08205536" wp14:editId="7856DCBB">
            <wp:extent cx="5591175" cy="3648075"/>
            <wp:effectExtent l="0" t="0" r="9525" b="9525"/>
            <wp:docPr id="16726786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56E65" w14:textId="0C9E85D9" w:rsidR="00893E0C" w:rsidRDefault="00277397" w:rsidP="00237E0B">
      <w:pPr>
        <w:spacing w:before="120"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77397">
        <w:rPr>
          <w:rFonts w:ascii="Calibri Light" w:hAnsi="Calibri Light" w:cs="Calibri Light"/>
          <w:color w:val="13576B"/>
          <w:sz w:val="20"/>
        </w:rPr>
        <w:t xml:space="preserve">Pramen: ČNB, ČBA </w:t>
      </w:r>
      <w:proofErr w:type="spellStart"/>
      <w:r w:rsidRPr="00277397">
        <w:rPr>
          <w:rFonts w:ascii="Calibri Light" w:hAnsi="Calibri Light" w:cs="Calibri Light"/>
          <w:color w:val="13576B"/>
          <w:sz w:val="20"/>
        </w:rPr>
        <w:t>Hypomonitor</w:t>
      </w:r>
      <w:proofErr w:type="spellEnd"/>
      <w:r w:rsidRPr="00277397">
        <w:rPr>
          <w:rFonts w:ascii="Calibri Light" w:hAnsi="Calibri Light" w:cs="Calibri Light"/>
          <w:color w:val="13576B"/>
          <w:sz w:val="20"/>
        </w:rPr>
        <w:t xml:space="preserve"> (před rokem 2020 jsou objemy ze statistiky ČNB).</w:t>
      </w:r>
    </w:p>
    <w:bookmarkEnd w:id="1"/>
    <w:bookmarkEnd w:id="2"/>
    <w:bookmarkEnd w:id="3"/>
    <w:p w14:paraId="3C00E09B" w14:textId="36E12D83" w:rsidR="002725DA" w:rsidRDefault="002725DA" w:rsidP="00F83C40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2725DA">
        <w:rPr>
          <w:rFonts w:ascii="Calibri" w:hAnsi="Calibri" w:cs="Calibri"/>
          <w:color w:val="000000"/>
          <w:sz w:val="22"/>
          <w:szCs w:val="22"/>
        </w:rPr>
        <w:t xml:space="preserve">Objem refinancovaných a navýšených úvěrů (interně či z jiné instituce) v květnu stoupl na 6,9 mld. Kč. To je o 76 % více než průměrných 3,9 miliardy refinancovaných v loňském roce a o 221 % nad 2,2 miliardami refinancovanými v roce 2023. Podíl refinancovaných úvěrů na celkovém objemu poskytnutých hypoték pak vzrostl na 20,1 %, což je nad loňským průměrem 16,9 %. Nachází se tak nad 17,2% podílem z let 2022-2023, ovšem stále pod téměř 29% podílem z období 2020-2021, kdy domácnosti refinancovaly za hypoteční sazbu 2,14 %. </w:t>
      </w:r>
      <w:r w:rsidR="00395026">
        <w:rPr>
          <w:rFonts w:ascii="Calibri" w:hAnsi="Calibri" w:cs="Calibri"/>
          <w:color w:val="000000"/>
          <w:sz w:val="22"/>
          <w:szCs w:val="22"/>
        </w:rPr>
        <w:t>V</w:t>
      </w:r>
      <w:r w:rsidRPr="002725DA">
        <w:rPr>
          <w:rFonts w:ascii="Calibri" w:hAnsi="Calibri" w:cs="Calibri"/>
          <w:color w:val="000000"/>
          <w:sz w:val="22"/>
          <w:szCs w:val="22"/>
        </w:rPr>
        <w:t xml:space="preserve"> květnu 2025 se domácnosti refinancovaly za úrokovou sazbu 4,57 %, což je</w:t>
      </w:r>
      <w:r w:rsidR="00395026">
        <w:rPr>
          <w:rFonts w:ascii="Calibri" w:hAnsi="Calibri" w:cs="Calibri"/>
          <w:color w:val="000000"/>
          <w:sz w:val="22"/>
          <w:szCs w:val="22"/>
        </w:rPr>
        <w:t xml:space="preserve"> ovšem</w:t>
      </w:r>
      <w:r w:rsidRPr="002725DA">
        <w:rPr>
          <w:rFonts w:ascii="Calibri" w:hAnsi="Calibri" w:cs="Calibri"/>
          <w:color w:val="000000"/>
          <w:sz w:val="22"/>
          <w:szCs w:val="22"/>
        </w:rPr>
        <w:t xml:space="preserve"> stále o výrazných </w:t>
      </w:r>
      <w:proofErr w:type="gramStart"/>
      <w:r w:rsidRPr="002725DA">
        <w:rPr>
          <w:rFonts w:ascii="Calibri" w:hAnsi="Calibri" w:cs="Calibri"/>
          <w:color w:val="000000"/>
          <w:sz w:val="22"/>
          <w:szCs w:val="22"/>
        </w:rPr>
        <w:t>0,5%</w:t>
      </w:r>
      <w:proofErr w:type="gramEnd"/>
      <w:r w:rsidRPr="002725DA">
        <w:rPr>
          <w:rFonts w:ascii="Calibri" w:hAnsi="Calibri" w:cs="Calibri"/>
          <w:color w:val="000000"/>
          <w:sz w:val="22"/>
          <w:szCs w:val="22"/>
        </w:rPr>
        <w:t xml:space="preserve"> bodu méně než 5,05 % </w:t>
      </w:r>
      <w:r w:rsidR="00395026">
        <w:rPr>
          <w:rFonts w:ascii="Calibri" w:hAnsi="Calibri" w:cs="Calibri"/>
          <w:color w:val="000000"/>
          <w:sz w:val="22"/>
          <w:szCs w:val="22"/>
        </w:rPr>
        <w:t>před rokem</w:t>
      </w:r>
      <w:r w:rsidRPr="002725DA">
        <w:rPr>
          <w:rFonts w:ascii="Calibri" w:hAnsi="Calibri" w:cs="Calibri"/>
          <w:color w:val="000000"/>
          <w:sz w:val="22"/>
          <w:szCs w:val="22"/>
        </w:rPr>
        <w:t>.</w:t>
      </w:r>
    </w:p>
    <w:p w14:paraId="32559D13" w14:textId="77777777" w:rsidR="002725DA" w:rsidRDefault="002725DA" w:rsidP="00F83C40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5A1704D2" w14:textId="4E40D4AE" w:rsidR="009A044E" w:rsidRDefault="009A044E" w:rsidP="009A044E">
      <w:pPr>
        <w:rPr>
          <w:rFonts w:ascii="Calibri" w:hAnsi="Calibri" w:cs="Calibri"/>
          <w:b/>
          <w:color w:val="13576B"/>
          <w:sz w:val="23"/>
          <w:szCs w:val="23"/>
        </w:rPr>
      </w:pPr>
      <w:r w:rsidRPr="008B048B">
        <w:rPr>
          <w:rFonts w:ascii="Calibri" w:hAnsi="Calibri" w:cs="Calibri"/>
          <w:b/>
          <w:color w:val="13576B"/>
          <w:sz w:val="23"/>
          <w:szCs w:val="23"/>
        </w:rPr>
        <w:t xml:space="preserve">Průměrná hypoteční sazba </w:t>
      </w:r>
      <w:r w:rsidR="00F625CA" w:rsidRPr="008B048B">
        <w:rPr>
          <w:rFonts w:ascii="Calibri" w:hAnsi="Calibri" w:cs="Calibri"/>
          <w:b/>
          <w:color w:val="13576B"/>
          <w:sz w:val="23"/>
          <w:szCs w:val="23"/>
        </w:rPr>
        <w:t>pokračuje v klesajícím trendu</w:t>
      </w:r>
      <w:r w:rsidR="00395026">
        <w:rPr>
          <w:rFonts w:ascii="Calibri" w:hAnsi="Calibri" w:cs="Calibri"/>
          <w:b/>
          <w:color w:val="13576B"/>
          <w:sz w:val="23"/>
          <w:szCs w:val="23"/>
        </w:rPr>
        <w:t>, a to na 4,6 % v květnu</w:t>
      </w:r>
    </w:p>
    <w:p w14:paraId="6B970EF6" w14:textId="050D6F9F" w:rsidR="008B048B" w:rsidRPr="008B048B" w:rsidRDefault="008B048B" w:rsidP="009A044E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2D0115B1" w14:textId="7DE0F2D7" w:rsidR="002725DA" w:rsidRDefault="002725DA" w:rsidP="00F625CA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725DA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Průměrná realizovaná úroková sazba u nových hypoték </w:t>
      </w:r>
      <w:r w:rsidR="00395026">
        <w:rPr>
          <w:rFonts w:ascii="Calibri" w:hAnsi="Calibri" w:cs="Calibri"/>
          <w:b/>
          <w:bCs/>
          <w:color w:val="000000"/>
          <w:sz w:val="22"/>
          <w:szCs w:val="22"/>
        </w:rPr>
        <w:t xml:space="preserve">v květnu </w:t>
      </w:r>
      <w:r w:rsidRPr="002725DA">
        <w:rPr>
          <w:rFonts w:ascii="Calibri" w:hAnsi="Calibri" w:cs="Calibri"/>
          <w:b/>
          <w:bCs/>
          <w:color w:val="000000"/>
          <w:sz w:val="22"/>
          <w:szCs w:val="22"/>
        </w:rPr>
        <w:t>dále klesla na 4,6 % z dubnových 4,65 %.</w:t>
      </w:r>
      <w:r w:rsidRPr="00395026">
        <w:rPr>
          <w:rFonts w:ascii="Calibri" w:hAnsi="Calibri" w:cs="Calibri"/>
          <w:color w:val="000000"/>
          <w:sz w:val="22"/>
          <w:szCs w:val="22"/>
        </w:rPr>
        <w:t xml:space="preserve"> Její snížení tak potvrzuje klesající trend pod 5 % naposledy zaznamenaných v červenci 2024. Její květnová úroveň je tak o </w:t>
      </w:r>
      <w:proofErr w:type="gramStart"/>
      <w:r w:rsidRPr="00395026">
        <w:rPr>
          <w:rFonts w:ascii="Calibri" w:hAnsi="Calibri" w:cs="Calibri"/>
          <w:color w:val="000000"/>
          <w:sz w:val="22"/>
          <w:szCs w:val="22"/>
        </w:rPr>
        <w:t>0,46%</w:t>
      </w:r>
      <w:proofErr w:type="gramEnd"/>
      <w:r w:rsidRPr="00395026">
        <w:rPr>
          <w:rFonts w:ascii="Calibri" w:hAnsi="Calibri" w:cs="Calibri"/>
          <w:color w:val="000000"/>
          <w:sz w:val="22"/>
          <w:szCs w:val="22"/>
        </w:rPr>
        <w:t xml:space="preserve"> bodu níže než 5,06% sazba před rokem, což snižuje měsíční splátky hypotéky přibližně o 1,2 % čistého příjmu žadatele, tedy o 1,1 tis. Kč. Pro srovnání průměrná hodnota hypoteční sazby v roce 2024 dosáhla 5,07 % v porovnání se sazbou 5,81 % v roce 2023.</w:t>
      </w:r>
    </w:p>
    <w:p w14:paraId="7847B546" w14:textId="5AC229F6" w:rsidR="00A83BF6" w:rsidRDefault="00A83BF6" w:rsidP="00F625CA">
      <w:pPr>
        <w:rPr>
          <w:rFonts w:ascii="Calibri" w:hAnsi="Calibri" w:cs="Calibri"/>
          <w:bCs/>
          <w:sz w:val="22"/>
          <w:szCs w:val="22"/>
        </w:rPr>
      </w:pPr>
    </w:p>
    <w:p w14:paraId="6492840A" w14:textId="49E7A20E" w:rsidR="005874B8" w:rsidRDefault="005874B8" w:rsidP="005874B8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893E0C">
        <w:rPr>
          <w:rFonts w:ascii="Calibri" w:hAnsi="Calibri" w:cs="Calibri"/>
          <w:b/>
          <w:color w:val="13576B"/>
          <w:sz w:val="23"/>
          <w:szCs w:val="23"/>
        </w:rPr>
        <w:t>2:</w:t>
      </w: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 Průměrná hypoteční sazba – nové obchody</w:t>
      </w:r>
    </w:p>
    <w:p w14:paraId="0F619A9F" w14:textId="2CEDFCAA" w:rsidR="0080372E" w:rsidRPr="0080372E" w:rsidRDefault="00395026" w:rsidP="000B064D">
      <w:pPr>
        <w:rPr>
          <w:rFonts w:ascii="Calibri" w:hAnsi="Calibri" w:cs="Calibri"/>
          <w:bCs/>
          <w:i/>
          <w:iCs/>
          <w:color w:val="13576B"/>
          <w:sz w:val="23"/>
          <w:szCs w:val="23"/>
        </w:rPr>
      </w:pP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>Květnová</w:t>
      </w:r>
      <w:r w:rsidR="0080372E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výše hypoteční sazby na 4,6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>0</w:t>
      </w:r>
      <w:r w:rsidR="0080372E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% je </w:t>
      </w:r>
      <w:r w:rsidR="00154B70">
        <w:rPr>
          <w:rFonts w:ascii="Calibri" w:hAnsi="Calibri" w:cs="Calibri"/>
          <w:bCs/>
          <w:i/>
          <w:iCs/>
          <w:color w:val="13576B"/>
          <w:sz w:val="23"/>
          <w:szCs w:val="23"/>
        </w:rPr>
        <w:t>o necelý</w:t>
      </w:r>
      <w:r w:rsidR="0080372E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půl procentní bod nižší než před rokem. </w:t>
      </w:r>
    </w:p>
    <w:p w14:paraId="29B8C373" w14:textId="7DAFA765" w:rsidR="007F690B" w:rsidRPr="002138C0" w:rsidRDefault="00FC6281" w:rsidP="005874B8">
      <w:pPr>
        <w:rPr>
          <w:rFonts w:ascii="Calibri" w:hAnsi="Calibri" w:cs="Calibri"/>
          <w:sz w:val="22"/>
          <w:szCs w:val="22"/>
          <w:highlight w:val="yellow"/>
        </w:rPr>
      </w:pPr>
      <w:r w:rsidRPr="00FC6281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6F3AFA4" wp14:editId="0E01FF66">
            <wp:extent cx="5173980" cy="3002280"/>
            <wp:effectExtent l="0" t="0" r="7620" b="7620"/>
            <wp:docPr id="137269638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5F729" w14:textId="08370F86" w:rsidR="00691287" w:rsidRPr="00616069" w:rsidRDefault="00691287" w:rsidP="00691287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 xml:space="preserve">Pramen: </w:t>
      </w:r>
      <w:r w:rsidR="006F74BF">
        <w:rPr>
          <w:rFonts w:ascii="Calibri Light" w:hAnsi="Calibri Light" w:cs="Calibri Light"/>
          <w:color w:val="13576B"/>
          <w:sz w:val="20"/>
        </w:rPr>
        <w:t xml:space="preserve">ČNB, </w:t>
      </w:r>
      <w:r w:rsidRPr="002F4CBD">
        <w:rPr>
          <w:rFonts w:ascii="Calibri Light" w:hAnsi="Calibri Light" w:cs="Calibri Light"/>
          <w:color w:val="13576B"/>
          <w:sz w:val="20"/>
        </w:rPr>
        <w:t xml:space="preserve">ČBA </w:t>
      </w:r>
      <w:proofErr w:type="spellStart"/>
      <w:r w:rsidRPr="002F4CBD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31FA0ABF" w14:textId="0D9D88DE" w:rsidR="005874B8" w:rsidRDefault="005874B8" w:rsidP="005874B8">
      <w:pPr>
        <w:rPr>
          <w:rFonts w:ascii="Calibri" w:hAnsi="Calibri" w:cs="Calibri"/>
          <w:sz w:val="22"/>
          <w:szCs w:val="22"/>
          <w:highlight w:val="yellow"/>
        </w:rPr>
      </w:pPr>
    </w:p>
    <w:p w14:paraId="6C7EAB99" w14:textId="77777777" w:rsidR="0013679D" w:rsidRDefault="0013679D" w:rsidP="00DD1BFF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4" w:name="_Hlk137652102"/>
    </w:p>
    <w:p w14:paraId="3E76E888" w14:textId="68B283A9" w:rsidR="00AA0D5A" w:rsidRPr="008F7CC9" w:rsidRDefault="00900CC0" w:rsidP="008F7CC9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Tržní úrokové sazby</w:t>
      </w:r>
      <w:r w:rsidR="000F30E9">
        <w:rPr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  <w:r w:rsidR="000F30E9" w:rsidRPr="00452B0E">
        <w:rPr>
          <w:rStyle w:val="Znakapoznpodarou"/>
          <w:rFonts w:ascii="Calibri" w:hAnsi="Calibri" w:cs="Calibri"/>
          <w:i/>
          <w:iCs/>
          <w:color w:val="000000" w:themeColor="text1"/>
          <w:sz w:val="22"/>
          <w:szCs w:val="22"/>
        </w:rPr>
        <w:footnoteReference w:id="1"/>
      </w:r>
      <w:r w:rsidR="000F30E9" w:rsidRPr="000F30E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0F30E9" w:rsidRPr="00452B0E">
        <w:rPr>
          <w:rFonts w:ascii="Calibri" w:hAnsi="Calibri" w:cs="Calibri"/>
          <w:b/>
          <w:bCs/>
          <w:color w:val="000000" w:themeColor="text1"/>
          <w:sz w:val="22"/>
          <w:szCs w:val="22"/>
        </w:rPr>
        <w:t>které mají klíčový vliv na hypoteční sazby</w:t>
      </w:r>
      <w:r w:rsidR="000F30E9">
        <w:rPr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se v květnu držely na nižších úrovních než v prvním čtvrtletí, ale červnový </w:t>
      </w:r>
      <w:r w:rsidR="000F30E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obrat vzhůru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připomíná limitovanou cestu k nižším úrokovým sazbám</w:t>
      </w:r>
      <w:r w:rsidRPr="000F30E9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8F7CC9" w:rsidRPr="00452B0E">
        <w:rPr>
          <w:rFonts w:ascii="Calibri" w:hAnsi="Calibri" w:cs="Calibri"/>
          <w:color w:val="000000" w:themeColor="text1"/>
          <w:sz w:val="22"/>
          <w:szCs w:val="22"/>
        </w:rPr>
        <w:t>Například české pětileté úrokové swapy v </w:t>
      </w:r>
      <w:r w:rsidR="008F7CC9">
        <w:rPr>
          <w:rFonts w:ascii="Calibri" w:hAnsi="Calibri" w:cs="Calibri"/>
          <w:color w:val="000000" w:themeColor="text1"/>
          <w:sz w:val="22"/>
          <w:szCs w:val="22"/>
        </w:rPr>
        <w:t>květnu</w:t>
      </w:r>
      <w:r w:rsidR="008F7CC9" w:rsidRPr="00452B0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F7CC9">
        <w:rPr>
          <w:rFonts w:ascii="Calibri" w:hAnsi="Calibri" w:cs="Calibri"/>
          <w:color w:val="000000" w:themeColor="text1"/>
          <w:sz w:val="22"/>
          <w:szCs w:val="22"/>
        </w:rPr>
        <w:t xml:space="preserve">lehce stouply </w:t>
      </w:r>
      <w:r w:rsidR="008F7CC9" w:rsidRPr="00452B0E">
        <w:rPr>
          <w:rFonts w:ascii="Calibri" w:hAnsi="Calibri" w:cs="Calibri"/>
          <w:color w:val="000000" w:themeColor="text1"/>
          <w:sz w:val="22"/>
          <w:szCs w:val="22"/>
        </w:rPr>
        <w:t xml:space="preserve">o </w:t>
      </w:r>
      <w:proofErr w:type="gramStart"/>
      <w:r w:rsidR="008F7CC9" w:rsidRPr="00452B0E">
        <w:rPr>
          <w:rFonts w:ascii="Calibri" w:hAnsi="Calibri" w:cs="Calibri"/>
          <w:color w:val="000000" w:themeColor="text1"/>
          <w:sz w:val="22"/>
          <w:szCs w:val="22"/>
        </w:rPr>
        <w:t>0,</w:t>
      </w:r>
      <w:r w:rsidR="008F7CC9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8F7CC9" w:rsidRPr="00452B0E">
        <w:rPr>
          <w:rFonts w:ascii="Calibri" w:hAnsi="Calibri" w:cs="Calibri"/>
          <w:color w:val="000000" w:themeColor="text1"/>
          <w:sz w:val="22"/>
          <w:szCs w:val="22"/>
        </w:rPr>
        <w:t>%</w:t>
      </w:r>
      <w:proofErr w:type="gramEnd"/>
      <w:r w:rsidR="008F7CC9" w:rsidRPr="00452B0E">
        <w:rPr>
          <w:rFonts w:ascii="Calibri" w:hAnsi="Calibri" w:cs="Calibri"/>
          <w:color w:val="000000" w:themeColor="text1"/>
          <w:sz w:val="22"/>
          <w:szCs w:val="22"/>
        </w:rPr>
        <w:t xml:space="preserve"> bodu na 3,</w:t>
      </w:r>
      <w:r w:rsidR="008F7CC9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8F7CC9" w:rsidRPr="00452B0E">
        <w:rPr>
          <w:rFonts w:ascii="Calibri" w:hAnsi="Calibri" w:cs="Calibri"/>
          <w:color w:val="000000" w:themeColor="text1"/>
          <w:sz w:val="22"/>
          <w:szCs w:val="22"/>
        </w:rPr>
        <w:t xml:space="preserve"> % z </w:t>
      </w:r>
      <w:r w:rsidR="008F7CC9">
        <w:rPr>
          <w:rFonts w:ascii="Calibri" w:hAnsi="Calibri" w:cs="Calibri"/>
          <w:color w:val="000000" w:themeColor="text1"/>
          <w:sz w:val="22"/>
          <w:szCs w:val="22"/>
        </w:rPr>
        <w:t>dubnových</w:t>
      </w:r>
      <w:r w:rsidR="008F7CC9" w:rsidRPr="00452B0E">
        <w:rPr>
          <w:rFonts w:ascii="Calibri" w:hAnsi="Calibri" w:cs="Calibri"/>
          <w:color w:val="000000" w:themeColor="text1"/>
          <w:sz w:val="22"/>
          <w:szCs w:val="22"/>
        </w:rPr>
        <w:t xml:space="preserve"> 3,</w:t>
      </w:r>
      <w:r w:rsidR="008F7CC9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8F7CC9" w:rsidRPr="00452B0E">
        <w:rPr>
          <w:rFonts w:ascii="Calibri" w:hAnsi="Calibri" w:cs="Calibri"/>
          <w:color w:val="000000" w:themeColor="text1"/>
          <w:sz w:val="22"/>
          <w:szCs w:val="22"/>
        </w:rPr>
        <w:t xml:space="preserve"> %</w:t>
      </w:r>
      <w:r w:rsidR="008F7CC9">
        <w:rPr>
          <w:rFonts w:ascii="Calibri" w:hAnsi="Calibri" w:cs="Calibri"/>
          <w:color w:val="000000" w:themeColor="text1"/>
          <w:sz w:val="22"/>
          <w:szCs w:val="22"/>
        </w:rPr>
        <w:t>, ale zůstávají pod březnovými 3,6 %</w:t>
      </w:r>
      <w:r w:rsidR="008F7CC9" w:rsidRPr="00452B0E">
        <w:rPr>
          <w:rFonts w:ascii="Calibri" w:hAnsi="Calibri" w:cs="Calibri"/>
          <w:color w:val="000000" w:themeColor="text1"/>
          <w:sz w:val="22"/>
          <w:szCs w:val="22"/>
        </w:rPr>
        <w:t xml:space="preserve">. Na druhou stranu se tím ovšem navrátily na úroveň konce léta 2024. Ovšem spíše pozitivní či proinflační data v květnu prozatím navrátila pětileté swapy na 3,4 %. </w:t>
      </w:r>
      <w:r w:rsidR="000F30E9" w:rsidRPr="000F30E9">
        <w:rPr>
          <w:rFonts w:ascii="Calibri" w:hAnsi="Calibri" w:cs="Calibri"/>
          <w:color w:val="000000" w:themeColor="text1"/>
          <w:sz w:val="22"/>
          <w:szCs w:val="22"/>
        </w:rPr>
        <w:t xml:space="preserve">Návrat tržních úrokových sazeb na vyšší úrovně </w:t>
      </w:r>
      <w:r w:rsidR="008F7CC9">
        <w:rPr>
          <w:rFonts w:ascii="Calibri" w:hAnsi="Calibri" w:cs="Calibri"/>
          <w:color w:val="000000" w:themeColor="text1"/>
          <w:sz w:val="22"/>
          <w:szCs w:val="22"/>
        </w:rPr>
        <w:t xml:space="preserve">odráží pohyb amerických úroků nahoru, ale i domácí  faktory, a to </w:t>
      </w:r>
      <w:r w:rsidR="000F30E9" w:rsidRPr="000F30E9">
        <w:rPr>
          <w:rFonts w:ascii="Calibri" w:hAnsi="Calibri" w:cs="Calibri"/>
          <w:color w:val="000000" w:themeColor="text1"/>
          <w:sz w:val="22"/>
          <w:szCs w:val="22"/>
        </w:rPr>
        <w:t xml:space="preserve">především: </w:t>
      </w:r>
      <w:r w:rsidR="008F7CC9">
        <w:rPr>
          <w:rFonts w:ascii="Calibri" w:hAnsi="Calibri" w:cs="Calibri"/>
          <w:color w:val="000000" w:themeColor="text1"/>
          <w:sz w:val="22"/>
          <w:szCs w:val="22"/>
        </w:rPr>
        <w:t xml:space="preserve">i) </w:t>
      </w:r>
      <w:r w:rsidR="000F30E9" w:rsidRPr="000F30E9">
        <w:rPr>
          <w:rFonts w:ascii="Calibri" w:hAnsi="Calibri" w:cs="Calibri"/>
          <w:color w:val="000000" w:themeColor="text1"/>
          <w:sz w:val="22"/>
          <w:szCs w:val="22"/>
        </w:rPr>
        <w:t xml:space="preserve">jestřábí květnové snížení úrokové sazby ČNB na 3,5 % s jedním radním hlasujícím pro stabilitu; </w:t>
      </w:r>
      <w:proofErr w:type="spellStart"/>
      <w:r w:rsidR="008F7CC9">
        <w:rPr>
          <w:rFonts w:ascii="Calibri" w:hAnsi="Calibri" w:cs="Calibri"/>
          <w:color w:val="000000" w:themeColor="text1"/>
          <w:sz w:val="22"/>
          <w:szCs w:val="22"/>
        </w:rPr>
        <w:t>ii</w:t>
      </w:r>
      <w:proofErr w:type="spellEnd"/>
      <w:r w:rsidR="008F7CC9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  <w:r w:rsidR="000F30E9" w:rsidRPr="000F30E9">
        <w:rPr>
          <w:rFonts w:ascii="Calibri" w:hAnsi="Calibri" w:cs="Calibri"/>
          <w:color w:val="000000" w:themeColor="text1"/>
          <w:sz w:val="22"/>
          <w:szCs w:val="22"/>
        </w:rPr>
        <w:t xml:space="preserve">květnový návrat vyššího růstu českých </w:t>
      </w:r>
      <w:hyperlink r:id="rId13" w:history="1">
        <w:r w:rsidR="000F30E9" w:rsidRPr="004951FE">
          <w:rPr>
            <w:rStyle w:val="Hypertextovodkaz"/>
            <w:rFonts w:ascii="Calibri" w:hAnsi="Calibri" w:cs="Calibri"/>
            <w:sz w:val="22"/>
            <w:szCs w:val="22"/>
          </w:rPr>
          <w:t>spotřebitelsk</w:t>
        </w:r>
        <w:r w:rsidR="000F30E9" w:rsidRPr="004951FE">
          <w:rPr>
            <w:rStyle w:val="Hypertextovodkaz"/>
            <w:rFonts w:ascii="Calibri" w:hAnsi="Calibri" w:cs="Calibri"/>
            <w:sz w:val="22"/>
            <w:szCs w:val="22"/>
          </w:rPr>
          <w:t>ý</w:t>
        </w:r>
        <w:r w:rsidR="000F30E9" w:rsidRPr="004951FE">
          <w:rPr>
            <w:rStyle w:val="Hypertextovodkaz"/>
            <w:rFonts w:ascii="Calibri" w:hAnsi="Calibri" w:cs="Calibri"/>
            <w:sz w:val="22"/>
            <w:szCs w:val="22"/>
          </w:rPr>
          <w:t>ch ce</w:t>
        </w:r>
        <w:r w:rsidR="000F30E9" w:rsidRPr="004951FE">
          <w:rPr>
            <w:rStyle w:val="Hypertextovodkaz"/>
            <w:rFonts w:ascii="Calibri" w:hAnsi="Calibri" w:cs="Calibri"/>
            <w:sz w:val="22"/>
            <w:szCs w:val="22"/>
          </w:rPr>
          <w:t>n</w:t>
        </w:r>
      </w:hyperlink>
      <w:r w:rsidR="000F30E9" w:rsidRPr="000F30E9">
        <w:rPr>
          <w:rFonts w:ascii="Calibri" w:hAnsi="Calibri" w:cs="Calibri"/>
          <w:color w:val="000000" w:themeColor="text1"/>
          <w:sz w:val="22"/>
          <w:szCs w:val="22"/>
        </w:rPr>
        <w:t xml:space="preserve"> na 2,4 % meziročně s přetrvávajícím silným momentem jádrové inflace (3,4 % </w:t>
      </w:r>
      <w:proofErr w:type="spellStart"/>
      <w:r w:rsidR="000F30E9" w:rsidRPr="000F30E9">
        <w:rPr>
          <w:rFonts w:ascii="Calibri" w:hAnsi="Calibri" w:cs="Calibri"/>
          <w:color w:val="000000" w:themeColor="text1"/>
          <w:sz w:val="22"/>
          <w:szCs w:val="22"/>
        </w:rPr>
        <w:t>anualizovaně</w:t>
      </w:r>
      <w:proofErr w:type="spellEnd"/>
      <w:r w:rsidR="000F30E9" w:rsidRPr="000F30E9">
        <w:rPr>
          <w:rFonts w:ascii="Calibri" w:hAnsi="Calibri" w:cs="Calibri"/>
          <w:color w:val="000000" w:themeColor="text1"/>
          <w:sz w:val="22"/>
          <w:szCs w:val="22"/>
        </w:rPr>
        <w:t xml:space="preserve">); </w:t>
      </w:r>
      <w:proofErr w:type="spellStart"/>
      <w:r w:rsidR="008F7CC9">
        <w:rPr>
          <w:rFonts w:ascii="Calibri" w:hAnsi="Calibri" w:cs="Calibri"/>
          <w:color w:val="000000" w:themeColor="text1"/>
          <w:sz w:val="22"/>
          <w:szCs w:val="22"/>
        </w:rPr>
        <w:t>iii</w:t>
      </w:r>
      <w:proofErr w:type="spellEnd"/>
      <w:r w:rsidR="008F7CC9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  <w:r w:rsidR="000F30E9" w:rsidRPr="000F30E9">
        <w:rPr>
          <w:rFonts w:ascii="Calibri" w:hAnsi="Calibri" w:cs="Calibri"/>
          <w:color w:val="000000" w:themeColor="text1"/>
          <w:sz w:val="22"/>
          <w:szCs w:val="22"/>
        </w:rPr>
        <w:t xml:space="preserve">k tomu se přidává pokračující pozitivní překvapení ekonomické aktivity se stále proinflačním </w:t>
      </w:r>
      <w:hyperlink r:id="rId14" w:history="1">
        <w:r w:rsidR="000F30E9" w:rsidRPr="004951FE">
          <w:rPr>
            <w:rStyle w:val="Hypertextovodkaz"/>
            <w:rFonts w:ascii="Calibri" w:hAnsi="Calibri" w:cs="Calibri"/>
            <w:sz w:val="22"/>
            <w:szCs w:val="22"/>
          </w:rPr>
          <w:t>m</w:t>
        </w:r>
        <w:r w:rsidR="000F30E9" w:rsidRPr="004951FE">
          <w:rPr>
            <w:rStyle w:val="Hypertextovodkaz"/>
            <w:rFonts w:ascii="Calibri" w:hAnsi="Calibri" w:cs="Calibri"/>
            <w:sz w:val="22"/>
            <w:szCs w:val="22"/>
          </w:rPr>
          <w:t>z</w:t>
        </w:r>
        <w:r w:rsidR="000F30E9" w:rsidRPr="004951FE">
          <w:rPr>
            <w:rStyle w:val="Hypertextovodkaz"/>
            <w:rFonts w:ascii="Calibri" w:hAnsi="Calibri" w:cs="Calibri"/>
            <w:sz w:val="22"/>
            <w:szCs w:val="22"/>
          </w:rPr>
          <w:t>d</w:t>
        </w:r>
        <w:r w:rsidR="000F30E9" w:rsidRPr="004951FE">
          <w:rPr>
            <w:rStyle w:val="Hypertextovodkaz"/>
            <w:rFonts w:ascii="Calibri" w:hAnsi="Calibri" w:cs="Calibri"/>
            <w:sz w:val="22"/>
            <w:szCs w:val="22"/>
          </w:rPr>
          <w:t>o</w:t>
        </w:r>
        <w:r w:rsidR="000F30E9" w:rsidRPr="004951FE">
          <w:rPr>
            <w:rStyle w:val="Hypertextovodkaz"/>
            <w:rFonts w:ascii="Calibri" w:hAnsi="Calibri" w:cs="Calibri"/>
            <w:sz w:val="22"/>
            <w:szCs w:val="22"/>
          </w:rPr>
          <w:t>vým růstem</w:t>
        </w:r>
      </w:hyperlink>
      <w:r w:rsidR="000F30E9" w:rsidRPr="000F30E9">
        <w:rPr>
          <w:rFonts w:ascii="Calibri" w:hAnsi="Calibri" w:cs="Calibri"/>
          <w:color w:val="000000" w:themeColor="text1"/>
          <w:sz w:val="22"/>
          <w:szCs w:val="22"/>
        </w:rPr>
        <w:t xml:space="preserve"> navzdory vyšší registrované nezaměstnanosti</w:t>
      </w:r>
      <w:r w:rsidR="000F30E9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0345F2E3" w14:textId="77777777" w:rsidR="00DD1BFF" w:rsidRPr="00452B0E" w:rsidRDefault="00DD1BFF" w:rsidP="00DD1BFF">
      <w:pPr>
        <w:rPr>
          <w:rFonts w:ascii="Calibri" w:hAnsi="Calibri" w:cs="Calibri"/>
          <w:color w:val="FF0000"/>
          <w:sz w:val="22"/>
          <w:szCs w:val="22"/>
        </w:rPr>
      </w:pPr>
    </w:p>
    <w:p w14:paraId="2D839DE5" w14:textId="2884B660" w:rsidR="00DD1BFF" w:rsidRDefault="00DD1BFF" w:rsidP="00DD1B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52B0E">
        <w:rPr>
          <w:rFonts w:ascii="Calibri" w:hAnsi="Calibri" w:cs="Calibri"/>
          <w:b/>
          <w:bCs/>
          <w:color w:val="000000" w:themeColor="text1"/>
          <w:sz w:val="22"/>
          <w:szCs w:val="22"/>
        </w:rPr>
        <w:t>Úroková hypoteční sazba na nové hypotéky v </w:t>
      </w:r>
      <w:r w:rsidR="004951FE">
        <w:rPr>
          <w:rFonts w:ascii="Calibri" w:hAnsi="Calibri" w:cs="Calibri"/>
          <w:b/>
          <w:bCs/>
          <w:color w:val="000000" w:themeColor="text1"/>
          <w:sz w:val="22"/>
          <w:szCs w:val="22"/>
        </w:rPr>
        <w:t>květnu</w:t>
      </w:r>
      <w:r w:rsidRPr="00452B0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dle </w:t>
      </w:r>
      <w:proofErr w:type="spellStart"/>
      <w:r w:rsidRPr="00452B0E">
        <w:rPr>
          <w:rFonts w:ascii="Calibri" w:hAnsi="Calibri" w:cs="Calibri"/>
          <w:b/>
          <w:bCs/>
          <w:color w:val="000000" w:themeColor="text1"/>
          <w:sz w:val="22"/>
          <w:szCs w:val="22"/>
        </w:rPr>
        <w:t>Hypomonitoru</w:t>
      </w:r>
      <w:proofErr w:type="spellEnd"/>
      <w:r w:rsidRPr="00452B0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spadla na 4,6</w:t>
      </w:r>
      <w:r w:rsidR="004951FE">
        <w:rPr>
          <w:rFonts w:ascii="Calibri" w:hAnsi="Calibri" w:cs="Calibri"/>
          <w:b/>
          <w:bCs/>
          <w:color w:val="000000" w:themeColor="text1"/>
          <w:sz w:val="22"/>
          <w:szCs w:val="22"/>
        </w:rPr>
        <w:t>0</w:t>
      </w:r>
      <w:r w:rsidRPr="00452B0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%. Nacházela se tak přibližně </w:t>
      </w:r>
      <w:proofErr w:type="gramStart"/>
      <w:r w:rsidRPr="00452B0E">
        <w:rPr>
          <w:rFonts w:ascii="Calibri" w:hAnsi="Calibri" w:cs="Calibri"/>
          <w:b/>
          <w:bCs/>
          <w:color w:val="000000" w:themeColor="text1"/>
          <w:sz w:val="22"/>
          <w:szCs w:val="22"/>
        </w:rPr>
        <w:t>1,</w:t>
      </w:r>
      <w:r w:rsidR="004951FE">
        <w:rPr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Pr="00452B0E">
        <w:rPr>
          <w:rFonts w:ascii="Calibri" w:hAnsi="Calibri" w:cs="Calibri"/>
          <w:b/>
          <w:bCs/>
          <w:color w:val="000000" w:themeColor="text1"/>
          <w:sz w:val="22"/>
          <w:szCs w:val="22"/>
        </w:rPr>
        <w:t>%</w:t>
      </w:r>
      <w:proofErr w:type="gramEnd"/>
      <w:r w:rsidRPr="00452B0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bodu na průměrnými tržními swapovými sazbami, což je přibližně o </w:t>
      </w:r>
      <w:proofErr w:type="gramStart"/>
      <w:r w:rsidRPr="00452B0E">
        <w:rPr>
          <w:rFonts w:ascii="Calibri" w:hAnsi="Calibri" w:cs="Calibri"/>
          <w:b/>
          <w:bCs/>
          <w:color w:val="000000" w:themeColor="text1"/>
          <w:sz w:val="22"/>
          <w:szCs w:val="22"/>
        </w:rPr>
        <w:t>0,</w:t>
      </w:r>
      <w:r w:rsidR="008F7CC9">
        <w:rPr>
          <w:rFonts w:ascii="Calibri" w:hAnsi="Calibri" w:cs="Calibri"/>
          <w:b/>
          <w:bCs/>
          <w:color w:val="000000" w:themeColor="text1"/>
          <w:sz w:val="22"/>
          <w:szCs w:val="22"/>
        </w:rPr>
        <w:t>14</w:t>
      </w:r>
      <w:r w:rsidRPr="00452B0E">
        <w:rPr>
          <w:rFonts w:ascii="Calibri" w:hAnsi="Calibri" w:cs="Calibri"/>
          <w:b/>
          <w:bCs/>
          <w:color w:val="000000" w:themeColor="text1"/>
          <w:sz w:val="22"/>
          <w:szCs w:val="22"/>
        </w:rPr>
        <w:t>%</w:t>
      </w:r>
      <w:proofErr w:type="gramEnd"/>
      <w:r w:rsidRPr="00452B0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bodu nad dlouhodobým průměrem od roku 2014</w:t>
      </w:r>
      <w:r w:rsidRPr="00452B0E">
        <w:rPr>
          <w:rFonts w:ascii="Calibri" w:hAnsi="Calibri" w:cs="Calibri"/>
          <w:color w:val="000000" w:themeColor="text1"/>
          <w:sz w:val="22"/>
          <w:szCs w:val="22"/>
        </w:rPr>
        <w:t>. Pokud nedojde k výraznější korekci tržních úrokových sazeb směrem vzhůru (což by bylo možné ve scénáři vymizení rizika celních válek, tedy se silnějším růstem ekonomiky), pak by současný rozdíl mezi hypoteční a tržní sazbou měl přispět k dalšímu poklesu hypoteční sazby.</w:t>
      </w:r>
    </w:p>
    <w:p w14:paraId="72BA0646" w14:textId="77777777" w:rsidR="008F7CC9" w:rsidRDefault="008F7CC9" w:rsidP="00DD1BFF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CDC5BB1" w14:textId="77777777" w:rsidR="00D42155" w:rsidRDefault="00D42155" w:rsidP="00DD1BFF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AEA41E0" w14:textId="3CB249DF" w:rsidR="008F7CC9" w:rsidRDefault="008F7CC9" w:rsidP="008F7CC9">
      <w:pPr>
        <w:rPr>
          <w:rFonts w:ascii="Calibri" w:hAnsi="Calibri" w:cs="Calibri"/>
          <w:b/>
          <w:color w:val="13576B"/>
          <w:sz w:val="23"/>
          <w:szCs w:val="23"/>
        </w:rPr>
      </w:pPr>
      <w:r>
        <w:rPr>
          <w:rFonts w:ascii="Calibri" w:hAnsi="Calibri" w:cs="Calibri"/>
          <w:b/>
          <w:color w:val="13576B"/>
          <w:sz w:val="23"/>
          <w:szCs w:val="23"/>
        </w:rPr>
        <w:t>Tržní dlouhodobé sazby zůstávají od druhé poloviny loňského roku v nezměněném rozpětí</w:t>
      </w:r>
    </w:p>
    <w:p w14:paraId="522B8972" w14:textId="2E458D82" w:rsidR="008F7CC9" w:rsidRDefault="008F7CC9" w:rsidP="00DD1B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8F7CC9">
        <w:rPr>
          <w:rFonts w:ascii="Calibri" w:hAnsi="Calibri" w:cs="Calibri"/>
          <w:noProof/>
          <w:color w:val="000000" w:themeColor="text1"/>
          <w:sz w:val="22"/>
          <w:szCs w:val="22"/>
        </w:rPr>
        <w:drawing>
          <wp:inline distT="0" distB="0" distL="0" distR="0" wp14:anchorId="445D653E" wp14:editId="260CAD69">
            <wp:extent cx="4352925" cy="2586686"/>
            <wp:effectExtent l="0" t="0" r="0" b="4445"/>
            <wp:docPr id="177962397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613" cy="25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87822" w14:textId="1BAD012F" w:rsidR="008F7CC9" w:rsidRDefault="008F7CC9" w:rsidP="00DD1B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AA62A7">
        <w:rPr>
          <w:rFonts w:asciiTheme="minorHAnsi" w:hAnsiTheme="minorHAnsi" w:cstheme="minorHAnsi"/>
          <w:color w:val="2F5496" w:themeColor="accent5" w:themeShade="BF"/>
          <w:sz w:val="20"/>
        </w:rPr>
        <w:t>Pramen</w:t>
      </w:r>
      <w:r w:rsidRPr="00AA62A7">
        <w:rPr>
          <w:rFonts w:asciiTheme="minorHAnsi" w:hAnsiTheme="minorHAnsi" w:cstheme="minorHAnsi"/>
          <w:color w:val="13576B"/>
          <w:sz w:val="20"/>
        </w:rPr>
        <w:t xml:space="preserve">: </w:t>
      </w:r>
      <w:proofErr w:type="spellStart"/>
      <w:r>
        <w:rPr>
          <w:rFonts w:asciiTheme="minorHAnsi" w:hAnsiTheme="minorHAnsi" w:cstheme="minorHAnsi"/>
          <w:color w:val="13576B"/>
          <w:sz w:val="20"/>
        </w:rPr>
        <w:t>Eikon</w:t>
      </w:r>
      <w:proofErr w:type="spellEnd"/>
      <w:r>
        <w:rPr>
          <w:rFonts w:asciiTheme="minorHAnsi" w:hAnsiTheme="minorHAnsi" w:cstheme="minorHAnsi"/>
          <w:color w:val="13576B"/>
          <w:sz w:val="20"/>
        </w:rPr>
        <w:t xml:space="preserve">, </w:t>
      </w:r>
      <w:r w:rsidRPr="00AA62A7">
        <w:rPr>
          <w:rFonts w:asciiTheme="minorHAnsi" w:hAnsiTheme="minorHAnsi" w:cstheme="minorHAnsi"/>
          <w:color w:val="13576B"/>
          <w:sz w:val="20"/>
        </w:rPr>
        <w:t xml:space="preserve">ČBA </w:t>
      </w:r>
      <w:r w:rsidRPr="00AA62A7">
        <w:rPr>
          <w:rStyle w:val="Znakapoznpodarou"/>
          <w:rFonts w:asciiTheme="minorHAnsi" w:hAnsiTheme="minorHAnsi" w:cstheme="minorHAnsi"/>
          <w:color w:val="2F5496" w:themeColor="accent5" w:themeShade="BF"/>
          <w:sz w:val="20"/>
        </w:rPr>
        <w:footnoteReference w:id="2"/>
      </w:r>
    </w:p>
    <w:p w14:paraId="4F9E18AA" w14:textId="77777777" w:rsidR="008F7CC9" w:rsidRPr="00452B0E" w:rsidRDefault="008F7CC9" w:rsidP="00DD1BFF">
      <w:pPr>
        <w:rPr>
          <w:rFonts w:ascii="Calibri" w:hAnsi="Calibri" w:cs="Calibri"/>
          <w:color w:val="FF0000"/>
          <w:sz w:val="22"/>
          <w:szCs w:val="22"/>
        </w:rPr>
      </w:pPr>
    </w:p>
    <w:p w14:paraId="2D4D3336" w14:textId="7C73237D" w:rsidR="00DD1BFF" w:rsidRPr="00F94C20" w:rsidRDefault="00DD1BFF" w:rsidP="00DD1BFF">
      <w:pPr>
        <w:rPr>
          <w:rFonts w:ascii="Calibri" w:hAnsi="Calibri" w:cs="Calibri"/>
          <w:color w:val="FF0000"/>
          <w:sz w:val="22"/>
          <w:szCs w:val="22"/>
        </w:rPr>
      </w:pPr>
    </w:p>
    <w:p w14:paraId="4C111FFA" w14:textId="1D2CAEDA" w:rsidR="00A9017B" w:rsidRPr="00A02F5D" w:rsidRDefault="00A9017B" w:rsidP="00B04FE2">
      <w:pPr>
        <w:rPr>
          <w:rFonts w:ascii="Calibri" w:hAnsi="Calibri" w:cs="Calibri"/>
          <w:b/>
          <w:color w:val="13576B"/>
          <w:sz w:val="24"/>
          <w:szCs w:val="24"/>
        </w:rPr>
      </w:pPr>
      <w:bookmarkStart w:id="5" w:name="_Hlk100672905"/>
      <w:bookmarkEnd w:id="4"/>
    </w:p>
    <w:p w14:paraId="72E83631" w14:textId="1D08BEB1" w:rsidR="00B04FE2" w:rsidRPr="00A02F5D" w:rsidRDefault="00E4296A" w:rsidP="00B04FE2">
      <w:pPr>
        <w:rPr>
          <w:rFonts w:ascii="Calibri" w:hAnsi="Calibri" w:cs="Calibri"/>
          <w:b/>
          <w:color w:val="13576B"/>
          <w:sz w:val="24"/>
          <w:szCs w:val="24"/>
        </w:rPr>
      </w:pPr>
      <w:r w:rsidRPr="00A02F5D">
        <w:rPr>
          <w:rFonts w:ascii="Calibri" w:hAnsi="Calibri" w:cs="Calibri"/>
          <w:b/>
          <w:color w:val="13576B"/>
          <w:sz w:val="24"/>
          <w:szCs w:val="24"/>
        </w:rPr>
        <w:t xml:space="preserve">Průměrná velikost </w:t>
      </w:r>
      <w:r w:rsidR="00D73AAF" w:rsidRPr="00A02F5D">
        <w:rPr>
          <w:rFonts w:ascii="Calibri" w:hAnsi="Calibri" w:cs="Calibri"/>
          <w:b/>
          <w:color w:val="13576B"/>
          <w:sz w:val="24"/>
          <w:szCs w:val="24"/>
        </w:rPr>
        <w:t xml:space="preserve">hypotéky </w:t>
      </w:r>
      <w:r w:rsidR="00AF2306">
        <w:rPr>
          <w:rFonts w:ascii="Calibri" w:hAnsi="Calibri" w:cs="Calibri"/>
          <w:b/>
          <w:color w:val="13576B"/>
          <w:sz w:val="24"/>
          <w:szCs w:val="24"/>
        </w:rPr>
        <w:t>v</w:t>
      </w:r>
      <w:r w:rsidR="00436F5C">
        <w:rPr>
          <w:rFonts w:ascii="Calibri" w:hAnsi="Calibri" w:cs="Calibri"/>
          <w:b/>
          <w:color w:val="13576B"/>
          <w:sz w:val="24"/>
          <w:szCs w:val="24"/>
        </w:rPr>
        <w:t> dubnu nepatrně stoupla, ale více stoupla u hypoték určených ke koupi</w:t>
      </w:r>
    </w:p>
    <w:p w14:paraId="584715CE" w14:textId="77777777" w:rsidR="002725DA" w:rsidRPr="00A02F5D" w:rsidRDefault="002725DA" w:rsidP="00B04FE2">
      <w:pPr>
        <w:rPr>
          <w:rFonts w:ascii="Calibri" w:hAnsi="Calibri" w:cs="Calibri"/>
          <w:b/>
          <w:color w:val="13576B"/>
          <w:sz w:val="24"/>
          <w:szCs w:val="24"/>
        </w:rPr>
      </w:pPr>
    </w:p>
    <w:p w14:paraId="1969CFEE" w14:textId="6380439F" w:rsidR="002725DA" w:rsidRDefault="002725DA" w:rsidP="00436F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2725DA">
        <w:rPr>
          <w:rFonts w:ascii="Calibri" w:hAnsi="Calibri" w:cs="Calibri"/>
          <w:b/>
          <w:bCs/>
          <w:color w:val="000000"/>
          <w:sz w:val="22"/>
          <w:szCs w:val="22"/>
        </w:rPr>
        <w:t xml:space="preserve">Průměrná velikost skutečně nově poskytnuté hypotéky v květnu mírně stoupla na 4,14 mil. Kč, tedy o více než 1 % meziměsíčně. </w:t>
      </w:r>
      <w:r w:rsidR="00E96618">
        <w:rPr>
          <w:rFonts w:ascii="Calibri" w:hAnsi="Calibri" w:cs="Calibri"/>
          <w:color w:val="000000"/>
          <w:sz w:val="22"/>
          <w:szCs w:val="22"/>
        </w:rPr>
        <w:t>Nachází se tak již čtvrtý měsíc v řadě na</w:t>
      </w:r>
      <w:r w:rsidR="00C70598">
        <w:rPr>
          <w:rFonts w:ascii="Calibri" w:hAnsi="Calibri" w:cs="Calibri"/>
          <w:color w:val="000000"/>
          <w:sz w:val="22"/>
          <w:szCs w:val="22"/>
        </w:rPr>
        <w:t>d</w:t>
      </w:r>
      <w:r w:rsidR="00E96618">
        <w:rPr>
          <w:rFonts w:ascii="Calibri" w:hAnsi="Calibri" w:cs="Calibri"/>
          <w:color w:val="000000"/>
          <w:sz w:val="22"/>
          <w:szCs w:val="22"/>
        </w:rPr>
        <w:t xml:space="preserve"> 4 mili</w:t>
      </w:r>
      <w:r w:rsidR="00C70598">
        <w:rPr>
          <w:rFonts w:ascii="Calibri" w:hAnsi="Calibri" w:cs="Calibri"/>
          <w:color w:val="000000"/>
          <w:sz w:val="22"/>
          <w:szCs w:val="22"/>
        </w:rPr>
        <w:t>o</w:t>
      </w:r>
      <w:r w:rsidR="00E96618">
        <w:rPr>
          <w:rFonts w:ascii="Calibri" w:hAnsi="Calibri" w:cs="Calibri"/>
          <w:color w:val="000000"/>
          <w:sz w:val="22"/>
          <w:szCs w:val="22"/>
        </w:rPr>
        <w:t xml:space="preserve">novou hodnotou. </w:t>
      </w:r>
      <w:r w:rsidRPr="002725DA">
        <w:rPr>
          <w:rFonts w:ascii="Calibri" w:hAnsi="Calibri" w:cs="Calibri"/>
          <w:color w:val="000000"/>
          <w:sz w:val="22"/>
          <w:szCs w:val="22"/>
        </w:rPr>
        <w:t>Její velikost je tak o 15 % vyšší než 3,61 mil. Kč před rokem. Odhlédneme-li od mimořádné hodnoty téměř 4 mil. Kč v srpnu 2024 (vliv nové legislativy), tak průměrná hodnota od dubna</w:t>
      </w:r>
      <w:r w:rsidR="00E96618">
        <w:rPr>
          <w:rFonts w:ascii="Calibri" w:hAnsi="Calibri" w:cs="Calibri"/>
          <w:color w:val="000000"/>
          <w:sz w:val="22"/>
          <w:szCs w:val="22"/>
        </w:rPr>
        <w:t xml:space="preserve"> loňského roku</w:t>
      </w:r>
      <w:r w:rsidRPr="002725DA">
        <w:rPr>
          <w:rFonts w:ascii="Calibri" w:hAnsi="Calibri" w:cs="Calibri"/>
          <w:color w:val="000000"/>
          <w:sz w:val="22"/>
          <w:szCs w:val="22"/>
        </w:rPr>
        <w:t xml:space="preserve"> postupně roste a o 20 % převyšuje předcházející rekordní úroveň z listopadu 2021 ve výši 3,46 mil. Kč. Dosáhnout na vyšší hypotéku umožňuje postupný pokles hypotečních sazeb, či postupný růst reálných příjmů domácností</w:t>
      </w:r>
      <w:r w:rsidR="00E96618">
        <w:rPr>
          <w:rFonts w:ascii="Calibri" w:hAnsi="Calibri" w:cs="Calibri"/>
          <w:color w:val="000000"/>
          <w:sz w:val="22"/>
          <w:szCs w:val="22"/>
        </w:rPr>
        <w:t xml:space="preserve"> (3,9 % meziročně v </w:t>
      </w:r>
      <w:hyperlink r:id="rId16" w:history="1">
        <w:r w:rsidR="00E96618" w:rsidRPr="00E96618">
          <w:rPr>
            <w:rStyle w:val="Hypertextovodkaz"/>
            <w:rFonts w:ascii="Calibri" w:hAnsi="Calibri" w:cs="Calibri"/>
            <w:sz w:val="22"/>
            <w:szCs w:val="22"/>
          </w:rPr>
          <w:t>Q</w:t>
        </w:r>
        <w:r w:rsidR="00E96618" w:rsidRPr="00E96618">
          <w:rPr>
            <w:rStyle w:val="Hypertextovodkaz"/>
            <w:rFonts w:ascii="Calibri" w:hAnsi="Calibri" w:cs="Calibri"/>
            <w:sz w:val="22"/>
            <w:szCs w:val="22"/>
          </w:rPr>
          <w:t>1</w:t>
        </w:r>
        <w:r w:rsidR="00E96618" w:rsidRPr="00E96618">
          <w:rPr>
            <w:rStyle w:val="Hypertextovodkaz"/>
            <w:rFonts w:ascii="Calibri" w:hAnsi="Calibri" w:cs="Calibri"/>
            <w:sz w:val="22"/>
            <w:szCs w:val="22"/>
          </w:rPr>
          <w:t>-2025</w:t>
        </w:r>
      </w:hyperlink>
      <w:r w:rsidR="00E96618">
        <w:rPr>
          <w:rFonts w:ascii="Calibri" w:hAnsi="Calibri" w:cs="Calibri"/>
          <w:color w:val="000000"/>
          <w:sz w:val="22"/>
          <w:szCs w:val="22"/>
        </w:rPr>
        <w:t>)</w:t>
      </w:r>
      <w:r w:rsidRPr="002725DA">
        <w:rPr>
          <w:rFonts w:ascii="Calibri" w:hAnsi="Calibri" w:cs="Calibri"/>
          <w:color w:val="000000"/>
          <w:sz w:val="22"/>
          <w:szCs w:val="22"/>
        </w:rPr>
        <w:t>, společně s pokračujícím</w:t>
      </w:r>
      <w:r w:rsidR="00E96618">
        <w:rPr>
          <w:rFonts w:ascii="Calibri" w:hAnsi="Calibri" w:cs="Calibri"/>
          <w:color w:val="000000"/>
          <w:sz w:val="22"/>
          <w:szCs w:val="22"/>
        </w:rPr>
        <w:t>i</w:t>
      </w:r>
      <w:r w:rsidRPr="002725DA">
        <w:rPr>
          <w:rFonts w:ascii="Calibri" w:hAnsi="Calibri" w:cs="Calibri"/>
          <w:color w:val="000000"/>
          <w:sz w:val="22"/>
          <w:szCs w:val="22"/>
        </w:rPr>
        <w:t xml:space="preserve"> uvolněn</w:t>
      </w:r>
      <w:r w:rsidR="00E96618">
        <w:rPr>
          <w:rFonts w:ascii="Calibri" w:hAnsi="Calibri" w:cs="Calibri"/>
          <w:color w:val="000000"/>
          <w:sz w:val="22"/>
          <w:szCs w:val="22"/>
        </w:rPr>
        <w:t>ými</w:t>
      </w:r>
      <w:r w:rsidRPr="002725D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725DA">
        <w:rPr>
          <w:rFonts w:ascii="Calibri" w:hAnsi="Calibri" w:cs="Calibri"/>
          <w:color w:val="000000"/>
          <w:sz w:val="22"/>
          <w:szCs w:val="22"/>
        </w:rPr>
        <w:t>makroobezřetnostní</w:t>
      </w:r>
      <w:r w:rsidR="00E96618">
        <w:rPr>
          <w:rFonts w:ascii="Calibri" w:hAnsi="Calibri" w:cs="Calibri"/>
          <w:color w:val="000000"/>
          <w:sz w:val="22"/>
          <w:szCs w:val="22"/>
        </w:rPr>
        <w:t>mi</w:t>
      </w:r>
      <w:proofErr w:type="spellEnd"/>
      <w:r w:rsidR="00E96618">
        <w:rPr>
          <w:rFonts w:ascii="Calibri" w:hAnsi="Calibri" w:cs="Calibri"/>
          <w:color w:val="000000"/>
          <w:sz w:val="22"/>
          <w:szCs w:val="22"/>
        </w:rPr>
        <w:t xml:space="preserve"> limity ohledně příjmů</w:t>
      </w:r>
      <w:r w:rsidRPr="002725DA">
        <w:rPr>
          <w:rFonts w:ascii="Calibri" w:hAnsi="Calibri" w:cs="Calibri"/>
          <w:color w:val="000000"/>
          <w:sz w:val="22"/>
          <w:szCs w:val="22"/>
        </w:rPr>
        <w:t xml:space="preserve"> ze strany ČNB</w:t>
      </w:r>
      <w:r w:rsidR="00E96618">
        <w:rPr>
          <w:rFonts w:ascii="Calibri" w:hAnsi="Calibri" w:cs="Calibri"/>
          <w:color w:val="000000"/>
          <w:sz w:val="22"/>
          <w:szCs w:val="22"/>
        </w:rPr>
        <w:t xml:space="preserve"> (pouze 80% limit LTV či </w:t>
      </w:r>
      <w:proofErr w:type="gramStart"/>
      <w:r w:rsidR="00E96618">
        <w:rPr>
          <w:rFonts w:ascii="Calibri" w:hAnsi="Calibri" w:cs="Calibri"/>
          <w:color w:val="000000"/>
          <w:sz w:val="22"/>
          <w:szCs w:val="22"/>
        </w:rPr>
        <w:t>90%</w:t>
      </w:r>
      <w:proofErr w:type="gramEnd"/>
      <w:r w:rsidR="00E96618">
        <w:rPr>
          <w:rFonts w:ascii="Calibri" w:hAnsi="Calibri" w:cs="Calibri"/>
          <w:color w:val="000000"/>
          <w:sz w:val="22"/>
          <w:szCs w:val="22"/>
        </w:rPr>
        <w:t xml:space="preserve"> v případě žadatelů mladších 36 let)</w:t>
      </w:r>
      <w:r w:rsidRPr="002725DA">
        <w:rPr>
          <w:rFonts w:ascii="Calibri" w:hAnsi="Calibri" w:cs="Calibri"/>
          <w:color w:val="000000"/>
          <w:sz w:val="22"/>
          <w:szCs w:val="22"/>
        </w:rPr>
        <w:t>. Výše hypotéky pak souvisí také s vývojem cen nemovitostí, které</w:t>
      </w:r>
      <w:r w:rsidR="004951FE">
        <w:rPr>
          <w:rFonts w:ascii="Calibri" w:hAnsi="Calibri" w:cs="Calibri"/>
          <w:color w:val="000000"/>
          <w:sz w:val="22"/>
          <w:szCs w:val="22"/>
        </w:rPr>
        <w:t xml:space="preserve"> si dle údajů společnosti </w:t>
      </w:r>
      <w:proofErr w:type="spellStart"/>
      <w:r w:rsidR="004951FE">
        <w:rPr>
          <w:rFonts w:ascii="Calibri" w:hAnsi="Calibri" w:cs="Calibri"/>
          <w:color w:val="000000"/>
          <w:sz w:val="22"/>
          <w:szCs w:val="22"/>
        </w:rPr>
        <w:t>Flat</w:t>
      </w:r>
      <w:proofErr w:type="spellEnd"/>
      <w:r w:rsidR="004951F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951FE">
        <w:rPr>
          <w:rFonts w:ascii="Calibri" w:hAnsi="Calibri" w:cs="Calibri"/>
          <w:color w:val="000000"/>
          <w:sz w:val="22"/>
          <w:szCs w:val="22"/>
        </w:rPr>
        <w:t>Zone</w:t>
      </w:r>
      <w:proofErr w:type="spellEnd"/>
      <w:r w:rsidR="00E9661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951FE">
        <w:rPr>
          <w:rFonts w:ascii="Calibri" w:hAnsi="Calibri" w:cs="Calibri"/>
          <w:color w:val="000000"/>
          <w:sz w:val="22"/>
          <w:szCs w:val="22"/>
        </w:rPr>
        <w:t xml:space="preserve">v prvním čtvrtletí </w:t>
      </w:r>
      <w:r w:rsidR="00E96618">
        <w:rPr>
          <w:rFonts w:ascii="Calibri" w:hAnsi="Calibri" w:cs="Calibri"/>
          <w:color w:val="000000"/>
          <w:sz w:val="22"/>
          <w:szCs w:val="22"/>
        </w:rPr>
        <w:t>roku 2025 udržují silný růst</w:t>
      </w:r>
      <w:r w:rsidR="004951F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96618">
        <w:rPr>
          <w:rFonts w:ascii="Calibri" w:hAnsi="Calibri" w:cs="Calibri"/>
          <w:color w:val="000000"/>
          <w:sz w:val="22"/>
          <w:szCs w:val="22"/>
        </w:rPr>
        <w:t>okolo</w:t>
      </w:r>
      <w:r w:rsidR="004951FE">
        <w:rPr>
          <w:rFonts w:ascii="Calibri" w:hAnsi="Calibri" w:cs="Calibri"/>
          <w:color w:val="000000"/>
          <w:sz w:val="22"/>
          <w:szCs w:val="22"/>
        </w:rPr>
        <w:t xml:space="preserve"> 17 </w:t>
      </w:r>
      <w:r w:rsidR="00E96618">
        <w:rPr>
          <w:rFonts w:ascii="Calibri" w:hAnsi="Calibri" w:cs="Calibri"/>
          <w:color w:val="000000"/>
          <w:sz w:val="22"/>
          <w:szCs w:val="22"/>
        </w:rPr>
        <w:t>% meziročně</w:t>
      </w:r>
      <w:r w:rsidR="004951FE">
        <w:rPr>
          <w:rFonts w:ascii="Calibri" w:hAnsi="Calibri" w:cs="Calibri"/>
          <w:color w:val="000000"/>
          <w:sz w:val="22"/>
          <w:szCs w:val="22"/>
        </w:rPr>
        <w:t xml:space="preserve"> a 7 % mezičtvrtletně </w:t>
      </w:r>
      <w:r w:rsidRPr="002725DA">
        <w:rPr>
          <w:rFonts w:ascii="Calibri" w:hAnsi="Calibri" w:cs="Calibri"/>
          <w:color w:val="000000"/>
          <w:sz w:val="22"/>
          <w:szCs w:val="22"/>
        </w:rPr>
        <w:t xml:space="preserve">(viz ČBA Monitor - </w:t>
      </w:r>
      <w:hyperlink r:id="rId17" w:history="1">
        <w:r w:rsidRPr="00436F5C">
          <w:rPr>
            <w:rStyle w:val="Hypertextovodkaz"/>
            <w:rFonts w:ascii="Calibri" w:hAnsi="Calibri" w:cs="Calibri"/>
            <w:sz w:val="22"/>
            <w:szCs w:val="22"/>
          </w:rPr>
          <w:t>ČBA Moni</w:t>
        </w:r>
        <w:r w:rsidRPr="00436F5C">
          <w:rPr>
            <w:rStyle w:val="Hypertextovodkaz"/>
            <w:rFonts w:ascii="Calibri" w:hAnsi="Calibri" w:cs="Calibri"/>
            <w:sz w:val="22"/>
            <w:szCs w:val="22"/>
          </w:rPr>
          <w:t>t</w:t>
        </w:r>
        <w:r w:rsidRPr="00436F5C">
          <w:rPr>
            <w:rStyle w:val="Hypertextovodkaz"/>
            <w:rFonts w:ascii="Calibri" w:hAnsi="Calibri" w:cs="Calibri"/>
            <w:sz w:val="22"/>
            <w:szCs w:val="22"/>
          </w:rPr>
          <w:t>or</w:t>
        </w:r>
      </w:hyperlink>
      <w:r w:rsidR="00E96618">
        <w:t xml:space="preserve"> </w:t>
      </w:r>
      <w:r w:rsidR="00E96618" w:rsidRPr="00E96618">
        <w:rPr>
          <w:rFonts w:ascii="Calibri" w:hAnsi="Calibri" w:cs="Calibri"/>
          <w:color w:val="000000"/>
          <w:sz w:val="22"/>
          <w:szCs w:val="22"/>
        </w:rPr>
        <w:t xml:space="preserve">či specificky </w:t>
      </w:r>
      <w:hyperlink r:id="rId18" w:history="1">
        <w:r w:rsidR="00E96618" w:rsidRPr="004951FE">
          <w:rPr>
            <w:rStyle w:val="Hypertextovodkaz"/>
            <w:rFonts w:ascii="Calibri" w:hAnsi="Calibri" w:cs="Calibri"/>
            <w:sz w:val="22"/>
            <w:szCs w:val="22"/>
          </w:rPr>
          <w:t>z</w:t>
        </w:r>
        <w:r w:rsidR="00E96618" w:rsidRPr="004951FE">
          <w:rPr>
            <w:rStyle w:val="Hypertextovodkaz"/>
            <w:rFonts w:ascii="Calibri" w:hAnsi="Calibri" w:cs="Calibri"/>
            <w:sz w:val="22"/>
            <w:szCs w:val="22"/>
          </w:rPr>
          <w:t>d</w:t>
        </w:r>
        <w:r w:rsidR="00E96618" w:rsidRPr="004951FE">
          <w:rPr>
            <w:rStyle w:val="Hypertextovodkaz"/>
            <w:rFonts w:ascii="Calibri" w:hAnsi="Calibri" w:cs="Calibri"/>
            <w:sz w:val="22"/>
            <w:szCs w:val="22"/>
          </w:rPr>
          <w:t>e</w:t>
        </w:r>
      </w:hyperlink>
      <w:r w:rsidRPr="002725DA">
        <w:rPr>
          <w:rFonts w:ascii="Calibri" w:hAnsi="Calibri" w:cs="Calibri"/>
          <w:color w:val="000000"/>
          <w:sz w:val="22"/>
          <w:szCs w:val="22"/>
        </w:rPr>
        <w:t>).</w:t>
      </w:r>
    </w:p>
    <w:p w14:paraId="6A34E8BE" w14:textId="77777777" w:rsidR="002725DA" w:rsidRDefault="002725DA" w:rsidP="00436F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13E8D6B4" w14:textId="77777777" w:rsidR="0004701A" w:rsidRDefault="0004701A" w:rsidP="00436F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2F51E6AD" w14:textId="77777777" w:rsidR="0004701A" w:rsidRDefault="0004701A" w:rsidP="00436F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6E613C46" w14:textId="77777777" w:rsidR="0004701A" w:rsidRDefault="0004701A" w:rsidP="00436F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2780965C" w14:textId="77777777" w:rsidR="0004701A" w:rsidRDefault="0004701A" w:rsidP="00436F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3FCD3103" w14:textId="77777777" w:rsidR="0004701A" w:rsidRDefault="0004701A" w:rsidP="00436F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09B8921D" w14:textId="77777777" w:rsidR="0004701A" w:rsidRDefault="0004701A" w:rsidP="00436F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4DEBC98B" w14:textId="77777777" w:rsidR="0004701A" w:rsidRDefault="0004701A" w:rsidP="00436F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2EEC1933" w14:textId="77777777" w:rsidR="0004701A" w:rsidRDefault="0004701A" w:rsidP="00436F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478B808A" w14:textId="77777777" w:rsidR="0004701A" w:rsidRDefault="0004701A" w:rsidP="00436F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18BFA0A9" w14:textId="77777777" w:rsidR="0004701A" w:rsidRDefault="0004701A" w:rsidP="00436F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65AA9CD8" w14:textId="77777777" w:rsidR="0004701A" w:rsidRPr="002725DA" w:rsidRDefault="0004701A" w:rsidP="00436F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1D487695" w14:textId="1041836B" w:rsidR="00436F5C" w:rsidRDefault="00436F5C" w:rsidP="006077DB">
      <w:pPr>
        <w:spacing w:after="120"/>
        <w:ind w:firstLine="709"/>
        <w:rPr>
          <w:rFonts w:ascii="Calibri" w:hAnsi="Calibri" w:cs="Calibri"/>
          <w:b/>
          <w:color w:val="13576B"/>
          <w:sz w:val="23"/>
          <w:szCs w:val="23"/>
        </w:rPr>
      </w:pPr>
      <w:r w:rsidRPr="00C42E87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893E0C">
        <w:rPr>
          <w:rFonts w:ascii="Calibri" w:hAnsi="Calibri" w:cs="Calibri"/>
          <w:b/>
          <w:color w:val="13576B"/>
          <w:sz w:val="23"/>
          <w:szCs w:val="23"/>
        </w:rPr>
        <w:t>3</w:t>
      </w:r>
      <w:r w:rsidRPr="00C42E87">
        <w:rPr>
          <w:rFonts w:ascii="Calibri" w:hAnsi="Calibri" w:cs="Calibri"/>
          <w:b/>
          <w:color w:val="13576B"/>
          <w:sz w:val="23"/>
          <w:szCs w:val="23"/>
        </w:rPr>
        <w:t>: Průměrná výše skutečně nově poskytnuté hypotéky podle účelu</w:t>
      </w:r>
    </w:p>
    <w:p w14:paraId="7FF9E8C0" w14:textId="6A06917B" w:rsidR="00436F5C" w:rsidRPr="006C6628" w:rsidRDefault="00FC6281" w:rsidP="006077DB">
      <w:pPr>
        <w:ind w:left="709"/>
        <w:rPr>
          <w:rFonts w:ascii="Calibri" w:hAnsi="Calibri" w:cs="Calibri"/>
          <w:bCs/>
          <w:i/>
          <w:iCs/>
          <w:color w:val="13576B"/>
          <w:sz w:val="23"/>
          <w:szCs w:val="23"/>
        </w:rPr>
      </w:pP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>P</w:t>
      </w:r>
      <w:r w:rsidR="00436F5C">
        <w:rPr>
          <w:rFonts w:ascii="Calibri" w:hAnsi="Calibri" w:cs="Calibri"/>
          <w:bCs/>
          <w:i/>
          <w:iCs/>
          <w:color w:val="13576B"/>
          <w:sz w:val="23"/>
          <w:szCs w:val="23"/>
        </w:rPr>
        <w:t>růměrn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á </w:t>
      </w:r>
      <w:r w:rsidR="00436F5C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výše hypotéky 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pokračuje v růstu a to na 4,14 miliónu korun, přičemž </w:t>
      </w:r>
      <w:r w:rsidR="00436F5C">
        <w:rPr>
          <w:rFonts w:ascii="Calibri" w:hAnsi="Calibri" w:cs="Calibri"/>
          <w:bCs/>
          <w:i/>
          <w:iCs/>
          <w:color w:val="13576B"/>
          <w:sz w:val="23"/>
          <w:szCs w:val="23"/>
        </w:rPr>
        <w:t>průměrn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>á nová hypotéka na koupi v květnu dosáhla již 4,24 miliónu korun.</w:t>
      </w:r>
    </w:p>
    <w:p w14:paraId="3162F78D" w14:textId="47A8CA5D" w:rsidR="00436F5C" w:rsidRPr="002138C0" w:rsidRDefault="00FC6281" w:rsidP="00436F5C">
      <w:pPr>
        <w:rPr>
          <w:rFonts w:ascii="Calibri" w:hAnsi="Calibri" w:cs="Calibri"/>
          <w:sz w:val="22"/>
          <w:szCs w:val="22"/>
          <w:highlight w:val="yellow"/>
        </w:rPr>
      </w:pPr>
      <w:r w:rsidRPr="00FC6281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B54D29F" wp14:editId="532182EE">
            <wp:extent cx="6080760" cy="3550920"/>
            <wp:effectExtent l="0" t="0" r="0" b="0"/>
            <wp:docPr id="1787707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FA1FB" w14:textId="77777777" w:rsidR="00436F5C" w:rsidRPr="00616069" w:rsidRDefault="00436F5C" w:rsidP="00436F5C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 xml:space="preserve">Pramen: </w:t>
      </w:r>
      <w:r>
        <w:rPr>
          <w:rFonts w:ascii="Calibri Light" w:hAnsi="Calibri Light" w:cs="Calibri Light"/>
          <w:color w:val="13576B"/>
          <w:sz w:val="20"/>
        </w:rPr>
        <w:t xml:space="preserve">ČNB, </w:t>
      </w:r>
      <w:r w:rsidRPr="002F4CBD">
        <w:rPr>
          <w:rFonts w:ascii="Calibri Light" w:hAnsi="Calibri Light" w:cs="Calibri Light"/>
          <w:color w:val="13576B"/>
          <w:sz w:val="20"/>
        </w:rPr>
        <w:t xml:space="preserve">ČBA </w:t>
      </w:r>
      <w:proofErr w:type="spellStart"/>
      <w:r w:rsidRPr="002F4CBD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603646D6" w14:textId="77777777" w:rsidR="00436F5C" w:rsidRPr="0033440C" w:rsidRDefault="00436F5C" w:rsidP="0033440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4E462F23" w14:textId="77777777" w:rsidR="005343BA" w:rsidRDefault="005343BA" w:rsidP="0026320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5F044CF" w14:textId="77777777" w:rsidR="005343BA" w:rsidRDefault="005343BA" w:rsidP="005343BA">
      <w:pPr>
        <w:rPr>
          <w:rFonts w:ascii="Calibri" w:hAnsi="Calibri" w:cs="Calibri"/>
          <w:b/>
          <w:color w:val="13576B"/>
          <w:sz w:val="24"/>
          <w:szCs w:val="24"/>
        </w:rPr>
      </w:pPr>
      <w:r w:rsidRPr="00AF2306">
        <w:rPr>
          <w:rFonts w:ascii="Calibri" w:hAnsi="Calibri" w:cs="Calibri"/>
          <w:b/>
          <w:color w:val="13576B"/>
          <w:sz w:val="24"/>
          <w:szCs w:val="24"/>
        </w:rPr>
        <w:t>Dopad na průměrnou splátku</w:t>
      </w:r>
    </w:p>
    <w:p w14:paraId="50D3F3A4" w14:textId="77777777" w:rsidR="005343BA" w:rsidRDefault="005343BA" w:rsidP="0026320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F3FECAA" w14:textId="77777777" w:rsidR="004951FE" w:rsidRDefault="002725DA" w:rsidP="00263207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951FE">
        <w:rPr>
          <w:rFonts w:ascii="Calibri" w:hAnsi="Calibri" w:cs="Calibri"/>
          <w:b/>
          <w:bCs/>
          <w:color w:val="000000" w:themeColor="text1"/>
          <w:sz w:val="22"/>
          <w:szCs w:val="22"/>
        </w:rPr>
        <w:t>Kombinace poklesu úrokové sazby a vyšší průměrné výše hypotéky v květnu 2025 ve srovnání s průměrnými hodnotami z roku 2024 zvýšily průměrnou měsíční splátku hypotéky o 1,5 tis. Kč.</w:t>
      </w:r>
      <w:r w:rsidRPr="002725DA">
        <w:rPr>
          <w:rFonts w:ascii="Calibri" w:hAnsi="Calibri" w:cs="Calibri"/>
          <w:color w:val="000000" w:themeColor="text1"/>
          <w:sz w:val="22"/>
          <w:szCs w:val="22"/>
        </w:rPr>
        <w:t xml:space="preserve"> Scénáře vývoje měsíční splátky pro různé délky splatnosti hypotéky znázorňuje tabulka č. 2. Ta napovídá, že pokles hypotečních sazeb bezmála o </w:t>
      </w:r>
      <w:proofErr w:type="gramStart"/>
      <w:r w:rsidRPr="002725DA">
        <w:rPr>
          <w:rFonts w:ascii="Calibri" w:hAnsi="Calibri" w:cs="Calibri"/>
          <w:color w:val="000000" w:themeColor="text1"/>
          <w:sz w:val="22"/>
          <w:szCs w:val="22"/>
        </w:rPr>
        <w:t>0,5%</w:t>
      </w:r>
      <w:proofErr w:type="gramEnd"/>
      <w:r w:rsidRPr="002725DA">
        <w:rPr>
          <w:rFonts w:ascii="Calibri" w:hAnsi="Calibri" w:cs="Calibri"/>
          <w:color w:val="000000" w:themeColor="text1"/>
          <w:sz w:val="22"/>
          <w:szCs w:val="22"/>
        </w:rPr>
        <w:t xml:space="preserve"> bodu vůči jejich průměrné výši 5,07 % v roce 2024 přinesl, pro průměrnou velikost hypotéky při jejím obvyklém přibližně 26,6letém splácení, snížení měsíční splátky o necelých 1200 Kč na přibližně 22,5 tis. Kč, tedy o 1,2 % čistého příjmu žadatele v porovnání s průměrnou splátkou v minulém roce. Ve srovnání s průměrnou hypoteční sazbou 5,81 % v roce 2023 dosáhla úspora kvůli úrokové sazbě o necelých 3000 Kč pro hypotéku v její aktuální průměrné hodnotě. </w:t>
      </w:r>
    </w:p>
    <w:p w14:paraId="5D6B4614" w14:textId="77777777" w:rsidR="004951FE" w:rsidRDefault="004951FE" w:rsidP="0026320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984D8CA" w14:textId="52673BBB" w:rsidR="002725DA" w:rsidRDefault="002725DA" w:rsidP="00263207">
      <w:pPr>
        <w:rPr>
          <w:rFonts w:ascii="Calibri" w:hAnsi="Calibri" w:cs="Calibri"/>
          <w:color w:val="000000" w:themeColor="text1"/>
          <w:sz w:val="22"/>
          <w:szCs w:val="22"/>
        </w:rPr>
      </w:pPr>
      <w:r w:rsidRPr="002725DA">
        <w:rPr>
          <w:rFonts w:ascii="Calibri" w:hAnsi="Calibri" w:cs="Calibri"/>
          <w:color w:val="000000" w:themeColor="text1"/>
          <w:sz w:val="22"/>
          <w:szCs w:val="22"/>
        </w:rPr>
        <w:t>Ovšem současná průměrná výše hypotéky je o 13 % vyšší než její průměrná výše v roce 2024, což přispívá k navýšení měsíční splátky o 2,5 tis. Kč ve srovnání s průměrnou měsíční splátkou v minulém roce navázanou na loňskou průměrnou výši hypotéky ovšem při současné úrokové sazbě.  Splátka hypotéky ve výši jednoho milionu korun s 30letou splatností se se současnými úrokovými sazbami pohybuje okolo 5,1 tisíce Kč.</w:t>
      </w:r>
    </w:p>
    <w:p w14:paraId="4B1BDDA3" w14:textId="77777777" w:rsidR="004951FE" w:rsidRDefault="004951FE" w:rsidP="0026320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40F9905" w14:textId="72BCF95C" w:rsidR="004951FE" w:rsidRDefault="004951FE" w:rsidP="00263207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951FE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Naopak, ve srovnání s průměrnou </w:t>
      </w:r>
      <w:proofErr w:type="gramStart"/>
      <w:r w:rsidRPr="004951FE">
        <w:rPr>
          <w:rFonts w:ascii="Calibri" w:hAnsi="Calibri" w:cs="Calibri"/>
          <w:color w:val="000000" w:themeColor="text1"/>
          <w:sz w:val="22"/>
          <w:szCs w:val="22"/>
        </w:rPr>
        <w:t>2,8%</w:t>
      </w:r>
      <w:proofErr w:type="gramEnd"/>
      <w:r w:rsidRPr="004951FE">
        <w:rPr>
          <w:rFonts w:ascii="Calibri" w:hAnsi="Calibri" w:cs="Calibri"/>
          <w:color w:val="000000" w:themeColor="text1"/>
          <w:sz w:val="22"/>
          <w:szCs w:val="22"/>
        </w:rPr>
        <w:t xml:space="preserve"> úrokovou hypoteční sazbou pro nové hypotéky v roce 2019, tak současná hypoteční sazba pro refinancování ve výši 4,57 % při zkrácení splatnosti úvěru zvedá měsíční splátky u průměrné hypotéky přibližně o více než 1700 Kč, tedy asi o 3,8 % současné hrubé průměrné mzdy.</w:t>
      </w:r>
    </w:p>
    <w:p w14:paraId="1A267256" w14:textId="1B606CDA" w:rsidR="009D3067" w:rsidRPr="00515ECA" w:rsidRDefault="009D3067" w:rsidP="007F41A0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color w:val="13576B"/>
          <w:sz w:val="23"/>
          <w:szCs w:val="23"/>
        </w:rPr>
      </w:pPr>
      <w:bookmarkStart w:id="6" w:name="_Hlk190458144"/>
      <w:bookmarkEnd w:id="5"/>
      <w:r w:rsidRPr="00515ECA">
        <w:rPr>
          <w:rFonts w:ascii="Calibri" w:hAnsi="Calibri" w:cs="Calibri"/>
          <w:b/>
          <w:color w:val="13576B"/>
          <w:sz w:val="23"/>
          <w:szCs w:val="23"/>
        </w:rPr>
        <w:t xml:space="preserve">Tabulka č. 2: </w:t>
      </w:r>
      <w:r w:rsidR="004B441B">
        <w:rPr>
          <w:rFonts w:ascii="Calibri" w:hAnsi="Calibri" w:cs="Calibri"/>
          <w:b/>
          <w:color w:val="13576B"/>
          <w:sz w:val="23"/>
          <w:szCs w:val="23"/>
        </w:rPr>
        <w:t>Ilustrace</w:t>
      </w:r>
      <w:r w:rsidR="00EB1892">
        <w:rPr>
          <w:rFonts w:ascii="Calibri" w:hAnsi="Calibri" w:cs="Calibri"/>
          <w:b/>
          <w:color w:val="13576B"/>
          <w:sz w:val="23"/>
          <w:szCs w:val="23"/>
        </w:rPr>
        <w:t xml:space="preserve"> m</w:t>
      </w:r>
      <w:r w:rsidRPr="00515ECA">
        <w:rPr>
          <w:rFonts w:ascii="Calibri" w:hAnsi="Calibri" w:cs="Calibri"/>
          <w:b/>
          <w:color w:val="13576B"/>
          <w:sz w:val="23"/>
          <w:szCs w:val="23"/>
        </w:rPr>
        <w:t>ěsíční splátk</w:t>
      </w:r>
      <w:r w:rsidR="004B441B">
        <w:rPr>
          <w:rFonts w:ascii="Calibri" w:hAnsi="Calibri" w:cs="Calibri"/>
          <w:b/>
          <w:color w:val="13576B"/>
          <w:sz w:val="23"/>
          <w:szCs w:val="23"/>
        </w:rPr>
        <w:t>y</w:t>
      </w:r>
      <w:r w:rsidRPr="00515ECA">
        <w:rPr>
          <w:rFonts w:ascii="Calibri" w:hAnsi="Calibri" w:cs="Calibri"/>
          <w:b/>
          <w:color w:val="13576B"/>
          <w:sz w:val="23"/>
          <w:szCs w:val="23"/>
        </w:rPr>
        <w:t xml:space="preserve"> průměrné hypotéky v závislosti na délce splatnosti a úrokové sazbě</w:t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648"/>
        <w:gridCol w:w="955"/>
        <w:gridCol w:w="955"/>
        <w:gridCol w:w="955"/>
        <w:gridCol w:w="955"/>
        <w:gridCol w:w="955"/>
        <w:gridCol w:w="955"/>
      </w:tblGrid>
      <w:tr w:rsidR="00D5517C" w:rsidRPr="002138C0" w14:paraId="2E0F9EE8" w14:textId="77777777" w:rsidTr="00EB1892">
        <w:trPr>
          <w:trHeight w:val="555"/>
        </w:trPr>
        <w:tc>
          <w:tcPr>
            <w:tcW w:w="4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9691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velikost nové hypotéky v Kč: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DFCA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01B2E" w14:textId="294A28AB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00C93" w:rsidRPr="00F236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8289" w14:textId="4C2A1032" w:rsidR="00490505" w:rsidRPr="00F23602" w:rsidRDefault="00FC6281" w:rsidP="005861DC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4 141 476</w:t>
            </w:r>
          </w:p>
        </w:tc>
      </w:tr>
      <w:tr w:rsidR="00F23602" w:rsidRPr="002138C0" w14:paraId="3A9D14C4" w14:textId="77777777" w:rsidTr="00EB1892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FFBA8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úroková sazba v %: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6198D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EE92" w14:textId="18F743FA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3214C" w14:textId="1130DD68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144F" w14:textId="1E0730A6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3EA"/>
            <w:noWrap/>
            <w:vAlign w:val="center"/>
            <w:hideMark/>
          </w:tcPr>
          <w:p w14:paraId="29650147" w14:textId="0881928B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</w:t>
            </w:r>
            <w:r w:rsidR="0033440C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6</w:t>
            </w:r>
            <w:r w:rsidR="00573D3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22EECDD2" w14:textId="49E02541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C0A3" w14:textId="632AE5E6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D5517C" w:rsidRPr="002138C0" w14:paraId="4905349F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7E18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EDC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A3FA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7A7A8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798FF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Měsíční splátka:</w:t>
            </w:r>
          </w:p>
        </w:tc>
      </w:tr>
      <w:tr w:rsidR="00573D34" w:rsidRPr="002138C0" w14:paraId="0A342D01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443" w14:textId="77777777" w:rsidR="00573D34" w:rsidRPr="00F23602" w:rsidRDefault="00573D34" w:rsidP="00573D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Splatnost hypotéky v letech: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E9A3" w14:textId="2EE552D7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F03F" w14:textId="1E6A72ED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26 650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9F84" w14:textId="2D82288E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28 600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63E5" w14:textId="2D6B4296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30 630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0F2712F9" w14:textId="4CF8DD4F" w:rsidR="00573D34" w:rsidRPr="002138C0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31 880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690F9892" w14:textId="2A9FB69E" w:rsidR="00573D34" w:rsidRPr="002138C0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32 750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0922" w14:textId="0B3D9F77" w:rsidR="00573D34" w:rsidRPr="002138C0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34 950</w:t>
            </w:r>
          </w:p>
        </w:tc>
      </w:tr>
      <w:tr w:rsidR="00573D34" w:rsidRPr="002138C0" w14:paraId="4A78BEF2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610" w14:textId="77777777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CE37" w14:textId="3D5EADF1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FBFB" w14:textId="6E5FA581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20 950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AA86" w14:textId="20730D3D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22 970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7E18" w14:textId="4DB0319A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6D332706" w14:textId="7053B265" w:rsidR="00573D34" w:rsidRPr="002138C0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26 410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5E6CF5E2" w14:textId="686F6326" w:rsidR="00573D34" w:rsidRPr="002138C0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27 330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BDBD" w14:textId="4B7CD530" w:rsidR="00573D34" w:rsidRPr="002138C0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29 670</w:t>
            </w:r>
          </w:p>
        </w:tc>
      </w:tr>
      <w:tr w:rsidR="00573D34" w:rsidRPr="002138C0" w14:paraId="6CF32913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281A" w14:textId="77777777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2D49" w14:textId="4B33D07E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1A11" w14:textId="46427A93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17 550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E222" w14:textId="684644E0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19 640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F1AB" w14:textId="5C6C790B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21 860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5331F341" w14:textId="07ECD7D3" w:rsidR="00573D34" w:rsidRPr="002138C0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23 240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E4DDF0D" w14:textId="0DA7FE67" w:rsidR="00573D34" w:rsidRPr="002138C0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24 210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D8C7" w14:textId="620574B1" w:rsidR="00573D34" w:rsidRPr="002138C0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26 680</w:t>
            </w:r>
          </w:p>
        </w:tc>
      </w:tr>
      <w:tr w:rsidR="00573D34" w:rsidRPr="002138C0" w14:paraId="2841560E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465CE" w14:textId="77777777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F3EA"/>
            <w:noWrap/>
            <w:vAlign w:val="center"/>
          </w:tcPr>
          <w:p w14:paraId="088256B9" w14:textId="5A3B9AF6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0B45A43E" w14:textId="5A6C6C20" w:rsidR="00573D34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16 750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09BA985F" w14:textId="302FA964" w:rsidR="00573D34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18 850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567430AE" w14:textId="31F3D47E" w:rsidR="00573D34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427C5795" w14:textId="1251A7FF" w:rsidR="00573D34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22 510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3738B6D6" w14:textId="4FD2BE46" w:rsidR="00573D34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23 490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15CB0311" w14:textId="6FA32171" w:rsidR="00573D34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26 000</w:t>
            </w:r>
          </w:p>
        </w:tc>
      </w:tr>
      <w:tr w:rsidR="00573D34" w:rsidRPr="002138C0" w14:paraId="46B86678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BB57D" w14:textId="77777777" w:rsidR="00573D34" w:rsidRPr="00F23602" w:rsidRDefault="00573D34" w:rsidP="00573D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525A" w14:textId="289621B9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2DA6" w14:textId="18BD6F93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15 310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02F5" w14:textId="388451FD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17 460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C600D" w14:textId="007A12C0" w:rsidR="00573D34" w:rsidRPr="00F23602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19 770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F3EA"/>
            <w:noWrap/>
            <w:vAlign w:val="center"/>
            <w:hideMark/>
          </w:tcPr>
          <w:p w14:paraId="527D8D8A" w14:textId="0E193B6E" w:rsidR="00573D34" w:rsidRPr="002138C0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21 220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5ABD787" w14:textId="7F3E554E" w:rsidR="00573D34" w:rsidRPr="002138C0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22 230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1B34" w14:textId="772A1303" w:rsidR="00573D34" w:rsidRPr="002138C0" w:rsidRDefault="00573D34" w:rsidP="00573D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24 830</w:t>
            </w:r>
          </w:p>
        </w:tc>
      </w:tr>
      <w:tr w:rsidR="00D5517C" w:rsidRPr="002138C0" w14:paraId="58395EC8" w14:textId="77777777" w:rsidTr="00EB1892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D57F" w14:textId="5396F87E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13576B"/>
                <w:sz w:val="20"/>
              </w:rPr>
            </w:pPr>
            <w:r w:rsidRPr="00AA62A7">
              <w:rPr>
                <w:rFonts w:asciiTheme="minorHAnsi" w:hAnsiTheme="minorHAnsi" w:cstheme="minorHAnsi"/>
                <w:color w:val="2F5496" w:themeColor="accent5" w:themeShade="BF"/>
                <w:sz w:val="20"/>
              </w:rPr>
              <w:t>Pramen</w:t>
            </w:r>
            <w:r w:rsidRPr="00AA62A7">
              <w:rPr>
                <w:rFonts w:asciiTheme="minorHAnsi" w:hAnsiTheme="minorHAnsi" w:cstheme="minorHAnsi"/>
                <w:color w:val="13576B"/>
                <w:sz w:val="20"/>
              </w:rPr>
              <w:t>: ČBA</w:t>
            </w:r>
            <w:r w:rsidR="00952AEF" w:rsidRPr="00AA62A7">
              <w:rPr>
                <w:rFonts w:asciiTheme="minorHAnsi" w:hAnsiTheme="minorHAnsi" w:cstheme="minorHAnsi"/>
                <w:color w:val="13576B"/>
                <w:sz w:val="20"/>
              </w:rPr>
              <w:t xml:space="preserve"> </w:t>
            </w:r>
            <w:r w:rsidR="00952AEF" w:rsidRPr="00AA62A7">
              <w:rPr>
                <w:rStyle w:val="Znakapoznpodarou"/>
                <w:rFonts w:asciiTheme="minorHAnsi" w:hAnsiTheme="minorHAnsi" w:cstheme="minorHAnsi"/>
                <w:color w:val="2F5496" w:themeColor="accent5" w:themeShade="BF"/>
                <w:sz w:val="20"/>
              </w:rPr>
              <w:footnoteReference w:id="3"/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430D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13576B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225D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1F0D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2AAF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6A2A" w14:textId="77777777" w:rsidR="00D5517C" w:rsidRPr="00AA62A7" w:rsidRDefault="00D5517C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D15A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72E4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5517C" w:rsidRPr="002138C0" w14:paraId="17E5FF51" w14:textId="77777777" w:rsidTr="00EB1892">
        <w:trPr>
          <w:trHeight w:val="30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0336" w14:textId="02728D43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13576B"/>
                <w:sz w:val="20"/>
              </w:rPr>
            </w:pPr>
            <w:r w:rsidRPr="00AA62A7">
              <w:rPr>
                <w:rFonts w:asciiTheme="minorHAnsi" w:hAnsiTheme="minorHAnsi" w:cstheme="minorHAnsi"/>
                <w:color w:val="13576B"/>
                <w:sz w:val="20"/>
              </w:rPr>
              <w:t xml:space="preserve">Pozn.: barevný sloupec odpovídá úrokové sazbě posledního ČBA </w:t>
            </w:r>
            <w:proofErr w:type="spellStart"/>
            <w:r w:rsidRPr="00AA62A7">
              <w:rPr>
                <w:rFonts w:asciiTheme="minorHAnsi" w:hAnsiTheme="minorHAnsi" w:cstheme="minorHAnsi"/>
                <w:color w:val="13576B"/>
                <w:sz w:val="20"/>
              </w:rPr>
              <w:t>Hypomonitoru</w:t>
            </w:r>
            <w:proofErr w:type="spellEnd"/>
            <w:r w:rsidRPr="00AA62A7">
              <w:rPr>
                <w:rFonts w:asciiTheme="minorHAnsi" w:hAnsiTheme="minorHAnsi" w:cstheme="minorHAnsi"/>
                <w:color w:val="13576B"/>
                <w:sz w:val="20"/>
              </w:rPr>
              <w:t>, ostatní sazby jsou ilustrační</w:t>
            </w:r>
            <w:r w:rsidR="00EB1892" w:rsidRPr="00AA62A7">
              <w:rPr>
                <w:rFonts w:asciiTheme="minorHAnsi" w:hAnsiTheme="minorHAnsi" w:cstheme="minorHAnsi"/>
                <w:color w:val="13576B"/>
                <w:sz w:val="20"/>
              </w:rPr>
              <w:t xml:space="preserve">; barevný řádek odpovídá průměrné splatnosti nových hypoték podle dat ČNB; částky jsou zaokrouhleny na desítky korun. </w:t>
            </w:r>
          </w:p>
        </w:tc>
      </w:tr>
    </w:tbl>
    <w:p w14:paraId="008912E8" w14:textId="77777777" w:rsidR="005343BA" w:rsidRDefault="005343BA" w:rsidP="00EB1892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</w:p>
    <w:p w14:paraId="37433820" w14:textId="59EE1DDE" w:rsidR="00573D34" w:rsidRDefault="00EB1892" w:rsidP="00573D34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893E0C">
        <w:rPr>
          <w:rFonts w:ascii="Calibri" w:hAnsi="Calibri" w:cs="Calibri"/>
          <w:b/>
          <w:color w:val="13576B"/>
          <w:sz w:val="23"/>
          <w:szCs w:val="23"/>
        </w:rPr>
        <w:t>4</w:t>
      </w: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: </w:t>
      </w:r>
      <w:r w:rsidR="009D5F35">
        <w:rPr>
          <w:rFonts w:ascii="Calibri" w:hAnsi="Calibri" w:cs="Calibri"/>
          <w:b/>
          <w:color w:val="13576B"/>
          <w:sz w:val="23"/>
          <w:szCs w:val="23"/>
        </w:rPr>
        <w:t>Ilustrativní srovnání výše měsíční splátky průměrné hypotéky s obdobím před rokem v závislosti na výši úroku, velikosti hypotéky a její splatnosti v</w:t>
      </w:r>
      <w:r w:rsidR="00573D34">
        <w:rPr>
          <w:rFonts w:ascii="Calibri" w:hAnsi="Calibri" w:cs="Calibri"/>
          <w:b/>
          <w:color w:val="13576B"/>
          <w:sz w:val="23"/>
          <w:szCs w:val="23"/>
        </w:rPr>
        <w:t> </w:t>
      </w:r>
      <w:r w:rsidR="009D5F35">
        <w:rPr>
          <w:rFonts w:ascii="Calibri" w:hAnsi="Calibri" w:cs="Calibri"/>
          <w:b/>
          <w:color w:val="13576B"/>
          <w:sz w:val="23"/>
          <w:szCs w:val="23"/>
        </w:rPr>
        <w:t>letech</w:t>
      </w:r>
    </w:p>
    <w:p w14:paraId="53510807" w14:textId="1BC031CD" w:rsidR="006C6628" w:rsidRPr="00573D34" w:rsidRDefault="006C6628" w:rsidP="00573D34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6C6628">
        <w:rPr>
          <w:rFonts w:ascii="Calibri" w:hAnsi="Calibri" w:cs="Calibri"/>
          <w:bCs/>
          <w:i/>
          <w:iCs/>
          <w:color w:val="13576B"/>
          <w:sz w:val="23"/>
          <w:szCs w:val="23"/>
        </w:rPr>
        <w:t>V meziročním srovnání přinesl pokles hypoteční sazby úsporu průměrné měsíční splátky o 1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</w:t>
      </w:r>
      <w:r w:rsidR="00573D34">
        <w:rPr>
          <w:rFonts w:ascii="Calibri" w:hAnsi="Calibri" w:cs="Calibri"/>
          <w:bCs/>
          <w:i/>
          <w:iCs/>
          <w:color w:val="13576B"/>
          <w:sz w:val="23"/>
          <w:szCs w:val="23"/>
        </w:rPr>
        <w:t>140</w:t>
      </w:r>
      <w:r w:rsidRPr="006C6628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Kč, ovšem růst průměrné výše hypotéky způsobil její navýšení o </w:t>
      </w:r>
      <w:r w:rsidR="00A42D6B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2 </w:t>
      </w:r>
      <w:r w:rsidR="00573D34">
        <w:rPr>
          <w:rFonts w:ascii="Calibri" w:hAnsi="Calibri" w:cs="Calibri"/>
          <w:bCs/>
          <w:i/>
          <w:iCs/>
          <w:color w:val="13576B"/>
          <w:sz w:val="23"/>
          <w:szCs w:val="23"/>
        </w:rPr>
        <w:t>860</w:t>
      </w:r>
      <w:r w:rsidRPr="006C6628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Kč.</w:t>
      </w:r>
    </w:p>
    <w:p w14:paraId="7D566DD6" w14:textId="03CC6943" w:rsidR="00B44209" w:rsidRDefault="00573D34" w:rsidP="00AA62A7">
      <w:pPr>
        <w:overflowPunct/>
        <w:autoSpaceDE/>
        <w:autoSpaceDN/>
        <w:adjustRightInd/>
        <w:spacing w:line="259" w:lineRule="auto"/>
        <w:jc w:val="left"/>
        <w:textAlignment w:val="auto"/>
        <w:rPr>
          <w:rFonts w:ascii="Calibri" w:hAnsi="Calibri" w:cs="Calibri"/>
          <w:b/>
          <w:color w:val="13576B"/>
          <w:sz w:val="24"/>
          <w:szCs w:val="24"/>
          <w:highlight w:val="yellow"/>
        </w:rPr>
      </w:pPr>
      <w:r w:rsidRPr="00573D34">
        <w:rPr>
          <w:rFonts w:ascii="Calibri" w:hAnsi="Calibri" w:cs="Calibri"/>
          <w:b/>
          <w:noProof/>
          <w:color w:val="13576B"/>
          <w:sz w:val="24"/>
          <w:szCs w:val="24"/>
        </w:rPr>
        <w:lastRenderedPageBreak/>
        <w:drawing>
          <wp:inline distT="0" distB="0" distL="0" distR="0" wp14:anchorId="4AE0FA33" wp14:editId="7B01815B">
            <wp:extent cx="5539740" cy="3710940"/>
            <wp:effectExtent l="0" t="0" r="3810" b="3810"/>
            <wp:docPr id="12508808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DE1A7" w14:textId="4B9EF024" w:rsidR="009D5F35" w:rsidRDefault="009D5F35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>Pramen:</w:t>
      </w:r>
      <w:r>
        <w:rPr>
          <w:rFonts w:ascii="Calibri Light" w:hAnsi="Calibri Light" w:cs="Calibri Light"/>
          <w:color w:val="13576B"/>
          <w:sz w:val="20"/>
        </w:rPr>
        <w:t xml:space="preserve"> </w:t>
      </w:r>
      <w:r w:rsidRPr="002F4CBD">
        <w:rPr>
          <w:rFonts w:ascii="Calibri Light" w:hAnsi="Calibri Light" w:cs="Calibri Light"/>
          <w:color w:val="13576B"/>
          <w:sz w:val="20"/>
        </w:rPr>
        <w:t>ČBA</w:t>
      </w:r>
      <w:r w:rsidR="00AA62A7">
        <w:rPr>
          <w:rFonts w:ascii="Calibri Light" w:hAnsi="Calibri Light" w:cs="Calibri Light"/>
          <w:color w:val="13576B"/>
          <w:sz w:val="20"/>
        </w:rPr>
        <w:t xml:space="preserve">. Pozn.: </w:t>
      </w:r>
      <w:r w:rsidR="00AA62A7" w:rsidRPr="00AA62A7">
        <w:rPr>
          <w:rFonts w:ascii="Calibri Light" w:hAnsi="Calibri Light" w:cs="Calibri Light"/>
          <w:color w:val="13576B"/>
          <w:sz w:val="20"/>
        </w:rPr>
        <w:t>částky jsou zaokrouhleny na desítky korun.</w:t>
      </w:r>
    </w:p>
    <w:p w14:paraId="605CA941" w14:textId="77777777" w:rsidR="00173D31" w:rsidRDefault="00173D31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p w14:paraId="7ECA69B5" w14:textId="77777777" w:rsidR="00173D31" w:rsidRDefault="00173D31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p w14:paraId="5A72B105" w14:textId="48AC1F61" w:rsidR="002E4EFD" w:rsidRPr="002A5D11" w:rsidRDefault="008723A8" w:rsidP="002E4EFD">
      <w:pPr>
        <w:rPr>
          <w:rFonts w:ascii="Calibri" w:hAnsi="Calibri" w:cs="Calibri"/>
          <w:b/>
          <w:color w:val="13576B"/>
          <w:sz w:val="24"/>
          <w:szCs w:val="24"/>
        </w:rPr>
      </w:pPr>
      <w:r>
        <w:rPr>
          <w:rFonts w:ascii="Calibri" w:hAnsi="Calibri" w:cs="Calibri"/>
          <w:b/>
          <w:color w:val="13576B"/>
          <w:sz w:val="24"/>
          <w:szCs w:val="24"/>
        </w:rPr>
        <w:t>Statistická příloha</w:t>
      </w:r>
    </w:p>
    <w:p w14:paraId="384BA2E5" w14:textId="276030DF" w:rsidR="0033440C" w:rsidRDefault="009460DF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9460DF">
        <w:rPr>
          <w:rFonts w:ascii="Calibri Light" w:hAnsi="Calibri Light" w:cs="Calibri Light"/>
          <w:noProof/>
          <w:color w:val="13576B"/>
          <w:sz w:val="20"/>
        </w:rPr>
        <w:lastRenderedPageBreak/>
        <w:drawing>
          <wp:inline distT="0" distB="0" distL="0" distR="0" wp14:anchorId="303F9B87" wp14:editId="50DBFD33">
            <wp:extent cx="6480810" cy="3899535"/>
            <wp:effectExtent l="0" t="0" r="0" b="5715"/>
            <wp:docPr id="1885155303" name="Picture 1" descr="A graph of different colore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155303" name="Picture 1" descr="A graph of different colored lines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C2305" w14:textId="77777777" w:rsidR="008723A8" w:rsidRDefault="008723A8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p w14:paraId="2543E5F5" w14:textId="68A6E96C" w:rsidR="0033440C" w:rsidRDefault="008723A8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>Pramen:</w:t>
      </w:r>
      <w:r>
        <w:rPr>
          <w:rFonts w:ascii="Calibri Light" w:hAnsi="Calibri Light" w:cs="Calibri Light"/>
          <w:color w:val="13576B"/>
          <w:sz w:val="20"/>
        </w:rPr>
        <w:t xml:space="preserve"> </w:t>
      </w:r>
      <w:r w:rsidRPr="002F4CBD">
        <w:rPr>
          <w:rFonts w:ascii="Calibri Light" w:hAnsi="Calibri Light" w:cs="Calibri Light"/>
          <w:color w:val="13576B"/>
          <w:sz w:val="20"/>
        </w:rPr>
        <w:t>ČBA</w:t>
      </w:r>
      <w:r>
        <w:rPr>
          <w:rFonts w:ascii="Calibri Light" w:hAnsi="Calibri Light" w:cs="Calibri Light"/>
          <w:color w:val="13576B"/>
          <w:sz w:val="20"/>
        </w:rPr>
        <w:t xml:space="preserve"> </w:t>
      </w:r>
      <w:proofErr w:type="spellStart"/>
      <w:r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03530238" w14:textId="416720AC" w:rsidR="008723A8" w:rsidRDefault="008723A8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>
        <w:rPr>
          <w:rFonts w:ascii="Calibri Light" w:hAnsi="Calibri Light" w:cs="Calibri Light"/>
          <w:color w:val="13576B"/>
          <w:sz w:val="20"/>
        </w:rPr>
        <w:t xml:space="preserve">Poznámka: </w:t>
      </w:r>
      <w:r w:rsidR="006E2E7E">
        <w:rPr>
          <w:rFonts w:ascii="Calibri Light" w:hAnsi="Calibri Light" w:cs="Calibri Light"/>
          <w:color w:val="13576B"/>
          <w:sz w:val="20"/>
        </w:rPr>
        <w:t xml:space="preserve">Jedná se o skutečně nové hypotéky (tedy refinancování a navýšeni). </w:t>
      </w:r>
      <w:r>
        <w:rPr>
          <w:rFonts w:ascii="Calibri Light" w:hAnsi="Calibri Light" w:cs="Calibri Light"/>
          <w:color w:val="13576B"/>
          <w:sz w:val="20"/>
        </w:rPr>
        <w:t xml:space="preserve">Podkladová data jsou </w:t>
      </w:r>
      <w:r w:rsidRPr="008723A8">
        <w:rPr>
          <w:rFonts w:ascii="Calibri Light" w:hAnsi="Calibri Light" w:cs="Calibri Light"/>
          <w:color w:val="13576B"/>
          <w:sz w:val="20"/>
        </w:rPr>
        <w:t xml:space="preserve">k dispozici v souboru </w:t>
      </w:r>
      <w:proofErr w:type="spellStart"/>
      <w:r w:rsidRPr="008723A8">
        <w:rPr>
          <w:rFonts w:ascii="Calibri Light" w:hAnsi="Calibri Light" w:cs="Calibri Light"/>
          <w:color w:val="13576B"/>
          <w:sz w:val="20"/>
        </w:rPr>
        <w:t>xls</w:t>
      </w:r>
      <w:proofErr w:type="spellEnd"/>
      <w:r w:rsidRPr="008723A8">
        <w:rPr>
          <w:rFonts w:ascii="Calibri Light" w:hAnsi="Calibri Light" w:cs="Calibri Light"/>
          <w:color w:val="13576B"/>
          <w:sz w:val="20"/>
        </w:rPr>
        <w:t xml:space="preserve"> přiloženém na webových stránkách ČBA </w:t>
      </w:r>
      <w:proofErr w:type="spellStart"/>
      <w:r w:rsidRPr="008723A8">
        <w:rPr>
          <w:rFonts w:ascii="Calibri Light" w:hAnsi="Calibri Light" w:cs="Calibri Light"/>
          <w:color w:val="13576B"/>
          <w:sz w:val="20"/>
        </w:rPr>
        <w:t>Hypomonitoru</w:t>
      </w:r>
      <w:proofErr w:type="spellEnd"/>
    </w:p>
    <w:p w14:paraId="50F3BD64" w14:textId="77777777" w:rsidR="0033440C" w:rsidRDefault="0033440C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p w14:paraId="5303965F" w14:textId="77777777" w:rsidR="0033440C" w:rsidRPr="00616069" w:rsidRDefault="0033440C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bookmarkEnd w:id="6"/>
    <w:p w14:paraId="0D5FBC63" w14:textId="77777777" w:rsidR="002A5D11" w:rsidRPr="002A5D11" w:rsidRDefault="002A5D11" w:rsidP="002A5D11">
      <w:pPr>
        <w:rPr>
          <w:rFonts w:ascii="Calibri" w:hAnsi="Calibri" w:cs="Calibri"/>
          <w:b/>
          <w:color w:val="13576B"/>
          <w:sz w:val="24"/>
          <w:szCs w:val="24"/>
        </w:rPr>
      </w:pPr>
      <w:r w:rsidRPr="002A5D11">
        <w:rPr>
          <w:rFonts w:ascii="Calibri" w:hAnsi="Calibri" w:cs="Calibri"/>
          <w:b/>
          <w:color w:val="13576B"/>
          <w:sz w:val="24"/>
          <w:szCs w:val="24"/>
        </w:rPr>
        <w:t>Hypoteční trh v roce 2024: Rekordní růst o 83 %</w:t>
      </w:r>
    </w:p>
    <w:p w14:paraId="4743E758" w14:textId="77777777" w:rsidR="001002CD" w:rsidRPr="00840F7C" w:rsidRDefault="001002CD" w:rsidP="003E393C">
      <w:pPr>
        <w:rPr>
          <w:rFonts w:ascii="Calibri" w:hAnsi="Calibri" w:cs="Calibri"/>
          <w:b/>
          <w:bCs/>
          <w:sz w:val="22"/>
          <w:szCs w:val="22"/>
        </w:rPr>
      </w:pPr>
    </w:p>
    <w:p w14:paraId="2BEF2B35" w14:textId="32E98697" w:rsidR="003E393C" w:rsidRPr="002138C0" w:rsidRDefault="001002CD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  <w:r w:rsidRPr="00840F7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 celý rok 2024 poskytly banky a stavební spořitelny nové hypoteční úvěry v objemu 228 miliard Kč. 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>To je více než 83</w:t>
      </w:r>
      <w:r w:rsidR="00AE4002">
        <w:rPr>
          <w:rFonts w:ascii="Calibri" w:hAnsi="Calibri" w:cs="Calibri"/>
          <w:color w:val="000000" w:themeColor="text1"/>
          <w:sz w:val="22"/>
          <w:szCs w:val="22"/>
        </w:rPr>
        <w:t>%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 xml:space="preserve"> skok vůči objemu z roku 2023. K tomu se navíc refinancovaly hypotéky v rozsahu 47 miliard Kč a celý hypoteční trh tak v roce 2024 narostl na 275 miliard Kč ze 150 miliard v roce 2023. Pokud upravíme objemy o nárůst cen nemovitostí o </w:t>
      </w:r>
      <w:r w:rsidR="00A30764">
        <w:rPr>
          <w:rFonts w:ascii="Calibri" w:hAnsi="Calibri" w:cs="Calibri"/>
          <w:color w:val="000000" w:themeColor="text1"/>
          <w:sz w:val="22"/>
          <w:szCs w:val="22"/>
        </w:rPr>
        <w:t>5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 xml:space="preserve">-8 % (dle různých statistik), objem nových hypoték vzrostl reálně o něco méně. To odpovídá i mírnějšímu nárůstu počtu nových hypoték v roce 2024 o 53 % meziročně na téměř </w:t>
      </w:r>
      <w:r w:rsidRPr="00872E78">
        <w:rPr>
          <w:rFonts w:ascii="Calibri" w:hAnsi="Calibri" w:cs="Calibri"/>
          <w:color w:val="000000" w:themeColor="text1"/>
          <w:sz w:val="22"/>
          <w:szCs w:val="22"/>
        </w:rPr>
        <w:t>62 tisíc a téměř 20% nárůstu průměrné výše poskytnuté nové hypotéky na 3,7 milion</w:t>
      </w:r>
      <w:r w:rsidR="00AE4002"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Kč</w:t>
      </w:r>
      <w:r w:rsidR="00693034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>Ve srovnání s předpandemickými roky 2017-2019 byl objem poskytnutých</w:t>
      </w:r>
      <w:r w:rsidR="00872E78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nových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hypoték v roce 202</w:t>
      </w:r>
      <w:r w:rsidR="003E4820" w:rsidRPr="00872E78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zhruba o </w:t>
      </w:r>
      <w:r w:rsidR="00FE400F" w:rsidRPr="00872E78">
        <w:rPr>
          <w:rFonts w:ascii="Calibri" w:hAnsi="Calibri" w:cs="Calibri"/>
          <w:color w:val="000000" w:themeColor="text1"/>
          <w:sz w:val="22"/>
          <w:szCs w:val="22"/>
        </w:rPr>
        <w:t>necelou pětinu vyšší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FD17B82" w14:textId="77777777" w:rsidR="005F105B" w:rsidRDefault="005F105B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1506699D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70B01570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0514B5D2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590DDD4C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1AA631AE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27A57DD1" w14:textId="77777777" w:rsidR="001E4370" w:rsidRPr="002138C0" w:rsidRDefault="001E4370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11595CC2" w14:textId="3C3B4C02" w:rsidR="003E393C" w:rsidRPr="002F4CBD" w:rsidRDefault="003E393C" w:rsidP="003E393C">
      <w:pPr>
        <w:rPr>
          <w:rFonts w:ascii="Calibri" w:hAnsi="Calibri" w:cs="Calibri"/>
          <w:sz w:val="22"/>
          <w:szCs w:val="22"/>
        </w:rPr>
      </w:pPr>
      <w:r w:rsidRPr="002F4CBD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10371D" w:rsidRPr="002F4CBD">
        <w:rPr>
          <w:rFonts w:ascii="Calibri" w:hAnsi="Calibri" w:cs="Calibri"/>
          <w:b/>
          <w:color w:val="13576B"/>
          <w:sz w:val="23"/>
          <w:szCs w:val="23"/>
        </w:rPr>
        <w:t>2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>: Celoroční objem</w:t>
      </w:r>
      <w:r w:rsidR="003D57E2">
        <w:rPr>
          <w:rFonts w:ascii="Calibri" w:hAnsi="Calibri" w:cs="Calibri"/>
          <w:b/>
          <w:color w:val="13576B"/>
          <w:sz w:val="23"/>
          <w:szCs w:val="23"/>
        </w:rPr>
        <w:t xml:space="preserve">, 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 xml:space="preserve">počet </w:t>
      </w:r>
      <w:r w:rsidR="003D57E2">
        <w:rPr>
          <w:rFonts w:ascii="Calibri" w:hAnsi="Calibri" w:cs="Calibri"/>
          <w:b/>
          <w:color w:val="13576B"/>
          <w:sz w:val="23"/>
          <w:szCs w:val="23"/>
        </w:rPr>
        <w:t xml:space="preserve">a průměrná výše 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>poskytnutých hypoték v letech 202</w:t>
      </w:r>
      <w:r w:rsidR="003D57E2">
        <w:rPr>
          <w:rFonts w:ascii="Calibri" w:hAnsi="Calibri" w:cs="Calibri"/>
          <w:b/>
          <w:color w:val="13576B"/>
          <w:sz w:val="23"/>
          <w:szCs w:val="23"/>
        </w:rPr>
        <w:t>0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 xml:space="preserve"> až 202</w:t>
      </w:r>
      <w:r w:rsidR="002138C0" w:rsidRPr="002F4CBD">
        <w:rPr>
          <w:rFonts w:ascii="Calibri" w:hAnsi="Calibri" w:cs="Calibri"/>
          <w:b/>
          <w:color w:val="13576B"/>
          <w:sz w:val="23"/>
          <w:szCs w:val="23"/>
        </w:rPr>
        <w:t>4</w:t>
      </w:r>
    </w:p>
    <w:p w14:paraId="6B4EF12D" w14:textId="28831766" w:rsidR="003E393C" w:rsidRPr="002F4CBD" w:rsidRDefault="003E393C" w:rsidP="003E393C">
      <w:pPr>
        <w:rPr>
          <w:rFonts w:ascii="Calibri" w:hAnsi="Calibri" w:cs="Calibri"/>
          <w:sz w:val="22"/>
          <w:szCs w:val="22"/>
        </w:rPr>
      </w:pPr>
    </w:p>
    <w:p w14:paraId="2F4D295D" w14:textId="6B9E4D05" w:rsidR="002F4CBD" w:rsidRPr="002F4CBD" w:rsidRDefault="003D57E2" w:rsidP="003E393C">
      <w:pPr>
        <w:rPr>
          <w:rFonts w:ascii="Calibri" w:hAnsi="Calibri" w:cs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2FD9A30" wp14:editId="5FC9F4F0">
            <wp:extent cx="6480810" cy="1790065"/>
            <wp:effectExtent l="0" t="0" r="0" b="635"/>
            <wp:docPr id="204938162" name="Picture 1" descr="A graph of different colored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38162" name="Picture 1" descr="A graph of different colored bars&#10;&#10;AI-generated content may be incorrect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749FA" w14:textId="77777777" w:rsidR="003E393C" w:rsidRPr="00616069" w:rsidRDefault="003E393C" w:rsidP="003E393C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 xml:space="preserve">Pramen: ČBA </w:t>
      </w:r>
      <w:proofErr w:type="spellStart"/>
      <w:r w:rsidRPr="002F4CBD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372DD4C3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7448079E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22ED378A" w14:textId="017879D6" w:rsidR="006C53A0" w:rsidRPr="00616069" w:rsidRDefault="006C53A0" w:rsidP="007F41A0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1117B780" w14:textId="3B9498AC" w:rsidR="007F41A0" w:rsidRPr="00616069" w:rsidRDefault="007F41A0" w:rsidP="007F41A0">
      <w:pPr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ČBA zveřejňuje souhrnné statistiky za celý bankovní trh</w:t>
      </w:r>
    </w:p>
    <w:p w14:paraId="55E76E82" w14:textId="019F3D7D" w:rsidR="007F41A0" w:rsidRPr="00616069" w:rsidRDefault="007F41A0" w:rsidP="007F41A0">
      <w:pPr>
        <w:rPr>
          <w:rFonts w:ascii="Calibri" w:hAnsi="Calibri" w:cs="Calibri"/>
          <w:b/>
          <w:bCs/>
          <w:sz w:val="22"/>
          <w:szCs w:val="22"/>
        </w:rPr>
      </w:pPr>
      <w:r w:rsidRPr="00616069">
        <w:rPr>
          <w:rFonts w:ascii="Calibri" w:hAnsi="Calibri" w:cs="Calibri"/>
          <w:sz w:val="22"/>
          <w:szCs w:val="22"/>
        </w:rPr>
        <w:t xml:space="preserve">Česká bankovní asociace zveřejňuje ve spolupráci s členskými bankami nové souhrnné statistiky z trhu bydlení. Jde především o objemy a počty nově poskytnutých a refinancovaných hypoték a příslušnou úrokovou sazbu. Tyto statistiky publikuje ČBA v agregované podobě za celý bankovní sektor na pravidelné bázi vždy zhruba v polovině měsíce. Šetření se účastní všechny tuzemské banky a stavební spořitelny poskytující v ČR hypotéky. Data jsou dostupná od ledna roku 2020 v přiloženém souboru na stránkách </w:t>
      </w:r>
      <w:hyperlink r:id="rId23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www.cbaonline.cz</w:t>
        </w:r>
      </w:hyperlink>
      <w:r w:rsidR="004674AA" w:rsidRPr="00616069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16069">
        <w:rPr>
          <w:rFonts w:ascii="Calibri" w:hAnsi="Calibri" w:cs="Calibri"/>
          <w:sz w:val="22"/>
          <w:szCs w:val="22"/>
        </w:rPr>
        <w:t>kde lze také příslušné statistiky najít zvlášť pro banky a stavební spořitelny. Výše uvedené hodnoty jsou pro sektor jako celek</w:t>
      </w:r>
      <w:r w:rsidR="004674AA" w:rsidRPr="00616069">
        <w:rPr>
          <w:rFonts w:ascii="Calibri" w:hAnsi="Calibri" w:cs="Calibri"/>
          <w:sz w:val="22"/>
          <w:szCs w:val="22"/>
        </w:rPr>
        <w:t>, které lze v jednoduch</w:t>
      </w:r>
      <w:r w:rsidR="004C593C">
        <w:rPr>
          <w:rFonts w:ascii="Calibri" w:hAnsi="Calibri" w:cs="Calibri"/>
          <w:sz w:val="22"/>
          <w:szCs w:val="22"/>
        </w:rPr>
        <w:t>é</w:t>
      </w:r>
      <w:r w:rsidR="004674AA" w:rsidRPr="00616069">
        <w:rPr>
          <w:rFonts w:ascii="Calibri" w:hAnsi="Calibri" w:cs="Calibri"/>
          <w:sz w:val="22"/>
          <w:szCs w:val="22"/>
        </w:rPr>
        <w:t xml:space="preserve"> grafické podobě sledovat také na stránkách </w:t>
      </w:r>
      <w:hyperlink r:id="rId24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cbamonitor.cz</w:t>
        </w:r>
      </w:hyperlink>
      <w:r w:rsidRPr="00616069">
        <w:rPr>
          <w:rFonts w:ascii="Calibri" w:hAnsi="Calibri" w:cs="Calibri"/>
          <w:sz w:val="22"/>
          <w:szCs w:val="22"/>
        </w:rPr>
        <w:t>.</w:t>
      </w:r>
      <w:r w:rsidRPr="00616069">
        <w:rPr>
          <w:rFonts w:ascii="Calibri" w:hAnsi="Calibri" w:cs="Calibri"/>
          <w:i/>
          <w:iCs/>
          <w:sz w:val="20"/>
        </w:rPr>
        <w:t xml:space="preserve"> </w:t>
      </w:r>
    </w:p>
    <w:p w14:paraId="3F99F9FA" w14:textId="6DA0884C" w:rsidR="007F41A0" w:rsidRPr="00616069" w:rsidRDefault="007F41A0" w:rsidP="003417B4">
      <w:pPr>
        <w:rPr>
          <w:rFonts w:ascii="Calibri" w:hAnsi="Calibri" w:cs="Calibri"/>
          <w:sz w:val="22"/>
          <w:szCs w:val="22"/>
        </w:rPr>
      </w:pPr>
    </w:p>
    <w:p w14:paraId="4299C957" w14:textId="36BC1F78" w:rsidR="00B50D1B" w:rsidRPr="00616069" w:rsidRDefault="00B50D1B" w:rsidP="003417B4">
      <w:pPr>
        <w:rPr>
          <w:rFonts w:ascii="Calibri" w:hAnsi="Calibri" w:cs="Calibri"/>
          <w:sz w:val="22"/>
          <w:szCs w:val="22"/>
        </w:rPr>
      </w:pPr>
    </w:p>
    <w:p w14:paraId="6A100EFD" w14:textId="3381F438" w:rsidR="00100269" w:rsidRPr="00616069" w:rsidRDefault="00100269" w:rsidP="003417B4">
      <w:pPr>
        <w:rPr>
          <w:rFonts w:ascii="Calibri" w:hAnsi="Calibri" w:cs="Calibri"/>
          <w:sz w:val="22"/>
          <w:szCs w:val="22"/>
        </w:rPr>
      </w:pPr>
    </w:p>
    <w:p w14:paraId="5F378DF9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012907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4E9F93F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5EDC910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4AE260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146C6D89" w14:textId="77777777" w:rsidR="0028530F" w:rsidRPr="00B04FE2" w:rsidRDefault="004975FD" w:rsidP="00CA3B41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i/>
          <w:iCs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5DA650" wp14:editId="15515F89">
                <wp:simplePos x="0" y="0"/>
                <wp:positionH relativeFrom="margin">
                  <wp:align>center</wp:align>
                </wp:positionH>
                <wp:positionV relativeFrom="paragraph">
                  <wp:posOffset>282527</wp:posOffset>
                </wp:positionV>
                <wp:extent cx="6574790" cy="467550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4675505"/>
                        </a:xfrm>
                        <a:prstGeom prst="rect">
                          <a:avLst/>
                        </a:prstGeom>
                        <a:solidFill>
                          <a:srgbClr val="13576B">
                            <a:alpha val="83922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681E4" w14:textId="20B4FCBA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Metodika 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Hypomonitoru</w:t>
                            </w:r>
                            <w:proofErr w:type="spellEnd"/>
                          </w:p>
                          <w:p w14:paraId="7401467C" w14:textId="77777777" w:rsidR="00414AD4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1021EABD" w14:textId="16015784" w:rsidR="0001227F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Hypomonitor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="00FB47D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rozděluje poskytnuté hypoteční úvěry 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bank a stavebních spořitelen</w:t>
                            </w:r>
                            <w:r w:rsidR="00B426A2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domácnostem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do několika kategorií tak, aby byly rozlišeny nové úvěry od refinancovaných či interních refixací</w:t>
                            </w:r>
                            <w:r w:rsidR="000B70C8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Nové úvěry jsou 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pak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vykazovány v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kategoriích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dle účelu úvěru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:</w:t>
                            </w:r>
                          </w:p>
                          <w:p w14:paraId="58E707E8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3227247A" w14:textId="11714118" w:rsidR="0001227F" w:rsidRPr="00616069" w:rsidRDefault="00E818C3" w:rsidP="00E818C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1.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Nové úvěry</w:t>
                            </w:r>
                          </w:p>
                          <w:p w14:paraId="22AF3257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Jsou úvěry, jejichž celý objem poprvé vstupuje do ekonomiky. Do této kategorie nepatří konsolidace úvěrů anebo refinancování úvěrů. Dělí se do tří kategorií:</w:t>
                            </w:r>
                          </w:p>
                          <w:p w14:paraId="362AFB2A" w14:textId="77777777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Nákup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9F23FA5" w14:textId="6EE96893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Výstavba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včetně rekonstrukce nemovitosti </w:t>
                            </w:r>
                          </w:p>
                          <w:p w14:paraId="4D80580F" w14:textId="11E0715F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Ostatní nová ujednání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</w:t>
                            </w:r>
                            <w:proofErr w:type="gram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podílu,</w:t>
                            </w:r>
                            <w:proofErr w:type="gram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atp.</w:t>
                            </w:r>
                          </w:p>
                          <w:p w14:paraId="4FBF1D5A" w14:textId="77777777" w:rsidR="0001227F" w:rsidRPr="00616069" w:rsidRDefault="0001227F" w:rsidP="0001227F">
                            <w:pPr>
                              <w:spacing w:line="276" w:lineRule="auto"/>
                              <w:ind w:left="708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71D5E0BB" w14:textId="7D112C27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2.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Refinancované úvěry z jiné finanční instituce</w:t>
                            </w:r>
                          </w:p>
                          <w:p w14:paraId="351B5A60" w14:textId="0B5DCBB6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vznikly refinancováním jednoho nebo více úvěrů z jiné finanční instituce než </w:t>
                            </w:r>
                            <w:r w:rsidR="00973197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té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vykazující. Bez ohledu na výši refinancované částky a bez ohledu na výši případného navýšení se celková výše nově vzniklého úvěru vykazuje do této kategorie. </w:t>
                            </w:r>
                          </w:p>
                          <w:p w14:paraId="7566D2D6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04B36444" w14:textId="4F20B25F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3.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Navýšené anebo interně refinancované úvěry</w:t>
                            </w:r>
                          </w:p>
                          <w:p w14:paraId="711A3661" w14:textId="2A271010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již byly </w:t>
                            </w:r>
                            <w:r w:rsidR="00647A7A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v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předchozí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vykazované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období součástí portfolia vykazujícího subjektu, a ve vykazovaném období u nich došlo k některé z následujících změn:</w:t>
                            </w:r>
                          </w:p>
                          <w:p w14:paraId="4A6B00C0" w14:textId="77777777" w:rsidR="00E818C3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navýšení sjednané částky </w:t>
                            </w:r>
                          </w:p>
                          <w:p w14:paraId="44682079" w14:textId="72C23671" w:rsidR="0001227F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došlo k takovým změnám, že původní úvěr byl v rámci vykazujícího subjektu refinancován/převeden na nový úvěr.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de</w:t>
                            </w:r>
                            <w:r w:rsidR="00CD28EC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tak o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skutečně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novou smlouvu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, nikoli např. jen </w:t>
                            </w:r>
                            <w:r w:rsidR="007B79F6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nové ujednání v rámci refi</w:t>
                            </w:r>
                            <w:r w:rsidR="000F02C1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xace 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stávající smlouvy. Proto je objem takových úvěru ve statistice ČBA nižší oproti „ostatním novým ujednáním“ ve statistice České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árodní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b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anky.</w:t>
                            </w:r>
                          </w:p>
                          <w:p w14:paraId="1FAF8B9B" w14:textId="4C474A58" w:rsidR="006F08E1" w:rsidRPr="00616069" w:rsidRDefault="006F08E1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65FC0189" w14:textId="1B58C64B" w:rsidR="006F08E1" w:rsidRPr="00616069" w:rsidRDefault="001F49EA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Data pro 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Hypomonitor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poskytují následující banky a stavební spořitelny: Air Bank, Česká spořitelna, ČSOB, ČSOB Stavební spořitelna, Fio banka, Hypoteční banka, Komerční banka, mBank, Modrá pyramida, MONETA Money Bank, MONETA Stavební spořitelna,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Oberbank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="003E1AAB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Partners</w:t>
                            </w:r>
                            <w:proofErr w:type="spellEnd"/>
                            <w:r w:rsidR="003E1AAB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Banka,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Raiffeisen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stavební spořitelna, Raiffeisenbank, Stavební spořitelna České spořitelny,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UniCredit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Bank.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DA65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2.25pt;width:517.7pt;height:368.1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" fillcolor="#13576b" stroked="f">
                <v:fill opacity="54998f"/>
                <v:textbox>
                  <w:txbxContent>
                    <w:p w14:paraId="523681E4" w14:textId="20B4FCBA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Metodika 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Hypomonitoru</w:t>
                      </w:r>
                      <w:proofErr w:type="spellEnd"/>
                    </w:p>
                    <w:p w14:paraId="7401467C" w14:textId="77777777" w:rsidR="00414AD4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</w:p>
                    <w:p w14:paraId="1021EABD" w14:textId="16015784" w:rsidR="0001227F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Hypomonitor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="00FB47D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rozděluje poskytnuté hypoteční úvěry 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bank a stavebních spořitelen</w:t>
                      </w:r>
                      <w:r w:rsidR="00B426A2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domácnostem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do několika kategorií tak, aby byly rozlišeny nové úvěry od refinancovaných či interních refixací</w:t>
                      </w:r>
                      <w:r w:rsidR="000B70C8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Nové úvěry jsou 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pak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vykazovány v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kategoriích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dle účelu úvěru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:</w:t>
                      </w:r>
                    </w:p>
                    <w:p w14:paraId="58E707E8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3227247A" w14:textId="11714118" w:rsidR="0001227F" w:rsidRPr="00616069" w:rsidRDefault="00E818C3" w:rsidP="00E818C3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1.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Nové úvěry</w:t>
                      </w:r>
                    </w:p>
                    <w:p w14:paraId="22AF3257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Jsou úvěry, jejichž celý objem poprvé vstupuje do ekonomiky. Do této kategorie nepatří konsolidace úvěrů anebo refinancování úvěrů. Dělí se do tří kategorií:</w:t>
                      </w:r>
                    </w:p>
                    <w:p w14:paraId="362AFB2A" w14:textId="77777777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Nákup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</w:t>
                      </w:r>
                    </w:p>
                    <w:p w14:paraId="29F23FA5" w14:textId="6EE96893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Výstavba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včetně rekonstrukce nemovitosti </w:t>
                      </w:r>
                    </w:p>
                    <w:p w14:paraId="4D80580F" w14:textId="11E0715F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Ostatní nová ujednání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</w:t>
                      </w:r>
                      <w:proofErr w:type="gram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podílu,</w:t>
                      </w:r>
                      <w:proofErr w:type="gram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atp.</w:t>
                      </w:r>
                    </w:p>
                    <w:p w14:paraId="4FBF1D5A" w14:textId="77777777" w:rsidR="0001227F" w:rsidRPr="00616069" w:rsidRDefault="0001227F" w:rsidP="0001227F">
                      <w:pPr>
                        <w:spacing w:line="276" w:lineRule="auto"/>
                        <w:ind w:left="708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71D5E0BB" w14:textId="7D112C27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2.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Refinancované úvěry z jiné finanční instituce</w:t>
                      </w:r>
                    </w:p>
                    <w:p w14:paraId="351B5A60" w14:textId="0B5DCBB6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vznikly refinancováním jednoho nebo více úvěrů z jiné finanční instituce než </w:t>
                      </w:r>
                      <w:r w:rsidR="00973197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té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vykazující. Bez ohledu na výši refinancované částky a bez ohledu na výši případného navýšení se celková výše nově vzniklého úvěru vykazuje do této kategorie. </w:t>
                      </w:r>
                    </w:p>
                    <w:p w14:paraId="7566D2D6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04B36444" w14:textId="4F20B25F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3.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Navýšené anebo interně refinancované úvěry</w:t>
                      </w:r>
                    </w:p>
                    <w:p w14:paraId="711A3661" w14:textId="2A271010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již byly </w:t>
                      </w:r>
                      <w:r w:rsidR="00647A7A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v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předchozí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vykazované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období součástí portfolia vykazujícího subjektu, a ve vykazovaném období u nich došlo k některé z následujících změn:</w:t>
                      </w:r>
                    </w:p>
                    <w:p w14:paraId="4A6B00C0" w14:textId="77777777" w:rsidR="00E818C3" w:rsidRPr="00616069" w:rsidRDefault="0001227F" w:rsidP="0001227F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navýšení sjednané částky </w:t>
                      </w:r>
                    </w:p>
                    <w:p w14:paraId="44682079" w14:textId="72C23671" w:rsidR="0001227F" w:rsidRPr="00616069" w:rsidRDefault="0001227F" w:rsidP="0001227F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došlo k takovým změnám, že původní úvěr byl v rámci vykazujícího subjektu refinancován/převeden na nový úvěr.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de</w:t>
                      </w:r>
                      <w:r w:rsidR="00CD28EC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tak o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skutečně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novou smlouvu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, nikoli např. jen </w:t>
                      </w:r>
                      <w:r w:rsidR="007B79F6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nové ujednání v rámci refi</w:t>
                      </w:r>
                      <w:r w:rsidR="000F02C1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xace 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stávající smlouvy. Proto je objem takových úvěru ve statistice ČBA nižší oproti „ostatním novým ujednáním“ ve statistice České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árodní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b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anky.</w:t>
                      </w:r>
                    </w:p>
                    <w:p w14:paraId="1FAF8B9B" w14:textId="4C474A58" w:rsidR="006F08E1" w:rsidRPr="00616069" w:rsidRDefault="006F08E1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65FC0189" w14:textId="1B58C64B" w:rsidR="006F08E1" w:rsidRPr="00616069" w:rsidRDefault="001F49EA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Data pro 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Hypomonitor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poskytují následující banky a stavební spořitelny: Air Bank, Česká spořitelna, ČSOB, ČSOB Stavební spořitelna, Fio banka, Hypoteční banka, Komerční banka, mBank, Modrá pyramida, MONETA Money Bank, MONETA Stavební spořitelna,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Oberbank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="003E1AAB">
                        <w:rPr>
                          <w:rFonts w:ascii="Calibri" w:hAnsi="Calibri" w:cs="Calibri"/>
                          <w:color w:val="FFFFFF" w:themeColor="background1"/>
                        </w:rPr>
                        <w:t>Partners</w:t>
                      </w:r>
                      <w:proofErr w:type="spellEnd"/>
                      <w:r w:rsidR="003E1AAB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Banka,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Raiffeisen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stavební spořitelna, Raiffeisenbank, Stavební spořitelna České spořitelny,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UniCredit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Bank.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Mkatabulky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7"/>
        <w:gridCol w:w="3384"/>
      </w:tblGrid>
      <w:tr w:rsidR="0028530F" w:rsidRPr="00D80B55" w14:paraId="4825E599" w14:textId="77777777" w:rsidTr="001B1140">
        <w:trPr>
          <w:trHeight w:val="1364"/>
        </w:trPr>
        <w:tc>
          <w:tcPr>
            <w:tcW w:w="6817" w:type="dxa"/>
            <w:shd w:val="clear" w:color="auto" w:fill="13576B"/>
          </w:tcPr>
          <w:p w14:paraId="1EB2DC0A" w14:textId="77777777" w:rsidR="0028530F" w:rsidRPr="00D80B55" w:rsidRDefault="0028530F" w:rsidP="001B1140">
            <w:pPr>
              <w:pStyle w:val="CBANadpisvTABULCE"/>
              <w:jc w:val="both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color w:val="FFFFFF" w:themeColor="background1"/>
                <w:szCs w:val="18"/>
              </w:rPr>
              <w:t>O České bankovní asociaci</w:t>
            </w:r>
          </w:p>
          <w:p w14:paraId="4EB0391C" w14:textId="376AE2CD" w:rsidR="0028530F" w:rsidRPr="00D80B55" w:rsidRDefault="0028530F" w:rsidP="001B1140">
            <w:pPr>
              <w:rPr>
                <w:rFonts w:cs="Arial"/>
                <w:color w:val="FFFFFF" w:themeColor="background1"/>
                <w:sz w:val="22"/>
              </w:rPr>
            </w:pPr>
            <w:r w:rsidRPr="00D80B55">
              <w:rPr>
                <w:rFonts w:cs="Arial"/>
                <w:color w:val="FFFFFF" w:themeColor="background1"/>
              </w:rPr>
              <w:t>Česká bankovní asociace (ČBA) je dobrovolné sdružení 3</w:t>
            </w:r>
            <w:r>
              <w:rPr>
                <w:rFonts w:cs="Arial"/>
                <w:color w:val="FFFFFF" w:themeColor="background1"/>
              </w:rPr>
              <w:t>3</w:t>
            </w:r>
            <w:r w:rsidRPr="00D80B55">
              <w:rPr>
                <w:rFonts w:cs="Arial"/>
                <w:color w:val="FFFFFF" w:themeColor="background1"/>
              </w:rPr>
              <w:t xml:space="preserve"> bank, které v ČR působí a reprezentuje tak 99 % trhu. </w:t>
            </w:r>
            <w:r>
              <w:rPr>
                <w:rFonts w:cs="Arial"/>
                <w:color w:val="FFFFFF" w:themeColor="background1"/>
              </w:rPr>
              <w:t>Více než</w:t>
            </w:r>
            <w:r w:rsidRPr="00D80B55">
              <w:rPr>
                <w:rFonts w:cs="Arial"/>
                <w:color w:val="FFFFFF" w:themeColor="background1"/>
              </w:rPr>
              <w:t xml:space="preserve"> 30 let podporuje nejen rozvoj bankovního sektoru, ale i celé ekonomiky a všeobecné finanční gramotnosti. ČBA je členem Evropské bankovní federace (EBF).</w:t>
            </w:r>
          </w:p>
          <w:p w14:paraId="598BB9F7" w14:textId="77777777" w:rsidR="0028530F" w:rsidRPr="00D80B55" w:rsidRDefault="0028530F" w:rsidP="001B1140">
            <w:pPr>
              <w:pStyle w:val="CBAodstavecvTABULCE"/>
              <w:jc w:val="both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color w:val="FFFFFF" w:themeColor="background1"/>
                <w:szCs w:val="18"/>
              </w:rPr>
              <w:t xml:space="preserve">Více informací na </w:t>
            </w:r>
            <w:r w:rsidRPr="00D80B55">
              <w:rPr>
                <w:rFonts w:cs="Arial"/>
                <w:color w:val="FFFFFF" w:themeColor="background1"/>
                <w:szCs w:val="18"/>
                <w:u w:val="single"/>
              </w:rPr>
              <w:t>www.cbaonline.cz.</w:t>
            </w:r>
            <w:r w:rsidRPr="00D80B55">
              <w:rPr>
                <w:rFonts w:cs="Arial"/>
                <w:color w:val="A9936D"/>
                <w:szCs w:val="18"/>
              </w:rPr>
              <w:t xml:space="preserve"> </w:t>
            </w:r>
          </w:p>
        </w:tc>
        <w:tc>
          <w:tcPr>
            <w:tcW w:w="3384" w:type="dxa"/>
            <w:shd w:val="clear" w:color="auto" w:fill="A9936D"/>
            <w:vAlign w:val="center"/>
          </w:tcPr>
          <w:p w14:paraId="606A2DEB" w14:textId="77777777" w:rsidR="0028530F" w:rsidRPr="00D80B55" w:rsidRDefault="0028530F" w:rsidP="001B1140">
            <w:pPr>
              <w:pStyle w:val="CBAodstavecvTABULCE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D80B55">
              <w:rPr>
                <w:rFonts w:cs="Arial"/>
                <w:b/>
                <w:bCs/>
                <w:color w:val="FFFFFF" w:themeColor="background1"/>
                <w:szCs w:val="18"/>
              </w:rPr>
              <w:t xml:space="preserve">                Dotazy posílejte na</w:t>
            </w:r>
          </w:p>
          <w:p w14:paraId="64706D81" w14:textId="77777777" w:rsidR="0028530F" w:rsidRPr="00D80B55" w:rsidRDefault="0028530F" w:rsidP="001B1140">
            <w:pPr>
              <w:pStyle w:val="CBAodstavecvTABULCE"/>
              <w:jc w:val="center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b/>
                <w:bCs/>
                <w:color w:val="FFFFFF" w:themeColor="background1"/>
                <w:szCs w:val="18"/>
              </w:rPr>
              <w:t>radek.salsa@cbaonline.cz</w:t>
            </w:r>
          </w:p>
        </w:tc>
      </w:tr>
    </w:tbl>
    <w:p w14:paraId="79952D08" w14:textId="7B44AB4C" w:rsidR="00C42F00" w:rsidRPr="00B04FE2" w:rsidRDefault="00C42F00" w:rsidP="00CA3B41">
      <w:pPr>
        <w:rPr>
          <w:rFonts w:ascii="Calibri" w:hAnsi="Calibri" w:cs="Calibri"/>
          <w:sz w:val="22"/>
          <w:szCs w:val="22"/>
        </w:rPr>
      </w:pPr>
    </w:p>
    <w:sectPr w:rsidR="00C42F00" w:rsidRPr="00B04FE2" w:rsidSect="000C6834">
      <w:headerReference w:type="default" r:id="rId25"/>
      <w:footerReference w:type="default" r:id="rId26"/>
      <w:pgSz w:w="11906" w:h="16838"/>
      <w:pgMar w:top="2552" w:right="849" w:bottom="156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F520C" w14:textId="77777777" w:rsidR="00E47F38" w:rsidRPr="00616069" w:rsidRDefault="00E47F38" w:rsidP="00F573F1">
      <w:r w:rsidRPr="00616069">
        <w:separator/>
      </w:r>
    </w:p>
  </w:endnote>
  <w:endnote w:type="continuationSeparator" w:id="0">
    <w:p w14:paraId="5DB8220F" w14:textId="77777777" w:rsidR="00E47F38" w:rsidRPr="00616069" w:rsidRDefault="00E47F38" w:rsidP="00F573F1">
      <w:r w:rsidRPr="006160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06907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2EB97C" w14:textId="697C5AC2" w:rsidR="001E31AB" w:rsidRPr="00616069" w:rsidRDefault="001E31AB">
            <w:pPr>
              <w:pStyle w:val="Zpat"/>
              <w:jc w:val="right"/>
            </w:pPr>
            <w:r w:rsidRPr="00616069">
              <w:rPr>
                <w:rFonts w:ascii="Calibri" w:hAnsi="Calibri"/>
                <w:noProof/>
                <w:szCs w:val="18"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7B2A8544" wp14:editId="09B386F6">
                  <wp:simplePos x="0" y="0"/>
                  <wp:positionH relativeFrom="column">
                    <wp:posOffset>-540385</wp:posOffset>
                  </wp:positionH>
                  <wp:positionV relativeFrom="paragraph">
                    <wp:posOffset>-365760</wp:posOffset>
                  </wp:positionV>
                  <wp:extent cx="3042285" cy="701040"/>
                  <wp:effectExtent l="0" t="0" r="5715" b="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09" t="94992" r="61095" b="-1544"/>
                          <a:stretch/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6069">
              <w:rPr>
                <w:rFonts w:ascii="Calibri" w:hAnsi="Calibri"/>
                <w:szCs w:val="18"/>
              </w:rPr>
              <w:t xml:space="preserve">Stránka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PAGE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1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  <w:r w:rsidRPr="00616069">
              <w:rPr>
                <w:rFonts w:ascii="Calibri" w:hAnsi="Calibri"/>
                <w:szCs w:val="18"/>
              </w:rPr>
              <w:t xml:space="preserve"> z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NUMPAGES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2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300EB588" w14:textId="24FF51AB" w:rsidR="0065124E" w:rsidRPr="00616069" w:rsidRDefault="0065124E" w:rsidP="00FB4A1C">
    <w:pPr>
      <w:pStyle w:val="Zpat"/>
      <w:tabs>
        <w:tab w:val="clear" w:pos="4536"/>
        <w:tab w:val="clear" w:pos="9072"/>
        <w:tab w:val="left" w:pos="6080"/>
      </w:tabs>
      <w:rPr>
        <w:color w:val="A6A6A6" w:themeColor="background1" w:themeShade="A6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B4F2" w14:textId="77777777" w:rsidR="00E47F38" w:rsidRPr="00616069" w:rsidRDefault="00E47F38" w:rsidP="00F573F1">
      <w:r w:rsidRPr="00616069">
        <w:separator/>
      </w:r>
    </w:p>
  </w:footnote>
  <w:footnote w:type="continuationSeparator" w:id="0">
    <w:p w14:paraId="1A7C172B" w14:textId="77777777" w:rsidR="00E47F38" w:rsidRPr="00616069" w:rsidRDefault="00E47F38" w:rsidP="00F573F1">
      <w:r w:rsidRPr="00616069">
        <w:continuationSeparator/>
      </w:r>
    </w:p>
  </w:footnote>
  <w:footnote w:id="1">
    <w:p w14:paraId="7617BCAF" w14:textId="77777777" w:rsidR="000F30E9" w:rsidRPr="00616069" w:rsidRDefault="000F30E9" w:rsidP="000F30E9">
      <w:pPr>
        <w:pStyle w:val="Textpoznpodarou"/>
        <w:rPr>
          <w:rFonts w:ascii="Calibri" w:hAnsi="Calibri" w:cs="Calibri"/>
          <w:sz w:val="17"/>
          <w:szCs w:val="17"/>
        </w:rPr>
      </w:pPr>
      <w:r w:rsidRPr="00616069">
        <w:rPr>
          <w:rStyle w:val="Znakapoznpodarou"/>
          <w:rFonts w:ascii="Calibri" w:hAnsi="Calibri" w:cs="Calibri"/>
          <w:sz w:val="17"/>
          <w:szCs w:val="17"/>
        </w:rPr>
        <w:footnoteRef/>
      </w:r>
      <w:r w:rsidRPr="00616069">
        <w:rPr>
          <w:rFonts w:ascii="Calibri" w:hAnsi="Calibri" w:cs="Calibri"/>
          <w:sz w:val="17"/>
          <w:szCs w:val="17"/>
        </w:rPr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>Jedná se především o dlouholeté úrokové swapy (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interest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rate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swap, IRS), které odráží cenu peněz v delších splatnostech, například </w:t>
      </w:r>
      <w:r>
        <w:rPr>
          <w:rFonts w:asciiTheme="majorHAnsi" w:hAnsiTheme="majorHAnsi" w:cstheme="majorHAnsi"/>
          <w:sz w:val="17"/>
          <w:szCs w:val="17"/>
        </w:rPr>
        <w:t>2</w:t>
      </w:r>
      <w:r w:rsidRPr="00616069">
        <w:rPr>
          <w:rFonts w:asciiTheme="majorHAnsi" w:hAnsiTheme="majorHAnsi" w:cstheme="majorHAnsi"/>
          <w:sz w:val="17"/>
          <w:szCs w:val="17"/>
        </w:rPr>
        <w:t xml:space="preserve"> až 10 let.</w:t>
      </w:r>
    </w:p>
  </w:footnote>
  <w:footnote w:id="2">
    <w:p w14:paraId="00841603" w14:textId="77777777" w:rsidR="008F7CC9" w:rsidRPr="00952AEF" w:rsidRDefault="008F7CC9" w:rsidP="008F7CC9">
      <w:pPr>
        <w:pStyle w:val="Textpoznpodarou"/>
        <w:rPr>
          <w:rFonts w:asciiTheme="majorHAnsi" w:hAnsiTheme="majorHAnsi" w:cstheme="majorHAnsi"/>
          <w:sz w:val="17"/>
          <w:szCs w:val="17"/>
        </w:rPr>
      </w:pPr>
      <w:r w:rsidRPr="00616069">
        <w:rPr>
          <w:rStyle w:val="Znakapoznpodarou"/>
        </w:rPr>
        <w:footnoteRef/>
      </w:r>
      <w:r w:rsidRPr="00616069"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 xml:space="preserve">Tabulka je k dispozici v souboru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xls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přiloženém na webových stránkách ČBA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Hypomonitoru</w:t>
      </w:r>
      <w:proofErr w:type="spellEnd"/>
    </w:p>
  </w:footnote>
  <w:footnote w:id="3">
    <w:p w14:paraId="3F408451" w14:textId="77777777" w:rsidR="00952AEF" w:rsidRPr="00952AEF" w:rsidRDefault="00952AEF" w:rsidP="00952AEF">
      <w:pPr>
        <w:pStyle w:val="Textpoznpodarou"/>
        <w:rPr>
          <w:rFonts w:asciiTheme="majorHAnsi" w:hAnsiTheme="majorHAnsi" w:cstheme="majorHAnsi"/>
          <w:sz w:val="17"/>
          <w:szCs w:val="17"/>
        </w:rPr>
      </w:pPr>
      <w:r w:rsidRPr="00616069">
        <w:rPr>
          <w:rStyle w:val="Znakapoznpodarou"/>
        </w:rPr>
        <w:footnoteRef/>
      </w:r>
      <w:r w:rsidRPr="00616069"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 xml:space="preserve">Tabulka je k dispozici v souboru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xls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přiloženém na webových stránkách ČBA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Hypomonitoru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A4485" w14:textId="25969B31" w:rsidR="0065124E" w:rsidRPr="00616069" w:rsidRDefault="00A86552">
    <w:pPr>
      <w:pStyle w:val="Zhlav"/>
    </w:pPr>
    <w:r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DCC7344" wp14:editId="2F0B41DB">
              <wp:simplePos x="0" y="0"/>
              <wp:positionH relativeFrom="margin">
                <wp:posOffset>2228694</wp:posOffset>
              </wp:positionH>
              <wp:positionV relativeFrom="paragraph">
                <wp:posOffset>214019</wp:posOffset>
              </wp:positionV>
              <wp:extent cx="2941608" cy="140462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608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86907" w14:textId="5E92F629" w:rsidR="00A86552" w:rsidRPr="00616069" w:rsidRDefault="00CE596E" w:rsidP="00A86552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>NEZVEŘEJNOVAT</w:t>
                          </w:r>
                          <w:r w:rsidR="007F41A0" w:rsidRPr="00616069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616069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>DO</w:t>
                          </w:r>
                          <w:r w:rsidR="002556C2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 xml:space="preserve"> </w:t>
                          </w:r>
                          <w:r w:rsidR="00661956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>pátku</w:t>
                          </w:r>
                          <w:r w:rsidR="002138C0" w:rsidRPr="00616069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 xml:space="preserve"> </w:t>
                          </w:r>
                          <w:r w:rsidR="00106F70" w:rsidRPr="00616069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>1</w:t>
                          </w:r>
                          <w:r w:rsidR="00A447E7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>3</w:t>
                          </w:r>
                          <w:r w:rsidRPr="00616069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>.</w:t>
                          </w:r>
                          <w:r w:rsidR="00A447E7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>6</w:t>
                          </w:r>
                          <w:r w:rsidRPr="00616069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>.</w:t>
                          </w:r>
                          <w:r w:rsidR="007F41A0" w:rsidRPr="00616069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>202</w:t>
                          </w:r>
                          <w:r w:rsidR="002138C0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>5</w:t>
                          </w:r>
                          <w:r w:rsidRPr="00616069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 xml:space="preserve"> </w:t>
                          </w:r>
                          <w:r w:rsidR="00235942" w:rsidRPr="00616069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>0</w:t>
                          </w:r>
                          <w:r w:rsidR="005450EB" w:rsidRPr="00616069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>6</w:t>
                          </w:r>
                          <w:r w:rsidR="00074C45" w:rsidRPr="00616069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>:0</w:t>
                          </w:r>
                          <w:r w:rsidR="00E86672" w:rsidRPr="00616069"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CC73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5.5pt;margin-top:16.85pt;width:23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Be+g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" filled="f" stroked="f">
              <v:textbox style="mso-fit-shape-to-text:t">
                <w:txbxContent>
                  <w:p w14:paraId="24986907" w14:textId="5E92F629" w:rsidR="00A86552" w:rsidRPr="00616069" w:rsidRDefault="00CE596E" w:rsidP="00A86552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</w:pPr>
                    <w:r w:rsidRPr="00616069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>NEZVEŘEJNOVAT</w:t>
                    </w:r>
                    <w:r w:rsidR="007F41A0" w:rsidRPr="00616069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 xml:space="preserve"> </w:t>
                    </w:r>
                    <w:r w:rsidRPr="00616069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>DO</w:t>
                    </w:r>
                    <w:r w:rsidR="002556C2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 xml:space="preserve"> </w:t>
                    </w:r>
                    <w:r w:rsidR="00661956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>pátku</w:t>
                    </w:r>
                    <w:r w:rsidR="002138C0" w:rsidRPr="00616069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 xml:space="preserve"> </w:t>
                    </w:r>
                    <w:r w:rsidR="00106F70" w:rsidRPr="00616069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>1</w:t>
                    </w:r>
                    <w:r w:rsidR="00A447E7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>3</w:t>
                    </w:r>
                    <w:r w:rsidRPr="00616069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>.</w:t>
                    </w:r>
                    <w:r w:rsidR="00A447E7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>6</w:t>
                    </w:r>
                    <w:r w:rsidRPr="00616069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>.</w:t>
                    </w:r>
                    <w:r w:rsidR="007F41A0" w:rsidRPr="00616069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>202</w:t>
                    </w:r>
                    <w:r w:rsidR="002138C0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>5</w:t>
                    </w:r>
                    <w:r w:rsidRPr="00616069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 xml:space="preserve"> </w:t>
                    </w:r>
                    <w:r w:rsidR="00235942" w:rsidRPr="00616069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>0</w:t>
                    </w:r>
                    <w:r w:rsidR="005450EB" w:rsidRPr="00616069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>6</w:t>
                    </w:r>
                    <w:r w:rsidR="00074C45" w:rsidRPr="00616069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>:0</w:t>
                    </w:r>
                    <w:r w:rsidR="00E86672" w:rsidRPr="00616069"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  <w:t>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44C66" w:rsidRPr="0061606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97D896D" wp14:editId="7A6FB449">
          <wp:simplePos x="0" y="0"/>
          <wp:positionH relativeFrom="column">
            <wp:posOffset>-52705</wp:posOffset>
          </wp:positionH>
          <wp:positionV relativeFrom="paragraph">
            <wp:posOffset>29845</wp:posOffset>
          </wp:positionV>
          <wp:extent cx="2209800" cy="77851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4720" w:rsidRPr="00616069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A1D7AA9" wp14:editId="7A7B0A01">
          <wp:simplePos x="0" y="0"/>
          <wp:positionH relativeFrom="column">
            <wp:posOffset>3985895</wp:posOffset>
          </wp:positionH>
          <wp:positionV relativeFrom="paragraph">
            <wp:posOffset>-8255</wp:posOffset>
          </wp:positionV>
          <wp:extent cx="2943225" cy="243840"/>
          <wp:effectExtent l="0" t="0" r="9525" b="381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92" r="61096" b="2729"/>
                  <a:stretch/>
                </pic:blipFill>
                <pic:spPr bwMode="auto">
                  <a:xfrm>
                    <a:off x="0" y="0"/>
                    <a:ext cx="2943225" cy="24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720"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6DE097" wp14:editId="755E40ED">
              <wp:simplePos x="0" y="0"/>
              <wp:positionH relativeFrom="margin">
                <wp:posOffset>5238115</wp:posOffset>
              </wp:positionH>
              <wp:positionV relativeFrom="paragraph">
                <wp:posOffset>153035</wp:posOffset>
              </wp:positionV>
              <wp:extent cx="1239520" cy="140462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E40D2" w14:textId="77777777" w:rsidR="002D4720" w:rsidRPr="00616069" w:rsidRDefault="002D4720" w:rsidP="002D4720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  <w:t>KOMENTÁŘ</w:t>
                          </w:r>
                        </w:p>
                        <w:p w14:paraId="0A69756F" w14:textId="7DC34134" w:rsidR="002D4720" w:rsidRPr="00616069" w:rsidRDefault="007F41A0" w:rsidP="002138C0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 xml:space="preserve">            </w:t>
                          </w:r>
                          <w:r w:rsidR="002138C0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1</w:t>
                          </w:r>
                          <w:r w:rsidR="00A447E7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3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</w:t>
                          </w:r>
                          <w:r w:rsidR="00A447E7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6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.202</w:t>
                          </w:r>
                          <w:r w:rsidR="002138C0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6DE097" id="_x0000_s1028" type="#_x0000_t202" style="position:absolute;left:0;text-align:left;margin-left:412.45pt;margin-top:12.05pt;width:97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" filled="f" stroked="f">
              <v:textbox style="mso-fit-shape-to-text:t">
                <w:txbxContent>
                  <w:p w14:paraId="15DE40D2" w14:textId="77777777" w:rsidR="002D4720" w:rsidRPr="00616069" w:rsidRDefault="002D4720" w:rsidP="002D4720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  <w:t>KOMENTÁŘ</w:t>
                    </w:r>
                  </w:p>
                  <w:p w14:paraId="0A69756F" w14:textId="7DC34134" w:rsidR="002D4720" w:rsidRPr="00616069" w:rsidRDefault="007F41A0" w:rsidP="002138C0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 xml:space="preserve">            </w:t>
                    </w:r>
                    <w:r w:rsidR="002138C0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1</w:t>
                    </w:r>
                    <w:r w:rsidR="00A447E7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3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</w:t>
                    </w:r>
                    <w:r w:rsidR="00A447E7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6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.202</w:t>
                    </w:r>
                    <w:r w:rsidR="002138C0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9A1"/>
    <w:multiLevelType w:val="hybridMultilevel"/>
    <w:tmpl w:val="28EA1BD4"/>
    <w:lvl w:ilvl="0" w:tplc="F8600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4B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04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2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C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A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5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E4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09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3A48A1"/>
    <w:multiLevelType w:val="hybridMultilevel"/>
    <w:tmpl w:val="6E121294"/>
    <w:lvl w:ilvl="0" w:tplc="BEC070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43AD"/>
    <w:multiLevelType w:val="hybridMultilevel"/>
    <w:tmpl w:val="EB828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A72"/>
    <w:multiLevelType w:val="hybridMultilevel"/>
    <w:tmpl w:val="4222A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1D76"/>
    <w:multiLevelType w:val="hybridMultilevel"/>
    <w:tmpl w:val="6D527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2C3C"/>
    <w:multiLevelType w:val="hybridMultilevel"/>
    <w:tmpl w:val="163C6E8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206309C"/>
    <w:multiLevelType w:val="hybridMultilevel"/>
    <w:tmpl w:val="855E01C6"/>
    <w:lvl w:ilvl="0" w:tplc="9F3AF1E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92919"/>
    <w:multiLevelType w:val="hybridMultilevel"/>
    <w:tmpl w:val="2B56FAFE"/>
    <w:lvl w:ilvl="0" w:tplc="698817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A4083"/>
    <w:multiLevelType w:val="hybridMultilevel"/>
    <w:tmpl w:val="3C584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42FC1"/>
    <w:multiLevelType w:val="hybridMultilevel"/>
    <w:tmpl w:val="C296AEE6"/>
    <w:lvl w:ilvl="0" w:tplc="B2560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A4577"/>
    <w:multiLevelType w:val="hybridMultilevel"/>
    <w:tmpl w:val="553EAC9E"/>
    <w:lvl w:ilvl="0" w:tplc="8B20C2B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43A30"/>
    <w:multiLevelType w:val="hybridMultilevel"/>
    <w:tmpl w:val="26BEA028"/>
    <w:lvl w:ilvl="0" w:tplc="886E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07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2B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E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2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2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E2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45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85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BB14DD"/>
    <w:multiLevelType w:val="hybridMultilevel"/>
    <w:tmpl w:val="17628C18"/>
    <w:lvl w:ilvl="0" w:tplc="E50CA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6437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B6E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9EEF1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ECDB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6A64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85E48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F0E1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38AD3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2C5A2A51"/>
    <w:multiLevelType w:val="hybridMultilevel"/>
    <w:tmpl w:val="633C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7CE5"/>
    <w:multiLevelType w:val="hybridMultilevel"/>
    <w:tmpl w:val="F91C69CC"/>
    <w:lvl w:ilvl="0" w:tplc="AA889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B2B28"/>
    <w:multiLevelType w:val="hybridMultilevel"/>
    <w:tmpl w:val="A77CB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70A7D"/>
    <w:multiLevelType w:val="hybridMultilevel"/>
    <w:tmpl w:val="E76A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A024A"/>
    <w:multiLevelType w:val="hybridMultilevel"/>
    <w:tmpl w:val="123AA014"/>
    <w:lvl w:ilvl="0" w:tplc="A1E66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A3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2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7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0A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88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86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45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EB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8A7633"/>
    <w:multiLevelType w:val="hybridMultilevel"/>
    <w:tmpl w:val="A68019BE"/>
    <w:lvl w:ilvl="0" w:tplc="D6BA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C9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E8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23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66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ED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48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0A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9105EB"/>
    <w:multiLevelType w:val="hybridMultilevel"/>
    <w:tmpl w:val="25882682"/>
    <w:lvl w:ilvl="0" w:tplc="E586E02A">
      <w:start w:val="1"/>
      <w:numFmt w:val="decimal"/>
      <w:lvlText w:val="%1."/>
      <w:lvlJc w:val="left"/>
      <w:pPr>
        <w:ind w:left="410" w:hanging="360"/>
      </w:pPr>
    </w:lvl>
    <w:lvl w:ilvl="1" w:tplc="08090019">
      <w:start w:val="1"/>
      <w:numFmt w:val="lowerLetter"/>
      <w:lvlText w:val="%2."/>
      <w:lvlJc w:val="left"/>
      <w:pPr>
        <w:ind w:left="1130" w:hanging="360"/>
      </w:pPr>
    </w:lvl>
    <w:lvl w:ilvl="2" w:tplc="0809001B">
      <w:start w:val="1"/>
      <w:numFmt w:val="lowerRoman"/>
      <w:lvlText w:val="%3."/>
      <w:lvlJc w:val="right"/>
      <w:pPr>
        <w:ind w:left="1850" w:hanging="180"/>
      </w:pPr>
    </w:lvl>
    <w:lvl w:ilvl="3" w:tplc="0809000F">
      <w:start w:val="1"/>
      <w:numFmt w:val="decimal"/>
      <w:lvlText w:val="%4."/>
      <w:lvlJc w:val="left"/>
      <w:pPr>
        <w:ind w:left="2570" w:hanging="360"/>
      </w:pPr>
    </w:lvl>
    <w:lvl w:ilvl="4" w:tplc="08090019">
      <w:start w:val="1"/>
      <w:numFmt w:val="lowerLetter"/>
      <w:lvlText w:val="%5."/>
      <w:lvlJc w:val="left"/>
      <w:pPr>
        <w:ind w:left="3290" w:hanging="360"/>
      </w:pPr>
    </w:lvl>
    <w:lvl w:ilvl="5" w:tplc="0809001B">
      <w:start w:val="1"/>
      <w:numFmt w:val="lowerRoman"/>
      <w:lvlText w:val="%6."/>
      <w:lvlJc w:val="right"/>
      <w:pPr>
        <w:ind w:left="4010" w:hanging="180"/>
      </w:pPr>
    </w:lvl>
    <w:lvl w:ilvl="6" w:tplc="0809000F">
      <w:start w:val="1"/>
      <w:numFmt w:val="decimal"/>
      <w:lvlText w:val="%7."/>
      <w:lvlJc w:val="left"/>
      <w:pPr>
        <w:ind w:left="4730" w:hanging="360"/>
      </w:pPr>
    </w:lvl>
    <w:lvl w:ilvl="7" w:tplc="08090019">
      <w:start w:val="1"/>
      <w:numFmt w:val="lowerLetter"/>
      <w:lvlText w:val="%8."/>
      <w:lvlJc w:val="left"/>
      <w:pPr>
        <w:ind w:left="5450" w:hanging="360"/>
      </w:pPr>
    </w:lvl>
    <w:lvl w:ilvl="8" w:tplc="0809001B">
      <w:start w:val="1"/>
      <w:numFmt w:val="lowerRoman"/>
      <w:lvlText w:val="%9."/>
      <w:lvlJc w:val="right"/>
      <w:pPr>
        <w:ind w:left="6170" w:hanging="180"/>
      </w:pPr>
    </w:lvl>
  </w:abstractNum>
  <w:abstractNum w:abstractNumId="20" w15:restartNumberingAfterBreak="0">
    <w:nsid w:val="606843DC"/>
    <w:multiLevelType w:val="hybridMultilevel"/>
    <w:tmpl w:val="3E42D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214D"/>
    <w:multiLevelType w:val="hybridMultilevel"/>
    <w:tmpl w:val="9F34024E"/>
    <w:lvl w:ilvl="0" w:tplc="ADB0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29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4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AB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2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B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A9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C9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23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7613CD2"/>
    <w:multiLevelType w:val="hybridMultilevel"/>
    <w:tmpl w:val="0CF0BB3A"/>
    <w:lvl w:ilvl="0" w:tplc="15082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6C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0C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B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CC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05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E1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CF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EA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65577F"/>
    <w:multiLevelType w:val="hybridMultilevel"/>
    <w:tmpl w:val="BBB23B48"/>
    <w:lvl w:ilvl="0" w:tplc="AC68A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AC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8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08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6B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A0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0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2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4D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8FD055A"/>
    <w:multiLevelType w:val="hybridMultilevel"/>
    <w:tmpl w:val="F490C33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EA509EA"/>
    <w:multiLevelType w:val="hybridMultilevel"/>
    <w:tmpl w:val="14E0161E"/>
    <w:lvl w:ilvl="0" w:tplc="9F3AF1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137D7D"/>
    <w:multiLevelType w:val="hybridMultilevel"/>
    <w:tmpl w:val="F856C146"/>
    <w:lvl w:ilvl="0" w:tplc="F37A31C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DE4F03"/>
    <w:multiLevelType w:val="hybridMultilevel"/>
    <w:tmpl w:val="D458DCC2"/>
    <w:lvl w:ilvl="0" w:tplc="ABAA372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767A3"/>
    <w:multiLevelType w:val="hybridMultilevel"/>
    <w:tmpl w:val="50648AEA"/>
    <w:lvl w:ilvl="0" w:tplc="A2506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E9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9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C9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8C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49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AC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E4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2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9FB636A"/>
    <w:multiLevelType w:val="hybridMultilevel"/>
    <w:tmpl w:val="4454BAA0"/>
    <w:lvl w:ilvl="0" w:tplc="3A1A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F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46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C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2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27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48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D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6C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C2B4724"/>
    <w:multiLevelType w:val="hybridMultilevel"/>
    <w:tmpl w:val="A274A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2314">
    <w:abstractNumId w:val="3"/>
  </w:num>
  <w:num w:numId="2" w16cid:durableId="1910113698">
    <w:abstractNumId w:val="9"/>
  </w:num>
  <w:num w:numId="3" w16cid:durableId="405613309">
    <w:abstractNumId w:val="26"/>
  </w:num>
  <w:num w:numId="4" w16cid:durableId="240213499">
    <w:abstractNumId w:val="15"/>
  </w:num>
  <w:num w:numId="5" w16cid:durableId="740492638">
    <w:abstractNumId w:val="5"/>
  </w:num>
  <w:num w:numId="6" w16cid:durableId="211576891">
    <w:abstractNumId w:val="24"/>
  </w:num>
  <w:num w:numId="7" w16cid:durableId="1918248069">
    <w:abstractNumId w:val="7"/>
  </w:num>
  <w:num w:numId="8" w16cid:durableId="1159419045">
    <w:abstractNumId w:val="29"/>
  </w:num>
  <w:num w:numId="9" w16cid:durableId="1798374138">
    <w:abstractNumId w:val="6"/>
  </w:num>
  <w:num w:numId="10" w16cid:durableId="1530677457">
    <w:abstractNumId w:val="25"/>
  </w:num>
  <w:num w:numId="11" w16cid:durableId="984315201">
    <w:abstractNumId w:val="2"/>
  </w:num>
  <w:num w:numId="12" w16cid:durableId="7762198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55103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9389165">
    <w:abstractNumId w:val="16"/>
  </w:num>
  <w:num w:numId="15" w16cid:durableId="1323195451">
    <w:abstractNumId w:val="13"/>
  </w:num>
  <w:num w:numId="16" w16cid:durableId="467165265">
    <w:abstractNumId w:val="10"/>
  </w:num>
  <w:num w:numId="17" w16cid:durableId="676033370">
    <w:abstractNumId w:val="12"/>
  </w:num>
  <w:num w:numId="18" w16cid:durableId="1742554342">
    <w:abstractNumId w:val="18"/>
  </w:num>
  <w:num w:numId="19" w16cid:durableId="613287013">
    <w:abstractNumId w:val="21"/>
  </w:num>
  <w:num w:numId="20" w16cid:durableId="8067070">
    <w:abstractNumId w:val="11"/>
  </w:num>
  <w:num w:numId="21" w16cid:durableId="825434180">
    <w:abstractNumId w:val="0"/>
  </w:num>
  <w:num w:numId="22" w16cid:durableId="1082681076">
    <w:abstractNumId w:val="23"/>
  </w:num>
  <w:num w:numId="23" w16cid:durableId="1901165520">
    <w:abstractNumId w:val="28"/>
  </w:num>
  <w:num w:numId="24" w16cid:durableId="1991010767">
    <w:abstractNumId w:val="22"/>
  </w:num>
  <w:num w:numId="25" w16cid:durableId="1542282676">
    <w:abstractNumId w:val="17"/>
  </w:num>
  <w:num w:numId="26" w16cid:durableId="986973659">
    <w:abstractNumId w:val="14"/>
  </w:num>
  <w:num w:numId="27" w16cid:durableId="815336034">
    <w:abstractNumId w:val="27"/>
  </w:num>
  <w:num w:numId="28" w16cid:durableId="1895651473">
    <w:abstractNumId w:val="8"/>
  </w:num>
  <w:num w:numId="29" w16cid:durableId="1858687908">
    <w:abstractNumId w:val="4"/>
  </w:num>
  <w:num w:numId="30" w16cid:durableId="1758164458">
    <w:abstractNumId w:val="20"/>
  </w:num>
  <w:num w:numId="31" w16cid:durableId="1425541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43"/>
    <w:rsid w:val="00000954"/>
    <w:rsid w:val="00001C42"/>
    <w:rsid w:val="00001E72"/>
    <w:rsid w:val="0000226C"/>
    <w:rsid w:val="0000363D"/>
    <w:rsid w:val="00004596"/>
    <w:rsid w:val="00005419"/>
    <w:rsid w:val="000054D2"/>
    <w:rsid w:val="00005B3F"/>
    <w:rsid w:val="00006511"/>
    <w:rsid w:val="00006C79"/>
    <w:rsid w:val="000070E2"/>
    <w:rsid w:val="00010564"/>
    <w:rsid w:val="000118C2"/>
    <w:rsid w:val="00011AF5"/>
    <w:rsid w:val="0001227F"/>
    <w:rsid w:val="00015933"/>
    <w:rsid w:val="000159E5"/>
    <w:rsid w:val="0001656C"/>
    <w:rsid w:val="000175B3"/>
    <w:rsid w:val="000176E6"/>
    <w:rsid w:val="000202BA"/>
    <w:rsid w:val="00020581"/>
    <w:rsid w:val="00020ED0"/>
    <w:rsid w:val="00020FE5"/>
    <w:rsid w:val="000213CC"/>
    <w:rsid w:val="000221E0"/>
    <w:rsid w:val="00023E9F"/>
    <w:rsid w:val="0002473E"/>
    <w:rsid w:val="000264B4"/>
    <w:rsid w:val="000265A3"/>
    <w:rsid w:val="00027099"/>
    <w:rsid w:val="00027B22"/>
    <w:rsid w:val="00027BAD"/>
    <w:rsid w:val="00031418"/>
    <w:rsid w:val="00031478"/>
    <w:rsid w:val="00035040"/>
    <w:rsid w:val="00036FAB"/>
    <w:rsid w:val="00037707"/>
    <w:rsid w:val="00037C17"/>
    <w:rsid w:val="00040FA4"/>
    <w:rsid w:val="00043889"/>
    <w:rsid w:val="00043DB1"/>
    <w:rsid w:val="00044002"/>
    <w:rsid w:val="000444EA"/>
    <w:rsid w:val="000458CD"/>
    <w:rsid w:val="0004612A"/>
    <w:rsid w:val="0004701A"/>
    <w:rsid w:val="00047DF1"/>
    <w:rsid w:val="000509DD"/>
    <w:rsid w:val="00050AF7"/>
    <w:rsid w:val="00051022"/>
    <w:rsid w:val="00051A5B"/>
    <w:rsid w:val="00052C6A"/>
    <w:rsid w:val="00053780"/>
    <w:rsid w:val="00053EE4"/>
    <w:rsid w:val="000559DE"/>
    <w:rsid w:val="00055CBC"/>
    <w:rsid w:val="000563EB"/>
    <w:rsid w:val="00056A4F"/>
    <w:rsid w:val="00057396"/>
    <w:rsid w:val="000606C6"/>
    <w:rsid w:val="00060D7F"/>
    <w:rsid w:val="00063DEB"/>
    <w:rsid w:val="00066F52"/>
    <w:rsid w:val="0006711A"/>
    <w:rsid w:val="00072447"/>
    <w:rsid w:val="00072DB9"/>
    <w:rsid w:val="000733AD"/>
    <w:rsid w:val="0007445A"/>
    <w:rsid w:val="00074C45"/>
    <w:rsid w:val="000752D6"/>
    <w:rsid w:val="00075932"/>
    <w:rsid w:val="0007638A"/>
    <w:rsid w:val="00076C37"/>
    <w:rsid w:val="000770D8"/>
    <w:rsid w:val="00080102"/>
    <w:rsid w:val="00081E35"/>
    <w:rsid w:val="00083D1A"/>
    <w:rsid w:val="000841C2"/>
    <w:rsid w:val="000842AE"/>
    <w:rsid w:val="00084CF9"/>
    <w:rsid w:val="00086094"/>
    <w:rsid w:val="00086BE0"/>
    <w:rsid w:val="0008743D"/>
    <w:rsid w:val="000900C9"/>
    <w:rsid w:val="0009101B"/>
    <w:rsid w:val="00091B3B"/>
    <w:rsid w:val="0009491E"/>
    <w:rsid w:val="00097293"/>
    <w:rsid w:val="000976B9"/>
    <w:rsid w:val="00097B42"/>
    <w:rsid w:val="000A019A"/>
    <w:rsid w:val="000A0285"/>
    <w:rsid w:val="000A0ECE"/>
    <w:rsid w:val="000A16EA"/>
    <w:rsid w:val="000A2779"/>
    <w:rsid w:val="000A29DE"/>
    <w:rsid w:val="000A2C3B"/>
    <w:rsid w:val="000A3ECF"/>
    <w:rsid w:val="000A4D59"/>
    <w:rsid w:val="000A5220"/>
    <w:rsid w:val="000A549A"/>
    <w:rsid w:val="000A664C"/>
    <w:rsid w:val="000B064D"/>
    <w:rsid w:val="000B0992"/>
    <w:rsid w:val="000B2005"/>
    <w:rsid w:val="000B3BFA"/>
    <w:rsid w:val="000B4C8F"/>
    <w:rsid w:val="000B510F"/>
    <w:rsid w:val="000B51A4"/>
    <w:rsid w:val="000B70C8"/>
    <w:rsid w:val="000B79A4"/>
    <w:rsid w:val="000C045B"/>
    <w:rsid w:val="000C11CC"/>
    <w:rsid w:val="000C12D3"/>
    <w:rsid w:val="000C12F1"/>
    <w:rsid w:val="000C1E4E"/>
    <w:rsid w:val="000C234E"/>
    <w:rsid w:val="000C3211"/>
    <w:rsid w:val="000C4910"/>
    <w:rsid w:val="000C502F"/>
    <w:rsid w:val="000C5651"/>
    <w:rsid w:val="000C6834"/>
    <w:rsid w:val="000C78A3"/>
    <w:rsid w:val="000D011A"/>
    <w:rsid w:val="000D02A4"/>
    <w:rsid w:val="000D1749"/>
    <w:rsid w:val="000D1D61"/>
    <w:rsid w:val="000D32BB"/>
    <w:rsid w:val="000D49D0"/>
    <w:rsid w:val="000D4F26"/>
    <w:rsid w:val="000D56F1"/>
    <w:rsid w:val="000D5D2B"/>
    <w:rsid w:val="000D684D"/>
    <w:rsid w:val="000D6EF9"/>
    <w:rsid w:val="000E087A"/>
    <w:rsid w:val="000E0B50"/>
    <w:rsid w:val="000E0C43"/>
    <w:rsid w:val="000E1975"/>
    <w:rsid w:val="000E2B4E"/>
    <w:rsid w:val="000E2FCE"/>
    <w:rsid w:val="000E3B1C"/>
    <w:rsid w:val="000E4810"/>
    <w:rsid w:val="000E4ABC"/>
    <w:rsid w:val="000E563F"/>
    <w:rsid w:val="000E59CE"/>
    <w:rsid w:val="000F02C1"/>
    <w:rsid w:val="000F02FD"/>
    <w:rsid w:val="000F0342"/>
    <w:rsid w:val="000F0636"/>
    <w:rsid w:val="000F0A03"/>
    <w:rsid w:val="000F30E9"/>
    <w:rsid w:val="000F426C"/>
    <w:rsid w:val="000F4318"/>
    <w:rsid w:val="000F617D"/>
    <w:rsid w:val="000F61F5"/>
    <w:rsid w:val="000F680C"/>
    <w:rsid w:val="000F70CA"/>
    <w:rsid w:val="00100269"/>
    <w:rsid w:val="001002CD"/>
    <w:rsid w:val="00100394"/>
    <w:rsid w:val="0010159F"/>
    <w:rsid w:val="00102262"/>
    <w:rsid w:val="0010268F"/>
    <w:rsid w:val="0010277A"/>
    <w:rsid w:val="00102D9A"/>
    <w:rsid w:val="00103662"/>
    <w:rsid w:val="0010371D"/>
    <w:rsid w:val="00105514"/>
    <w:rsid w:val="00105918"/>
    <w:rsid w:val="00105ACC"/>
    <w:rsid w:val="00105DB5"/>
    <w:rsid w:val="00106451"/>
    <w:rsid w:val="00106D78"/>
    <w:rsid w:val="00106F70"/>
    <w:rsid w:val="00107915"/>
    <w:rsid w:val="001102C6"/>
    <w:rsid w:val="001104C5"/>
    <w:rsid w:val="001106DD"/>
    <w:rsid w:val="00110C31"/>
    <w:rsid w:val="0011113B"/>
    <w:rsid w:val="001126B2"/>
    <w:rsid w:val="00112AA1"/>
    <w:rsid w:val="00112C5A"/>
    <w:rsid w:val="00112D3E"/>
    <w:rsid w:val="00112E70"/>
    <w:rsid w:val="0011443F"/>
    <w:rsid w:val="0011553C"/>
    <w:rsid w:val="00115D53"/>
    <w:rsid w:val="00115DDC"/>
    <w:rsid w:val="00116003"/>
    <w:rsid w:val="00116F4B"/>
    <w:rsid w:val="001177C9"/>
    <w:rsid w:val="00117860"/>
    <w:rsid w:val="00120FB7"/>
    <w:rsid w:val="001226BC"/>
    <w:rsid w:val="00122810"/>
    <w:rsid w:val="00122CC4"/>
    <w:rsid w:val="0012351B"/>
    <w:rsid w:val="00123FF9"/>
    <w:rsid w:val="00124C23"/>
    <w:rsid w:val="00124EF9"/>
    <w:rsid w:val="001253CC"/>
    <w:rsid w:val="001259D2"/>
    <w:rsid w:val="00126A7F"/>
    <w:rsid w:val="00130063"/>
    <w:rsid w:val="00130359"/>
    <w:rsid w:val="001306A2"/>
    <w:rsid w:val="00131D36"/>
    <w:rsid w:val="00131E94"/>
    <w:rsid w:val="00132EE9"/>
    <w:rsid w:val="0013407D"/>
    <w:rsid w:val="001348D9"/>
    <w:rsid w:val="00134A41"/>
    <w:rsid w:val="001361CA"/>
    <w:rsid w:val="00136519"/>
    <w:rsid w:val="0013679D"/>
    <w:rsid w:val="00136825"/>
    <w:rsid w:val="00136D3A"/>
    <w:rsid w:val="00136EC9"/>
    <w:rsid w:val="00136FC5"/>
    <w:rsid w:val="00137050"/>
    <w:rsid w:val="0013716D"/>
    <w:rsid w:val="00137560"/>
    <w:rsid w:val="00140E10"/>
    <w:rsid w:val="001438F4"/>
    <w:rsid w:val="00143BF5"/>
    <w:rsid w:val="00143DCC"/>
    <w:rsid w:val="00144794"/>
    <w:rsid w:val="00144D53"/>
    <w:rsid w:val="00145506"/>
    <w:rsid w:val="001457AA"/>
    <w:rsid w:val="00145E7A"/>
    <w:rsid w:val="00146F46"/>
    <w:rsid w:val="0015125A"/>
    <w:rsid w:val="00151A74"/>
    <w:rsid w:val="001526EE"/>
    <w:rsid w:val="0015295E"/>
    <w:rsid w:val="00152A73"/>
    <w:rsid w:val="001534F6"/>
    <w:rsid w:val="00154B70"/>
    <w:rsid w:val="00154EE2"/>
    <w:rsid w:val="001553F8"/>
    <w:rsid w:val="00155A3F"/>
    <w:rsid w:val="00157080"/>
    <w:rsid w:val="001570E1"/>
    <w:rsid w:val="00157C6A"/>
    <w:rsid w:val="001605B3"/>
    <w:rsid w:val="001622C2"/>
    <w:rsid w:val="00162D23"/>
    <w:rsid w:val="001633ED"/>
    <w:rsid w:val="00163F5F"/>
    <w:rsid w:val="00165DDC"/>
    <w:rsid w:val="0016769F"/>
    <w:rsid w:val="00170298"/>
    <w:rsid w:val="001715A2"/>
    <w:rsid w:val="0017388B"/>
    <w:rsid w:val="00173D31"/>
    <w:rsid w:val="0017441E"/>
    <w:rsid w:val="00175839"/>
    <w:rsid w:val="00175A85"/>
    <w:rsid w:val="00175E6C"/>
    <w:rsid w:val="00175FBC"/>
    <w:rsid w:val="00176669"/>
    <w:rsid w:val="001766FF"/>
    <w:rsid w:val="00176C20"/>
    <w:rsid w:val="00177598"/>
    <w:rsid w:val="00180856"/>
    <w:rsid w:val="0018097B"/>
    <w:rsid w:val="00180A13"/>
    <w:rsid w:val="00182C97"/>
    <w:rsid w:val="00183066"/>
    <w:rsid w:val="001833C7"/>
    <w:rsid w:val="00183FB4"/>
    <w:rsid w:val="00184412"/>
    <w:rsid w:val="00186A72"/>
    <w:rsid w:val="001903B2"/>
    <w:rsid w:val="001906F3"/>
    <w:rsid w:val="00192933"/>
    <w:rsid w:val="001929FC"/>
    <w:rsid w:val="00195C6D"/>
    <w:rsid w:val="001961C5"/>
    <w:rsid w:val="00196F95"/>
    <w:rsid w:val="00197315"/>
    <w:rsid w:val="0019772B"/>
    <w:rsid w:val="001A05A9"/>
    <w:rsid w:val="001A2614"/>
    <w:rsid w:val="001A2623"/>
    <w:rsid w:val="001A463E"/>
    <w:rsid w:val="001A46CC"/>
    <w:rsid w:val="001A6304"/>
    <w:rsid w:val="001B1060"/>
    <w:rsid w:val="001B11F1"/>
    <w:rsid w:val="001B1467"/>
    <w:rsid w:val="001B1C5E"/>
    <w:rsid w:val="001B2B23"/>
    <w:rsid w:val="001B3197"/>
    <w:rsid w:val="001B39D3"/>
    <w:rsid w:val="001B4DA8"/>
    <w:rsid w:val="001B59D9"/>
    <w:rsid w:val="001B5F14"/>
    <w:rsid w:val="001B6935"/>
    <w:rsid w:val="001B7154"/>
    <w:rsid w:val="001C091C"/>
    <w:rsid w:val="001C121C"/>
    <w:rsid w:val="001C150C"/>
    <w:rsid w:val="001C1FAA"/>
    <w:rsid w:val="001C2261"/>
    <w:rsid w:val="001C266E"/>
    <w:rsid w:val="001C280D"/>
    <w:rsid w:val="001C306A"/>
    <w:rsid w:val="001C49DC"/>
    <w:rsid w:val="001C6945"/>
    <w:rsid w:val="001C698F"/>
    <w:rsid w:val="001C7200"/>
    <w:rsid w:val="001C7CD3"/>
    <w:rsid w:val="001C7F88"/>
    <w:rsid w:val="001D12D6"/>
    <w:rsid w:val="001D169B"/>
    <w:rsid w:val="001D1B1C"/>
    <w:rsid w:val="001D2B76"/>
    <w:rsid w:val="001D2C14"/>
    <w:rsid w:val="001D2ECE"/>
    <w:rsid w:val="001D3292"/>
    <w:rsid w:val="001D39E5"/>
    <w:rsid w:val="001D3C90"/>
    <w:rsid w:val="001D43DB"/>
    <w:rsid w:val="001D474C"/>
    <w:rsid w:val="001D5BB9"/>
    <w:rsid w:val="001D6B1A"/>
    <w:rsid w:val="001D7365"/>
    <w:rsid w:val="001D7DA5"/>
    <w:rsid w:val="001E15FD"/>
    <w:rsid w:val="001E1AED"/>
    <w:rsid w:val="001E27B8"/>
    <w:rsid w:val="001E31AB"/>
    <w:rsid w:val="001E3706"/>
    <w:rsid w:val="001E4032"/>
    <w:rsid w:val="001E432A"/>
    <w:rsid w:val="001E4370"/>
    <w:rsid w:val="001E4D27"/>
    <w:rsid w:val="001E5169"/>
    <w:rsid w:val="001E5571"/>
    <w:rsid w:val="001E60C5"/>
    <w:rsid w:val="001E6F5D"/>
    <w:rsid w:val="001E71FE"/>
    <w:rsid w:val="001F0819"/>
    <w:rsid w:val="001F1677"/>
    <w:rsid w:val="001F1C52"/>
    <w:rsid w:val="001F2A1F"/>
    <w:rsid w:val="001F3DF4"/>
    <w:rsid w:val="001F49EA"/>
    <w:rsid w:val="001F5CF7"/>
    <w:rsid w:val="001F64C3"/>
    <w:rsid w:val="001F6A78"/>
    <w:rsid w:val="001F72D8"/>
    <w:rsid w:val="001F7B28"/>
    <w:rsid w:val="002010C8"/>
    <w:rsid w:val="0020111C"/>
    <w:rsid w:val="0020121A"/>
    <w:rsid w:val="00201DDA"/>
    <w:rsid w:val="002027D4"/>
    <w:rsid w:val="0020296D"/>
    <w:rsid w:val="00203021"/>
    <w:rsid w:val="00203302"/>
    <w:rsid w:val="00203A7B"/>
    <w:rsid w:val="002045A5"/>
    <w:rsid w:val="00204F09"/>
    <w:rsid w:val="0020667A"/>
    <w:rsid w:val="00206F7E"/>
    <w:rsid w:val="00207AE7"/>
    <w:rsid w:val="00207CB1"/>
    <w:rsid w:val="002105A2"/>
    <w:rsid w:val="00210A9C"/>
    <w:rsid w:val="00211E6F"/>
    <w:rsid w:val="002128AF"/>
    <w:rsid w:val="002137B0"/>
    <w:rsid w:val="002138C0"/>
    <w:rsid w:val="002150BF"/>
    <w:rsid w:val="00215481"/>
    <w:rsid w:val="00216187"/>
    <w:rsid w:val="002167A6"/>
    <w:rsid w:val="00216A54"/>
    <w:rsid w:val="00217881"/>
    <w:rsid w:val="0022075B"/>
    <w:rsid w:val="00221F77"/>
    <w:rsid w:val="00221FF5"/>
    <w:rsid w:val="002226C1"/>
    <w:rsid w:val="00222917"/>
    <w:rsid w:val="00222DB9"/>
    <w:rsid w:val="002244BA"/>
    <w:rsid w:val="00224E2B"/>
    <w:rsid w:val="0022581B"/>
    <w:rsid w:val="00225F51"/>
    <w:rsid w:val="0022648E"/>
    <w:rsid w:val="00226AB8"/>
    <w:rsid w:val="00226F32"/>
    <w:rsid w:val="00227ACD"/>
    <w:rsid w:val="00227C82"/>
    <w:rsid w:val="0023165F"/>
    <w:rsid w:val="00231F3A"/>
    <w:rsid w:val="002328F4"/>
    <w:rsid w:val="0023390F"/>
    <w:rsid w:val="0023393E"/>
    <w:rsid w:val="0023493E"/>
    <w:rsid w:val="00235942"/>
    <w:rsid w:val="00236538"/>
    <w:rsid w:val="0023703D"/>
    <w:rsid w:val="002375B2"/>
    <w:rsid w:val="00237A71"/>
    <w:rsid w:val="00237E0B"/>
    <w:rsid w:val="00242D73"/>
    <w:rsid w:val="002443DF"/>
    <w:rsid w:val="002446E1"/>
    <w:rsid w:val="00244923"/>
    <w:rsid w:val="002472A6"/>
    <w:rsid w:val="00247512"/>
    <w:rsid w:val="00247A4D"/>
    <w:rsid w:val="00250212"/>
    <w:rsid w:val="002507F2"/>
    <w:rsid w:val="00250C73"/>
    <w:rsid w:val="00251163"/>
    <w:rsid w:val="00251393"/>
    <w:rsid w:val="0025241A"/>
    <w:rsid w:val="0025305E"/>
    <w:rsid w:val="00253D09"/>
    <w:rsid w:val="00254CA2"/>
    <w:rsid w:val="002556C2"/>
    <w:rsid w:val="00256268"/>
    <w:rsid w:val="002567A3"/>
    <w:rsid w:val="00260219"/>
    <w:rsid w:val="00260B2C"/>
    <w:rsid w:val="0026106F"/>
    <w:rsid w:val="0026210C"/>
    <w:rsid w:val="00262B7F"/>
    <w:rsid w:val="00263207"/>
    <w:rsid w:val="00264741"/>
    <w:rsid w:val="00264C92"/>
    <w:rsid w:val="00265B39"/>
    <w:rsid w:val="0026639E"/>
    <w:rsid w:val="00266980"/>
    <w:rsid w:val="00267ACA"/>
    <w:rsid w:val="00270A4E"/>
    <w:rsid w:val="00270F52"/>
    <w:rsid w:val="00271563"/>
    <w:rsid w:val="00271569"/>
    <w:rsid w:val="00272177"/>
    <w:rsid w:val="002725DA"/>
    <w:rsid w:val="00274645"/>
    <w:rsid w:val="002748F6"/>
    <w:rsid w:val="00274D15"/>
    <w:rsid w:val="00275209"/>
    <w:rsid w:val="00277397"/>
    <w:rsid w:val="00277D90"/>
    <w:rsid w:val="0028055F"/>
    <w:rsid w:val="002808DB"/>
    <w:rsid w:val="00280AB4"/>
    <w:rsid w:val="00280D31"/>
    <w:rsid w:val="00280F92"/>
    <w:rsid w:val="002817B5"/>
    <w:rsid w:val="00282BE6"/>
    <w:rsid w:val="00283681"/>
    <w:rsid w:val="00284721"/>
    <w:rsid w:val="0028530F"/>
    <w:rsid w:val="002853A9"/>
    <w:rsid w:val="00285A75"/>
    <w:rsid w:val="00287580"/>
    <w:rsid w:val="00290498"/>
    <w:rsid w:val="0029071C"/>
    <w:rsid w:val="00291656"/>
    <w:rsid w:val="00291BE8"/>
    <w:rsid w:val="00293122"/>
    <w:rsid w:val="0029502E"/>
    <w:rsid w:val="00296021"/>
    <w:rsid w:val="0029774E"/>
    <w:rsid w:val="00297B85"/>
    <w:rsid w:val="002A02A1"/>
    <w:rsid w:val="002A04EB"/>
    <w:rsid w:val="002A07F7"/>
    <w:rsid w:val="002A1748"/>
    <w:rsid w:val="002A23FA"/>
    <w:rsid w:val="002A266C"/>
    <w:rsid w:val="002A2CE3"/>
    <w:rsid w:val="002A31A1"/>
    <w:rsid w:val="002A3CF3"/>
    <w:rsid w:val="002A3F7E"/>
    <w:rsid w:val="002A4191"/>
    <w:rsid w:val="002A5D11"/>
    <w:rsid w:val="002A6290"/>
    <w:rsid w:val="002A6A60"/>
    <w:rsid w:val="002B1743"/>
    <w:rsid w:val="002B1996"/>
    <w:rsid w:val="002B35B7"/>
    <w:rsid w:val="002B3AB2"/>
    <w:rsid w:val="002B4617"/>
    <w:rsid w:val="002B4641"/>
    <w:rsid w:val="002B5069"/>
    <w:rsid w:val="002B58A5"/>
    <w:rsid w:val="002B724C"/>
    <w:rsid w:val="002C02A9"/>
    <w:rsid w:val="002C0719"/>
    <w:rsid w:val="002C179D"/>
    <w:rsid w:val="002C18CD"/>
    <w:rsid w:val="002C2C2B"/>
    <w:rsid w:val="002C30D4"/>
    <w:rsid w:val="002C47FE"/>
    <w:rsid w:val="002C513E"/>
    <w:rsid w:val="002D1376"/>
    <w:rsid w:val="002D238E"/>
    <w:rsid w:val="002D2A30"/>
    <w:rsid w:val="002D2DC7"/>
    <w:rsid w:val="002D3F94"/>
    <w:rsid w:val="002D4720"/>
    <w:rsid w:val="002D49FB"/>
    <w:rsid w:val="002D4A25"/>
    <w:rsid w:val="002D4DF8"/>
    <w:rsid w:val="002D6038"/>
    <w:rsid w:val="002E0041"/>
    <w:rsid w:val="002E1390"/>
    <w:rsid w:val="002E1AEB"/>
    <w:rsid w:val="002E1DBF"/>
    <w:rsid w:val="002E2498"/>
    <w:rsid w:val="002E3105"/>
    <w:rsid w:val="002E320D"/>
    <w:rsid w:val="002E3E1D"/>
    <w:rsid w:val="002E4CA1"/>
    <w:rsid w:val="002E4EFD"/>
    <w:rsid w:val="002E5E57"/>
    <w:rsid w:val="002E6192"/>
    <w:rsid w:val="002E6312"/>
    <w:rsid w:val="002E6C7C"/>
    <w:rsid w:val="002F0118"/>
    <w:rsid w:val="002F0F08"/>
    <w:rsid w:val="002F1752"/>
    <w:rsid w:val="002F1AFD"/>
    <w:rsid w:val="002F20C7"/>
    <w:rsid w:val="002F2F90"/>
    <w:rsid w:val="002F2FAA"/>
    <w:rsid w:val="002F4373"/>
    <w:rsid w:val="002F477C"/>
    <w:rsid w:val="002F4A74"/>
    <w:rsid w:val="002F4CBD"/>
    <w:rsid w:val="002F4CDA"/>
    <w:rsid w:val="002F506A"/>
    <w:rsid w:val="002F52DA"/>
    <w:rsid w:val="002F557F"/>
    <w:rsid w:val="002F6432"/>
    <w:rsid w:val="003012B9"/>
    <w:rsid w:val="0030161E"/>
    <w:rsid w:val="00301915"/>
    <w:rsid w:val="003028DC"/>
    <w:rsid w:val="003029D1"/>
    <w:rsid w:val="0030348A"/>
    <w:rsid w:val="003045DD"/>
    <w:rsid w:val="00304727"/>
    <w:rsid w:val="0030613B"/>
    <w:rsid w:val="00306844"/>
    <w:rsid w:val="003077DD"/>
    <w:rsid w:val="003111F3"/>
    <w:rsid w:val="003131EC"/>
    <w:rsid w:val="003134AE"/>
    <w:rsid w:val="003142AD"/>
    <w:rsid w:val="003143A4"/>
    <w:rsid w:val="00314AB6"/>
    <w:rsid w:val="00314CF6"/>
    <w:rsid w:val="00315F32"/>
    <w:rsid w:val="00316BAA"/>
    <w:rsid w:val="00317242"/>
    <w:rsid w:val="00320811"/>
    <w:rsid w:val="00322BF9"/>
    <w:rsid w:val="00324743"/>
    <w:rsid w:val="00324769"/>
    <w:rsid w:val="00324B27"/>
    <w:rsid w:val="003253AF"/>
    <w:rsid w:val="00327407"/>
    <w:rsid w:val="00327CB6"/>
    <w:rsid w:val="00330A92"/>
    <w:rsid w:val="0033298A"/>
    <w:rsid w:val="00333B31"/>
    <w:rsid w:val="00334257"/>
    <w:rsid w:val="0033440C"/>
    <w:rsid w:val="00335341"/>
    <w:rsid w:val="00335B88"/>
    <w:rsid w:val="00336412"/>
    <w:rsid w:val="00336CA6"/>
    <w:rsid w:val="00337157"/>
    <w:rsid w:val="003373BE"/>
    <w:rsid w:val="00340F22"/>
    <w:rsid w:val="003411DB"/>
    <w:rsid w:val="003417B4"/>
    <w:rsid w:val="00341D86"/>
    <w:rsid w:val="003423A7"/>
    <w:rsid w:val="003426EE"/>
    <w:rsid w:val="0034310E"/>
    <w:rsid w:val="00344213"/>
    <w:rsid w:val="003444F4"/>
    <w:rsid w:val="00344B88"/>
    <w:rsid w:val="00344EBB"/>
    <w:rsid w:val="00345842"/>
    <w:rsid w:val="0034612F"/>
    <w:rsid w:val="00346684"/>
    <w:rsid w:val="003472AF"/>
    <w:rsid w:val="00347FD9"/>
    <w:rsid w:val="00350110"/>
    <w:rsid w:val="003508FE"/>
    <w:rsid w:val="00351369"/>
    <w:rsid w:val="0035167B"/>
    <w:rsid w:val="003522BD"/>
    <w:rsid w:val="00352D4E"/>
    <w:rsid w:val="003543D2"/>
    <w:rsid w:val="0035493D"/>
    <w:rsid w:val="00356528"/>
    <w:rsid w:val="00356C7A"/>
    <w:rsid w:val="00356FF7"/>
    <w:rsid w:val="0035718C"/>
    <w:rsid w:val="003600A2"/>
    <w:rsid w:val="003608A1"/>
    <w:rsid w:val="003608FD"/>
    <w:rsid w:val="0036420C"/>
    <w:rsid w:val="00364A11"/>
    <w:rsid w:val="00366057"/>
    <w:rsid w:val="00366A68"/>
    <w:rsid w:val="003677E2"/>
    <w:rsid w:val="0037051F"/>
    <w:rsid w:val="003707E0"/>
    <w:rsid w:val="00370F35"/>
    <w:rsid w:val="003725F0"/>
    <w:rsid w:val="003732C7"/>
    <w:rsid w:val="0037346E"/>
    <w:rsid w:val="003739F0"/>
    <w:rsid w:val="00373FC2"/>
    <w:rsid w:val="003742A8"/>
    <w:rsid w:val="003749A5"/>
    <w:rsid w:val="00375CF8"/>
    <w:rsid w:val="00376918"/>
    <w:rsid w:val="00376F07"/>
    <w:rsid w:val="003775A3"/>
    <w:rsid w:val="00380502"/>
    <w:rsid w:val="00380788"/>
    <w:rsid w:val="003809CD"/>
    <w:rsid w:val="00381524"/>
    <w:rsid w:val="00381FAF"/>
    <w:rsid w:val="00383D10"/>
    <w:rsid w:val="00384170"/>
    <w:rsid w:val="003847A3"/>
    <w:rsid w:val="00385683"/>
    <w:rsid w:val="00386E7F"/>
    <w:rsid w:val="00387749"/>
    <w:rsid w:val="00387CB8"/>
    <w:rsid w:val="0039010C"/>
    <w:rsid w:val="00390C7F"/>
    <w:rsid w:val="00390E5C"/>
    <w:rsid w:val="00391AED"/>
    <w:rsid w:val="00391C4B"/>
    <w:rsid w:val="00391FA6"/>
    <w:rsid w:val="00393046"/>
    <w:rsid w:val="00394F6F"/>
    <w:rsid w:val="00395026"/>
    <w:rsid w:val="003952ED"/>
    <w:rsid w:val="00395549"/>
    <w:rsid w:val="00395F29"/>
    <w:rsid w:val="00396610"/>
    <w:rsid w:val="00396DEC"/>
    <w:rsid w:val="00396F9D"/>
    <w:rsid w:val="00397430"/>
    <w:rsid w:val="003A0443"/>
    <w:rsid w:val="003A0F5E"/>
    <w:rsid w:val="003A1E08"/>
    <w:rsid w:val="003A1F79"/>
    <w:rsid w:val="003A39B8"/>
    <w:rsid w:val="003A424B"/>
    <w:rsid w:val="003A46D3"/>
    <w:rsid w:val="003A542D"/>
    <w:rsid w:val="003A5636"/>
    <w:rsid w:val="003A5765"/>
    <w:rsid w:val="003A623D"/>
    <w:rsid w:val="003A68A3"/>
    <w:rsid w:val="003A76ED"/>
    <w:rsid w:val="003B0281"/>
    <w:rsid w:val="003B0433"/>
    <w:rsid w:val="003B04C1"/>
    <w:rsid w:val="003B2C84"/>
    <w:rsid w:val="003B4E23"/>
    <w:rsid w:val="003B4F01"/>
    <w:rsid w:val="003B505C"/>
    <w:rsid w:val="003B519E"/>
    <w:rsid w:val="003B5E6F"/>
    <w:rsid w:val="003C0B1B"/>
    <w:rsid w:val="003C1195"/>
    <w:rsid w:val="003C12B6"/>
    <w:rsid w:val="003C185F"/>
    <w:rsid w:val="003C2D27"/>
    <w:rsid w:val="003C373E"/>
    <w:rsid w:val="003C3D7F"/>
    <w:rsid w:val="003C41DD"/>
    <w:rsid w:val="003C5F2E"/>
    <w:rsid w:val="003C6326"/>
    <w:rsid w:val="003C6710"/>
    <w:rsid w:val="003C6D87"/>
    <w:rsid w:val="003C7600"/>
    <w:rsid w:val="003D079C"/>
    <w:rsid w:val="003D0D7D"/>
    <w:rsid w:val="003D164F"/>
    <w:rsid w:val="003D18F0"/>
    <w:rsid w:val="003D224C"/>
    <w:rsid w:val="003D2390"/>
    <w:rsid w:val="003D3759"/>
    <w:rsid w:val="003D45D4"/>
    <w:rsid w:val="003D57E2"/>
    <w:rsid w:val="003D613B"/>
    <w:rsid w:val="003D684B"/>
    <w:rsid w:val="003D749F"/>
    <w:rsid w:val="003D7D9E"/>
    <w:rsid w:val="003E0FC6"/>
    <w:rsid w:val="003E14DF"/>
    <w:rsid w:val="003E1AAB"/>
    <w:rsid w:val="003E1F42"/>
    <w:rsid w:val="003E3584"/>
    <w:rsid w:val="003E382B"/>
    <w:rsid w:val="003E393C"/>
    <w:rsid w:val="003E3ACA"/>
    <w:rsid w:val="003E3DCB"/>
    <w:rsid w:val="003E4312"/>
    <w:rsid w:val="003E4820"/>
    <w:rsid w:val="003E48FA"/>
    <w:rsid w:val="003E4ADE"/>
    <w:rsid w:val="003E5891"/>
    <w:rsid w:val="003E7ED0"/>
    <w:rsid w:val="003F021E"/>
    <w:rsid w:val="003F03DF"/>
    <w:rsid w:val="003F1189"/>
    <w:rsid w:val="003F12BC"/>
    <w:rsid w:val="003F12D5"/>
    <w:rsid w:val="003F159E"/>
    <w:rsid w:val="003F1CB9"/>
    <w:rsid w:val="003F2050"/>
    <w:rsid w:val="003F37CA"/>
    <w:rsid w:val="003F470D"/>
    <w:rsid w:val="003F512D"/>
    <w:rsid w:val="003F6A8D"/>
    <w:rsid w:val="003F6E69"/>
    <w:rsid w:val="003F7F31"/>
    <w:rsid w:val="004009B6"/>
    <w:rsid w:val="00400E23"/>
    <w:rsid w:val="004015AF"/>
    <w:rsid w:val="00401CD3"/>
    <w:rsid w:val="00401F79"/>
    <w:rsid w:val="00402778"/>
    <w:rsid w:val="00402D75"/>
    <w:rsid w:val="00402FA1"/>
    <w:rsid w:val="00403744"/>
    <w:rsid w:val="0040474A"/>
    <w:rsid w:val="00404E84"/>
    <w:rsid w:val="00405D7E"/>
    <w:rsid w:val="00406F40"/>
    <w:rsid w:val="00407FB6"/>
    <w:rsid w:val="00410561"/>
    <w:rsid w:val="004120D6"/>
    <w:rsid w:val="00412186"/>
    <w:rsid w:val="00412763"/>
    <w:rsid w:val="00412A2D"/>
    <w:rsid w:val="00413258"/>
    <w:rsid w:val="0041355F"/>
    <w:rsid w:val="00414181"/>
    <w:rsid w:val="0041427D"/>
    <w:rsid w:val="00414AD4"/>
    <w:rsid w:val="0041521E"/>
    <w:rsid w:val="004164DD"/>
    <w:rsid w:val="00416763"/>
    <w:rsid w:val="0041745A"/>
    <w:rsid w:val="004179B3"/>
    <w:rsid w:val="004207D5"/>
    <w:rsid w:val="00422B81"/>
    <w:rsid w:val="00422E44"/>
    <w:rsid w:val="004231FB"/>
    <w:rsid w:val="00423374"/>
    <w:rsid w:val="00423E0D"/>
    <w:rsid w:val="004257BB"/>
    <w:rsid w:val="00425A84"/>
    <w:rsid w:val="00425B3B"/>
    <w:rsid w:val="0042602B"/>
    <w:rsid w:val="004279BD"/>
    <w:rsid w:val="00430F3C"/>
    <w:rsid w:val="004325D3"/>
    <w:rsid w:val="00435176"/>
    <w:rsid w:val="00436F5C"/>
    <w:rsid w:val="004371EE"/>
    <w:rsid w:val="00437589"/>
    <w:rsid w:val="0043780A"/>
    <w:rsid w:val="00440A53"/>
    <w:rsid w:val="00442170"/>
    <w:rsid w:val="0044352D"/>
    <w:rsid w:val="004444EE"/>
    <w:rsid w:val="004445E7"/>
    <w:rsid w:val="00444BDA"/>
    <w:rsid w:val="00445609"/>
    <w:rsid w:val="004464CF"/>
    <w:rsid w:val="00446AAD"/>
    <w:rsid w:val="004476C2"/>
    <w:rsid w:val="00451368"/>
    <w:rsid w:val="004522D4"/>
    <w:rsid w:val="00452B0E"/>
    <w:rsid w:val="00453473"/>
    <w:rsid w:val="004555E6"/>
    <w:rsid w:val="00456A9B"/>
    <w:rsid w:val="00460772"/>
    <w:rsid w:val="00461E79"/>
    <w:rsid w:val="00462717"/>
    <w:rsid w:val="004641CC"/>
    <w:rsid w:val="00464E64"/>
    <w:rsid w:val="00465403"/>
    <w:rsid w:val="00465526"/>
    <w:rsid w:val="0046651A"/>
    <w:rsid w:val="004674AA"/>
    <w:rsid w:val="004714FB"/>
    <w:rsid w:val="004718BD"/>
    <w:rsid w:val="00471B86"/>
    <w:rsid w:val="00471D6F"/>
    <w:rsid w:val="00472210"/>
    <w:rsid w:val="00473C52"/>
    <w:rsid w:val="00474524"/>
    <w:rsid w:val="00475D5E"/>
    <w:rsid w:val="00475F13"/>
    <w:rsid w:val="0047661B"/>
    <w:rsid w:val="00476A2A"/>
    <w:rsid w:val="00477094"/>
    <w:rsid w:val="0047757F"/>
    <w:rsid w:val="00477AF5"/>
    <w:rsid w:val="00477CEB"/>
    <w:rsid w:val="00483136"/>
    <w:rsid w:val="0048354D"/>
    <w:rsid w:val="00483FA6"/>
    <w:rsid w:val="0048489E"/>
    <w:rsid w:val="004852E3"/>
    <w:rsid w:val="00485ADC"/>
    <w:rsid w:val="00486858"/>
    <w:rsid w:val="004904F6"/>
    <w:rsid w:val="00490505"/>
    <w:rsid w:val="004908DB"/>
    <w:rsid w:val="00490E1A"/>
    <w:rsid w:val="00491DB6"/>
    <w:rsid w:val="00492636"/>
    <w:rsid w:val="004935C1"/>
    <w:rsid w:val="00493A20"/>
    <w:rsid w:val="00493C14"/>
    <w:rsid w:val="004951FE"/>
    <w:rsid w:val="00495C6A"/>
    <w:rsid w:val="004969D8"/>
    <w:rsid w:val="00496A0D"/>
    <w:rsid w:val="0049704E"/>
    <w:rsid w:val="004975FD"/>
    <w:rsid w:val="004979BF"/>
    <w:rsid w:val="004A1724"/>
    <w:rsid w:val="004A2349"/>
    <w:rsid w:val="004A31A7"/>
    <w:rsid w:val="004A435C"/>
    <w:rsid w:val="004A44DB"/>
    <w:rsid w:val="004A4D8B"/>
    <w:rsid w:val="004A4E6A"/>
    <w:rsid w:val="004A53BB"/>
    <w:rsid w:val="004A5819"/>
    <w:rsid w:val="004A5C0E"/>
    <w:rsid w:val="004A5D84"/>
    <w:rsid w:val="004A6CE0"/>
    <w:rsid w:val="004A724B"/>
    <w:rsid w:val="004A74F4"/>
    <w:rsid w:val="004B1175"/>
    <w:rsid w:val="004B1442"/>
    <w:rsid w:val="004B1766"/>
    <w:rsid w:val="004B19DD"/>
    <w:rsid w:val="004B3889"/>
    <w:rsid w:val="004B3E0D"/>
    <w:rsid w:val="004B3F04"/>
    <w:rsid w:val="004B441B"/>
    <w:rsid w:val="004B4571"/>
    <w:rsid w:val="004B51F9"/>
    <w:rsid w:val="004B564F"/>
    <w:rsid w:val="004B6A7C"/>
    <w:rsid w:val="004B7ECE"/>
    <w:rsid w:val="004C04EA"/>
    <w:rsid w:val="004C0763"/>
    <w:rsid w:val="004C0A56"/>
    <w:rsid w:val="004C0AC1"/>
    <w:rsid w:val="004C10E7"/>
    <w:rsid w:val="004C23FB"/>
    <w:rsid w:val="004C3997"/>
    <w:rsid w:val="004C423D"/>
    <w:rsid w:val="004C4C1F"/>
    <w:rsid w:val="004C50BF"/>
    <w:rsid w:val="004C53CB"/>
    <w:rsid w:val="004C593C"/>
    <w:rsid w:val="004C629B"/>
    <w:rsid w:val="004C693B"/>
    <w:rsid w:val="004C751A"/>
    <w:rsid w:val="004C7E8B"/>
    <w:rsid w:val="004D0B15"/>
    <w:rsid w:val="004D0EBA"/>
    <w:rsid w:val="004D114D"/>
    <w:rsid w:val="004D14D3"/>
    <w:rsid w:val="004D18AC"/>
    <w:rsid w:val="004D23AD"/>
    <w:rsid w:val="004D3E58"/>
    <w:rsid w:val="004D4156"/>
    <w:rsid w:val="004D4333"/>
    <w:rsid w:val="004D6531"/>
    <w:rsid w:val="004E011D"/>
    <w:rsid w:val="004E0D15"/>
    <w:rsid w:val="004E1AC6"/>
    <w:rsid w:val="004E2434"/>
    <w:rsid w:val="004E26E2"/>
    <w:rsid w:val="004E3070"/>
    <w:rsid w:val="004E32FB"/>
    <w:rsid w:val="004E4B5B"/>
    <w:rsid w:val="004E5779"/>
    <w:rsid w:val="004E5E51"/>
    <w:rsid w:val="004E668A"/>
    <w:rsid w:val="004E7E07"/>
    <w:rsid w:val="004F32E1"/>
    <w:rsid w:val="004F34F2"/>
    <w:rsid w:val="004F3D9B"/>
    <w:rsid w:val="004F4632"/>
    <w:rsid w:val="004F46CE"/>
    <w:rsid w:val="004F46D6"/>
    <w:rsid w:val="004F5C1C"/>
    <w:rsid w:val="004F62FF"/>
    <w:rsid w:val="004F69E2"/>
    <w:rsid w:val="004F6CFB"/>
    <w:rsid w:val="004F6EA8"/>
    <w:rsid w:val="004F70A7"/>
    <w:rsid w:val="005019FE"/>
    <w:rsid w:val="00502C28"/>
    <w:rsid w:val="00503D06"/>
    <w:rsid w:val="00504229"/>
    <w:rsid w:val="00504370"/>
    <w:rsid w:val="00505434"/>
    <w:rsid w:val="005063FD"/>
    <w:rsid w:val="005069C2"/>
    <w:rsid w:val="00507747"/>
    <w:rsid w:val="00510452"/>
    <w:rsid w:val="00510AD7"/>
    <w:rsid w:val="00510EB1"/>
    <w:rsid w:val="0051164C"/>
    <w:rsid w:val="00512176"/>
    <w:rsid w:val="005122E9"/>
    <w:rsid w:val="005137DB"/>
    <w:rsid w:val="005142AC"/>
    <w:rsid w:val="0051437A"/>
    <w:rsid w:val="0051449F"/>
    <w:rsid w:val="0051508B"/>
    <w:rsid w:val="0051570C"/>
    <w:rsid w:val="00515A05"/>
    <w:rsid w:val="00515ECA"/>
    <w:rsid w:val="00516007"/>
    <w:rsid w:val="00517111"/>
    <w:rsid w:val="005203B7"/>
    <w:rsid w:val="005208BD"/>
    <w:rsid w:val="0052161C"/>
    <w:rsid w:val="00521FF6"/>
    <w:rsid w:val="0052347F"/>
    <w:rsid w:val="00527260"/>
    <w:rsid w:val="00527681"/>
    <w:rsid w:val="0052771A"/>
    <w:rsid w:val="00527FC5"/>
    <w:rsid w:val="00530245"/>
    <w:rsid w:val="00530967"/>
    <w:rsid w:val="00530DE6"/>
    <w:rsid w:val="00531FAE"/>
    <w:rsid w:val="005343BA"/>
    <w:rsid w:val="0053589B"/>
    <w:rsid w:val="00535CDB"/>
    <w:rsid w:val="00535E49"/>
    <w:rsid w:val="0053659F"/>
    <w:rsid w:val="00537D18"/>
    <w:rsid w:val="00537D95"/>
    <w:rsid w:val="005417AF"/>
    <w:rsid w:val="00543780"/>
    <w:rsid w:val="005442D1"/>
    <w:rsid w:val="005450EB"/>
    <w:rsid w:val="0054574A"/>
    <w:rsid w:val="00545AC2"/>
    <w:rsid w:val="00546646"/>
    <w:rsid w:val="0054665C"/>
    <w:rsid w:val="00547A43"/>
    <w:rsid w:val="00550C47"/>
    <w:rsid w:val="00552694"/>
    <w:rsid w:val="00552D45"/>
    <w:rsid w:val="00552D69"/>
    <w:rsid w:val="0055337B"/>
    <w:rsid w:val="0055377C"/>
    <w:rsid w:val="00553860"/>
    <w:rsid w:val="005541F4"/>
    <w:rsid w:val="00554717"/>
    <w:rsid w:val="00555261"/>
    <w:rsid w:val="00556DE6"/>
    <w:rsid w:val="005574AF"/>
    <w:rsid w:val="0055785D"/>
    <w:rsid w:val="005578C6"/>
    <w:rsid w:val="00557A53"/>
    <w:rsid w:val="0056090E"/>
    <w:rsid w:val="005613B3"/>
    <w:rsid w:val="00561ED7"/>
    <w:rsid w:val="00562166"/>
    <w:rsid w:val="00562995"/>
    <w:rsid w:val="00563855"/>
    <w:rsid w:val="005642DD"/>
    <w:rsid w:val="00564453"/>
    <w:rsid w:val="00566025"/>
    <w:rsid w:val="0056611F"/>
    <w:rsid w:val="005666D7"/>
    <w:rsid w:val="005676A0"/>
    <w:rsid w:val="00567ADA"/>
    <w:rsid w:val="005718D7"/>
    <w:rsid w:val="00571AFD"/>
    <w:rsid w:val="00571BEE"/>
    <w:rsid w:val="00571C08"/>
    <w:rsid w:val="00571C69"/>
    <w:rsid w:val="00572232"/>
    <w:rsid w:val="005722E9"/>
    <w:rsid w:val="00572D52"/>
    <w:rsid w:val="00573D34"/>
    <w:rsid w:val="00573F62"/>
    <w:rsid w:val="00574588"/>
    <w:rsid w:val="00574592"/>
    <w:rsid w:val="00574619"/>
    <w:rsid w:val="005746F6"/>
    <w:rsid w:val="00575D36"/>
    <w:rsid w:val="005761EE"/>
    <w:rsid w:val="00576C13"/>
    <w:rsid w:val="00576CB6"/>
    <w:rsid w:val="00576CF4"/>
    <w:rsid w:val="00577164"/>
    <w:rsid w:val="00577D9F"/>
    <w:rsid w:val="00580391"/>
    <w:rsid w:val="0058086E"/>
    <w:rsid w:val="005818DE"/>
    <w:rsid w:val="00581AC8"/>
    <w:rsid w:val="00581CC1"/>
    <w:rsid w:val="00584718"/>
    <w:rsid w:val="00584D4C"/>
    <w:rsid w:val="005861DC"/>
    <w:rsid w:val="0058622F"/>
    <w:rsid w:val="00586418"/>
    <w:rsid w:val="00587350"/>
    <w:rsid w:val="005874B8"/>
    <w:rsid w:val="00587BA9"/>
    <w:rsid w:val="0059007C"/>
    <w:rsid w:val="00590699"/>
    <w:rsid w:val="00591A31"/>
    <w:rsid w:val="00591E29"/>
    <w:rsid w:val="00592318"/>
    <w:rsid w:val="00594C44"/>
    <w:rsid w:val="0059556C"/>
    <w:rsid w:val="00596B76"/>
    <w:rsid w:val="00597DD9"/>
    <w:rsid w:val="005A0ACF"/>
    <w:rsid w:val="005A0C34"/>
    <w:rsid w:val="005A2501"/>
    <w:rsid w:val="005A292F"/>
    <w:rsid w:val="005A2FF8"/>
    <w:rsid w:val="005A34B6"/>
    <w:rsid w:val="005A3E34"/>
    <w:rsid w:val="005A44FF"/>
    <w:rsid w:val="005A4BD9"/>
    <w:rsid w:val="005A4D8E"/>
    <w:rsid w:val="005A51C6"/>
    <w:rsid w:val="005A576D"/>
    <w:rsid w:val="005A5BAB"/>
    <w:rsid w:val="005A5CB3"/>
    <w:rsid w:val="005A6604"/>
    <w:rsid w:val="005A78DE"/>
    <w:rsid w:val="005A7E09"/>
    <w:rsid w:val="005B08A6"/>
    <w:rsid w:val="005B0F22"/>
    <w:rsid w:val="005B0F27"/>
    <w:rsid w:val="005B1A31"/>
    <w:rsid w:val="005B2B4F"/>
    <w:rsid w:val="005B2CB5"/>
    <w:rsid w:val="005B3439"/>
    <w:rsid w:val="005B4653"/>
    <w:rsid w:val="005B4E45"/>
    <w:rsid w:val="005B4E85"/>
    <w:rsid w:val="005B5E17"/>
    <w:rsid w:val="005B6419"/>
    <w:rsid w:val="005B6CC1"/>
    <w:rsid w:val="005C1943"/>
    <w:rsid w:val="005C22C2"/>
    <w:rsid w:val="005C2322"/>
    <w:rsid w:val="005C501A"/>
    <w:rsid w:val="005C5673"/>
    <w:rsid w:val="005C6D52"/>
    <w:rsid w:val="005C6F67"/>
    <w:rsid w:val="005C7858"/>
    <w:rsid w:val="005C7A9A"/>
    <w:rsid w:val="005C7FCE"/>
    <w:rsid w:val="005D05FD"/>
    <w:rsid w:val="005D11A5"/>
    <w:rsid w:val="005D1A7D"/>
    <w:rsid w:val="005D3508"/>
    <w:rsid w:val="005D48E0"/>
    <w:rsid w:val="005D4BC8"/>
    <w:rsid w:val="005D55D6"/>
    <w:rsid w:val="005D593D"/>
    <w:rsid w:val="005D65FF"/>
    <w:rsid w:val="005D6E43"/>
    <w:rsid w:val="005D717B"/>
    <w:rsid w:val="005D769A"/>
    <w:rsid w:val="005D7FC2"/>
    <w:rsid w:val="005E092E"/>
    <w:rsid w:val="005E1DD8"/>
    <w:rsid w:val="005E1EA0"/>
    <w:rsid w:val="005E1F6F"/>
    <w:rsid w:val="005E4132"/>
    <w:rsid w:val="005E58E1"/>
    <w:rsid w:val="005E5F8B"/>
    <w:rsid w:val="005F0EC7"/>
    <w:rsid w:val="005F105B"/>
    <w:rsid w:val="005F1295"/>
    <w:rsid w:val="005F2075"/>
    <w:rsid w:val="005F2341"/>
    <w:rsid w:val="005F2B48"/>
    <w:rsid w:val="005F3ADE"/>
    <w:rsid w:val="005F432C"/>
    <w:rsid w:val="005F4B41"/>
    <w:rsid w:val="005F4F2A"/>
    <w:rsid w:val="005F5099"/>
    <w:rsid w:val="005F73A6"/>
    <w:rsid w:val="006002FC"/>
    <w:rsid w:val="00600D9B"/>
    <w:rsid w:val="0060128D"/>
    <w:rsid w:val="006015EB"/>
    <w:rsid w:val="006021B4"/>
    <w:rsid w:val="00602BDA"/>
    <w:rsid w:val="0060305B"/>
    <w:rsid w:val="0060308F"/>
    <w:rsid w:val="0060552B"/>
    <w:rsid w:val="00606E04"/>
    <w:rsid w:val="006077DB"/>
    <w:rsid w:val="00607B8A"/>
    <w:rsid w:val="00611A97"/>
    <w:rsid w:val="00611B3C"/>
    <w:rsid w:val="00611C5C"/>
    <w:rsid w:val="00612686"/>
    <w:rsid w:val="006131E9"/>
    <w:rsid w:val="0061392C"/>
    <w:rsid w:val="00613C92"/>
    <w:rsid w:val="00615685"/>
    <w:rsid w:val="00616069"/>
    <w:rsid w:val="00616FDD"/>
    <w:rsid w:val="00617E42"/>
    <w:rsid w:val="00617E6C"/>
    <w:rsid w:val="006203EC"/>
    <w:rsid w:val="00622015"/>
    <w:rsid w:val="00622191"/>
    <w:rsid w:val="00622D62"/>
    <w:rsid w:val="00622D80"/>
    <w:rsid w:val="0062336F"/>
    <w:rsid w:val="00623D41"/>
    <w:rsid w:val="00624A28"/>
    <w:rsid w:val="00624E5B"/>
    <w:rsid w:val="006264F1"/>
    <w:rsid w:val="00626A29"/>
    <w:rsid w:val="00626AF4"/>
    <w:rsid w:val="00626CB1"/>
    <w:rsid w:val="00626CBB"/>
    <w:rsid w:val="00627894"/>
    <w:rsid w:val="00627FF6"/>
    <w:rsid w:val="00630506"/>
    <w:rsid w:val="00630BC9"/>
    <w:rsid w:val="0063314F"/>
    <w:rsid w:val="0063422F"/>
    <w:rsid w:val="006354FF"/>
    <w:rsid w:val="00635832"/>
    <w:rsid w:val="00635AB6"/>
    <w:rsid w:val="006361B1"/>
    <w:rsid w:val="006365E9"/>
    <w:rsid w:val="00636E18"/>
    <w:rsid w:val="0063705B"/>
    <w:rsid w:val="00637228"/>
    <w:rsid w:val="00641532"/>
    <w:rsid w:val="00641E0B"/>
    <w:rsid w:val="0064225E"/>
    <w:rsid w:val="0064298D"/>
    <w:rsid w:val="0064364F"/>
    <w:rsid w:val="006445A3"/>
    <w:rsid w:val="00645115"/>
    <w:rsid w:val="006462F1"/>
    <w:rsid w:val="006464CF"/>
    <w:rsid w:val="00647A7A"/>
    <w:rsid w:val="00650724"/>
    <w:rsid w:val="0065124E"/>
    <w:rsid w:val="006513A0"/>
    <w:rsid w:val="00652C4F"/>
    <w:rsid w:val="0065308E"/>
    <w:rsid w:val="006534DC"/>
    <w:rsid w:val="006541D1"/>
    <w:rsid w:val="00654860"/>
    <w:rsid w:val="00654F37"/>
    <w:rsid w:val="00655662"/>
    <w:rsid w:val="00656ABE"/>
    <w:rsid w:val="00657521"/>
    <w:rsid w:val="0066000B"/>
    <w:rsid w:val="0066030A"/>
    <w:rsid w:val="00660931"/>
    <w:rsid w:val="00661956"/>
    <w:rsid w:val="00661C43"/>
    <w:rsid w:val="00662C23"/>
    <w:rsid w:val="00663A53"/>
    <w:rsid w:val="0066473E"/>
    <w:rsid w:val="00664F66"/>
    <w:rsid w:val="00665069"/>
    <w:rsid w:val="0066537B"/>
    <w:rsid w:val="00665718"/>
    <w:rsid w:val="00665E8C"/>
    <w:rsid w:val="0066692E"/>
    <w:rsid w:val="00666CC6"/>
    <w:rsid w:val="006677D7"/>
    <w:rsid w:val="00667828"/>
    <w:rsid w:val="00670CDD"/>
    <w:rsid w:val="00670F37"/>
    <w:rsid w:val="00676079"/>
    <w:rsid w:val="00676326"/>
    <w:rsid w:val="006777C7"/>
    <w:rsid w:val="006839E8"/>
    <w:rsid w:val="00683D65"/>
    <w:rsid w:val="00684AB4"/>
    <w:rsid w:val="00684FDE"/>
    <w:rsid w:val="00685F12"/>
    <w:rsid w:val="00687672"/>
    <w:rsid w:val="00690FB6"/>
    <w:rsid w:val="00691287"/>
    <w:rsid w:val="006919FC"/>
    <w:rsid w:val="00693034"/>
    <w:rsid w:val="0069373F"/>
    <w:rsid w:val="00693FDC"/>
    <w:rsid w:val="006963D2"/>
    <w:rsid w:val="00697FEB"/>
    <w:rsid w:val="006A02C9"/>
    <w:rsid w:val="006A0B4A"/>
    <w:rsid w:val="006A0D71"/>
    <w:rsid w:val="006A0E7E"/>
    <w:rsid w:val="006A0F4A"/>
    <w:rsid w:val="006A1D16"/>
    <w:rsid w:val="006A1EA8"/>
    <w:rsid w:val="006A4300"/>
    <w:rsid w:val="006A4428"/>
    <w:rsid w:val="006A7BEA"/>
    <w:rsid w:val="006A7D62"/>
    <w:rsid w:val="006B120F"/>
    <w:rsid w:val="006B1FE2"/>
    <w:rsid w:val="006B2EBD"/>
    <w:rsid w:val="006B2F86"/>
    <w:rsid w:val="006B3690"/>
    <w:rsid w:val="006B37A6"/>
    <w:rsid w:val="006B3C0D"/>
    <w:rsid w:val="006C0355"/>
    <w:rsid w:val="006C090C"/>
    <w:rsid w:val="006C13D5"/>
    <w:rsid w:val="006C3A40"/>
    <w:rsid w:val="006C3F79"/>
    <w:rsid w:val="006C4E8E"/>
    <w:rsid w:val="006C53A0"/>
    <w:rsid w:val="006C5E9B"/>
    <w:rsid w:val="006C6628"/>
    <w:rsid w:val="006C6D77"/>
    <w:rsid w:val="006C7240"/>
    <w:rsid w:val="006C74D6"/>
    <w:rsid w:val="006C7663"/>
    <w:rsid w:val="006D0EE8"/>
    <w:rsid w:val="006D12C7"/>
    <w:rsid w:val="006D175B"/>
    <w:rsid w:val="006D1BF7"/>
    <w:rsid w:val="006D23EF"/>
    <w:rsid w:val="006D457D"/>
    <w:rsid w:val="006D59F8"/>
    <w:rsid w:val="006D61DA"/>
    <w:rsid w:val="006D6AF7"/>
    <w:rsid w:val="006D6EBB"/>
    <w:rsid w:val="006D781E"/>
    <w:rsid w:val="006D7F80"/>
    <w:rsid w:val="006D7FC7"/>
    <w:rsid w:val="006E00DA"/>
    <w:rsid w:val="006E04F7"/>
    <w:rsid w:val="006E0941"/>
    <w:rsid w:val="006E0B68"/>
    <w:rsid w:val="006E0EAD"/>
    <w:rsid w:val="006E1DC5"/>
    <w:rsid w:val="006E2E7E"/>
    <w:rsid w:val="006E2EFD"/>
    <w:rsid w:val="006E3420"/>
    <w:rsid w:val="006E39D7"/>
    <w:rsid w:val="006E3BD0"/>
    <w:rsid w:val="006E3FA9"/>
    <w:rsid w:val="006E4444"/>
    <w:rsid w:val="006E4D14"/>
    <w:rsid w:val="006E6866"/>
    <w:rsid w:val="006E702B"/>
    <w:rsid w:val="006E7DC6"/>
    <w:rsid w:val="006F01FC"/>
    <w:rsid w:val="006F0349"/>
    <w:rsid w:val="006F08E1"/>
    <w:rsid w:val="006F0E10"/>
    <w:rsid w:val="006F13D2"/>
    <w:rsid w:val="006F1A53"/>
    <w:rsid w:val="006F2196"/>
    <w:rsid w:val="006F2B29"/>
    <w:rsid w:val="006F3620"/>
    <w:rsid w:val="006F3D73"/>
    <w:rsid w:val="006F5A87"/>
    <w:rsid w:val="006F747C"/>
    <w:rsid w:val="006F74BF"/>
    <w:rsid w:val="006F7BDA"/>
    <w:rsid w:val="00700C93"/>
    <w:rsid w:val="00701FC8"/>
    <w:rsid w:val="0070288A"/>
    <w:rsid w:val="00702D07"/>
    <w:rsid w:val="00703676"/>
    <w:rsid w:val="00706655"/>
    <w:rsid w:val="007078D6"/>
    <w:rsid w:val="007106DD"/>
    <w:rsid w:val="00710F87"/>
    <w:rsid w:val="00711217"/>
    <w:rsid w:val="007116F8"/>
    <w:rsid w:val="00712900"/>
    <w:rsid w:val="007133E9"/>
    <w:rsid w:val="007137B3"/>
    <w:rsid w:val="00713BD4"/>
    <w:rsid w:val="00714542"/>
    <w:rsid w:val="00714837"/>
    <w:rsid w:val="00714EF0"/>
    <w:rsid w:val="00714F04"/>
    <w:rsid w:val="00715087"/>
    <w:rsid w:val="00715712"/>
    <w:rsid w:val="007158C7"/>
    <w:rsid w:val="00715D0C"/>
    <w:rsid w:val="0071628B"/>
    <w:rsid w:val="00716F27"/>
    <w:rsid w:val="00717727"/>
    <w:rsid w:val="00717B00"/>
    <w:rsid w:val="00720DE3"/>
    <w:rsid w:val="00721C6A"/>
    <w:rsid w:val="007227EC"/>
    <w:rsid w:val="00722F2C"/>
    <w:rsid w:val="00723293"/>
    <w:rsid w:val="00723439"/>
    <w:rsid w:val="00723CB3"/>
    <w:rsid w:val="00724D46"/>
    <w:rsid w:val="007252D4"/>
    <w:rsid w:val="00727012"/>
    <w:rsid w:val="0072723A"/>
    <w:rsid w:val="007279EC"/>
    <w:rsid w:val="00727D29"/>
    <w:rsid w:val="00730E2D"/>
    <w:rsid w:val="0073142D"/>
    <w:rsid w:val="007323B9"/>
    <w:rsid w:val="007330A4"/>
    <w:rsid w:val="00733C05"/>
    <w:rsid w:val="00734568"/>
    <w:rsid w:val="0073460E"/>
    <w:rsid w:val="007349F9"/>
    <w:rsid w:val="00734A12"/>
    <w:rsid w:val="00735CDE"/>
    <w:rsid w:val="00736EAE"/>
    <w:rsid w:val="00737F9B"/>
    <w:rsid w:val="007402C2"/>
    <w:rsid w:val="0074044C"/>
    <w:rsid w:val="007405B1"/>
    <w:rsid w:val="00740AF0"/>
    <w:rsid w:val="007419ED"/>
    <w:rsid w:val="00742174"/>
    <w:rsid w:val="00742C4C"/>
    <w:rsid w:val="007431F0"/>
    <w:rsid w:val="00743577"/>
    <w:rsid w:val="007435D3"/>
    <w:rsid w:val="00744220"/>
    <w:rsid w:val="00744C66"/>
    <w:rsid w:val="007464CC"/>
    <w:rsid w:val="00747238"/>
    <w:rsid w:val="00747B4B"/>
    <w:rsid w:val="00747D5E"/>
    <w:rsid w:val="00750679"/>
    <w:rsid w:val="00751EDA"/>
    <w:rsid w:val="00754851"/>
    <w:rsid w:val="007575D0"/>
    <w:rsid w:val="00757649"/>
    <w:rsid w:val="007609D5"/>
    <w:rsid w:val="00760C75"/>
    <w:rsid w:val="007611AD"/>
    <w:rsid w:val="0076126B"/>
    <w:rsid w:val="007613B3"/>
    <w:rsid w:val="00761C99"/>
    <w:rsid w:val="00762FBA"/>
    <w:rsid w:val="0076316D"/>
    <w:rsid w:val="00763FB6"/>
    <w:rsid w:val="0076473F"/>
    <w:rsid w:val="00764748"/>
    <w:rsid w:val="00765515"/>
    <w:rsid w:val="00766F28"/>
    <w:rsid w:val="007713E8"/>
    <w:rsid w:val="00771967"/>
    <w:rsid w:val="00771AA1"/>
    <w:rsid w:val="00772FC8"/>
    <w:rsid w:val="0077322C"/>
    <w:rsid w:val="00774715"/>
    <w:rsid w:val="007747EE"/>
    <w:rsid w:val="00774999"/>
    <w:rsid w:val="00774F98"/>
    <w:rsid w:val="00774FA0"/>
    <w:rsid w:val="00776623"/>
    <w:rsid w:val="007768F5"/>
    <w:rsid w:val="0077735A"/>
    <w:rsid w:val="0078095B"/>
    <w:rsid w:val="00780D10"/>
    <w:rsid w:val="007813D1"/>
    <w:rsid w:val="00782158"/>
    <w:rsid w:val="007821BC"/>
    <w:rsid w:val="007826E0"/>
    <w:rsid w:val="0078271A"/>
    <w:rsid w:val="00783194"/>
    <w:rsid w:val="00783455"/>
    <w:rsid w:val="007835D5"/>
    <w:rsid w:val="0078383A"/>
    <w:rsid w:val="00783BA7"/>
    <w:rsid w:val="007853F8"/>
    <w:rsid w:val="0078687A"/>
    <w:rsid w:val="00786AA2"/>
    <w:rsid w:val="00786BB9"/>
    <w:rsid w:val="00786FE5"/>
    <w:rsid w:val="007870B3"/>
    <w:rsid w:val="00787297"/>
    <w:rsid w:val="007877DC"/>
    <w:rsid w:val="0079039B"/>
    <w:rsid w:val="007908E2"/>
    <w:rsid w:val="00793842"/>
    <w:rsid w:val="007953B5"/>
    <w:rsid w:val="00795F3C"/>
    <w:rsid w:val="00796271"/>
    <w:rsid w:val="00796431"/>
    <w:rsid w:val="007964DC"/>
    <w:rsid w:val="007967E6"/>
    <w:rsid w:val="00797D07"/>
    <w:rsid w:val="00797EC1"/>
    <w:rsid w:val="007A03B9"/>
    <w:rsid w:val="007A06C5"/>
    <w:rsid w:val="007A0B4E"/>
    <w:rsid w:val="007A117C"/>
    <w:rsid w:val="007A2635"/>
    <w:rsid w:val="007A3BFB"/>
    <w:rsid w:val="007A5DE7"/>
    <w:rsid w:val="007A69A5"/>
    <w:rsid w:val="007A6B52"/>
    <w:rsid w:val="007A6C81"/>
    <w:rsid w:val="007A7B10"/>
    <w:rsid w:val="007B02A8"/>
    <w:rsid w:val="007B0B30"/>
    <w:rsid w:val="007B129D"/>
    <w:rsid w:val="007B219A"/>
    <w:rsid w:val="007B31A6"/>
    <w:rsid w:val="007B4508"/>
    <w:rsid w:val="007B5E3D"/>
    <w:rsid w:val="007B6B28"/>
    <w:rsid w:val="007B79F6"/>
    <w:rsid w:val="007B7B44"/>
    <w:rsid w:val="007C1271"/>
    <w:rsid w:val="007C12F0"/>
    <w:rsid w:val="007C15B2"/>
    <w:rsid w:val="007C4747"/>
    <w:rsid w:val="007C4C83"/>
    <w:rsid w:val="007C525A"/>
    <w:rsid w:val="007C533A"/>
    <w:rsid w:val="007C591A"/>
    <w:rsid w:val="007C6206"/>
    <w:rsid w:val="007C6225"/>
    <w:rsid w:val="007C64E2"/>
    <w:rsid w:val="007C7C72"/>
    <w:rsid w:val="007D065D"/>
    <w:rsid w:val="007D1196"/>
    <w:rsid w:val="007D1E88"/>
    <w:rsid w:val="007D275E"/>
    <w:rsid w:val="007D2928"/>
    <w:rsid w:val="007D37BA"/>
    <w:rsid w:val="007D3850"/>
    <w:rsid w:val="007D3F75"/>
    <w:rsid w:val="007D4025"/>
    <w:rsid w:val="007D66F0"/>
    <w:rsid w:val="007D73E5"/>
    <w:rsid w:val="007D750A"/>
    <w:rsid w:val="007D7523"/>
    <w:rsid w:val="007E0084"/>
    <w:rsid w:val="007E0678"/>
    <w:rsid w:val="007E0A18"/>
    <w:rsid w:val="007E0EF4"/>
    <w:rsid w:val="007E1035"/>
    <w:rsid w:val="007E18D1"/>
    <w:rsid w:val="007E199C"/>
    <w:rsid w:val="007E2A76"/>
    <w:rsid w:val="007E4D07"/>
    <w:rsid w:val="007E581F"/>
    <w:rsid w:val="007E722A"/>
    <w:rsid w:val="007E72EF"/>
    <w:rsid w:val="007E770A"/>
    <w:rsid w:val="007E7968"/>
    <w:rsid w:val="007E7C0D"/>
    <w:rsid w:val="007F0CB0"/>
    <w:rsid w:val="007F1600"/>
    <w:rsid w:val="007F166D"/>
    <w:rsid w:val="007F1EDF"/>
    <w:rsid w:val="007F2054"/>
    <w:rsid w:val="007F299B"/>
    <w:rsid w:val="007F365B"/>
    <w:rsid w:val="007F3B50"/>
    <w:rsid w:val="007F4023"/>
    <w:rsid w:val="007F40D6"/>
    <w:rsid w:val="007F41A0"/>
    <w:rsid w:val="007F5346"/>
    <w:rsid w:val="007F690B"/>
    <w:rsid w:val="007F742B"/>
    <w:rsid w:val="007F79B1"/>
    <w:rsid w:val="007F7CBC"/>
    <w:rsid w:val="00800C45"/>
    <w:rsid w:val="0080130F"/>
    <w:rsid w:val="008026FE"/>
    <w:rsid w:val="00802F9F"/>
    <w:rsid w:val="0080372E"/>
    <w:rsid w:val="00803E55"/>
    <w:rsid w:val="00804358"/>
    <w:rsid w:val="00804F92"/>
    <w:rsid w:val="00807F85"/>
    <w:rsid w:val="0081060D"/>
    <w:rsid w:val="00810A52"/>
    <w:rsid w:val="00810DCF"/>
    <w:rsid w:val="008110C4"/>
    <w:rsid w:val="00811527"/>
    <w:rsid w:val="00811F2C"/>
    <w:rsid w:val="00811FE2"/>
    <w:rsid w:val="008134F5"/>
    <w:rsid w:val="00814399"/>
    <w:rsid w:val="00815A51"/>
    <w:rsid w:val="008208F2"/>
    <w:rsid w:val="00820A66"/>
    <w:rsid w:val="00820F38"/>
    <w:rsid w:val="00822D27"/>
    <w:rsid w:val="008242DA"/>
    <w:rsid w:val="00824A84"/>
    <w:rsid w:val="00826371"/>
    <w:rsid w:val="0082668B"/>
    <w:rsid w:val="0082687A"/>
    <w:rsid w:val="008272AC"/>
    <w:rsid w:val="00830214"/>
    <w:rsid w:val="00830902"/>
    <w:rsid w:val="00832118"/>
    <w:rsid w:val="00832C2F"/>
    <w:rsid w:val="00833EC7"/>
    <w:rsid w:val="00834366"/>
    <w:rsid w:val="008358AE"/>
    <w:rsid w:val="008363D1"/>
    <w:rsid w:val="00836C3B"/>
    <w:rsid w:val="00840749"/>
    <w:rsid w:val="00840F7C"/>
    <w:rsid w:val="008412E1"/>
    <w:rsid w:val="008413A8"/>
    <w:rsid w:val="00842443"/>
    <w:rsid w:val="00843285"/>
    <w:rsid w:val="00843286"/>
    <w:rsid w:val="00843386"/>
    <w:rsid w:val="00844479"/>
    <w:rsid w:val="00844C79"/>
    <w:rsid w:val="00846122"/>
    <w:rsid w:val="008466C4"/>
    <w:rsid w:val="00850FDB"/>
    <w:rsid w:val="008510D6"/>
    <w:rsid w:val="008522B5"/>
    <w:rsid w:val="00853C4A"/>
    <w:rsid w:val="00854190"/>
    <w:rsid w:val="00854682"/>
    <w:rsid w:val="00855DA1"/>
    <w:rsid w:val="00856359"/>
    <w:rsid w:val="00856DA4"/>
    <w:rsid w:val="00857078"/>
    <w:rsid w:val="00857A3C"/>
    <w:rsid w:val="00860613"/>
    <w:rsid w:val="00861279"/>
    <w:rsid w:val="008612B4"/>
    <w:rsid w:val="00862A90"/>
    <w:rsid w:val="00863D31"/>
    <w:rsid w:val="0086454A"/>
    <w:rsid w:val="00866E95"/>
    <w:rsid w:val="00870102"/>
    <w:rsid w:val="00870456"/>
    <w:rsid w:val="008721A5"/>
    <w:rsid w:val="008723A8"/>
    <w:rsid w:val="00872847"/>
    <w:rsid w:val="00872C9B"/>
    <w:rsid w:val="00872E78"/>
    <w:rsid w:val="00872FDB"/>
    <w:rsid w:val="00873451"/>
    <w:rsid w:val="00873471"/>
    <w:rsid w:val="00873C14"/>
    <w:rsid w:val="0087619E"/>
    <w:rsid w:val="00877706"/>
    <w:rsid w:val="00877F7D"/>
    <w:rsid w:val="008811FC"/>
    <w:rsid w:val="00881D54"/>
    <w:rsid w:val="008825CE"/>
    <w:rsid w:val="0088460D"/>
    <w:rsid w:val="008857AA"/>
    <w:rsid w:val="00885FA2"/>
    <w:rsid w:val="0088688E"/>
    <w:rsid w:val="00887608"/>
    <w:rsid w:val="00887ABB"/>
    <w:rsid w:val="00887FD1"/>
    <w:rsid w:val="008900AF"/>
    <w:rsid w:val="008906E6"/>
    <w:rsid w:val="00890AD0"/>
    <w:rsid w:val="00890B66"/>
    <w:rsid w:val="00891109"/>
    <w:rsid w:val="00891BA0"/>
    <w:rsid w:val="00891BF0"/>
    <w:rsid w:val="00891F38"/>
    <w:rsid w:val="00893E0C"/>
    <w:rsid w:val="00893E72"/>
    <w:rsid w:val="00896BC2"/>
    <w:rsid w:val="00896C06"/>
    <w:rsid w:val="008A072D"/>
    <w:rsid w:val="008A1815"/>
    <w:rsid w:val="008A1C42"/>
    <w:rsid w:val="008A2D63"/>
    <w:rsid w:val="008A2FA0"/>
    <w:rsid w:val="008A3348"/>
    <w:rsid w:val="008A3889"/>
    <w:rsid w:val="008A4BAF"/>
    <w:rsid w:val="008A5CE1"/>
    <w:rsid w:val="008A5EE6"/>
    <w:rsid w:val="008A6398"/>
    <w:rsid w:val="008B048B"/>
    <w:rsid w:val="008B08D3"/>
    <w:rsid w:val="008B19B7"/>
    <w:rsid w:val="008B19E5"/>
    <w:rsid w:val="008B1C16"/>
    <w:rsid w:val="008B2AC1"/>
    <w:rsid w:val="008B2D32"/>
    <w:rsid w:val="008B2E9A"/>
    <w:rsid w:val="008B2EB5"/>
    <w:rsid w:val="008B3ADE"/>
    <w:rsid w:val="008B44C3"/>
    <w:rsid w:val="008B5255"/>
    <w:rsid w:val="008B5613"/>
    <w:rsid w:val="008B62E9"/>
    <w:rsid w:val="008B7050"/>
    <w:rsid w:val="008B7162"/>
    <w:rsid w:val="008C1507"/>
    <w:rsid w:val="008C19A3"/>
    <w:rsid w:val="008C2501"/>
    <w:rsid w:val="008C383B"/>
    <w:rsid w:val="008C3A5F"/>
    <w:rsid w:val="008C44A7"/>
    <w:rsid w:val="008C5671"/>
    <w:rsid w:val="008C59BA"/>
    <w:rsid w:val="008C5D4D"/>
    <w:rsid w:val="008C6671"/>
    <w:rsid w:val="008C739D"/>
    <w:rsid w:val="008C7707"/>
    <w:rsid w:val="008D1695"/>
    <w:rsid w:val="008D3273"/>
    <w:rsid w:val="008D3CA0"/>
    <w:rsid w:val="008D4696"/>
    <w:rsid w:val="008D6805"/>
    <w:rsid w:val="008D6CA8"/>
    <w:rsid w:val="008D733D"/>
    <w:rsid w:val="008E0A95"/>
    <w:rsid w:val="008E136A"/>
    <w:rsid w:val="008E14A5"/>
    <w:rsid w:val="008E2336"/>
    <w:rsid w:val="008E27A7"/>
    <w:rsid w:val="008E33F9"/>
    <w:rsid w:val="008E34A2"/>
    <w:rsid w:val="008E34AE"/>
    <w:rsid w:val="008E4D1F"/>
    <w:rsid w:val="008E694D"/>
    <w:rsid w:val="008E78B4"/>
    <w:rsid w:val="008F047E"/>
    <w:rsid w:val="008F2841"/>
    <w:rsid w:val="008F2959"/>
    <w:rsid w:val="008F399F"/>
    <w:rsid w:val="008F39F1"/>
    <w:rsid w:val="008F432C"/>
    <w:rsid w:val="008F6034"/>
    <w:rsid w:val="008F7ADB"/>
    <w:rsid w:val="008F7CC9"/>
    <w:rsid w:val="009001B0"/>
    <w:rsid w:val="00900940"/>
    <w:rsid w:val="00900CC0"/>
    <w:rsid w:val="0090288E"/>
    <w:rsid w:val="009038F9"/>
    <w:rsid w:val="00905028"/>
    <w:rsid w:val="009055D6"/>
    <w:rsid w:val="00905AAB"/>
    <w:rsid w:val="009068C3"/>
    <w:rsid w:val="00906F53"/>
    <w:rsid w:val="0090775D"/>
    <w:rsid w:val="00910432"/>
    <w:rsid w:val="0091050C"/>
    <w:rsid w:val="00911865"/>
    <w:rsid w:val="00911A8D"/>
    <w:rsid w:val="009139AF"/>
    <w:rsid w:val="009148EC"/>
    <w:rsid w:val="00914BFD"/>
    <w:rsid w:val="00914CD2"/>
    <w:rsid w:val="00915EF9"/>
    <w:rsid w:val="009174F6"/>
    <w:rsid w:val="00917A99"/>
    <w:rsid w:val="00921BFB"/>
    <w:rsid w:val="00921EF9"/>
    <w:rsid w:val="00922AFA"/>
    <w:rsid w:val="00922BF2"/>
    <w:rsid w:val="009234FD"/>
    <w:rsid w:val="00923665"/>
    <w:rsid w:val="00924258"/>
    <w:rsid w:val="00924973"/>
    <w:rsid w:val="00924ED5"/>
    <w:rsid w:val="0092631A"/>
    <w:rsid w:val="009311DF"/>
    <w:rsid w:val="009314B6"/>
    <w:rsid w:val="0093152E"/>
    <w:rsid w:val="009315A3"/>
    <w:rsid w:val="00931779"/>
    <w:rsid w:val="00931E42"/>
    <w:rsid w:val="0093252C"/>
    <w:rsid w:val="0093283A"/>
    <w:rsid w:val="0093430F"/>
    <w:rsid w:val="00935AC3"/>
    <w:rsid w:val="00935EAC"/>
    <w:rsid w:val="00937529"/>
    <w:rsid w:val="00940DF7"/>
    <w:rsid w:val="00940F2E"/>
    <w:rsid w:val="00942405"/>
    <w:rsid w:val="00942818"/>
    <w:rsid w:val="00942AD5"/>
    <w:rsid w:val="00942F66"/>
    <w:rsid w:val="00943510"/>
    <w:rsid w:val="00943A66"/>
    <w:rsid w:val="00944371"/>
    <w:rsid w:val="00944529"/>
    <w:rsid w:val="00944CB3"/>
    <w:rsid w:val="00944D10"/>
    <w:rsid w:val="009450BA"/>
    <w:rsid w:val="009454B6"/>
    <w:rsid w:val="009460DF"/>
    <w:rsid w:val="00946929"/>
    <w:rsid w:val="00946D29"/>
    <w:rsid w:val="009474F2"/>
    <w:rsid w:val="00950E7E"/>
    <w:rsid w:val="00952AEF"/>
    <w:rsid w:val="00955C33"/>
    <w:rsid w:val="0095625A"/>
    <w:rsid w:val="00956446"/>
    <w:rsid w:val="00957B4C"/>
    <w:rsid w:val="009603BF"/>
    <w:rsid w:val="00960F24"/>
    <w:rsid w:val="00960FAF"/>
    <w:rsid w:val="0096172B"/>
    <w:rsid w:val="00961C91"/>
    <w:rsid w:val="00962AB8"/>
    <w:rsid w:val="00962CB7"/>
    <w:rsid w:val="00962E64"/>
    <w:rsid w:val="00963AA3"/>
    <w:rsid w:val="00963B80"/>
    <w:rsid w:val="00966080"/>
    <w:rsid w:val="0096628F"/>
    <w:rsid w:val="009664DD"/>
    <w:rsid w:val="00966F48"/>
    <w:rsid w:val="0096744E"/>
    <w:rsid w:val="009704A0"/>
    <w:rsid w:val="00970792"/>
    <w:rsid w:val="00970EB5"/>
    <w:rsid w:val="00971E1A"/>
    <w:rsid w:val="00971EE1"/>
    <w:rsid w:val="00973197"/>
    <w:rsid w:val="00973E14"/>
    <w:rsid w:val="009753FB"/>
    <w:rsid w:val="00975439"/>
    <w:rsid w:val="009756E8"/>
    <w:rsid w:val="00976F97"/>
    <w:rsid w:val="00977317"/>
    <w:rsid w:val="009802E6"/>
    <w:rsid w:val="009804C2"/>
    <w:rsid w:val="00980C11"/>
    <w:rsid w:val="00981086"/>
    <w:rsid w:val="0098257D"/>
    <w:rsid w:val="0098302F"/>
    <w:rsid w:val="009831C8"/>
    <w:rsid w:val="00983D28"/>
    <w:rsid w:val="0098474E"/>
    <w:rsid w:val="009857EB"/>
    <w:rsid w:val="00986110"/>
    <w:rsid w:val="009869D5"/>
    <w:rsid w:val="00987232"/>
    <w:rsid w:val="009877E3"/>
    <w:rsid w:val="0099047A"/>
    <w:rsid w:val="009905A0"/>
    <w:rsid w:val="00990EC7"/>
    <w:rsid w:val="00991B95"/>
    <w:rsid w:val="00991D3E"/>
    <w:rsid w:val="00992840"/>
    <w:rsid w:val="00994C6F"/>
    <w:rsid w:val="00994CC4"/>
    <w:rsid w:val="00995379"/>
    <w:rsid w:val="009968AC"/>
    <w:rsid w:val="00996911"/>
    <w:rsid w:val="00996DB9"/>
    <w:rsid w:val="009976E7"/>
    <w:rsid w:val="009A044E"/>
    <w:rsid w:val="009A10AD"/>
    <w:rsid w:val="009A10DD"/>
    <w:rsid w:val="009A11ED"/>
    <w:rsid w:val="009A1795"/>
    <w:rsid w:val="009A1CB0"/>
    <w:rsid w:val="009A2547"/>
    <w:rsid w:val="009A4D66"/>
    <w:rsid w:val="009A5821"/>
    <w:rsid w:val="009A63A6"/>
    <w:rsid w:val="009A65F0"/>
    <w:rsid w:val="009A67A1"/>
    <w:rsid w:val="009A7026"/>
    <w:rsid w:val="009A702B"/>
    <w:rsid w:val="009A7D0C"/>
    <w:rsid w:val="009A7F30"/>
    <w:rsid w:val="009B069B"/>
    <w:rsid w:val="009B097A"/>
    <w:rsid w:val="009B10E0"/>
    <w:rsid w:val="009B18EB"/>
    <w:rsid w:val="009B27DF"/>
    <w:rsid w:val="009B36AF"/>
    <w:rsid w:val="009B393A"/>
    <w:rsid w:val="009B5A7A"/>
    <w:rsid w:val="009B7972"/>
    <w:rsid w:val="009B7A5A"/>
    <w:rsid w:val="009C0544"/>
    <w:rsid w:val="009C0DD6"/>
    <w:rsid w:val="009C1B29"/>
    <w:rsid w:val="009C1C07"/>
    <w:rsid w:val="009C1F84"/>
    <w:rsid w:val="009C38DF"/>
    <w:rsid w:val="009C40F8"/>
    <w:rsid w:val="009C5A3E"/>
    <w:rsid w:val="009C6CC1"/>
    <w:rsid w:val="009D05F1"/>
    <w:rsid w:val="009D089E"/>
    <w:rsid w:val="009D094F"/>
    <w:rsid w:val="009D0BF3"/>
    <w:rsid w:val="009D0E88"/>
    <w:rsid w:val="009D1003"/>
    <w:rsid w:val="009D24D7"/>
    <w:rsid w:val="009D256E"/>
    <w:rsid w:val="009D2DB6"/>
    <w:rsid w:val="009D2EAF"/>
    <w:rsid w:val="009D2F47"/>
    <w:rsid w:val="009D2FB9"/>
    <w:rsid w:val="009D3067"/>
    <w:rsid w:val="009D39EE"/>
    <w:rsid w:val="009D3B45"/>
    <w:rsid w:val="009D4E78"/>
    <w:rsid w:val="009D5487"/>
    <w:rsid w:val="009D55B8"/>
    <w:rsid w:val="009D5F35"/>
    <w:rsid w:val="009D674E"/>
    <w:rsid w:val="009D6791"/>
    <w:rsid w:val="009D7835"/>
    <w:rsid w:val="009D7CDF"/>
    <w:rsid w:val="009D7EFC"/>
    <w:rsid w:val="009E05AC"/>
    <w:rsid w:val="009E1649"/>
    <w:rsid w:val="009E172B"/>
    <w:rsid w:val="009E1B55"/>
    <w:rsid w:val="009E204D"/>
    <w:rsid w:val="009E253A"/>
    <w:rsid w:val="009E25F5"/>
    <w:rsid w:val="009E39C0"/>
    <w:rsid w:val="009E4CE0"/>
    <w:rsid w:val="009E523E"/>
    <w:rsid w:val="009E5367"/>
    <w:rsid w:val="009E6B3E"/>
    <w:rsid w:val="009E7B93"/>
    <w:rsid w:val="009F0062"/>
    <w:rsid w:val="009F0349"/>
    <w:rsid w:val="009F1E76"/>
    <w:rsid w:val="009F2FEB"/>
    <w:rsid w:val="009F3268"/>
    <w:rsid w:val="009F4230"/>
    <w:rsid w:val="009F4860"/>
    <w:rsid w:val="009F5F2C"/>
    <w:rsid w:val="009F6749"/>
    <w:rsid w:val="009F6A7F"/>
    <w:rsid w:val="009F6C56"/>
    <w:rsid w:val="00A0021A"/>
    <w:rsid w:val="00A0178C"/>
    <w:rsid w:val="00A01D67"/>
    <w:rsid w:val="00A0206E"/>
    <w:rsid w:val="00A02A33"/>
    <w:rsid w:val="00A02F5D"/>
    <w:rsid w:val="00A031CC"/>
    <w:rsid w:val="00A0323B"/>
    <w:rsid w:val="00A04192"/>
    <w:rsid w:val="00A04474"/>
    <w:rsid w:val="00A0482C"/>
    <w:rsid w:val="00A0762A"/>
    <w:rsid w:val="00A0776D"/>
    <w:rsid w:val="00A0778F"/>
    <w:rsid w:val="00A1004D"/>
    <w:rsid w:val="00A1182A"/>
    <w:rsid w:val="00A13922"/>
    <w:rsid w:val="00A13DB8"/>
    <w:rsid w:val="00A13F1D"/>
    <w:rsid w:val="00A1482D"/>
    <w:rsid w:val="00A14AA1"/>
    <w:rsid w:val="00A155ED"/>
    <w:rsid w:val="00A15F37"/>
    <w:rsid w:val="00A16191"/>
    <w:rsid w:val="00A163E3"/>
    <w:rsid w:val="00A220C0"/>
    <w:rsid w:val="00A22229"/>
    <w:rsid w:val="00A2295F"/>
    <w:rsid w:val="00A22A52"/>
    <w:rsid w:val="00A23246"/>
    <w:rsid w:val="00A24A2E"/>
    <w:rsid w:val="00A25889"/>
    <w:rsid w:val="00A2710F"/>
    <w:rsid w:val="00A3034C"/>
    <w:rsid w:val="00A30764"/>
    <w:rsid w:val="00A325EE"/>
    <w:rsid w:val="00A338A1"/>
    <w:rsid w:val="00A349CB"/>
    <w:rsid w:val="00A34E5A"/>
    <w:rsid w:val="00A3508F"/>
    <w:rsid w:val="00A35D8A"/>
    <w:rsid w:val="00A364F7"/>
    <w:rsid w:val="00A36DDD"/>
    <w:rsid w:val="00A378ED"/>
    <w:rsid w:val="00A425BA"/>
    <w:rsid w:val="00A42D6B"/>
    <w:rsid w:val="00A42EEB"/>
    <w:rsid w:val="00A430E2"/>
    <w:rsid w:val="00A4316F"/>
    <w:rsid w:val="00A447E7"/>
    <w:rsid w:val="00A44A0C"/>
    <w:rsid w:val="00A454B6"/>
    <w:rsid w:val="00A4559F"/>
    <w:rsid w:val="00A45FC0"/>
    <w:rsid w:val="00A472F8"/>
    <w:rsid w:val="00A50571"/>
    <w:rsid w:val="00A50AEA"/>
    <w:rsid w:val="00A5314F"/>
    <w:rsid w:val="00A53F81"/>
    <w:rsid w:val="00A54055"/>
    <w:rsid w:val="00A54B25"/>
    <w:rsid w:val="00A55882"/>
    <w:rsid w:val="00A5590F"/>
    <w:rsid w:val="00A569E0"/>
    <w:rsid w:val="00A56B6B"/>
    <w:rsid w:val="00A60311"/>
    <w:rsid w:val="00A60546"/>
    <w:rsid w:val="00A61107"/>
    <w:rsid w:val="00A63EEE"/>
    <w:rsid w:val="00A6445C"/>
    <w:rsid w:val="00A66F1E"/>
    <w:rsid w:val="00A6760A"/>
    <w:rsid w:val="00A676D3"/>
    <w:rsid w:val="00A679AD"/>
    <w:rsid w:val="00A71142"/>
    <w:rsid w:val="00A711B7"/>
    <w:rsid w:val="00A7149F"/>
    <w:rsid w:val="00A72C93"/>
    <w:rsid w:val="00A72DB7"/>
    <w:rsid w:val="00A72FF3"/>
    <w:rsid w:val="00A7410C"/>
    <w:rsid w:val="00A754A0"/>
    <w:rsid w:val="00A76082"/>
    <w:rsid w:val="00A7784F"/>
    <w:rsid w:val="00A80A07"/>
    <w:rsid w:val="00A811D6"/>
    <w:rsid w:val="00A81F02"/>
    <w:rsid w:val="00A82860"/>
    <w:rsid w:val="00A82F07"/>
    <w:rsid w:val="00A832BA"/>
    <w:rsid w:val="00A8331B"/>
    <w:rsid w:val="00A83BF6"/>
    <w:rsid w:val="00A84963"/>
    <w:rsid w:val="00A84D9C"/>
    <w:rsid w:val="00A85048"/>
    <w:rsid w:val="00A86552"/>
    <w:rsid w:val="00A86CD7"/>
    <w:rsid w:val="00A86D7C"/>
    <w:rsid w:val="00A8750A"/>
    <w:rsid w:val="00A9017B"/>
    <w:rsid w:val="00A90878"/>
    <w:rsid w:val="00A91266"/>
    <w:rsid w:val="00A9266A"/>
    <w:rsid w:val="00A9310D"/>
    <w:rsid w:val="00A9367D"/>
    <w:rsid w:val="00A950F4"/>
    <w:rsid w:val="00A9567A"/>
    <w:rsid w:val="00A96783"/>
    <w:rsid w:val="00A97098"/>
    <w:rsid w:val="00A97337"/>
    <w:rsid w:val="00A97B08"/>
    <w:rsid w:val="00A97D41"/>
    <w:rsid w:val="00A97F5A"/>
    <w:rsid w:val="00A97F92"/>
    <w:rsid w:val="00AA0D5A"/>
    <w:rsid w:val="00AA17F7"/>
    <w:rsid w:val="00AA253F"/>
    <w:rsid w:val="00AA25AC"/>
    <w:rsid w:val="00AA28D2"/>
    <w:rsid w:val="00AA2D58"/>
    <w:rsid w:val="00AA4A27"/>
    <w:rsid w:val="00AA4C06"/>
    <w:rsid w:val="00AA5C1F"/>
    <w:rsid w:val="00AA62A7"/>
    <w:rsid w:val="00AA7E5F"/>
    <w:rsid w:val="00AB0ED1"/>
    <w:rsid w:val="00AB16F3"/>
    <w:rsid w:val="00AB1ED1"/>
    <w:rsid w:val="00AB23B0"/>
    <w:rsid w:val="00AB2567"/>
    <w:rsid w:val="00AB3537"/>
    <w:rsid w:val="00AB365A"/>
    <w:rsid w:val="00AB3A63"/>
    <w:rsid w:val="00AB4201"/>
    <w:rsid w:val="00AB453D"/>
    <w:rsid w:val="00AB48D1"/>
    <w:rsid w:val="00AB4CFC"/>
    <w:rsid w:val="00AB58F2"/>
    <w:rsid w:val="00AB5E9F"/>
    <w:rsid w:val="00AB61EF"/>
    <w:rsid w:val="00AB689B"/>
    <w:rsid w:val="00AB7541"/>
    <w:rsid w:val="00AB7CDE"/>
    <w:rsid w:val="00AC0AAA"/>
    <w:rsid w:val="00AC0D62"/>
    <w:rsid w:val="00AC1771"/>
    <w:rsid w:val="00AC1934"/>
    <w:rsid w:val="00AC277A"/>
    <w:rsid w:val="00AC41F9"/>
    <w:rsid w:val="00AC4EEC"/>
    <w:rsid w:val="00AC6C46"/>
    <w:rsid w:val="00AC6D5D"/>
    <w:rsid w:val="00AC6F64"/>
    <w:rsid w:val="00AC706B"/>
    <w:rsid w:val="00AC7487"/>
    <w:rsid w:val="00AC7B00"/>
    <w:rsid w:val="00AD03D9"/>
    <w:rsid w:val="00AD20AF"/>
    <w:rsid w:val="00AD25AD"/>
    <w:rsid w:val="00AD3A59"/>
    <w:rsid w:val="00AD3BBF"/>
    <w:rsid w:val="00AD613B"/>
    <w:rsid w:val="00AE079E"/>
    <w:rsid w:val="00AE0D0C"/>
    <w:rsid w:val="00AE1BA9"/>
    <w:rsid w:val="00AE2387"/>
    <w:rsid w:val="00AE4002"/>
    <w:rsid w:val="00AE6E19"/>
    <w:rsid w:val="00AE724E"/>
    <w:rsid w:val="00AE76A8"/>
    <w:rsid w:val="00AF09A0"/>
    <w:rsid w:val="00AF1091"/>
    <w:rsid w:val="00AF153A"/>
    <w:rsid w:val="00AF18A6"/>
    <w:rsid w:val="00AF18CA"/>
    <w:rsid w:val="00AF1CFD"/>
    <w:rsid w:val="00AF2306"/>
    <w:rsid w:val="00AF2617"/>
    <w:rsid w:val="00AF2AE5"/>
    <w:rsid w:val="00AF2B00"/>
    <w:rsid w:val="00AF3AD9"/>
    <w:rsid w:val="00AF4640"/>
    <w:rsid w:val="00AF5145"/>
    <w:rsid w:val="00AF58F3"/>
    <w:rsid w:val="00AF5ABA"/>
    <w:rsid w:val="00AF6D94"/>
    <w:rsid w:val="00B00317"/>
    <w:rsid w:val="00B0149D"/>
    <w:rsid w:val="00B014EC"/>
    <w:rsid w:val="00B04FE2"/>
    <w:rsid w:val="00B05126"/>
    <w:rsid w:val="00B05777"/>
    <w:rsid w:val="00B05B5E"/>
    <w:rsid w:val="00B06527"/>
    <w:rsid w:val="00B10C3C"/>
    <w:rsid w:val="00B11271"/>
    <w:rsid w:val="00B112A5"/>
    <w:rsid w:val="00B116FF"/>
    <w:rsid w:val="00B118CF"/>
    <w:rsid w:val="00B12833"/>
    <w:rsid w:val="00B12D4B"/>
    <w:rsid w:val="00B140E9"/>
    <w:rsid w:val="00B14557"/>
    <w:rsid w:val="00B1471D"/>
    <w:rsid w:val="00B15438"/>
    <w:rsid w:val="00B17281"/>
    <w:rsid w:val="00B2131B"/>
    <w:rsid w:val="00B21BF3"/>
    <w:rsid w:val="00B222E2"/>
    <w:rsid w:val="00B230A8"/>
    <w:rsid w:val="00B2310C"/>
    <w:rsid w:val="00B23328"/>
    <w:rsid w:val="00B233EC"/>
    <w:rsid w:val="00B23B81"/>
    <w:rsid w:val="00B242B1"/>
    <w:rsid w:val="00B24E54"/>
    <w:rsid w:val="00B25994"/>
    <w:rsid w:val="00B27646"/>
    <w:rsid w:val="00B31A01"/>
    <w:rsid w:val="00B31E3C"/>
    <w:rsid w:val="00B32C18"/>
    <w:rsid w:val="00B33037"/>
    <w:rsid w:val="00B33732"/>
    <w:rsid w:val="00B3483B"/>
    <w:rsid w:val="00B35C7E"/>
    <w:rsid w:val="00B36448"/>
    <w:rsid w:val="00B377F6"/>
    <w:rsid w:val="00B416B1"/>
    <w:rsid w:val="00B418F4"/>
    <w:rsid w:val="00B426A2"/>
    <w:rsid w:val="00B43376"/>
    <w:rsid w:val="00B43E68"/>
    <w:rsid w:val="00B44209"/>
    <w:rsid w:val="00B44CCC"/>
    <w:rsid w:val="00B44EAC"/>
    <w:rsid w:val="00B465C8"/>
    <w:rsid w:val="00B472C9"/>
    <w:rsid w:val="00B47C1C"/>
    <w:rsid w:val="00B47F43"/>
    <w:rsid w:val="00B506AC"/>
    <w:rsid w:val="00B50773"/>
    <w:rsid w:val="00B50D1B"/>
    <w:rsid w:val="00B50E2C"/>
    <w:rsid w:val="00B51364"/>
    <w:rsid w:val="00B516F9"/>
    <w:rsid w:val="00B517ED"/>
    <w:rsid w:val="00B52041"/>
    <w:rsid w:val="00B52F1D"/>
    <w:rsid w:val="00B53170"/>
    <w:rsid w:val="00B536A8"/>
    <w:rsid w:val="00B53B00"/>
    <w:rsid w:val="00B54AE6"/>
    <w:rsid w:val="00B54F8C"/>
    <w:rsid w:val="00B551CF"/>
    <w:rsid w:val="00B56D06"/>
    <w:rsid w:val="00B5765A"/>
    <w:rsid w:val="00B60C22"/>
    <w:rsid w:val="00B616A0"/>
    <w:rsid w:val="00B620CA"/>
    <w:rsid w:val="00B6232A"/>
    <w:rsid w:val="00B62B8F"/>
    <w:rsid w:val="00B62D75"/>
    <w:rsid w:val="00B6475C"/>
    <w:rsid w:val="00B649F7"/>
    <w:rsid w:val="00B667C6"/>
    <w:rsid w:val="00B66DB7"/>
    <w:rsid w:val="00B67ADB"/>
    <w:rsid w:val="00B70A7F"/>
    <w:rsid w:val="00B716B3"/>
    <w:rsid w:val="00B719C9"/>
    <w:rsid w:val="00B71C25"/>
    <w:rsid w:val="00B71D4B"/>
    <w:rsid w:val="00B7214B"/>
    <w:rsid w:val="00B72A9B"/>
    <w:rsid w:val="00B73636"/>
    <w:rsid w:val="00B7370E"/>
    <w:rsid w:val="00B73C08"/>
    <w:rsid w:val="00B7439C"/>
    <w:rsid w:val="00B743D7"/>
    <w:rsid w:val="00B7657E"/>
    <w:rsid w:val="00B76793"/>
    <w:rsid w:val="00B76C42"/>
    <w:rsid w:val="00B76CBC"/>
    <w:rsid w:val="00B770C9"/>
    <w:rsid w:val="00B80C63"/>
    <w:rsid w:val="00B819ED"/>
    <w:rsid w:val="00B8390E"/>
    <w:rsid w:val="00B83CA3"/>
    <w:rsid w:val="00B84219"/>
    <w:rsid w:val="00B84275"/>
    <w:rsid w:val="00B84382"/>
    <w:rsid w:val="00B85068"/>
    <w:rsid w:val="00B85154"/>
    <w:rsid w:val="00B85546"/>
    <w:rsid w:val="00B85D8E"/>
    <w:rsid w:val="00B87377"/>
    <w:rsid w:val="00B87EA2"/>
    <w:rsid w:val="00B913AA"/>
    <w:rsid w:val="00B91481"/>
    <w:rsid w:val="00B91B01"/>
    <w:rsid w:val="00B9205C"/>
    <w:rsid w:val="00B925BA"/>
    <w:rsid w:val="00B93031"/>
    <w:rsid w:val="00B9335D"/>
    <w:rsid w:val="00B94400"/>
    <w:rsid w:val="00B95673"/>
    <w:rsid w:val="00B961C8"/>
    <w:rsid w:val="00B96C2A"/>
    <w:rsid w:val="00B96FD4"/>
    <w:rsid w:val="00B97971"/>
    <w:rsid w:val="00BA04E1"/>
    <w:rsid w:val="00BA18D1"/>
    <w:rsid w:val="00BA19E0"/>
    <w:rsid w:val="00BA1F8A"/>
    <w:rsid w:val="00BA258C"/>
    <w:rsid w:val="00BA321E"/>
    <w:rsid w:val="00BA3EDB"/>
    <w:rsid w:val="00BA4441"/>
    <w:rsid w:val="00BA46B0"/>
    <w:rsid w:val="00BA47DA"/>
    <w:rsid w:val="00BA4E91"/>
    <w:rsid w:val="00BA5E59"/>
    <w:rsid w:val="00BA6D0B"/>
    <w:rsid w:val="00BA75F2"/>
    <w:rsid w:val="00BB0F17"/>
    <w:rsid w:val="00BB1A4D"/>
    <w:rsid w:val="00BB228F"/>
    <w:rsid w:val="00BB304B"/>
    <w:rsid w:val="00BB347F"/>
    <w:rsid w:val="00BB36ED"/>
    <w:rsid w:val="00BB50DE"/>
    <w:rsid w:val="00BB641A"/>
    <w:rsid w:val="00BB6DED"/>
    <w:rsid w:val="00BB79A4"/>
    <w:rsid w:val="00BB7A89"/>
    <w:rsid w:val="00BB7CBB"/>
    <w:rsid w:val="00BC08D4"/>
    <w:rsid w:val="00BC0CB8"/>
    <w:rsid w:val="00BC0EE4"/>
    <w:rsid w:val="00BC1B82"/>
    <w:rsid w:val="00BC1D46"/>
    <w:rsid w:val="00BC21D7"/>
    <w:rsid w:val="00BC4A61"/>
    <w:rsid w:val="00BC52EB"/>
    <w:rsid w:val="00BC5978"/>
    <w:rsid w:val="00BC5A14"/>
    <w:rsid w:val="00BD0100"/>
    <w:rsid w:val="00BD297C"/>
    <w:rsid w:val="00BD2BB6"/>
    <w:rsid w:val="00BD4509"/>
    <w:rsid w:val="00BD483C"/>
    <w:rsid w:val="00BD4931"/>
    <w:rsid w:val="00BD499A"/>
    <w:rsid w:val="00BD532D"/>
    <w:rsid w:val="00BD6F03"/>
    <w:rsid w:val="00BD6FDA"/>
    <w:rsid w:val="00BD77B5"/>
    <w:rsid w:val="00BD7A55"/>
    <w:rsid w:val="00BE00E4"/>
    <w:rsid w:val="00BE0270"/>
    <w:rsid w:val="00BE0809"/>
    <w:rsid w:val="00BE0965"/>
    <w:rsid w:val="00BE0D73"/>
    <w:rsid w:val="00BE0DD9"/>
    <w:rsid w:val="00BE180E"/>
    <w:rsid w:val="00BE19CD"/>
    <w:rsid w:val="00BE21A8"/>
    <w:rsid w:val="00BE2827"/>
    <w:rsid w:val="00BE2CB6"/>
    <w:rsid w:val="00BE331A"/>
    <w:rsid w:val="00BE391E"/>
    <w:rsid w:val="00BE4444"/>
    <w:rsid w:val="00BE48B7"/>
    <w:rsid w:val="00BE4C20"/>
    <w:rsid w:val="00BE53BC"/>
    <w:rsid w:val="00BE5574"/>
    <w:rsid w:val="00BE5CDB"/>
    <w:rsid w:val="00BE5DF3"/>
    <w:rsid w:val="00BE61B0"/>
    <w:rsid w:val="00BE6BFF"/>
    <w:rsid w:val="00BE74B4"/>
    <w:rsid w:val="00BE74D9"/>
    <w:rsid w:val="00BF01E3"/>
    <w:rsid w:val="00BF0B84"/>
    <w:rsid w:val="00BF19A0"/>
    <w:rsid w:val="00BF2280"/>
    <w:rsid w:val="00BF4843"/>
    <w:rsid w:val="00BF4B69"/>
    <w:rsid w:val="00BF5F81"/>
    <w:rsid w:val="00BF6456"/>
    <w:rsid w:val="00BF6462"/>
    <w:rsid w:val="00BF6F8D"/>
    <w:rsid w:val="00BF7738"/>
    <w:rsid w:val="00C00471"/>
    <w:rsid w:val="00C011B3"/>
    <w:rsid w:val="00C014C6"/>
    <w:rsid w:val="00C01839"/>
    <w:rsid w:val="00C01BF8"/>
    <w:rsid w:val="00C02043"/>
    <w:rsid w:val="00C02D91"/>
    <w:rsid w:val="00C04F50"/>
    <w:rsid w:val="00C05E06"/>
    <w:rsid w:val="00C06FED"/>
    <w:rsid w:val="00C0702F"/>
    <w:rsid w:val="00C076D3"/>
    <w:rsid w:val="00C1041E"/>
    <w:rsid w:val="00C1044E"/>
    <w:rsid w:val="00C10EB9"/>
    <w:rsid w:val="00C11E3B"/>
    <w:rsid w:val="00C1233D"/>
    <w:rsid w:val="00C12AFA"/>
    <w:rsid w:val="00C12E9A"/>
    <w:rsid w:val="00C1412B"/>
    <w:rsid w:val="00C15578"/>
    <w:rsid w:val="00C15648"/>
    <w:rsid w:val="00C16E21"/>
    <w:rsid w:val="00C17244"/>
    <w:rsid w:val="00C2000C"/>
    <w:rsid w:val="00C2020E"/>
    <w:rsid w:val="00C20265"/>
    <w:rsid w:val="00C20ECB"/>
    <w:rsid w:val="00C2112F"/>
    <w:rsid w:val="00C21CA1"/>
    <w:rsid w:val="00C21D7D"/>
    <w:rsid w:val="00C21FB0"/>
    <w:rsid w:val="00C24142"/>
    <w:rsid w:val="00C257EC"/>
    <w:rsid w:val="00C25B6F"/>
    <w:rsid w:val="00C25CA5"/>
    <w:rsid w:val="00C2605E"/>
    <w:rsid w:val="00C2648E"/>
    <w:rsid w:val="00C26B97"/>
    <w:rsid w:val="00C27BE2"/>
    <w:rsid w:val="00C30194"/>
    <w:rsid w:val="00C30973"/>
    <w:rsid w:val="00C30F85"/>
    <w:rsid w:val="00C31129"/>
    <w:rsid w:val="00C313E7"/>
    <w:rsid w:val="00C3210B"/>
    <w:rsid w:val="00C34EEE"/>
    <w:rsid w:val="00C3561D"/>
    <w:rsid w:val="00C3654D"/>
    <w:rsid w:val="00C369FE"/>
    <w:rsid w:val="00C410EB"/>
    <w:rsid w:val="00C4196A"/>
    <w:rsid w:val="00C41CF2"/>
    <w:rsid w:val="00C41E47"/>
    <w:rsid w:val="00C42E87"/>
    <w:rsid w:val="00C42F00"/>
    <w:rsid w:val="00C43453"/>
    <w:rsid w:val="00C44924"/>
    <w:rsid w:val="00C45097"/>
    <w:rsid w:val="00C45C93"/>
    <w:rsid w:val="00C461EB"/>
    <w:rsid w:val="00C50077"/>
    <w:rsid w:val="00C51720"/>
    <w:rsid w:val="00C520D7"/>
    <w:rsid w:val="00C52B35"/>
    <w:rsid w:val="00C5372C"/>
    <w:rsid w:val="00C53769"/>
    <w:rsid w:val="00C53EEF"/>
    <w:rsid w:val="00C55CD2"/>
    <w:rsid w:val="00C55E91"/>
    <w:rsid w:val="00C562B4"/>
    <w:rsid w:val="00C56832"/>
    <w:rsid w:val="00C56C08"/>
    <w:rsid w:val="00C57869"/>
    <w:rsid w:val="00C60DF5"/>
    <w:rsid w:val="00C60FED"/>
    <w:rsid w:val="00C627A3"/>
    <w:rsid w:val="00C64C2F"/>
    <w:rsid w:val="00C6528A"/>
    <w:rsid w:val="00C6546A"/>
    <w:rsid w:val="00C66586"/>
    <w:rsid w:val="00C665F2"/>
    <w:rsid w:val="00C6749F"/>
    <w:rsid w:val="00C676D3"/>
    <w:rsid w:val="00C7054B"/>
    <w:rsid w:val="00C70598"/>
    <w:rsid w:val="00C71439"/>
    <w:rsid w:val="00C72AE9"/>
    <w:rsid w:val="00C7375A"/>
    <w:rsid w:val="00C74048"/>
    <w:rsid w:val="00C74654"/>
    <w:rsid w:val="00C74775"/>
    <w:rsid w:val="00C74F0F"/>
    <w:rsid w:val="00C754A8"/>
    <w:rsid w:val="00C7556D"/>
    <w:rsid w:val="00C75F55"/>
    <w:rsid w:val="00C76725"/>
    <w:rsid w:val="00C81867"/>
    <w:rsid w:val="00C81AAE"/>
    <w:rsid w:val="00C81EBC"/>
    <w:rsid w:val="00C847AA"/>
    <w:rsid w:val="00C84C3A"/>
    <w:rsid w:val="00C86300"/>
    <w:rsid w:val="00C8679C"/>
    <w:rsid w:val="00C8685C"/>
    <w:rsid w:val="00C87645"/>
    <w:rsid w:val="00C87795"/>
    <w:rsid w:val="00C8788F"/>
    <w:rsid w:val="00C878A2"/>
    <w:rsid w:val="00C93936"/>
    <w:rsid w:val="00C948E7"/>
    <w:rsid w:val="00C963E5"/>
    <w:rsid w:val="00C967BE"/>
    <w:rsid w:val="00C96E4A"/>
    <w:rsid w:val="00C97546"/>
    <w:rsid w:val="00C975A8"/>
    <w:rsid w:val="00C97688"/>
    <w:rsid w:val="00C97773"/>
    <w:rsid w:val="00C9786B"/>
    <w:rsid w:val="00C97D39"/>
    <w:rsid w:val="00CA1482"/>
    <w:rsid w:val="00CA1957"/>
    <w:rsid w:val="00CA2159"/>
    <w:rsid w:val="00CA21E3"/>
    <w:rsid w:val="00CA2ACE"/>
    <w:rsid w:val="00CA3B1F"/>
    <w:rsid w:val="00CA3B41"/>
    <w:rsid w:val="00CA3BA7"/>
    <w:rsid w:val="00CA3D0C"/>
    <w:rsid w:val="00CA7866"/>
    <w:rsid w:val="00CA7F24"/>
    <w:rsid w:val="00CB0C31"/>
    <w:rsid w:val="00CB0D84"/>
    <w:rsid w:val="00CB1580"/>
    <w:rsid w:val="00CB1A38"/>
    <w:rsid w:val="00CB21B3"/>
    <w:rsid w:val="00CB4072"/>
    <w:rsid w:val="00CB484D"/>
    <w:rsid w:val="00CB517A"/>
    <w:rsid w:val="00CB61C9"/>
    <w:rsid w:val="00CB62EE"/>
    <w:rsid w:val="00CB7176"/>
    <w:rsid w:val="00CB730C"/>
    <w:rsid w:val="00CC0F4A"/>
    <w:rsid w:val="00CC0F68"/>
    <w:rsid w:val="00CC22B1"/>
    <w:rsid w:val="00CC2A03"/>
    <w:rsid w:val="00CC2C93"/>
    <w:rsid w:val="00CC2DC4"/>
    <w:rsid w:val="00CC384C"/>
    <w:rsid w:val="00CC38CF"/>
    <w:rsid w:val="00CC3988"/>
    <w:rsid w:val="00CC52C9"/>
    <w:rsid w:val="00CC53F4"/>
    <w:rsid w:val="00CC5AF3"/>
    <w:rsid w:val="00CC68BF"/>
    <w:rsid w:val="00CC6958"/>
    <w:rsid w:val="00CC7C45"/>
    <w:rsid w:val="00CD13B1"/>
    <w:rsid w:val="00CD2107"/>
    <w:rsid w:val="00CD28EC"/>
    <w:rsid w:val="00CD2DC8"/>
    <w:rsid w:val="00CD3D23"/>
    <w:rsid w:val="00CD561D"/>
    <w:rsid w:val="00CD6EF5"/>
    <w:rsid w:val="00CE052C"/>
    <w:rsid w:val="00CE0CE1"/>
    <w:rsid w:val="00CE20E9"/>
    <w:rsid w:val="00CE3DD3"/>
    <w:rsid w:val="00CE4053"/>
    <w:rsid w:val="00CE4954"/>
    <w:rsid w:val="00CE5016"/>
    <w:rsid w:val="00CE596E"/>
    <w:rsid w:val="00CE5FEF"/>
    <w:rsid w:val="00CF1160"/>
    <w:rsid w:val="00CF3482"/>
    <w:rsid w:val="00CF4940"/>
    <w:rsid w:val="00CF4CD4"/>
    <w:rsid w:val="00CF5293"/>
    <w:rsid w:val="00CF72AC"/>
    <w:rsid w:val="00D0011E"/>
    <w:rsid w:val="00D004E5"/>
    <w:rsid w:val="00D0136A"/>
    <w:rsid w:val="00D0142A"/>
    <w:rsid w:val="00D0150B"/>
    <w:rsid w:val="00D0280B"/>
    <w:rsid w:val="00D038D7"/>
    <w:rsid w:val="00D052E6"/>
    <w:rsid w:val="00D05DDB"/>
    <w:rsid w:val="00D073F9"/>
    <w:rsid w:val="00D07DD7"/>
    <w:rsid w:val="00D10717"/>
    <w:rsid w:val="00D1147F"/>
    <w:rsid w:val="00D13DF1"/>
    <w:rsid w:val="00D13EDA"/>
    <w:rsid w:val="00D15061"/>
    <w:rsid w:val="00D15D74"/>
    <w:rsid w:val="00D1722E"/>
    <w:rsid w:val="00D176B7"/>
    <w:rsid w:val="00D20B08"/>
    <w:rsid w:val="00D2261D"/>
    <w:rsid w:val="00D228B8"/>
    <w:rsid w:val="00D24515"/>
    <w:rsid w:val="00D24E61"/>
    <w:rsid w:val="00D2526B"/>
    <w:rsid w:val="00D266A9"/>
    <w:rsid w:val="00D27660"/>
    <w:rsid w:val="00D30E94"/>
    <w:rsid w:val="00D31401"/>
    <w:rsid w:val="00D324DA"/>
    <w:rsid w:val="00D3266B"/>
    <w:rsid w:val="00D32A14"/>
    <w:rsid w:val="00D32B43"/>
    <w:rsid w:val="00D33571"/>
    <w:rsid w:val="00D339A1"/>
    <w:rsid w:val="00D33CFC"/>
    <w:rsid w:val="00D344F3"/>
    <w:rsid w:val="00D3524B"/>
    <w:rsid w:val="00D357A4"/>
    <w:rsid w:val="00D36238"/>
    <w:rsid w:val="00D36EB1"/>
    <w:rsid w:val="00D375AE"/>
    <w:rsid w:val="00D4029D"/>
    <w:rsid w:val="00D42155"/>
    <w:rsid w:val="00D44DF2"/>
    <w:rsid w:val="00D44EDE"/>
    <w:rsid w:val="00D451A5"/>
    <w:rsid w:val="00D451C1"/>
    <w:rsid w:val="00D45283"/>
    <w:rsid w:val="00D4541B"/>
    <w:rsid w:val="00D477C3"/>
    <w:rsid w:val="00D47CB0"/>
    <w:rsid w:val="00D47DE7"/>
    <w:rsid w:val="00D51271"/>
    <w:rsid w:val="00D51828"/>
    <w:rsid w:val="00D53179"/>
    <w:rsid w:val="00D53DC5"/>
    <w:rsid w:val="00D5465D"/>
    <w:rsid w:val="00D5517C"/>
    <w:rsid w:val="00D55406"/>
    <w:rsid w:val="00D55E9A"/>
    <w:rsid w:val="00D5615B"/>
    <w:rsid w:val="00D56E84"/>
    <w:rsid w:val="00D60759"/>
    <w:rsid w:val="00D6293F"/>
    <w:rsid w:val="00D662E4"/>
    <w:rsid w:val="00D670D3"/>
    <w:rsid w:val="00D67470"/>
    <w:rsid w:val="00D6792F"/>
    <w:rsid w:val="00D67B99"/>
    <w:rsid w:val="00D67FC9"/>
    <w:rsid w:val="00D709B5"/>
    <w:rsid w:val="00D729D1"/>
    <w:rsid w:val="00D72B2A"/>
    <w:rsid w:val="00D736FB"/>
    <w:rsid w:val="00D73AAF"/>
    <w:rsid w:val="00D73B35"/>
    <w:rsid w:val="00D74B08"/>
    <w:rsid w:val="00D75B0B"/>
    <w:rsid w:val="00D77388"/>
    <w:rsid w:val="00D775D2"/>
    <w:rsid w:val="00D77855"/>
    <w:rsid w:val="00D8078E"/>
    <w:rsid w:val="00D80D94"/>
    <w:rsid w:val="00D8118D"/>
    <w:rsid w:val="00D82637"/>
    <w:rsid w:val="00D83283"/>
    <w:rsid w:val="00D83860"/>
    <w:rsid w:val="00D83D34"/>
    <w:rsid w:val="00D85155"/>
    <w:rsid w:val="00D85F3F"/>
    <w:rsid w:val="00D86169"/>
    <w:rsid w:val="00D8652F"/>
    <w:rsid w:val="00D86BF7"/>
    <w:rsid w:val="00D875E3"/>
    <w:rsid w:val="00D90680"/>
    <w:rsid w:val="00D91421"/>
    <w:rsid w:val="00D91CBD"/>
    <w:rsid w:val="00D926E9"/>
    <w:rsid w:val="00D92B66"/>
    <w:rsid w:val="00D9348C"/>
    <w:rsid w:val="00D93CC1"/>
    <w:rsid w:val="00D93EB9"/>
    <w:rsid w:val="00D942A3"/>
    <w:rsid w:val="00D95384"/>
    <w:rsid w:val="00D9583F"/>
    <w:rsid w:val="00D96C34"/>
    <w:rsid w:val="00D970E9"/>
    <w:rsid w:val="00D97E49"/>
    <w:rsid w:val="00DA073F"/>
    <w:rsid w:val="00DA08BF"/>
    <w:rsid w:val="00DA12F6"/>
    <w:rsid w:val="00DA1419"/>
    <w:rsid w:val="00DA2603"/>
    <w:rsid w:val="00DA2818"/>
    <w:rsid w:val="00DA2876"/>
    <w:rsid w:val="00DA40F8"/>
    <w:rsid w:val="00DA4875"/>
    <w:rsid w:val="00DA4917"/>
    <w:rsid w:val="00DA4E73"/>
    <w:rsid w:val="00DA5117"/>
    <w:rsid w:val="00DA61B6"/>
    <w:rsid w:val="00DA68C1"/>
    <w:rsid w:val="00DA71E0"/>
    <w:rsid w:val="00DA7808"/>
    <w:rsid w:val="00DB2F25"/>
    <w:rsid w:val="00DB35F8"/>
    <w:rsid w:val="00DB57B7"/>
    <w:rsid w:val="00DB67E5"/>
    <w:rsid w:val="00DB68CD"/>
    <w:rsid w:val="00DB73AB"/>
    <w:rsid w:val="00DB761D"/>
    <w:rsid w:val="00DB7C28"/>
    <w:rsid w:val="00DC13F9"/>
    <w:rsid w:val="00DC1D72"/>
    <w:rsid w:val="00DC2E2C"/>
    <w:rsid w:val="00DC4E8F"/>
    <w:rsid w:val="00DC545A"/>
    <w:rsid w:val="00DC585F"/>
    <w:rsid w:val="00DC77F2"/>
    <w:rsid w:val="00DC78DB"/>
    <w:rsid w:val="00DC7F7D"/>
    <w:rsid w:val="00DD028A"/>
    <w:rsid w:val="00DD08C1"/>
    <w:rsid w:val="00DD19C8"/>
    <w:rsid w:val="00DD1BFF"/>
    <w:rsid w:val="00DD2278"/>
    <w:rsid w:val="00DD2ADC"/>
    <w:rsid w:val="00DD4F3E"/>
    <w:rsid w:val="00DD67A9"/>
    <w:rsid w:val="00DD6EA5"/>
    <w:rsid w:val="00DD75C0"/>
    <w:rsid w:val="00DD7C85"/>
    <w:rsid w:val="00DE2574"/>
    <w:rsid w:val="00DE2C5D"/>
    <w:rsid w:val="00DE36B6"/>
    <w:rsid w:val="00DE4BD0"/>
    <w:rsid w:val="00DE58C9"/>
    <w:rsid w:val="00DE58D7"/>
    <w:rsid w:val="00DE62BC"/>
    <w:rsid w:val="00DE7572"/>
    <w:rsid w:val="00DE7BEA"/>
    <w:rsid w:val="00DE7DAF"/>
    <w:rsid w:val="00DF154D"/>
    <w:rsid w:val="00DF16FC"/>
    <w:rsid w:val="00DF19F6"/>
    <w:rsid w:val="00DF376E"/>
    <w:rsid w:val="00DF431A"/>
    <w:rsid w:val="00DF62C6"/>
    <w:rsid w:val="00DF6D21"/>
    <w:rsid w:val="00DF7C00"/>
    <w:rsid w:val="00E00BBD"/>
    <w:rsid w:val="00E01F2F"/>
    <w:rsid w:val="00E02136"/>
    <w:rsid w:val="00E02157"/>
    <w:rsid w:val="00E0219A"/>
    <w:rsid w:val="00E02370"/>
    <w:rsid w:val="00E02392"/>
    <w:rsid w:val="00E02F84"/>
    <w:rsid w:val="00E03E17"/>
    <w:rsid w:val="00E042FF"/>
    <w:rsid w:val="00E05C13"/>
    <w:rsid w:val="00E05C1A"/>
    <w:rsid w:val="00E064CA"/>
    <w:rsid w:val="00E065B2"/>
    <w:rsid w:val="00E06813"/>
    <w:rsid w:val="00E10053"/>
    <w:rsid w:val="00E111E4"/>
    <w:rsid w:val="00E11521"/>
    <w:rsid w:val="00E127AF"/>
    <w:rsid w:val="00E13B47"/>
    <w:rsid w:val="00E15933"/>
    <w:rsid w:val="00E15B99"/>
    <w:rsid w:val="00E16FAA"/>
    <w:rsid w:val="00E171C2"/>
    <w:rsid w:val="00E20598"/>
    <w:rsid w:val="00E20664"/>
    <w:rsid w:val="00E2148E"/>
    <w:rsid w:val="00E21C56"/>
    <w:rsid w:val="00E22425"/>
    <w:rsid w:val="00E23F67"/>
    <w:rsid w:val="00E24926"/>
    <w:rsid w:val="00E24E04"/>
    <w:rsid w:val="00E2580D"/>
    <w:rsid w:val="00E2583C"/>
    <w:rsid w:val="00E2789E"/>
    <w:rsid w:val="00E27F2F"/>
    <w:rsid w:val="00E30294"/>
    <w:rsid w:val="00E315D6"/>
    <w:rsid w:val="00E3258F"/>
    <w:rsid w:val="00E330AB"/>
    <w:rsid w:val="00E3317B"/>
    <w:rsid w:val="00E3386F"/>
    <w:rsid w:val="00E341F0"/>
    <w:rsid w:val="00E350BD"/>
    <w:rsid w:val="00E3540A"/>
    <w:rsid w:val="00E35AE0"/>
    <w:rsid w:val="00E36335"/>
    <w:rsid w:val="00E373B4"/>
    <w:rsid w:val="00E37B5C"/>
    <w:rsid w:val="00E37CF8"/>
    <w:rsid w:val="00E40350"/>
    <w:rsid w:val="00E407AC"/>
    <w:rsid w:val="00E413A5"/>
    <w:rsid w:val="00E41AF8"/>
    <w:rsid w:val="00E4296A"/>
    <w:rsid w:val="00E43380"/>
    <w:rsid w:val="00E44274"/>
    <w:rsid w:val="00E44603"/>
    <w:rsid w:val="00E44F24"/>
    <w:rsid w:val="00E455B4"/>
    <w:rsid w:val="00E46FA7"/>
    <w:rsid w:val="00E46FBA"/>
    <w:rsid w:val="00E47328"/>
    <w:rsid w:val="00E479DF"/>
    <w:rsid w:val="00E47F38"/>
    <w:rsid w:val="00E505D8"/>
    <w:rsid w:val="00E50B83"/>
    <w:rsid w:val="00E51530"/>
    <w:rsid w:val="00E5252F"/>
    <w:rsid w:val="00E528C6"/>
    <w:rsid w:val="00E52B26"/>
    <w:rsid w:val="00E535BD"/>
    <w:rsid w:val="00E54596"/>
    <w:rsid w:val="00E55578"/>
    <w:rsid w:val="00E56000"/>
    <w:rsid w:val="00E56378"/>
    <w:rsid w:val="00E57208"/>
    <w:rsid w:val="00E57457"/>
    <w:rsid w:val="00E60175"/>
    <w:rsid w:val="00E6160E"/>
    <w:rsid w:val="00E63F00"/>
    <w:rsid w:val="00E642DC"/>
    <w:rsid w:val="00E64E57"/>
    <w:rsid w:val="00E64F71"/>
    <w:rsid w:val="00E64FC2"/>
    <w:rsid w:val="00E65240"/>
    <w:rsid w:val="00E67590"/>
    <w:rsid w:val="00E67A1A"/>
    <w:rsid w:val="00E703B1"/>
    <w:rsid w:val="00E7045C"/>
    <w:rsid w:val="00E718EA"/>
    <w:rsid w:val="00E71A6E"/>
    <w:rsid w:val="00E72E55"/>
    <w:rsid w:val="00E733D4"/>
    <w:rsid w:val="00E74228"/>
    <w:rsid w:val="00E74759"/>
    <w:rsid w:val="00E74A24"/>
    <w:rsid w:val="00E74E48"/>
    <w:rsid w:val="00E76B64"/>
    <w:rsid w:val="00E76BBE"/>
    <w:rsid w:val="00E77101"/>
    <w:rsid w:val="00E808C9"/>
    <w:rsid w:val="00E80943"/>
    <w:rsid w:val="00E8112D"/>
    <w:rsid w:val="00E81135"/>
    <w:rsid w:val="00E8148D"/>
    <w:rsid w:val="00E818C3"/>
    <w:rsid w:val="00E82DCF"/>
    <w:rsid w:val="00E84DC4"/>
    <w:rsid w:val="00E8561A"/>
    <w:rsid w:val="00E8589E"/>
    <w:rsid w:val="00E85DE8"/>
    <w:rsid w:val="00E86672"/>
    <w:rsid w:val="00E86E0C"/>
    <w:rsid w:val="00E87FB1"/>
    <w:rsid w:val="00E900CF"/>
    <w:rsid w:val="00E908C6"/>
    <w:rsid w:val="00E93450"/>
    <w:rsid w:val="00E9372A"/>
    <w:rsid w:val="00E93AFD"/>
    <w:rsid w:val="00E95441"/>
    <w:rsid w:val="00E96618"/>
    <w:rsid w:val="00E97970"/>
    <w:rsid w:val="00E979A5"/>
    <w:rsid w:val="00E97C50"/>
    <w:rsid w:val="00EA03D8"/>
    <w:rsid w:val="00EA0DB1"/>
    <w:rsid w:val="00EA507E"/>
    <w:rsid w:val="00EA5747"/>
    <w:rsid w:val="00EA73BA"/>
    <w:rsid w:val="00EA7745"/>
    <w:rsid w:val="00EB0F28"/>
    <w:rsid w:val="00EB1892"/>
    <w:rsid w:val="00EB2336"/>
    <w:rsid w:val="00EB3B2C"/>
    <w:rsid w:val="00EB3F96"/>
    <w:rsid w:val="00EB3FA2"/>
    <w:rsid w:val="00EB4281"/>
    <w:rsid w:val="00EB4A81"/>
    <w:rsid w:val="00EB5264"/>
    <w:rsid w:val="00EB52AE"/>
    <w:rsid w:val="00EB60D0"/>
    <w:rsid w:val="00EC03D2"/>
    <w:rsid w:val="00EC0719"/>
    <w:rsid w:val="00EC09D5"/>
    <w:rsid w:val="00EC1FA6"/>
    <w:rsid w:val="00EC202F"/>
    <w:rsid w:val="00EC25AB"/>
    <w:rsid w:val="00EC3DF9"/>
    <w:rsid w:val="00EC4F93"/>
    <w:rsid w:val="00EC515F"/>
    <w:rsid w:val="00EC5679"/>
    <w:rsid w:val="00EC5764"/>
    <w:rsid w:val="00EC5DBE"/>
    <w:rsid w:val="00EC5DE6"/>
    <w:rsid w:val="00EC6C65"/>
    <w:rsid w:val="00ED0FC6"/>
    <w:rsid w:val="00ED1C3D"/>
    <w:rsid w:val="00ED2264"/>
    <w:rsid w:val="00ED23A2"/>
    <w:rsid w:val="00ED2B1D"/>
    <w:rsid w:val="00ED412E"/>
    <w:rsid w:val="00ED41A8"/>
    <w:rsid w:val="00ED44D2"/>
    <w:rsid w:val="00ED452D"/>
    <w:rsid w:val="00ED5035"/>
    <w:rsid w:val="00ED5703"/>
    <w:rsid w:val="00ED5DD6"/>
    <w:rsid w:val="00ED6AF2"/>
    <w:rsid w:val="00ED7BC1"/>
    <w:rsid w:val="00EE04D4"/>
    <w:rsid w:val="00EE0C71"/>
    <w:rsid w:val="00EE29BE"/>
    <w:rsid w:val="00EE3C34"/>
    <w:rsid w:val="00EE3CDA"/>
    <w:rsid w:val="00EF038F"/>
    <w:rsid w:val="00EF07C3"/>
    <w:rsid w:val="00EF1944"/>
    <w:rsid w:val="00EF26AE"/>
    <w:rsid w:val="00EF27B5"/>
    <w:rsid w:val="00EF43EA"/>
    <w:rsid w:val="00EF493E"/>
    <w:rsid w:val="00EF607A"/>
    <w:rsid w:val="00EF6331"/>
    <w:rsid w:val="00EF6482"/>
    <w:rsid w:val="00EF71FF"/>
    <w:rsid w:val="00EF773B"/>
    <w:rsid w:val="00F00241"/>
    <w:rsid w:val="00F00777"/>
    <w:rsid w:val="00F01AED"/>
    <w:rsid w:val="00F02876"/>
    <w:rsid w:val="00F06185"/>
    <w:rsid w:val="00F064C3"/>
    <w:rsid w:val="00F109A7"/>
    <w:rsid w:val="00F10BFD"/>
    <w:rsid w:val="00F10D7E"/>
    <w:rsid w:val="00F11D60"/>
    <w:rsid w:val="00F12451"/>
    <w:rsid w:val="00F12F74"/>
    <w:rsid w:val="00F1303C"/>
    <w:rsid w:val="00F132E8"/>
    <w:rsid w:val="00F14FD4"/>
    <w:rsid w:val="00F15550"/>
    <w:rsid w:val="00F15E8D"/>
    <w:rsid w:val="00F175AF"/>
    <w:rsid w:val="00F205FB"/>
    <w:rsid w:val="00F20DD7"/>
    <w:rsid w:val="00F21CF8"/>
    <w:rsid w:val="00F22A61"/>
    <w:rsid w:val="00F2357B"/>
    <w:rsid w:val="00F23602"/>
    <w:rsid w:val="00F236DC"/>
    <w:rsid w:val="00F2464A"/>
    <w:rsid w:val="00F247BC"/>
    <w:rsid w:val="00F2482C"/>
    <w:rsid w:val="00F25233"/>
    <w:rsid w:val="00F25CBC"/>
    <w:rsid w:val="00F25EAF"/>
    <w:rsid w:val="00F26AC0"/>
    <w:rsid w:val="00F2719D"/>
    <w:rsid w:val="00F27940"/>
    <w:rsid w:val="00F27A13"/>
    <w:rsid w:val="00F27FA1"/>
    <w:rsid w:val="00F3032E"/>
    <w:rsid w:val="00F3124A"/>
    <w:rsid w:val="00F313E8"/>
    <w:rsid w:val="00F31EFE"/>
    <w:rsid w:val="00F3277D"/>
    <w:rsid w:val="00F32822"/>
    <w:rsid w:val="00F3329B"/>
    <w:rsid w:val="00F33D35"/>
    <w:rsid w:val="00F340F0"/>
    <w:rsid w:val="00F343CC"/>
    <w:rsid w:val="00F34F38"/>
    <w:rsid w:val="00F350F7"/>
    <w:rsid w:val="00F35253"/>
    <w:rsid w:val="00F36405"/>
    <w:rsid w:val="00F36950"/>
    <w:rsid w:val="00F371E7"/>
    <w:rsid w:val="00F3733F"/>
    <w:rsid w:val="00F3738F"/>
    <w:rsid w:val="00F37625"/>
    <w:rsid w:val="00F40055"/>
    <w:rsid w:val="00F41E87"/>
    <w:rsid w:val="00F42120"/>
    <w:rsid w:val="00F428F8"/>
    <w:rsid w:val="00F43B83"/>
    <w:rsid w:val="00F44EBF"/>
    <w:rsid w:val="00F45EB3"/>
    <w:rsid w:val="00F47502"/>
    <w:rsid w:val="00F47697"/>
    <w:rsid w:val="00F517F3"/>
    <w:rsid w:val="00F520B3"/>
    <w:rsid w:val="00F53132"/>
    <w:rsid w:val="00F531DC"/>
    <w:rsid w:val="00F538EF"/>
    <w:rsid w:val="00F53F88"/>
    <w:rsid w:val="00F54274"/>
    <w:rsid w:val="00F5456A"/>
    <w:rsid w:val="00F545FC"/>
    <w:rsid w:val="00F547FE"/>
    <w:rsid w:val="00F54E12"/>
    <w:rsid w:val="00F56446"/>
    <w:rsid w:val="00F573F1"/>
    <w:rsid w:val="00F57AF7"/>
    <w:rsid w:val="00F57CAC"/>
    <w:rsid w:val="00F61B21"/>
    <w:rsid w:val="00F61FFC"/>
    <w:rsid w:val="00F625CA"/>
    <w:rsid w:val="00F62A93"/>
    <w:rsid w:val="00F62AF9"/>
    <w:rsid w:val="00F62C6B"/>
    <w:rsid w:val="00F62CDB"/>
    <w:rsid w:val="00F62F06"/>
    <w:rsid w:val="00F644AD"/>
    <w:rsid w:val="00F646BE"/>
    <w:rsid w:val="00F64FF5"/>
    <w:rsid w:val="00F66320"/>
    <w:rsid w:val="00F663A8"/>
    <w:rsid w:val="00F66A76"/>
    <w:rsid w:val="00F674BA"/>
    <w:rsid w:val="00F6767A"/>
    <w:rsid w:val="00F67E6A"/>
    <w:rsid w:val="00F70A48"/>
    <w:rsid w:val="00F70BAD"/>
    <w:rsid w:val="00F71668"/>
    <w:rsid w:val="00F73140"/>
    <w:rsid w:val="00F74364"/>
    <w:rsid w:val="00F74666"/>
    <w:rsid w:val="00F751A4"/>
    <w:rsid w:val="00F7568A"/>
    <w:rsid w:val="00F77C1A"/>
    <w:rsid w:val="00F81073"/>
    <w:rsid w:val="00F812E4"/>
    <w:rsid w:val="00F815BB"/>
    <w:rsid w:val="00F825C9"/>
    <w:rsid w:val="00F8344B"/>
    <w:rsid w:val="00F83C40"/>
    <w:rsid w:val="00F83EEA"/>
    <w:rsid w:val="00F8461A"/>
    <w:rsid w:val="00F84BEC"/>
    <w:rsid w:val="00F852BE"/>
    <w:rsid w:val="00F8731D"/>
    <w:rsid w:val="00F87CAF"/>
    <w:rsid w:val="00F87FA4"/>
    <w:rsid w:val="00F90063"/>
    <w:rsid w:val="00F90A3D"/>
    <w:rsid w:val="00F90EC0"/>
    <w:rsid w:val="00F91222"/>
    <w:rsid w:val="00F92352"/>
    <w:rsid w:val="00F9267B"/>
    <w:rsid w:val="00F93B7A"/>
    <w:rsid w:val="00F94ACE"/>
    <w:rsid w:val="00F94AE5"/>
    <w:rsid w:val="00F94C20"/>
    <w:rsid w:val="00F94EAF"/>
    <w:rsid w:val="00F96581"/>
    <w:rsid w:val="00F96AF2"/>
    <w:rsid w:val="00F96F50"/>
    <w:rsid w:val="00F970A7"/>
    <w:rsid w:val="00F9738D"/>
    <w:rsid w:val="00FA1622"/>
    <w:rsid w:val="00FA1A3F"/>
    <w:rsid w:val="00FA2228"/>
    <w:rsid w:val="00FA2A03"/>
    <w:rsid w:val="00FA57BD"/>
    <w:rsid w:val="00FA59C4"/>
    <w:rsid w:val="00FA59C6"/>
    <w:rsid w:val="00FA5A3F"/>
    <w:rsid w:val="00FA5B04"/>
    <w:rsid w:val="00FA5F7E"/>
    <w:rsid w:val="00FA6AEF"/>
    <w:rsid w:val="00FB0167"/>
    <w:rsid w:val="00FB0EBB"/>
    <w:rsid w:val="00FB10F6"/>
    <w:rsid w:val="00FB13A2"/>
    <w:rsid w:val="00FB15EB"/>
    <w:rsid w:val="00FB19EB"/>
    <w:rsid w:val="00FB3A29"/>
    <w:rsid w:val="00FB41AF"/>
    <w:rsid w:val="00FB47DE"/>
    <w:rsid w:val="00FB492C"/>
    <w:rsid w:val="00FB4A1C"/>
    <w:rsid w:val="00FB60CC"/>
    <w:rsid w:val="00FB60FB"/>
    <w:rsid w:val="00FB6635"/>
    <w:rsid w:val="00FB6B37"/>
    <w:rsid w:val="00FB7510"/>
    <w:rsid w:val="00FC111B"/>
    <w:rsid w:val="00FC1DE5"/>
    <w:rsid w:val="00FC206B"/>
    <w:rsid w:val="00FC23C7"/>
    <w:rsid w:val="00FC2710"/>
    <w:rsid w:val="00FC3E40"/>
    <w:rsid w:val="00FC3FB7"/>
    <w:rsid w:val="00FC4378"/>
    <w:rsid w:val="00FC52C1"/>
    <w:rsid w:val="00FC5A6D"/>
    <w:rsid w:val="00FC5B2A"/>
    <w:rsid w:val="00FC6281"/>
    <w:rsid w:val="00FC65D0"/>
    <w:rsid w:val="00FC772C"/>
    <w:rsid w:val="00FC7DB1"/>
    <w:rsid w:val="00FD0284"/>
    <w:rsid w:val="00FD0BC0"/>
    <w:rsid w:val="00FD1078"/>
    <w:rsid w:val="00FD12DB"/>
    <w:rsid w:val="00FD1306"/>
    <w:rsid w:val="00FD3713"/>
    <w:rsid w:val="00FD4587"/>
    <w:rsid w:val="00FD57E2"/>
    <w:rsid w:val="00FD5B9B"/>
    <w:rsid w:val="00FD66DD"/>
    <w:rsid w:val="00FD6921"/>
    <w:rsid w:val="00FD77C2"/>
    <w:rsid w:val="00FE175F"/>
    <w:rsid w:val="00FE1F8E"/>
    <w:rsid w:val="00FE2ED7"/>
    <w:rsid w:val="00FE329D"/>
    <w:rsid w:val="00FE34B0"/>
    <w:rsid w:val="00FE3AFB"/>
    <w:rsid w:val="00FE3E6F"/>
    <w:rsid w:val="00FE400F"/>
    <w:rsid w:val="00FE4187"/>
    <w:rsid w:val="00FE58C5"/>
    <w:rsid w:val="00FE5ADE"/>
    <w:rsid w:val="00FE5C0B"/>
    <w:rsid w:val="00FE5E79"/>
    <w:rsid w:val="00FE788D"/>
    <w:rsid w:val="00FE797F"/>
    <w:rsid w:val="00FF052C"/>
    <w:rsid w:val="00FF05CB"/>
    <w:rsid w:val="00FF1B26"/>
    <w:rsid w:val="00FF211E"/>
    <w:rsid w:val="00FF27FB"/>
    <w:rsid w:val="00FF31B0"/>
    <w:rsid w:val="00FF3E5C"/>
    <w:rsid w:val="00FF4658"/>
    <w:rsid w:val="00FF473D"/>
    <w:rsid w:val="00FF4E8A"/>
    <w:rsid w:val="00FF556A"/>
    <w:rsid w:val="00FF5D50"/>
    <w:rsid w:val="00FF609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08FD0"/>
  <w15:docId w15:val="{A3C56C42-C2BB-4C69-A941-45FEB851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C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F1"/>
  </w:style>
  <w:style w:type="paragraph" w:styleId="Zpat">
    <w:name w:val="footer"/>
    <w:basedOn w:val="Normln"/>
    <w:link w:val="Zpat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F1"/>
  </w:style>
  <w:style w:type="paragraph" w:customStyle="1" w:styleId="Standard">
    <w:name w:val="Standard"/>
    <w:rsid w:val="00F573F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 Unicode MS"/>
      <w:kern w:val="3"/>
      <w:sz w:val="18"/>
      <w:szCs w:val="20"/>
      <w:lang w:eastAsia="zh-CN" w:bidi="hi-IN"/>
    </w:rPr>
  </w:style>
  <w:style w:type="character" w:styleId="Hypertextovodkaz">
    <w:name w:val="Hyperlink"/>
    <w:basedOn w:val="Standardnpsmoodstavce"/>
    <w:uiPriority w:val="99"/>
    <w:rsid w:val="005A250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A250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71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9AF"/>
    <w:rPr>
      <w:rFonts w:cs="Arial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9AF"/>
    <w:rPr>
      <w:rFonts w:ascii="Arial" w:eastAsia="Times New Roman" w:hAnsi="Arial" w:cs="Arial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A5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74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74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6651A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12AFA"/>
    <w:rPr>
      <w:b/>
      <w:bCs/>
    </w:rPr>
  </w:style>
  <w:style w:type="paragraph" w:customStyle="1" w:styleId="THnorm">
    <w:name w:val="TH norm"/>
    <w:basedOn w:val="Normln"/>
    <w:rsid w:val="006A7BEA"/>
    <w:pPr>
      <w:tabs>
        <w:tab w:val="left" w:pos="0"/>
      </w:tabs>
      <w:overflowPunct/>
      <w:autoSpaceDE/>
      <w:autoSpaceDN/>
      <w:adjustRightInd/>
      <w:spacing w:after="120"/>
      <w:ind w:firstLine="709"/>
      <w:textAlignment w:val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68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44E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0AC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A19E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1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7BD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D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F7BDA"/>
    <w:rPr>
      <w:vertAlign w:val="superscript"/>
    </w:rPr>
  </w:style>
  <w:style w:type="paragraph" w:customStyle="1" w:styleId="xmsonormal">
    <w:name w:val="xmsonormal"/>
    <w:basedOn w:val="Normln"/>
    <w:rsid w:val="000510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xpk-token">
    <w:name w:val="xpk-token"/>
    <w:basedOn w:val="Standardnpsmoodstavce"/>
    <w:rsid w:val="00051022"/>
  </w:style>
  <w:style w:type="paragraph" w:customStyle="1" w:styleId="xmsonormal0">
    <w:name w:val="x_msonormal"/>
    <w:basedOn w:val="Normln"/>
    <w:rsid w:val="00162D23"/>
    <w:pPr>
      <w:overflowPunct/>
      <w:autoSpaceDE/>
      <w:autoSpaceDN/>
      <w:adjustRightInd/>
      <w:jc w:val="left"/>
      <w:textAlignment w:val="auto"/>
    </w:pPr>
    <w:rPr>
      <w:rFonts w:ascii="Calibri" w:eastAsiaTheme="minorHAnsi" w:hAnsi="Calibri" w:cs="Calibri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A4A27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A4A2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A4A27"/>
    <w:rPr>
      <w:vertAlign w:val="superscript"/>
    </w:rPr>
  </w:style>
  <w:style w:type="paragraph" w:customStyle="1" w:styleId="CBANadpisvTABULCE">
    <w:name w:val="CBA Nadpis v TABULCE"/>
    <w:basedOn w:val="Normln"/>
    <w:qFormat/>
    <w:rsid w:val="0028530F"/>
    <w:pPr>
      <w:spacing w:before="120" w:after="120"/>
      <w:jc w:val="left"/>
    </w:pPr>
    <w:rPr>
      <w:b/>
      <w:bCs/>
      <w:color w:val="13576B"/>
    </w:rPr>
  </w:style>
  <w:style w:type="paragraph" w:customStyle="1" w:styleId="CBAodstavecvTABULCE">
    <w:name w:val="CBA odstavec v TABULCE"/>
    <w:basedOn w:val="Normln"/>
    <w:qFormat/>
    <w:rsid w:val="0028530F"/>
    <w:pPr>
      <w:spacing w:before="120" w:after="120"/>
      <w:jc w:val="left"/>
    </w:pPr>
    <w:rPr>
      <w:color w:val="13576B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177C9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177C9"/>
    <w:rPr>
      <w:rFonts w:ascii="Consolas" w:eastAsia="Times New Roman" w:hAnsi="Consolas" w:cs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723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238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84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497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1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4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03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88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1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814">
          <w:marLeft w:val="0"/>
          <w:marRight w:val="15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91849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83074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423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29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8258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0753954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1989819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9834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05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20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29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190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455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4498602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446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9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4" w:color="000000"/>
                                <w:bottom w:val="single" w:sz="2" w:space="0" w:color="000000"/>
                                <w:right w:val="single" w:sz="2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2102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21715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5556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820332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3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942714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640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20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9757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84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82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086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92846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85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040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98820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912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542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0146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35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1093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56604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60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3401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32921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77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796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8359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75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bamonitor.cz/aktuality/nejvyssi-nezamestnanost-za-poslednich-osm-let-netlumi-jestrabi-jadrovou-inflaci-kvuli-solidnimu-rustu-ekonomiky-" TargetMode="External"/><Relationship Id="rId18" Type="http://schemas.openxmlformats.org/officeDocument/2006/relationships/hyperlink" Target="https://www.cbamonitor.cz/statistika/ceny-rodinnych-domu-pocet-transakci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www.cbamonitor.cz/kategorie/ceny-nemovitosti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bamonitor.cz/aktuality/rust-realnych-mezd-v-prvnim-ctvrtleti-mirne-pod-4-tahounem-byl-netrzni-sektor" TargetMode="Externa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www.cbamonitor.cz/kategorie/cba-hypomonito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hyperlink" Target="http://www.cbaonline.cz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amonitor.cz/aktuality/rust-realnych-mezd-v-prvnim-ctvrtleti-mirne-pod-4-tahounem-byl-netrzni-sektor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0CBE5B95D55468F8CF7D6D1C8CB6B" ma:contentTypeVersion="10" ma:contentTypeDescription="Create a new document." ma:contentTypeScope="" ma:versionID="03de8c559e19055c2732f6aae148e160">
  <xsd:schema xmlns:xsd="http://www.w3.org/2001/XMLSchema" xmlns:xs="http://www.w3.org/2001/XMLSchema" xmlns:p="http://schemas.microsoft.com/office/2006/metadata/properties" xmlns:ns3="b09ec118-0c61-46db-bb00-952e09940a1f" targetNamespace="http://schemas.microsoft.com/office/2006/metadata/properties" ma:root="true" ma:fieldsID="a58f24d30c88e6ff28d70a1926b856b7" ns3:_="">
    <xsd:import namespace="b09ec118-0c61-46db-bb00-952e09940a1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c118-0c61-46db-bb00-952e09940a1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9ec118-0c61-46db-bb00-952e09940a1f" xsi:nil="true"/>
  </documentManagement>
</p:properties>
</file>

<file path=customXml/itemProps1.xml><?xml version="1.0" encoding="utf-8"?>
<ds:datastoreItem xmlns:ds="http://schemas.openxmlformats.org/officeDocument/2006/customXml" ds:itemID="{B2A9F6F5-D843-4129-900A-FD170C2AB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64796-18D1-44D3-AEB3-40E112819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ec118-0c61-46db-bb00-952e09940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695EA-D77D-4F66-A87E-5245D7A92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935B7-8C88-4CAE-A0AA-13A352B0843E}">
  <ds:schemaRefs>
    <ds:schemaRef ds:uri="http://schemas.microsoft.com/office/2006/metadata/properties"/>
    <ds:schemaRef ds:uri="http://schemas.microsoft.com/office/infopath/2007/PartnerControls"/>
    <ds:schemaRef ds:uri="b09ec118-0c61-46db-bb00-952e09940a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2093</Words>
  <Characters>12350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vlachova</dc:creator>
  <cp:lastModifiedBy>Duffek, Adam (ČBA)</cp:lastModifiedBy>
  <cp:revision>2</cp:revision>
  <cp:lastPrinted>2025-05-16T09:08:00Z</cp:lastPrinted>
  <dcterms:created xsi:type="dcterms:W3CDTF">2025-06-12T22:02:00Z</dcterms:created>
  <dcterms:modified xsi:type="dcterms:W3CDTF">2025-06-12T22:02:00Z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0x0101004DC0CBE5B95D55468F8CF7D6D1C8CB6B</vt:lpwstr>
  </property>
</Properties>
</file>