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45D2" w14:textId="6DC90918" w:rsidR="00266E32" w:rsidRPr="00906FDC" w:rsidRDefault="00266E32" w:rsidP="002B1A4A">
      <w:pPr>
        <w:spacing w:after="120"/>
        <w:rPr>
          <w:rFonts w:ascii="Calibri" w:hAnsi="Calibri" w:cs="Arial"/>
          <w:b/>
          <w:color w:val="13576B"/>
          <w:sz w:val="36"/>
          <w:szCs w:val="36"/>
        </w:rPr>
      </w:pPr>
      <w:bookmarkStart w:id="0" w:name="_Hlk198644776"/>
      <w:bookmarkEnd w:id="0"/>
      <w:r w:rsidRPr="00906FDC">
        <w:rPr>
          <w:rFonts w:ascii="Calibri" w:hAnsi="Calibri" w:cs="Arial"/>
          <w:b/>
          <w:color w:val="13576B"/>
          <w:sz w:val="36"/>
          <w:szCs w:val="36"/>
        </w:rPr>
        <w:t>MAKROEKONOMICKÁ PROGNÓZA ČBA</w:t>
      </w:r>
    </w:p>
    <w:p w14:paraId="20E62CBE" w14:textId="77777777" w:rsidR="00945EB2" w:rsidRDefault="00840194" w:rsidP="00266E32">
      <w:pPr>
        <w:jc w:val="left"/>
        <w:rPr>
          <w:rFonts w:ascii="Calibri" w:hAnsi="Calibri" w:cs="Arial"/>
          <w:b/>
          <w:color w:val="13576B"/>
          <w:sz w:val="32"/>
          <w:szCs w:val="32"/>
        </w:rPr>
      </w:pPr>
      <w:r>
        <w:rPr>
          <w:rFonts w:ascii="Calibri" w:hAnsi="Calibri" w:cs="Arial"/>
          <w:b/>
          <w:color w:val="13576B"/>
          <w:sz w:val="32"/>
          <w:szCs w:val="32"/>
        </w:rPr>
        <w:t>Květen</w:t>
      </w:r>
      <w:r w:rsidR="00FF1673">
        <w:rPr>
          <w:rFonts w:ascii="Calibri" w:hAnsi="Calibri" w:cs="Arial"/>
          <w:b/>
          <w:color w:val="13576B"/>
          <w:sz w:val="32"/>
          <w:szCs w:val="32"/>
        </w:rPr>
        <w:t xml:space="preserve"> </w:t>
      </w:r>
      <w:r w:rsidR="000366C2" w:rsidRPr="00906FDC">
        <w:rPr>
          <w:rFonts w:ascii="Calibri" w:hAnsi="Calibri" w:cs="Arial"/>
          <w:b/>
          <w:color w:val="13576B"/>
          <w:sz w:val="32"/>
          <w:szCs w:val="32"/>
        </w:rPr>
        <w:t>20</w:t>
      </w:r>
      <w:r w:rsidR="00335332" w:rsidRPr="00906FDC">
        <w:rPr>
          <w:rFonts w:ascii="Calibri" w:hAnsi="Calibri" w:cs="Arial"/>
          <w:b/>
          <w:color w:val="13576B"/>
          <w:sz w:val="32"/>
          <w:szCs w:val="32"/>
        </w:rPr>
        <w:t>2</w:t>
      </w:r>
      <w:r w:rsidR="003503ED">
        <w:rPr>
          <w:rFonts w:ascii="Calibri" w:hAnsi="Calibri" w:cs="Arial"/>
          <w:b/>
          <w:color w:val="13576B"/>
          <w:sz w:val="32"/>
          <w:szCs w:val="32"/>
        </w:rPr>
        <w:t>5</w:t>
      </w:r>
      <w:r w:rsidR="000366C2" w:rsidRPr="00906FDC">
        <w:rPr>
          <w:rFonts w:ascii="Calibri" w:hAnsi="Calibri" w:cs="Arial"/>
          <w:b/>
          <w:color w:val="13576B"/>
          <w:sz w:val="32"/>
          <w:szCs w:val="32"/>
        </w:rPr>
        <w:t xml:space="preserve">: </w:t>
      </w:r>
      <w:r w:rsidR="003716C3">
        <w:rPr>
          <w:rFonts w:ascii="Calibri" w:hAnsi="Calibri" w:cs="Arial"/>
          <w:b/>
          <w:color w:val="13576B"/>
          <w:sz w:val="32"/>
          <w:szCs w:val="32"/>
        </w:rPr>
        <w:t xml:space="preserve">ČBA zhoršila výhled pro českou ekonomiku. </w:t>
      </w:r>
    </w:p>
    <w:p w14:paraId="240C088F" w14:textId="7B376439" w:rsidR="00266E32" w:rsidRPr="00906FDC" w:rsidRDefault="005A28E8" w:rsidP="00266E32">
      <w:pPr>
        <w:jc w:val="left"/>
        <w:rPr>
          <w:rFonts w:ascii="Calibri" w:hAnsi="Calibri" w:cs="Arial"/>
          <w:b/>
          <w:color w:val="13576B"/>
          <w:sz w:val="32"/>
          <w:szCs w:val="32"/>
        </w:rPr>
      </w:pPr>
      <w:r>
        <w:rPr>
          <w:rFonts w:ascii="Calibri" w:hAnsi="Calibri" w:cs="Arial"/>
          <w:b/>
          <w:color w:val="13576B"/>
          <w:sz w:val="32"/>
          <w:szCs w:val="32"/>
        </w:rPr>
        <w:t>Letos poroste o 1,7</w:t>
      </w:r>
      <w:r w:rsidR="009B1CBB">
        <w:rPr>
          <w:rFonts w:ascii="Calibri" w:hAnsi="Calibri" w:cs="Arial"/>
          <w:b/>
          <w:color w:val="13576B"/>
          <w:sz w:val="32"/>
          <w:szCs w:val="32"/>
        </w:rPr>
        <w:t xml:space="preserve"> </w:t>
      </w:r>
      <w:r>
        <w:rPr>
          <w:rFonts w:ascii="Calibri" w:hAnsi="Calibri" w:cs="Arial"/>
          <w:b/>
          <w:color w:val="13576B"/>
          <w:sz w:val="32"/>
          <w:szCs w:val="32"/>
        </w:rPr>
        <w:t>%, příští rok o 2 %</w:t>
      </w:r>
      <w:r w:rsidR="00FB7C60">
        <w:rPr>
          <w:rFonts w:ascii="Calibri" w:hAnsi="Calibri" w:cs="Arial"/>
          <w:b/>
          <w:color w:val="13576B"/>
          <w:sz w:val="32"/>
          <w:szCs w:val="32"/>
        </w:rPr>
        <w:t xml:space="preserve">. Ekonomové </w:t>
      </w:r>
      <w:r w:rsidR="00DA7DB9">
        <w:rPr>
          <w:rFonts w:ascii="Calibri" w:hAnsi="Calibri" w:cs="Arial"/>
          <w:b/>
          <w:color w:val="13576B"/>
          <w:sz w:val="32"/>
          <w:szCs w:val="32"/>
        </w:rPr>
        <w:t xml:space="preserve">předpokládají </w:t>
      </w:r>
      <w:r w:rsidR="00FB7C60">
        <w:rPr>
          <w:rFonts w:ascii="Calibri" w:hAnsi="Calibri" w:cs="Arial"/>
          <w:b/>
          <w:color w:val="13576B"/>
          <w:sz w:val="32"/>
          <w:szCs w:val="32"/>
        </w:rPr>
        <w:t>12% americká cla</w:t>
      </w:r>
    </w:p>
    <w:p w14:paraId="716D5A2B" w14:textId="79B21EAB" w:rsidR="00D92AD0" w:rsidRDefault="00266E32" w:rsidP="00984751">
      <w:pPr>
        <w:pStyle w:val="Normlnweb"/>
        <w:jc w:val="both"/>
        <w:rPr>
          <w:rFonts w:ascii="Calibri" w:hAnsi="Calibri" w:cs="Calibri"/>
          <w:b/>
          <w:color w:val="13576B"/>
          <w:sz w:val="20"/>
        </w:rPr>
      </w:pPr>
      <w:r w:rsidRPr="005C13B0">
        <w:rPr>
          <w:rFonts w:ascii="Calibri" w:hAnsi="Calibri" w:cs="Calibri"/>
          <w:bCs/>
          <w:color w:val="13576B"/>
          <w:sz w:val="20"/>
        </w:rPr>
        <w:t xml:space="preserve">Praha, </w:t>
      </w:r>
      <w:r w:rsidR="009D61B8" w:rsidRPr="005C13B0">
        <w:rPr>
          <w:rFonts w:ascii="Calibri" w:hAnsi="Calibri" w:cs="Calibri"/>
          <w:bCs/>
          <w:color w:val="13576B"/>
          <w:sz w:val="20"/>
        </w:rPr>
        <w:t>2</w:t>
      </w:r>
      <w:r w:rsidR="00840194" w:rsidRPr="005C13B0">
        <w:rPr>
          <w:rFonts w:ascii="Calibri" w:hAnsi="Calibri" w:cs="Calibri"/>
          <w:bCs/>
          <w:color w:val="13576B"/>
          <w:sz w:val="20"/>
        </w:rPr>
        <w:t>2</w:t>
      </w:r>
      <w:r w:rsidRPr="005C13B0">
        <w:rPr>
          <w:rFonts w:ascii="Calibri" w:hAnsi="Calibri" w:cs="Calibri"/>
          <w:bCs/>
          <w:color w:val="13576B"/>
          <w:sz w:val="20"/>
        </w:rPr>
        <w:t xml:space="preserve">. </w:t>
      </w:r>
      <w:r w:rsidR="00840194" w:rsidRPr="005C13B0">
        <w:rPr>
          <w:rFonts w:ascii="Calibri" w:hAnsi="Calibri" w:cs="Calibri"/>
          <w:bCs/>
          <w:color w:val="13576B"/>
          <w:sz w:val="20"/>
        </w:rPr>
        <w:t>května</w:t>
      </w:r>
      <w:r w:rsidR="00FF1673" w:rsidRPr="005C13B0">
        <w:rPr>
          <w:rFonts w:ascii="Calibri" w:hAnsi="Calibri" w:cs="Calibri"/>
          <w:bCs/>
          <w:color w:val="13576B"/>
          <w:sz w:val="20"/>
        </w:rPr>
        <w:t xml:space="preserve"> </w:t>
      </w:r>
      <w:r w:rsidRPr="005C13B0">
        <w:rPr>
          <w:rFonts w:ascii="Calibri" w:hAnsi="Calibri" w:cs="Calibri"/>
          <w:bCs/>
          <w:color w:val="13576B"/>
          <w:sz w:val="20"/>
        </w:rPr>
        <w:t>202</w:t>
      </w:r>
      <w:r w:rsidR="003503ED" w:rsidRPr="005C13B0">
        <w:rPr>
          <w:rFonts w:ascii="Calibri" w:hAnsi="Calibri" w:cs="Calibri"/>
          <w:bCs/>
          <w:color w:val="13576B"/>
          <w:sz w:val="20"/>
        </w:rPr>
        <w:t>5</w:t>
      </w:r>
      <w:r w:rsidRPr="00906FDC">
        <w:rPr>
          <w:rFonts w:ascii="Calibri" w:hAnsi="Calibri" w:cs="Calibri"/>
          <w:b/>
          <w:color w:val="13576B"/>
          <w:sz w:val="20"/>
        </w:rPr>
        <w:t xml:space="preserve"> </w:t>
      </w:r>
      <w:r w:rsidRPr="001869EE">
        <w:rPr>
          <w:rFonts w:ascii="Calibri" w:hAnsi="Calibri" w:cs="Calibri"/>
          <w:bCs/>
          <w:color w:val="13576B"/>
          <w:sz w:val="20"/>
        </w:rPr>
        <w:t>–</w:t>
      </w:r>
      <w:bookmarkStart w:id="1" w:name="_Hlk190799464"/>
      <w:r w:rsidR="00961843">
        <w:rPr>
          <w:rFonts w:ascii="Calibri" w:hAnsi="Calibri" w:cs="Calibri"/>
          <w:b/>
          <w:color w:val="13576B"/>
          <w:sz w:val="20"/>
        </w:rPr>
        <w:t xml:space="preserve"> </w:t>
      </w:r>
      <w:r w:rsidR="00984751" w:rsidRPr="00984751">
        <w:rPr>
          <w:rFonts w:ascii="Calibri" w:hAnsi="Calibri" w:cs="Calibri"/>
          <w:b/>
          <w:color w:val="13576B"/>
          <w:sz w:val="20"/>
        </w:rPr>
        <w:t xml:space="preserve">Hlavní ekonomové bank zastoupení v prognostickém panelu České bankovní asociace (ČBA) očekávají v letošním roce </w:t>
      </w:r>
      <w:r w:rsidR="00BB0033">
        <w:rPr>
          <w:rFonts w:ascii="Calibri" w:hAnsi="Calibri" w:cs="Calibri"/>
          <w:b/>
          <w:color w:val="13576B"/>
          <w:sz w:val="20"/>
        </w:rPr>
        <w:t xml:space="preserve">pomalejší </w:t>
      </w:r>
      <w:r w:rsidR="002930C9">
        <w:rPr>
          <w:rFonts w:ascii="Calibri" w:hAnsi="Calibri" w:cs="Calibri"/>
          <w:b/>
          <w:color w:val="13576B"/>
          <w:sz w:val="20"/>
        </w:rPr>
        <w:t>růst</w:t>
      </w:r>
      <w:r w:rsidR="00984751" w:rsidRPr="00984751">
        <w:rPr>
          <w:rFonts w:ascii="Calibri" w:hAnsi="Calibri" w:cs="Calibri"/>
          <w:b/>
          <w:color w:val="13576B"/>
          <w:sz w:val="20"/>
        </w:rPr>
        <w:t xml:space="preserve"> tuzemské ekonomiky o </w:t>
      </w:r>
      <w:r w:rsidR="00BB0033">
        <w:rPr>
          <w:rFonts w:ascii="Calibri" w:hAnsi="Calibri" w:cs="Calibri"/>
          <w:b/>
          <w:color w:val="13576B"/>
          <w:sz w:val="20"/>
        </w:rPr>
        <w:t>1,7</w:t>
      </w:r>
      <w:r w:rsidR="00984751" w:rsidRPr="00984751">
        <w:rPr>
          <w:rFonts w:ascii="Calibri" w:hAnsi="Calibri" w:cs="Calibri"/>
          <w:b/>
          <w:color w:val="13576B"/>
          <w:sz w:val="20"/>
        </w:rPr>
        <w:t xml:space="preserve"> % a v roce 2026 </w:t>
      </w:r>
      <w:r w:rsidR="00BB0033">
        <w:rPr>
          <w:rFonts w:ascii="Calibri" w:hAnsi="Calibri" w:cs="Calibri"/>
          <w:b/>
          <w:color w:val="13576B"/>
          <w:sz w:val="20"/>
        </w:rPr>
        <w:t>spíše mírnější</w:t>
      </w:r>
      <w:r w:rsidR="00984751" w:rsidRPr="00984751">
        <w:rPr>
          <w:rFonts w:ascii="Calibri" w:hAnsi="Calibri" w:cs="Calibri"/>
          <w:b/>
          <w:color w:val="13576B"/>
          <w:sz w:val="20"/>
        </w:rPr>
        <w:t xml:space="preserve"> zrychlení na 2,</w:t>
      </w:r>
      <w:r w:rsidR="00BB0033">
        <w:rPr>
          <w:rFonts w:ascii="Calibri" w:hAnsi="Calibri" w:cs="Calibri"/>
          <w:b/>
          <w:color w:val="13576B"/>
          <w:sz w:val="20"/>
        </w:rPr>
        <w:t>0</w:t>
      </w:r>
      <w:r w:rsidR="00984751" w:rsidRPr="00984751">
        <w:rPr>
          <w:rFonts w:ascii="Calibri" w:hAnsi="Calibri" w:cs="Calibri"/>
          <w:b/>
          <w:color w:val="13576B"/>
          <w:sz w:val="20"/>
        </w:rPr>
        <w:t xml:space="preserve"> %. </w:t>
      </w:r>
      <w:r w:rsidR="005A28E8">
        <w:rPr>
          <w:rFonts w:ascii="Calibri" w:hAnsi="Calibri" w:cs="Calibri"/>
          <w:b/>
          <w:color w:val="13576B"/>
          <w:sz w:val="20"/>
        </w:rPr>
        <w:t xml:space="preserve">Ještě v únoru ČBA očekávala pro letošek růst ekonomiky o 2,1 % a pro příští rok o 2,4 %). </w:t>
      </w:r>
      <w:r w:rsidR="00984751" w:rsidRPr="00984751">
        <w:rPr>
          <w:rFonts w:ascii="Calibri" w:hAnsi="Calibri" w:cs="Calibri"/>
          <w:b/>
          <w:color w:val="13576B"/>
          <w:sz w:val="20"/>
        </w:rPr>
        <w:t>Do</w:t>
      </w:r>
      <w:r w:rsidR="00BB0033">
        <w:rPr>
          <w:rFonts w:ascii="Calibri" w:hAnsi="Calibri" w:cs="Calibri"/>
          <w:b/>
          <w:color w:val="13576B"/>
          <w:sz w:val="20"/>
        </w:rPr>
        <w:t xml:space="preserve"> horšího</w:t>
      </w:r>
      <w:r w:rsidR="00984751" w:rsidRPr="00984751">
        <w:rPr>
          <w:rFonts w:ascii="Calibri" w:hAnsi="Calibri" w:cs="Calibri"/>
          <w:b/>
          <w:color w:val="13576B"/>
          <w:sz w:val="20"/>
        </w:rPr>
        <w:t xml:space="preserve"> výhledu se výrazně </w:t>
      </w:r>
      <w:r w:rsidR="002930C9">
        <w:rPr>
          <w:rFonts w:ascii="Calibri" w:hAnsi="Calibri" w:cs="Calibri"/>
          <w:b/>
          <w:color w:val="13576B"/>
          <w:sz w:val="20"/>
        </w:rPr>
        <w:t>propsal</w:t>
      </w:r>
      <w:r w:rsidR="00BB0033">
        <w:rPr>
          <w:rFonts w:ascii="Calibri" w:hAnsi="Calibri" w:cs="Calibri"/>
          <w:b/>
          <w:color w:val="13576B"/>
          <w:sz w:val="20"/>
        </w:rPr>
        <w:t xml:space="preserve"> negativní dopad obchodních válek a nejistota s nimi spojená. Podle ankety ČBA ukousnou obchodní války z</w:t>
      </w:r>
      <w:r w:rsidR="00D92AD0">
        <w:rPr>
          <w:rFonts w:ascii="Calibri" w:hAnsi="Calibri" w:cs="Calibri"/>
          <w:b/>
          <w:color w:val="13576B"/>
          <w:sz w:val="20"/>
        </w:rPr>
        <w:t> </w:t>
      </w:r>
      <w:r w:rsidR="00BB0033">
        <w:rPr>
          <w:rFonts w:ascii="Calibri" w:hAnsi="Calibri" w:cs="Calibri"/>
          <w:b/>
          <w:color w:val="13576B"/>
          <w:sz w:val="20"/>
        </w:rPr>
        <w:t>růstu</w:t>
      </w:r>
      <w:r w:rsidR="00D92AD0">
        <w:rPr>
          <w:rFonts w:ascii="Calibri" w:hAnsi="Calibri" w:cs="Calibri"/>
          <w:b/>
          <w:color w:val="13576B"/>
          <w:sz w:val="20"/>
        </w:rPr>
        <w:t xml:space="preserve"> českého</w:t>
      </w:r>
      <w:r w:rsidR="00BB0033">
        <w:rPr>
          <w:rFonts w:ascii="Calibri" w:hAnsi="Calibri" w:cs="Calibri"/>
          <w:b/>
          <w:color w:val="13576B"/>
          <w:sz w:val="20"/>
        </w:rPr>
        <w:t xml:space="preserve"> HDP v těchto letech 0,8 % bodu, přičemž v průměru analytici </w:t>
      </w:r>
      <w:r w:rsidR="00414950">
        <w:rPr>
          <w:rFonts w:ascii="Calibri" w:hAnsi="Calibri" w:cs="Calibri"/>
          <w:b/>
          <w:color w:val="13576B"/>
          <w:sz w:val="20"/>
        </w:rPr>
        <w:t>předpokládají</w:t>
      </w:r>
      <w:r w:rsidR="00BB0033">
        <w:rPr>
          <w:rFonts w:ascii="Calibri" w:hAnsi="Calibri" w:cs="Calibri"/>
          <w:b/>
          <w:color w:val="13576B"/>
          <w:sz w:val="20"/>
        </w:rPr>
        <w:t xml:space="preserve"> pro rok 2026 </w:t>
      </w:r>
      <w:r w:rsidR="00D92AD0">
        <w:rPr>
          <w:rFonts w:ascii="Calibri" w:hAnsi="Calibri" w:cs="Calibri"/>
          <w:b/>
          <w:color w:val="13576B"/>
          <w:sz w:val="20"/>
        </w:rPr>
        <w:t xml:space="preserve">ustálení </w:t>
      </w:r>
      <w:r w:rsidR="00BB0033">
        <w:rPr>
          <w:rFonts w:ascii="Calibri" w:hAnsi="Calibri" w:cs="Calibri"/>
          <w:b/>
          <w:color w:val="13576B"/>
          <w:sz w:val="20"/>
        </w:rPr>
        <w:t>americk</w:t>
      </w:r>
      <w:r w:rsidR="00D92AD0">
        <w:rPr>
          <w:rFonts w:ascii="Calibri" w:hAnsi="Calibri" w:cs="Calibri"/>
          <w:b/>
          <w:color w:val="13576B"/>
          <w:sz w:val="20"/>
        </w:rPr>
        <w:t>ých</w:t>
      </w:r>
      <w:r w:rsidR="00BB0033">
        <w:rPr>
          <w:rFonts w:ascii="Calibri" w:hAnsi="Calibri" w:cs="Calibri"/>
          <w:b/>
          <w:color w:val="13576B"/>
          <w:sz w:val="20"/>
        </w:rPr>
        <w:t xml:space="preserve"> c</w:t>
      </w:r>
      <w:r w:rsidR="00D92AD0">
        <w:rPr>
          <w:rFonts w:ascii="Calibri" w:hAnsi="Calibri" w:cs="Calibri"/>
          <w:b/>
          <w:color w:val="13576B"/>
          <w:sz w:val="20"/>
        </w:rPr>
        <w:t>e</w:t>
      </w:r>
      <w:r w:rsidR="00BB0033">
        <w:rPr>
          <w:rFonts w:ascii="Calibri" w:hAnsi="Calibri" w:cs="Calibri"/>
          <w:b/>
          <w:color w:val="13576B"/>
          <w:sz w:val="20"/>
        </w:rPr>
        <w:t>l na evropské dovozy ve výši 12 %.</w:t>
      </w:r>
      <w:r w:rsidR="00414950">
        <w:rPr>
          <w:rFonts w:ascii="Calibri" w:hAnsi="Calibri" w:cs="Calibri"/>
          <w:b/>
          <w:color w:val="13576B"/>
          <w:sz w:val="20"/>
        </w:rPr>
        <w:t xml:space="preserve"> Ovšem </w:t>
      </w:r>
      <w:r w:rsidR="009976E2">
        <w:rPr>
          <w:rFonts w:ascii="Calibri" w:hAnsi="Calibri" w:cs="Calibri"/>
          <w:b/>
          <w:color w:val="13576B"/>
          <w:sz w:val="20"/>
        </w:rPr>
        <w:t xml:space="preserve">startovací pozice české ekonomiky je o něco </w:t>
      </w:r>
      <w:r w:rsidR="004476CB">
        <w:rPr>
          <w:rFonts w:ascii="Calibri" w:hAnsi="Calibri" w:cs="Calibri"/>
          <w:b/>
          <w:color w:val="13576B"/>
          <w:sz w:val="20"/>
        </w:rPr>
        <w:t>silnější,</w:t>
      </w:r>
      <w:r w:rsidR="009976E2">
        <w:rPr>
          <w:rFonts w:ascii="Calibri" w:hAnsi="Calibri" w:cs="Calibri"/>
          <w:b/>
          <w:color w:val="13576B"/>
          <w:sz w:val="20"/>
        </w:rPr>
        <w:t xml:space="preserve"> než jsme čekali v únoru, či než naznačují čísla HDP za první čtvrtletí</w:t>
      </w:r>
      <w:r w:rsidR="00414950">
        <w:rPr>
          <w:rFonts w:ascii="Calibri" w:hAnsi="Calibri" w:cs="Calibri"/>
          <w:b/>
          <w:color w:val="13576B"/>
          <w:sz w:val="20"/>
        </w:rPr>
        <w:t>. Proto</w:t>
      </w:r>
      <w:r w:rsidR="009976E2">
        <w:rPr>
          <w:rFonts w:ascii="Calibri" w:hAnsi="Calibri" w:cs="Calibri"/>
          <w:b/>
          <w:color w:val="13576B"/>
          <w:sz w:val="20"/>
        </w:rPr>
        <w:t xml:space="preserve"> </w:t>
      </w:r>
      <w:r w:rsidR="00414950">
        <w:rPr>
          <w:rFonts w:ascii="Calibri" w:hAnsi="Calibri" w:cs="Calibri"/>
          <w:b/>
          <w:color w:val="13576B"/>
          <w:sz w:val="20"/>
        </w:rPr>
        <w:t xml:space="preserve">obdobně jako v únoru, nepředpokládáme výrazné dopady do čísel spojených s trhem práce či inflací, což limituje </w:t>
      </w:r>
      <w:r w:rsidR="00D92AD0">
        <w:rPr>
          <w:rFonts w:ascii="Calibri" w:hAnsi="Calibri" w:cs="Calibri"/>
          <w:b/>
          <w:color w:val="13576B"/>
          <w:sz w:val="20"/>
        </w:rPr>
        <w:t xml:space="preserve">i </w:t>
      </w:r>
      <w:r w:rsidR="00414950">
        <w:rPr>
          <w:rFonts w:ascii="Calibri" w:hAnsi="Calibri" w:cs="Calibri"/>
          <w:b/>
          <w:color w:val="13576B"/>
          <w:sz w:val="20"/>
        </w:rPr>
        <w:t xml:space="preserve">reakci hospodářské politiky. </w:t>
      </w:r>
      <w:r w:rsidR="00FB7C60">
        <w:rPr>
          <w:rFonts w:ascii="Calibri" w:hAnsi="Calibri" w:cs="Calibri"/>
          <w:b/>
          <w:color w:val="13576B"/>
          <w:sz w:val="20"/>
        </w:rPr>
        <w:t xml:space="preserve">Reálná mzda dosáhne předcovidové úrovně v příštím roce. </w:t>
      </w:r>
    </w:p>
    <w:p w14:paraId="47BA50B7" w14:textId="5E85D4C0" w:rsidR="008B1328" w:rsidRPr="00990401" w:rsidRDefault="00984751" w:rsidP="00984751">
      <w:pPr>
        <w:pStyle w:val="Normlnweb"/>
        <w:jc w:val="both"/>
        <w:rPr>
          <w:rFonts w:ascii="Calibri" w:hAnsi="Calibri" w:cs="Calibri"/>
          <w:bCs/>
          <w:color w:val="13576B"/>
          <w:sz w:val="20"/>
        </w:rPr>
      </w:pPr>
      <w:r w:rsidRPr="00990401">
        <w:rPr>
          <w:rFonts w:ascii="Calibri" w:hAnsi="Calibri" w:cs="Calibri"/>
          <w:bCs/>
          <w:color w:val="13576B"/>
          <w:sz w:val="20"/>
        </w:rPr>
        <w:t>V základním scénáři počítáme v letošním roce s</w:t>
      </w:r>
      <w:r w:rsidR="00414950" w:rsidRPr="00990401">
        <w:rPr>
          <w:rFonts w:ascii="Calibri" w:hAnsi="Calibri" w:cs="Calibri"/>
          <w:bCs/>
          <w:color w:val="13576B"/>
          <w:sz w:val="20"/>
        </w:rPr>
        <w:t> nepatrným zpomalením</w:t>
      </w:r>
      <w:r w:rsidRPr="00990401">
        <w:rPr>
          <w:rFonts w:ascii="Calibri" w:hAnsi="Calibri" w:cs="Calibri"/>
          <w:bCs/>
          <w:color w:val="13576B"/>
          <w:sz w:val="20"/>
        </w:rPr>
        <w:t xml:space="preserve"> meziroční</w:t>
      </w:r>
      <w:r w:rsidR="00414950" w:rsidRPr="00990401">
        <w:rPr>
          <w:rFonts w:ascii="Calibri" w:hAnsi="Calibri" w:cs="Calibri"/>
          <w:bCs/>
          <w:color w:val="13576B"/>
          <w:sz w:val="20"/>
        </w:rPr>
        <w:t>ho</w:t>
      </w:r>
      <w:r w:rsidRPr="00990401">
        <w:rPr>
          <w:rFonts w:ascii="Calibri" w:hAnsi="Calibri" w:cs="Calibri"/>
          <w:bCs/>
          <w:color w:val="13576B"/>
          <w:sz w:val="20"/>
        </w:rPr>
        <w:t xml:space="preserve"> růst</w:t>
      </w:r>
      <w:r w:rsidR="00414950" w:rsidRPr="00990401">
        <w:rPr>
          <w:rFonts w:ascii="Calibri" w:hAnsi="Calibri" w:cs="Calibri"/>
          <w:bCs/>
          <w:color w:val="13576B"/>
          <w:sz w:val="20"/>
        </w:rPr>
        <w:t>u</w:t>
      </w:r>
      <w:r w:rsidRPr="00990401">
        <w:rPr>
          <w:rFonts w:ascii="Calibri" w:hAnsi="Calibri" w:cs="Calibri"/>
          <w:bCs/>
          <w:color w:val="13576B"/>
          <w:sz w:val="20"/>
        </w:rPr>
        <w:t xml:space="preserve"> spotřebitelských cen </w:t>
      </w:r>
      <w:r w:rsidR="00414950" w:rsidRPr="00990401">
        <w:rPr>
          <w:rFonts w:ascii="Calibri" w:hAnsi="Calibri" w:cs="Calibri"/>
          <w:bCs/>
          <w:color w:val="13576B"/>
          <w:sz w:val="20"/>
        </w:rPr>
        <w:t>k</w:t>
      </w:r>
      <w:r w:rsidRPr="00990401">
        <w:rPr>
          <w:rFonts w:ascii="Calibri" w:hAnsi="Calibri" w:cs="Calibri"/>
          <w:bCs/>
          <w:color w:val="13576B"/>
          <w:sz w:val="20"/>
        </w:rPr>
        <w:t xml:space="preserve"> 2,</w:t>
      </w:r>
      <w:r w:rsidR="00414950" w:rsidRPr="00990401">
        <w:rPr>
          <w:rFonts w:ascii="Calibri" w:hAnsi="Calibri" w:cs="Calibri"/>
          <w:bCs/>
          <w:color w:val="13576B"/>
          <w:sz w:val="20"/>
        </w:rPr>
        <w:t>3</w:t>
      </w:r>
      <w:r w:rsidRPr="00990401">
        <w:rPr>
          <w:rFonts w:ascii="Calibri" w:hAnsi="Calibri" w:cs="Calibri"/>
          <w:bCs/>
          <w:color w:val="13576B"/>
          <w:sz w:val="20"/>
        </w:rPr>
        <w:t xml:space="preserve"> % a</w:t>
      </w:r>
      <w:r w:rsidR="002930C9" w:rsidRPr="00990401">
        <w:rPr>
          <w:rFonts w:ascii="Calibri" w:hAnsi="Calibri" w:cs="Calibri"/>
          <w:bCs/>
          <w:color w:val="13576B"/>
          <w:sz w:val="20"/>
        </w:rPr>
        <w:t xml:space="preserve"> s pouze </w:t>
      </w:r>
      <w:r w:rsidR="00D92AD0" w:rsidRPr="00990401">
        <w:rPr>
          <w:rFonts w:ascii="Calibri" w:hAnsi="Calibri" w:cs="Calibri"/>
          <w:bCs/>
          <w:color w:val="13576B"/>
          <w:sz w:val="20"/>
        </w:rPr>
        <w:t xml:space="preserve">dalším </w:t>
      </w:r>
      <w:r w:rsidRPr="00990401">
        <w:rPr>
          <w:rFonts w:ascii="Calibri" w:hAnsi="Calibri" w:cs="Calibri"/>
          <w:bCs/>
          <w:color w:val="13576B"/>
          <w:sz w:val="20"/>
        </w:rPr>
        <w:t xml:space="preserve">mírným zvolněním v roce 2026 na 2,2 %. </w:t>
      </w:r>
      <w:bookmarkStart w:id="2" w:name="_Hlk190858893"/>
      <w:r w:rsidRPr="00990401">
        <w:rPr>
          <w:rFonts w:ascii="Calibri" w:hAnsi="Calibri" w:cs="Calibri"/>
          <w:bCs/>
          <w:color w:val="13576B"/>
          <w:sz w:val="20"/>
        </w:rPr>
        <w:t>V letošním roce zmírní růst nominálních mezd o více než jeden procentní bod na 5,</w:t>
      </w:r>
      <w:r w:rsidR="00D92AD0" w:rsidRPr="00990401">
        <w:rPr>
          <w:rFonts w:ascii="Calibri" w:hAnsi="Calibri" w:cs="Calibri"/>
          <w:bCs/>
          <w:color w:val="13576B"/>
          <w:sz w:val="20"/>
        </w:rPr>
        <w:t>9</w:t>
      </w:r>
      <w:r w:rsidRPr="00990401">
        <w:rPr>
          <w:rFonts w:ascii="Calibri" w:hAnsi="Calibri" w:cs="Calibri"/>
          <w:bCs/>
          <w:color w:val="13576B"/>
          <w:sz w:val="20"/>
        </w:rPr>
        <w:t xml:space="preserve"> % a v příštím roce dále </w:t>
      </w:r>
      <w:r w:rsidR="00D92AD0" w:rsidRPr="00990401">
        <w:rPr>
          <w:rFonts w:ascii="Calibri" w:hAnsi="Calibri" w:cs="Calibri"/>
          <w:bCs/>
          <w:color w:val="13576B"/>
          <w:sz w:val="20"/>
        </w:rPr>
        <w:t>pod</w:t>
      </w:r>
      <w:r w:rsidRPr="00990401">
        <w:rPr>
          <w:rFonts w:ascii="Calibri" w:hAnsi="Calibri" w:cs="Calibri"/>
          <w:bCs/>
          <w:color w:val="13576B"/>
          <w:sz w:val="20"/>
        </w:rPr>
        <w:t xml:space="preserve"> 5 %, což </w:t>
      </w:r>
      <w:r w:rsidR="00961843" w:rsidRPr="00990401">
        <w:rPr>
          <w:rFonts w:ascii="Calibri" w:hAnsi="Calibri" w:cs="Calibri"/>
          <w:bCs/>
          <w:color w:val="13576B"/>
          <w:sz w:val="20"/>
        </w:rPr>
        <w:t xml:space="preserve">může být </w:t>
      </w:r>
      <w:r w:rsidRPr="00990401">
        <w:rPr>
          <w:rFonts w:ascii="Calibri" w:hAnsi="Calibri" w:cs="Calibri"/>
          <w:bCs/>
          <w:color w:val="13576B"/>
          <w:sz w:val="20"/>
        </w:rPr>
        <w:t>stále lehce proinflační čísl</w:t>
      </w:r>
      <w:r w:rsidR="00961843" w:rsidRPr="00990401">
        <w:rPr>
          <w:rFonts w:ascii="Calibri" w:hAnsi="Calibri" w:cs="Calibri"/>
          <w:bCs/>
          <w:color w:val="13576B"/>
          <w:sz w:val="20"/>
        </w:rPr>
        <w:t>o</w:t>
      </w:r>
      <w:r w:rsidRPr="00990401">
        <w:rPr>
          <w:rFonts w:ascii="Calibri" w:hAnsi="Calibri" w:cs="Calibri"/>
          <w:bCs/>
          <w:color w:val="13576B"/>
          <w:sz w:val="20"/>
        </w:rPr>
        <w:t xml:space="preserve">. </w:t>
      </w:r>
      <w:bookmarkEnd w:id="2"/>
      <w:r w:rsidR="004F196E" w:rsidRPr="00990401">
        <w:rPr>
          <w:rFonts w:ascii="Calibri" w:hAnsi="Calibri" w:cs="Calibri"/>
          <w:bCs/>
          <w:color w:val="13576B"/>
          <w:sz w:val="20"/>
        </w:rPr>
        <w:t>R</w:t>
      </w:r>
      <w:r w:rsidRPr="00990401">
        <w:rPr>
          <w:rFonts w:ascii="Calibri" w:hAnsi="Calibri" w:cs="Calibri"/>
          <w:bCs/>
          <w:color w:val="13576B"/>
          <w:sz w:val="20"/>
        </w:rPr>
        <w:t>eáln</w:t>
      </w:r>
      <w:r w:rsidR="004F196E" w:rsidRPr="00990401">
        <w:rPr>
          <w:rFonts w:ascii="Calibri" w:hAnsi="Calibri" w:cs="Calibri"/>
          <w:bCs/>
          <w:color w:val="13576B"/>
          <w:sz w:val="20"/>
        </w:rPr>
        <w:t>é</w:t>
      </w:r>
      <w:r w:rsidRPr="00990401">
        <w:rPr>
          <w:rFonts w:ascii="Calibri" w:hAnsi="Calibri" w:cs="Calibri"/>
          <w:bCs/>
          <w:color w:val="13576B"/>
          <w:sz w:val="20"/>
        </w:rPr>
        <w:t xml:space="preserve"> mzd</w:t>
      </w:r>
      <w:r w:rsidR="004F196E" w:rsidRPr="00990401">
        <w:rPr>
          <w:rFonts w:ascii="Calibri" w:hAnsi="Calibri" w:cs="Calibri"/>
          <w:bCs/>
          <w:color w:val="13576B"/>
          <w:sz w:val="20"/>
        </w:rPr>
        <w:t>y</w:t>
      </w:r>
      <w:r w:rsidRPr="00990401">
        <w:rPr>
          <w:rFonts w:ascii="Calibri" w:hAnsi="Calibri" w:cs="Calibri"/>
          <w:bCs/>
          <w:color w:val="13576B"/>
          <w:sz w:val="20"/>
        </w:rPr>
        <w:t xml:space="preserve"> </w:t>
      </w:r>
      <w:r w:rsidR="004F196E" w:rsidRPr="00990401">
        <w:rPr>
          <w:rFonts w:ascii="Calibri" w:hAnsi="Calibri" w:cs="Calibri"/>
          <w:bCs/>
          <w:color w:val="13576B"/>
          <w:sz w:val="20"/>
        </w:rPr>
        <w:t>v naší prognóz</w:t>
      </w:r>
      <w:r w:rsidR="004476CB" w:rsidRPr="00990401">
        <w:rPr>
          <w:rFonts w:ascii="Calibri" w:hAnsi="Calibri" w:cs="Calibri"/>
          <w:bCs/>
          <w:color w:val="13576B"/>
          <w:sz w:val="20"/>
        </w:rPr>
        <w:t>e</w:t>
      </w:r>
      <w:r w:rsidR="004F196E" w:rsidRPr="00990401">
        <w:rPr>
          <w:rFonts w:ascii="Calibri" w:hAnsi="Calibri" w:cs="Calibri"/>
          <w:bCs/>
          <w:color w:val="13576B"/>
          <w:sz w:val="20"/>
        </w:rPr>
        <w:t xml:space="preserve"> porostou o </w:t>
      </w:r>
      <w:r w:rsidRPr="00990401">
        <w:rPr>
          <w:rFonts w:ascii="Calibri" w:hAnsi="Calibri" w:cs="Calibri"/>
          <w:bCs/>
          <w:color w:val="13576B"/>
          <w:sz w:val="20"/>
        </w:rPr>
        <w:t>3,</w:t>
      </w:r>
      <w:r w:rsidR="00D92AD0" w:rsidRPr="00990401">
        <w:rPr>
          <w:rFonts w:ascii="Calibri" w:hAnsi="Calibri" w:cs="Calibri"/>
          <w:bCs/>
          <w:color w:val="13576B"/>
          <w:sz w:val="20"/>
        </w:rPr>
        <w:t>5</w:t>
      </w:r>
      <w:r w:rsidRPr="00990401">
        <w:rPr>
          <w:rFonts w:ascii="Calibri" w:hAnsi="Calibri" w:cs="Calibri"/>
          <w:bCs/>
          <w:color w:val="13576B"/>
          <w:sz w:val="20"/>
        </w:rPr>
        <w:t xml:space="preserve"> % a 2,7 % po 4,</w:t>
      </w:r>
      <w:r w:rsidR="00D92AD0" w:rsidRPr="00990401">
        <w:rPr>
          <w:rFonts w:ascii="Calibri" w:hAnsi="Calibri" w:cs="Calibri"/>
          <w:bCs/>
          <w:color w:val="13576B"/>
          <w:sz w:val="20"/>
        </w:rPr>
        <w:t>5</w:t>
      </w:r>
      <w:r w:rsidRPr="00990401">
        <w:rPr>
          <w:rFonts w:ascii="Calibri" w:hAnsi="Calibri" w:cs="Calibri"/>
          <w:bCs/>
          <w:color w:val="13576B"/>
          <w:sz w:val="20"/>
        </w:rPr>
        <w:t xml:space="preserve"> % růstu v loňském roce</w:t>
      </w:r>
      <w:r w:rsidR="00D92AD0" w:rsidRPr="00990401">
        <w:rPr>
          <w:rFonts w:ascii="Calibri" w:hAnsi="Calibri" w:cs="Calibri"/>
          <w:bCs/>
          <w:color w:val="13576B"/>
          <w:sz w:val="20"/>
        </w:rPr>
        <w:t>, což je nepatrně příznivější trajektorie než v únorové</w:t>
      </w:r>
      <w:r w:rsidR="008620DC" w:rsidRPr="00990401">
        <w:rPr>
          <w:rFonts w:ascii="Calibri" w:hAnsi="Calibri" w:cs="Calibri"/>
          <w:bCs/>
          <w:color w:val="13576B"/>
          <w:sz w:val="20"/>
        </w:rPr>
        <w:t>m</w:t>
      </w:r>
      <w:r w:rsidR="00D92AD0" w:rsidRPr="00990401">
        <w:rPr>
          <w:rFonts w:ascii="Calibri" w:hAnsi="Calibri" w:cs="Calibri"/>
          <w:bCs/>
          <w:color w:val="13576B"/>
          <w:sz w:val="20"/>
        </w:rPr>
        <w:t xml:space="preserve"> výhledu</w:t>
      </w:r>
      <w:r w:rsidRPr="00990401">
        <w:rPr>
          <w:rFonts w:ascii="Calibri" w:hAnsi="Calibri" w:cs="Calibri"/>
          <w:bCs/>
          <w:color w:val="13576B"/>
          <w:sz w:val="20"/>
        </w:rPr>
        <w:t>. Zhoršení trhu práce odráží slabší oživení ekonomiky, ale</w:t>
      </w:r>
      <w:r w:rsidR="00D92AD0" w:rsidRPr="00990401">
        <w:rPr>
          <w:rFonts w:ascii="Calibri" w:hAnsi="Calibri" w:cs="Calibri"/>
          <w:bCs/>
          <w:color w:val="13576B"/>
          <w:sz w:val="20"/>
        </w:rPr>
        <w:t xml:space="preserve"> stále čekáme </w:t>
      </w:r>
      <w:r w:rsidRPr="00990401">
        <w:rPr>
          <w:rFonts w:ascii="Calibri" w:hAnsi="Calibri" w:cs="Calibri"/>
          <w:bCs/>
          <w:color w:val="13576B"/>
          <w:sz w:val="20"/>
        </w:rPr>
        <w:t>spíše stabilizaci míry nezaměstnanosti než její výrazný nárůst. Úrokové sazby ČNB budou pravděpodobně nadále pozvolně klesat</w:t>
      </w:r>
      <w:r w:rsidR="00D92AD0" w:rsidRPr="00990401">
        <w:rPr>
          <w:rFonts w:ascii="Calibri" w:hAnsi="Calibri" w:cs="Calibri"/>
          <w:bCs/>
          <w:color w:val="13576B"/>
          <w:sz w:val="20"/>
        </w:rPr>
        <w:t>, ovšem pro letošní rok</w:t>
      </w:r>
      <w:r w:rsidR="008620DC" w:rsidRPr="00990401">
        <w:rPr>
          <w:rFonts w:ascii="Calibri" w:hAnsi="Calibri" w:cs="Calibri"/>
          <w:bCs/>
          <w:color w:val="13576B"/>
          <w:sz w:val="20"/>
        </w:rPr>
        <w:t xml:space="preserve"> stále</w:t>
      </w:r>
      <w:r w:rsidR="00D92AD0" w:rsidRPr="00990401">
        <w:rPr>
          <w:rFonts w:ascii="Calibri" w:hAnsi="Calibri" w:cs="Calibri"/>
          <w:bCs/>
          <w:color w:val="13576B"/>
          <w:sz w:val="20"/>
        </w:rPr>
        <w:t xml:space="preserve"> vidíme prostor pro jedno další snížení </w:t>
      </w:r>
      <w:r w:rsidRPr="00990401">
        <w:rPr>
          <w:rFonts w:ascii="Calibri" w:hAnsi="Calibri" w:cs="Calibri"/>
          <w:bCs/>
          <w:color w:val="13576B"/>
          <w:sz w:val="20"/>
        </w:rPr>
        <w:t>dvoutýdenní repo sazb</w:t>
      </w:r>
      <w:r w:rsidR="00D92AD0" w:rsidRPr="00990401">
        <w:rPr>
          <w:rFonts w:ascii="Calibri" w:hAnsi="Calibri" w:cs="Calibri"/>
          <w:bCs/>
          <w:color w:val="13576B"/>
          <w:sz w:val="20"/>
        </w:rPr>
        <w:t>y</w:t>
      </w:r>
      <w:r w:rsidRPr="00990401">
        <w:rPr>
          <w:rFonts w:ascii="Calibri" w:hAnsi="Calibri" w:cs="Calibri"/>
          <w:bCs/>
          <w:color w:val="13576B"/>
          <w:sz w:val="20"/>
        </w:rPr>
        <w:t xml:space="preserve"> </w:t>
      </w:r>
      <w:r w:rsidR="00D92AD0" w:rsidRPr="00990401">
        <w:rPr>
          <w:rFonts w:ascii="Calibri" w:hAnsi="Calibri" w:cs="Calibri"/>
          <w:bCs/>
          <w:color w:val="13576B"/>
          <w:sz w:val="20"/>
        </w:rPr>
        <w:t>na</w:t>
      </w:r>
      <w:r w:rsidRPr="00990401">
        <w:rPr>
          <w:rFonts w:ascii="Calibri" w:hAnsi="Calibri" w:cs="Calibri"/>
          <w:bCs/>
          <w:color w:val="13576B"/>
          <w:sz w:val="20"/>
        </w:rPr>
        <w:t xml:space="preserve"> 3,25 % a v příštím roce </w:t>
      </w:r>
      <w:r w:rsidR="009B0E09" w:rsidRPr="00990401">
        <w:rPr>
          <w:rFonts w:ascii="Calibri" w:hAnsi="Calibri" w:cs="Calibri"/>
          <w:bCs/>
          <w:color w:val="13576B"/>
          <w:sz w:val="20"/>
        </w:rPr>
        <w:t>na</w:t>
      </w:r>
      <w:r w:rsidRPr="00990401">
        <w:rPr>
          <w:rFonts w:ascii="Calibri" w:hAnsi="Calibri" w:cs="Calibri"/>
          <w:bCs/>
          <w:color w:val="13576B"/>
          <w:sz w:val="20"/>
        </w:rPr>
        <w:t xml:space="preserve"> 3 %. Tento výhled se od listopadu nezměnil, jelikož slabší oživení </w:t>
      </w:r>
      <w:r w:rsidR="008620DC" w:rsidRPr="00990401">
        <w:rPr>
          <w:rFonts w:ascii="Calibri" w:hAnsi="Calibri" w:cs="Calibri"/>
          <w:bCs/>
          <w:color w:val="13576B"/>
          <w:sz w:val="20"/>
        </w:rPr>
        <w:t>hospodářství</w:t>
      </w:r>
      <w:r w:rsidRPr="00990401">
        <w:rPr>
          <w:rFonts w:ascii="Calibri" w:hAnsi="Calibri" w:cs="Calibri"/>
          <w:bCs/>
          <w:color w:val="13576B"/>
          <w:sz w:val="20"/>
        </w:rPr>
        <w:t xml:space="preserve"> </w:t>
      </w:r>
      <w:r w:rsidR="00D92AD0" w:rsidRPr="00990401">
        <w:rPr>
          <w:rFonts w:ascii="Calibri" w:hAnsi="Calibri" w:cs="Calibri"/>
          <w:bCs/>
          <w:color w:val="13576B"/>
          <w:sz w:val="20"/>
        </w:rPr>
        <w:t xml:space="preserve">je stále doprovázeno </w:t>
      </w:r>
      <w:r w:rsidRPr="00990401">
        <w:rPr>
          <w:rFonts w:ascii="Calibri" w:hAnsi="Calibri" w:cs="Calibri"/>
          <w:bCs/>
          <w:color w:val="13576B"/>
          <w:sz w:val="20"/>
        </w:rPr>
        <w:t>silnější inflac</w:t>
      </w:r>
      <w:r w:rsidR="00D92AD0" w:rsidRPr="00990401">
        <w:rPr>
          <w:rFonts w:ascii="Calibri" w:hAnsi="Calibri" w:cs="Calibri"/>
          <w:bCs/>
          <w:color w:val="13576B"/>
          <w:sz w:val="20"/>
        </w:rPr>
        <w:t>í v některých segmentech</w:t>
      </w:r>
      <w:r w:rsidR="008620DC" w:rsidRPr="00990401">
        <w:rPr>
          <w:rFonts w:ascii="Calibri" w:hAnsi="Calibri" w:cs="Calibri"/>
          <w:bCs/>
          <w:color w:val="13576B"/>
          <w:sz w:val="20"/>
        </w:rPr>
        <w:t xml:space="preserve"> ekonomiky</w:t>
      </w:r>
      <w:r w:rsidRPr="00990401">
        <w:rPr>
          <w:rFonts w:ascii="Calibri" w:hAnsi="Calibri" w:cs="Calibri"/>
          <w:bCs/>
          <w:color w:val="13576B"/>
          <w:sz w:val="20"/>
        </w:rPr>
        <w:t>.</w:t>
      </w:r>
      <w:r w:rsidR="00D92AD0" w:rsidRPr="00990401">
        <w:rPr>
          <w:rFonts w:ascii="Calibri" w:hAnsi="Calibri" w:cs="Calibri"/>
          <w:bCs/>
          <w:color w:val="13576B"/>
          <w:sz w:val="20"/>
        </w:rPr>
        <w:t xml:space="preserve"> Rovněž vnímáme menší prostor pro posílení k</w:t>
      </w:r>
      <w:r w:rsidRPr="00990401">
        <w:rPr>
          <w:rFonts w:ascii="Calibri" w:hAnsi="Calibri" w:cs="Calibri"/>
          <w:bCs/>
          <w:color w:val="13576B"/>
          <w:sz w:val="20"/>
        </w:rPr>
        <w:t>urz</w:t>
      </w:r>
      <w:r w:rsidR="00D92AD0" w:rsidRPr="00990401">
        <w:rPr>
          <w:rFonts w:ascii="Calibri" w:hAnsi="Calibri" w:cs="Calibri"/>
          <w:bCs/>
          <w:color w:val="13576B"/>
          <w:sz w:val="20"/>
        </w:rPr>
        <w:t>u</w:t>
      </w:r>
      <w:r w:rsidRPr="00990401">
        <w:rPr>
          <w:rFonts w:ascii="Calibri" w:hAnsi="Calibri" w:cs="Calibri"/>
          <w:bCs/>
          <w:color w:val="13576B"/>
          <w:sz w:val="20"/>
        </w:rPr>
        <w:t xml:space="preserve"> koruny</w:t>
      </w:r>
      <w:r w:rsidR="002930C9" w:rsidRPr="00990401">
        <w:rPr>
          <w:rFonts w:ascii="Calibri" w:hAnsi="Calibri" w:cs="Calibri"/>
          <w:bCs/>
          <w:color w:val="13576B"/>
          <w:sz w:val="20"/>
        </w:rPr>
        <w:t>, a to</w:t>
      </w:r>
      <w:r w:rsidR="00D92AD0" w:rsidRPr="00990401">
        <w:rPr>
          <w:rFonts w:ascii="Calibri" w:hAnsi="Calibri" w:cs="Calibri"/>
          <w:bCs/>
          <w:color w:val="13576B"/>
          <w:sz w:val="20"/>
        </w:rPr>
        <w:t xml:space="preserve"> k 24,7 za euro koncem příštího roku z 25 Kč na konci letošního </w:t>
      </w:r>
      <w:r w:rsidR="00EC3AAD" w:rsidRPr="00990401">
        <w:rPr>
          <w:rFonts w:ascii="Calibri" w:hAnsi="Calibri" w:cs="Calibri"/>
          <w:bCs/>
          <w:color w:val="13576B"/>
          <w:sz w:val="20"/>
        </w:rPr>
        <w:t>roku</w:t>
      </w:r>
      <w:bookmarkEnd w:id="1"/>
      <w:r w:rsidR="00D92AD0" w:rsidRPr="00990401">
        <w:rPr>
          <w:rFonts w:ascii="Calibri" w:hAnsi="Calibri" w:cs="Calibri"/>
          <w:bCs/>
          <w:color w:val="13576B"/>
          <w:sz w:val="20"/>
        </w:rPr>
        <w:t>.</w:t>
      </w:r>
    </w:p>
    <w:p w14:paraId="46C41ABC" w14:textId="1004528F" w:rsidR="008620DC" w:rsidRPr="001869EE" w:rsidRDefault="00E81839" w:rsidP="001869EE">
      <w:pPr>
        <w:pStyle w:val="Normlnweb"/>
        <w:jc w:val="both"/>
        <w:rPr>
          <w:rFonts w:ascii="Calibri" w:hAnsi="Calibri" w:cs="Calibri"/>
          <w:b/>
          <w:color w:val="13576B"/>
          <w:sz w:val="20"/>
        </w:rPr>
      </w:pPr>
      <w:r w:rsidRPr="00E81839">
        <w:rPr>
          <w:rFonts w:ascii="Calibri" w:hAnsi="Calibri" w:cs="Calibri"/>
          <w:b/>
          <w:noProof/>
          <w:color w:val="13576B"/>
          <w:sz w:val="20"/>
        </w:rPr>
        <w:drawing>
          <wp:inline distT="0" distB="0" distL="0" distR="0" wp14:anchorId="00B6ECA8" wp14:editId="743D6169">
            <wp:extent cx="6479540" cy="3794125"/>
            <wp:effectExtent l="0" t="0" r="0" b="0"/>
            <wp:docPr id="24777452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74521" name="Picture 1" descr="A screenshot of a computer screen&#10;&#10;AI-generated content may be incorrect."/>
                    <pic:cNvPicPr/>
                  </pic:nvPicPr>
                  <pic:blipFill rotWithShape="1">
                    <a:blip r:embed="rId8"/>
                    <a:srcRect t="8077"/>
                    <a:stretch/>
                  </pic:blipFill>
                  <pic:spPr bwMode="auto">
                    <a:xfrm>
                      <a:off x="0" y="0"/>
                      <a:ext cx="6479540" cy="3794125"/>
                    </a:xfrm>
                    <a:prstGeom prst="rect">
                      <a:avLst/>
                    </a:prstGeom>
                    <a:ln>
                      <a:noFill/>
                    </a:ln>
                    <a:extLst>
                      <a:ext uri="{53640926-AAD7-44D8-BBD7-CCE9431645EC}">
                        <a14:shadowObscured xmlns:a14="http://schemas.microsoft.com/office/drawing/2010/main"/>
                      </a:ext>
                    </a:extLst>
                  </pic:spPr>
                </pic:pic>
              </a:graphicData>
            </a:graphic>
          </wp:inline>
        </w:drawing>
      </w:r>
    </w:p>
    <w:p w14:paraId="031813F8" w14:textId="7096082A" w:rsidR="001C333D" w:rsidRPr="00906FDC" w:rsidRDefault="0035275E" w:rsidP="001C333D">
      <w:pPr>
        <w:rPr>
          <w:rFonts w:ascii="Calibri" w:hAnsi="Calibri" w:cs="Calibri"/>
          <w:b/>
          <w:color w:val="13576B"/>
          <w:sz w:val="22"/>
          <w:szCs w:val="22"/>
        </w:rPr>
      </w:pPr>
      <w:r>
        <w:rPr>
          <w:rFonts w:ascii="Calibri" w:hAnsi="Calibri" w:cs="Calibri"/>
          <w:b/>
          <w:color w:val="13576B"/>
          <w:sz w:val="22"/>
          <w:szCs w:val="22"/>
        </w:rPr>
        <w:lastRenderedPageBreak/>
        <w:t>N</w:t>
      </w:r>
      <w:r w:rsidR="006756EC" w:rsidRPr="00906FDC">
        <w:rPr>
          <w:rFonts w:ascii="Calibri" w:hAnsi="Calibri" w:cs="Calibri"/>
          <w:b/>
          <w:color w:val="13576B"/>
          <w:sz w:val="22"/>
          <w:szCs w:val="22"/>
        </w:rPr>
        <w:t>ejistota globálního vývoje přetrvává</w:t>
      </w:r>
    </w:p>
    <w:p w14:paraId="7D9A1495" w14:textId="4589E267" w:rsidR="0055128F" w:rsidRDefault="002F076C" w:rsidP="00786866">
      <w:pPr>
        <w:rPr>
          <w:rFonts w:ascii="Calibri" w:hAnsi="Calibri" w:cs="Calibri"/>
          <w:color w:val="000000" w:themeColor="text1"/>
          <w:sz w:val="20"/>
        </w:rPr>
      </w:pPr>
      <w:r w:rsidRPr="002F076C">
        <w:rPr>
          <w:rFonts w:ascii="Calibri" w:hAnsi="Calibri" w:cs="Calibri"/>
          <w:b/>
          <w:bCs/>
          <w:color w:val="000000" w:themeColor="text1"/>
          <w:sz w:val="20"/>
        </w:rPr>
        <w:t>Výhled na</w:t>
      </w:r>
      <w:r w:rsidR="00F11D98">
        <w:rPr>
          <w:rFonts w:ascii="Calibri" w:hAnsi="Calibri" w:cs="Calibri"/>
          <w:b/>
          <w:bCs/>
          <w:color w:val="000000" w:themeColor="text1"/>
          <w:sz w:val="20"/>
        </w:rPr>
        <w:t xml:space="preserve"> křehké</w:t>
      </w:r>
      <w:r w:rsidRPr="002F076C">
        <w:rPr>
          <w:rFonts w:ascii="Calibri" w:hAnsi="Calibri" w:cs="Calibri"/>
          <w:b/>
          <w:bCs/>
          <w:color w:val="000000" w:themeColor="text1"/>
          <w:sz w:val="20"/>
        </w:rPr>
        <w:t xml:space="preserve"> oživení ekonomiky eurozóny </w:t>
      </w:r>
      <w:r w:rsidR="00F11D98">
        <w:rPr>
          <w:rFonts w:ascii="Calibri" w:hAnsi="Calibri" w:cs="Calibri"/>
          <w:b/>
          <w:bCs/>
          <w:color w:val="000000" w:themeColor="text1"/>
          <w:sz w:val="20"/>
        </w:rPr>
        <w:t>okolo 1 % zůstává na horizontu predikce.</w:t>
      </w:r>
      <w:r>
        <w:rPr>
          <w:rFonts w:ascii="Calibri" w:hAnsi="Calibri" w:cs="Calibri"/>
          <w:color w:val="000000" w:themeColor="text1"/>
          <w:sz w:val="20"/>
        </w:rPr>
        <w:t xml:space="preserve"> </w:t>
      </w:r>
      <w:r w:rsidR="00F11D98">
        <w:rPr>
          <w:rFonts w:ascii="Calibri" w:hAnsi="Calibri" w:cs="Calibri"/>
          <w:color w:val="000000" w:themeColor="text1"/>
          <w:sz w:val="20"/>
        </w:rPr>
        <w:t xml:space="preserve">V </w:t>
      </w:r>
      <w:r>
        <w:rPr>
          <w:rFonts w:ascii="Calibri" w:hAnsi="Calibri" w:cs="Calibri"/>
          <w:color w:val="000000" w:themeColor="text1"/>
          <w:sz w:val="20"/>
        </w:rPr>
        <w:t xml:space="preserve">letošním a příštím roce </w:t>
      </w:r>
      <w:r w:rsidR="00F11D98">
        <w:rPr>
          <w:rFonts w:ascii="Calibri" w:hAnsi="Calibri" w:cs="Calibri"/>
          <w:color w:val="000000" w:themeColor="text1"/>
          <w:sz w:val="20"/>
        </w:rPr>
        <w:t xml:space="preserve">čekáme opět pouze </w:t>
      </w:r>
      <w:r>
        <w:rPr>
          <w:rFonts w:ascii="Calibri" w:hAnsi="Calibri" w:cs="Calibri"/>
          <w:color w:val="000000" w:themeColor="text1"/>
          <w:sz w:val="20"/>
        </w:rPr>
        <w:t>pozvoln</w:t>
      </w:r>
      <w:r w:rsidR="002930C9">
        <w:rPr>
          <w:rFonts w:ascii="Calibri" w:hAnsi="Calibri" w:cs="Calibri"/>
          <w:color w:val="000000" w:themeColor="text1"/>
          <w:sz w:val="20"/>
        </w:rPr>
        <w:t>ý růst</w:t>
      </w:r>
      <w:r>
        <w:rPr>
          <w:rFonts w:ascii="Calibri" w:hAnsi="Calibri" w:cs="Calibri"/>
          <w:color w:val="000000" w:themeColor="text1"/>
          <w:sz w:val="20"/>
        </w:rPr>
        <w:t xml:space="preserve"> </w:t>
      </w:r>
      <w:r w:rsidR="00F11D98">
        <w:rPr>
          <w:rFonts w:ascii="Calibri" w:hAnsi="Calibri" w:cs="Calibri"/>
          <w:color w:val="000000" w:themeColor="text1"/>
          <w:sz w:val="20"/>
        </w:rPr>
        <w:t xml:space="preserve">eurozóny </w:t>
      </w:r>
      <w:r>
        <w:rPr>
          <w:rFonts w:ascii="Calibri" w:hAnsi="Calibri" w:cs="Calibri"/>
          <w:color w:val="000000" w:themeColor="text1"/>
          <w:sz w:val="20"/>
        </w:rPr>
        <w:t xml:space="preserve">o </w:t>
      </w:r>
      <w:r w:rsidR="00F11D98">
        <w:rPr>
          <w:rFonts w:ascii="Calibri" w:hAnsi="Calibri" w:cs="Calibri"/>
          <w:color w:val="000000" w:themeColor="text1"/>
          <w:sz w:val="20"/>
        </w:rPr>
        <w:t>0,9</w:t>
      </w:r>
      <w:r>
        <w:rPr>
          <w:rFonts w:ascii="Calibri" w:hAnsi="Calibri" w:cs="Calibri"/>
          <w:color w:val="000000" w:themeColor="text1"/>
          <w:sz w:val="20"/>
        </w:rPr>
        <w:t xml:space="preserve"> % a 1,2 % meziročně, což je o </w:t>
      </w:r>
      <w:r w:rsidR="00F91676">
        <w:rPr>
          <w:rFonts w:ascii="Calibri" w:hAnsi="Calibri" w:cs="Calibri"/>
          <w:color w:val="000000" w:themeColor="text1"/>
          <w:sz w:val="20"/>
        </w:rPr>
        <w:t>0,1% bodu</w:t>
      </w:r>
      <w:r>
        <w:rPr>
          <w:rFonts w:ascii="Calibri" w:hAnsi="Calibri" w:cs="Calibri"/>
          <w:color w:val="000000" w:themeColor="text1"/>
          <w:sz w:val="20"/>
        </w:rPr>
        <w:t xml:space="preserve"> slabší </w:t>
      </w:r>
      <w:r w:rsidR="002930C9">
        <w:rPr>
          <w:rFonts w:ascii="Calibri" w:hAnsi="Calibri" w:cs="Calibri"/>
          <w:color w:val="000000" w:themeColor="text1"/>
          <w:sz w:val="20"/>
        </w:rPr>
        <w:t xml:space="preserve">výkon </w:t>
      </w:r>
      <w:r>
        <w:rPr>
          <w:rFonts w:ascii="Calibri" w:hAnsi="Calibri" w:cs="Calibri"/>
          <w:color w:val="000000" w:themeColor="text1"/>
          <w:sz w:val="20"/>
        </w:rPr>
        <w:t>než v</w:t>
      </w:r>
      <w:r w:rsidR="002930C9">
        <w:rPr>
          <w:rFonts w:ascii="Calibri" w:hAnsi="Calibri" w:cs="Calibri"/>
          <w:color w:val="000000" w:themeColor="text1"/>
          <w:sz w:val="20"/>
        </w:rPr>
        <w:t> </w:t>
      </w:r>
      <w:r>
        <w:rPr>
          <w:rFonts w:ascii="Calibri" w:hAnsi="Calibri" w:cs="Calibri"/>
          <w:color w:val="000000" w:themeColor="text1"/>
          <w:sz w:val="20"/>
        </w:rPr>
        <w:t>minul</w:t>
      </w:r>
      <w:r w:rsidR="002930C9">
        <w:rPr>
          <w:rFonts w:ascii="Calibri" w:hAnsi="Calibri" w:cs="Calibri"/>
          <w:color w:val="000000" w:themeColor="text1"/>
          <w:sz w:val="20"/>
        </w:rPr>
        <w:t>é prognóze</w:t>
      </w:r>
      <w:r w:rsidR="00F91676">
        <w:rPr>
          <w:rFonts w:ascii="Calibri" w:hAnsi="Calibri" w:cs="Calibri"/>
          <w:color w:val="000000" w:themeColor="text1"/>
          <w:sz w:val="20"/>
        </w:rPr>
        <w:t xml:space="preserve">. </w:t>
      </w:r>
      <w:r>
        <w:rPr>
          <w:rFonts w:ascii="Calibri" w:hAnsi="Calibri" w:cs="Calibri"/>
          <w:color w:val="000000" w:themeColor="text1"/>
          <w:sz w:val="20"/>
        </w:rPr>
        <w:t>To</w:t>
      </w:r>
      <w:r w:rsidR="00E91C6C" w:rsidRPr="00D50C16">
        <w:rPr>
          <w:rFonts w:ascii="Calibri" w:hAnsi="Calibri" w:cs="Calibri"/>
          <w:color w:val="000000" w:themeColor="text1"/>
          <w:sz w:val="20"/>
        </w:rPr>
        <w:t xml:space="preserve"> </w:t>
      </w:r>
      <w:r w:rsidR="00F11D98">
        <w:rPr>
          <w:rFonts w:ascii="Calibri" w:hAnsi="Calibri" w:cs="Calibri"/>
          <w:color w:val="000000" w:themeColor="text1"/>
          <w:sz w:val="20"/>
        </w:rPr>
        <w:t>stále</w:t>
      </w:r>
      <w:r w:rsidR="00E91C6C" w:rsidRPr="00D50C16">
        <w:rPr>
          <w:rFonts w:ascii="Calibri" w:hAnsi="Calibri" w:cs="Calibri"/>
          <w:color w:val="000000" w:themeColor="text1"/>
          <w:sz w:val="20"/>
        </w:rPr>
        <w:t xml:space="preserve"> </w:t>
      </w:r>
      <w:r>
        <w:rPr>
          <w:rFonts w:ascii="Calibri" w:hAnsi="Calibri" w:cs="Calibri"/>
          <w:color w:val="000000" w:themeColor="text1"/>
          <w:sz w:val="20"/>
        </w:rPr>
        <w:t xml:space="preserve">odráží </w:t>
      </w:r>
      <w:r w:rsidR="00E91C6C" w:rsidRPr="00D50C16">
        <w:rPr>
          <w:rFonts w:ascii="Calibri" w:hAnsi="Calibri" w:cs="Calibri"/>
          <w:color w:val="000000" w:themeColor="text1"/>
          <w:sz w:val="20"/>
        </w:rPr>
        <w:t xml:space="preserve">slabší </w:t>
      </w:r>
      <w:r w:rsidR="002930C9">
        <w:rPr>
          <w:rFonts w:ascii="Calibri" w:hAnsi="Calibri" w:cs="Calibri"/>
          <w:color w:val="000000" w:themeColor="text1"/>
          <w:sz w:val="20"/>
        </w:rPr>
        <w:t>výhled</w:t>
      </w:r>
      <w:r w:rsidR="00E91C6C" w:rsidRPr="00D50C16">
        <w:rPr>
          <w:rFonts w:ascii="Calibri" w:hAnsi="Calibri" w:cs="Calibri"/>
          <w:color w:val="000000" w:themeColor="text1"/>
          <w:sz w:val="20"/>
        </w:rPr>
        <w:t xml:space="preserve"> na průmyslově a exportně orientovan</w:t>
      </w:r>
      <w:r w:rsidR="00F11D98">
        <w:rPr>
          <w:rFonts w:ascii="Calibri" w:hAnsi="Calibri" w:cs="Calibri"/>
          <w:color w:val="000000" w:themeColor="text1"/>
          <w:sz w:val="20"/>
        </w:rPr>
        <w:t>ou část</w:t>
      </w:r>
      <w:r w:rsidR="00E91C6C" w:rsidRPr="00D50C16">
        <w:rPr>
          <w:rFonts w:ascii="Calibri" w:hAnsi="Calibri" w:cs="Calibri"/>
          <w:color w:val="000000" w:themeColor="text1"/>
          <w:sz w:val="20"/>
        </w:rPr>
        <w:t xml:space="preserve"> ekonomiky, </w:t>
      </w:r>
      <w:r w:rsidR="00F11D98">
        <w:rPr>
          <w:rFonts w:ascii="Calibri" w:hAnsi="Calibri" w:cs="Calibri"/>
          <w:color w:val="000000" w:themeColor="text1"/>
          <w:sz w:val="20"/>
        </w:rPr>
        <w:t>která se v letošním roce dostává pod tlak zvýšených cel na vývozy do USA</w:t>
      </w:r>
      <w:r w:rsidR="002930C9">
        <w:rPr>
          <w:rFonts w:ascii="Calibri" w:hAnsi="Calibri" w:cs="Calibri"/>
          <w:color w:val="000000" w:themeColor="text1"/>
          <w:sz w:val="20"/>
        </w:rPr>
        <w:t xml:space="preserve">. Ty </w:t>
      </w:r>
      <w:r w:rsidR="00F11D98">
        <w:rPr>
          <w:rFonts w:ascii="Calibri" w:hAnsi="Calibri" w:cs="Calibri"/>
          <w:color w:val="000000" w:themeColor="text1"/>
          <w:sz w:val="20"/>
        </w:rPr>
        <w:t xml:space="preserve">zasahují více Německo, </w:t>
      </w:r>
      <w:r w:rsidR="00E91C6C" w:rsidRPr="00D50C16">
        <w:rPr>
          <w:rFonts w:ascii="Calibri" w:hAnsi="Calibri" w:cs="Calibri"/>
          <w:color w:val="000000" w:themeColor="text1"/>
          <w:sz w:val="20"/>
        </w:rPr>
        <w:t xml:space="preserve">jehož ekonomika by měla </w:t>
      </w:r>
      <w:r w:rsidR="00F11D98">
        <w:rPr>
          <w:rFonts w:ascii="Calibri" w:hAnsi="Calibri" w:cs="Calibri"/>
          <w:color w:val="000000" w:themeColor="text1"/>
          <w:sz w:val="20"/>
        </w:rPr>
        <w:t xml:space="preserve">v letošním roce </w:t>
      </w:r>
      <w:r w:rsidR="00D50C16" w:rsidRPr="00D50C16">
        <w:rPr>
          <w:rFonts w:ascii="Calibri" w:hAnsi="Calibri" w:cs="Calibri"/>
          <w:color w:val="000000" w:themeColor="text1"/>
          <w:sz w:val="20"/>
        </w:rPr>
        <w:t>podle konsensu</w:t>
      </w:r>
      <w:r w:rsidR="00F11D98">
        <w:rPr>
          <w:rFonts w:ascii="Calibri" w:hAnsi="Calibri" w:cs="Calibri"/>
          <w:color w:val="000000" w:themeColor="text1"/>
          <w:sz w:val="20"/>
        </w:rPr>
        <w:t xml:space="preserve"> zažit spíše stagnaci než oživení. Navržený vládní balíček na </w:t>
      </w:r>
      <w:r w:rsidR="002930C9">
        <w:rPr>
          <w:rFonts w:ascii="Calibri" w:hAnsi="Calibri" w:cs="Calibri"/>
          <w:color w:val="000000" w:themeColor="text1"/>
          <w:sz w:val="20"/>
        </w:rPr>
        <w:t>podporu</w:t>
      </w:r>
      <w:r w:rsidR="00F11D98">
        <w:rPr>
          <w:rFonts w:ascii="Calibri" w:hAnsi="Calibri" w:cs="Calibri"/>
          <w:color w:val="000000" w:themeColor="text1"/>
          <w:sz w:val="20"/>
        </w:rPr>
        <w:t xml:space="preserve"> její ekonomiky vytváří pozitivní prostředí</w:t>
      </w:r>
      <w:r w:rsidR="00214FAB">
        <w:rPr>
          <w:rFonts w:ascii="Calibri" w:hAnsi="Calibri" w:cs="Calibri"/>
          <w:color w:val="000000" w:themeColor="text1"/>
          <w:sz w:val="20"/>
        </w:rPr>
        <w:t xml:space="preserve"> pro</w:t>
      </w:r>
      <w:r w:rsidR="00F11D98">
        <w:rPr>
          <w:rFonts w:ascii="Calibri" w:hAnsi="Calibri" w:cs="Calibri"/>
          <w:color w:val="000000" w:themeColor="text1"/>
          <w:sz w:val="20"/>
        </w:rPr>
        <w:t xml:space="preserve"> českou ekonomiku až v příštím roce. </w:t>
      </w:r>
      <w:r w:rsidR="002930C9">
        <w:rPr>
          <w:rFonts w:ascii="Calibri" w:hAnsi="Calibri" w:cs="Calibri"/>
          <w:color w:val="000000" w:themeColor="text1"/>
          <w:sz w:val="20"/>
        </w:rPr>
        <w:t xml:space="preserve">Hospodářský vývoj v eurozóně </w:t>
      </w:r>
      <w:r w:rsidR="00D50C16">
        <w:rPr>
          <w:rFonts w:ascii="Calibri" w:hAnsi="Calibri" w:cs="Calibri"/>
          <w:color w:val="000000" w:themeColor="text1"/>
          <w:sz w:val="20"/>
        </w:rPr>
        <w:t xml:space="preserve">pravděpodobně </w:t>
      </w:r>
      <w:r>
        <w:rPr>
          <w:rFonts w:ascii="Calibri" w:hAnsi="Calibri" w:cs="Calibri"/>
          <w:color w:val="000000" w:themeColor="text1"/>
          <w:sz w:val="20"/>
        </w:rPr>
        <w:t xml:space="preserve">vyústí v o něco silnější </w:t>
      </w:r>
      <w:r w:rsidR="00D50C16">
        <w:rPr>
          <w:rFonts w:ascii="Calibri" w:hAnsi="Calibri" w:cs="Calibri"/>
          <w:color w:val="000000" w:themeColor="text1"/>
          <w:sz w:val="20"/>
        </w:rPr>
        <w:t>snížení úrokové sazby ECB</w:t>
      </w:r>
      <w:r>
        <w:rPr>
          <w:rFonts w:ascii="Calibri" w:hAnsi="Calibri" w:cs="Calibri"/>
          <w:color w:val="000000" w:themeColor="text1"/>
          <w:sz w:val="20"/>
        </w:rPr>
        <w:t xml:space="preserve">, než předpokládala podzimní predikce. </w:t>
      </w:r>
      <w:r w:rsidR="0055128F">
        <w:rPr>
          <w:rFonts w:ascii="Calibri" w:hAnsi="Calibri" w:cs="Calibri"/>
          <w:color w:val="000000" w:themeColor="text1"/>
          <w:sz w:val="20"/>
        </w:rPr>
        <w:t>ECB by měla svou r</w:t>
      </w:r>
      <w:r w:rsidR="00D50C16">
        <w:rPr>
          <w:rFonts w:ascii="Calibri" w:hAnsi="Calibri" w:cs="Calibri"/>
          <w:color w:val="000000" w:themeColor="text1"/>
          <w:sz w:val="20"/>
        </w:rPr>
        <w:t xml:space="preserve">efinanční </w:t>
      </w:r>
      <w:r w:rsidR="004C4302">
        <w:rPr>
          <w:rFonts w:ascii="Calibri" w:hAnsi="Calibri" w:cs="Calibri"/>
          <w:color w:val="000000" w:themeColor="text1"/>
          <w:sz w:val="20"/>
        </w:rPr>
        <w:t>sazb</w:t>
      </w:r>
      <w:r w:rsidR="0055128F">
        <w:rPr>
          <w:rFonts w:ascii="Calibri" w:hAnsi="Calibri" w:cs="Calibri"/>
          <w:color w:val="000000" w:themeColor="text1"/>
          <w:sz w:val="20"/>
        </w:rPr>
        <w:t xml:space="preserve">u </w:t>
      </w:r>
      <w:r w:rsidR="00D50C16">
        <w:rPr>
          <w:rFonts w:ascii="Calibri" w:hAnsi="Calibri" w:cs="Calibri"/>
          <w:color w:val="000000" w:themeColor="text1"/>
          <w:sz w:val="20"/>
        </w:rPr>
        <w:t xml:space="preserve">již během letošního roku </w:t>
      </w:r>
      <w:r w:rsidR="0055128F">
        <w:rPr>
          <w:rFonts w:ascii="Calibri" w:hAnsi="Calibri" w:cs="Calibri"/>
          <w:color w:val="000000" w:themeColor="text1"/>
          <w:sz w:val="20"/>
        </w:rPr>
        <w:t>dále snížit o dalšího půl procentního bodu na 1,9</w:t>
      </w:r>
      <w:r w:rsidR="00D50C16">
        <w:rPr>
          <w:rFonts w:ascii="Calibri" w:hAnsi="Calibri" w:cs="Calibri"/>
          <w:color w:val="000000" w:themeColor="text1"/>
          <w:sz w:val="20"/>
        </w:rPr>
        <w:t xml:space="preserve"> </w:t>
      </w:r>
      <w:r>
        <w:rPr>
          <w:rFonts w:ascii="Calibri" w:hAnsi="Calibri" w:cs="Calibri"/>
          <w:color w:val="000000" w:themeColor="text1"/>
          <w:sz w:val="20"/>
        </w:rPr>
        <w:t xml:space="preserve">% a </w:t>
      </w:r>
      <w:r w:rsidR="00D50C16">
        <w:rPr>
          <w:rFonts w:ascii="Calibri" w:hAnsi="Calibri" w:cs="Calibri"/>
          <w:color w:val="000000" w:themeColor="text1"/>
          <w:sz w:val="20"/>
        </w:rPr>
        <w:t>depozitní sazb</w:t>
      </w:r>
      <w:r w:rsidR="0055128F">
        <w:rPr>
          <w:rFonts w:ascii="Calibri" w:hAnsi="Calibri" w:cs="Calibri"/>
          <w:color w:val="000000" w:themeColor="text1"/>
          <w:sz w:val="20"/>
        </w:rPr>
        <w:t>u na 1</w:t>
      </w:r>
      <w:r w:rsidR="002930C9">
        <w:rPr>
          <w:rFonts w:ascii="Calibri" w:hAnsi="Calibri" w:cs="Calibri"/>
          <w:color w:val="000000" w:themeColor="text1"/>
          <w:sz w:val="20"/>
        </w:rPr>
        <w:t>,</w:t>
      </w:r>
      <w:r w:rsidR="0055128F">
        <w:rPr>
          <w:rFonts w:ascii="Calibri" w:hAnsi="Calibri" w:cs="Calibri"/>
          <w:color w:val="000000" w:themeColor="text1"/>
          <w:sz w:val="20"/>
        </w:rPr>
        <w:t>75</w:t>
      </w:r>
      <w:r w:rsidR="00D50C16">
        <w:rPr>
          <w:rFonts w:ascii="Calibri" w:hAnsi="Calibri" w:cs="Calibri"/>
          <w:color w:val="000000" w:themeColor="text1"/>
          <w:sz w:val="20"/>
        </w:rPr>
        <w:t xml:space="preserve"> %</w:t>
      </w:r>
      <w:r w:rsidR="004C4302">
        <w:rPr>
          <w:rFonts w:ascii="Calibri" w:hAnsi="Calibri" w:cs="Calibri"/>
          <w:color w:val="000000" w:themeColor="text1"/>
          <w:sz w:val="20"/>
        </w:rPr>
        <w:t xml:space="preserve">. </w:t>
      </w:r>
      <w:r w:rsidR="009D6384">
        <w:rPr>
          <w:rFonts w:ascii="Calibri" w:hAnsi="Calibri" w:cs="Calibri"/>
          <w:color w:val="000000" w:themeColor="text1"/>
          <w:sz w:val="20"/>
        </w:rPr>
        <w:t>Výhled předpokládá d</w:t>
      </w:r>
      <w:r w:rsidR="00D93419">
        <w:rPr>
          <w:rFonts w:ascii="Calibri" w:hAnsi="Calibri" w:cs="Calibri"/>
          <w:color w:val="000000" w:themeColor="text1"/>
          <w:sz w:val="20"/>
        </w:rPr>
        <w:t>es</w:t>
      </w:r>
      <w:r w:rsidR="009D6384">
        <w:rPr>
          <w:rFonts w:ascii="Calibri" w:hAnsi="Calibri" w:cs="Calibri"/>
          <w:color w:val="000000" w:themeColor="text1"/>
          <w:sz w:val="20"/>
        </w:rPr>
        <w:t xml:space="preserve">inflační působení nižších cen ropy, které by se mohly ustálit okolo 65 dolarů za barel i pro příští rok. </w:t>
      </w:r>
    </w:p>
    <w:p w14:paraId="007822CE" w14:textId="77777777" w:rsidR="0055128F" w:rsidRDefault="0055128F" w:rsidP="00786866">
      <w:pPr>
        <w:rPr>
          <w:rFonts w:ascii="Calibri" w:hAnsi="Calibri" w:cs="Calibri"/>
          <w:color w:val="000000" w:themeColor="text1"/>
          <w:sz w:val="20"/>
        </w:rPr>
      </w:pPr>
    </w:p>
    <w:p w14:paraId="3579B5CD" w14:textId="4D921985" w:rsidR="009D6384" w:rsidRPr="00906FDC" w:rsidRDefault="009D6384" w:rsidP="009D6384">
      <w:pPr>
        <w:rPr>
          <w:rFonts w:ascii="Calibri" w:hAnsi="Calibri" w:cs="Calibri"/>
          <w:b/>
          <w:color w:val="13576B"/>
          <w:sz w:val="22"/>
          <w:szCs w:val="22"/>
        </w:rPr>
      </w:pPr>
      <w:r>
        <w:rPr>
          <w:rFonts w:ascii="Calibri" w:hAnsi="Calibri" w:cs="Calibri"/>
          <w:b/>
          <w:color w:val="13576B"/>
          <w:sz w:val="22"/>
          <w:szCs w:val="22"/>
        </w:rPr>
        <w:t>Anketa ČBA: 12% americká cla sníží v letech 2025 až 2026 české HDP o 0,8 % bodu s možnými desinflačními tlaky</w:t>
      </w:r>
    </w:p>
    <w:p w14:paraId="4FFCB951" w14:textId="1F443E54" w:rsidR="00D50C16" w:rsidRDefault="009D6384" w:rsidP="00786866">
      <w:pPr>
        <w:rPr>
          <w:rFonts w:ascii="Calibri" w:hAnsi="Calibri" w:cs="Calibri"/>
          <w:color w:val="000000" w:themeColor="text1"/>
          <w:sz w:val="20"/>
        </w:rPr>
      </w:pPr>
      <w:r>
        <w:rPr>
          <w:rFonts w:ascii="Calibri" w:hAnsi="Calibri" w:cs="Calibri"/>
          <w:color w:val="000000" w:themeColor="text1"/>
          <w:sz w:val="20"/>
        </w:rPr>
        <w:t>Jelikož obchodní války Trumpov</w:t>
      </w:r>
      <w:r w:rsidR="007C2DA0">
        <w:rPr>
          <w:rFonts w:ascii="Calibri" w:hAnsi="Calibri" w:cs="Calibri"/>
          <w:color w:val="000000" w:themeColor="text1"/>
          <w:sz w:val="20"/>
        </w:rPr>
        <w:t>y</w:t>
      </w:r>
      <w:r>
        <w:rPr>
          <w:rFonts w:ascii="Calibri" w:hAnsi="Calibri" w:cs="Calibri"/>
          <w:color w:val="000000" w:themeColor="text1"/>
          <w:sz w:val="20"/>
        </w:rPr>
        <w:t xml:space="preserve"> administrativy výrazně zvýšil</w:t>
      </w:r>
      <w:r w:rsidR="009B0E09">
        <w:rPr>
          <w:rFonts w:ascii="Calibri" w:hAnsi="Calibri" w:cs="Calibri"/>
          <w:color w:val="000000" w:themeColor="text1"/>
          <w:sz w:val="20"/>
        </w:rPr>
        <w:t>y</w:t>
      </w:r>
      <w:r>
        <w:rPr>
          <w:rFonts w:ascii="Calibri" w:hAnsi="Calibri" w:cs="Calibri"/>
          <w:color w:val="000000" w:themeColor="text1"/>
          <w:sz w:val="20"/>
        </w:rPr>
        <w:t xml:space="preserve"> míru nejistoty v ekonomice, zaměřili jsme se opět na toto téma v naší anketě mezi </w:t>
      </w:r>
      <w:proofErr w:type="spellStart"/>
      <w:r>
        <w:rPr>
          <w:rFonts w:ascii="Calibri" w:hAnsi="Calibri" w:cs="Calibri"/>
          <w:color w:val="000000" w:themeColor="text1"/>
          <w:sz w:val="20"/>
        </w:rPr>
        <w:t>panelisty</w:t>
      </w:r>
      <w:proofErr w:type="spellEnd"/>
      <w:r>
        <w:rPr>
          <w:rFonts w:ascii="Calibri" w:hAnsi="Calibri" w:cs="Calibri"/>
          <w:color w:val="000000" w:themeColor="text1"/>
          <w:sz w:val="20"/>
        </w:rPr>
        <w:t xml:space="preserve"> prognózy.</w:t>
      </w:r>
      <w:r w:rsidR="00594F62">
        <w:rPr>
          <w:rFonts w:ascii="Calibri" w:hAnsi="Calibri" w:cs="Calibri"/>
          <w:color w:val="000000" w:themeColor="text1"/>
          <w:sz w:val="20"/>
        </w:rPr>
        <w:t xml:space="preserve"> </w:t>
      </w:r>
      <w:r w:rsidR="00594F62" w:rsidRPr="00594F62">
        <w:rPr>
          <w:rFonts w:ascii="Calibri" w:hAnsi="Calibri" w:cs="Calibri"/>
          <w:b/>
          <w:bCs/>
          <w:color w:val="000000" w:themeColor="text1"/>
          <w:sz w:val="20"/>
        </w:rPr>
        <w:t>Za prvé</w:t>
      </w:r>
      <w:r w:rsidR="00594F62">
        <w:rPr>
          <w:rFonts w:ascii="Calibri" w:hAnsi="Calibri" w:cs="Calibri"/>
          <w:color w:val="000000" w:themeColor="text1"/>
          <w:sz w:val="20"/>
        </w:rPr>
        <w:t>, k</w:t>
      </w:r>
      <w:r>
        <w:rPr>
          <w:rFonts w:ascii="Calibri" w:hAnsi="Calibri" w:cs="Calibri"/>
          <w:color w:val="000000" w:themeColor="text1"/>
          <w:sz w:val="20"/>
        </w:rPr>
        <w:t xml:space="preserve">onsensus předpokládá americká cla na evropské dovozy v roce 2026 na </w:t>
      </w:r>
      <w:r w:rsidR="004B1725">
        <w:rPr>
          <w:rFonts w:ascii="Calibri" w:hAnsi="Calibri" w:cs="Calibri"/>
          <w:color w:val="000000" w:themeColor="text1"/>
          <w:sz w:val="20"/>
        </w:rPr>
        <w:t xml:space="preserve">průměrné </w:t>
      </w:r>
      <w:r>
        <w:rPr>
          <w:rFonts w:ascii="Calibri" w:hAnsi="Calibri" w:cs="Calibri"/>
          <w:color w:val="000000" w:themeColor="text1"/>
          <w:sz w:val="20"/>
        </w:rPr>
        <w:t>úrovni 12 %</w:t>
      </w:r>
      <w:r w:rsidR="004B1725">
        <w:rPr>
          <w:rFonts w:ascii="Calibri" w:hAnsi="Calibri" w:cs="Calibri"/>
          <w:color w:val="000000" w:themeColor="text1"/>
          <w:sz w:val="20"/>
        </w:rPr>
        <w:t xml:space="preserve"> (</w:t>
      </w:r>
      <w:r>
        <w:rPr>
          <w:rFonts w:ascii="Calibri" w:hAnsi="Calibri" w:cs="Calibri"/>
          <w:color w:val="000000" w:themeColor="text1"/>
          <w:sz w:val="20"/>
        </w:rPr>
        <w:t>výše pro vybrané segmenty jako automobily, ocel, hliník, farmacie</w:t>
      </w:r>
      <w:r w:rsidR="004B1725">
        <w:rPr>
          <w:rFonts w:ascii="Calibri" w:hAnsi="Calibri" w:cs="Calibri"/>
          <w:color w:val="000000" w:themeColor="text1"/>
          <w:sz w:val="20"/>
        </w:rPr>
        <w:t>)</w:t>
      </w:r>
      <w:r>
        <w:rPr>
          <w:rFonts w:ascii="Calibri" w:hAnsi="Calibri" w:cs="Calibri"/>
          <w:color w:val="000000" w:themeColor="text1"/>
          <w:sz w:val="20"/>
        </w:rPr>
        <w:t xml:space="preserve">. </w:t>
      </w:r>
      <w:r w:rsidR="00594F62" w:rsidRPr="00594F62">
        <w:rPr>
          <w:rFonts w:ascii="Calibri" w:hAnsi="Calibri" w:cs="Calibri"/>
          <w:b/>
          <w:bCs/>
          <w:color w:val="000000" w:themeColor="text1"/>
          <w:sz w:val="20"/>
        </w:rPr>
        <w:t>Za druhé</w:t>
      </w:r>
      <w:r w:rsidR="00594F62">
        <w:rPr>
          <w:rFonts w:ascii="Calibri" w:hAnsi="Calibri" w:cs="Calibri"/>
          <w:color w:val="000000" w:themeColor="text1"/>
          <w:sz w:val="20"/>
        </w:rPr>
        <w:t xml:space="preserve">, celní války by měly </w:t>
      </w:r>
      <w:r>
        <w:rPr>
          <w:rFonts w:ascii="Calibri" w:hAnsi="Calibri" w:cs="Calibri"/>
          <w:color w:val="000000" w:themeColor="text1"/>
          <w:sz w:val="20"/>
        </w:rPr>
        <w:t xml:space="preserve">během let 2025 a 2026 vést k pomalejšímu růstu české ekonomiky o 0,8 % bodu (1% bod nominálního českého HDP je přibližně 80 mld. Kč). </w:t>
      </w:r>
      <w:r w:rsidRPr="00594F62">
        <w:rPr>
          <w:rFonts w:ascii="Calibri" w:hAnsi="Calibri" w:cs="Calibri"/>
          <w:b/>
          <w:bCs/>
          <w:color w:val="000000" w:themeColor="text1"/>
          <w:sz w:val="20"/>
        </w:rPr>
        <w:t>Z</w:t>
      </w:r>
      <w:r w:rsidR="00594F62" w:rsidRPr="00594F62">
        <w:rPr>
          <w:rFonts w:ascii="Calibri" w:hAnsi="Calibri" w:cs="Calibri"/>
          <w:b/>
          <w:bCs/>
          <w:color w:val="000000" w:themeColor="text1"/>
          <w:sz w:val="20"/>
        </w:rPr>
        <w:t xml:space="preserve">a třetí, </w:t>
      </w:r>
      <w:r w:rsidR="00594F62">
        <w:rPr>
          <w:rFonts w:ascii="Calibri" w:hAnsi="Calibri" w:cs="Calibri"/>
          <w:color w:val="000000" w:themeColor="text1"/>
          <w:sz w:val="20"/>
        </w:rPr>
        <w:t>pol</w:t>
      </w:r>
      <w:r>
        <w:rPr>
          <w:rFonts w:ascii="Calibri" w:hAnsi="Calibri" w:cs="Calibri"/>
          <w:color w:val="000000" w:themeColor="text1"/>
          <w:sz w:val="20"/>
        </w:rPr>
        <w:t>ovina respondentů předpokládá dodatečný d</w:t>
      </w:r>
      <w:r w:rsidR="00D93419">
        <w:rPr>
          <w:rFonts w:ascii="Calibri" w:hAnsi="Calibri" w:cs="Calibri"/>
          <w:color w:val="000000" w:themeColor="text1"/>
          <w:sz w:val="20"/>
        </w:rPr>
        <w:t>es</w:t>
      </w:r>
      <w:r>
        <w:rPr>
          <w:rFonts w:ascii="Calibri" w:hAnsi="Calibri" w:cs="Calibri"/>
          <w:color w:val="000000" w:themeColor="text1"/>
          <w:sz w:val="20"/>
        </w:rPr>
        <w:t xml:space="preserve">inflační tlak na české ceny z americko-čínských obchodních válek, </w:t>
      </w:r>
      <w:r w:rsidR="00594F62">
        <w:rPr>
          <w:rFonts w:ascii="Calibri" w:hAnsi="Calibri" w:cs="Calibri"/>
          <w:color w:val="000000" w:themeColor="text1"/>
          <w:sz w:val="20"/>
        </w:rPr>
        <w:t xml:space="preserve">ovšem </w:t>
      </w:r>
      <w:r>
        <w:rPr>
          <w:rFonts w:ascii="Calibri" w:hAnsi="Calibri" w:cs="Calibri"/>
          <w:color w:val="000000" w:themeColor="text1"/>
          <w:sz w:val="20"/>
        </w:rPr>
        <w:t xml:space="preserve">druhá poloviny analytiků tento dopad nepředpokládá. </w:t>
      </w:r>
    </w:p>
    <w:p w14:paraId="45FCBAFB" w14:textId="05EB6A89" w:rsidR="009D6384" w:rsidRPr="00D50C16" w:rsidRDefault="009D6384" w:rsidP="00786866">
      <w:pPr>
        <w:rPr>
          <w:rFonts w:ascii="Calibri" w:hAnsi="Calibri" w:cs="Calibri"/>
          <w:color w:val="000000" w:themeColor="text1"/>
          <w:sz w:val="20"/>
        </w:rPr>
      </w:pPr>
    </w:p>
    <w:p w14:paraId="1598D954" w14:textId="7FB5644A" w:rsidR="00FC64FB" w:rsidRPr="00906FDC" w:rsidRDefault="004B1725" w:rsidP="00786866">
      <w:pPr>
        <w:rPr>
          <w:rFonts w:ascii="Calibri" w:hAnsi="Calibri" w:cs="Calibri"/>
          <w:sz w:val="20"/>
        </w:rPr>
      </w:pPr>
      <w:r w:rsidRPr="004B1725">
        <w:rPr>
          <w:rFonts w:ascii="Calibri" w:hAnsi="Calibri" w:cs="Calibri"/>
          <w:noProof/>
          <w:sz w:val="20"/>
        </w:rPr>
        <w:drawing>
          <wp:inline distT="0" distB="0" distL="0" distR="0" wp14:anchorId="4386B935" wp14:editId="289CF826">
            <wp:extent cx="3028950" cy="2224054"/>
            <wp:effectExtent l="0" t="0" r="0" b="5080"/>
            <wp:docPr id="1411589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1545" cy="2233302"/>
                    </a:xfrm>
                    <a:prstGeom prst="rect">
                      <a:avLst/>
                    </a:prstGeom>
                    <a:noFill/>
                    <a:ln>
                      <a:noFill/>
                    </a:ln>
                  </pic:spPr>
                </pic:pic>
              </a:graphicData>
            </a:graphic>
          </wp:inline>
        </w:drawing>
      </w:r>
      <w:r>
        <w:rPr>
          <w:noProof/>
        </w:rPr>
        <w:t xml:space="preserve">  </w:t>
      </w:r>
      <w:r w:rsidR="009D6384">
        <w:rPr>
          <w:noProof/>
        </w:rPr>
        <w:drawing>
          <wp:inline distT="0" distB="0" distL="0" distR="0" wp14:anchorId="6E04816D" wp14:editId="7D460C52">
            <wp:extent cx="3181350" cy="2224000"/>
            <wp:effectExtent l="0" t="0" r="0" b="5080"/>
            <wp:docPr id="1833167737"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67737" name="Picture 1" descr="A graph with numbers and lines&#10;&#10;AI-generated content may be incorrect."/>
                    <pic:cNvPicPr/>
                  </pic:nvPicPr>
                  <pic:blipFill>
                    <a:blip r:embed="rId10"/>
                    <a:stretch>
                      <a:fillRect/>
                    </a:stretch>
                  </pic:blipFill>
                  <pic:spPr>
                    <a:xfrm>
                      <a:off x="0" y="0"/>
                      <a:ext cx="3203799" cy="2239694"/>
                    </a:xfrm>
                    <a:prstGeom prst="rect">
                      <a:avLst/>
                    </a:prstGeom>
                  </pic:spPr>
                </pic:pic>
              </a:graphicData>
            </a:graphic>
          </wp:inline>
        </w:drawing>
      </w:r>
    </w:p>
    <w:p w14:paraId="5FDF0089" w14:textId="090E5BB0" w:rsidR="009976E2" w:rsidRDefault="009976E2" w:rsidP="009976E2">
      <w:pPr>
        <w:rPr>
          <w:rFonts w:ascii="Calibri" w:hAnsi="Calibri" w:cs="Calibri"/>
          <w:bCs/>
          <w:color w:val="13576B"/>
          <w:szCs w:val="18"/>
        </w:rPr>
      </w:pPr>
      <w:r w:rsidRPr="00FC64FB">
        <w:rPr>
          <w:rFonts w:ascii="Calibri" w:hAnsi="Calibri" w:cs="Calibri"/>
          <w:bCs/>
          <w:color w:val="13576B"/>
          <w:szCs w:val="18"/>
        </w:rPr>
        <w:t xml:space="preserve">Zdroj: </w:t>
      </w:r>
      <w:r>
        <w:rPr>
          <w:rFonts w:ascii="Calibri" w:hAnsi="Calibri" w:cs="Calibri"/>
          <w:bCs/>
          <w:color w:val="13576B"/>
          <w:szCs w:val="18"/>
        </w:rPr>
        <w:t xml:space="preserve">ČSÚ, </w:t>
      </w:r>
      <w:r w:rsidRPr="00FC64FB">
        <w:rPr>
          <w:rFonts w:ascii="Calibri" w:hAnsi="Calibri" w:cs="Calibri"/>
          <w:bCs/>
          <w:color w:val="13576B"/>
          <w:szCs w:val="18"/>
        </w:rPr>
        <w:t>Prognóza ČBA</w:t>
      </w:r>
    </w:p>
    <w:p w14:paraId="006A5CA6" w14:textId="70D43D3E" w:rsidR="009D6384" w:rsidRDefault="009976E2" w:rsidP="00AB39A4">
      <w:pPr>
        <w:rPr>
          <w:rFonts w:ascii="Calibri" w:hAnsi="Calibri" w:cs="Calibri"/>
          <w:b/>
          <w:color w:val="13576B"/>
          <w:sz w:val="22"/>
          <w:szCs w:val="22"/>
        </w:rPr>
      </w:pPr>
      <w:r w:rsidRPr="003503ED">
        <w:rPr>
          <w:b/>
          <w:bCs/>
          <w:noProof/>
          <w:color w:val="FF0000"/>
          <w:sz w:val="20"/>
        </w:rPr>
        <mc:AlternateContent>
          <mc:Choice Requires="wps">
            <w:drawing>
              <wp:anchor distT="45720" distB="45720" distL="114300" distR="114300" simplePos="0" relativeHeight="251670528" behindDoc="0" locked="0" layoutInCell="1" allowOverlap="1" wp14:anchorId="59E10A8F" wp14:editId="0F6B7068">
                <wp:simplePos x="0" y="0"/>
                <wp:positionH relativeFrom="margin">
                  <wp:align>left</wp:align>
                </wp:positionH>
                <wp:positionV relativeFrom="paragraph">
                  <wp:posOffset>245110</wp:posOffset>
                </wp:positionV>
                <wp:extent cx="6496050" cy="742950"/>
                <wp:effectExtent l="0" t="0" r="19050" b="1905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742950"/>
                        </a:xfrm>
                        <a:prstGeom prst="rect">
                          <a:avLst/>
                        </a:prstGeom>
                        <a:solidFill>
                          <a:srgbClr val="FFFFFF"/>
                        </a:solidFill>
                        <a:ln w="9525">
                          <a:solidFill>
                            <a:srgbClr val="000000"/>
                          </a:solidFill>
                          <a:miter lim="800000"/>
                          <a:headEnd/>
                          <a:tailEnd/>
                        </a:ln>
                      </wps:spPr>
                      <wps:txbx>
                        <w:txbxContent>
                          <w:p w14:paraId="67082FA1" w14:textId="73998C5F" w:rsidR="00B42B24" w:rsidRDefault="00B42B24" w:rsidP="00B42B24">
                            <w:pPr>
                              <w:rPr>
                                <w:rFonts w:ascii="Calibri" w:hAnsi="Calibri" w:cs="Calibri"/>
                                <w:b/>
                                <w:bCs/>
                                <w:sz w:val="20"/>
                              </w:rPr>
                            </w:pPr>
                            <w:r>
                              <w:rPr>
                                <w:rFonts w:ascii="Calibri" w:hAnsi="Calibri" w:cs="Calibri"/>
                                <w:b/>
                                <w:bCs/>
                                <w:sz w:val="20"/>
                              </w:rPr>
                              <w:t>Jan Vejmělek</w:t>
                            </w:r>
                            <w:r w:rsidRPr="00855C1D">
                              <w:rPr>
                                <w:rFonts w:ascii="Calibri" w:hAnsi="Calibri" w:cs="Calibri"/>
                                <w:b/>
                                <w:bCs/>
                                <w:sz w:val="20"/>
                              </w:rPr>
                              <w:t xml:space="preserve">, </w:t>
                            </w:r>
                            <w:r w:rsidRPr="002165FE">
                              <w:rPr>
                                <w:rFonts w:ascii="Calibri" w:hAnsi="Calibri" w:cs="Calibri"/>
                                <w:b/>
                                <w:bCs/>
                                <w:sz w:val="20"/>
                              </w:rPr>
                              <w:t xml:space="preserve">hlavní ekonom </w:t>
                            </w:r>
                            <w:r>
                              <w:rPr>
                                <w:rFonts w:ascii="Calibri" w:hAnsi="Calibri" w:cs="Calibri"/>
                                <w:b/>
                                <w:bCs/>
                                <w:sz w:val="20"/>
                              </w:rPr>
                              <w:t>Komerční banky:</w:t>
                            </w:r>
                          </w:p>
                          <w:p w14:paraId="2398E9F8" w14:textId="0BC5899F" w:rsidR="0037320F" w:rsidRPr="0037320F" w:rsidRDefault="00A85C43" w:rsidP="0037320F">
                            <w:pPr>
                              <w:rPr>
                                <w:rFonts w:ascii="Calibri" w:hAnsi="Calibri" w:cs="Calibri"/>
                                <w:i/>
                                <w:iCs/>
                                <w:color w:val="000000" w:themeColor="text1"/>
                                <w:sz w:val="20"/>
                              </w:rPr>
                            </w:pPr>
                            <w:r w:rsidRPr="00FC2DE4">
                              <w:rPr>
                                <w:rFonts w:ascii="Calibri" w:hAnsi="Calibri" w:cs="Calibri"/>
                                <w:i/>
                                <w:iCs/>
                                <w:sz w:val="20"/>
                              </w:rPr>
                              <w:t>„</w:t>
                            </w:r>
                            <w:r w:rsidR="0037320F" w:rsidRPr="0037320F">
                              <w:rPr>
                                <w:rFonts w:ascii="Calibri" w:hAnsi="Calibri" w:cs="Calibri"/>
                                <w:i/>
                                <w:iCs/>
                                <w:color w:val="000000" w:themeColor="text1"/>
                                <w:sz w:val="20"/>
                              </w:rPr>
                              <w:t>Česká ekonomika letos poroste. Rozpoutání obchodních válek a s tím související zvýšení globální ekonomické nejistoty se ale negativně podepíše na tuzemské investiční aktivitě i vývozech. Spolehnout se ale budeme moci na rostoucí spotřební výdaje domácností a vlády, a to i díky zvýšeným výdajům na obranu.</w:t>
                            </w:r>
                            <w:r w:rsidR="009B0E09">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10A8F" id="_x0000_t202" coordsize="21600,21600" o:spt="202" path="m,l,21600r21600,l21600,xe">
                <v:stroke joinstyle="miter"/>
                <v:path gradientshapeok="t" o:connecttype="rect"/>
              </v:shapetype>
              <v:shape id="Textové pole 1" o:spid="_x0000_s1026" type="#_x0000_t202" style="position:absolute;left:0;text-align:left;margin-left:0;margin-top:19.3pt;width:511.5pt;height:58.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">
                <v:textbox>
                  <w:txbxContent>
                    <w:p w14:paraId="67082FA1" w14:textId="73998C5F" w:rsidR="00B42B24" w:rsidRDefault="00B42B24" w:rsidP="00B42B24">
                      <w:pPr>
                        <w:rPr>
                          <w:rFonts w:ascii="Calibri" w:hAnsi="Calibri" w:cs="Calibri"/>
                          <w:b/>
                          <w:bCs/>
                          <w:sz w:val="20"/>
                        </w:rPr>
                      </w:pPr>
                      <w:r>
                        <w:rPr>
                          <w:rFonts w:ascii="Calibri" w:hAnsi="Calibri" w:cs="Calibri"/>
                          <w:b/>
                          <w:bCs/>
                          <w:sz w:val="20"/>
                        </w:rPr>
                        <w:t>Jan Vejmělek</w:t>
                      </w:r>
                      <w:r w:rsidRPr="00855C1D">
                        <w:rPr>
                          <w:rFonts w:ascii="Calibri" w:hAnsi="Calibri" w:cs="Calibri"/>
                          <w:b/>
                          <w:bCs/>
                          <w:sz w:val="20"/>
                        </w:rPr>
                        <w:t xml:space="preserve">, </w:t>
                      </w:r>
                      <w:r w:rsidRPr="002165FE">
                        <w:rPr>
                          <w:rFonts w:ascii="Calibri" w:hAnsi="Calibri" w:cs="Calibri"/>
                          <w:b/>
                          <w:bCs/>
                          <w:sz w:val="20"/>
                        </w:rPr>
                        <w:t xml:space="preserve">hlavní ekonom </w:t>
                      </w:r>
                      <w:r>
                        <w:rPr>
                          <w:rFonts w:ascii="Calibri" w:hAnsi="Calibri" w:cs="Calibri"/>
                          <w:b/>
                          <w:bCs/>
                          <w:sz w:val="20"/>
                        </w:rPr>
                        <w:t>Komerční banky:</w:t>
                      </w:r>
                    </w:p>
                    <w:p w14:paraId="2398E9F8" w14:textId="0BC5899F" w:rsidR="0037320F" w:rsidRPr="0037320F" w:rsidRDefault="00A85C43" w:rsidP="0037320F">
                      <w:pPr>
                        <w:rPr>
                          <w:rFonts w:ascii="Calibri" w:hAnsi="Calibri" w:cs="Calibri"/>
                          <w:i/>
                          <w:iCs/>
                          <w:color w:val="000000" w:themeColor="text1"/>
                          <w:sz w:val="20"/>
                        </w:rPr>
                      </w:pPr>
                      <w:r w:rsidRPr="00FC2DE4">
                        <w:rPr>
                          <w:rFonts w:ascii="Calibri" w:hAnsi="Calibri" w:cs="Calibri"/>
                          <w:i/>
                          <w:iCs/>
                          <w:sz w:val="20"/>
                        </w:rPr>
                        <w:t>„</w:t>
                      </w:r>
                      <w:r w:rsidR="0037320F" w:rsidRPr="0037320F">
                        <w:rPr>
                          <w:rFonts w:ascii="Calibri" w:hAnsi="Calibri" w:cs="Calibri"/>
                          <w:i/>
                          <w:iCs/>
                          <w:color w:val="000000" w:themeColor="text1"/>
                          <w:sz w:val="20"/>
                        </w:rPr>
                        <w:t>Česká ekonomika letos poroste. Rozpoutání obchodních válek a s tím související zvýšení globální ekonomické nejistoty se ale negativně podepíše na tuzemské investiční aktivitě i vývozech. Spolehnout se ale budeme moci na rostoucí spotřební výdaje domácností a vlády, a to i díky zvýšeným výdajům na obranu.</w:t>
                      </w:r>
                      <w:r w:rsidR="009B0E09">
                        <w:rPr>
                          <w:rFonts w:ascii="Calibri" w:hAnsi="Calibri" w:cs="Calibri"/>
                          <w:i/>
                          <w:iCs/>
                          <w:color w:val="000000" w:themeColor="text1"/>
                          <w:sz w:val="20"/>
                        </w:rPr>
                        <w:t>“</w:t>
                      </w:r>
                    </w:p>
                  </w:txbxContent>
                </v:textbox>
                <w10:wrap type="square" anchorx="margin"/>
              </v:shape>
            </w:pict>
          </mc:Fallback>
        </mc:AlternateContent>
      </w:r>
    </w:p>
    <w:p w14:paraId="10FEB783" w14:textId="3F9E08DE" w:rsidR="002C752B" w:rsidRPr="00906FDC" w:rsidRDefault="009D6384" w:rsidP="00AB39A4">
      <w:pPr>
        <w:rPr>
          <w:rFonts w:ascii="Calibri" w:hAnsi="Calibri" w:cs="Calibri"/>
          <w:b/>
          <w:color w:val="13576B"/>
          <w:sz w:val="22"/>
          <w:szCs w:val="22"/>
        </w:rPr>
      </w:pPr>
      <w:r>
        <w:rPr>
          <w:rFonts w:ascii="Calibri" w:hAnsi="Calibri" w:cs="Calibri"/>
          <w:b/>
          <w:color w:val="13576B"/>
          <w:sz w:val="22"/>
          <w:szCs w:val="22"/>
        </w:rPr>
        <w:t>Investice a vývoz za výhledem na pomalejší oživení, které podrží spotřeba</w:t>
      </w:r>
    </w:p>
    <w:p w14:paraId="780D514E" w14:textId="799AD3A7" w:rsidR="009976E2" w:rsidRDefault="002F076C" w:rsidP="00A85C43">
      <w:pPr>
        <w:rPr>
          <w:rFonts w:ascii="Calibri" w:hAnsi="Calibri" w:cs="Calibri"/>
          <w:color w:val="000000" w:themeColor="text1"/>
          <w:sz w:val="20"/>
        </w:rPr>
      </w:pPr>
      <w:r>
        <w:rPr>
          <w:rFonts w:ascii="Calibri" w:hAnsi="Calibri" w:cs="Calibri"/>
          <w:color w:val="000000" w:themeColor="text1"/>
          <w:sz w:val="20"/>
        </w:rPr>
        <w:t>P</w:t>
      </w:r>
      <w:r w:rsidR="00A85C43" w:rsidRPr="00004650">
        <w:rPr>
          <w:rFonts w:ascii="Calibri" w:hAnsi="Calibri" w:cs="Calibri"/>
          <w:color w:val="000000" w:themeColor="text1"/>
          <w:sz w:val="20"/>
        </w:rPr>
        <w:t xml:space="preserve">rognóza </w:t>
      </w:r>
      <w:r w:rsidR="009D6384">
        <w:rPr>
          <w:rFonts w:ascii="Calibri" w:hAnsi="Calibri" w:cs="Calibri"/>
          <w:color w:val="000000" w:themeColor="text1"/>
          <w:sz w:val="20"/>
        </w:rPr>
        <w:t xml:space="preserve">opět </w:t>
      </w:r>
      <w:r w:rsidR="00A85C43" w:rsidRPr="00004650">
        <w:rPr>
          <w:rFonts w:ascii="Calibri" w:hAnsi="Calibri" w:cs="Calibri"/>
          <w:color w:val="000000" w:themeColor="text1"/>
          <w:sz w:val="20"/>
        </w:rPr>
        <w:t xml:space="preserve">naznačuje </w:t>
      </w:r>
      <w:r w:rsidR="00594F62">
        <w:rPr>
          <w:rFonts w:ascii="Calibri" w:hAnsi="Calibri" w:cs="Calibri"/>
          <w:color w:val="000000" w:themeColor="text1"/>
          <w:sz w:val="20"/>
        </w:rPr>
        <w:t>další z</w:t>
      </w:r>
      <w:r w:rsidR="00A85C43" w:rsidRPr="00004650">
        <w:rPr>
          <w:rFonts w:ascii="Calibri" w:hAnsi="Calibri" w:cs="Calibri"/>
          <w:color w:val="000000" w:themeColor="text1"/>
          <w:sz w:val="20"/>
        </w:rPr>
        <w:t>mírně</w:t>
      </w:r>
      <w:r w:rsidR="00594F62">
        <w:rPr>
          <w:rFonts w:ascii="Calibri" w:hAnsi="Calibri" w:cs="Calibri"/>
          <w:color w:val="000000" w:themeColor="text1"/>
          <w:sz w:val="20"/>
        </w:rPr>
        <w:t>n</w:t>
      </w:r>
      <w:r w:rsidR="009D6384">
        <w:rPr>
          <w:rFonts w:ascii="Calibri" w:hAnsi="Calibri" w:cs="Calibri"/>
          <w:color w:val="000000" w:themeColor="text1"/>
          <w:sz w:val="20"/>
        </w:rPr>
        <w:t>í oživení růstu českého HDP</w:t>
      </w:r>
      <w:r w:rsidR="00A85C43" w:rsidRPr="00004650">
        <w:rPr>
          <w:rFonts w:ascii="Calibri" w:hAnsi="Calibri" w:cs="Calibri"/>
          <w:color w:val="000000" w:themeColor="text1"/>
          <w:sz w:val="20"/>
        </w:rPr>
        <w:t xml:space="preserve"> v roce 2025 a 2026</w:t>
      </w:r>
      <w:r w:rsidR="009D6384">
        <w:rPr>
          <w:rFonts w:ascii="Calibri" w:hAnsi="Calibri" w:cs="Calibri"/>
          <w:color w:val="000000" w:themeColor="text1"/>
          <w:sz w:val="20"/>
        </w:rPr>
        <w:t xml:space="preserve">. </w:t>
      </w:r>
      <w:r w:rsidR="00594F62">
        <w:rPr>
          <w:rFonts w:ascii="Calibri" w:hAnsi="Calibri" w:cs="Calibri"/>
          <w:color w:val="000000" w:themeColor="text1"/>
          <w:sz w:val="20"/>
        </w:rPr>
        <w:t xml:space="preserve">Zatímco vyšší reálná mzda a volební cyklus spolu s vyššími výdaji na obranu by měly zůstat podpůrné pro </w:t>
      </w:r>
      <w:r w:rsidR="009D6384">
        <w:rPr>
          <w:rFonts w:ascii="Calibri" w:hAnsi="Calibri" w:cs="Calibri"/>
          <w:color w:val="000000" w:themeColor="text1"/>
          <w:sz w:val="20"/>
        </w:rPr>
        <w:t>silnější oživení spotřeby</w:t>
      </w:r>
      <w:r w:rsidR="00594F62">
        <w:rPr>
          <w:rFonts w:ascii="Calibri" w:hAnsi="Calibri" w:cs="Calibri"/>
          <w:color w:val="000000" w:themeColor="text1"/>
          <w:sz w:val="20"/>
        </w:rPr>
        <w:t xml:space="preserve">, tak celní šok a s ním spojená nejistota negativně ovlivnily jak exportní, tak investiční výhled. </w:t>
      </w:r>
      <w:r w:rsidR="00A85C43" w:rsidRPr="00004650">
        <w:rPr>
          <w:rFonts w:ascii="Calibri" w:hAnsi="Calibri" w:cs="Calibri"/>
          <w:color w:val="000000" w:themeColor="text1"/>
          <w:sz w:val="20"/>
        </w:rPr>
        <w:t>Růst reálného HDP v roce 2024</w:t>
      </w:r>
      <w:r w:rsidR="00594F62">
        <w:rPr>
          <w:rFonts w:ascii="Calibri" w:hAnsi="Calibri" w:cs="Calibri"/>
          <w:color w:val="000000" w:themeColor="text1"/>
          <w:sz w:val="20"/>
        </w:rPr>
        <w:t xml:space="preserve"> zrychlil</w:t>
      </w:r>
      <w:r w:rsidR="00A85C43" w:rsidRPr="00004650">
        <w:rPr>
          <w:rFonts w:ascii="Calibri" w:hAnsi="Calibri" w:cs="Calibri"/>
          <w:color w:val="000000" w:themeColor="text1"/>
          <w:sz w:val="20"/>
        </w:rPr>
        <w:t xml:space="preserve"> </w:t>
      </w:r>
      <w:r w:rsidR="00CF0E31">
        <w:rPr>
          <w:rFonts w:ascii="Calibri" w:hAnsi="Calibri" w:cs="Calibri"/>
          <w:color w:val="000000" w:themeColor="text1"/>
          <w:sz w:val="20"/>
        </w:rPr>
        <w:t xml:space="preserve">na 1 % meziročně. </w:t>
      </w:r>
      <w:r w:rsidR="00594F62">
        <w:rPr>
          <w:rFonts w:ascii="Calibri" w:hAnsi="Calibri" w:cs="Calibri"/>
          <w:color w:val="000000" w:themeColor="text1"/>
          <w:sz w:val="20"/>
        </w:rPr>
        <w:t>Ačkoliv v</w:t>
      </w:r>
      <w:r w:rsidR="00CF0E31">
        <w:rPr>
          <w:rFonts w:ascii="Calibri" w:hAnsi="Calibri" w:cs="Calibri"/>
          <w:color w:val="000000" w:themeColor="text1"/>
          <w:sz w:val="20"/>
        </w:rPr>
        <w:t xml:space="preserve"> roce 2025 čekáme další zrychlení růstu na </w:t>
      </w:r>
      <w:r w:rsidR="00594F62">
        <w:rPr>
          <w:rFonts w:ascii="Calibri" w:hAnsi="Calibri" w:cs="Calibri"/>
          <w:color w:val="000000" w:themeColor="text1"/>
          <w:sz w:val="20"/>
        </w:rPr>
        <w:t>1,7</w:t>
      </w:r>
      <w:r w:rsidR="00CF0E31">
        <w:rPr>
          <w:rFonts w:ascii="Calibri" w:hAnsi="Calibri" w:cs="Calibri"/>
          <w:color w:val="000000" w:themeColor="text1"/>
          <w:sz w:val="20"/>
        </w:rPr>
        <w:t xml:space="preserve"> %, </w:t>
      </w:r>
      <w:r w:rsidR="00594F62">
        <w:rPr>
          <w:rFonts w:ascii="Calibri" w:hAnsi="Calibri" w:cs="Calibri"/>
          <w:color w:val="000000" w:themeColor="text1"/>
          <w:sz w:val="20"/>
        </w:rPr>
        <w:t xml:space="preserve">jedná se o </w:t>
      </w:r>
      <w:r w:rsidR="00E7535A">
        <w:rPr>
          <w:rFonts w:ascii="Calibri" w:hAnsi="Calibri" w:cs="Calibri"/>
          <w:color w:val="000000" w:themeColor="text1"/>
          <w:sz w:val="20"/>
        </w:rPr>
        <w:t>slabší</w:t>
      </w:r>
      <w:r w:rsidR="00594F62">
        <w:rPr>
          <w:rFonts w:ascii="Calibri" w:hAnsi="Calibri" w:cs="Calibri"/>
          <w:color w:val="000000" w:themeColor="text1"/>
          <w:sz w:val="20"/>
        </w:rPr>
        <w:t xml:space="preserve"> oživení</w:t>
      </w:r>
      <w:r w:rsidR="00E7535A">
        <w:rPr>
          <w:rFonts w:ascii="Calibri" w:hAnsi="Calibri" w:cs="Calibri"/>
          <w:color w:val="000000" w:themeColor="text1"/>
          <w:sz w:val="20"/>
        </w:rPr>
        <w:t>, než s jakým p</w:t>
      </w:r>
      <w:r w:rsidR="00CF0E31">
        <w:rPr>
          <w:rFonts w:ascii="Calibri" w:hAnsi="Calibri" w:cs="Calibri"/>
          <w:color w:val="000000" w:themeColor="text1"/>
          <w:sz w:val="20"/>
        </w:rPr>
        <w:t>očítala předchozí predikce (</w:t>
      </w:r>
      <w:r w:rsidR="00A85C43" w:rsidRPr="00004650">
        <w:rPr>
          <w:rFonts w:ascii="Calibri" w:hAnsi="Calibri" w:cs="Calibri"/>
          <w:color w:val="000000" w:themeColor="text1"/>
          <w:sz w:val="20"/>
        </w:rPr>
        <w:t>2,</w:t>
      </w:r>
      <w:r w:rsidR="00594F62">
        <w:rPr>
          <w:rFonts w:ascii="Calibri" w:hAnsi="Calibri" w:cs="Calibri"/>
          <w:color w:val="000000" w:themeColor="text1"/>
          <w:sz w:val="20"/>
        </w:rPr>
        <w:t>1</w:t>
      </w:r>
      <w:r w:rsidR="00A85C43" w:rsidRPr="00004650">
        <w:rPr>
          <w:rFonts w:ascii="Calibri" w:hAnsi="Calibri" w:cs="Calibri"/>
          <w:color w:val="000000" w:themeColor="text1"/>
          <w:sz w:val="20"/>
        </w:rPr>
        <w:t xml:space="preserve"> %). Pro rok 2026 byl</w:t>
      </w:r>
      <w:r w:rsidR="00E7535A">
        <w:rPr>
          <w:rFonts w:ascii="Calibri" w:hAnsi="Calibri" w:cs="Calibri"/>
          <w:color w:val="000000" w:themeColor="text1"/>
          <w:sz w:val="20"/>
        </w:rPr>
        <w:t>o</w:t>
      </w:r>
      <w:r w:rsidR="00432B0F">
        <w:rPr>
          <w:rFonts w:ascii="Calibri" w:hAnsi="Calibri" w:cs="Calibri"/>
          <w:color w:val="000000" w:themeColor="text1"/>
          <w:sz w:val="20"/>
        </w:rPr>
        <w:t xml:space="preserve"> proveden</w:t>
      </w:r>
      <w:r w:rsidR="00E7535A">
        <w:rPr>
          <w:rFonts w:ascii="Calibri" w:hAnsi="Calibri" w:cs="Calibri"/>
          <w:color w:val="000000" w:themeColor="text1"/>
          <w:sz w:val="20"/>
        </w:rPr>
        <w:t xml:space="preserve">o obdobné snížení </w:t>
      </w:r>
      <w:r w:rsidR="00A85C43" w:rsidRPr="00004650">
        <w:rPr>
          <w:rFonts w:ascii="Calibri" w:hAnsi="Calibri" w:cs="Calibri"/>
          <w:color w:val="000000" w:themeColor="text1"/>
          <w:sz w:val="20"/>
        </w:rPr>
        <w:t>výhled</w:t>
      </w:r>
      <w:r w:rsidR="00432B0F">
        <w:rPr>
          <w:rFonts w:ascii="Calibri" w:hAnsi="Calibri" w:cs="Calibri"/>
          <w:color w:val="000000" w:themeColor="text1"/>
          <w:sz w:val="20"/>
        </w:rPr>
        <w:t xml:space="preserve">u </w:t>
      </w:r>
      <w:r w:rsidR="00A85C43" w:rsidRPr="00004650">
        <w:rPr>
          <w:rFonts w:ascii="Calibri" w:hAnsi="Calibri" w:cs="Calibri"/>
          <w:color w:val="000000" w:themeColor="text1"/>
          <w:sz w:val="20"/>
        </w:rPr>
        <w:t>na 2,</w:t>
      </w:r>
      <w:r w:rsidR="00594F62">
        <w:rPr>
          <w:rFonts w:ascii="Calibri" w:hAnsi="Calibri" w:cs="Calibri"/>
          <w:color w:val="000000" w:themeColor="text1"/>
          <w:sz w:val="20"/>
        </w:rPr>
        <w:t>0</w:t>
      </w:r>
      <w:r w:rsidR="00A85C43" w:rsidRPr="00004650">
        <w:rPr>
          <w:rFonts w:ascii="Calibri" w:hAnsi="Calibri" w:cs="Calibri"/>
          <w:color w:val="000000" w:themeColor="text1"/>
          <w:sz w:val="20"/>
        </w:rPr>
        <w:t xml:space="preserve"> %.</w:t>
      </w:r>
      <w:r w:rsidR="009976E2">
        <w:rPr>
          <w:rFonts w:ascii="Calibri" w:hAnsi="Calibri" w:cs="Calibri"/>
          <w:color w:val="000000" w:themeColor="text1"/>
          <w:sz w:val="20"/>
        </w:rPr>
        <w:t xml:space="preserve"> Na druhou stranu považujeme čísla z ekonomiky za první</w:t>
      </w:r>
      <w:r w:rsidR="00086563">
        <w:rPr>
          <w:rFonts w:ascii="Calibri" w:hAnsi="Calibri" w:cs="Calibri"/>
          <w:color w:val="000000" w:themeColor="text1"/>
          <w:sz w:val="20"/>
        </w:rPr>
        <w:t xml:space="preserve"> </w:t>
      </w:r>
      <w:r w:rsidR="00086563">
        <w:rPr>
          <w:rFonts w:ascii="Calibri" w:hAnsi="Calibri" w:cs="Calibri"/>
          <w:color w:val="000000" w:themeColor="text1"/>
          <w:sz w:val="20"/>
        </w:rPr>
        <w:lastRenderedPageBreak/>
        <w:t>l</w:t>
      </w:r>
      <w:r w:rsidR="002930C9">
        <w:rPr>
          <w:rFonts w:ascii="Calibri" w:hAnsi="Calibri" w:cs="Calibri"/>
          <w:color w:val="000000" w:themeColor="text1"/>
          <w:sz w:val="20"/>
        </w:rPr>
        <w:t xml:space="preserve">etošní </w:t>
      </w:r>
      <w:r w:rsidR="009976E2">
        <w:rPr>
          <w:rFonts w:ascii="Calibri" w:hAnsi="Calibri" w:cs="Calibri"/>
          <w:color w:val="000000" w:themeColor="text1"/>
          <w:sz w:val="20"/>
        </w:rPr>
        <w:t>čtvrtletní silnější, než naznačuje bleskový odhad mezičtvrtletního růstu HDP o 0,5 %</w:t>
      </w:r>
      <w:r w:rsidR="00512418">
        <w:rPr>
          <w:rFonts w:ascii="Calibri" w:hAnsi="Calibri" w:cs="Calibri"/>
          <w:color w:val="000000" w:themeColor="text1"/>
          <w:sz w:val="20"/>
        </w:rPr>
        <w:t xml:space="preserve">. Pravděpodobná je tedy jeho revize </w:t>
      </w:r>
      <w:r w:rsidR="001230C1" w:rsidRPr="003503ED">
        <w:rPr>
          <w:noProof/>
          <w:color w:val="FF0000"/>
        </w:rPr>
        <mc:AlternateContent>
          <mc:Choice Requires="wps">
            <w:drawing>
              <wp:anchor distT="45720" distB="45720" distL="114300" distR="114300" simplePos="0" relativeHeight="251680768" behindDoc="0" locked="0" layoutInCell="1" allowOverlap="1" wp14:anchorId="4C592D81" wp14:editId="2A6BE4E0">
                <wp:simplePos x="0" y="0"/>
                <wp:positionH relativeFrom="margin">
                  <wp:align>right</wp:align>
                </wp:positionH>
                <wp:positionV relativeFrom="paragraph">
                  <wp:posOffset>409575</wp:posOffset>
                </wp:positionV>
                <wp:extent cx="6461760" cy="733425"/>
                <wp:effectExtent l="0" t="0" r="15240" b="2857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33425"/>
                        </a:xfrm>
                        <a:prstGeom prst="rect">
                          <a:avLst/>
                        </a:prstGeom>
                        <a:solidFill>
                          <a:srgbClr val="FFFFFF"/>
                        </a:solidFill>
                        <a:ln w="9525">
                          <a:solidFill>
                            <a:srgbClr val="000000"/>
                          </a:solidFill>
                          <a:miter lim="800000"/>
                          <a:headEnd/>
                          <a:tailEnd/>
                        </a:ln>
                      </wps:spPr>
                      <wps:txbx>
                        <w:txbxContent>
                          <w:p w14:paraId="03B794DF" w14:textId="77777777" w:rsidR="007809DB" w:rsidRPr="00F934FC" w:rsidRDefault="007809DB" w:rsidP="007809DB">
                            <w:pPr>
                              <w:rPr>
                                <w:rFonts w:ascii="Calibri" w:hAnsi="Calibri" w:cs="Calibri"/>
                                <w:b/>
                                <w:bCs/>
                                <w:sz w:val="20"/>
                              </w:rPr>
                            </w:pPr>
                            <w:r w:rsidRPr="00F934FC">
                              <w:rPr>
                                <w:rFonts w:ascii="Calibri" w:hAnsi="Calibri" w:cs="Calibri"/>
                                <w:b/>
                                <w:bCs/>
                                <w:sz w:val="20"/>
                              </w:rPr>
                              <w:t>J</w:t>
                            </w:r>
                            <w:r>
                              <w:rPr>
                                <w:rFonts w:ascii="Calibri" w:hAnsi="Calibri" w:cs="Calibri"/>
                                <w:b/>
                                <w:bCs/>
                                <w:sz w:val="20"/>
                              </w:rPr>
                              <w:t>aromír Šindel</w:t>
                            </w:r>
                            <w:r w:rsidRPr="00F934FC">
                              <w:rPr>
                                <w:rFonts w:ascii="Calibri" w:hAnsi="Calibri" w:cs="Calibri"/>
                                <w:b/>
                                <w:bCs/>
                                <w:sz w:val="20"/>
                              </w:rPr>
                              <w:t>, hlavní ekonom České bankovní asociace:</w:t>
                            </w:r>
                          </w:p>
                          <w:p w14:paraId="34D6E436" w14:textId="70DD8098" w:rsidR="007809DB" w:rsidRPr="001422DD" w:rsidRDefault="007809DB" w:rsidP="007809DB">
                            <w:pPr>
                              <w:rPr>
                                <w:rFonts w:ascii="Calibri" w:hAnsi="Calibri" w:cs="Calibri"/>
                                <w:i/>
                                <w:iCs/>
                                <w:color w:val="000000" w:themeColor="text1"/>
                                <w:sz w:val="20"/>
                              </w:rPr>
                            </w:pPr>
                            <w:r w:rsidRPr="001422DD">
                              <w:rPr>
                                <w:rFonts w:ascii="Calibri" w:hAnsi="Calibri" w:cs="Calibri"/>
                                <w:i/>
                                <w:iCs/>
                                <w:color w:val="000000" w:themeColor="text1"/>
                                <w:sz w:val="20"/>
                              </w:rPr>
                              <w:t>„</w:t>
                            </w:r>
                            <w:r w:rsidR="001230C1">
                              <w:rPr>
                                <w:rFonts w:ascii="Calibri" w:hAnsi="Calibri" w:cs="Calibri"/>
                                <w:i/>
                                <w:iCs/>
                                <w:color w:val="000000" w:themeColor="text1"/>
                                <w:sz w:val="20"/>
                              </w:rPr>
                              <w:t>Nejenže dále slábnou růstové vyhlídky české ekonomiky, ale zároveň vidíme další změnu v očekávaném složení růstu, který bude opět více spoléhat na spotřebu, zatímco investice budou slabší. Tento mix bohužel nenaznačuje potřebné zvýšení potenciálu české ekonomiky, který je zapotřebí ke snížení inflačních tlaků.</w:t>
                            </w:r>
                            <w:r w:rsidRPr="001422DD">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92D81" id="_x0000_t202" coordsize="21600,21600" o:spt="202" path="m,l,21600r21600,l21600,xe">
                <v:stroke joinstyle="miter"/>
                <v:path gradientshapeok="t" o:connecttype="rect"/>
              </v:shapetype>
              <v:shape id="Textové pole 2" o:spid="_x0000_s1027" type="#_x0000_t202" style="position:absolute;left:0;text-align:left;margin-left:457.6pt;margin-top:32.25pt;width:508.8pt;height:57.7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">
                <v:textbox>
                  <w:txbxContent>
                    <w:p w14:paraId="03B794DF" w14:textId="77777777" w:rsidR="007809DB" w:rsidRPr="00F934FC" w:rsidRDefault="007809DB" w:rsidP="007809DB">
                      <w:pPr>
                        <w:rPr>
                          <w:rFonts w:ascii="Calibri" w:hAnsi="Calibri" w:cs="Calibri"/>
                          <w:b/>
                          <w:bCs/>
                          <w:sz w:val="20"/>
                        </w:rPr>
                      </w:pPr>
                      <w:r w:rsidRPr="00F934FC">
                        <w:rPr>
                          <w:rFonts w:ascii="Calibri" w:hAnsi="Calibri" w:cs="Calibri"/>
                          <w:b/>
                          <w:bCs/>
                          <w:sz w:val="20"/>
                        </w:rPr>
                        <w:t>J</w:t>
                      </w:r>
                      <w:r>
                        <w:rPr>
                          <w:rFonts w:ascii="Calibri" w:hAnsi="Calibri" w:cs="Calibri"/>
                          <w:b/>
                          <w:bCs/>
                          <w:sz w:val="20"/>
                        </w:rPr>
                        <w:t>aromír Šindel</w:t>
                      </w:r>
                      <w:r w:rsidRPr="00F934FC">
                        <w:rPr>
                          <w:rFonts w:ascii="Calibri" w:hAnsi="Calibri" w:cs="Calibri"/>
                          <w:b/>
                          <w:bCs/>
                          <w:sz w:val="20"/>
                        </w:rPr>
                        <w:t>, hlavní ekonom České bankovní asociace:</w:t>
                      </w:r>
                    </w:p>
                    <w:p w14:paraId="34D6E436" w14:textId="70DD8098" w:rsidR="007809DB" w:rsidRPr="001422DD" w:rsidRDefault="007809DB" w:rsidP="007809DB">
                      <w:pPr>
                        <w:rPr>
                          <w:rFonts w:ascii="Calibri" w:hAnsi="Calibri" w:cs="Calibri"/>
                          <w:i/>
                          <w:iCs/>
                          <w:color w:val="000000" w:themeColor="text1"/>
                          <w:sz w:val="20"/>
                        </w:rPr>
                      </w:pPr>
                      <w:r w:rsidRPr="001422DD">
                        <w:rPr>
                          <w:rFonts w:ascii="Calibri" w:hAnsi="Calibri" w:cs="Calibri"/>
                          <w:i/>
                          <w:iCs/>
                          <w:color w:val="000000" w:themeColor="text1"/>
                          <w:sz w:val="20"/>
                        </w:rPr>
                        <w:t>„</w:t>
                      </w:r>
                      <w:r w:rsidR="001230C1">
                        <w:rPr>
                          <w:rFonts w:ascii="Calibri" w:hAnsi="Calibri" w:cs="Calibri"/>
                          <w:i/>
                          <w:iCs/>
                          <w:color w:val="000000" w:themeColor="text1"/>
                          <w:sz w:val="20"/>
                        </w:rPr>
                        <w:t>Nejenže dále slábnou růstové vyhlídky české ekonomiky, ale zároveň vidíme další změnu v očekávaném složení růstu, který bude opět více spoléhat na spotřebu, zatímco investice budou slabší. Tento mix bohužel nenaznačuje potřebné zvýšení potenciálu české ekonomiky, který je zapotřebí ke snížení inflačních tlaků.</w:t>
                      </w:r>
                      <w:r w:rsidRPr="001422DD">
                        <w:rPr>
                          <w:rFonts w:ascii="Calibri" w:hAnsi="Calibri" w:cs="Calibri"/>
                          <w:i/>
                          <w:iCs/>
                          <w:color w:val="000000" w:themeColor="text1"/>
                          <w:sz w:val="20"/>
                        </w:rPr>
                        <w:t>“</w:t>
                      </w:r>
                    </w:p>
                  </w:txbxContent>
                </v:textbox>
                <w10:wrap type="square" anchorx="margin"/>
              </v:shape>
            </w:pict>
          </mc:Fallback>
        </mc:AlternateContent>
      </w:r>
      <w:r w:rsidR="00512418">
        <w:rPr>
          <w:rFonts w:ascii="Calibri" w:hAnsi="Calibri" w:cs="Calibri"/>
          <w:color w:val="000000" w:themeColor="text1"/>
          <w:sz w:val="20"/>
        </w:rPr>
        <w:t xml:space="preserve">směrem nahoru, nebo silnější růst přidané hodnoty v HDP, která naopak v minulém roce rostla pomaleji než HDP. </w:t>
      </w:r>
    </w:p>
    <w:p w14:paraId="2AA58033" w14:textId="6685D672" w:rsidR="002930C9" w:rsidRDefault="002930C9" w:rsidP="00A85C43">
      <w:pPr>
        <w:rPr>
          <w:rFonts w:ascii="Calibri" w:hAnsi="Calibri" w:cs="Calibri"/>
          <w:color w:val="000000" w:themeColor="text1"/>
          <w:sz w:val="20"/>
        </w:rPr>
      </w:pPr>
    </w:p>
    <w:p w14:paraId="4C521878" w14:textId="198CD08C" w:rsidR="00A85C43" w:rsidRDefault="00A85C43" w:rsidP="00A85C43">
      <w:pPr>
        <w:rPr>
          <w:rFonts w:ascii="Calibri" w:hAnsi="Calibri" w:cs="Calibri"/>
          <w:color w:val="000000" w:themeColor="text1"/>
          <w:sz w:val="20"/>
        </w:rPr>
      </w:pPr>
      <w:r w:rsidRPr="00004650">
        <w:rPr>
          <w:rFonts w:ascii="Calibri" w:hAnsi="Calibri" w:cs="Calibri"/>
          <w:color w:val="000000" w:themeColor="text1"/>
          <w:sz w:val="20"/>
        </w:rPr>
        <w:t xml:space="preserve">Spotřeba domácností </w:t>
      </w:r>
      <w:r w:rsidR="00CF0E31">
        <w:rPr>
          <w:rFonts w:ascii="Calibri" w:hAnsi="Calibri" w:cs="Calibri"/>
          <w:color w:val="000000" w:themeColor="text1"/>
          <w:sz w:val="20"/>
        </w:rPr>
        <w:t xml:space="preserve">v roce </w:t>
      </w:r>
      <w:r w:rsidRPr="00004650">
        <w:rPr>
          <w:rFonts w:ascii="Calibri" w:hAnsi="Calibri" w:cs="Calibri"/>
          <w:color w:val="000000" w:themeColor="text1"/>
          <w:sz w:val="20"/>
        </w:rPr>
        <w:t xml:space="preserve">2024 </w:t>
      </w:r>
      <w:r w:rsidR="00CF0E31">
        <w:rPr>
          <w:rFonts w:ascii="Calibri" w:hAnsi="Calibri" w:cs="Calibri"/>
          <w:color w:val="000000" w:themeColor="text1"/>
          <w:sz w:val="20"/>
        </w:rPr>
        <w:t>vzrostla</w:t>
      </w:r>
      <w:r w:rsidR="00594F62">
        <w:rPr>
          <w:rFonts w:ascii="Calibri" w:hAnsi="Calibri" w:cs="Calibri"/>
          <w:color w:val="000000" w:themeColor="text1"/>
          <w:sz w:val="20"/>
        </w:rPr>
        <w:t xml:space="preserve"> silněji</w:t>
      </w:r>
      <w:r w:rsidR="00CF0E31">
        <w:rPr>
          <w:rFonts w:ascii="Calibri" w:hAnsi="Calibri" w:cs="Calibri"/>
          <w:color w:val="000000" w:themeColor="text1"/>
          <w:sz w:val="20"/>
        </w:rPr>
        <w:t xml:space="preserve"> </w:t>
      </w:r>
      <w:r w:rsidRPr="00004650">
        <w:rPr>
          <w:rFonts w:ascii="Calibri" w:hAnsi="Calibri" w:cs="Calibri"/>
          <w:color w:val="000000" w:themeColor="text1"/>
          <w:sz w:val="20"/>
        </w:rPr>
        <w:t xml:space="preserve">o </w:t>
      </w:r>
      <w:r w:rsidR="00594F62">
        <w:rPr>
          <w:rFonts w:ascii="Calibri" w:hAnsi="Calibri" w:cs="Calibri"/>
          <w:color w:val="000000" w:themeColor="text1"/>
          <w:sz w:val="20"/>
        </w:rPr>
        <w:t>2</w:t>
      </w:r>
      <w:r w:rsidRPr="00004650">
        <w:rPr>
          <w:rFonts w:ascii="Calibri" w:hAnsi="Calibri" w:cs="Calibri"/>
          <w:color w:val="000000" w:themeColor="text1"/>
          <w:sz w:val="20"/>
        </w:rPr>
        <w:t xml:space="preserve"> %</w:t>
      </w:r>
      <w:r w:rsidR="00CF0E31">
        <w:rPr>
          <w:rFonts w:ascii="Calibri" w:hAnsi="Calibri" w:cs="Calibri"/>
          <w:color w:val="000000" w:themeColor="text1"/>
          <w:sz w:val="20"/>
        </w:rPr>
        <w:t xml:space="preserve"> meziročně a </w:t>
      </w:r>
      <w:r w:rsidR="00594F62">
        <w:rPr>
          <w:rFonts w:ascii="Calibri" w:hAnsi="Calibri" w:cs="Calibri"/>
          <w:color w:val="000000" w:themeColor="text1"/>
          <w:sz w:val="20"/>
        </w:rPr>
        <w:t xml:space="preserve">díky </w:t>
      </w:r>
      <w:r w:rsidR="002930C9">
        <w:rPr>
          <w:rFonts w:ascii="Calibri" w:hAnsi="Calibri" w:cs="Calibri"/>
          <w:color w:val="000000" w:themeColor="text1"/>
          <w:sz w:val="20"/>
        </w:rPr>
        <w:t xml:space="preserve">pozitivnějšímu výhledu na </w:t>
      </w:r>
      <w:r w:rsidR="00594F62">
        <w:rPr>
          <w:rFonts w:ascii="Calibri" w:hAnsi="Calibri" w:cs="Calibri"/>
          <w:color w:val="000000" w:themeColor="text1"/>
          <w:sz w:val="20"/>
        </w:rPr>
        <w:t xml:space="preserve">růst reálných mezd a nižší úrokové sazbě </w:t>
      </w:r>
      <w:r w:rsidR="00CF0E31">
        <w:rPr>
          <w:rFonts w:ascii="Calibri" w:hAnsi="Calibri" w:cs="Calibri"/>
          <w:color w:val="000000" w:themeColor="text1"/>
          <w:sz w:val="20"/>
        </w:rPr>
        <w:t xml:space="preserve">čekáme </w:t>
      </w:r>
      <w:r w:rsidR="00E7535A">
        <w:rPr>
          <w:rFonts w:ascii="Calibri" w:hAnsi="Calibri" w:cs="Calibri"/>
          <w:color w:val="000000" w:themeColor="text1"/>
          <w:sz w:val="20"/>
        </w:rPr>
        <w:t xml:space="preserve">v letošním a příštím roce </w:t>
      </w:r>
      <w:r w:rsidR="00CF0E31">
        <w:rPr>
          <w:rFonts w:ascii="Calibri" w:hAnsi="Calibri" w:cs="Calibri"/>
          <w:color w:val="000000" w:themeColor="text1"/>
          <w:sz w:val="20"/>
        </w:rPr>
        <w:t>její další zrychlení</w:t>
      </w:r>
      <w:r w:rsidR="00594F62">
        <w:rPr>
          <w:rFonts w:ascii="Calibri" w:hAnsi="Calibri" w:cs="Calibri"/>
          <w:color w:val="000000" w:themeColor="text1"/>
          <w:sz w:val="20"/>
        </w:rPr>
        <w:t xml:space="preserve"> o</w:t>
      </w:r>
      <w:r w:rsidR="00CF0E31">
        <w:rPr>
          <w:rFonts w:ascii="Calibri" w:hAnsi="Calibri" w:cs="Calibri"/>
          <w:color w:val="000000" w:themeColor="text1"/>
          <w:sz w:val="20"/>
        </w:rPr>
        <w:t xml:space="preserve"> </w:t>
      </w:r>
      <w:r w:rsidR="00594F62">
        <w:rPr>
          <w:rFonts w:ascii="Calibri" w:hAnsi="Calibri" w:cs="Calibri"/>
          <w:color w:val="000000" w:themeColor="text1"/>
          <w:sz w:val="20"/>
        </w:rPr>
        <w:t xml:space="preserve">3 a 2,5 % meziročně. </w:t>
      </w:r>
      <w:r w:rsidR="00CF0E31">
        <w:rPr>
          <w:rFonts w:ascii="Calibri" w:hAnsi="Calibri" w:cs="Calibri"/>
          <w:color w:val="000000" w:themeColor="text1"/>
          <w:sz w:val="20"/>
        </w:rPr>
        <w:t>Růst</w:t>
      </w:r>
      <w:r w:rsidRPr="00004650">
        <w:rPr>
          <w:rFonts w:ascii="Calibri" w:hAnsi="Calibri" w:cs="Calibri"/>
          <w:color w:val="000000" w:themeColor="text1"/>
          <w:sz w:val="20"/>
        </w:rPr>
        <w:t xml:space="preserve"> vládní spotřeby by</w:t>
      </w:r>
      <w:r w:rsidR="003D2AB0">
        <w:rPr>
          <w:rFonts w:ascii="Calibri" w:hAnsi="Calibri" w:cs="Calibri"/>
          <w:color w:val="000000" w:themeColor="text1"/>
          <w:sz w:val="20"/>
        </w:rPr>
        <w:t xml:space="preserve"> měl rovněž v roce 2025 rovněž ukázat solidní 2,5% nárůst po silnějším – s povodněmi spojeném - 3,3% nárůstu v roce 2024.  V tom se odráží jak plánované vyšší výdaje na zbrojení, tak </w:t>
      </w:r>
      <w:r w:rsidR="009976E2">
        <w:rPr>
          <w:rFonts w:ascii="Calibri" w:hAnsi="Calibri" w:cs="Calibri"/>
          <w:color w:val="000000" w:themeColor="text1"/>
          <w:sz w:val="20"/>
        </w:rPr>
        <w:t xml:space="preserve">přirozeně i </w:t>
      </w:r>
      <w:r w:rsidR="003D2AB0">
        <w:rPr>
          <w:rFonts w:ascii="Calibri" w:hAnsi="Calibri" w:cs="Calibri"/>
          <w:color w:val="000000" w:themeColor="text1"/>
          <w:sz w:val="20"/>
        </w:rPr>
        <w:t xml:space="preserve">volební cyklus. </w:t>
      </w:r>
    </w:p>
    <w:p w14:paraId="5359F400" w14:textId="2D6ECF8F" w:rsidR="009976E2" w:rsidRPr="00004650" w:rsidRDefault="009976E2" w:rsidP="00A85C43">
      <w:pPr>
        <w:rPr>
          <w:rFonts w:ascii="Calibri" w:hAnsi="Calibri" w:cs="Calibri"/>
          <w:color w:val="000000" w:themeColor="text1"/>
          <w:sz w:val="20"/>
        </w:rPr>
      </w:pPr>
    </w:p>
    <w:p w14:paraId="44722C7C" w14:textId="622D08CC" w:rsidR="003B0E41" w:rsidRPr="00004650" w:rsidRDefault="00BA38A9" w:rsidP="00A85C43">
      <w:pPr>
        <w:rPr>
          <w:rFonts w:ascii="Calibri" w:hAnsi="Calibri" w:cs="Calibri"/>
          <w:color w:val="000000" w:themeColor="text1"/>
          <w:sz w:val="20"/>
        </w:rPr>
      </w:pPr>
      <w:r>
        <w:rPr>
          <w:rFonts w:ascii="Calibri" w:hAnsi="Calibri" w:cs="Calibri"/>
          <w:color w:val="000000" w:themeColor="text1"/>
          <w:sz w:val="20"/>
        </w:rPr>
        <w:t>Fixní in</w:t>
      </w:r>
      <w:r w:rsidR="00A85C43" w:rsidRPr="00004650">
        <w:rPr>
          <w:rFonts w:ascii="Calibri" w:hAnsi="Calibri" w:cs="Calibri"/>
          <w:color w:val="000000" w:themeColor="text1"/>
          <w:sz w:val="20"/>
        </w:rPr>
        <w:t xml:space="preserve">vestice </w:t>
      </w:r>
      <w:r>
        <w:rPr>
          <w:rFonts w:ascii="Calibri" w:hAnsi="Calibri" w:cs="Calibri"/>
          <w:color w:val="000000" w:themeColor="text1"/>
          <w:sz w:val="20"/>
        </w:rPr>
        <w:t xml:space="preserve">(tedy investice </w:t>
      </w:r>
      <w:r w:rsidR="00A85C43" w:rsidRPr="00004650">
        <w:rPr>
          <w:rFonts w:ascii="Calibri" w:hAnsi="Calibri" w:cs="Calibri"/>
          <w:color w:val="000000" w:themeColor="text1"/>
          <w:sz w:val="20"/>
        </w:rPr>
        <w:t>bez zásob</w:t>
      </w:r>
      <w:r>
        <w:rPr>
          <w:rFonts w:ascii="Calibri" w:hAnsi="Calibri" w:cs="Calibri"/>
          <w:color w:val="000000" w:themeColor="text1"/>
          <w:sz w:val="20"/>
        </w:rPr>
        <w:t xml:space="preserve">) v loňském roce </w:t>
      </w:r>
      <w:r w:rsidR="003D2AB0">
        <w:rPr>
          <w:rFonts w:ascii="Calibri" w:hAnsi="Calibri" w:cs="Calibri"/>
          <w:color w:val="000000" w:themeColor="text1"/>
          <w:sz w:val="20"/>
        </w:rPr>
        <w:t xml:space="preserve">zklamaly svým 1,4% meziročním poklesem, což se společně s nejistotou spojenou s celními válkami negativně odrazilo </w:t>
      </w:r>
      <w:r w:rsidR="002930C9">
        <w:rPr>
          <w:rFonts w:ascii="Calibri" w:hAnsi="Calibri" w:cs="Calibri"/>
          <w:color w:val="000000" w:themeColor="text1"/>
          <w:sz w:val="20"/>
        </w:rPr>
        <w:t>i ve</w:t>
      </w:r>
      <w:r w:rsidR="003D2AB0">
        <w:rPr>
          <w:rFonts w:ascii="Calibri" w:hAnsi="Calibri" w:cs="Calibri"/>
          <w:color w:val="000000" w:themeColor="text1"/>
          <w:sz w:val="20"/>
        </w:rPr>
        <w:t xml:space="preserve"> slabší</w:t>
      </w:r>
      <w:r w:rsidR="002930C9">
        <w:rPr>
          <w:rFonts w:ascii="Calibri" w:hAnsi="Calibri" w:cs="Calibri"/>
          <w:color w:val="000000" w:themeColor="text1"/>
          <w:sz w:val="20"/>
        </w:rPr>
        <w:t>m</w:t>
      </w:r>
      <w:r w:rsidR="003D2AB0">
        <w:rPr>
          <w:rFonts w:ascii="Calibri" w:hAnsi="Calibri" w:cs="Calibri"/>
          <w:color w:val="000000" w:themeColor="text1"/>
          <w:sz w:val="20"/>
        </w:rPr>
        <w:t xml:space="preserve"> výhledu na pouze mírné 0,2% meziroční oživení v letošním roce. </w:t>
      </w:r>
      <w:r>
        <w:rPr>
          <w:rFonts w:ascii="Calibri" w:hAnsi="Calibri" w:cs="Calibri"/>
          <w:color w:val="000000" w:themeColor="text1"/>
          <w:sz w:val="20"/>
        </w:rPr>
        <w:t xml:space="preserve"> </w:t>
      </w:r>
      <w:r w:rsidR="003D2AB0">
        <w:rPr>
          <w:rFonts w:ascii="Calibri" w:hAnsi="Calibri" w:cs="Calibri"/>
          <w:color w:val="000000" w:themeColor="text1"/>
          <w:sz w:val="20"/>
        </w:rPr>
        <w:t xml:space="preserve">To </w:t>
      </w:r>
      <w:r w:rsidR="002930C9">
        <w:rPr>
          <w:rFonts w:ascii="Calibri" w:hAnsi="Calibri" w:cs="Calibri"/>
          <w:color w:val="000000" w:themeColor="text1"/>
          <w:sz w:val="20"/>
        </w:rPr>
        <w:t>reflektuje</w:t>
      </w:r>
      <w:r w:rsidR="003D2AB0">
        <w:rPr>
          <w:rFonts w:ascii="Calibri" w:hAnsi="Calibri" w:cs="Calibri"/>
          <w:color w:val="000000" w:themeColor="text1"/>
          <w:sz w:val="20"/>
        </w:rPr>
        <w:t xml:space="preserve"> převážně segment soukromých investic, kde se do slabé investiční aktivity mimo celních válek pravděpodobně promítají i strukturální výzvy evropské ekonomiky (ceny energií, čínská konkurence). V tomto segmentu očekáváme </w:t>
      </w:r>
      <w:r w:rsidR="002930C9">
        <w:rPr>
          <w:rFonts w:ascii="Calibri" w:hAnsi="Calibri" w:cs="Calibri"/>
          <w:color w:val="000000" w:themeColor="text1"/>
          <w:sz w:val="20"/>
        </w:rPr>
        <w:t>růst</w:t>
      </w:r>
      <w:r w:rsidR="003D2AB0">
        <w:rPr>
          <w:rFonts w:ascii="Calibri" w:hAnsi="Calibri" w:cs="Calibri"/>
          <w:color w:val="000000" w:themeColor="text1"/>
          <w:sz w:val="20"/>
        </w:rPr>
        <w:t xml:space="preserve"> až v roce 2026. To by společně s pokračujícím oživení</w:t>
      </w:r>
      <w:r w:rsidR="002930C9">
        <w:rPr>
          <w:rFonts w:ascii="Calibri" w:hAnsi="Calibri" w:cs="Calibri"/>
          <w:color w:val="000000" w:themeColor="text1"/>
          <w:sz w:val="20"/>
        </w:rPr>
        <w:t>m</w:t>
      </w:r>
      <w:r w:rsidR="003D2AB0">
        <w:rPr>
          <w:rFonts w:ascii="Calibri" w:hAnsi="Calibri" w:cs="Calibri"/>
          <w:color w:val="000000" w:themeColor="text1"/>
          <w:sz w:val="20"/>
        </w:rPr>
        <w:t xml:space="preserve"> trhu s bydlením a veřejnými investicemi do infrastruktury a obrany a díky nižším úrokovým sazbám mělo v roce 2026 přispět k </w:t>
      </w:r>
      <w:r w:rsidR="002930C9">
        <w:rPr>
          <w:rFonts w:ascii="Calibri" w:hAnsi="Calibri" w:cs="Calibri"/>
          <w:color w:val="000000" w:themeColor="text1"/>
          <w:sz w:val="20"/>
        </w:rPr>
        <w:t>silnější</w:t>
      </w:r>
      <w:r w:rsidR="003D2AB0">
        <w:rPr>
          <w:rFonts w:ascii="Calibri" w:hAnsi="Calibri" w:cs="Calibri"/>
          <w:color w:val="000000" w:themeColor="text1"/>
          <w:sz w:val="20"/>
        </w:rPr>
        <w:t xml:space="preserve"> investiční aktivit</w:t>
      </w:r>
      <w:r w:rsidR="002930C9">
        <w:rPr>
          <w:rFonts w:ascii="Calibri" w:hAnsi="Calibri" w:cs="Calibri"/>
          <w:color w:val="000000" w:themeColor="text1"/>
          <w:sz w:val="20"/>
        </w:rPr>
        <w:t>ě</w:t>
      </w:r>
      <w:r w:rsidR="003D2AB0">
        <w:rPr>
          <w:rFonts w:ascii="Calibri" w:hAnsi="Calibri" w:cs="Calibri"/>
          <w:color w:val="000000" w:themeColor="text1"/>
          <w:sz w:val="20"/>
        </w:rPr>
        <w:t xml:space="preserve"> </w:t>
      </w:r>
    </w:p>
    <w:p w14:paraId="5C6A1344" w14:textId="14046B7A" w:rsidR="00E37C53" w:rsidRDefault="00E37C53" w:rsidP="00E37C53">
      <w:pPr>
        <w:rPr>
          <w:rFonts w:ascii="Calibri" w:hAnsi="Calibri" w:cs="Calibri"/>
          <w:color w:val="000000" w:themeColor="text1"/>
          <w:sz w:val="20"/>
        </w:rPr>
      </w:pPr>
    </w:p>
    <w:p w14:paraId="4B714161" w14:textId="0D14C4C4" w:rsidR="00E37C53" w:rsidRDefault="001230C1" w:rsidP="00E37C53">
      <w:pPr>
        <w:rPr>
          <w:rFonts w:ascii="Calibri" w:hAnsi="Calibri" w:cs="Calibri"/>
          <w:color w:val="000000" w:themeColor="text1"/>
          <w:sz w:val="20"/>
        </w:rPr>
      </w:pPr>
      <w:r w:rsidRPr="003503ED">
        <w:rPr>
          <w:b/>
          <w:bCs/>
          <w:noProof/>
          <w:color w:val="FF0000"/>
          <w:sz w:val="20"/>
        </w:rPr>
        <mc:AlternateContent>
          <mc:Choice Requires="wps">
            <w:drawing>
              <wp:anchor distT="45720" distB="45720" distL="114300" distR="114300" simplePos="0" relativeHeight="251686912" behindDoc="0" locked="0" layoutInCell="1" allowOverlap="1" wp14:anchorId="004F7C04" wp14:editId="70CD591C">
                <wp:simplePos x="0" y="0"/>
                <wp:positionH relativeFrom="margin">
                  <wp:align>right</wp:align>
                </wp:positionH>
                <wp:positionV relativeFrom="paragraph">
                  <wp:posOffset>768350</wp:posOffset>
                </wp:positionV>
                <wp:extent cx="6461760" cy="866775"/>
                <wp:effectExtent l="0" t="0" r="15240" b="28575"/>
                <wp:wrapSquare wrapText="bothSides"/>
                <wp:docPr id="685001379"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866775"/>
                        </a:xfrm>
                        <a:prstGeom prst="rect">
                          <a:avLst/>
                        </a:prstGeom>
                        <a:solidFill>
                          <a:srgbClr val="FFFFFF"/>
                        </a:solidFill>
                        <a:ln w="9525">
                          <a:solidFill>
                            <a:srgbClr val="000000"/>
                          </a:solidFill>
                          <a:miter lim="800000"/>
                          <a:headEnd/>
                          <a:tailEnd/>
                        </a:ln>
                      </wps:spPr>
                      <wps:txbx>
                        <w:txbxContent>
                          <w:p w14:paraId="075612AB" w14:textId="77777777" w:rsidR="001230C1" w:rsidRDefault="001230C1" w:rsidP="001230C1">
                            <w:pPr>
                              <w:rPr>
                                <w:rFonts w:ascii="Calibri" w:hAnsi="Calibri" w:cs="Calibri"/>
                                <w:b/>
                                <w:bCs/>
                                <w:sz w:val="20"/>
                              </w:rPr>
                            </w:pPr>
                            <w:r>
                              <w:rPr>
                                <w:rFonts w:ascii="Calibri" w:hAnsi="Calibri" w:cs="Calibri"/>
                                <w:b/>
                                <w:bCs/>
                                <w:sz w:val="20"/>
                              </w:rPr>
                              <w:t xml:space="preserve">Helena Horská, hlavní ekonomka </w:t>
                            </w:r>
                            <w:r w:rsidRPr="00840194">
                              <w:rPr>
                                <w:rFonts w:ascii="Calibri" w:hAnsi="Calibri" w:cs="Calibri"/>
                                <w:b/>
                                <w:bCs/>
                                <w:sz w:val="20"/>
                              </w:rPr>
                              <w:t>Raiffeisenbank</w:t>
                            </w:r>
                            <w:r>
                              <w:rPr>
                                <w:rFonts w:ascii="Calibri" w:hAnsi="Calibri" w:cs="Calibri"/>
                                <w:b/>
                                <w:bCs/>
                                <w:sz w:val="20"/>
                              </w:rPr>
                              <w:t xml:space="preserve">:  </w:t>
                            </w:r>
                          </w:p>
                          <w:p w14:paraId="0C16D369" w14:textId="77777777" w:rsidR="001230C1" w:rsidRPr="0035275E" w:rsidRDefault="001230C1" w:rsidP="001230C1">
                            <w:pPr>
                              <w:rPr>
                                <w:rFonts w:ascii="Calibri" w:hAnsi="Calibri" w:cs="Calibri"/>
                                <w:i/>
                                <w:iCs/>
                                <w:color w:val="000000" w:themeColor="text1"/>
                                <w:sz w:val="20"/>
                              </w:rPr>
                            </w:pPr>
                            <w:r>
                              <w:rPr>
                                <w:rFonts w:ascii="Calibri" w:hAnsi="Calibri" w:cs="Calibri"/>
                                <w:i/>
                                <w:iCs/>
                                <w:sz w:val="20"/>
                              </w:rPr>
                              <w:t>„</w:t>
                            </w:r>
                            <w:r>
                              <w:rPr>
                                <w:rFonts w:ascii="Calibri" w:hAnsi="Calibri" w:cs="Calibri"/>
                                <w:i/>
                                <w:iCs/>
                                <w:color w:val="000000" w:themeColor="text1"/>
                                <w:sz w:val="20"/>
                              </w:rPr>
                              <w:t>Inflační šoky jsou definitivně za námi. Zásluhou zlevňujících energií a pohonných hmot by se inflace měla v dalších měsících držet okolo 2 % inflačního cíle ČNB. Vyhráno, ale zdaleka není. Jádrová inflace zůstává zvýšená – odráží doznívající cenové dopady energetické krize a přetrvávající strukturální nerovnováhy na trhu nemovitostí, které se nadále promítají do cen služeb a nájmů.“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F7C04" id="Textové pole 6" o:spid="_x0000_s1028" type="#_x0000_t202" style="position:absolute;left:0;text-align:left;margin-left:457.6pt;margin-top:60.5pt;width:508.8pt;height:68.2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">
                <v:textbox>
                  <w:txbxContent>
                    <w:p w14:paraId="075612AB" w14:textId="77777777" w:rsidR="001230C1" w:rsidRDefault="001230C1" w:rsidP="001230C1">
                      <w:pPr>
                        <w:rPr>
                          <w:rFonts w:ascii="Calibri" w:hAnsi="Calibri" w:cs="Calibri"/>
                          <w:b/>
                          <w:bCs/>
                          <w:sz w:val="20"/>
                        </w:rPr>
                      </w:pPr>
                      <w:r>
                        <w:rPr>
                          <w:rFonts w:ascii="Calibri" w:hAnsi="Calibri" w:cs="Calibri"/>
                          <w:b/>
                          <w:bCs/>
                          <w:sz w:val="20"/>
                        </w:rPr>
                        <w:t xml:space="preserve">Helena Horská, hlavní ekonomka </w:t>
                      </w:r>
                      <w:r w:rsidRPr="00840194">
                        <w:rPr>
                          <w:rFonts w:ascii="Calibri" w:hAnsi="Calibri" w:cs="Calibri"/>
                          <w:b/>
                          <w:bCs/>
                          <w:sz w:val="20"/>
                        </w:rPr>
                        <w:t>Raiffeisenbank</w:t>
                      </w:r>
                      <w:r>
                        <w:rPr>
                          <w:rFonts w:ascii="Calibri" w:hAnsi="Calibri" w:cs="Calibri"/>
                          <w:b/>
                          <w:bCs/>
                          <w:sz w:val="20"/>
                        </w:rPr>
                        <w:t xml:space="preserve">:  </w:t>
                      </w:r>
                    </w:p>
                    <w:p w14:paraId="0C16D369" w14:textId="77777777" w:rsidR="001230C1" w:rsidRPr="0035275E" w:rsidRDefault="001230C1" w:rsidP="001230C1">
                      <w:pPr>
                        <w:rPr>
                          <w:rFonts w:ascii="Calibri" w:hAnsi="Calibri" w:cs="Calibri"/>
                          <w:i/>
                          <w:iCs/>
                          <w:color w:val="000000" w:themeColor="text1"/>
                          <w:sz w:val="20"/>
                        </w:rPr>
                      </w:pPr>
                      <w:r>
                        <w:rPr>
                          <w:rFonts w:ascii="Calibri" w:hAnsi="Calibri" w:cs="Calibri"/>
                          <w:i/>
                          <w:iCs/>
                          <w:sz w:val="20"/>
                        </w:rPr>
                        <w:t>„</w:t>
                      </w:r>
                      <w:r>
                        <w:rPr>
                          <w:rFonts w:ascii="Calibri" w:hAnsi="Calibri" w:cs="Calibri"/>
                          <w:i/>
                          <w:iCs/>
                          <w:color w:val="000000" w:themeColor="text1"/>
                          <w:sz w:val="20"/>
                        </w:rPr>
                        <w:t>Inflační šoky jsou definitivně za námi. Zásluhou zlevňujících energií a pohonných hmot by se inflace měla v dalších měsících držet okolo 2 % inflačního cíle ČNB. Vyhráno, ale zdaleka není. Jádrová inflace zůstává zvýšená – odráží doznívající cenové dopady energetické krize a přetrvávající strukturální nerovnováhy na trhu nemovitostí, které se nadále promítají do cen služeb a nájmů.“</w:t>
                      </w:r>
                    </w:p>
                  </w:txbxContent>
                </v:textbox>
                <w10:wrap type="square" anchorx="margin"/>
              </v:shape>
            </w:pict>
          </mc:Fallback>
        </mc:AlternateContent>
      </w:r>
      <w:r w:rsidR="009976E2">
        <w:rPr>
          <w:rFonts w:ascii="Calibri" w:hAnsi="Calibri" w:cs="Calibri"/>
          <w:color w:val="000000" w:themeColor="text1"/>
          <w:sz w:val="20"/>
        </w:rPr>
        <w:t>Kvůli</w:t>
      </w:r>
      <w:r w:rsidR="00E37C53">
        <w:rPr>
          <w:rFonts w:ascii="Calibri" w:hAnsi="Calibri" w:cs="Calibri"/>
          <w:color w:val="000000" w:themeColor="text1"/>
          <w:sz w:val="20"/>
        </w:rPr>
        <w:t xml:space="preserve"> slabšímu oživení zahraniční poptávky </w:t>
      </w:r>
      <w:r w:rsidR="009976E2">
        <w:rPr>
          <w:rFonts w:ascii="Calibri" w:hAnsi="Calibri" w:cs="Calibri"/>
          <w:color w:val="000000" w:themeColor="text1"/>
          <w:sz w:val="20"/>
        </w:rPr>
        <w:t xml:space="preserve">v souvislosti s celními válkami </w:t>
      </w:r>
      <w:r w:rsidR="00E37C53">
        <w:rPr>
          <w:rFonts w:ascii="Calibri" w:hAnsi="Calibri" w:cs="Calibri"/>
          <w:color w:val="000000" w:themeColor="text1"/>
          <w:sz w:val="20"/>
        </w:rPr>
        <w:t xml:space="preserve">počítáme v letošním a příštím roce se </w:t>
      </w:r>
      <w:r w:rsidR="009976E2">
        <w:rPr>
          <w:rFonts w:ascii="Calibri" w:hAnsi="Calibri" w:cs="Calibri"/>
          <w:color w:val="000000" w:themeColor="text1"/>
          <w:sz w:val="20"/>
        </w:rPr>
        <w:t xml:space="preserve">slabším </w:t>
      </w:r>
      <w:r w:rsidR="00E37C53">
        <w:rPr>
          <w:rFonts w:ascii="Calibri" w:hAnsi="Calibri" w:cs="Calibri"/>
          <w:color w:val="000000" w:themeColor="text1"/>
          <w:sz w:val="20"/>
        </w:rPr>
        <w:t>růstem</w:t>
      </w:r>
      <w:r w:rsidR="009976E2">
        <w:rPr>
          <w:rFonts w:ascii="Calibri" w:hAnsi="Calibri" w:cs="Calibri"/>
          <w:color w:val="000000" w:themeColor="text1"/>
          <w:sz w:val="20"/>
        </w:rPr>
        <w:t xml:space="preserve"> exportů a to 1,5 a 3 % meziročně </w:t>
      </w:r>
      <w:r w:rsidR="00E37C53">
        <w:rPr>
          <w:rFonts w:ascii="Calibri" w:hAnsi="Calibri" w:cs="Calibri"/>
          <w:color w:val="000000" w:themeColor="text1"/>
          <w:sz w:val="20"/>
        </w:rPr>
        <w:t>po loňském nárůstu o 1,</w:t>
      </w:r>
      <w:r w:rsidR="009976E2">
        <w:rPr>
          <w:rFonts w:ascii="Calibri" w:hAnsi="Calibri" w:cs="Calibri"/>
          <w:color w:val="000000" w:themeColor="text1"/>
          <w:sz w:val="20"/>
        </w:rPr>
        <w:t>5</w:t>
      </w:r>
      <w:r w:rsidR="00E37C53">
        <w:rPr>
          <w:rFonts w:ascii="Calibri" w:hAnsi="Calibri" w:cs="Calibri"/>
          <w:color w:val="000000" w:themeColor="text1"/>
          <w:sz w:val="20"/>
        </w:rPr>
        <w:t xml:space="preserve"> %. </w:t>
      </w:r>
      <w:r w:rsidR="009976E2">
        <w:rPr>
          <w:rFonts w:ascii="Calibri" w:hAnsi="Calibri" w:cs="Calibri"/>
          <w:color w:val="000000" w:themeColor="text1"/>
          <w:sz w:val="20"/>
        </w:rPr>
        <w:t>To je o přibližně 2,3% bodu nižší kumulativní růst, než s kterým počítal předchozí výhled. Negativní dopad vyšších cel na e</w:t>
      </w:r>
      <w:r w:rsidR="00E37C53">
        <w:rPr>
          <w:rFonts w:ascii="Calibri" w:hAnsi="Calibri" w:cs="Calibri"/>
          <w:color w:val="000000" w:themeColor="text1"/>
          <w:sz w:val="20"/>
        </w:rPr>
        <w:t xml:space="preserve">xporty </w:t>
      </w:r>
      <w:r w:rsidR="009976E2">
        <w:rPr>
          <w:rFonts w:ascii="Calibri" w:hAnsi="Calibri" w:cs="Calibri"/>
          <w:color w:val="000000" w:themeColor="text1"/>
          <w:sz w:val="20"/>
        </w:rPr>
        <w:t xml:space="preserve">bude v blízkém období rovněž umocněn předchozím předzásobením, které se odrazilo ve vyšším podílu destinace USA na českých exportech.  </w:t>
      </w:r>
    </w:p>
    <w:p w14:paraId="3BABDE05" w14:textId="59B06105" w:rsidR="00E37C53" w:rsidRPr="00FC64FB" w:rsidRDefault="00E37C53" w:rsidP="000C77D3">
      <w:pPr>
        <w:rPr>
          <w:rFonts w:ascii="Calibri" w:hAnsi="Calibri" w:cs="Calibri"/>
          <w:bCs/>
          <w:color w:val="13576B"/>
          <w:szCs w:val="18"/>
        </w:rPr>
      </w:pPr>
    </w:p>
    <w:p w14:paraId="6A6F3761" w14:textId="71729B07" w:rsidR="00E37C53" w:rsidRDefault="00B42B24" w:rsidP="00E37C53">
      <w:pPr>
        <w:rPr>
          <w:rFonts w:ascii="Calibri" w:hAnsi="Calibri" w:cs="Calibri"/>
          <w:color w:val="000000" w:themeColor="text1"/>
          <w:sz w:val="20"/>
        </w:rPr>
      </w:pPr>
      <w:r>
        <w:rPr>
          <w:noProof/>
        </w:rPr>
        <w:drawing>
          <wp:inline distT="0" distB="0" distL="0" distR="0" wp14:anchorId="4FC10F90" wp14:editId="1F68E51B">
            <wp:extent cx="3228975" cy="2117278"/>
            <wp:effectExtent l="0" t="0" r="0" b="0"/>
            <wp:docPr id="791412208"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12208" name="Picture 1" descr="A graph with lines and numbers&#10;&#10;AI-generated content may be incorrect."/>
                    <pic:cNvPicPr/>
                  </pic:nvPicPr>
                  <pic:blipFill>
                    <a:blip r:embed="rId11"/>
                    <a:stretch>
                      <a:fillRect/>
                    </a:stretch>
                  </pic:blipFill>
                  <pic:spPr>
                    <a:xfrm>
                      <a:off x="0" y="0"/>
                      <a:ext cx="3248130" cy="2129838"/>
                    </a:xfrm>
                    <a:prstGeom prst="rect">
                      <a:avLst/>
                    </a:prstGeom>
                  </pic:spPr>
                </pic:pic>
              </a:graphicData>
            </a:graphic>
          </wp:inline>
        </w:drawing>
      </w:r>
      <w:r w:rsidR="00E37C53">
        <w:rPr>
          <w:rFonts w:ascii="Calibri" w:hAnsi="Calibri" w:cs="Calibri"/>
          <w:noProof/>
          <w:color w:val="000000" w:themeColor="text1"/>
          <w:sz w:val="20"/>
        </w:rPr>
        <w:t xml:space="preserve">   </w:t>
      </w:r>
      <w:r>
        <w:rPr>
          <w:noProof/>
        </w:rPr>
        <w:drawing>
          <wp:inline distT="0" distB="0" distL="0" distR="0" wp14:anchorId="698E9164" wp14:editId="41FA966B">
            <wp:extent cx="3124099" cy="2124972"/>
            <wp:effectExtent l="0" t="0" r="635" b="8890"/>
            <wp:docPr id="1332495607"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95607" name="Picture 1" descr="A graph with lines and numbers&#10;&#10;AI-generated content may be incorrect."/>
                    <pic:cNvPicPr/>
                  </pic:nvPicPr>
                  <pic:blipFill>
                    <a:blip r:embed="rId12"/>
                    <a:stretch>
                      <a:fillRect/>
                    </a:stretch>
                  </pic:blipFill>
                  <pic:spPr>
                    <a:xfrm>
                      <a:off x="0" y="0"/>
                      <a:ext cx="3139188" cy="2135235"/>
                    </a:xfrm>
                    <a:prstGeom prst="rect">
                      <a:avLst/>
                    </a:prstGeom>
                  </pic:spPr>
                </pic:pic>
              </a:graphicData>
            </a:graphic>
          </wp:inline>
        </w:drawing>
      </w:r>
    </w:p>
    <w:p w14:paraId="47AC63B2" w14:textId="604B3801" w:rsidR="00E37C53" w:rsidRDefault="00E37C53" w:rsidP="00E37C53">
      <w:pPr>
        <w:rPr>
          <w:rFonts w:ascii="Calibri" w:hAnsi="Calibri" w:cs="Calibri"/>
          <w:bCs/>
          <w:color w:val="13576B"/>
          <w:szCs w:val="18"/>
        </w:rPr>
      </w:pPr>
      <w:r w:rsidRPr="00FC64FB">
        <w:rPr>
          <w:rFonts w:ascii="Calibri" w:hAnsi="Calibri" w:cs="Calibri"/>
          <w:bCs/>
          <w:color w:val="13576B"/>
          <w:szCs w:val="18"/>
        </w:rPr>
        <w:t xml:space="preserve">Zdroj: </w:t>
      </w:r>
      <w:r>
        <w:rPr>
          <w:rFonts w:ascii="Calibri" w:hAnsi="Calibri" w:cs="Calibri"/>
          <w:bCs/>
          <w:color w:val="13576B"/>
          <w:szCs w:val="18"/>
        </w:rPr>
        <w:t xml:space="preserve">ČSÚ, LSEG, </w:t>
      </w:r>
      <w:r w:rsidRPr="00FC64FB">
        <w:rPr>
          <w:rFonts w:ascii="Calibri" w:hAnsi="Calibri" w:cs="Calibri"/>
          <w:bCs/>
          <w:color w:val="13576B"/>
          <w:szCs w:val="18"/>
        </w:rPr>
        <w:t>Prognóza ČBA</w:t>
      </w:r>
    </w:p>
    <w:p w14:paraId="56A143EC" w14:textId="15E818C1" w:rsidR="007809DB" w:rsidRPr="00FC64FB" w:rsidRDefault="007809DB" w:rsidP="00E37C53">
      <w:pPr>
        <w:rPr>
          <w:rFonts w:ascii="Calibri" w:hAnsi="Calibri" w:cs="Calibri"/>
          <w:bCs/>
          <w:color w:val="13576B"/>
          <w:szCs w:val="18"/>
        </w:rPr>
      </w:pPr>
    </w:p>
    <w:p w14:paraId="3F5C40C3" w14:textId="37F6AB42" w:rsidR="000C77D3" w:rsidRPr="002C1004" w:rsidRDefault="000C77D3" w:rsidP="000C77D3">
      <w:pPr>
        <w:spacing w:before="80"/>
        <w:rPr>
          <w:rFonts w:ascii="Calibri" w:hAnsi="Calibri" w:cs="Calibri"/>
          <w:b/>
          <w:color w:val="13576B"/>
          <w:sz w:val="22"/>
          <w:szCs w:val="22"/>
        </w:rPr>
      </w:pPr>
      <w:r>
        <w:rPr>
          <w:rFonts w:ascii="Calibri" w:hAnsi="Calibri" w:cs="Calibri"/>
          <w:b/>
          <w:color w:val="13576B"/>
          <w:sz w:val="22"/>
          <w:szCs w:val="22"/>
        </w:rPr>
        <w:t>Mírné ochlazení trhu práce, ale letošní nezaměstnanost</w:t>
      </w:r>
      <w:r w:rsidRPr="002C1004">
        <w:rPr>
          <w:rFonts w:ascii="Calibri" w:hAnsi="Calibri" w:cs="Calibri"/>
          <w:b/>
          <w:color w:val="13576B"/>
          <w:sz w:val="22"/>
          <w:szCs w:val="22"/>
        </w:rPr>
        <w:t xml:space="preserve"> </w:t>
      </w:r>
      <w:r>
        <w:rPr>
          <w:rFonts w:ascii="Calibri" w:hAnsi="Calibri" w:cs="Calibri"/>
          <w:b/>
          <w:color w:val="13576B"/>
          <w:sz w:val="22"/>
          <w:szCs w:val="22"/>
        </w:rPr>
        <w:t>vzroste spíše mírně</w:t>
      </w:r>
    </w:p>
    <w:p w14:paraId="512D584C" w14:textId="63C28CC0" w:rsidR="000C77D3" w:rsidRDefault="00E8453F" w:rsidP="000C77D3">
      <w:pPr>
        <w:rPr>
          <w:rFonts w:ascii="Calibri" w:hAnsi="Calibri" w:cs="Calibri"/>
          <w:color w:val="000000" w:themeColor="text1"/>
          <w:sz w:val="20"/>
        </w:rPr>
      </w:pPr>
      <w:r>
        <w:rPr>
          <w:rFonts w:ascii="Calibri" w:hAnsi="Calibri" w:cs="Calibri"/>
          <w:color w:val="000000" w:themeColor="text1"/>
          <w:sz w:val="20"/>
        </w:rPr>
        <w:t xml:space="preserve">Pokračující slabé oživení </w:t>
      </w:r>
      <w:r w:rsidR="000C77D3">
        <w:rPr>
          <w:rFonts w:ascii="Calibri" w:hAnsi="Calibri" w:cs="Calibri"/>
          <w:color w:val="000000" w:themeColor="text1"/>
          <w:sz w:val="20"/>
        </w:rPr>
        <w:t>české ekonomiky</w:t>
      </w:r>
      <w:r>
        <w:rPr>
          <w:rFonts w:ascii="Calibri" w:hAnsi="Calibri" w:cs="Calibri"/>
          <w:color w:val="000000" w:themeColor="text1"/>
          <w:sz w:val="20"/>
        </w:rPr>
        <w:t xml:space="preserve"> se negativně projevuje i na </w:t>
      </w:r>
      <w:hyperlink r:id="rId13" w:history="1">
        <w:r w:rsidRPr="00E8453F">
          <w:rPr>
            <w:rStyle w:val="Hypertextovodkaz"/>
            <w:rFonts w:ascii="Calibri" w:hAnsi="Calibri" w:cs="Calibri"/>
            <w:sz w:val="20"/>
          </w:rPr>
          <w:t>trhu práce</w:t>
        </w:r>
      </w:hyperlink>
      <w:r>
        <w:rPr>
          <w:rFonts w:ascii="Calibri" w:hAnsi="Calibri" w:cs="Calibri"/>
          <w:color w:val="000000" w:themeColor="text1"/>
          <w:sz w:val="20"/>
        </w:rPr>
        <w:t xml:space="preserve">. </w:t>
      </w:r>
      <w:r w:rsidR="000C77D3">
        <w:rPr>
          <w:rFonts w:ascii="Calibri" w:hAnsi="Calibri" w:cs="Calibri"/>
          <w:color w:val="000000" w:themeColor="text1"/>
          <w:sz w:val="20"/>
        </w:rPr>
        <w:t xml:space="preserve">Podíl nezaměstnaných </w:t>
      </w:r>
      <w:r>
        <w:rPr>
          <w:rFonts w:ascii="Calibri" w:hAnsi="Calibri" w:cs="Calibri"/>
          <w:color w:val="000000" w:themeColor="text1"/>
          <w:sz w:val="20"/>
        </w:rPr>
        <w:t xml:space="preserve">v březnu a dubnu pokračoval v nárůstu přes 4,2 % ze 4 % </w:t>
      </w:r>
      <w:r w:rsidR="000C77D3">
        <w:rPr>
          <w:rFonts w:ascii="Calibri" w:hAnsi="Calibri" w:cs="Calibri"/>
          <w:color w:val="000000" w:themeColor="text1"/>
          <w:sz w:val="20"/>
        </w:rPr>
        <w:t>v závěru loňského roku (po sezónním očištění)</w:t>
      </w:r>
      <w:r>
        <w:rPr>
          <w:rFonts w:ascii="Calibri" w:hAnsi="Calibri" w:cs="Calibri"/>
          <w:color w:val="000000" w:themeColor="text1"/>
          <w:sz w:val="20"/>
        </w:rPr>
        <w:t xml:space="preserve">, </w:t>
      </w:r>
      <w:r w:rsidR="000C77D3">
        <w:rPr>
          <w:rFonts w:ascii="Calibri" w:hAnsi="Calibri" w:cs="Calibri"/>
          <w:color w:val="000000" w:themeColor="text1"/>
          <w:sz w:val="20"/>
        </w:rPr>
        <w:t xml:space="preserve">což bylo více než jsme očekávali </w:t>
      </w:r>
      <w:r w:rsidR="000C77D3">
        <w:rPr>
          <w:rFonts w:ascii="Calibri" w:hAnsi="Calibri" w:cs="Calibri"/>
          <w:color w:val="000000" w:themeColor="text1"/>
          <w:sz w:val="20"/>
        </w:rPr>
        <w:lastRenderedPageBreak/>
        <w:t xml:space="preserve">v podzimních měsících. </w:t>
      </w:r>
      <w:r>
        <w:rPr>
          <w:rFonts w:ascii="Calibri" w:hAnsi="Calibri" w:cs="Calibri"/>
          <w:color w:val="000000" w:themeColor="text1"/>
          <w:sz w:val="20"/>
        </w:rPr>
        <w:t xml:space="preserve">Současnou negativní dynamiku </w:t>
      </w:r>
      <w:r w:rsidR="000C77D3">
        <w:rPr>
          <w:rFonts w:ascii="Calibri" w:hAnsi="Calibri" w:cs="Calibri"/>
          <w:color w:val="000000" w:themeColor="text1"/>
          <w:sz w:val="20"/>
        </w:rPr>
        <w:t>reflektujeme v očekávaní vyššího 4,</w:t>
      </w:r>
      <w:r>
        <w:rPr>
          <w:rFonts w:ascii="Calibri" w:hAnsi="Calibri" w:cs="Calibri"/>
          <w:color w:val="000000" w:themeColor="text1"/>
          <w:sz w:val="20"/>
        </w:rPr>
        <w:t>2</w:t>
      </w:r>
      <w:r w:rsidR="000C77D3">
        <w:rPr>
          <w:rFonts w:ascii="Calibri" w:hAnsi="Calibri" w:cs="Calibri"/>
          <w:color w:val="000000" w:themeColor="text1"/>
          <w:sz w:val="20"/>
        </w:rPr>
        <w:t>% podílu nezaměstnaných</w:t>
      </w:r>
      <w:r w:rsidR="00512418">
        <w:rPr>
          <w:rFonts w:ascii="Calibri" w:hAnsi="Calibri" w:cs="Calibri"/>
          <w:color w:val="000000" w:themeColor="text1"/>
          <w:sz w:val="20"/>
        </w:rPr>
        <w:t xml:space="preserve"> osob</w:t>
      </w:r>
      <w:r w:rsidR="000C77D3">
        <w:rPr>
          <w:rFonts w:ascii="Calibri" w:hAnsi="Calibri" w:cs="Calibri"/>
          <w:color w:val="000000" w:themeColor="text1"/>
          <w:sz w:val="20"/>
        </w:rPr>
        <w:t xml:space="preserve"> v letošním roce, ovšem následovaný jeho mírným poklesem na 4</w:t>
      </w:r>
      <w:r>
        <w:rPr>
          <w:rFonts w:ascii="Calibri" w:hAnsi="Calibri" w:cs="Calibri"/>
          <w:color w:val="000000" w:themeColor="text1"/>
          <w:sz w:val="20"/>
        </w:rPr>
        <w:t>,1</w:t>
      </w:r>
      <w:r w:rsidR="000C77D3">
        <w:rPr>
          <w:rFonts w:ascii="Calibri" w:hAnsi="Calibri" w:cs="Calibri"/>
          <w:color w:val="000000" w:themeColor="text1"/>
          <w:sz w:val="20"/>
        </w:rPr>
        <w:t xml:space="preserve"> % v roce 2026. </w:t>
      </w:r>
      <w:r>
        <w:rPr>
          <w:rFonts w:ascii="Calibri" w:hAnsi="Calibri" w:cs="Calibri"/>
          <w:color w:val="000000" w:themeColor="text1"/>
          <w:sz w:val="20"/>
        </w:rPr>
        <w:t xml:space="preserve">Tento pouze mírně negativnější výhled je v souladu s naší předchozí hypotézou, že oživení české ekonomiky okolo 2 % meziročně by nemělo vést k výraznějšímu zhoršení míry nezaměstnanosti. </w:t>
      </w:r>
      <w:r w:rsidR="000C77D3">
        <w:rPr>
          <w:rFonts w:ascii="Calibri" w:hAnsi="Calibri" w:cs="Calibri"/>
          <w:color w:val="000000" w:themeColor="text1"/>
          <w:sz w:val="20"/>
        </w:rPr>
        <w:t>Trh práce se tak díky postupnému</w:t>
      </w:r>
      <w:r>
        <w:rPr>
          <w:rFonts w:ascii="Calibri" w:hAnsi="Calibri" w:cs="Calibri"/>
          <w:color w:val="000000" w:themeColor="text1"/>
          <w:sz w:val="20"/>
        </w:rPr>
        <w:t>, i když mírnějšímu</w:t>
      </w:r>
      <w:r w:rsidR="000C77D3">
        <w:rPr>
          <w:rFonts w:ascii="Calibri" w:hAnsi="Calibri" w:cs="Calibri"/>
          <w:color w:val="000000" w:themeColor="text1"/>
          <w:sz w:val="20"/>
        </w:rPr>
        <w:t xml:space="preserve"> oživení české ekonomiky příliš neuvolní</w:t>
      </w:r>
      <w:r>
        <w:rPr>
          <w:rFonts w:ascii="Calibri" w:hAnsi="Calibri" w:cs="Calibri"/>
          <w:color w:val="000000" w:themeColor="text1"/>
          <w:sz w:val="20"/>
        </w:rPr>
        <w:t>, přičemž pozorujeme a p</w:t>
      </w:r>
      <w:r w:rsidR="000C77D3">
        <w:rPr>
          <w:rFonts w:ascii="Calibri" w:hAnsi="Calibri" w:cs="Calibri"/>
          <w:color w:val="000000" w:themeColor="text1"/>
          <w:sz w:val="20"/>
        </w:rPr>
        <w:t>ředpokládáme pokračující divergenci v poptávce na trhu práce</w:t>
      </w:r>
      <w:r>
        <w:rPr>
          <w:rFonts w:ascii="Calibri" w:hAnsi="Calibri" w:cs="Calibri"/>
          <w:color w:val="000000" w:themeColor="text1"/>
          <w:sz w:val="20"/>
        </w:rPr>
        <w:t xml:space="preserve"> (průmysl vs. služby; klesající zásoba lokální </w:t>
      </w:r>
      <w:r w:rsidR="00086563" w:rsidRPr="003503ED">
        <w:rPr>
          <w:b/>
          <w:bCs/>
          <w:noProof/>
          <w:color w:val="FF0000"/>
          <w:sz w:val="20"/>
        </w:rPr>
        <mc:AlternateContent>
          <mc:Choice Requires="wps">
            <w:drawing>
              <wp:anchor distT="45720" distB="45720" distL="114300" distR="114300" simplePos="0" relativeHeight="251674624" behindDoc="0" locked="0" layoutInCell="1" allowOverlap="1" wp14:anchorId="14A1F519" wp14:editId="0377A1BB">
                <wp:simplePos x="0" y="0"/>
                <wp:positionH relativeFrom="margin">
                  <wp:posOffset>20955</wp:posOffset>
                </wp:positionH>
                <wp:positionV relativeFrom="paragraph">
                  <wp:posOffset>1019175</wp:posOffset>
                </wp:positionV>
                <wp:extent cx="6496050" cy="581025"/>
                <wp:effectExtent l="0" t="0" r="19050" b="28575"/>
                <wp:wrapSquare wrapText="bothSides"/>
                <wp:docPr id="217012504"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581025"/>
                        </a:xfrm>
                        <a:prstGeom prst="rect">
                          <a:avLst/>
                        </a:prstGeom>
                        <a:solidFill>
                          <a:srgbClr val="FFFFFF"/>
                        </a:solidFill>
                        <a:ln w="9525">
                          <a:solidFill>
                            <a:srgbClr val="000000"/>
                          </a:solidFill>
                          <a:miter lim="800000"/>
                          <a:headEnd/>
                          <a:tailEnd/>
                        </a:ln>
                      </wps:spPr>
                      <wps:txbx>
                        <w:txbxContent>
                          <w:p w14:paraId="336DDED3" w14:textId="77777777" w:rsidR="00D93419" w:rsidRDefault="00D93419" w:rsidP="00D93419">
                            <w:pPr>
                              <w:rPr>
                                <w:rFonts w:ascii="Calibri" w:hAnsi="Calibri" w:cs="Calibri"/>
                                <w:b/>
                                <w:bCs/>
                                <w:sz w:val="20"/>
                              </w:rPr>
                            </w:pPr>
                            <w:r>
                              <w:rPr>
                                <w:rFonts w:ascii="Calibri" w:hAnsi="Calibri" w:cs="Calibri"/>
                                <w:b/>
                                <w:bCs/>
                                <w:sz w:val="20"/>
                              </w:rPr>
                              <w:t>Jan Vejmělek</w:t>
                            </w:r>
                            <w:r w:rsidRPr="00855C1D">
                              <w:rPr>
                                <w:rFonts w:ascii="Calibri" w:hAnsi="Calibri" w:cs="Calibri"/>
                                <w:b/>
                                <w:bCs/>
                                <w:sz w:val="20"/>
                              </w:rPr>
                              <w:t xml:space="preserve">, </w:t>
                            </w:r>
                            <w:r w:rsidRPr="002165FE">
                              <w:rPr>
                                <w:rFonts w:ascii="Calibri" w:hAnsi="Calibri" w:cs="Calibri"/>
                                <w:b/>
                                <w:bCs/>
                                <w:sz w:val="20"/>
                              </w:rPr>
                              <w:t xml:space="preserve">hlavní ekonom </w:t>
                            </w:r>
                            <w:r>
                              <w:rPr>
                                <w:rFonts w:ascii="Calibri" w:hAnsi="Calibri" w:cs="Calibri"/>
                                <w:b/>
                                <w:bCs/>
                                <w:sz w:val="20"/>
                              </w:rPr>
                              <w:t>Komerční banky:</w:t>
                            </w:r>
                          </w:p>
                          <w:p w14:paraId="62B68058" w14:textId="77777777" w:rsidR="00D93419" w:rsidRPr="0035275E" w:rsidRDefault="00D93419" w:rsidP="00D93419">
                            <w:pPr>
                              <w:rPr>
                                <w:rFonts w:ascii="Calibri" w:hAnsi="Calibri" w:cs="Calibri"/>
                                <w:i/>
                                <w:iCs/>
                                <w:color w:val="000000" w:themeColor="text1"/>
                              </w:rPr>
                            </w:pPr>
                            <w:r>
                              <w:rPr>
                                <w:rFonts w:ascii="Calibri" w:hAnsi="Calibri" w:cs="Calibri"/>
                                <w:i/>
                                <w:iCs/>
                                <w:color w:val="000000" w:themeColor="text1"/>
                                <w:sz w:val="20"/>
                              </w:rPr>
                              <w:t>„</w:t>
                            </w:r>
                            <w:r w:rsidRPr="0037320F">
                              <w:rPr>
                                <w:rFonts w:ascii="Calibri" w:hAnsi="Calibri" w:cs="Calibri"/>
                                <w:i/>
                                <w:iCs/>
                                <w:color w:val="000000" w:themeColor="text1"/>
                                <w:sz w:val="20"/>
                              </w:rPr>
                              <w:t>Nezaměstnanost letos mírně vzroste nad svou přirozenou míru, a to jak kvůli slabšímu růstu, tak strukturálním změnám, když bude pokračovat přesun pracovníků z průmyslu do služeb</w:t>
                            </w:r>
                            <w:r w:rsidRPr="0035275E">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1F519" id="_x0000_s1029" type="#_x0000_t202" style="position:absolute;left:0;text-align:left;margin-left:1.65pt;margin-top:80.25pt;width:511.5pt;height:45.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">
                <v:textbox>
                  <w:txbxContent>
                    <w:p w14:paraId="336DDED3" w14:textId="77777777" w:rsidR="00D93419" w:rsidRDefault="00D93419" w:rsidP="00D93419">
                      <w:pPr>
                        <w:rPr>
                          <w:rFonts w:ascii="Calibri" w:hAnsi="Calibri" w:cs="Calibri"/>
                          <w:b/>
                          <w:bCs/>
                          <w:sz w:val="20"/>
                        </w:rPr>
                      </w:pPr>
                      <w:r>
                        <w:rPr>
                          <w:rFonts w:ascii="Calibri" w:hAnsi="Calibri" w:cs="Calibri"/>
                          <w:b/>
                          <w:bCs/>
                          <w:sz w:val="20"/>
                        </w:rPr>
                        <w:t xml:space="preserve">Jan </w:t>
                      </w:r>
                      <w:proofErr w:type="spellStart"/>
                      <w:r>
                        <w:rPr>
                          <w:rFonts w:ascii="Calibri" w:hAnsi="Calibri" w:cs="Calibri"/>
                          <w:b/>
                          <w:bCs/>
                          <w:sz w:val="20"/>
                        </w:rPr>
                        <w:t>Vejmělek</w:t>
                      </w:r>
                      <w:proofErr w:type="spellEnd"/>
                      <w:r w:rsidRPr="00855C1D">
                        <w:rPr>
                          <w:rFonts w:ascii="Calibri" w:hAnsi="Calibri" w:cs="Calibri"/>
                          <w:b/>
                          <w:bCs/>
                          <w:sz w:val="20"/>
                        </w:rPr>
                        <w:t xml:space="preserve">, </w:t>
                      </w:r>
                      <w:r w:rsidRPr="002165FE">
                        <w:rPr>
                          <w:rFonts w:ascii="Calibri" w:hAnsi="Calibri" w:cs="Calibri"/>
                          <w:b/>
                          <w:bCs/>
                          <w:sz w:val="20"/>
                        </w:rPr>
                        <w:t xml:space="preserve">hlavní ekonom </w:t>
                      </w:r>
                      <w:r>
                        <w:rPr>
                          <w:rFonts w:ascii="Calibri" w:hAnsi="Calibri" w:cs="Calibri"/>
                          <w:b/>
                          <w:bCs/>
                          <w:sz w:val="20"/>
                        </w:rPr>
                        <w:t>Komerční banky:</w:t>
                      </w:r>
                    </w:p>
                    <w:p w14:paraId="62B68058" w14:textId="77777777" w:rsidR="00D93419" w:rsidRPr="0035275E" w:rsidRDefault="00D93419" w:rsidP="00D93419">
                      <w:pPr>
                        <w:rPr>
                          <w:rFonts w:ascii="Calibri" w:hAnsi="Calibri" w:cs="Calibri"/>
                          <w:i/>
                          <w:iCs/>
                          <w:color w:val="000000" w:themeColor="text1"/>
                        </w:rPr>
                      </w:pPr>
                      <w:r>
                        <w:rPr>
                          <w:rFonts w:ascii="Calibri" w:hAnsi="Calibri" w:cs="Calibri"/>
                          <w:i/>
                          <w:iCs/>
                          <w:color w:val="000000" w:themeColor="text1"/>
                          <w:sz w:val="20"/>
                        </w:rPr>
                        <w:t>„</w:t>
                      </w:r>
                      <w:r w:rsidRPr="0037320F">
                        <w:rPr>
                          <w:rFonts w:ascii="Calibri" w:hAnsi="Calibri" w:cs="Calibri"/>
                          <w:i/>
                          <w:iCs/>
                          <w:color w:val="000000" w:themeColor="text1"/>
                          <w:sz w:val="20"/>
                        </w:rPr>
                        <w:t>Nezaměstnanost letos mírně vzroste nad svou přirozenou míru, a to jak kvůli slabšímu růstu, tak strukturálním změnám, když bude pokračovat přesun pracovníků z průmyslu do služeb</w:t>
                      </w:r>
                      <w:r w:rsidRPr="0035275E">
                        <w:rPr>
                          <w:rFonts w:ascii="Calibri" w:hAnsi="Calibri" w:cs="Calibri"/>
                          <w:i/>
                          <w:iCs/>
                          <w:color w:val="000000" w:themeColor="text1"/>
                          <w:sz w:val="20"/>
                        </w:rPr>
                        <w:t>.“</w:t>
                      </w:r>
                    </w:p>
                  </w:txbxContent>
                </v:textbox>
                <w10:wrap type="square" anchorx="margin"/>
              </v:shape>
            </w:pict>
          </mc:Fallback>
        </mc:AlternateContent>
      </w:r>
      <w:r>
        <w:rPr>
          <w:rFonts w:ascii="Calibri" w:hAnsi="Calibri" w:cs="Calibri"/>
          <w:color w:val="000000" w:themeColor="text1"/>
          <w:sz w:val="20"/>
        </w:rPr>
        <w:t xml:space="preserve">pracovní síly). </w:t>
      </w:r>
    </w:p>
    <w:p w14:paraId="0C1C3AE4" w14:textId="75E29459" w:rsidR="001230C1" w:rsidRDefault="001230C1" w:rsidP="000C77D3">
      <w:pPr>
        <w:rPr>
          <w:rFonts w:ascii="Calibri" w:hAnsi="Calibri" w:cs="Calibri"/>
          <w:color w:val="000000" w:themeColor="text1"/>
          <w:sz w:val="20"/>
        </w:rPr>
      </w:pPr>
    </w:p>
    <w:p w14:paraId="20413EC5" w14:textId="650795F1" w:rsidR="002C51A7" w:rsidRPr="002C1004" w:rsidRDefault="002C51A7" w:rsidP="000C77D3">
      <w:pPr>
        <w:rPr>
          <w:rFonts w:ascii="Calibri" w:hAnsi="Calibri" w:cs="Calibri"/>
          <w:b/>
          <w:color w:val="13576B"/>
          <w:sz w:val="22"/>
          <w:szCs w:val="22"/>
        </w:rPr>
      </w:pPr>
      <w:r>
        <w:rPr>
          <w:rFonts w:ascii="Calibri" w:hAnsi="Calibri" w:cs="Calibri"/>
          <w:b/>
          <w:color w:val="13576B"/>
          <w:sz w:val="22"/>
          <w:szCs w:val="22"/>
        </w:rPr>
        <w:t>Reálná průměrná mzda dosáhne své předcovidové úrovně v pr</w:t>
      </w:r>
      <w:r w:rsidR="00E8453F">
        <w:rPr>
          <w:rFonts w:ascii="Calibri" w:hAnsi="Calibri" w:cs="Calibri"/>
          <w:b/>
          <w:color w:val="13576B"/>
          <w:sz w:val="22"/>
          <w:szCs w:val="22"/>
        </w:rPr>
        <w:t>ů</w:t>
      </w:r>
      <w:r>
        <w:rPr>
          <w:rFonts w:ascii="Calibri" w:hAnsi="Calibri" w:cs="Calibri"/>
          <w:b/>
          <w:color w:val="13576B"/>
          <w:sz w:val="22"/>
          <w:szCs w:val="22"/>
        </w:rPr>
        <w:t>běhu roku 2026</w:t>
      </w:r>
    </w:p>
    <w:p w14:paraId="0B7FC92E" w14:textId="79C262A3" w:rsidR="002C51A7" w:rsidRDefault="00A85C43" w:rsidP="00A85C43">
      <w:pPr>
        <w:rPr>
          <w:rFonts w:ascii="Calibri" w:hAnsi="Calibri" w:cs="Calibri"/>
          <w:color w:val="000000" w:themeColor="text1"/>
          <w:sz w:val="20"/>
        </w:rPr>
      </w:pPr>
      <w:r w:rsidRPr="004B4D9A">
        <w:rPr>
          <w:rFonts w:ascii="Calibri" w:hAnsi="Calibri" w:cs="Calibri"/>
          <w:b/>
          <w:bCs/>
          <w:color w:val="000000" w:themeColor="text1"/>
          <w:sz w:val="20"/>
        </w:rPr>
        <w:t xml:space="preserve">Růst nominální průměrné mzdy letos </w:t>
      </w:r>
      <w:r w:rsidR="004B4D9A" w:rsidRPr="004B4D9A">
        <w:rPr>
          <w:rFonts w:ascii="Calibri" w:hAnsi="Calibri" w:cs="Calibri"/>
          <w:b/>
          <w:bCs/>
          <w:color w:val="000000" w:themeColor="text1"/>
          <w:sz w:val="20"/>
        </w:rPr>
        <w:t>zvolní z loňských 7</w:t>
      </w:r>
      <w:r w:rsidR="00E8453F">
        <w:rPr>
          <w:rFonts w:ascii="Calibri" w:hAnsi="Calibri" w:cs="Calibri"/>
          <w:b/>
          <w:bCs/>
          <w:color w:val="000000" w:themeColor="text1"/>
          <w:sz w:val="20"/>
        </w:rPr>
        <w:t>,1</w:t>
      </w:r>
      <w:r w:rsidR="004B4D9A" w:rsidRPr="004B4D9A">
        <w:rPr>
          <w:rFonts w:ascii="Calibri" w:hAnsi="Calibri" w:cs="Calibri"/>
          <w:b/>
          <w:bCs/>
          <w:color w:val="000000" w:themeColor="text1"/>
          <w:sz w:val="20"/>
        </w:rPr>
        <w:t xml:space="preserve"> % </w:t>
      </w:r>
      <w:r w:rsidR="00E8453F">
        <w:rPr>
          <w:rFonts w:ascii="Calibri" w:hAnsi="Calibri" w:cs="Calibri"/>
          <w:b/>
          <w:bCs/>
          <w:color w:val="000000" w:themeColor="text1"/>
          <w:sz w:val="20"/>
        </w:rPr>
        <w:t>pod 6</w:t>
      </w:r>
      <w:r w:rsidR="004B4D9A" w:rsidRPr="004B4D9A">
        <w:rPr>
          <w:rFonts w:ascii="Calibri" w:hAnsi="Calibri" w:cs="Calibri"/>
          <w:b/>
          <w:bCs/>
          <w:color w:val="000000" w:themeColor="text1"/>
          <w:sz w:val="20"/>
        </w:rPr>
        <w:t xml:space="preserve"> % a ustálí se </w:t>
      </w:r>
      <w:r w:rsidR="00E8453F">
        <w:rPr>
          <w:rFonts w:ascii="Calibri" w:hAnsi="Calibri" w:cs="Calibri"/>
          <w:b/>
          <w:bCs/>
          <w:color w:val="000000" w:themeColor="text1"/>
          <w:sz w:val="20"/>
        </w:rPr>
        <w:t>pod</w:t>
      </w:r>
      <w:r w:rsidR="004B4D9A" w:rsidRPr="004B4D9A">
        <w:rPr>
          <w:rFonts w:ascii="Calibri" w:hAnsi="Calibri" w:cs="Calibri"/>
          <w:b/>
          <w:bCs/>
          <w:color w:val="000000" w:themeColor="text1"/>
          <w:sz w:val="20"/>
        </w:rPr>
        <w:t xml:space="preserve"> 5% růst</w:t>
      </w:r>
      <w:r w:rsidR="00E8453F">
        <w:rPr>
          <w:rFonts w:ascii="Calibri" w:hAnsi="Calibri" w:cs="Calibri"/>
          <w:b/>
          <w:bCs/>
          <w:color w:val="000000" w:themeColor="text1"/>
          <w:sz w:val="20"/>
        </w:rPr>
        <w:t>em</w:t>
      </w:r>
      <w:r w:rsidR="004B4D9A" w:rsidRPr="004B4D9A">
        <w:rPr>
          <w:rFonts w:ascii="Calibri" w:hAnsi="Calibri" w:cs="Calibri"/>
          <w:b/>
          <w:bCs/>
          <w:color w:val="000000" w:themeColor="text1"/>
          <w:sz w:val="20"/>
        </w:rPr>
        <w:t xml:space="preserve"> v roce 2026. </w:t>
      </w:r>
      <w:r w:rsidRPr="004B4D9A">
        <w:rPr>
          <w:rFonts w:ascii="Calibri" w:hAnsi="Calibri" w:cs="Calibri"/>
          <w:b/>
          <w:bCs/>
          <w:color w:val="000000" w:themeColor="text1"/>
          <w:sz w:val="20"/>
        </w:rPr>
        <w:t xml:space="preserve"> </w:t>
      </w:r>
      <w:r w:rsidR="00EB708F">
        <w:rPr>
          <w:rFonts w:ascii="Calibri" w:hAnsi="Calibri" w:cs="Calibri"/>
          <w:color w:val="000000" w:themeColor="text1"/>
          <w:sz w:val="20"/>
        </w:rPr>
        <w:t>Růst nominálních mezd v</w:t>
      </w:r>
      <w:r w:rsidR="00E8453F">
        <w:rPr>
          <w:rFonts w:ascii="Calibri" w:hAnsi="Calibri" w:cs="Calibri"/>
          <w:color w:val="000000" w:themeColor="text1"/>
          <w:sz w:val="20"/>
        </w:rPr>
        <w:t> závěru lo</w:t>
      </w:r>
      <w:r w:rsidR="00EB708F">
        <w:rPr>
          <w:rFonts w:ascii="Calibri" w:hAnsi="Calibri" w:cs="Calibri"/>
          <w:color w:val="000000" w:themeColor="text1"/>
          <w:sz w:val="20"/>
        </w:rPr>
        <w:t xml:space="preserve">ňského roku </w:t>
      </w:r>
      <w:r w:rsidR="00E8453F">
        <w:rPr>
          <w:rFonts w:ascii="Calibri" w:hAnsi="Calibri" w:cs="Calibri"/>
          <w:color w:val="000000" w:themeColor="text1"/>
          <w:sz w:val="20"/>
        </w:rPr>
        <w:t xml:space="preserve">opět </w:t>
      </w:r>
      <w:r w:rsidR="00EB708F">
        <w:rPr>
          <w:rFonts w:ascii="Calibri" w:hAnsi="Calibri" w:cs="Calibri"/>
          <w:color w:val="000000" w:themeColor="text1"/>
          <w:sz w:val="20"/>
        </w:rPr>
        <w:t xml:space="preserve">pozitivně </w:t>
      </w:r>
      <w:r w:rsidR="0039301A">
        <w:rPr>
          <w:rFonts w:ascii="Calibri" w:hAnsi="Calibri" w:cs="Calibri"/>
          <w:color w:val="000000" w:themeColor="text1"/>
          <w:sz w:val="20"/>
        </w:rPr>
        <w:t>překvapil,</w:t>
      </w:r>
      <w:r w:rsidR="00EB708F">
        <w:rPr>
          <w:rFonts w:ascii="Calibri" w:hAnsi="Calibri" w:cs="Calibri"/>
          <w:color w:val="000000" w:themeColor="text1"/>
          <w:sz w:val="20"/>
        </w:rPr>
        <w:t xml:space="preserve"> </w:t>
      </w:r>
      <w:r w:rsidR="00E8453F">
        <w:rPr>
          <w:rFonts w:ascii="Calibri" w:hAnsi="Calibri" w:cs="Calibri"/>
          <w:color w:val="000000" w:themeColor="text1"/>
          <w:sz w:val="20"/>
        </w:rPr>
        <w:t xml:space="preserve">a to s ohledem na stále silné momentum </w:t>
      </w:r>
      <w:r w:rsidR="00BA56C8">
        <w:rPr>
          <w:rFonts w:ascii="Calibri" w:hAnsi="Calibri" w:cs="Calibri"/>
          <w:color w:val="000000" w:themeColor="text1"/>
          <w:sz w:val="20"/>
        </w:rPr>
        <w:t>čtvrtletní</w:t>
      </w:r>
      <w:r w:rsidR="00E8453F">
        <w:rPr>
          <w:rFonts w:ascii="Calibri" w:hAnsi="Calibri" w:cs="Calibri"/>
          <w:color w:val="000000" w:themeColor="text1"/>
          <w:sz w:val="20"/>
        </w:rPr>
        <w:t xml:space="preserve">ho růstu mezd zvláště ve službách (viz </w:t>
      </w:r>
      <w:r w:rsidR="00BA56C8">
        <w:rPr>
          <w:rFonts w:ascii="Calibri" w:hAnsi="Calibri" w:cs="Calibri"/>
          <w:color w:val="000000" w:themeColor="text1"/>
          <w:sz w:val="20"/>
        </w:rPr>
        <w:t>strukturální</w:t>
      </w:r>
      <w:r w:rsidR="00E8453F">
        <w:rPr>
          <w:rFonts w:ascii="Calibri" w:hAnsi="Calibri" w:cs="Calibri"/>
          <w:color w:val="000000" w:themeColor="text1"/>
          <w:sz w:val="20"/>
        </w:rPr>
        <w:t xml:space="preserve"> problém</w:t>
      </w:r>
      <w:r w:rsidR="00BA56C8">
        <w:rPr>
          <w:rFonts w:ascii="Calibri" w:hAnsi="Calibri" w:cs="Calibri"/>
          <w:color w:val="000000" w:themeColor="text1"/>
          <w:sz w:val="20"/>
        </w:rPr>
        <w:t>y</w:t>
      </w:r>
      <w:r w:rsidR="00E8453F">
        <w:rPr>
          <w:rFonts w:ascii="Calibri" w:hAnsi="Calibri" w:cs="Calibri"/>
          <w:color w:val="000000" w:themeColor="text1"/>
          <w:sz w:val="20"/>
        </w:rPr>
        <w:t xml:space="preserve"> na trhu práce). To by </w:t>
      </w:r>
      <w:r w:rsidR="00BA56C8">
        <w:rPr>
          <w:rFonts w:ascii="Calibri" w:hAnsi="Calibri" w:cs="Calibri"/>
          <w:color w:val="000000" w:themeColor="text1"/>
          <w:sz w:val="20"/>
        </w:rPr>
        <w:t xml:space="preserve">mělo </w:t>
      </w:r>
      <w:r w:rsidR="00E8453F">
        <w:rPr>
          <w:rFonts w:ascii="Calibri" w:hAnsi="Calibri" w:cs="Calibri"/>
          <w:color w:val="000000" w:themeColor="text1"/>
          <w:sz w:val="20"/>
        </w:rPr>
        <w:t>společně s</w:t>
      </w:r>
      <w:r w:rsidR="00BA56C8">
        <w:rPr>
          <w:rFonts w:ascii="Calibri" w:hAnsi="Calibri" w:cs="Calibri"/>
          <w:color w:val="000000" w:themeColor="text1"/>
          <w:sz w:val="20"/>
        </w:rPr>
        <w:t> doháněním předcovidové reálné úrovně mezd, což platí zvláště pro veřejný sektor (kde vidíme riziko směrem nahoru pro rok 2026), udržet stále silný růst mezd. Ten se díky mírnějšímu výhledu na růst spotřebitelských cen dostává nepatrně nad průměrný 3% meziroční růst v letošním a příštím roce.</w:t>
      </w:r>
      <w:r w:rsidR="004B4D9A" w:rsidRPr="002C51A7">
        <w:rPr>
          <w:rFonts w:ascii="Calibri" w:hAnsi="Calibri" w:cs="Calibri"/>
          <w:color w:val="000000" w:themeColor="text1"/>
          <w:sz w:val="20"/>
        </w:rPr>
        <w:t xml:space="preserve"> </w:t>
      </w:r>
      <w:r w:rsidRPr="002C51A7">
        <w:rPr>
          <w:rFonts w:ascii="Calibri" w:hAnsi="Calibri" w:cs="Calibri"/>
          <w:color w:val="000000" w:themeColor="text1"/>
          <w:sz w:val="20"/>
        </w:rPr>
        <w:t>Dle současného výhledu</w:t>
      </w:r>
      <w:r w:rsidR="002C51A7" w:rsidRPr="002C51A7">
        <w:rPr>
          <w:rFonts w:ascii="Calibri" w:hAnsi="Calibri" w:cs="Calibri"/>
          <w:color w:val="000000" w:themeColor="text1"/>
          <w:sz w:val="20"/>
        </w:rPr>
        <w:t xml:space="preserve"> se</w:t>
      </w:r>
      <w:r w:rsidRPr="002C51A7">
        <w:rPr>
          <w:rFonts w:ascii="Calibri" w:hAnsi="Calibri" w:cs="Calibri"/>
          <w:color w:val="000000" w:themeColor="text1"/>
          <w:sz w:val="20"/>
        </w:rPr>
        <w:t xml:space="preserve"> tak reálné </w:t>
      </w:r>
      <w:r w:rsidR="00BA56C8">
        <w:rPr>
          <w:rFonts w:ascii="Calibri" w:hAnsi="Calibri" w:cs="Calibri"/>
          <w:color w:val="000000" w:themeColor="text1"/>
          <w:sz w:val="20"/>
        </w:rPr>
        <w:t xml:space="preserve">hrubé </w:t>
      </w:r>
      <w:r w:rsidRPr="002C51A7">
        <w:rPr>
          <w:rFonts w:ascii="Calibri" w:hAnsi="Calibri" w:cs="Calibri"/>
          <w:color w:val="000000" w:themeColor="text1"/>
          <w:sz w:val="20"/>
        </w:rPr>
        <w:t xml:space="preserve">mzdy </w:t>
      </w:r>
      <w:r w:rsidR="002C51A7" w:rsidRPr="002C51A7">
        <w:rPr>
          <w:rFonts w:ascii="Calibri" w:hAnsi="Calibri" w:cs="Calibri"/>
          <w:color w:val="000000" w:themeColor="text1"/>
          <w:sz w:val="20"/>
        </w:rPr>
        <w:t xml:space="preserve">navrátí na předcovidovou úroveň roku 2019 až v průběhu příštího roku a nepřekonají </w:t>
      </w:r>
      <w:r w:rsidRPr="002C51A7">
        <w:rPr>
          <w:rFonts w:ascii="Calibri" w:hAnsi="Calibri" w:cs="Calibri"/>
          <w:color w:val="000000" w:themeColor="text1"/>
          <w:sz w:val="20"/>
        </w:rPr>
        <w:t xml:space="preserve">svou </w:t>
      </w:r>
      <w:r w:rsidR="00EB708F">
        <w:rPr>
          <w:rFonts w:ascii="Calibri" w:hAnsi="Calibri" w:cs="Calibri"/>
          <w:color w:val="000000" w:themeColor="text1"/>
          <w:sz w:val="20"/>
        </w:rPr>
        <w:t>dopos</w:t>
      </w:r>
      <w:r w:rsidR="00512418">
        <w:rPr>
          <w:rFonts w:ascii="Calibri" w:hAnsi="Calibri" w:cs="Calibri"/>
          <w:color w:val="000000" w:themeColor="text1"/>
          <w:sz w:val="20"/>
        </w:rPr>
        <w:t>ud</w:t>
      </w:r>
      <w:r w:rsidRPr="002C51A7">
        <w:rPr>
          <w:rFonts w:ascii="Calibri" w:hAnsi="Calibri" w:cs="Calibri"/>
          <w:color w:val="000000" w:themeColor="text1"/>
          <w:sz w:val="20"/>
        </w:rPr>
        <w:t xml:space="preserve"> nejvyšší úroveň z roku 2021 dříve než v roce 2027.</w:t>
      </w:r>
    </w:p>
    <w:p w14:paraId="32648A9D" w14:textId="4EC05305" w:rsidR="002C51A7" w:rsidRDefault="002C51A7" w:rsidP="00A85C43">
      <w:pPr>
        <w:rPr>
          <w:rFonts w:ascii="Calibri" w:hAnsi="Calibri" w:cs="Calibri"/>
          <w:color w:val="000000" w:themeColor="text1"/>
          <w:sz w:val="20"/>
        </w:rPr>
      </w:pPr>
    </w:p>
    <w:p w14:paraId="0BD283A7" w14:textId="140790C7" w:rsidR="002C51A7" w:rsidRDefault="00B42B24" w:rsidP="00A85C43">
      <w:pPr>
        <w:rPr>
          <w:rFonts w:ascii="Calibri" w:hAnsi="Calibri" w:cs="Calibri"/>
          <w:color w:val="000000" w:themeColor="text1"/>
          <w:sz w:val="20"/>
        </w:rPr>
      </w:pPr>
      <w:r>
        <w:rPr>
          <w:noProof/>
        </w:rPr>
        <w:drawing>
          <wp:inline distT="0" distB="0" distL="0" distR="0" wp14:anchorId="125517F3" wp14:editId="0AC85F27">
            <wp:extent cx="3152775" cy="2151188"/>
            <wp:effectExtent l="0" t="0" r="0" b="1905"/>
            <wp:docPr id="1507390837"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90837" name="Picture 1" descr="A graph with numbers and lines&#10;&#10;AI-generated content may be incorrect."/>
                    <pic:cNvPicPr/>
                  </pic:nvPicPr>
                  <pic:blipFill>
                    <a:blip r:embed="rId14"/>
                    <a:stretch>
                      <a:fillRect/>
                    </a:stretch>
                  </pic:blipFill>
                  <pic:spPr>
                    <a:xfrm>
                      <a:off x="0" y="0"/>
                      <a:ext cx="3165726" cy="2160025"/>
                    </a:xfrm>
                    <a:prstGeom prst="rect">
                      <a:avLst/>
                    </a:prstGeom>
                  </pic:spPr>
                </pic:pic>
              </a:graphicData>
            </a:graphic>
          </wp:inline>
        </w:drawing>
      </w:r>
      <w:r w:rsidRPr="00B42B24">
        <w:rPr>
          <w:noProof/>
        </w:rPr>
        <w:t xml:space="preserve"> </w:t>
      </w:r>
      <w:r>
        <w:rPr>
          <w:noProof/>
        </w:rPr>
        <w:drawing>
          <wp:inline distT="0" distB="0" distL="0" distR="0" wp14:anchorId="6AF641B1" wp14:editId="2D484466">
            <wp:extent cx="3263629" cy="2149459"/>
            <wp:effectExtent l="0" t="0" r="0" b="3810"/>
            <wp:docPr id="119110384"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0384" name="Picture 1" descr="A graph with numbers and a line&#10;&#10;AI-generated content may be incorrect."/>
                    <pic:cNvPicPr/>
                  </pic:nvPicPr>
                  <pic:blipFill>
                    <a:blip r:embed="rId15"/>
                    <a:stretch>
                      <a:fillRect/>
                    </a:stretch>
                  </pic:blipFill>
                  <pic:spPr>
                    <a:xfrm>
                      <a:off x="0" y="0"/>
                      <a:ext cx="3307621" cy="2178432"/>
                    </a:xfrm>
                    <a:prstGeom prst="rect">
                      <a:avLst/>
                    </a:prstGeom>
                  </pic:spPr>
                </pic:pic>
              </a:graphicData>
            </a:graphic>
          </wp:inline>
        </w:drawing>
      </w:r>
      <w:r w:rsidR="008566F9" w:rsidRPr="008566F9">
        <w:rPr>
          <w:rFonts w:ascii="Calibri" w:hAnsi="Calibri" w:cs="Calibri"/>
          <w:color w:val="000000" w:themeColor="text1"/>
          <w:sz w:val="20"/>
        </w:rPr>
        <w:t xml:space="preserve"> </w:t>
      </w:r>
    </w:p>
    <w:p w14:paraId="1D675FA9" w14:textId="1393DD0D" w:rsidR="002C51A7" w:rsidRDefault="00EA0715" w:rsidP="002C51A7">
      <w:pPr>
        <w:rPr>
          <w:rFonts w:ascii="Calibri" w:hAnsi="Calibri" w:cs="Calibri"/>
          <w:bCs/>
          <w:color w:val="13576B"/>
          <w:szCs w:val="18"/>
        </w:rPr>
      </w:pPr>
      <w:r>
        <w:rPr>
          <w:noProof/>
        </w:rPr>
        <w:drawing>
          <wp:inline distT="0" distB="0" distL="0" distR="0" wp14:anchorId="31AA9266" wp14:editId="0BC4813E">
            <wp:extent cx="3170949" cy="2110740"/>
            <wp:effectExtent l="0" t="0" r="0" b="3810"/>
            <wp:docPr id="439450617" name="Picture 1" descr="A graph with blue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50617" name="Picture 1" descr="A graph with blue lines and numbers&#10;&#10;AI-generated content may be incorrect."/>
                    <pic:cNvPicPr/>
                  </pic:nvPicPr>
                  <pic:blipFill>
                    <a:blip r:embed="rId16"/>
                    <a:stretch>
                      <a:fillRect/>
                    </a:stretch>
                  </pic:blipFill>
                  <pic:spPr>
                    <a:xfrm>
                      <a:off x="0" y="0"/>
                      <a:ext cx="3180385" cy="2117021"/>
                    </a:xfrm>
                    <a:prstGeom prst="rect">
                      <a:avLst/>
                    </a:prstGeom>
                  </pic:spPr>
                </pic:pic>
              </a:graphicData>
            </a:graphic>
          </wp:inline>
        </w:drawing>
      </w:r>
      <w:r>
        <w:rPr>
          <w:noProof/>
        </w:rPr>
        <w:t xml:space="preserve"> </w:t>
      </w:r>
      <w:r>
        <w:rPr>
          <w:noProof/>
        </w:rPr>
        <w:drawing>
          <wp:inline distT="0" distB="0" distL="0" distR="0" wp14:anchorId="66427C3A" wp14:editId="118D17AD">
            <wp:extent cx="3209925" cy="2136682"/>
            <wp:effectExtent l="0" t="0" r="0" b="0"/>
            <wp:docPr id="262459972"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59972" name="Picture 1" descr="A graph with numbers and a line&#10;&#10;AI-generated content may be incorrect."/>
                    <pic:cNvPicPr/>
                  </pic:nvPicPr>
                  <pic:blipFill>
                    <a:blip r:embed="rId17"/>
                    <a:stretch>
                      <a:fillRect/>
                    </a:stretch>
                  </pic:blipFill>
                  <pic:spPr>
                    <a:xfrm>
                      <a:off x="0" y="0"/>
                      <a:ext cx="3219583" cy="2143111"/>
                    </a:xfrm>
                    <a:prstGeom prst="rect">
                      <a:avLst/>
                    </a:prstGeom>
                  </pic:spPr>
                </pic:pic>
              </a:graphicData>
            </a:graphic>
          </wp:inline>
        </w:drawing>
      </w:r>
      <w:r w:rsidR="002C51A7" w:rsidRPr="00FC64FB">
        <w:rPr>
          <w:rFonts w:ascii="Calibri" w:hAnsi="Calibri" w:cs="Calibri"/>
          <w:bCs/>
          <w:color w:val="13576B"/>
          <w:szCs w:val="18"/>
        </w:rPr>
        <w:t xml:space="preserve">Zdroj: </w:t>
      </w:r>
      <w:r w:rsidR="002C51A7">
        <w:rPr>
          <w:rFonts w:ascii="Calibri" w:hAnsi="Calibri" w:cs="Calibri"/>
          <w:bCs/>
          <w:color w:val="13576B"/>
          <w:szCs w:val="18"/>
        </w:rPr>
        <w:t xml:space="preserve">ČSÚ, LSEG, </w:t>
      </w:r>
      <w:r w:rsidR="002C51A7" w:rsidRPr="00FC64FB">
        <w:rPr>
          <w:rFonts w:ascii="Calibri" w:hAnsi="Calibri" w:cs="Calibri"/>
          <w:bCs/>
          <w:color w:val="13576B"/>
          <w:szCs w:val="18"/>
        </w:rPr>
        <w:t>Prognóza ČBA</w:t>
      </w:r>
    </w:p>
    <w:p w14:paraId="7D3233EC" w14:textId="4557CE83" w:rsidR="00A85C43" w:rsidRPr="007809DB" w:rsidRDefault="00A85C43" w:rsidP="00A85C43">
      <w:pPr>
        <w:rPr>
          <w:rFonts w:ascii="Calibri" w:hAnsi="Calibri" w:cs="Calibri"/>
          <w:bCs/>
          <w:color w:val="13576B"/>
          <w:szCs w:val="18"/>
        </w:rPr>
      </w:pPr>
    </w:p>
    <w:p w14:paraId="61C016A3" w14:textId="4C4475D7" w:rsidR="00A85C43" w:rsidRPr="0074441D" w:rsidRDefault="00A85C43" w:rsidP="00A85C43">
      <w:pPr>
        <w:rPr>
          <w:rFonts w:ascii="Calibri" w:hAnsi="Calibri" w:cs="Calibri"/>
          <w:b/>
          <w:color w:val="13576B"/>
          <w:sz w:val="22"/>
          <w:szCs w:val="22"/>
        </w:rPr>
      </w:pPr>
      <w:r>
        <w:rPr>
          <w:rFonts w:ascii="Calibri" w:hAnsi="Calibri" w:cs="Calibri"/>
          <w:b/>
          <w:color w:val="13576B"/>
          <w:sz w:val="22"/>
          <w:szCs w:val="22"/>
        </w:rPr>
        <w:t>Průměrn</w:t>
      </w:r>
      <w:r w:rsidR="002C51A7">
        <w:rPr>
          <w:rFonts w:ascii="Calibri" w:hAnsi="Calibri" w:cs="Calibri"/>
          <w:b/>
          <w:color w:val="13576B"/>
          <w:sz w:val="22"/>
          <w:szCs w:val="22"/>
        </w:rPr>
        <w:t xml:space="preserve">ý růst spotřebitelských </w:t>
      </w:r>
      <w:r w:rsidR="00AD6D13">
        <w:rPr>
          <w:rFonts w:ascii="Calibri" w:hAnsi="Calibri" w:cs="Calibri"/>
          <w:b/>
          <w:color w:val="13576B"/>
          <w:sz w:val="22"/>
          <w:szCs w:val="22"/>
        </w:rPr>
        <w:t>cen</w:t>
      </w:r>
      <w:r w:rsidR="002C51A7">
        <w:rPr>
          <w:rFonts w:ascii="Calibri" w:hAnsi="Calibri" w:cs="Calibri"/>
          <w:b/>
          <w:color w:val="13576B"/>
          <w:sz w:val="22"/>
          <w:szCs w:val="22"/>
        </w:rPr>
        <w:t xml:space="preserve"> zůstane lehce nad středem inflačního cíle </w:t>
      </w:r>
    </w:p>
    <w:p w14:paraId="06A73929" w14:textId="65C2D864" w:rsidR="007809DB" w:rsidRDefault="007809DB" w:rsidP="00AD6D13">
      <w:pPr>
        <w:rPr>
          <w:rFonts w:ascii="Calibri" w:hAnsi="Calibri" w:cs="Calibri"/>
          <w:color w:val="000000" w:themeColor="text1"/>
          <w:sz w:val="20"/>
        </w:rPr>
      </w:pPr>
      <w:bookmarkStart w:id="3" w:name="_Hlk198721111"/>
      <w:bookmarkStart w:id="4" w:name="_Hlk198720401"/>
      <w:bookmarkStart w:id="5" w:name="_Hlk198721399"/>
      <w:r w:rsidRPr="007809DB">
        <w:rPr>
          <w:rFonts w:ascii="Calibri" w:hAnsi="Calibri" w:cs="Calibri"/>
          <w:color w:val="000000" w:themeColor="text1"/>
          <w:sz w:val="20"/>
        </w:rPr>
        <w:lastRenderedPageBreak/>
        <w:t xml:space="preserve">Po dvou letech dvouciferné inflace, kdy ceny kumulativně vzrostly přes 27 %, došlo v loňském roce k jejímu citelnému zpomalení na 2,4 % meziročně. Ovšem i v roce 2025 se bude růst spotřebitelských cen přibližovat středu inflačního cíle ČNB shora. Pro letošní rok v průměru čekáme pouze mírné zvolnění inflace na 2,3 % meziročně a její další nepatrné zmírnění na 2,2 </w:t>
      </w:r>
      <w:bookmarkEnd w:id="3"/>
      <w:r w:rsidRPr="007809DB">
        <w:rPr>
          <w:rFonts w:ascii="Calibri" w:hAnsi="Calibri" w:cs="Calibri"/>
          <w:color w:val="000000" w:themeColor="text1"/>
          <w:sz w:val="20"/>
        </w:rPr>
        <w:t>% v roce 2026.</w:t>
      </w:r>
      <w:bookmarkEnd w:id="4"/>
      <w:r>
        <w:rPr>
          <w:rFonts w:ascii="Calibri" w:hAnsi="Calibri" w:cs="Calibri"/>
          <w:color w:val="000000" w:themeColor="text1"/>
          <w:sz w:val="20"/>
        </w:rPr>
        <w:t xml:space="preserve"> </w:t>
      </w:r>
      <w:bookmarkEnd w:id="5"/>
      <w:r w:rsidR="00BA38A9">
        <w:rPr>
          <w:rFonts w:ascii="Calibri" w:hAnsi="Calibri" w:cs="Calibri"/>
          <w:color w:val="000000" w:themeColor="text1"/>
          <w:sz w:val="20"/>
        </w:rPr>
        <w:t xml:space="preserve">V obou letech předpokládáme mírný dopad </w:t>
      </w:r>
      <w:r w:rsidR="009B0E09">
        <w:rPr>
          <w:rFonts w:ascii="Calibri" w:hAnsi="Calibri" w:cs="Calibri"/>
          <w:color w:val="000000" w:themeColor="text1"/>
          <w:sz w:val="20"/>
        </w:rPr>
        <w:t xml:space="preserve">vyšších nepřímých daní </w:t>
      </w:r>
      <w:r w:rsidR="00BA38A9">
        <w:rPr>
          <w:rFonts w:ascii="Calibri" w:hAnsi="Calibri" w:cs="Calibri"/>
          <w:color w:val="000000" w:themeColor="text1"/>
          <w:sz w:val="20"/>
        </w:rPr>
        <w:t>(+0</w:t>
      </w:r>
      <w:r w:rsidR="007951F0">
        <w:rPr>
          <w:rFonts w:ascii="Calibri" w:hAnsi="Calibri" w:cs="Calibri"/>
          <w:color w:val="000000" w:themeColor="text1"/>
          <w:sz w:val="20"/>
        </w:rPr>
        <w:t>,</w:t>
      </w:r>
      <w:r w:rsidR="00BA38A9">
        <w:rPr>
          <w:rFonts w:ascii="Calibri" w:hAnsi="Calibri" w:cs="Calibri"/>
          <w:color w:val="000000" w:themeColor="text1"/>
          <w:sz w:val="20"/>
        </w:rPr>
        <w:t>1% bodu</w:t>
      </w:r>
      <w:r w:rsidR="009B0E09">
        <w:rPr>
          <w:rFonts w:ascii="Calibri" w:hAnsi="Calibri" w:cs="Calibri"/>
          <w:color w:val="000000" w:themeColor="text1"/>
          <w:sz w:val="20"/>
        </w:rPr>
        <w:t xml:space="preserve">). </w:t>
      </w:r>
      <w:r w:rsidR="00BA56C8">
        <w:rPr>
          <w:rFonts w:ascii="Calibri" w:hAnsi="Calibri" w:cs="Calibri"/>
          <w:color w:val="000000" w:themeColor="text1"/>
          <w:sz w:val="20"/>
        </w:rPr>
        <w:t>Ceny energií</w:t>
      </w:r>
      <w:r w:rsidR="00EA0715">
        <w:rPr>
          <w:rFonts w:ascii="Calibri" w:hAnsi="Calibri" w:cs="Calibri"/>
          <w:color w:val="000000" w:themeColor="text1"/>
          <w:sz w:val="20"/>
        </w:rPr>
        <w:t xml:space="preserve">, tedy jejich neregulovaná část, a ceny </w:t>
      </w:r>
      <w:r w:rsidR="00BA56C8">
        <w:rPr>
          <w:rFonts w:ascii="Calibri" w:hAnsi="Calibri" w:cs="Calibri"/>
          <w:color w:val="000000" w:themeColor="text1"/>
          <w:sz w:val="20"/>
        </w:rPr>
        <w:t>pohonných hmot budou pravděpodobně nadále působit d</w:t>
      </w:r>
      <w:r w:rsidR="00D93419">
        <w:rPr>
          <w:rFonts w:ascii="Calibri" w:hAnsi="Calibri" w:cs="Calibri"/>
          <w:color w:val="000000" w:themeColor="text1"/>
          <w:sz w:val="20"/>
        </w:rPr>
        <w:t>e</w:t>
      </w:r>
      <w:r w:rsidR="00BA56C8">
        <w:rPr>
          <w:rFonts w:ascii="Calibri" w:hAnsi="Calibri" w:cs="Calibri"/>
          <w:color w:val="000000" w:themeColor="text1"/>
          <w:sz w:val="20"/>
        </w:rPr>
        <w:t>sinflačně, což neplatí pro cen</w:t>
      </w:r>
      <w:r w:rsidR="00512418">
        <w:rPr>
          <w:rFonts w:ascii="Calibri" w:hAnsi="Calibri" w:cs="Calibri"/>
          <w:color w:val="000000" w:themeColor="text1"/>
          <w:sz w:val="20"/>
        </w:rPr>
        <w:t>y</w:t>
      </w:r>
      <w:r w:rsidR="00BA56C8">
        <w:rPr>
          <w:rFonts w:ascii="Calibri" w:hAnsi="Calibri" w:cs="Calibri"/>
          <w:color w:val="000000" w:themeColor="text1"/>
          <w:sz w:val="20"/>
        </w:rPr>
        <w:t xml:space="preserve"> potravin, kde </w:t>
      </w:r>
      <w:r w:rsidR="00512418">
        <w:rPr>
          <w:rFonts w:ascii="Calibri" w:hAnsi="Calibri" w:cs="Calibri"/>
          <w:color w:val="000000" w:themeColor="text1"/>
          <w:sz w:val="20"/>
        </w:rPr>
        <w:t>vnímáme</w:t>
      </w:r>
      <w:r w:rsidR="00BA56C8">
        <w:rPr>
          <w:rFonts w:ascii="Calibri" w:hAnsi="Calibri" w:cs="Calibri"/>
          <w:color w:val="000000" w:themeColor="text1"/>
          <w:sz w:val="20"/>
        </w:rPr>
        <w:t xml:space="preserve"> pokračující riziko vyšší volatility </w:t>
      </w:r>
      <w:r w:rsidR="00512418">
        <w:rPr>
          <w:rFonts w:ascii="Calibri" w:hAnsi="Calibri" w:cs="Calibri"/>
          <w:color w:val="000000" w:themeColor="text1"/>
          <w:sz w:val="20"/>
        </w:rPr>
        <w:t>způsobené</w:t>
      </w:r>
      <w:r w:rsidR="00BA56C8">
        <w:rPr>
          <w:rFonts w:ascii="Calibri" w:hAnsi="Calibri" w:cs="Calibri"/>
          <w:color w:val="000000" w:themeColor="text1"/>
          <w:sz w:val="20"/>
        </w:rPr>
        <w:t xml:space="preserve"> výkyv</w:t>
      </w:r>
      <w:r w:rsidR="00512418">
        <w:rPr>
          <w:rFonts w:ascii="Calibri" w:hAnsi="Calibri" w:cs="Calibri"/>
          <w:color w:val="000000" w:themeColor="text1"/>
          <w:sz w:val="20"/>
        </w:rPr>
        <w:t xml:space="preserve">y </w:t>
      </w:r>
      <w:r w:rsidR="00BA56C8">
        <w:rPr>
          <w:rFonts w:ascii="Calibri" w:hAnsi="Calibri" w:cs="Calibri"/>
          <w:color w:val="000000" w:themeColor="text1"/>
          <w:sz w:val="20"/>
        </w:rPr>
        <w:t xml:space="preserve">počasí. </w:t>
      </w:r>
    </w:p>
    <w:p w14:paraId="717E5187" w14:textId="77777777" w:rsidR="007809DB" w:rsidRDefault="007809DB" w:rsidP="00AD6D13">
      <w:pPr>
        <w:rPr>
          <w:rFonts w:ascii="Calibri" w:hAnsi="Calibri" w:cs="Calibri"/>
          <w:color w:val="000000" w:themeColor="text1"/>
          <w:sz w:val="20"/>
        </w:rPr>
      </w:pPr>
    </w:p>
    <w:p w14:paraId="57C5E246" w14:textId="003F9FE6" w:rsidR="00A85C43" w:rsidRDefault="007809DB" w:rsidP="00AD6D13">
      <w:pPr>
        <w:rPr>
          <w:rFonts w:ascii="Calibri" w:hAnsi="Calibri" w:cs="Calibri"/>
          <w:color w:val="000000" w:themeColor="text1"/>
          <w:sz w:val="20"/>
        </w:rPr>
      </w:pPr>
      <w:r w:rsidRPr="003503ED">
        <w:rPr>
          <w:b/>
          <w:bCs/>
          <w:noProof/>
          <w:color w:val="FF0000"/>
          <w:sz w:val="20"/>
        </w:rPr>
        <mc:AlternateContent>
          <mc:Choice Requires="wps">
            <w:drawing>
              <wp:anchor distT="45720" distB="45720" distL="114300" distR="114300" simplePos="0" relativeHeight="251678720" behindDoc="0" locked="0" layoutInCell="1" allowOverlap="1" wp14:anchorId="3B52E888" wp14:editId="092D2338">
                <wp:simplePos x="0" y="0"/>
                <wp:positionH relativeFrom="margin">
                  <wp:align>right</wp:align>
                </wp:positionH>
                <wp:positionV relativeFrom="paragraph">
                  <wp:posOffset>1046480</wp:posOffset>
                </wp:positionV>
                <wp:extent cx="6461760" cy="886460"/>
                <wp:effectExtent l="0" t="0" r="15240" b="27940"/>
                <wp:wrapSquare wrapText="bothSides"/>
                <wp:docPr id="314208397"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886460"/>
                        </a:xfrm>
                        <a:prstGeom prst="rect">
                          <a:avLst/>
                        </a:prstGeom>
                        <a:solidFill>
                          <a:srgbClr val="FFFFFF"/>
                        </a:solidFill>
                        <a:ln w="9525">
                          <a:solidFill>
                            <a:srgbClr val="000000"/>
                          </a:solidFill>
                          <a:miter lim="800000"/>
                          <a:headEnd/>
                          <a:tailEnd/>
                        </a:ln>
                      </wps:spPr>
                      <wps:txbx>
                        <w:txbxContent>
                          <w:p w14:paraId="408D4009" w14:textId="77777777" w:rsidR="00D93419" w:rsidRDefault="00D93419" w:rsidP="00D93419">
                            <w:pPr>
                              <w:rPr>
                                <w:rFonts w:ascii="Calibri" w:hAnsi="Calibri" w:cs="Calibri"/>
                                <w:b/>
                                <w:bCs/>
                                <w:sz w:val="20"/>
                              </w:rPr>
                            </w:pPr>
                            <w:r>
                              <w:rPr>
                                <w:rFonts w:ascii="Calibri" w:hAnsi="Calibri" w:cs="Calibri"/>
                                <w:b/>
                                <w:bCs/>
                                <w:sz w:val="20"/>
                              </w:rPr>
                              <w:t xml:space="preserve">Helena Horská, hlavní ekonomka </w:t>
                            </w:r>
                            <w:r w:rsidRPr="00840194">
                              <w:rPr>
                                <w:rFonts w:ascii="Calibri" w:hAnsi="Calibri" w:cs="Calibri"/>
                                <w:b/>
                                <w:bCs/>
                                <w:sz w:val="20"/>
                              </w:rPr>
                              <w:t>Raiffeisenbank</w:t>
                            </w:r>
                            <w:r>
                              <w:rPr>
                                <w:rFonts w:ascii="Calibri" w:hAnsi="Calibri" w:cs="Calibri"/>
                                <w:b/>
                                <w:bCs/>
                                <w:sz w:val="20"/>
                              </w:rPr>
                              <w:t xml:space="preserve">:  </w:t>
                            </w:r>
                          </w:p>
                          <w:p w14:paraId="30606C86" w14:textId="0C5B8A73" w:rsidR="00D93419" w:rsidRPr="0035275E" w:rsidRDefault="00D93419" w:rsidP="00D93419">
                            <w:pPr>
                              <w:rPr>
                                <w:rFonts w:ascii="Calibri" w:hAnsi="Calibri" w:cs="Calibri"/>
                                <w:i/>
                                <w:iCs/>
                                <w:color w:val="000000" w:themeColor="text1"/>
                                <w:sz w:val="20"/>
                              </w:rPr>
                            </w:pPr>
                            <w:r w:rsidRPr="001869EE">
                              <w:rPr>
                                <w:rFonts w:ascii="Calibri" w:hAnsi="Calibri" w:cs="Calibri"/>
                                <w:i/>
                                <w:iCs/>
                                <w:sz w:val="20"/>
                              </w:rPr>
                              <w:t>„</w:t>
                            </w:r>
                            <w:r w:rsidR="007809DB" w:rsidRPr="001869EE">
                              <w:rPr>
                                <w:rFonts w:ascii="Calibri" w:hAnsi="Calibri" w:cs="Calibri"/>
                                <w:i/>
                                <w:iCs/>
                                <w:sz w:val="20"/>
                              </w:rPr>
                              <w:t>Kvůli jádrové inflaci</w:t>
                            </w:r>
                            <w:r w:rsidR="007809DB">
                              <w:rPr>
                                <w:rFonts w:ascii="Calibri" w:hAnsi="Calibri" w:cs="Calibri"/>
                                <w:i/>
                                <w:iCs/>
                                <w:sz w:val="20"/>
                              </w:rPr>
                              <w:t xml:space="preserve"> bude </w:t>
                            </w:r>
                            <w:r>
                              <w:rPr>
                                <w:rFonts w:ascii="Calibri" w:hAnsi="Calibri" w:cs="Calibri"/>
                                <w:i/>
                                <w:iCs/>
                                <w:color w:val="000000" w:themeColor="text1"/>
                                <w:sz w:val="20"/>
                              </w:rPr>
                              <w:t>ČNB</w:t>
                            </w:r>
                            <w:r w:rsidR="007809DB">
                              <w:rPr>
                                <w:rFonts w:ascii="Calibri" w:hAnsi="Calibri" w:cs="Calibri"/>
                                <w:i/>
                                <w:iCs/>
                                <w:color w:val="000000" w:themeColor="text1"/>
                                <w:sz w:val="20"/>
                              </w:rPr>
                              <w:t xml:space="preserve"> </w:t>
                            </w:r>
                            <w:r>
                              <w:rPr>
                                <w:rFonts w:ascii="Calibri" w:hAnsi="Calibri" w:cs="Calibri"/>
                                <w:i/>
                                <w:iCs/>
                                <w:color w:val="000000" w:themeColor="text1"/>
                                <w:sz w:val="20"/>
                              </w:rPr>
                              <w:t xml:space="preserve">s dalším snižováním sazeb opatrná. V případě nepříznivého ekonomického vývoje doprovázeného i rychlejší dezinflací mohou sazby ke 3 % klesat rychleji. Evropský protějšek, Evropská centrální banka, bude snižovat sazby o něco </w:t>
                            </w:r>
                            <w:r w:rsidR="00BD0933">
                              <w:rPr>
                                <w:rFonts w:ascii="Calibri" w:hAnsi="Calibri" w:cs="Calibri"/>
                                <w:i/>
                                <w:iCs/>
                                <w:color w:val="000000" w:themeColor="text1"/>
                                <w:sz w:val="20"/>
                              </w:rPr>
                              <w:t>odvážněji</w:t>
                            </w:r>
                            <w:r>
                              <w:rPr>
                                <w:rFonts w:ascii="Calibri" w:hAnsi="Calibri" w:cs="Calibri"/>
                                <w:i/>
                                <w:iCs/>
                                <w:color w:val="000000" w:themeColor="text1"/>
                                <w:sz w:val="20"/>
                              </w:rPr>
                              <w:t>.</w:t>
                            </w:r>
                            <w:r w:rsidR="001230C1">
                              <w:rPr>
                                <w:rFonts w:ascii="Calibri" w:hAnsi="Calibri" w:cs="Calibri"/>
                                <w:i/>
                                <w:iCs/>
                                <w:color w:val="000000" w:themeColor="text1"/>
                                <w:sz w:val="20"/>
                              </w:rPr>
                              <w:t xml:space="preserve"> </w:t>
                            </w:r>
                            <w:r>
                              <w:rPr>
                                <w:rFonts w:ascii="Calibri" w:hAnsi="Calibri" w:cs="Calibri"/>
                                <w:i/>
                                <w:iCs/>
                                <w:color w:val="000000" w:themeColor="text1"/>
                                <w:sz w:val="20"/>
                              </w:rPr>
                              <w:t>Kurz české koruny v podmínkách značné nejistoty marně hledá směr – její vývoj více než fundamenty určují nálady na trhu a horké zprávy ze světa.“</w:t>
                            </w:r>
                          </w:p>
                          <w:p w14:paraId="7E3024D2" w14:textId="77777777" w:rsidR="00D93419" w:rsidRPr="0035275E" w:rsidRDefault="00D93419" w:rsidP="00D93419">
                            <w:pPr>
                              <w:rPr>
                                <w:rFonts w:ascii="Calibri" w:hAnsi="Calibri" w:cs="Calibri"/>
                                <w:i/>
                                <w:iCs/>
                                <w:color w:val="000000" w:themeColor="text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2E888" id="_x0000_t202" coordsize="21600,21600" o:spt="202" path="m,l,21600r21600,l21600,xe">
                <v:stroke joinstyle="miter"/>
                <v:path gradientshapeok="t" o:connecttype="rect"/>
              </v:shapetype>
              <v:shape id="_x0000_s1030" type="#_x0000_t202" style="position:absolute;left:0;text-align:left;margin-left:457.6pt;margin-top:82.4pt;width:508.8pt;height:69.8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">
                <v:textbox>
                  <w:txbxContent>
                    <w:p w14:paraId="408D4009" w14:textId="77777777" w:rsidR="00D93419" w:rsidRDefault="00D93419" w:rsidP="00D93419">
                      <w:pPr>
                        <w:rPr>
                          <w:rFonts w:ascii="Calibri" w:hAnsi="Calibri" w:cs="Calibri"/>
                          <w:b/>
                          <w:bCs/>
                          <w:sz w:val="20"/>
                        </w:rPr>
                      </w:pPr>
                      <w:r>
                        <w:rPr>
                          <w:rFonts w:ascii="Calibri" w:hAnsi="Calibri" w:cs="Calibri"/>
                          <w:b/>
                          <w:bCs/>
                          <w:sz w:val="20"/>
                        </w:rPr>
                        <w:t xml:space="preserve">Helena Horská, hlavní ekonomka </w:t>
                      </w:r>
                      <w:r w:rsidRPr="00840194">
                        <w:rPr>
                          <w:rFonts w:ascii="Calibri" w:hAnsi="Calibri" w:cs="Calibri"/>
                          <w:b/>
                          <w:bCs/>
                          <w:sz w:val="20"/>
                        </w:rPr>
                        <w:t>Raiffeisenbank</w:t>
                      </w:r>
                      <w:r>
                        <w:rPr>
                          <w:rFonts w:ascii="Calibri" w:hAnsi="Calibri" w:cs="Calibri"/>
                          <w:b/>
                          <w:bCs/>
                          <w:sz w:val="20"/>
                        </w:rPr>
                        <w:t xml:space="preserve">:  </w:t>
                      </w:r>
                    </w:p>
                    <w:p w14:paraId="30606C86" w14:textId="0C5B8A73" w:rsidR="00D93419" w:rsidRPr="0035275E" w:rsidRDefault="00D93419" w:rsidP="00D93419">
                      <w:pPr>
                        <w:rPr>
                          <w:rFonts w:ascii="Calibri" w:hAnsi="Calibri" w:cs="Calibri"/>
                          <w:i/>
                          <w:iCs/>
                          <w:color w:val="000000" w:themeColor="text1"/>
                          <w:sz w:val="20"/>
                        </w:rPr>
                      </w:pPr>
                      <w:r w:rsidRPr="001869EE">
                        <w:rPr>
                          <w:rFonts w:ascii="Calibri" w:hAnsi="Calibri" w:cs="Calibri"/>
                          <w:i/>
                          <w:iCs/>
                          <w:sz w:val="20"/>
                        </w:rPr>
                        <w:t>„</w:t>
                      </w:r>
                      <w:r w:rsidR="007809DB" w:rsidRPr="001869EE">
                        <w:rPr>
                          <w:rFonts w:ascii="Calibri" w:hAnsi="Calibri" w:cs="Calibri"/>
                          <w:i/>
                          <w:iCs/>
                          <w:sz w:val="20"/>
                        </w:rPr>
                        <w:t>Kvůli jádrové inflaci</w:t>
                      </w:r>
                      <w:r w:rsidR="007809DB">
                        <w:rPr>
                          <w:rFonts w:ascii="Calibri" w:hAnsi="Calibri" w:cs="Calibri"/>
                          <w:i/>
                          <w:iCs/>
                          <w:sz w:val="20"/>
                        </w:rPr>
                        <w:t xml:space="preserve"> bude </w:t>
                      </w:r>
                      <w:r>
                        <w:rPr>
                          <w:rFonts w:ascii="Calibri" w:hAnsi="Calibri" w:cs="Calibri"/>
                          <w:i/>
                          <w:iCs/>
                          <w:color w:val="000000" w:themeColor="text1"/>
                          <w:sz w:val="20"/>
                        </w:rPr>
                        <w:t>ČNB</w:t>
                      </w:r>
                      <w:r w:rsidR="007809DB">
                        <w:rPr>
                          <w:rFonts w:ascii="Calibri" w:hAnsi="Calibri" w:cs="Calibri"/>
                          <w:i/>
                          <w:iCs/>
                          <w:color w:val="000000" w:themeColor="text1"/>
                          <w:sz w:val="20"/>
                        </w:rPr>
                        <w:t xml:space="preserve"> </w:t>
                      </w:r>
                      <w:r>
                        <w:rPr>
                          <w:rFonts w:ascii="Calibri" w:hAnsi="Calibri" w:cs="Calibri"/>
                          <w:i/>
                          <w:iCs/>
                          <w:color w:val="000000" w:themeColor="text1"/>
                          <w:sz w:val="20"/>
                        </w:rPr>
                        <w:t xml:space="preserve">s dalším snižováním sazeb opatrná. V případě nepříznivého ekonomického vývoje doprovázeného i rychlejší dezinflací mohou sazby ke 3 % klesat rychleji. Evropský protějšek, Evropská centrální banka, bude snižovat sazby o něco </w:t>
                      </w:r>
                      <w:r w:rsidR="00BD0933">
                        <w:rPr>
                          <w:rFonts w:ascii="Calibri" w:hAnsi="Calibri" w:cs="Calibri"/>
                          <w:i/>
                          <w:iCs/>
                          <w:color w:val="000000" w:themeColor="text1"/>
                          <w:sz w:val="20"/>
                        </w:rPr>
                        <w:t>odvážněji</w:t>
                      </w:r>
                      <w:r>
                        <w:rPr>
                          <w:rFonts w:ascii="Calibri" w:hAnsi="Calibri" w:cs="Calibri"/>
                          <w:i/>
                          <w:iCs/>
                          <w:color w:val="000000" w:themeColor="text1"/>
                          <w:sz w:val="20"/>
                        </w:rPr>
                        <w:t>.</w:t>
                      </w:r>
                      <w:r w:rsidR="001230C1">
                        <w:rPr>
                          <w:rFonts w:ascii="Calibri" w:hAnsi="Calibri" w:cs="Calibri"/>
                          <w:i/>
                          <w:iCs/>
                          <w:color w:val="000000" w:themeColor="text1"/>
                          <w:sz w:val="20"/>
                        </w:rPr>
                        <w:t xml:space="preserve"> </w:t>
                      </w:r>
                      <w:r>
                        <w:rPr>
                          <w:rFonts w:ascii="Calibri" w:hAnsi="Calibri" w:cs="Calibri"/>
                          <w:i/>
                          <w:iCs/>
                          <w:color w:val="000000" w:themeColor="text1"/>
                          <w:sz w:val="20"/>
                        </w:rPr>
                        <w:t>Kurz české koruny v podmínkách značné nejistoty marně hledá směr – její vývoj více než fundamenty určují nálady na trhu a horké zprávy ze světa.“</w:t>
                      </w:r>
                    </w:p>
                    <w:p w14:paraId="7E3024D2" w14:textId="77777777" w:rsidR="00D93419" w:rsidRPr="0035275E" w:rsidRDefault="00D93419" w:rsidP="00D93419">
                      <w:pPr>
                        <w:rPr>
                          <w:rFonts w:ascii="Calibri" w:hAnsi="Calibri" w:cs="Calibri"/>
                          <w:i/>
                          <w:iCs/>
                          <w:color w:val="000000" w:themeColor="text1"/>
                          <w:sz w:val="20"/>
                        </w:rPr>
                      </w:pPr>
                    </w:p>
                  </w:txbxContent>
                </v:textbox>
                <w10:wrap type="square" anchorx="margin"/>
              </v:shape>
            </w:pict>
          </mc:Fallback>
        </mc:AlternateContent>
      </w:r>
      <w:r w:rsidR="006674AE">
        <w:rPr>
          <w:rFonts w:ascii="Calibri" w:hAnsi="Calibri" w:cs="Calibri"/>
          <w:color w:val="000000" w:themeColor="text1"/>
          <w:sz w:val="20"/>
        </w:rPr>
        <w:t xml:space="preserve">V rámci jádrové inflace </w:t>
      </w:r>
      <w:r w:rsidR="00BA56C8">
        <w:rPr>
          <w:rFonts w:ascii="Calibri" w:hAnsi="Calibri" w:cs="Calibri"/>
          <w:color w:val="000000" w:themeColor="text1"/>
          <w:sz w:val="20"/>
        </w:rPr>
        <w:t>(neregulované ceny bez cen potravin, energií a pohonných hmot) nadále počítáme s mírně vyšším růstem než v případě celkové inflace</w:t>
      </w:r>
      <w:r w:rsidR="009B0E09">
        <w:rPr>
          <w:rFonts w:ascii="Calibri" w:hAnsi="Calibri" w:cs="Calibri"/>
          <w:color w:val="000000" w:themeColor="text1"/>
          <w:sz w:val="20"/>
        </w:rPr>
        <w:t>,</w:t>
      </w:r>
      <w:r w:rsidR="00BA56C8">
        <w:rPr>
          <w:rFonts w:ascii="Calibri" w:hAnsi="Calibri" w:cs="Calibri"/>
          <w:color w:val="000000" w:themeColor="text1"/>
          <w:sz w:val="20"/>
        </w:rPr>
        <w:t xml:space="preserve"> a to okolo 2,6 % v letošním a 2,3 % v příštím roce. To odráží přetrvávající svižnou dynamiku mezd ve službách, jakož i u cen </w:t>
      </w:r>
      <w:r w:rsidR="006674AE">
        <w:rPr>
          <w:rFonts w:ascii="Calibri" w:hAnsi="Calibri" w:cs="Calibri"/>
          <w:color w:val="000000" w:themeColor="text1"/>
          <w:sz w:val="20"/>
        </w:rPr>
        <w:t>nájemného, včetně imputovaného nájemného, kd</w:t>
      </w:r>
      <w:r w:rsidR="00BA56C8">
        <w:rPr>
          <w:rFonts w:ascii="Calibri" w:hAnsi="Calibri" w:cs="Calibri"/>
          <w:color w:val="000000" w:themeColor="text1"/>
          <w:sz w:val="20"/>
        </w:rPr>
        <w:t>e</w:t>
      </w:r>
      <w:r w:rsidR="006674AE">
        <w:rPr>
          <w:rFonts w:ascii="Calibri" w:hAnsi="Calibri" w:cs="Calibri"/>
          <w:color w:val="000000" w:themeColor="text1"/>
          <w:sz w:val="20"/>
        </w:rPr>
        <w:t xml:space="preserve"> obě složky reflektují sílící hypoteční a realitní trh. Strukturální změny spojené s geopolitickým vývojem a klimatickou změnou nadále představují riziko silnějšího růstu spotřebitelských cen, což může na druhou stranu, asi spíše krátkodobě, kompenzovat d</w:t>
      </w:r>
      <w:r w:rsidR="00961843">
        <w:rPr>
          <w:rFonts w:ascii="Calibri" w:hAnsi="Calibri" w:cs="Calibri"/>
          <w:color w:val="000000" w:themeColor="text1"/>
          <w:sz w:val="20"/>
        </w:rPr>
        <w:t>e</w:t>
      </w:r>
      <w:r w:rsidR="006674AE">
        <w:rPr>
          <w:rFonts w:ascii="Calibri" w:hAnsi="Calibri" w:cs="Calibri"/>
          <w:color w:val="000000" w:themeColor="text1"/>
          <w:sz w:val="20"/>
        </w:rPr>
        <w:t>sinflační dopad případných obchodních vál</w:t>
      </w:r>
      <w:r w:rsidR="007951F0">
        <w:rPr>
          <w:rFonts w:ascii="Calibri" w:hAnsi="Calibri" w:cs="Calibri"/>
          <w:color w:val="000000" w:themeColor="text1"/>
          <w:sz w:val="20"/>
        </w:rPr>
        <w:t>e</w:t>
      </w:r>
      <w:r w:rsidR="006674AE">
        <w:rPr>
          <w:rFonts w:ascii="Calibri" w:hAnsi="Calibri" w:cs="Calibri"/>
          <w:color w:val="000000" w:themeColor="text1"/>
          <w:sz w:val="20"/>
        </w:rPr>
        <w:t xml:space="preserve">k mezi USA a Čínou. </w:t>
      </w:r>
    </w:p>
    <w:p w14:paraId="605B142C" w14:textId="14BAB40D" w:rsidR="008566F9" w:rsidRDefault="008566F9" w:rsidP="00A85C43">
      <w:pPr>
        <w:rPr>
          <w:rFonts w:ascii="Calibri" w:hAnsi="Calibri" w:cs="Calibri"/>
          <w:sz w:val="20"/>
        </w:rPr>
      </w:pPr>
    </w:p>
    <w:p w14:paraId="66503C39" w14:textId="43190AE0" w:rsidR="00EA0715" w:rsidRDefault="00EA0715" w:rsidP="00EA0715">
      <w:pPr>
        <w:rPr>
          <w:rFonts w:ascii="Calibri" w:hAnsi="Calibri" w:cs="Calibri"/>
          <w:sz w:val="20"/>
        </w:rPr>
      </w:pPr>
      <w:r>
        <w:rPr>
          <w:rFonts w:ascii="Calibri" w:hAnsi="Calibri" w:cs="Calibri"/>
          <w:b/>
          <w:color w:val="13576B"/>
          <w:sz w:val="22"/>
          <w:szCs w:val="22"/>
        </w:rPr>
        <w:t>ČNB sníží během letošního roku své úrokové sazby pouze o čtvrt procentního bodu</w:t>
      </w:r>
    </w:p>
    <w:p w14:paraId="2F233DF6" w14:textId="7EAE165B" w:rsidR="00EA0715" w:rsidRDefault="00EA0715" w:rsidP="00EA0715">
      <w:pPr>
        <w:rPr>
          <w:rFonts w:ascii="Calibri" w:hAnsi="Calibri" w:cs="Calibri"/>
          <w:color w:val="000000" w:themeColor="text1"/>
          <w:sz w:val="20"/>
        </w:rPr>
      </w:pPr>
      <w:r>
        <w:rPr>
          <w:rFonts w:ascii="Calibri" w:hAnsi="Calibri" w:cs="Calibri"/>
          <w:b/>
          <w:bCs/>
          <w:color w:val="000000" w:themeColor="text1"/>
          <w:sz w:val="20"/>
        </w:rPr>
        <w:t>Navzdory pomalejšímu růstu, ale s ohledem na přetrvávající silnou dynamiku mezd a jádrové inflace vnímáme omezený prostor pro další pokles ú</w:t>
      </w:r>
      <w:r w:rsidRPr="003E0BE6">
        <w:rPr>
          <w:rFonts w:ascii="Calibri" w:hAnsi="Calibri" w:cs="Calibri"/>
          <w:b/>
          <w:bCs/>
          <w:color w:val="000000" w:themeColor="text1"/>
          <w:sz w:val="20"/>
        </w:rPr>
        <w:t>rokové sazby ČNB</w:t>
      </w:r>
      <w:r>
        <w:rPr>
          <w:rFonts w:ascii="Calibri" w:hAnsi="Calibri" w:cs="Calibri"/>
          <w:b/>
          <w:bCs/>
          <w:color w:val="000000" w:themeColor="text1"/>
          <w:sz w:val="20"/>
        </w:rPr>
        <w:t xml:space="preserve"> ze současné úrovně 3,50 %. A to pravděpodobně o čtvrt procentního bodu na srpnovém zasedání na 3,25 % a dále na počátku roku 2026 na 3 %. </w:t>
      </w:r>
      <w:r>
        <w:rPr>
          <w:rFonts w:ascii="Calibri" w:hAnsi="Calibri" w:cs="Calibri"/>
          <w:color w:val="000000" w:themeColor="text1"/>
          <w:sz w:val="20"/>
        </w:rPr>
        <w:t xml:space="preserve">Rizika výhledu na úrokové sazby ČNB jsou vybilancovaná, i když pro rok 2025 vnímáme mezi </w:t>
      </w:r>
      <w:r w:rsidR="005045E5">
        <w:rPr>
          <w:rFonts w:ascii="Calibri" w:hAnsi="Calibri" w:cs="Calibri"/>
          <w:color w:val="000000" w:themeColor="text1"/>
          <w:sz w:val="20"/>
        </w:rPr>
        <w:t>respondenty jak</w:t>
      </w:r>
      <w:r>
        <w:rPr>
          <w:rFonts w:ascii="Calibri" w:hAnsi="Calibri" w:cs="Calibri"/>
          <w:color w:val="000000" w:themeColor="text1"/>
          <w:sz w:val="20"/>
        </w:rPr>
        <w:t xml:space="preserve"> možnost </w:t>
      </w:r>
      <w:r w:rsidR="005045E5">
        <w:rPr>
          <w:rFonts w:ascii="Calibri" w:hAnsi="Calibri" w:cs="Calibri"/>
          <w:color w:val="000000" w:themeColor="text1"/>
          <w:sz w:val="20"/>
        </w:rPr>
        <w:t>zachování</w:t>
      </w:r>
      <w:r>
        <w:rPr>
          <w:rFonts w:ascii="Calibri" w:hAnsi="Calibri" w:cs="Calibri"/>
          <w:color w:val="000000" w:themeColor="text1"/>
          <w:sz w:val="20"/>
        </w:rPr>
        <w:t xml:space="preserve"> úrokové sazby na současné úrovni, tak její rychlejší pokles na 3 % již </w:t>
      </w:r>
      <w:r w:rsidR="00512418">
        <w:rPr>
          <w:rFonts w:ascii="Calibri" w:hAnsi="Calibri" w:cs="Calibri"/>
          <w:color w:val="000000" w:themeColor="text1"/>
          <w:sz w:val="20"/>
        </w:rPr>
        <w:t xml:space="preserve">v </w:t>
      </w:r>
      <w:r>
        <w:rPr>
          <w:rFonts w:ascii="Calibri" w:hAnsi="Calibri" w:cs="Calibri"/>
          <w:color w:val="000000" w:themeColor="text1"/>
          <w:sz w:val="20"/>
        </w:rPr>
        <w:t xml:space="preserve">letošním roce. </w:t>
      </w:r>
      <w:r w:rsidR="005045E5">
        <w:rPr>
          <w:rFonts w:ascii="Calibri" w:hAnsi="Calibri" w:cs="Calibri"/>
          <w:color w:val="000000" w:themeColor="text1"/>
          <w:sz w:val="20"/>
        </w:rPr>
        <w:t>Ovšem celní války a pomalejší oživení ekonomiky vedou konsensus k méně vych</w:t>
      </w:r>
      <w:r>
        <w:rPr>
          <w:rFonts w:ascii="Calibri" w:hAnsi="Calibri" w:cs="Calibri"/>
          <w:color w:val="000000" w:themeColor="text1"/>
          <w:sz w:val="20"/>
        </w:rPr>
        <w:t>ýlen</w:t>
      </w:r>
      <w:r w:rsidR="005045E5">
        <w:rPr>
          <w:rFonts w:ascii="Calibri" w:hAnsi="Calibri" w:cs="Calibri"/>
          <w:color w:val="000000" w:themeColor="text1"/>
          <w:sz w:val="20"/>
        </w:rPr>
        <w:t>ému výhledu na rok 2026. Zde všichni panelisté očekávají pokles úrokové sazby ČNB na 3</w:t>
      </w:r>
      <w:r w:rsidR="009B0E09">
        <w:rPr>
          <w:rFonts w:ascii="Calibri" w:hAnsi="Calibri" w:cs="Calibri"/>
          <w:color w:val="000000" w:themeColor="text1"/>
          <w:sz w:val="20"/>
        </w:rPr>
        <w:t xml:space="preserve"> </w:t>
      </w:r>
      <w:r w:rsidR="005045E5">
        <w:rPr>
          <w:rFonts w:ascii="Calibri" w:hAnsi="Calibri" w:cs="Calibri"/>
          <w:color w:val="000000" w:themeColor="text1"/>
          <w:sz w:val="20"/>
        </w:rPr>
        <w:t xml:space="preserve">% a dokonce v jednom případě jeden krok pod tuto úroveň, zatímco v minulé predikci byla rizika spojená s výhledem na 3% sazbu ČNB pro rok 2026 vychýlena směrem až k 3,50 %.  </w:t>
      </w:r>
      <w:r>
        <w:rPr>
          <w:rFonts w:ascii="Calibri" w:hAnsi="Calibri" w:cs="Calibri"/>
          <w:color w:val="000000" w:themeColor="text1"/>
          <w:sz w:val="20"/>
        </w:rPr>
        <w:t xml:space="preserve"> </w:t>
      </w:r>
    </w:p>
    <w:p w14:paraId="52846FB7" w14:textId="4FDBD7D4" w:rsidR="00EE5AD9" w:rsidRDefault="00EE5AD9" w:rsidP="00A85C43">
      <w:pPr>
        <w:rPr>
          <w:rFonts w:ascii="Calibri" w:hAnsi="Calibri" w:cs="Calibri"/>
          <w:color w:val="000000" w:themeColor="text1"/>
          <w:sz w:val="20"/>
        </w:rPr>
      </w:pPr>
    </w:p>
    <w:p w14:paraId="5E72BB3D" w14:textId="77777777" w:rsidR="004B1725" w:rsidRDefault="00EE5AD9" w:rsidP="00A85C43">
      <w:pPr>
        <w:rPr>
          <w:rFonts w:ascii="Calibri" w:hAnsi="Calibri" w:cs="Calibri"/>
          <w:color w:val="000000" w:themeColor="text1"/>
          <w:sz w:val="20"/>
        </w:rPr>
      </w:pPr>
      <w:r w:rsidRPr="003E0BE6">
        <w:rPr>
          <w:rFonts w:ascii="Calibri" w:hAnsi="Calibri" w:cs="Calibri"/>
          <w:b/>
          <w:bCs/>
          <w:color w:val="000000" w:themeColor="text1"/>
          <w:sz w:val="20"/>
        </w:rPr>
        <w:t xml:space="preserve">Kurz koruny by se měl </w:t>
      </w:r>
      <w:r w:rsidR="00DB5292" w:rsidRPr="003E0BE6">
        <w:rPr>
          <w:rFonts w:ascii="Calibri" w:hAnsi="Calibri" w:cs="Calibri"/>
          <w:b/>
          <w:bCs/>
          <w:color w:val="000000" w:themeColor="text1"/>
          <w:sz w:val="20"/>
        </w:rPr>
        <w:t xml:space="preserve">ke konci letošního roku </w:t>
      </w:r>
      <w:r w:rsidRPr="003E0BE6">
        <w:rPr>
          <w:rFonts w:ascii="Calibri" w:hAnsi="Calibri" w:cs="Calibri"/>
          <w:b/>
          <w:bCs/>
          <w:color w:val="000000" w:themeColor="text1"/>
          <w:sz w:val="20"/>
        </w:rPr>
        <w:t xml:space="preserve">ustálit </w:t>
      </w:r>
      <w:r w:rsidR="005045E5">
        <w:rPr>
          <w:rFonts w:ascii="Calibri" w:hAnsi="Calibri" w:cs="Calibri"/>
          <w:b/>
          <w:bCs/>
          <w:color w:val="000000" w:themeColor="text1"/>
          <w:sz w:val="20"/>
        </w:rPr>
        <w:t>okolo</w:t>
      </w:r>
      <w:r w:rsidRPr="003E0BE6">
        <w:rPr>
          <w:rFonts w:ascii="Calibri" w:hAnsi="Calibri" w:cs="Calibri"/>
          <w:b/>
          <w:bCs/>
          <w:color w:val="000000" w:themeColor="text1"/>
          <w:sz w:val="20"/>
        </w:rPr>
        <w:t xml:space="preserve"> 25</w:t>
      </w:r>
      <w:r w:rsidR="007951F0">
        <w:rPr>
          <w:rFonts w:ascii="Calibri" w:hAnsi="Calibri" w:cs="Calibri"/>
          <w:b/>
          <w:bCs/>
          <w:color w:val="000000" w:themeColor="text1"/>
          <w:sz w:val="20"/>
        </w:rPr>
        <w:t xml:space="preserve"> Kč</w:t>
      </w:r>
      <w:r w:rsidRPr="003E0BE6">
        <w:rPr>
          <w:rFonts w:ascii="Calibri" w:hAnsi="Calibri" w:cs="Calibri"/>
          <w:b/>
          <w:bCs/>
          <w:color w:val="000000" w:themeColor="text1"/>
          <w:sz w:val="20"/>
        </w:rPr>
        <w:t xml:space="preserve"> za euro a</w:t>
      </w:r>
      <w:r w:rsidR="005045E5">
        <w:rPr>
          <w:rFonts w:ascii="Calibri" w:hAnsi="Calibri" w:cs="Calibri"/>
          <w:b/>
          <w:bCs/>
          <w:color w:val="000000" w:themeColor="text1"/>
          <w:sz w:val="20"/>
        </w:rPr>
        <w:t xml:space="preserve"> přidat mírnější </w:t>
      </w:r>
      <w:r w:rsidRPr="003E0BE6">
        <w:rPr>
          <w:rFonts w:ascii="Calibri" w:hAnsi="Calibri" w:cs="Calibri"/>
          <w:b/>
          <w:bCs/>
          <w:color w:val="000000" w:themeColor="text1"/>
          <w:sz w:val="20"/>
        </w:rPr>
        <w:t>posílení na 24</w:t>
      </w:r>
      <w:r w:rsidR="005045E5">
        <w:rPr>
          <w:rFonts w:ascii="Calibri" w:hAnsi="Calibri" w:cs="Calibri"/>
          <w:b/>
          <w:bCs/>
          <w:color w:val="000000" w:themeColor="text1"/>
          <w:sz w:val="20"/>
        </w:rPr>
        <w:t xml:space="preserve">,7 do konce </w:t>
      </w:r>
      <w:r w:rsidRPr="003E0BE6">
        <w:rPr>
          <w:rFonts w:ascii="Calibri" w:hAnsi="Calibri" w:cs="Calibri"/>
          <w:b/>
          <w:bCs/>
          <w:color w:val="000000" w:themeColor="text1"/>
          <w:sz w:val="20"/>
        </w:rPr>
        <w:t>příštího roku.</w:t>
      </w:r>
      <w:r w:rsidRPr="00EE5AD9">
        <w:rPr>
          <w:rFonts w:ascii="Calibri" w:hAnsi="Calibri" w:cs="Calibri"/>
          <w:color w:val="000000" w:themeColor="text1"/>
          <w:sz w:val="20"/>
        </w:rPr>
        <w:t xml:space="preserve"> </w:t>
      </w:r>
      <w:r w:rsidR="005045E5">
        <w:rPr>
          <w:rFonts w:ascii="Calibri" w:hAnsi="Calibri" w:cs="Calibri"/>
          <w:color w:val="000000" w:themeColor="text1"/>
          <w:sz w:val="20"/>
        </w:rPr>
        <w:t xml:space="preserve">Predikce koruny je podpořena mírně pozitivnějším </w:t>
      </w:r>
      <w:r w:rsidR="004C4302">
        <w:rPr>
          <w:rFonts w:ascii="Calibri" w:hAnsi="Calibri" w:cs="Calibri"/>
          <w:color w:val="000000" w:themeColor="text1"/>
          <w:sz w:val="20"/>
        </w:rPr>
        <w:t>výhled</w:t>
      </w:r>
      <w:r w:rsidR="005045E5">
        <w:rPr>
          <w:rFonts w:ascii="Calibri" w:hAnsi="Calibri" w:cs="Calibri"/>
          <w:color w:val="000000" w:themeColor="text1"/>
          <w:sz w:val="20"/>
        </w:rPr>
        <w:t xml:space="preserve">em </w:t>
      </w:r>
      <w:r w:rsidR="004C4302">
        <w:rPr>
          <w:rFonts w:ascii="Calibri" w:hAnsi="Calibri" w:cs="Calibri"/>
          <w:color w:val="000000" w:themeColor="text1"/>
          <w:sz w:val="20"/>
        </w:rPr>
        <w:t>na úrokový diferenciál mezi ČNB a ECB</w:t>
      </w:r>
      <w:r w:rsidR="005045E5">
        <w:rPr>
          <w:rFonts w:ascii="Calibri" w:hAnsi="Calibri" w:cs="Calibri"/>
          <w:color w:val="000000" w:themeColor="text1"/>
          <w:sz w:val="20"/>
        </w:rPr>
        <w:t>, který se v naší predikci rozšiřuje o čtvrt procentního bodu na 1,35 % bodu v závěru letošního roku a 1,1 % bodu koncem příštího roku. To je ovšem v</w:t>
      </w:r>
      <w:r w:rsidR="009B0E09">
        <w:rPr>
          <w:rFonts w:ascii="Calibri" w:hAnsi="Calibri" w:cs="Calibri"/>
          <w:color w:val="000000" w:themeColor="text1"/>
          <w:sz w:val="20"/>
        </w:rPr>
        <w:t> </w:t>
      </w:r>
      <w:r w:rsidR="005045E5">
        <w:rPr>
          <w:rFonts w:ascii="Calibri" w:hAnsi="Calibri" w:cs="Calibri"/>
          <w:color w:val="000000" w:themeColor="text1"/>
          <w:sz w:val="20"/>
        </w:rPr>
        <w:t>naš</w:t>
      </w:r>
      <w:r w:rsidR="009B0E09">
        <w:rPr>
          <w:rFonts w:ascii="Calibri" w:hAnsi="Calibri" w:cs="Calibri"/>
          <w:color w:val="000000" w:themeColor="text1"/>
          <w:sz w:val="20"/>
        </w:rPr>
        <w:t xml:space="preserve">í prognóze </w:t>
      </w:r>
      <w:r w:rsidR="005045E5">
        <w:rPr>
          <w:rFonts w:ascii="Calibri" w:hAnsi="Calibri" w:cs="Calibri"/>
          <w:color w:val="000000" w:themeColor="text1"/>
          <w:sz w:val="20"/>
        </w:rPr>
        <w:t xml:space="preserve">negativně ovlivněno zhoršeným výhledem na čisté exporty a vyšší nejistotou, která společně s vyššími plánovanými výdaji na obranu dopadá i na rizikovou prémii. </w:t>
      </w:r>
      <w:r w:rsidR="0051446C">
        <w:rPr>
          <w:rFonts w:ascii="Calibri" w:hAnsi="Calibri" w:cs="Calibri"/>
          <w:color w:val="000000" w:themeColor="text1"/>
          <w:sz w:val="20"/>
        </w:rPr>
        <w:t xml:space="preserve">To částečně ovšem kompenzuje vyhlídka na oslabení amerického dolaru (s EURUSD na úrovni 1,14 v roce 2026). </w:t>
      </w:r>
      <w:r w:rsidR="00342579">
        <w:rPr>
          <w:rFonts w:ascii="Calibri" w:hAnsi="Calibri" w:cs="Calibri"/>
          <w:color w:val="000000" w:themeColor="text1"/>
          <w:sz w:val="20"/>
        </w:rPr>
        <w:t>Rozptyl výhledu na EURCZK na konec roku 2026 zůstává jako obvykle značný mezi 24</w:t>
      </w:r>
      <w:r w:rsidR="0051446C">
        <w:rPr>
          <w:rFonts w:ascii="Calibri" w:hAnsi="Calibri" w:cs="Calibri"/>
          <w:color w:val="000000" w:themeColor="text1"/>
          <w:sz w:val="20"/>
        </w:rPr>
        <w:t>,4</w:t>
      </w:r>
      <w:r w:rsidR="00342579">
        <w:rPr>
          <w:rFonts w:ascii="Calibri" w:hAnsi="Calibri" w:cs="Calibri"/>
          <w:color w:val="000000" w:themeColor="text1"/>
          <w:sz w:val="20"/>
        </w:rPr>
        <w:t xml:space="preserve"> a 25</w:t>
      </w:r>
      <w:r w:rsidR="0051446C">
        <w:rPr>
          <w:rFonts w:ascii="Calibri" w:hAnsi="Calibri" w:cs="Calibri"/>
          <w:color w:val="000000" w:themeColor="text1"/>
          <w:sz w:val="20"/>
        </w:rPr>
        <w:t>,4</w:t>
      </w:r>
      <w:r w:rsidR="00342579">
        <w:rPr>
          <w:rFonts w:ascii="Calibri" w:hAnsi="Calibri" w:cs="Calibri"/>
          <w:color w:val="000000" w:themeColor="text1"/>
          <w:sz w:val="20"/>
        </w:rPr>
        <w:t xml:space="preserve"> a odráží rozdílný výhled na </w:t>
      </w:r>
      <w:r w:rsidR="002E4A51">
        <w:rPr>
          <w:rFonts w:ascii="Calibri" w:hAnsi="Calibri" w:cs="Calibri"/>
          <w:color w:val="000000" w:themeColor="text1"/>
          <w:sz w:val="20"/>
        </w:rPr>
        <w:t xml:space="preserve">úrokový diferenciál. </w:t>
      </w:r>
      <w:r w:rsidR="0051446C">
        <w:rPr>
          <w:rFonts w:ascii="Calibri" w:hAnsi="Calibri" w:cs="Calibri"/>
          <w:color w:val="000000" w:themeColor="text1"/>
          <w:sz w:val="20"/>
        </w:rPr>
        <w:t>Rovněž platí, že tento rozptyl je o něco užší a méně vychýlení směrem k posílení vůči euro v roce 2026 (předchozí predikce měla minimum na 24), což odráží již zmíněný zřetelnější výhled na další pokles úrokové sazby v roce 2026.</w:t>
      </w:r>
    </w:p>
    <w:p w14:paraId="43D84088" w14:textId="06E01AD9" w:rsidR="005208C8" w:rsidRDefault="0051446C" w:rsidP="00A85C43">
      <w:pPr>
        <w:rPr>
          <w:rFonts w:ascii="Calibri" w:hAnsi="Calibri" w:cs="Calibri"/>
          <w:color w:val="000000" w:themeColor="text1"/>
          <w:sz w:val="20"/>
        </w:rPr>
      </w:pPr>
      <w:r>
        <w:rPr>
          <w:rFonts w:ascii="Calibri" w:hAnsi="Calibri" w:cs="Calibri"/>
          <w:color w:val="000000" w:themeColor="text1"/>
          <w:sz w:val="20"/>
        </w:rPr>
        <w:t xml:space="preserve"> </w:t>
      </w:r>
    </w:p>
    <w:p w14:paraId="1D179E6E" w14:textId="68AF2F7F" w:rsidR="00B37804" w:rsidRDefault="00915DC5" w:rsidP="00A85C43">
      <w:pPr>
        <w:rPr>
          <w:rFonts w:ascii="Calibri" w:hAnsi="Calibri" w:cs="Calibri"/>
          <w:color w:val="000000" w:themeColor="text1"/>
          <w:sz w:val="20"/>
        </w:rPr>
      </w:pPr>
      <w:r w:rsidRPr="00915DC5">
        <w:rPr>
          <w:rFonts w:ascii="Calibri" w:hAnsi="Calibri" w:cs="Calibri"/>
          <w:color w:val="000000" w:themeColor="text1"/>
          <w:sz w:val="20"/>
        </w:rPr>
        <w:lastRenderedPageBreak/>
        <w:t xml:space="preserve"> </w:t>
      </w:r>
      <w:r w:rsidR="00B42B24">
        <w:rPr>
          <w:noProof/>
        </w:rPr>
        <w:drawing>
          <wp:inline distT="0" distB="0" distL="0" distR="0" wp14:anchorId="38F1E2C3" wp14:editId="797BB145">
            <wp:extent cx="3257550" cy="2083837"/>
            <wp:effectExtent l="0" t="0" r="0" b="0"/>
            <wp:docPr id="749069517"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69517" name="Picture 1" descr="A graph of a line graph&#10;&#10;AI-generated content may be incorrect."/>
                    <pic:cNvPicPr/>
                  </pic:nvPicPr>
                  <pic:blipFill>
                    <a:blip r:embed="rId18"/>
                    <a:stretch>
                      <a:fillRect/>
                    </a:stretch>
                  </pic:blipFill>
                  <pic:spPr>
                    <a:xfrm>
                      <a:off x="0" y="0"/>
                      <a:ext cx="3268005" cy="2090525"/>
                    </a:xfrm>
                    <a:prstGeom prst="rect">
                      <a:avLst/>
                    </a:prstGeom>
                  </pic:spPr>
                </pic:pic>
              </a:graphicData>
            </a:graphic>
          </wp:inline>
        </w:drawing>
      </w:r>
      <w:r w:rsidR="00B42B24" w:rsidRPr="00B42B24">
        <w:rPr>
          <w:noProof/>
        </w:rPr>
        <w:t xml:space="preserve"> </w:t>
      </w:r>
      <w:r w:rsidR="00B42B24">
        <w:rPr>
          <w:noProof/>
        </w:rPr>
        <w:drawing>
          <wp:inline distT="0" distB="0" distL="0" distR="0" wp14:anchorId="23BDF7AD" wp14:editId="761A5A26">
            <wp:extent cx="3114675" cy="2098916"/>
            <wp:effectExtent l="0" t="0" r="0" b="0"/>
            <wp:docPr id="1473466515"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66515" name="Picture 1" descr="A graph of a number of people&#10;&#10;AI-generated content may be incorrect."/>
                    <pic:cNvPicPr/>
                  </pic:nvPicPr>
                  <pic:blipFill>
                    <a:blip r:embed="rId19"/>
                    <a:stretch>
                      <a:fillRect/>
                    </a:stretch>
                  </pic:blipFill>
                  <pic:spPr>
                    <a:xfrm>
                      <a:off x="0" y="0"/>
                      <a:ext cx="3122866" cy="2104436"/>
                    </a:xfrm>
                    <a:prstGeom prst="rect">
                      <a:avLst/>
                    </a:prstGeom>
                  </pic:spPr>
                </pic:pic>
              </a:graphicData>
            </a:graphic>
          </wp:inline>
        </w:drawing>
      </w:r>
      <w:r w:rsidR="00B42B24" w:rsidRPr="00B42B24">
        <w:rPr>
          <w:noProof/>
        </w:rPr>
        <w:t xml:space="preserve"> </w:t>
      </w:r>
    </w:p>
    <w:p w14:paraId="3C5DE535" w14:textId="1DACFB61" w:rsidR="00B37804" w:rsidRPr="00FC64FB" w:rsidRDefault="00B37804" w:rsidP="00B37804">
      <w:pPr>
        <w:rPr>
          <w:rFonts w:ascii="Calibri" w:hAnsi="Calibri" w:cs="Calibri"/>
          <w:bCs/>
          <w:color w:val="13576B"/>
          <w:szCs w:val="18"/>
        </w:rPr>
      </w:pPr>
      <w:r w:rsidRPr="00FC64FB">
        <w:rPr>
          <w:rFonts w:ascii="Calibri" w:hAnsi="Calibri" w:cs="Calibri"/>
          <w:bCs/>
          <w:color w:val="13576B"/>
          <w:szCs w:val="18"/>
        </w:rPr>
        <w:t xml:space="preserve">Zdroj: </w:t>
      </w:r>
      <w:r w:rsidR="00915DC5">
        <w:rPr>
          <w:rFonts w:ascii="Calibri" w:hAnsi="Calibri" w:cs="Calibri"/>
          <w:bCs/>
          <w:color w:val="13576B"/>
          <w:szCs w:val="18"/>
        </w:rPr>
        <w:t>ČNB</w:t>
      </w:r>
      <w:r>
        <w:rPr>
          <w:rFonts w:ascii="Calibri" w:hAnsi="Calibri" w:cs="Calibri"/>
          <w:bCs/>
          <w:color w:val="13576B"/>
          <w:szCs w:val="18"/>
        </w:rPr>
        <w:t xml:space="preserve">, </w:t>
      </w:r>
      <w:r w:rsidRPr="00FC64FB">
        <w:rPr>
          <w:rFonts w:ascii="Calibri" w:hAnsi="Calibri" w:cs="Calibri"/>
          <w:bCs/>
          <w:color w:val="13576B"/>
          <w:szCs w:val="18"/>
        </w:rPr>
        <w:t>Prognóza ČBA</w:t>
      </w:r>
    </w:p>
    <w:p w14:paraId="367159D4" w14:textId="326BC9DF" w:rsidR="00B37804" w:rsidRPr="00004650" w:rsidRDefault="001230C1" w:rsidP="00A85C43">
      <w:pPr>
        <w:rPr>
          <w:rFonts w:ascii="Calibri" w:hAnsi="Calibri" w:cs="Calibri"/>
          <w:color w:val="000000" w:themeColor="text1"/>
          <w:sz w:val="20"/>
        </w:rPr>
      </w:pPr>
      <w:r w:rsidRPr="003503ED">
        <w:rPr>
          <w:noProof/>
          <w:color w:val="FF0000"/>
        </w:rPr>
        <mc:AlternateContent>
          <mc:Choice Requires="wps">
            <w:drawing>
              <wp:anchor distT="45720" distB="45720" distL="114300" distR="114300" simplePos="0" relativeHeight="251684864" behindDoc="0" locked="0" layoutInCell="1" allowOverlap="1" wp14:anchorId="796C0E7B" wp14:editId="535781F1">
                <wp:simplePos x="0" y="0"/>
                <wp:positionH relativeFrom="margin">
                  <wp:align>right</wp:align>
                </wp:positionH>
                <wp:positionV relativeFrom="paragraph">
                  <wp:posOffset>207760</wp:posOffset>
                </wp:positionV>
                <wp:extent cx="6461760" cy="567690"/>
                <wp:effectExtent l="0" t="0" r="15240" b="22860"/>
                <wp:wrapSquare wrapText="bothSides"/>
                <wp:docPr id="67729417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568036"/>
                        </a:xfrm>
                        <a:prstGeom prst="rect">
                          <a:avLst/>
                        </a:prstGeom>
                        <a:solidFill>
                          <a:srgbClr val="FFFFFF"/>
                        </a:solidFill>
                        <a:ln w="9525">
                          <a:solidFill>
                            <a:srgbClr val="000000"/>
                          </a:solidFill>
                          <a:miter lim="800000"/>
                          <a:headEnd/>
                          <a:tailEnd/>
                        </a:ln>
                      </wps:spPr>
                      <wps:txbx>
                        <w:txbxContent>
                          <w:p w14:paraId="563353F2" w14:textId="77777777" w:rsidR="001230C1" w:rsidRPr="00F934FC" w:rsidRDefault="001230C1" w:rsidP="001230C1">
                            <w:pPr>
                              <w:rPr>
                                <w:rFonts w:ascii="Calibri" w:hAnsi="Calibri" w:cs="Calibri"/>
                                <w:b/>
                                <w:bCs/>
                                <w:sz w:val="20"/>
                              </w:rPr>
                            </w:pPr>
                            <w:r w:rsidRPr="00F934FC">
                              <w:rPr>
                                <w:rFonts w:ascii="Calibri" w:hAnsi="Calibri" w:cs="Calibri"/>
                                <w:b/>
                                <w:bCs/>
                                <w:sz w:val="20"/>
                              </w:rPr>
                              <w:t>J</w:t>
                            </w:r>
                            <w:r>
                              <w:rPr>
                                <w:rFonts w:ascii="Calibri" w:hAnsi="Calibri" w:cs="Calibri"/>
                                <w:b/>
                                <w:bCs/>
                                <w:sz w:val="20"/>
                              </w:rPr>
                              <w:t>aromír Šindel</w:t>
                            </w:r>
                            <w:r w:rsidRPr="00F934FC">
                              <w:rPr>
                                <w:rFonts w:ascii="Calibri" w:hAnsi="Calibri" w:cs="Calibri"/>
                                <w:b/>
                                <w:bCs/>
                                <w:sz w:val="20"/>
                              </w:rPr>
                              <w:t>, hlavní ekonom České bankovní asociace:</w:t>
                            </w:r>
                          </w:p>
                          <w:p w14:paraId="0A285D8F" w14:textId="0ADE08CB" w:rsidR="001230C1" w:rsidRPr="001422DD" w:rsidRDefault="001230C1" w:rsidP="001230C1">
                            <w:pPr>
                              <w:rPr>
                                <w:rFonts w:ascii="Calibri" w:hAnsi="Calibri" w:cs="Calibri"/>
                                <w:i/>
                                <w:iCs/>
                                <w:color w:val="000000" w:themeColor="text1"/>
                                <w:sz w:val="20"/>
                              </w:rPr>
                            </w:pPr>
                            <w:r w:rsidRPr="001422DD">
                              <w:rPr>
                                <w:rFonts w:ascii="Calibri" w:hAnsi="Calibri" w:cs="Calibri"/>
                                <w:i/>
                                <w:iCs/>
                                <w:color w:val="000000" w:themeColor="text1"/>
                                <w:sz w:val="20"/>
                              </w:rPr>
                              <w:t>„</w:t>
                            </w:r>
                            <w:r>
                              <w:rPr>
                                <w:rFonts w:ascii="Calibri" w:hAnsi="Calibri" w:cs="Calibri"/>
                                <w:i/>
                                <w:iCs/>
                                <w:color w:val="000000" w:themeColor="text1"/>
                                <w:sz w:val="20"/>
                              </w:rPr>
                              <w:t>Srovnání současného výhled na českou ekonomiku s predikcí z listopadu minulého roku snižuje úroveň nominálního HDP o přibližně 100 mld Kč v roce 2026.</w:t>
                            </w:r>
                            <w:r w:rsidRPr="001422DD">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C0E7B" id="_x0000_s1031" type="#_x0000_t202" style="position:absolute;left:0;text-align:left;margin-left:457.6pt;margin-top:16.35pt;width:508.8pt;height:44.7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">
                <v:textbox>
                  <w:txbxContent>
                    <w:p w14:paraId="563353F2" w14:textId="77777777" w:rsidR="001230C1" w:rsidRPr="00F934FC" w:rsidRDefault="001230C1" w:rsidP="001230C1">
                      <w:pPr>
                        <w:rPr>
                          <w:rFonts w:ascii="Calibri" w:hAnsi="Calibri" w:cs="Calibri"/>
                          <w:b/>
                          <w:bCs/>
                          <w:sz w:val="20"/>
                        </w:rPr>
                      </w:pPr>
                      <w:r w:rsidRPr="00F934FC">
                        <w:rPr>
                          <w:rFonts w:ascii="Calibri" w:hAnsi="Calibri" w:cs="Calibri"/>
                          <w:b/>
                          <w:bCs/>
                          <w:sz w:val="20"/>
                        </w:rPr>
                        <w:t>J</w:t>
                      </w:r>
                      <w:r>
                        <w:rPr>
                          <w:rFonts w:ascii="Calibri" w:hAnsi="Calibri" w:cs="Calibri"/>
                          <w:b/>
                          <w:bCs/>
                          <w:sz w:val="20"/>
                        </w:rPr>
                        <w:t>aromír Šindel</w:t>
                      </w:r>
                      <w:r w:rsidRPr="00F934FC">
                        <w:rPr>
                          <w:rFonts w:ascii="Calibri" w:hAnsi="Calibri" w:cs="Calibri"/>
                          <w:b/>
                          <w:bCs/>
                          <w:sz w:val="20"/>
                        </w:rPr>
                        <w:t>, hlavní ekonom České bankovní asociace:</w:t>
                      </w:r>
                    </w:p>
                    <w:p w14:paraId="0A285D8F" w14:textId="0ADE08CB" w:rsidR="001230C1" w:rsidRPr="001422DD" w:rsidRDefault="001230C1" w:rsidP="001230C1">
                      <w:pPr>
                        <w:rPr>
                          <w:rFonts w:ascii="Calibri" w:hAnsi="Calibri" w:cs="Calibri"/>
                          <w:i/>
                          <w:iCs/>
                          <w:color w:val="000000" w:themeColor="text1"/>
                          <w:sz w:val="20"/>
                        </w:rPr>
                      </w:pPr>
                      <w:r w:rsidRPr="001422DD">
                        <w:rPr>
                          <w:rFonts w:ascii="Calibri" w:hAnsi="Calibri" w:cs="Calibri"/>
                          <w:i/>
                          <w:iCs/>
                          <w:color w:val="000000" w:themeColor="text1"/>
                          <w:sz w:val="20"/>
                        </w:rPr>
                        <w:t>„</w:t>
                      </w:r>
                      <w:r>
                        <w:rPr>
                          <w:rFonts w:ascii="Calibri" w:hAnsi="Calibri" w:cs="Calibri"/>
                          <w:i/>
                          <w:iCs/>
                          <w:color w:val="000000" w:themeColor="text1"/>
                          <w:sz w:val="20"/>
                        </w:rPr>
                        <w:t>Srovnání současného výhled na českou ekonomiku s predikcí z listopadu minulého roku snižuje úroveň nominálního HDP o přibližně 100 mld Kč v roce 2026.</w:t>
                      </w:r>
                      <w:r w:rsidRPr="001422DD">
                        <w:rPr>
                          <w:rFonts w:ascii="Calibri" w:hAnsi="Calibri" w:cs="Calibri"/>
                          <w:i/>
                          <w:iCs/>
                          <w:color w:val="000000" w:themeColor="text1"/>
                          <w:sz w:val="20"/>
                        </w:rPr>
                        <w:t>“</w:t>
                      </w:r>
                    </w:p>
                  </w:txbxContent>
                </v:textbox>
                <w10:wrap type="square" anchorx="margin"/>
              </v:shape>
            </w:pict>
          </mc:Fallback>
        </mc:AlternateContent>
      </w:r>
    </w:p>
    <w:p w14:paraId="3C2DC05D" w14:textId="0EF043F5" w:rsidR="001230C1" w:rsidRDefault="001230C1" w:rsidP="00A85C43">
      <w:pPr>
        <w:rPr>
          <w:rFonts w:ascii="Calibri" w:hAnsi="Calibri" w:cs="Calibri"/>
          <w:b/>
          <w:color w:val="13576B"/>
          <w:sz w:val="22"/>
          <w:szCs w:val="22"/>
        </w:rPr>
      </w:pPr>
    </w:p>
    <w:p w14:paraId="529E35C3" w14:textId="1D4A0851" w:rsidR="00A85C43" w:rsidRPr="00926110" w:rsidRDefault="00A85C43" w:rsidP="00A85C43">
      <w:pPr>
        <w:rPr>
          <w:rFonts w:ascii="Calibri" w:hAnsi="Calibri" w:cs="Calibri"/>
          <w:b/>
          <w:sz w:val="22"/>
          <w:szCs w:val="22"/>
        </w:rPr>
      </w:pPr>
      <w:r>
        <w:rPr>
          <w:rFonts w:ascii="Calibri" w:hAnsi="Calibri" w:cs="Calibri"/>
          <w:b/>
          <w:color w:val="13576B"/>
          <w:sz w:val="22"/>
          <w:szCs w:val="22"/>
        </w:rPr>
        <w:t xml:space="preserve">Konsolidační balíček dostává deficit rozpočtu vůči HDP </w:t>
      </w:r>
      <w:r w:rsidR="00EC3AAD">
        <w:rPr>
          <w:rFonts w:ascii="Calibri" w:hAnsi="Calibri" w:cs="Calibri"/>
          <w:b/>
          <w:color w:val="13576B"/>
          <w:sz w:val="22"/>
          <w:szCs w:val="22"/>
        </w:rPr>
        <w:t xml:space="preserve">dále </w:t>
      </w:r>
      <w:r>
        <w:rPr>
          <w:rFonts w:ascii="Calibri" w:hAnsi="Calibri" w:cs="Calibri"/>
          <w:b/>
          <w:color w:val="13576B"/>
          <w:sz w:val="22"/>
          <w:szCs w:val="22"/>
        </w:rPr>
        <w:t xml:space="preserve">pod žádoucí hranici 3 %  </w:t>
      </w:r>
    </w:p>
    <w:p w14:paraId="0AF06784" w14:textId="09163450" w:rsidR="00A85C43" w:rsidRDefault="009A1A97" w:rsidP="00B0052C">
      <w:pPr>
        <w:rPr>
          <w:rFonts w:ascii="Calibri" w:hAnsi="Calibri" w:cs="Calibri"/>
          <w:color w:val="000000" w:themeColor="text1"/>
          <w:sz w:val="20"/>
        </w:rPr>
      </w:pPr>
      <w:r w:rsidRPr="0066682C">
        <w:rPr>
          <w:rFonts w:ascii="Calibri" w:hAnsi="Calibri" w:cs="Calibri"/>
          <w:b/>
          <w:noProof/>
          <w:color w:val="13576B"/>
          <w:sz w:val="22"/>
          <w:szCs w:val="22"/>
        </w:rPr>
        <mc:AlternateContent>
          <mc:Choice Requires="wps">
            <w:drawing>
              <wp:anchor distT="45720" distB="45720" distL="114300" distR="114300" simplePos="0" relativeHeight="251682816" behindDoc="0" locked="0" layoutInCell="1" allowOverlap="1" wp14:anchorId="239F9501" wp14:editId="39687EF2">
                <wp:simplePos x="0" y="0"/>
                <wp:positionH relativeFrom="margin">
                  <wp:align>right</wp:align>
                </wp:positionH>
                <wp:positionV relativeFrom="paragraph">
                  <wp:posOffset>1322070</wp:posOffset>
                </wp:positionV>
                <wp:extent cx="6461760" cy="727075"/>
                <wp:effectExtent l="0" t="0" r="15240" b="15875"/>
                <wp:wrapSquare wrapText="bothSides"/>
                <wp:docPr id="174948708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27075"/>
                        </a:xfrm>
                        <a:prstGeom prst="rect">
                          <a:avLst/>
                        </a:prstGeom>
                        <a:solidFill>
                          <a:srgbClr val="FFFFFF"/>
                        </a:solidFill>
                        <a:ln w="9525">
                          <a:solidFill>
                            <a:srgbClr val="000000"/>
                          </a:solidFill>
                          <a:miter lim="800000"/>
                          <a:headEnd/>
                          <a:tailEnd/>
                        </a:ln>
                      </wps:spPr>
                      <wps:txbx>
                        <w:txbxContent>
                          <w:p w14:paraId="7EC8ED9C" w14:textId="77777777" w:rsidR="007809DB" w:rsidRPr="00F934FC" w:rsidRDefault="007809DB" w:rsidP="007809DB">
                            <w:pPr>
                              <w:rPr>
                                <w:rFonts w:ascii="Calibri" w:hAnsi="Calibri" w:cs="Calibri"/>
                                <w:b/>
                                <w:bCs/>
                                <w:sz w:val="20"/>
                              </w:rPr>
                            </w:pPr>
                            <w:r w:rsidRPr="00F934FC">
                              <w:rPr>
                                <w:rFonts w:ascii="Calibri" w:hAnsi="Calibri" w:cs="Calibri"/>
                                <w:b/>
                                <w:bCs/>
                                <w:sz w:val="20"/>
                              </w:rPr>
                              <w:t>J</w:t>
                            </w:r>
                            <w:r>
                              <w:rPr>
                                <w:rFonts w:ascii="Calibri" w:hAnsi="Calibri" w:cs="Calibri"/>
                                <w:b/>
                                <w:bCs/>
                                <w:sz w:val="20"/>
                              </w:rPr>
                              <w:t>aromír Šindel</w:t>
                            </w:r>
                            <w:r w:rsidRPr="00F934FC">
                              <w:rPr>
                                <w:rFonts w:ascii="Calibri" w:hAnsi="Calibri" w:cs="Calibri"/>
                                <w:b/>
                                <w:bCs/>
                                <w:sz w:val="20"/>
                              </w:rPr>
                              <w:t>, hlavní ekonom České bankovní asociace:</w:t>
                            </w:r>
                          </w:p>
                          <w:p w14:paraId="7D506F61" w14:textId="392776AE" w:rsidR="007809DB" w:rsidRPr="001422DD" w:rsidRDefault="007809DB" w:rsidP="007809DB">
                            <w:pPr>
                              <w:rPr>
                                <w:rFonts w:ascii="Calibri" w:hAnsi="Calibri" w:cs="Calibri"/>
                                <w:i/>
                                <w:iCs/>
                                <w:color w:val="000000" w:themeColor="text1"/>
                                <w:sz w:val="20"/>
                              </w:rPr>
                            </w:pPr>
                            <w:r w:rsidRPr="001422DD">
                              <w:rPr>
                                <w:rFonts w:ascii="Calibri" w:hAnsi="Calibri" w:cs="Calibri"/>
                                <w:i/>
                                <w:iCs/>
                                <w:color w:val="000000" w:themeColor="text1"/>
                                <w:sz w:val="20"/>
                              </w:rPr>
                              <w:t>„</w:t>
                            </w:r>
                            <w:r w:rsidR="001230C1">
                              <w:rPr>
                                <w:rFonts w:ascii="Calibri" w:hAnsi="Calibri" w:cs="Calibri"/>
                                <w:i/>
                                <w:iCs/>
                                <w:color w:val="000000" w:themeColor="text1"/>
                                <w:sz w:val="20"/>
                              </w:rPr>
                              <w:t xml:space="preserve">Struktura úvěrů </w:t>
                            </w:r>
                            <w:r w:rsidR="009A1A97">
                              <w:rPr>
                                <w:rFonts w:ascii="Calibri" w:hAnsi="Calibri" w:cs="Calibri"/>
                                <w:i/>
                                <w:iCs/>
                                <w:color w:val="000000" w:themeColor="text1"/>
                                <w:sz w:val="20"/>
                              </w:rPr>
                              <w:t xml:space="preserve">odráží měnící se složení růstu ekonomiky. To již v prvním čtvrtletí letošního roku vyústilo v další posílení nově poskytnutých hypotečních úvěrů a ustálení spotřebních úvěrů lehce nad dlouhodobým průměrem. Ovšem </w:t>
                            </w:r>
                            <w:r w:rsidR="001230C1">
                              <w:rPr>
                                <w:rFonts w:ascii="Calibri" w:hAnsi="Calibri" w:cs="Calibri"/>
                                <w:i/>
                                <w:iCs/>
                                <w:color w:val="000000" w:themeColor="text1"/>
                                <w:sz w:val="20"/>
                              </w:rPr>
                              <w:t xml:space="preserve">růstový </w:t>
                            </w:r>
                            <w:r w:rsidR="009A1A97">
                              <w:rPr>
                                <w:rFonts w:ascii="Calibri" w:hAnsi="Calibri" w:cs="Calibri"/>
                                <w:i/>
                                <w:iCs/>
                                <w:color w:val="000000" w:themeColor="text1"/>
                                <w:sz w:val="20"/>
                              </w:rPr>
                              <w:t xml:space="preserve">impuls z </w:t>
                            </w:r>
                            <w:r w:rsidR="001230C1">
                              <w:rPr>
                                <w:rFonts w:ascii="Calibri" w:hAnsi="Calibri" w:cs="Calibri"/>
                                <w:i/>
                                <w:iCs/>
                                <w:color w:val="000000" w:themeColor="text1"/>
                                <w:sz w:val="20"/>
                              </w:rPr>
                              <w:t xml:space="preserve">podnikových </w:t>
                            </w:r>
                            <w:r w:rsidR="009A1A97">
                              <w:rPr>
                                <w:rFonts w:ascii="Calibri" w:hAnsi="Calibri" w:cs="Calibri"/>
                                <w:i/>
                                <w:iCs/>
                                <w:color w:val="000000" w:themeColor="text1"/>
                                <w:sz w:val="20"/>
                              </w:rPr>
                              <w:t>úvěrů nepatrně oslabil, což reflektuje stagnaci potenciálu ekonomiky a zvýšenou míry nejistoty.“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F9501" id="_x0000_s1032" type="#_x0000_t202" style="position:absolute;left:0;text-align:left;margin-left:457.6pt;margin-top:104.1pt;width:508.8pt;height:57.2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">
                <v:textbox>
                  <w:txbxContent>
                    <w:p w14:paraId="7EC8ED9C" w14:textId="77777777" w:rsidR="007809DB" w:rsidRPr="00F934FC" w:rsidRDefault="007809DB" w:rsidP="007809DB">
                      <w:pPr>
                        <w:rPr>
                          <w:rFonts w:ascii="Calibri" w:hAnsi="Calibri" w:cs="Calibri"/>
                          <w:b/>
                          <w:bCs/>
                          <w:sz w:val="20"/>
                        </w:rPr>
                      </w:pPr>
                      <w:r w:rsidRPr="00F934FC">
                        <w:rPr>
                          <w:rFonts w:ascii="Calibri" w:hAnsi="Calibri" w:cs="Calibri"/>
                          <w:b/>
                          <w:bCs/>
                          <w:sz w:val="20"/>
                        </w:rPr>
                        <w:t>J</w:t>
                      </w:r>
                      <w:r>
                        <w:rPr>
                          <w:rFonts w:ascii="Calibri" w:hAnsi="Calibri" w:cs="Calibri"/>
                          <w:b/>
                          <w:bCs/>
                          <w:sz w:val="20"/>
                        </w:rPr>
                        <w:t>aromír Šindel</w:t>
                      </w:r>
                      <w:r w:rsidRPr="00F934FC">
                        <w:rPr>
                          <w:rFonts w:ascii="Calibri" w:hAnsi="Calibri" w:cs="Calibri"/>
                          <w:b/>
                          <w:bCs/>
                          <w:sz w:val="20"/>
                        </w:rPr>
                        <w:t>, hlavní ekonom České bankovní asociace:</w:t>
                      </w:r>
                    </w:p>
                    <w:p w14:paraId="7D506F61" w14:textId="392776AE" w:rsidR="007809DB" w:rsidRPr="001422DD" w:rsidRDefault="007809DB" w:rsidP="007809DB">
                      <w:pPr>
                        <w:rPr>
                          <w:rFonts w:ascii="Calibri" w:hAnsi="Calibri" w:cs="Calibri"/>
                          <w:i/>
                          <w:iCs/>
                          <w:color w:val="000000" w:themeColor="text1"/>
                          <w:sz w:val="20"/>
                        </w:rPr>
                      </w:pPr>
                      <w:r w:rsidRPr="001422DD">
                        <w:rPr>
                          <w:rFonts w:ascii="Calibri" w:hAnsi="Calibri" w:cs="Calibri"/>
                          <w:i/>
                          <w:iCs/>
                          <w:color w:val="000000" w:themeColor="text1"/>
                          <w:sz w:val="20"/>
                        </w:rPr>
                        <w:t>„</w:t>
                      </w:r>
                      <w:r w:rsidR="001230C1">
                        <w:rPr>
                          <w:rFonts w:ascii="Calibri" w:hAnsi="Calibri" w:cs="Calibri"/>
                          <w:i/>
                          <w:iCs/>
                          <w:color w:val="000000" w:themeColor="text1"/>
                          <w:sz w:val="20"/>
                        </w:rPr>
                        <w:t xml:space="preserve">Struktura úvěrů </w:t>
                      </w:r>
                      <w:r w:rsidR="009A1A97">
                        <w:rPr>
                          <w:rFonts w:ascii="Calibri" w:hAnsi="Calibri" w:cs="Calibri"/>
                          <w:i/>
                          <w:iCs/>
                          <w:color w:val="000000" w:themeColor="text1"/>
                          <w:sz w:val="20"/>
                        </w:rPr>
                        <w:t xml:space="preserve">odráží měnící se složení růstu ekonomiky. To již v prvním čtvrtletí letošního roku vyústilo v další posílení nově poskytnutých hypotečních úvěrů a ustálení spotřebních úvěrů lehce nad dlouhodobým průměrem. Ovšem </w:t>
                      </w:r>
                      <w:r w:rsidR="001230C1">
                        <w:rPr>
                          <w:rFonts w:ascii="Calibri" w:hAnsi="Calibri" w:cs="Calibri"/>
                          <w:i/>
                          <w:iCs/>
                          <w:color w:val="000000" w:themeColor="text1"/>
                          <w:sz w:val="20"/>
                        </w:rPr>
                        <w:t xml:space="preserve">růstový </w:t>
                      </w:r>
                      <w:r w:rsidR="009A1A97">
                        <w:rPr>
                          <w:rFonts w:ascii="Calibri" w:hAnsi="Calibri" w:cs="Calibri"/>
                          <w:i/>
                          <w:iCs/>
                          <w:color w:val="000000" w:themeColor="text1"/>
                          <w:sz w:val="20"/>
                        </w:rPr>
                        <w:t xml:space="preserve">impuls z </w:t>
                      </w:r>
                      <w:r w:rsidR="001230C1">
                        <w:rPr>
                          <w:rFonts w:ascii="Calibri" w:hAnsi="Calibri" w:cs="Calibri"/>
                          <w:i/>
                          <w:iCs/>
                          <w:color w:val="000000" w:themeColor="text1"/>
                          <w:sz w:val="20"/>
                        </w:rPr>
                        <w:t xml:space="preserve">podnikových </w:t>
                      </w:r>
                      <w:r w:rsidR="009A1A97">
                        <w:rPr>
                          <w:rFonts w:ascii="Calibri" w:hAnsi="Calibri" w:cs="Calibri"/>
                          <w:i/>
                          <w:iCs/>
                          <w:color w:val="000000" w:themeColor="text1"/>
                          <w:sz w:val="20"/>
                        </w:rPr>
                        <w:t>úvěrů nepatrně oslabil, což reflektuje stagnaci potenciálu ekonomiky a zvýšenou míry nejistoty.“</w:t>
                      </w:r>
                    </w:p>
                  </w:txbxContent>
                </v:textbox>
                <w10:wrap type="square" anchorx="margin"/>
              </v:shape>
            </w:pict>
          </mc:Fallback>
        </mc:AlternateContent>
      </w:r>
      <w:r w:rsidR="00A85C43" w:rsidRPr="00004650">
        <w:rPr>
          <w:rFonts w:ascii="Calibri" w:hAnsi="Calibri" w:cs="Calibri"/>
          <w:color w:val="000000" w:themeColor="text1"/>
          <w:sz w:val="20"/>
        </w:rPr>
        <w:t xml:space="preserve">Vládní deficit se </w:t>
      </w:r>
      <w:r w:rsidR="00423B22">
        <w:rPr>
          <w:rFonts w:ascii="Calibri" w:hAnsi="Calibri" w:cs="Calibri"/>
          <w:color w:val="000000" w:themeColor="text1"/>
          <w:sz w:val="20"/>
        </w:rPr>
        <w:t>minulý rok zl</w:t>
      </w:r>
      <w:r w:rsidR="0051446C">
        <w:rPr>
          <w:rFonts w:ascii="Calibri" w:hAnsi="Calibri" w:cs="Calibri"/>
          <w:color w:val="000000" w:themeColor="text1"/>
          <w:sz w:val="20"/>
        </w:rPr>
        <w:t>epšil výrazněji a to na</w:t>
      </w:r>
      <w:r w:rsidR="00423B22">
        <w:rPr>
          <w:rFonts w:ascii="Calibri" w:hAnsi="Calibri" w:cs="Calibri"/>
          <w:color w:val="000000" w:themeColor="text1"/>
          <w:sz w:val="20"/>
        </w:rPr>
        <w:t xml:space="preserve"> </w:t>
      </w:r>
      <w:r w:rsidR="00A85C43" w:rsidRPr="00004650">
        <w:rPr>
          <w:rFonts w:ascii="Calibri" w:hAnsi="Calibri" w:cs="Calibri"/>
          <w:color w:val="000000" w:themeColor="text1"/>
          <w:sz w:val="20"/>
        </w:rPr>
        <w:t>-2,</w:t>
      </w:r>
      <w:r w:rsidR="0051446C">
        <w:rPr>
          <w:rFonts w:ascii="Calibri" w:hAnsi="Calibri" w:cs="Calibri"/>
          <w:color w:val="000000" w:themeColor="text1"/>
          <w:sz w:val="20"/>
        </w:rPr>
        <w:t>2</w:t>
      </w:r>
      <w:r w:rsidR="00A85C43" w:rsidRPr="00004650">
        <w:rPr>
          <w:rFonts w:ascii="Calibri" w:hAnsi="Calibri" w:cs="Calibri"/>
          <w:color w:val="000000" w:themeColor="text1"/>
          <w:sz w:val="20"/>
        </w:rPr>
        <w:t xml:space="preserve"> % HDP, což je</w:t>
      </w:r>
      <w:r w:rsidR="00EC3AAD">
        <w:rPr>
          <w:rFonts w:ascii="Calibri" w:hAnsi="Calibri" w:cs="Calibri"/>
          <w:color w:val="000000" w:themeColor="text1"/>
          <w:sz w:val="20"/>
        </w:rPr>
        <w:t xml:space="preserve"> </w:t>
      </w:r>
      <w:r w:rsidR="0051446C">
        <w:rPr>
          <w:rFonts w:ascii="Calibri" w:hAnsi="Calibri" w:cs="Calibri"/>
          <w:color w:val="000000" w:themeColor="text1"/>
          <w:sz w:val="20"/>
        </w:rPr>
        <w:t xml:space="preserve">výrazně lepší </w:t>
      </w:r>
      <w:r w:rsidR="009B0E09">
        <w:rPr>
          <w:rFonts w:ascii="Calibri" w:hAnsi="Calibri" w:cs="Calibri"/>
          <w:color w:val="000000" w:themeColor="text1"/>
          <w:sz w:val="20"/>
        </w:rPr>
        <w:t>výsledek</w:t>
      </w:r>
      <w:r w:rsidR="0051446C">
        <w:rPr>
          <w:rFonts w:ascii="Calibri" w:hAnsi="Calibri" w:cs="Calibri"/>
          <w:color w:val="000000" w:themeColor="text1"/>
          <w:sz w:val="20"/>
        </w:rPr>
        <w:t xml:space="preserve"> než </w:t>
      </w:r>
      <w:r w:rsidR="00E516A6">
        <w:rPr>
          <w:rFonts w:ascii="Calibri" w:hAnsi="Calibri" w:cs="Calibri"/>
          <w:color w:val="000000" w:themeColor="text1"/>
          <w:sz w:val="20"/>
        </w:rPr>
        <w:t xml:space="preserve">-2,8 % z minulého výhledu. </w:t>
      </w:r>
      <w:r w:rsidR="00EC3AAD">
        <w:rPr>
          <w:rFonts w:ascii="Calibri" w:hAnsi="Calibri" w:cs="Calibri"/>
          <w:color w:val="000000" w:themeColor="text1"/>
          <w:sz w:val="20"/>
        </w:rPr>
        <w:t xml:space="preserve"> </w:t>
      </w:r>
      <w:r w:rsidR="00423B22">
        <w:rPr>
          <w:rFonts w:ascii="Calibri" w:hAnsi="Calibri" w:cs="Calibri"/>
          <w:color w:val="000000" w:themeColor="text1"/>
          <w:sz w:val="20"/>
        </w:rPr>
        <w:t xml:space="preserve">V letošním </w:t>
      </w:r>
      <w:r w:rsidR="00E516A6">
        <w:rPr>
          <w:rFonts w:ascii="Calibri" w:hAnsi="Calibri" w:cs="Calibri"/>
          <w:color w:val="000000" w:themeColor="text1"/>
          <w:sz w:val="20"/>
        </w:rPr>
        <w:t xml:space="preserve">a příštím </w:t>
      </w:r>
      <w:r w:rsidR="00423B22">
        <w:rPr>
          <w:rFonts w:ascii="Calibri" w:hAnsi="Calibri" w:cs="Calibri"/>
          <w:color w:val="000000" w:themeColor="text1"/>
          <w:sz w:val="20"/>
        </w:rPr>
        <w:t>roce počítáme s</w:t>
      </w:r>
      <w:r w:rsidR="00E516A6">
        <w:rPr>
          <w:rFonts w:ascii="Calibri" w:hAnsi="Calibri" w:cs="Calibri"/>
          <w:color w:val="000000" w:themeColor="text1"/>
          <w:sz w:val="20"/>
        </w:rPr>
        <w:t>píše s jeho nepatrným zhoršením na -</w:t>
      </w:r>
      <w:r w:rsidR="00423B22">
        <w:rPr>
          <w:rFonts w:ascii="Calibri" w:hAnsi="Calibri" w:cs="Calibri"/>
          <w:color w:val="000000" w:themeColor="text1"/>
          <w:sz w:val="20"/>
        </w:rPr>
        <w:t>2,</w:t>
      </w:r>
      <w:r w:rsidR="00E516A6">
        <w:rPr>
          <w:rFonts w:ascii="Calibri" w:hAnsi="Calibri" w:cs="Calibri"/>
          <w:color w:val="000000" w:themeColor="text1"/>
          <w:sz w:val="20"/>
        </w:rPr>
        <w:t>3</w:t>
      </w:r>
      <w:r w:rsidR="00423B22">
        <w:rPr>
          <w:rFonts w:ascii="Calibri" w:hAnsi="Calibri" w:cs="Calibri"/>
          <w:color w:val="000000" w:themeColor="text1"/>
          <w:sz w:val="20"/>
        </w:rPr>
        <w:t xml:space="preserve"> % HDP</w:t>
      </w:r>
      <w:r w:rsidR="00E516A6">
        <w:rPr>
          <w:rFonts w:ascii="Calibri" w:hAnsi="Calibri" w:cs="Calibri"/>
          <w:color w:val="000000" w:themeColor="text1"/>
          <w:sz w:val="20"/>
        </w:rPr>
        <w:t xml:space="preserve">, což je v průměru stejný výhled jako v minulé predikci. Nepatrné zhoršení deficitu </w:t>
      </w:r>
      <w:r w:rsidR="00423B22">
        <w:rPr>
          <w:rFonts w:ascii="Calibri" w:hAnsi="Calibri" w:cs="Calibri"/>
          <w:color w:val="000000" w:themeColor="text1"/>
          <w:sz w:val="20"/>
        </w:rPr>
        <w:t>odráží přirozenou realitu politického cyklu, který vyvrcholí nadcházejícími podzimními volbami do Poslanecké sněmovny</w:t>
      </w:r>
      <w:r w:rsidR="00E516A6">
        <w:rPr>
          <w:rFonts w:ascii="Calibri" w:hAnsi="Calibri" w:cs="Calibri"/>
          <w:color w:val="000000" w:themeColor="text1"/>
          <w:sz w:val="20"/>
        </w:rPr>
        <w:t xml:space="preserve">, a rovněž nastíněné vyšší výdaje na obranu. </w:t>
      </w:r>
      <w:r w:rsidR="00423B22">
        <w:rPr>
          <w:rFonts w:ascii="Calibri" w:hAnsi="Calibri" w:cs="Calibri"/>
          <w:color w:val="000000" w:themeColor="text1"/>
          <w:sz w:val="20"/>
        </w:rPr>
        <w:t xml:space="preserve"> </w:t>
      </w:r>
      <w:r w:rsidR="00E516A6">
        <w:rPr>
          <w:rFonts w:ascii="Calibri" w:hAnsi="Calibri" w:cs="Calibri"/>
          <w:color w:val="000000" w:themeColor="text1"/>
          <w:sz w:val="20"/>
        </w:rPr>
        <w:t xml:space="preserve">Pomalejší oživení růstu HDP vede k mírně vyššímu nárůstu </w:t>
      </w:r>
      <w:r w:rsidR="00423B22">
        <w:rPr>
          <w:rFonts w:ascii="Calibri" w:hAnsi="Calibri" w:cs="Calibri"/>
          <w:color w:val="000000" w:themeColor="text1"/>
          <w:sz w:val="20"/>
        </w:rPr>
        <w:t>vládního zadlužení na 44,</w:t>
      </w:r>
      <w:r w:rsidR="00E516A6">
        <w:rPr>
          <w:rFonts w:ascii="Calibri" w:hAnsi="Calibri" w:cs="Calibri"/>
          <w:color w:val="000000" w:themeColor="text1"/>
          <w:sz w:val="20"/>
        </w:rPr>
        <w:t>8</w:t>
      </w:r>
      <w:r w:rsidR="00961843">
        <w:rPr>
          <w:rFonts w:ascii="Calibri" w:hAnsi="Calibri" w:cs="Calibri"/>
          <w:color w:val="000000" w:themeColor="text1"/>
          <w:sz w:val="20"/>
        </w:rPr>
        <w:t> </w:t>
      </w:r>
      <w:r w:rsidR="00423B22">
        <w:rPr>
          <w:rFonts w:ascii="Calibri" w:hAnsi="Calibri" w:cs="Calibri"/>
          <w:color w:val="000000" w:themeColor="text1"/>
          <w:sz w:val="20"/>
        </w:rPr>
        <w:t>% HDP</w:t>
      </w:r>
      <w:r w:rsidR="00E516A6">
        <w:rPr>
          <w:rFonts w:ascii="Calibri" w:hAnsi="Calibri" w:cs="Calibri"/>
          <w:color w:val="000000" w:themeColor="text1"/>
          <w:sz w:val="20"/>
        </w:rPr>
        <w:t xml:space="preserve"> v roce 2026</w:t>
      </w:r>
      <w:r w:rsidR="00423B22">
        <w:rPr>
          <w:rFonts w:ascii="Calibri" w:hAnsi="Calibri" w:cs="Calibri"/>
          <w:color w:val="000000" w:themeColor="text1"/>
          <w:sz w:val="20"/>
        </w:rPr>
        <w:t>, což je o 0,</w:t>
      </w:r>
      <w:r w:rsidR="00E516A6">
        <w:rPr>
          <w:rFonts w:ascii="Calibri" w:hAnsi="Calibri" w:cs="Calibri"/>
          <w:color w:val="000000" w:themeColor="text1"/>
          <w:sz w:val="20"/>
        </w:rPr>
        <w:t>5</w:t>
      </w:r>
      <w:r w:rsidR="00423B22">
        <w:rPr>
          <w:rFonts w:ascii="Calibri" w:hAnsi="Calibri" w:cs="Calibri"/>
          <w:color w:val="000000" w:themeColor="text1"/>
          <w:sz w:val="20"/>
        </w:rPr>
        <w:t xml:space="preserve">% bodu </w:t>
      </w:r>
      <w:r w:rsidR="00E516A6">
        <w:rPr>
          <w:rFonts w:ascii="Calibri" w:hAnsi="Calibri" w:cs="Calibri"/>
          <w:color w:val="000000" w:themeColor="text1"/>
          <w:sz w:val="20"/>
        </w:rPr>
        <w:t>výše,</w:t>
      </w:r>
      <w:r w:rsidR="00423B22">
        <w:rPr>
          <w:rFonts w:ascii="Calibri" w:hAnsi="Calibri" w:cs="Calibri"/>
          <w:color w:val="000000" w:themeColor="text1"/>
          <w:sz w:val="20"/>
        </w:rPr>
        <w:t xml:space="preserve"> než předjímala naše </w:t>
      </w:r>
      <w:r w:rsidR="00E516A6">
        <w:rPr>
          <w:rFonts w:ascii="Calibri" w:hAnsi="Calibri" w:cs="Calibri"/>
          <w:color w:val="000000" w:themeColor="text1"/>
          <w:sz w:val="20"/>
        </w:rPr>
        <w:t>předchozí</w:t>
      </w:r>
      <w:r w:rsidR="00423B22">
        <w:rPr>
          <w:rFonts w:ascii="Calibri" w:hAnsi="Calibri" w:cs="Calibri"/>
          <w:color w:val="000000" w:themeColor="text1"/>
          <w:sz w:val="20"/>
        </w:rPr>
        <w:t xml:space="preserve"> predikce. Úroveň zadlužení </w:t>
      </w:r>
      <w:r w:rsidR="00B0052C">
        <w:rPr>
          <w:rFonts w:ascii="Calibri" w:hAnsi="Calibri" w:cs="Calibri"/>
          <w:color w:val="000000" w:themeColor="text1"/>
          <w:sz w:val="20"/>
        </w:rPr>
        <w:t xml:space="preserve">zůstává výrazně níže než v okolních zemích, kde Evropská komise počítá pro rok 2026 s </w:t>
      </w:r>
      <w:r w:rsidR="00EC3AAD">
        <w:rPr>
          <w:rFonts w:ascii="Calibri" w:hAnsi="Calibri" w:cs="Calibri"/>
          <w:color w:val="000000" w:themeColor="text1"/>
          <w:sz w:val="20"/>
        </w:rPr>
        <w:t xml:space="preserve">vládní </w:t>
      </w:r>
      <w:r w:rsidR="00B0052C">
        <w:rPr>
          <w:rFonts w:ascii="Calibri" w:hAnsi="Calibri" w:cs="Calibri"/>
          <w:color w:val="000000" w:themeColor="text1"/>
          <w:sz w:val="20"/>
        </w:rPr>
        <w:t>zadlužeností</w:t>
      </w:r>
      <w:r w:rsidR="00E516A6">
        <w:rPr>
          <w:rFonts w:ascii="Calibri" w:hAnsi="Calibri" w:cs="Calibri"/>
          <w:color w:val="000000" w:themeColor="text1"/>
          <w:sz w:val="20"/>
        </w:rPr>
        <w:t xml:space="preserve"> Česka na 45,4 %,</w:t>
      </w:r>
      <w:r w:rsidR="00B0052C">
        <w:rPr>
          <w:rFonts w:ascii="Calibri" w:hAnsi="Calibri" w:cs="Calibri"/>
          <w:color w:val="000000" w:themeColor="text1"/>
          <w:sz w:val="20"/>
        </w:rPr>
        <w:t xml:space="preserve"> Slovenska</w:t>
      </w:r>
      <w:r w:rsidR="00E516A6">
        <w:rPr>
          <w:rFonts w:ascii="Calibri" w:hAnsi="Calibri" w:cs="Calibri"/>
          <w:color w:val="000000" w:themeColor="text1"/>
          <w:sz w:val="20"/>
        </w:rPr>
        <w:t xml:space="preserve"> na 65 %</w:t>
      </w:r>
      <w:r w:rsidR="00B0052C">
        <w:rPr>
          <w:rFonts w:ascii="Calibri" w:hAnsi="Calibri" w:cs="Calibri"/>
          <w:color w:val="000000" w:themeColor="text1"/>
          <w:sz w:val="20"/>
        </w:rPr>
        <w:t>, Polska a Německa okolo 6</w:t>
      </w:r>
      <w:r w:rsidR="00E516A6">
        <w:rPr>
          <w:rFonts w:ascii="Calibri" w:hAnsi="Calibri" w:cs="Calibri"/>
          <w:color w:val="000000" w:themeColor="text1"/>
          <w:sz w:val="20"/>
        </w:rPr>
        <w:t>5</w:t>
      </w:r>
      <w:r w:rsidR="00B0052C">
        <w:rPr>
          <w:rFonts w:ascii="Calibri" w:hAnsi="Calibri" w:cs="Calibri"/>
          <w:color w:val="000000" w:themeColor="text1"/>
          <w:sz w:val="20"/>
        </w:rPr>
        <w:t xml:space="preserve"> % HDP, Maďarsk</w:t>
      </w:r>
      <w:r w:rsidR="000C77D3">
        <w:rPr>
          <w:rFonts w:ascii="Calibri" w:hAnsi="Calibri" w:cs="Calibri"/>
          <w:color w:val="000000" w:themeColor="text1"/>
          <w:sz w:val="20"/>
        </w:rPr>
        <w:t>a</w:t>
      </w:r>
      <w:r w:rsidR="00B0052C">
        <w:rPr>
          <w:rFonts w:ascii="Calibri" w:hAnsi="Calibri" w:cs="Calibri"/>
          <w:color w:val="000000" w:themeColor="text1"/>
          <w:sz w:val="20"/>
        </w:rPr>
        <w:t xml:space="preserve"> okolo 74 % a v případě eurozóny na </w:t>
      </w:r>
      <w:r w:rsidR="00E516A6">
        <w:rPr>
          <w:rFonts w:ascii="Calibri" w:hAnsi="Calibri" w:cs="Calibri"/>
          <w:color w:val="000000" w:themeColor="text1"/>
          <w:sz w:val="20"/>
        </w:rPr>
        <w:t>91</w:t>
      </w:r>
      <w:r w:rsidR="00B0052C">
        <w:rPr>
          <w:rFonts w:ascii="Calibri" w:hAnsi="Calibri" w:cs="Calibri"/>
          <w:color w:val="000000" w:themeColor="text1"/>
          <w:sz w:val="20"/>
        </w:rPr>
        <w:t xml:space="preserve"> </w:t>
      </w:r>
      <w:r w:rsidR="000C77D3">
        <w:rPr>
          <w:rFonts w:ascii="Calibri" w:hAnsi="Calibri" w:cs="Calibri"/>
          <w:color w:val="000000" w:themeColor="text1"/>
          <w:sz w:val="20"/>
        </w:rPr>
        <w:t xml:space="preserve">% HDP. </w:t>
      </w:r>
    </w:p>
    <w:p w14:paraId="7AD1D7A8" w14:textId="0DE7701D" w:rsidR="009A1A97" w:rsidRDefault="00B90FB3" w:rsidP="00A85C43">
      <w:pPr>
        <w:rPr>
          <w:rFonts w:ascii="Calibri" w:hAnsi="Calibri" w:cs="Calibri"/>
          <w:b/>
          <w:color w:val="FF0000"/>
          <w:sz w:val="22"/>
          <w:szCs w:val="22"/>
        </w:rPr>
      </w:pPr>
      <w:r>
        <w:rPr>
          <w:rFonts w:ascii="Calibri" w:hAnsi="Calibri" w:cs="Calibri"/>
          <w:b/>
          <w:color w:val="FF0000"/>
          <w:sz w:val="22"/>
          <w:szCs w:val="22"/>
        </w:rPr>
        <w:t xml:space="preserve"> </w:t>
      </w:r>
    </w:p>
    <w:p w14:paraId="79AC41EF" w14:textId="61E24FEF" w:rsidR="00A85C43" w:rsidRPr="009A1A97" w:rsidRDefault="00B90FB3" w:rsidP="00A85C43">
      <w:pPr>
        <w:rPr>
          <w:rFonts w:ascii="Calibri" w:hAnsi="Calibri" w:cs="Calibri"/>
          <w:b/>
          <w:color w:val="13576B"/>
          <w:sz w:val="22"/>
          <w:szCs w:val="22"/>
        </w:rPr>
      </w:pPr>
      <w:r w:rsidRPr="009A1A97">
        <w:rPr>
          <w:rFonts w:ascii="Calibri" w:hAnsi="Calibri" w:cs="Calibri"/>
          <w:b/>
          <w:color w:val="13576B"/>
          <w:sz w:val="22"/>
          <w:szCs w:val="22"/>
        </w:rPr>
        <w:t>Mírnější dynamika</w:t>
      </w:r>
      <w:r w:rsidR="009A1A97" w:rsidRPr="009A1A97">
        <w:rPr>
          <w:rFonts w:ascii="Calibri" w:hAnsi="Calibri" w:cs="Calibri"/>
          <w:b/>
          <w:color w:val="13576B"/>
          <w:sz w:val="22"/>
          <w:szCs w:val="22"/>
        </w:rPr>
        <w:t>, ale měnící se struktura</w:t>
      </w:r>
      <w:r w:rsidRPr="009A1A97">
        <w:rPr>
          <w:rFonts w:ascii="Calibri" w:hAnsi="Calibri" w:cs="Calibri"/>
          <w:b/>
          <w:color w:val="13576B"/>
          <w:sz w:val="22"/>
          <w:szCs w:val="22"/>
        </w:rPr>
        <w:t xml:space="preserve"> úvěrů </w:t>
      </w:r>
      <w:r w:rsidR="009A1A97" w:rsidRPr="009A1A97">
        <w:rPr>
          <w:rFonts w:ascii="Calibri" w:hAnsi="Calibri" w:cs="Calibri"/>
          <w:b/>
          <w:color w:val="13576B"/>
          <w:sz w:val="22"/>
          <w:szCs w:val="22"/>
        </w:rPr>
        <w:t>odráží složení růstu ekonomiky</w:t>
      </w:r>
      <w:r w:rsidRPr="009A1A97">
        <w:rPr>
          <w:rFonts w:ascii="Calibri" w:hAnsi="Calibri" w:cs="Calibri"/>
          <w:b/>
          <w:color w:val="13576B"/>
          <w:sz w:val="22"/>
          <w:szCs w:val="22"/>
        </w:rPr>
        <w:t xml:space="preserve"> </w:t>
      </w:r>
    </w:p>
    <w:p w14:paraId="10A29AEC" w14:textId="7BCB7637" w:rsidR="009A1A97" w:rsidRPr="00172330" w:rsidRDefault="00A85C43" w:rsidP="009A1A97">
      <w:pPr>
        <w:rPr>
          <w:rFonts w:ascii="Calibri" w:hAnsi="Calibri" w:cs="Calibri"/>
          <w:sz w:val="20"/>
        </w:rPr>
      </w:pPr>
      <w:r w:rsidRPr="00B90FB3">
        <w:rPr>
          <w:rFonts w:ascii="Calibri" w:hAnsi="Calibri" w:cs="Calibri"/>
          <w:sz w:val="20"/>
        </w:rPr>
        <w:t>Růst bankovních úvěrů domácnostem by</w:t>
      </w:r>
      <w:r w:rsidR="00E111EF" w:rsidRPr="00B90FB3">
        <w:rPr>
          <w:rFonts w:ascii="Calibri" w:hAnsi="Calibri" w:cs="Calibri"/>
          <w:sz w:val="20"/>
        </w:rPr>
        <w:t xml:space="preserve"> měl</w:t>
      </w:r>
      <w:r w:rsidR="002C0B36" w:rsidRPr="00B90FB3">
        <w:rPr>
          <w:rFonts w:ascii="Calibri" w:hAnsi="Calibri" w:cs="Calibri"/>
          <w:sz w:val="20"/>
        </w:rPr>
        <w:t xml:space="preserve"> v </w:t>
      </w:r>
      <w:r w:rsidR="002C0B36" w:rsidRPr="00DA7DB9">
        <w:rPr>
          <w:rFonts w:ascii="Calibri" w:hAnsi="Calibri" w:cs="Calibri"/>
          <w:sz w:val="20"/>
        </w:rPr>
        <w:t>letošním a příštím roce</w:t>
      </w:r>
      <w:r w:rsidR="00E111EF" w:rsidRPr="00DA7DB9">
        <w:rPr>
          <w:rFonts w:ascii="Calibri" w:hAnsi="Calibri" w:cs="Calibri"/>
          <w:sz w:val="20"/>
        </w:rPr>
        <w:t xml:space="preserve"> lehce posílit </w:t>
      </w:r>
      <w:r w:rsidR="00DA7DB9" w:rsidRPr="00DA7DB9">
        <w:rPr>
          <w:rFonts w:ascii="Calibri" w:hAnsi="Calibri" w:cs="Calibri"/>
          <w:sz w:val="20"/>
        </w:rPr>
        <w:t>přes</w:t>
      </w:r>
      <w:r w:rsidR="002C0B36" w:rsidRPr="00DA7DB9">
        <w:rPr>
          <w:rFonts w:ascii="Calibri" w:hAnsi="Calibri" w:cs="Calibri"/>
          <w:sz w:val="20"/>
        </w:rPr>
        <w:t> </w:t>
      </w:r>
      <w:r w:rsidR="00E111EF" w:rsidRPr="00DA7DB9">
        <w:rPr>
          <w:rFonts w:ascii="Calibri" w:hAnsi="Calibri" w:cs="Calibri"/>
          <w:sz w:val="20"/>
        </w:rPr>
        <w:t>6</w:t>
      </w:r>
      <w:r w:rsidR="002C0B36" w:rsidRPr="00DA7DB9">
        <w:rPr>
          <w:rFonts w:ascii="Calibri" w:hAnsi="Calibri" w:cs="Calibri"/>
          <w:sz w:val="20"/>
        </w:rPr>
        <w:t xml:space="preserve"> </w:t>
      </w:r>
      <w:r w:rsidR="00E111EF" w:rsidRPr="00DA7DB9">
        <w:rPr>
          <w:rFonts w:ascii="Calibri" w:hAnsi="Calibri" w:cs="Calibri"/>
          <w:sz w:val="20"/>
        </w:rPr>
        <w:t>% po téměř 5% růstu v </w:t>
      </w:r>
      <w:r w:rsidR="00DA7DB9" w:rsidRPr="00DA7DB9">
        <w:rPr>
          <w:rFonts w:ascii="Calibri" w:hAnsi="Calibri" w:cs="Calibri"/>
          <w:sz w:val="20"/>
        </w:rPr>
        <w:t xml:space="preserve">loňském </w:t>
      </w:r>
      <w:r w:rsidR="00E111EF" w:rsidRPr="00DA7DB9">
        <w:rPr>
          <w:rFonts w:ascii="Calibri" w:hAnsi="Calibri" w:cs="Calibri"/>
          <w:sz w:val="20"/>
        </w:rPr>
        <w:t>roce</w:t>
      </w:r>
      <w:r w:rsidR="000C77D3" w:rsidRPr="00DA7DB9">
        <w:rPr>
          <w:rFonts w:ascii="Calibri" w:hAnsi="Calibri" w:cs="Calibri"/>
          <w:sz w:val="20"/>
        </w:rPr>
        <w:t xml:space="preserve">, </w:t>
      </w:r>
      <w:r w:rsidRPr="00DA7DB9">
        <w:rPr>
          <w:rFonts w:ascii="Calibri" w:hAnsi="Calibri" w:cs="Calibri"/>
          <w:sz w:val="20"/>
        </w:rPr>
        <w:t xml:space="preserve">zatímco úvěry podnikům by měly </w:t>
      </w:r>
      <w:r w:rsidR="00E111EF" w:rsidRPr="00DA7DB9">
        <w:rPr>
          <w:rFonts w:ascii="Calibri" w:hAnsi="Calibri" w:cs="Calibri"/>
          <w:sz w:val="20"/>
        </w:rPr>
        <w:t xml:space="preserve">mírně zvolnit </w:t>
      </w:r>
      <w:r w:rsidR="00DA7DB9" w:rsidRPr="00DA7DB9">
        <w:rPr>
          <w:rFonts w:ascii="Calibri" w:hAnsi="Calibri" w:cs="Calibri"/>
          <w:sz w:val="20"/>
        </w:rPr>
        <w:t>svoji dynamiku</w:t>
      </w:r>
      <w:r w:rsidR="00DA7DB9">
        <w:rPr>
          <w:rFonts w:ascii="Calibri" w:hAnsi="Calibri" w:cs="Calibri"/>
          <w:sz w:val="20"/>
        </w:rPr>
        <w:t xml:space="preserve"> k lehce přes</w:t>
      </w:r>
      <w:r w:rsidR="00DA7DB9" w:rsidRPr="00DA7DB9">
        <w:rPr>
          <w:rFonts w:ascii="Calibri" w:hAnsi="Calibri" w:cs="Calibri"/>
          <w:sz w:val="20"/>
        </w:rPr>
        <w:t> 5 %</w:t>
      </w:r>
      <w:r w:rsidR="00DA7DB9">
        <w:rPr>
          <w:rFonts w:ascii="Calibri" w:hAnsi="Calibri" w:cs="Calibri"/>
          <w:sz w:val="20"/>
        </w:rPr>
        <w:t xml:space="preserve"> ze 7,6% meziročního růstu</w:t>
      </w:r>
      <w:r w:rsidR="00DA7DB9" w:rsidRPr="00DA7DB9">
        <w:rPr>
          <w:rFonts w:ascii="Calibri" w:hAnsi="Calibri" w:cs="Calibri"/>
          <w:sz w:val="20"/>
        </w:rPr>
        <w:t xml:space="preserve"> </w:t>
      </w:r>
      <w:r w:rsidR="00E111EF" w:rsidRPr="00DA7DB9">
        <w:rPr>
          <w:rFonts w:ascii="Calibri" w:hAnsi="Calibri" w:cs="Calibri"/>
          <w:sz w:val="20"/>
        </w:rPr>
        <w:t>v loňském roce.</w:t>
      </w:r>
      <w:r w:rsidR="00DA7DB9">
        <w:rPr>
          <w:rFonts w:ascii="Calibri" w:hAnsi="Calibri" w:cs="Calibri"/>
          <w:sz w:val="20"/>
        </w:rPr>
        <w:t xml:space="preserve"> Celkově by tak klientské úvěry měly zmírnit svůj růst k 5,5 % z lehce nad 6 % v roce 2024. Tato čísla napovídají o změně </w:t>
      </w:r>
      <w:r w:rsidR="00141F10">
        <w:rPr>
          <w:rFonts w:ascii="Calibri" w:hAnsi="Calibri" w:cs="Calibri"/>
          <w:sz w:val="20"/>
        </w:rPr>
        <w:t>struktury</w:t>
      </w:r>
      <w:r w:rsidR="00DA7DB9">
        <w:rPr>
          <w:rFonts w:ascii="Calibri" w:hAnsi="Calibri" w:cs="Calibri"/>
          <w:sz w:val="20"/>
        </w:rPr>
        <w:t xml:space="preserve"> úvěr</w:t>
      </w:r>
      <w:r w:rsidR="00141F10">
        <w:rPr>
          <w:rFonts w:ascii="Calibri" w:hAnsi="Calibri" w:cs="Calibri"/>
          <w:sz w:val="20"/>
        </w:rPr>
        <w:t>ové kreace</w:t>
      </w:r>
      <w:r w:rsidR="00DA7DB9">
        <w:rPr>
          <w:rFonts w:ascii="Calibri" w:hAnsi="Calibri" w:cs="Calibri"/>
          <w:sz w:val="20"/>
        </w:rPr>
        <w:t xml:space="preserve">, což potvrzují i dostupná čísla o nových úvěrech za první čtvrtletí letošního roku, která se dostala do ekonomiky, a zároveň tato struktura reflektuje </w:t>
      </w:r>
      <w:r w:rsidR="00141F10">
        <w:rPr>
          <w:rFonts w:ascii="Calibri" w:hAnsi="Calibri" w:cs="Calibri"/>
          <w:sz w:val="20"/>
        </w:rPr>
        <w:t>složení</w:t>
      </w:r>
      <w:r w:rsidR="00DA7DB9">
        <w:rPr>
          <w:rFonts w:ascii="Calibri" w:hAnsi="Calibri" w:cs="Calibri"/>
          <w:sz w:val="20"/>
        </w:rPr>
        <w:t xml:space="preserve"> růstu ekonomiky</w:t>
      </w:r>
      <w:r w:rsidR="00B90FB3">
        <w:rPr>
          <w:rFonts w:ascii="Calibri" w:hAnsi="Calibri" w:cs="Calibri"/>
          <w:sz w:val="20"/>
        </w:rPr>
        <w:t>, tedy rostoucí spotřebu, slabší investice, silnější realitní trh a stavebnictví.</w:t>
      </w:r>
      <w:r w:rsidR="00DA7DB9">
        <w:rPr>
          <w:rFonts w:ascii="Calibri" w:hAnsi="Calibri" w:cs="Calibri"/>
          <w:sz w:val="20"/>
        </w:rPr>
        <w:t xml:space="preserve"> </w:t>
      </w:r>
    </w:p>
    <w:p w14:paraId="075D499A" w14:textId="77777777" w:rsidR="009A1A97" w:rsidRDefault="009A1A97" w:rsidP="00A85C43">
      <w:pPr>
        <w:rPr>
          <w:rFonts w:ascii="Calibri" w:hAnsi="Calibri" w:cs="Calibri"/>
          <w:sz w:val="20"/>
        </w:rPr>
      </w:pPr>
    </w:p>
    <w:p w14:paraId="4192F3CC" w14:textId="257296F7" w:rsidR="009A1A97" w:rsidRDefault="00141F10" w:rsidP="00A85C43">
      <w:pPr>
        <w:rPr>
          <w:rFonts w:ascii="Calibri" w:hAnsi="Calibri" w:cs="Calibri"/>
          <w:sz w:val="20"/>
        </w:rPr>
      </w:pPr>
      <w:r>
        <w:rPr>
          <w:rFonts w:ascii="Calibri" w:hAnsi="Calibri" w:cs="Calibri"/>
          <w:sz w:val="20"/>
        </w:rPr>
        <w:t xml:space="preserve">Pokud se podíváme na hypoteční úvěry, tak úroveň jejich nových a navýšených objemů v prvním čtvrtletí vystoupala </w:t>
      </w:r>
      <w:r w:rsidR="00B90FB3">
        <w:rPr>
          <w:rFonts w:ascii="Calibri" w:hAnsi="Calibri" w:cs="Calibri"/>
          <w:sz w:val="20"/>
        </w:rPr>
        <w:t>téměř</w:t>
      </w:r>
      <w:r>
        <w:rPr>
          <w:rFonts w:ascii="Calibri" w:hAnsi="Calibri" w:cs="Calibri"/>
          <w:sz w:val="20"/>
        </w:rPr>
        <w:t xml:space="preserve"> ke 4 % HDP</w:t>
      </w:r>
      <w:r w:rsidR="00B90FB3">
        <w:rPr>
          <w:rFonts w:ascii="Calibri" w:hAnsi="Calibri" w:cs="Calibri"/>
          <w:sz w:val="20"/>
        </w:rPr>
        <w:t>, což je okolo dlouhodobého průměru. Objem spotřebních úvěrů se na počátku letošního roku ustálil okolo loňského průměru 1,7 % HDP</w:t>
      </w:r>
      <w:r w:rsidR="009A1A97">
        <w:rPr>
          <w:rFonts w:ascii="Calibri" w:hAnsi="Calibri" w:cs="Calibri"/>
          <w:sz w:val="20"/>
        </w:rPr>
        <w:t>, což je lehce nad dlouhodobým průměrem</w:t>
      </w:r>
      <w:r w:rsidR="00B90FB3">
        <w:rPr>
          <w:rFonts w:ascii="Calibri" w:hAnsi="Calibri" w:cs="Calibri"/>
          <w:sz w:val="20"/>
        </w:rPr>
        <w:t>. A nové úvěry nefinančním podnikům zmírnily svůj kreditní impuls k 7,4 % ze 7,6 % HDP v roce 2024. Měnová struktura nových</w:t>
      </w:r>
      <w:r w:rsidR="004133C6">
        <w:rPr>
          <w:rFonts w:ascii="Calibri" w:hAnsi="Calibri" w:cs="Calibri"/>
          <w:sz w:val="20"/>
        </w:rPr>
        <w:t xml:space="preserve"> korporátních</w:t>
      </w:r>
      <w:r w:rsidR="00B90FB3">
        <w:rPr>
          <w:rFonts w:ascii="Calibri" w:hAnsi="Calibri" w:cs="Calibri"/>
          <w:sz w:val="20"/>
        </w:rPr>
        <w:t xml:space="preserve"> úvěrů je obdobná jako v předcházejících dvou letech, tj</w:t>
      </w:r>
      <w:r w:rsidR="004133C6">
        <w:rPr>
          <w:rFonts w:ascii="Calibri" w:hAnsi="Calibri" w:cs="Calibri"/>
          <w:sz w:val="20"/>
        </w:rPr>
        <w:t xml:space="preserve"> s podílem eurových úvěrů</w:t>
      </w:r>
      <w:r w:rsidR="00B90FB3">
        <w:rPr>
          <w:rFonts w:ascii="Calibri" w:hAnsi="Calibri" w:cs="Calibri"/>
          <w:sz w:val="20"/>
        </w:rPr>
        <w:t xml:space="preserve"> okolo poloviny. </w:t>
      </w:r>
      <w:r w:rsidR="009A1A97" w:rsidRPr="00172330">
        <w:rPr>
          <w:rFonts w:ascii="Calibri" w:hAnsi="Calibri" w:cs="Calibri"/>
          <w:sz w:val="20"/>
        </w:rPr>
        <w:t xml:space="preserve">Letos čekáme zpomalení růstu vkladů pod 6 % a dále pod 5 % v roce 2026 po téměř 7,5% růstu v loňském roce, což odráží jak mírnější růst korporátních úvěrů, pokles úrokové sazby a taky </w:t>
      </w:r>
      <w:r w:rsidR="009A1A97" w:rsidRPr="009A1A97">
        <w:rPr>
          <w:rFonts w:ascii="Calibri" w:hAnsi="Calibri" w:cs="Calibri"/>
          <w:sz w:val="20"/>
        </w:rPr>
        <w:t>předpokládanou</w:t>
      </w:r>
      <w:r w:rsidR="009A1A97" w:rsidRPr="00172330">
        <w:rPr>
          <w:rFonts w:ascii="Calibri" w:hAnsi="Calibri" w:cs="Calibri"/>
          <w:sz w:val="20"/>
        </w:rPr>
        <w:t xml:space="preserve"> nižší míru úspor domácností</w:t>
      </w:r>
      <w:r w:rsidR="009A1A97">
        <w:rPr>
          <w:rFonts w:ascii="Calibri" w:hAnsi="Calibri" w:cs="Calibri"/>
          <w:sz w:val="20"/>
        </w:rPr>
        <w:t>.</w:t>
      </w:r>
    </w:p>
    <w:p w14:paraId="569DBFB7" w14:textId="77777777" w:rsidR="009A1A97" w:rsidRDefault="009A1A97" w:rsidP="00A85C43">
      <w:pPr>
        <w:rPr>
          <w:rFonts w:ascii="Calibri" w:hAnsi="Calibri" w:cs="Calibri"/>
          <w:sz w:val="20"/>
        </w:rPr>
      </w:pPr>
    </w:p>
    <w:p w14:paraId="1E76C25E" w14:textId="77777777" w:rsidR="00DA7DB9" w:rsidRDefault="00DA7DB9" w:rsidP="00DA7DB9">
      <w:pPr>
        <w:rPr>
          <w:rFonts w:ascii="Calibri" w:hAnsi="Calibri" w:cs="Calibri"/>
          <w:color w:val="FF0000"/>
          <w:sz w:val="20"/>
        </w:rPr>
      </w:pPr>
      <w:r w:rsidRPr="009025A0">
        <w:rPr>
          <w:rFonts w:ascii="Calibri" w:hAnsi="Calibri" w:cs="Calibri"/>
          <w:noProof/>
          <w:color w:val="FF0000"/>
          <w:sz w:val="20"/>
        </w:rPr>
        <w:drawing>
          <wp:inline distT="0" distB="0" distL="0" distR="0" wp14:anchorId="48D9ECFF" wp14:editId="6B65D803">
            <wp:extent cx="3169920" cy="2193734"/>
            <wp:effectExtent l="0" t="0" r="0" b="0"/>
            <wp:docPr id="18403038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90362" cy="2207881"/>
                    </a:xfrm>
                    <a:prstGeom prst="rect">
                      <a:avLst/>
                    </a:prstGeom>
                    <a:noFill/>
                    <a:ln>
                      <a:noFill/>
                    </a:ln>
                  </pic:spPr>
                </pic:pic>
              </a:graphicData>
            </a:graphic>
          </wp:inline>
        </w:drawing>
      </w:r>
      <w:r>
        <w:rPr>
          <w:rFonts w:ascii="Calibri" w:hAnsi="Calibri" w:cs="Calibri"/>
          <w:color w:val="FF0000"/>
          <w:sz w:val="20"/>
        </w:rPr>
        <w:t xml:space="preserve">  </w:t>
      </w:r>
      <w:r w:rsidRPr="009025A0">
        <w:rPr>
          <w:rFonts w:ascii="Calibri" w:hAnsi="Calibri" w:cs="Calibri"/>
          <w:noProof/>
          <w:color w:val="FF0000"/>
          <w:sz w:val="20"/>
        </w:rPr>
        <w:drawing>
          <wp:inline distT="0" distB="0" distL="0" distR="0" wp14:anchorId="3D1CE214" wp14:editId="1819DDD4">
            <wp:extent cx="3192780" cy="2204152"/>
            <wp:effectExtent l="0" t="0" r="7620" b="5715"/>
            <wp:docPr id="8877635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3375" cy="2211466"/>
                    </a:xfrm>
                    <a:prstGeom prst="rect">
                      <a:avLst/>
                    </a:prstGeom>
                    <a:noFill/>
                    <a:ln>
                      <a:noFill/>
                    </a:ln>
                  </pic:spPr>
                </pic:pic>
              </a:graphicData>
            </a:graphic>
          </wp:inline>
        </w:drawing>
      </w:r>
    </w:p>
    <w:p w14:paraId="4D0B62CB" w14:textId="77777777" w:rsidR="00DA7DB9" w:rsidRPr="00FC64FB" w:rsidRDefault="00DA7DB9" w:rsidP="00DA7DB9">
      <w:pPr>
        <w:rPr>
          <w:rFonts w:ascii="Calibri" w:hAnsi="Calibri" w:cs="Calibri"/>
          <w:bCs/>
          <w:color w:val="13576B"/>
          <w:szCs w:val="18"/>
        </w:rPr>
      </w:pPr>
      <w:r w:rsidRPr="00FC64FB">
        <w:rPr>
          <w:rFonts w:ascii="Calibri" w:hAnsi="Calibri" w:cs="Calibri"/>
          <w:bCs/>
          <w:color w:val="13576B"/>
          <w:szCs w:val="18"/>
        </w:rPr>
        <w:t xml:space="preserve">Zdroj: </w:t>
      </w:r>
      <w:r>
        <w:rPr>
          <w:rFonts w:ascii="Calibri" w:hAnsi="Calibri" w:cs="Calibri"/>
          <w:bCs/>
          <w:color w:val="13576B"/>
          <w:szCs w:val="18"/>
        </w:rPr>
        <w:t xml:space="preserve">ČNB, </w:t>
      </w:r>
      <w:r w:rsidRPr="00FC64FB">
        <w:rPr>
          <w:rFonts w:ascii="Calibri" w:hAnsi="Calibri" w:cs="Calibri"/>
          <w:bCs/>
          <w:color w:val="13576B"/>
          <w:szCs w:val="18"/>
        </w:rPr>
        <w:t>ČBA</w:t>
      </w:r>
      <w:r>
        <w:rPr>
          <w:rFonts w:ascii="Calibri" w:hAnsi="Calibri" w:cs="Calibri"/>
          <w:bCs/>
          <w:color w:val="13576B"/>
          <w:szCs w:val="18"/>
        </w:rPr>
        <w:t xml:space="preserve"> (sezónní očištění)</w:t>
      </w:r>
    </w:p>
    <w:p w14:paraId="282856E4" w14:textId="77777777" w:rsidR="00407F75" w:rsidRDefault="00407F75" w:rsidP="00A85C43">
      <w:pPr>
        <w:rPr>
          <w:rFonts w:ascii="Calibri" w:hAnsi="Calibri" w:cs="Calibri"/>
          <w:color w:val="FF0000"/>
          <w:sz w:val="20"/>
        </w:rPr>
      </w:pPr>
    </w:p>
    <w:p w14:paraId="5AA039FF" w14:textId="74197680" w:rsidR="00FC1601" w:rsidRDefault="00C93158" w:rsidP="00B4285D">
      <w:pPr>
        <w:rPr>
          <w:rFonts w:ascii="Calibri" w:hAnsi="Calibri" w:cs="Calibri"/>
          <w:b/>
          <w:color w:val="13576B"/>
          <w:sz w:val="22"/>
          <w:szCs w:val="22"/>
        </w:rPr>
      </w:pPr>
      <w:r w:rsidRPr="00AD0B10">
        <w:rPr>
          <w:rFonts w:ascii="Calibri" w:hAnsi="Calibri" w:cs="Calibri"/>
          <w:b/>
          <w:color w:val="13576B"/>
          <w:sz w:val="22"/>
          <w:szCs w:val="22"/>
        </w:rPr>
        <w:t>Makroekonomická prognóza ČBA v</w:t>
      </w:r>
      <w:r w:rsidR="00FC1884">
        <w:rPr>
          <w:rFonts w:ascii="Calibri" w:hAnsi="Calibri" w:cs="Calibri"/>
          <w:b/>
          <w:color w:val="13576B"/>
          <w:sz w:val="22"/>
          <w:szCs w:val="22"/>
        </w:rPr>
        <w:t> </w:t>
      </w:r>
      <w:r w:rsidRPr="00AD0B10">
        <w:rPr>
          <w:rFonts w:ascii="Calibri" w:hAnsi="Calibri" w:cs="Calibri"/>
          <w:b/>
          <w:color w:val="13576B"/>
          <w:sz w:val="22"/>
          <w:szCs w:val="22"/>
        </w:rPr>
        <w:t>číslech</w:t>
      </w:r>
      <w:r w:rsidR="00FC1884">
        <w:rPr>
          <w:rFonts w:ascii="Calibri" w:hAnsi="Calibri" w:cs="Calibri"/>
          <w:b/>
          <w:color w:val="13576B"/>
          <w:sz w:val="22"/>
          <w:szCs w:val="22"/>
        </w:rPr>
        <w:t>:</w:t>
      </w:r>
    </w:p>
    <w:tbl>
      <w:tblPr>
        <w:tblW w:w="8931" w:type="dxa"/>
        <w:tblCellMar>
          <w:left w:w="70" w:type="dxa"/>
          <w:right w:w="70" w:type="dxa"/>
        </w:tblCellMar>
        <w:tblLook w:val="04A0" w:firstRow="1" w:lastRow="0" w:firstColumn="1" w:lastColumn="0" w:noHBand="0" w:noVBand="1"/>
      </w:tblPr>
      <w:tblGrid>
        <w:gridCol w:w="4605"/>
        <w:gridCol w:w="680"/>
        <w:gridCol w:w="680"/>
        <w:gridCol w:w="680"/>
        <w:gridCol w:w="186"/>
        <w:gridCol w:w="702"/>
        <w:gridCol w:w="703"/>
        <w:gridCol w:w="695"/>
      </w:tblGrid>
      <w:tr w:rsidR="00345D5D" w:rsidRPr="00743530" w14:paraId="60D62E88" w14:textId="1B04277E" w:rsidTr="00C73C02">
        <w:trPr>
          <w:trHeight w:val="225"/>
        </w:trPr>
        <w:tc>
          <w:tcPr>
            <w:tcW w:w="4605" w:type="dxa"/>
            <w:vMerge w:val="restart"/>
            <w:tcBorders>
              <w:top w:val="nil"/>
              <w:left w:val="nil"/>
              <w:bottom w:val="single" w:sz="8" w:space="0" w:color="FFFFFF"/>
              <w:right w:val="single" w:sz="8" w:space="0" w:color="FFFFFF"/>
            </w:tcBorders>
            <w:shd w:val="clear" w:color="000000" w:fill="13576B"/>
            <w:vAlign w:val="center"/>
            <w:hideMark/>
          </w:tcPr>
          <w:p w14:paraId="67CE6FD0" w14:textId="77777777" w:rsidR="00345D5D" w:rsidRPr="00743530" w:rsidRDefault="00345D5D" w:rsidP="00345D5D">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Ukazatel</w:t>
            </w:r>
          </w:p>
        </w:tc>
        <w:tc>
          <w:tcPr>
            <w:tcW w:w="680" w:type="dxa"/>
            <w:tcBorders>
              <w:top w:val="nil"/>
              <w:left w:val="nil"/>
              <w:bottom w:val="nil"/>
              <w:right w:val="single" w:sz="8" w:space="0" w:color="FFFFFF"/>
            </w:tcBorders>
            <w:shd w:val="clear" w:color="000000" w:fill="13576B"/>
            <w:vAlign w:val="center"/>
            <w:hideMark/>
          </w:tcPr>
          <w:p w14:paraId="75A47C37" w14:textId="304D3FA9"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Pr>
                <w:rFonts w:ascii="Calibri Light" w:hAnsi="Calibri Light" w:cs="Calibri Light"/>
                <w:b/>
                <w:bCs/>
                <w:color w:val="FFFFFF"/>
                <w:szCs w:val="18"/>
              </w:rPr>
              <w:t>4</w:t>
            </w:r>
          </w:p>
        </w:tc>
        <w:tc>
          <w:tcPr>
            <w:tcW w:w="680" w:type="dxa"/>
            <w:tcBorders>
              <w:top w:val="nil"/>
              <w:left w:val="nil"/>
              <w:bottom w:val="nil"/>
              <w:right w:val="single" w:sz="8" w:space="0" w:color="FFFFFF"/>
            </w:tcBorders>
            <w:shd w:val="clear" w:color="000000" w:fill="13576B"/>
            <w:vAlign w:val="center"/>
            <w:hideMark/>
          </w:tcPr>
          <w:p w14:paraId="423E3B46" w14:textId="13A6EF31"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Pr>
                <w:rFonts w:ascii="Calibri Light" w:hAnsi="Calibri Light" w:cs="Calibri Light"/>
                <w:b/>
                <w:bCs/>
                <w:color w:val="FFFFFF"/>
                <w:szCs w:val="18"/>
              </w:rPr>
              <w:t>5</w:t>
            </w:r>
          </w:p>
        </w:tc>
        <w:tc>
          <w:tcPr>
            <w:tcW w:w="680" w:type="dxa"/>
            <w:tcBorders>
              <w:top w:val="nil"/>
              <w:left w:val="nil"/>
              <w:bottom w:val="nil"/>
              <w:right w:val="single" w:sz="8" w:space="0" w:color="FFFFFF"/>
            </w:tcBorders>
            <w:shd w:val="clear" w:color="000000" w:fill="13576B"/>
            <w:vAlign w:val="center"/>
            <w:hideMark/>
          </w:tcPr>
          <w:p w14:paraId="6874B87B" w14:textId="6C20D1F3"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Pr>
                <w:rFonts w:ascii="Calibri Light" w:hAnsi="Calibri Light" w:cs="Calibri Light"/>
                <w:b/>
                <w:bCs/>
                <w:color w:val="FFFFFF"/>
                <w:szCs w:val="18"/>
              </w:rPr>
              <w:t>6</w:t>
            </w:r>
          </w:p>
        </w:tc>
        <w:tc>
          <w:tcPr>
            <w:tcW w:w="186" w:type="dxa"/>
            <w:tcBorders>
              <w:top w:val="nil"/>
              <w:left w:val="nil"/>
              <w:bottom w:val="nil"/>
              <w:right w:val="single" w:sz="4" w:space="0" w:color="FFFFFF" w:themeColor="background1"/>
            </w:tcBorders>
            <w:shd w:val="clear" w:color="000000" w:fill="13576B"/>
          </w:tcPr>
          <w:p w14:paraId="18BAA365" w14:textId="77777777" w:rsidR="00345D5D" w:rsidRPr="00345D5D" w:rsidRDefault="00345D5D" w:rsidP="00345D5D">
            <w:pPr>
              <w:overflowPunct/>
              <w:autoSpaceDE/>
              <w:autoSpaceDN/>
              <w:adjustRightInd/>
              <w:jc w:val="left"/>
              <w:textAlignment w:val="auto"/>
              <w:rPr>
                <w:rFonts w:ascii="Calibri Light" w:hAnsi="Calibri Light" w:cs="Calibri Light"/>
                <w:b/>
                <w:bCs/>
                <w:color w:val="FFFFFF"/>
                <w:sz w:val="20"/>
              </w:rPr>
            </w:pPr>
          </w:p>
        </w:tc>
        <w:tc>
          <w:tcPr>
            <w:tcW w:w="2100" w:type="dxa"/>
            <w:gridSpan w:val="3"/>
            <w:tcBorders>
              <w:top w:val="nil"/>
              <w:left w:val="single" w:sz="4" w:space="0" w:color="FFFFFF" w:themeColor="background1"/>
              <w:bottom w:val="nil"/>
              <w:right w:val="single" w:sz="8" w:space="0" w:color="FFFFFF"/>
            </w:tcBorders>
            <w:shd w:val="clear" w:color="000000" w:fill="13576B"/>
            <w:vAlign w:val="center"/>
          </w:tcPr>
          <w:p w14:paraId="331E4AC0" w14:textId="75BE4659" w:rsidR="00345D5D" w:rsidRPr="00345D5D" w:rsidRDefault="00345D5D" w:rsidP="00345D5D">
            <w:pPr>
              <w:overflowPunct/>
              <w:autoSpaceDE/>
              <w:autoSpaceDN/>
              <w:adjustRightInd/>
              <w:jc w:val="center"/>
              <w:textAlignment w:val="auto"/>
              <w:rPr>
                <w:rFonts w:ascii="Calibri Light" w:hAnsi="Calibri Light" w:cs="Calibri Light"/>
                <w:b/>
                <w:bCs/>
                <w:i/>
                <w:iCs/>
                <w:color w:val="FFFFFF"/>
                <w:szCs w:val="18"/>
              </w:rPr>
            </w:pPr>
            <w:r w:rsidRPr="00345D5D">
              <w:rPr>
                <w:rFonts w:ascii="Calibri Light" w:hAnsi="Calibri Light" w:cs="Calibri Light"/>
                <w:b/>
                <w:bCs/>
                <w:i/>
                <w:iCs/>
                <w:color w:val="FFFFFF"/>
                <w:szCs w:val="18"/>
              </w:rPr>
              <w:t>vs. předchozí výhled</w:t>
            </w:r>
          </w:p>
        </w:tc>
      </w:tr>
      <w:tr w:rsidR="00345D5D" w:rsidRPr="00743530" w14:paraId="47415891" w14:textId="2C2684F6" w:rsidTr="00C73C02">
        <w:trPr>
          <w:trHeight w:val="28"/>
        </w:trPr>
        <w:tc>
          <w:tcPr>
            <w:tcW w:w="4605" w:type="dxa"/>
            <w:vMerge/>
            <w:tcBorders>
              <w:top w:val="nil"/>
              <w:left w:val="nil"/>
              <w:bottom w:val="single" w:sz="8" w:space="0" w:color="FFFFFF"/>
              <w:right w:val="single" w:sz="8" w:space="0" w:color="FFFFFF"/>
            </w:tcBorders>
            <w:vAlign w:val="center"/>
            <w:hideMark/>
          </w:tcPr>
          <w:p w14:paraId="13C40E2C" w14:textId="77777777" w:rsidR="00345D5D" w:rsidRPr="00743530" w:rsidRDefault="00345D5D" w:rsidP="00345D5D">
            <w:pPr>
              <w:overflowPunct/>
              <w:autoSpaceDE/>
              <w:autoSpaceDN/>
              <w:adjustRightInd/>
              <w:jc w:val="left"/>
              <w:textAlignment w:val="auto"/>
              <w:rPr>
                <w:rFonts w:ascii="Calibri Light" w:hAnsi="Calibri Light" w:cs="Calibri Light"/>
                <w:b/>
                <w:bCs/>
                <w:color w:val="FFFFFF"/>
                <w:sz w:val="20"/>
              </w:rPr>
            </w:pPr>
          </w:p>
        </w:tc>
        <w:tc>
          <w:tcPr>
            <w:tcW w:w="680" w:type="dxa"/>
            <w:tcBorders>
              <w:top w:val="nil"/>
              <w:left w:val="nil"/>
              <w:bottom w:val="single" w:sz="8" w:space="0" w:color="FFFFFF"/>
              <w:right w:val="single" w:sz="8" w:space="0" w:color="FFFFFF"/>
            </w:tcBorders>
            <w:shd w:val="clear" w:color="000000" w:fill="13576B"/>
            <w:vAlign w:val="center"/>
            <w:hideMark/>
          </w:tcPr>
          <w:p w14:paraId="63605DA3" w14:textId="77777777"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02F52424" w14:textId="77777777"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1178181A" w14:textId="77777777"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186" w:type="dxa"/>
            <w:tcBorders>
              <w:top w:val="nil"/>
              <w:left w:val="nil"/>
              <w:bottom w:val="single" w:sz="8" w:space="0" w:color="FFFFFF"/>
              <w:right w:val="single" w:sz="4" w:space="0" w:color="FFFFFF" w:themeColor="background1"/>
            </w:tcBorders>
            <w:shd w:val="clear" w:color="000000" w:fill="13576B"/>
          </w:tcPr>
          <w:p w14:paraId="682B3869" w14:textId="77777777" w:rsidR="00345D5D" w:rsidRPr="00345D5D" w:rsidRDefault="00345D5D" w:rsidP="00345D5D">
            <w:pPr>
              <w:overflowPunct/>
              <w:autoSpaceDE/>
              <w:autoSpaceDN/>
              <w:adjustRightInd/>
              <w:jc w:val="left"/>
              <w:textAlignment w:val="auto"/>
              <w:rPr>
                <w:rFonts w:ascii="Calibri Light" w:hAnsi="Calibri Light" w:cs="Calibri Light"/>
                <w:b/>
                <w:bCs/>
                <w:color w:val="FFFFFF"/>
                <w:sz w:val="20"/>
              </w:rPr>
            </w:pPr>
          </w:p>
        </w:tc>
        <w:tc>
          <w:tcPr>
            <w:tcW w:w="702" w:type="dxa"/>
            <w:tcBorders>
              <w:top w:val="nil"/>
              <w:left w:val="single" w:sz="4" w:space="0" w:color="FFFFFF" w:themeColor="background1"/>
              <w:bottom w:val="single" w:sz="8" w:space="0" w:color="FFFFFF"/>
              <w:right w:val="single" w:sz="8" w:space="0" w:color="FFFFFF"/>
            </w:tcBorders>
            <w:shd w:val="clear" w:color="000000" w:fill="13576B"/>
            <w:vAlign w:val="center"/>
          </w:tcPr>
          <w:p w14:paraId="5CC7A9B5" w14:textId="1BCB2000"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Pr>
                <w:rFonts w:ascii="Calibri Light" w:hAnsi="Calibri Light" w:cs="Calibri Light"/>
                <w:b/>
                <w:bCs/>
                <w:i/>
                <w:iCs/>
                <w:color w:val="FFFFFF"/>
                <w:szCs w:val="18"/>
              </w:rPr>
              <w:t>2024</w:t>
            </w:r>
          </w:p>
        </w:tc>
        <w:tc>
          <w:tcPr>
            <w:tcW w:w="703" w:type="dxa"/>
            <w:tcBorders>
              <w:top w:val="nil"/>
              <w:left w:val="nil"/>
              <w:bottom w:val="single" w:sz="8" w:space="0" w:color="FFFFFF"/>
              <w:right w:val="single" w:sz="8" w:space="0" w:color="FFFFFF"/>
            </w:tcBorders>
            <w:shd w:val="clear" w:color="000000" w:fill="13576B"/>
            <w:vAlign w:val="center"/>
          </w:tcPr>
          <w:p w14:paraId="72C66482" w14:textId="7F04CBF7"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Pr>
                <w:rFonts w:ascii="Calibri Light" w:hAnsi="Calibri Light" w:cs="Calibri Light"/>
                <w:b/>
                <w:bCs/>
                <w:i/>
                <w:iCs/>
                <w:color w:val="FFFFFF"/>
                <w:szCs w:val="18"/>
              </w:rPr>
              <w:t>2025</w:t>
            </w:r>
          </w:p>
        </w:tc>
        <w:tc>
          <w:tcPr>
            <w:tcW w:w="695" w:type="dxa"/>
            <w:tcBorders>
              <w:top w:val="nil"/>
              <w:left w:val="nil"/>
              <w:bottom w:val="single" w:sz="8" w:space="0" w:color="FFFFFF"/>
              <w:right w:val="single" w:sz="8" w:space="0" w:color="FFFFFF"/>
            </w:tcBorders>
            <w:shd w:val="clear" w:color="000000" w:fill="13576B"/>
            <w:vAlign w:val="center"/>
          </w:tcPr>
          <w:p w14:paraId="400AD4AD" w14:textId="221FA032" w:rsidR="00345D5D" w:rsidRPr="00743530" w:rsidRDefault="00345D5D" w:rsidP="00345D5D">
            <w:pPr>
              <w:overflowPunct/>
              <w:autoSpaceDE/>
              <w:autoSpaceDN/>
              <w:adjustRightInd/>
              <w:jc w:val="center"/>
              <w:textAlignment w:val="auto"/>
              <w:rPr>
                <w:rFonts w:ascii="Calibri Light" w:hAnsi="Calibri Light" w:cs="Calibri Light"/>
                <w:b/>
                <w:bCs/>
                <w:color w:val="FFFFFF"/>
                <w:szCs w:val="18"/>
              </w:rPr>
            </w:pPr>
            <w:r>
              <w:rPr>
                <w:rFonts w:ascii="Calibri Light" w:hAnsi="Calibri Light" w:cs="Calibri Light"/>
                <w:b/>
                <w:bCs/>
                <w:i/>
                <w:iCs/>
                <w:color w:val="FFFFFF"/>
                <w:szCs w:val="18"/>
              </w:rPr>
              <w:t>2026</w:t>
            </w:r>
          </w:p>
        </w:tc>
      </w:tr>
      <w:tr w:rsidR="00C73C02" w:rsidRPr="00743530" w14:paraId="044CFE1A" w14:textId="7A8DB7A7" w:rsidTr="00C73C02">
        <w:trPr>
          <w:trHeight w:val="270"/>
        </w:trPr>
        <w:tc>
          <w:tcPr>
            <w:tcW w:w="4605" w:type="dxa"/>
            <w:tcBorders>
              <w:top w:val="nil"/>
              <w:left w:val="nil"/>
              <w:bottom w:val="nil"/>
              <w:right w:val="single" w:sz="8" w:space="0" w:color="FFFFFF"/>
            </w:tcBorders>
            <w:shd w:val="clear" w:color="000000" w:fill="13576B"/>
            <w:vAlign w:val="center"/>
            <w:hideMark/>
          </w:tcPr>
          <w:p w14:paraId="30EF8938"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reálného HDP (%)</w:t>
            </w:r>
          </w:p>
        </w:tc>
        <w:tc>
          <w:tcPr>
            <w:tcW w:w="680" w:type="dxa"/>
            <w:tcBorders>
              <w:top w:val="nil"/>
              <w:left w:val="nil"/>
              <w:bottom w:val="nil"/>
              <w:right w:val="single" w:sz="8" w:space="0" w:color="FFFFFF"/>
            </w:tcBorders>
            <w:shd w:val="clear" w:color="000000" w:fill="D9D9D9"/>
            <w:noWrap/>
            <w:vAlign w:val="center"/>
            <w:hideMark/>
          </w:tcPr>
          <w:p w14:paraId="706FFB50" w14:textId="09A8CDA7"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1,0</w:t>
            </w:r>
          </w:p>
        </w:tc>
        <w:tc>
          <w:tcPr>
            <w:tcW w:w="680" w:type="dxa"/>
            <w:tcBorders>
              <w:top w:val="nil"/>
              <w:left w:val="nil"/>
              <w:bottom w:val="nil"/>
              <w:right w:val="single" w:sz="8" w:space="0" w:color="FFFFFF"/>
            </w:tcBorders>
            <w:shd w:val="clear" w:color="000000" w:fill="D9D9D9"/>
            <w:noWrap/>
            <w:vAlign w:val="center"/>
          </w:tcPr>
          <w:p w14:paraId="13092154" w14:textId="397E6187"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1,7</w:t>
            </w:r>
          </w:p>
        </w:tc>
        <w:tc>
          <w:tcPr>
            <w:tcW w:w="680" w:type="dxa"/>
            <w:tcBorders>
              <w:top w:val="nil"/>
              <w:left w:val="nil"/>
              <w:bottom w:val="nil"/>
              <w:right w:val="single" w:sz="8" w:space="0" w:color="FFFFFF"/>
            </w:tcBorders>
            <w:shd w:val="clear" w:color="000000" w:fill="D9D9D9"/>
            <w:noWrap/>
            <w:vAlign w:val="center"/>
          </w:tcPr>
          <w:p w14:paraId="60505154" w14:textId="2F166761"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2,0</w:t>
            </w:r>
          </w:p>
        </w:tc>
        <w:tc>
          <w:tcPr>
            <w:tcW w:w="186" w:type="dxa"/>
            <w:tcBorders>
              <w:top w:val="nil"/>
              <w:left w:val="nil"/>
              <w:bottom w:val="nil"/>
              <w:right w:val="single" w:sz="4" w:space="0" w:color="FFFFFF" w:themeColor="background1"/>
            </w:tcBorders>
            <w:shd w:val="clear" w:color="auto" w:fill="13576B"/>
            <w:vAlign w:val="center"/>
          </w:tcPr>
          <w:p w14:paraId="31607B86" w14:textId="5F2BB463"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29CB7476" w14:textId="5A544CE7"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7D3F90D4" w14:textId="64663F40"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c>
          <w:tcPr>
            <w:tcW w:w="695" w:type="dxa"/>
            <w:tcBorders>
              <w:top w:val="nil"/>
              <w:left w:val="nil"/>
              <w:bottom w:val="nil"/>
              <w:right w:val="single" w:sz="8" w:space="0" w:color="FFFFFF"/>
            </w:tcBorders>
            <w:shd w:val="clear" w:color="000000" w:fill="D9D9D9"/>
            <w:vAlign w:val="center"/>
          </w:tcPr>
          <w:p w14:paraId="0AA41D8A" w14:textId="1968C0CA"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r>
      <w:tr w:rsidR="00C73C02" w:rsidRPr="00743530" w14:paraId="707DEC5D" w14:textId="550DE8CF" w:rsidTr="00C73C02">
        <w:trPr>
          <w:trHeight w:val="270"/>
        </w:trPr>
        <w:tc>
          <w:tcPr>
            <w:tcW w:w="4605" w:type="dxa"/>
            <w:tcBorders>
              <w:top w:val="nil"/>
              <w:left w:val="nil"/>
              <w:bottom w:val="nil"/>
              <w:right w:val="single" w:sz="8" w:space="0" w:color="FFFFFF"/>
            </w:tcBorders>
            <w:shd w:val="clear" w:color="000000" w:fill="13576B"/>
            <w:vAlign w:val="center"/>
            <w:hideMark/>
          </w:tcPr>
          <w:p w14:paraId="18BCE538" w14:textId="77777777" w:rsidR="00C73C02" w:rsidRPr="00743530" w:rsidRDefault="00C73C02" w:rsidP="00C73C02">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spotřeby domácností (%)</w:t>
            </w:r>
          </w:p>
        </w:tc>
        <w:tc>
          <w:tcPr>
            <w:tcW w:w="680" w:type="dxa"/>
            <w:tcBorders>
              <w:top w:val="nil"/>
              <w:left w:val="nil"/>
              <w:bottom w:val="nil"/>
              <w:right w:val="single" w:sz="8" w:space="0" w:color="FFFFFF"/>
            </w:tcBorders>
            <w:shd w:val="clear" w:color="000000" w:fill="D9D9D9"/>
            <w:noWrap/>
            <w:vAlign w:val="center"/>
            <w:hideMark/>
          </w:tcPr>
          <w:p w14:paraId="21B24A8C" w14:textId="63706367"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2,0</w:t>
            </w:r>
          </w:p>
        </w:tc>
        <w:tc>
          <w:tcPr>
            <w:tcW w:w="680" w:type="dxa"/>
            <w:tcBorders>
              <w:top w:val="nil"/>
              <w:left w:val="nil"/>
              <w:bottom w:val="nil"/>
              <w:right w:val="single" w:sz="8" w:space="0" w:color="FFFFFF"/>
            </w:tcBorders>
            <w:shd w:val="clear" w:color="000000" w:fill="D9D9D9"/>
            <w:noWrap/>
            <w:vAlign w:val="center"/>
          </w:tcPr>
          <w:p w14:paraId="4FE28EFC" w14:textId="135C5510"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3,0</w:t>
            </w:r>
          </w:p>
        </w:tc>
        <w:tc>
          <w:tcPr>
            <w:tcW w:w="680" w:type="dxa"/>
            <w:tcBorders>
              <w:top w:val="nil"/>
              <w:left w:val="nil"/>
              <w:bottom w:val="nil"/>
              <w:right w:val="single" w:sz="8" w:space="0" w:color="FFFFFF"/>
            </w:tcBorders>
            <w:shd w:val="clear" w:color="000000" w:fill="D9D9D9"/>
            <w:noWrap/>
            <w:vAlign w:val="center"/>
          </w:tcPr>
          <w:p w14:paraId="4194473E" w14:textId="7610FFFC"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186" w:type="dxa"/>
            <w:tcBorders>
              <w:top w:val="nil"/>
              <w:left w:val="nil"/>
              <w:bottom w:val="nil"/>
              <w:right w:val="single" w:sz="4" w:space="0" w:color="FFFFFF" w:themeColor="background1"/>
            </w:tcBorders>
            <w:shd w:val="clear" w:color="auto" w:fill="13576B"/>
            <w:vAlign w:val="center"/>
          </w:tcPr>
          <w:p w14:paraId="1D489102" w14:textId="0347C69C"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11A93773" w14:textId="1AC87356"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(0,3)</w:t>
            </w:r>
          </w:p>
        </w:tc>
        <w:tc>
          <w:tcPr>
            <w:tcW w:w="703" w:type="dxa"/>
            <w:tcBorders>
              <w:top w:val="nil"/>
              <w:left w:val="nil"/>
              <w:bottom w:val="nil"/>
              <w:right w:val="single" w:sz="8" w:space="0" w:color="FFFFFF"/>
            </w:tcBorders>
            <w:shd w:val="clear" w:color="000000" w:fill="D9D9D9"/>
            <w:vAlign w:val="center"/>
          </w:tcPr>
          <w:p w14:paraId="23C0FFFC" w14:textId="15457C60"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c>
          <w:tcPr>
            <w:tcW w:w="695" w:type="dxa"/>
            <w:tcBorders>
              <w:top w:val="nil"/>
              <w:left w:val="nil"/>
              <w:bottom w:val="nil"/>
              <w:right w:val="single" w:sz="8" w:space="0" w:color="FFFFFF"/>
            </w:tcBorders>
            <w:shd w:val="clear" w:color="000000" w:fill="D9D9D9"/>
            <w:vAlign w:val="center"/>
          </w:tcPr>
          <w:p w14:paraId="3E292BC8" w14:textId="7E46DD3E"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r>
      <w:tr w:rsidR="00C73C02" w:rsidRPr="00743530" w14:paraId="028F0641" w14:textId="4C816B33" w:rsidTr="00C73C02">
        <w:trPr>
          <w:trHeight w:val="270"/>
        </w:trPr>
        <w:tc>
          <w:tcPr>
            <w:tcW w:w="4605" w:type="dxa"/>
            <w:tcBorders>
              <w:top w:val="nil"/>
              <w:left w:val="nil"/>
              <w:bottom w:val="nil"/>
              <w:right w:val="single" w:sz="8" w:space="0" w:color="FFFFFF"/>
            </w:tcBorders>
            <w:shd w:val="clear" w:color="000000" w:fill="13576B"/>
            <w:vAlign w:val="center"/>
            <w:hideMark/>
          </w:tcPr>
          <w:p w14:paraId="29E199A2" w14:textId="77777777" w:rsidR="00C73C02" w:rsidRPr="00743530" w:rsidRDefault="00C73C02" w:rsidP="00C73C02">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vládní spotřeby (%)</w:t>
            </w:r>
          </w:p>
        </w:tc>
        <w:tc>
          <w:tcPr>
            <w:tcW w:w="680" w:type="dxa"/>
            <w:tcBorders>
              <w:top w:val="nil"/>
              <w:left w:val="nil"/>
              <w:bottom w:val="nil"/>
              <w:right w:val="single" w:sz="8" w:space="0" w:color="FFFFFF"/>
            </w:tcBorders>
            <w:shd w:val="clear" w:color="000000" w:fill="D9D9D9"/>
            <w:noWrap/>
            <w:vAlign w:val="center"/>
            <w:hideMark/>
          </w:tcPr>
          <w:p w14:paraId="4ECF9A6B" w14:textId="199A28E0"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3,3</w:t>
            </w:r>
          </w:p>
        </w:tc>
        <w:tc>
          <w:tcPr>
            <w:tcW w:w="680" w:type="dxa"/>
            <w:tcBorders>
              <w:top w:val="nil"/>
              <w:left w:val="nil"/>
              <w:bottom w:val="nil"/>
              <w:right w:val="single" w:sz="8" w:space="0" w:color="FFFFFF"/>
            </w:tcBorders>
            <w:shd w:val="clear" w:color="000000" w:fill="D9D9D9"/>
            <w:noWrap/>
            <w:vAlign w:val="center"/>
          </w:tcPr>
          <w:p w14:paraId="0D63C80D" w14:textId="1A329E0B"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680" w:type="dxa"/>
            <w:tcBorders>
              <w:top w:val="nil"/>
              <w:left w:val="nil"/>
              <w:bottom w:val="nil"/>
              <w:right w:val="single" w:sz="8" w:space="0" w:color="FFFFFF"/>
            </w:tcBorders>
            <w:shd w:val="clear" w:color="000000" w:fill="D9D9D9"/>
            <w:noWrap/>
            <w:vAlign w:val="center"/>
          </w:tcPr>
          <w:p w14:paraId="47FE51A5" w14:textId="649303BF"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1,6</w:t>
            </w:r>
          </w:p>
        </w:tc>
        <w:tc>
          <w:tcPr>
            <w:tcW w:w="186" w:type="dxa"/>
            <w:tcBorders>
              <w:top w:val="nil"/>
              <w:left w:val="nil"/>
              <w:bottom w:val="nil"/>
              <w:right w:val="single" w:sz="4" w:space="0" w:color="FFFFFF" w:themeColor="background1"/>
            </w:tcBorders>
            <w:shd w:val="clear" w:color="auto" w:fill="13576B"/>
            <w:vAlign w:val="center"/>
          </w:tcPr>
          <w:p w14:paraId="208ECAA1" w14:textId="60813E91"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1BFA71AD" w14:textId="0C40FC1C"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(-0,2)</w:t>
            </w:r>
          </w:p>
        </w:tc>
        <w:tc>
          <w:tcPr>
            <w:tcW w:w="703" w:type="dxa"/>
            <w:tcBorders>
              <w:top w:val="nil"/>
              <w:left w:val="nil"/>
              <w:bottom w:val="nil"/>
              <w:right w:val="single" w:sz="8" w:space="0" w:color="FFFFFF"/>
            </w:tcBorders>
            <w:shd w:val="clear" w:color="000000" w:fill="D9D9D9"/>
            <w:vAlign w:val="center"/>
          </w:tcPr>
          <w:p w14:paraId="71E7ADC5" w14:textId="0FE87883"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(1)</w:t>
            </w:r>
          </w:p>
        </w:tc>
        <w:tc>
          <w:tcPr>
            <w:tcW w:w="695" w:type="dxa"/>
            <w:tcBorders>
              <w:top w:val="nil"/>
              <w:left w:val="nil"/>
              <w:bottom w:val="nil"/>
              <w:right w:val="single" w:sz="8" w:space="0" w:color="FFFFFF"/>
            </w:tcBorders>
            <w:shd w:val="clear" w:color="000000" w:fill="D9D9D9"/>
            <w:vAlign w:val="center"/>
          </w:tcPr>
          <w:p w14:paraId="60025A0C" w14:textId="6C16CDFA"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r>
      <w:tr w:rsidR="00C73C02" w:rsidRPr="00743530" w14:paraId="73DC9EC3" w14:textId="55456563" w:rsidTr="00C73C02">
        <w:trPr>
          <w:trHeight w:val="270"/>
        </w:trPr>
        <w:tc>
          <w:tcPr>
            <w:tcW w:w="4605" w:type="dxa"/>
            <w:tcBorders>
              <w:top w:val="nil"/>
              <w:left w:val="nil"/>
              <w:bottom w:val="nil"/>
              <w:right w:val="single" w:sz="8" w:space="0" w:color="FFFFFF"/>
            </w:tcBorders>
            <w:shd w:val="clear" w:color="000000" w:fill="13576B"/>
            <w:vAlign w:val="center"/>
            <w:hideMark/>
          </w:tcPr>
          <w:p w14:paraId="43EFA0E3" w14:textId="77777777" w:rsidR="00C73C02" w:rsidRPr="00743530" w:rsidRDefault="00C73C02" w:rsidP="00C73C02">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investic (bez zásob, %)</w:t>
            </w:r>
          </w:p>
        </w:tc>
        <w:tc>
          <w:tcPr>
            <w:tcW w:w="680" w:type="dxa"/>
            <w:tcBorders>
              <w:top w:val="nil"/>
              <w:left w:val="nil"/>
              <w:bottom w:val="nil"/>
              <w:right w:val="single" w:sz="8" w:space="0" w:color="FFFFFF"/>
            </w:tcBorders>
            <w:shd w:val="clear" w:color="000000" w:fill="D9D9D9"/>
            <w:noWrap/>
            <w:vAlign w:val="center"/>
            <w:hideMark/>
          </w:tcPr>
          <w:p w14:paraId="5AFC03ED" w14:textId="208C2515"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-1,4</w:t>
            </w:r>
          </w:p>
        </w:tc>
        <w:tc>
          <w:tcPr>
            <w:tcW w:w="680" w:type="dxa"/>
            <w:tcBorders>
              <w:top w:val="nil"/>
              <w:left w:val="nil"/>
              <w:bottom w:val="nil"/>
              <w:right w:val="single" w:sz="8" w:space="0" w:color="FFFFFF"/>
            </w:tcBorders>
            <w:shd w:val="clear" w:color="000000" w:fill="D9D9D9"/>
            <w:noWrap/>
            <w:vAlign w:val="center"/>
          </w:tcPr>
          <w:p w14:paraId="112F7551" w14:textId="6F05EA11"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0,2</w:t>
            </w:r>
          </w:p>
        </w:tc>
        <w:tc>
          <w:tcPr>
            <w:tcW w:w="680" w:type="dxa"/>
            <w:tcBorders>
              <w:top w:val="nil"/>
              <w:left w:val="nil"/>
              <w:bottom w:val="nil"/>
              <w:right w:val="single" w:sz="8" w:space="0" w:color="FFFFFF"/>
            </w:tcBorders>
            <w:shd w:val="clear" w:color="000000" w:fill="D9D9D9"/>
            <w:noWrap/>
            <w:vAlign w:val="center"/>
          </w:tcPr>
          <w:p w14:paraId="64B44C36" w14:textId="5BC52A05"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186" w:type="dxa"/>
            <w:tcBorders>
              <w:top w:val="nil"/>
              <w:left w:val="nil"/>
              <w:bottom w:val="nil"/>
              <w:right w:val="single" w:sz="4" w:space="0" w:color="FFFFFF" w:themeColor="background1"/>
            </w:tcBorders>
            <w:shd w:val="clear" w:color="auto" w:fill="13576B"/>
            <w:vAlign w:val="center"/>
          </w:tcPr>
          <w:p w14:paraId="220040F0" w14:textId="68182824"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624F5770" w14:textId="10A33E9B"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(-1,1)</w:t>
            </w:r>
          </w:p>
        </w:tc>
        <w:tc>
          <w:tcPr>
            <w:tcW w:w="703" w:type="dxa"/>
            <w:tcBorders>
              <w:top w:val="nil"/>
              <w:left w:val="nil"/>
              <w:bottom w:val="nil"/>
              <w:right w:val="single" w:sz="8" w:space="0" w:color="FFFFFF"/>
            </w:tcBorders>
            <w:shd w:val="clear" w:color="000000" w:fill="D9D9D9"/>
            <w:vAlign w:val="center"/>
          </w:tcPr>
          <w:p w14:paraId="18DA40AD" w14:textId="21890385"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(-1,7)</w:t>
            </w:r>
          </w:p>
        </w:tc>
        <w:tc>
          <w:tcPr>
            <w:tcW w:w="695" w:type="dxa"/>
            <w:tcBorders>
              <w:top w:val="nil"/>
              <w:left w:val="nil"/>
              <w:bottom w:val="nil"/>
              <w:right w:val="single" w:sz="8" w:space="0" w:color="FFFFFF"/>
            </w:tcBorders>
            <w:shd w:val="clear" w:color="000000" w:fill="D9D9D9"/>
            <w:vAlign w:val="center"/>
          </w:tcPr>
          <w:p w14:paraId="07EFF049" w14:textId="06FB1251"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r>
      <w:tr w:rsidR="00C73C02" w:rsidRPr="00743530" w14:paraId="38CECFC0" w14:textId="1AE1E648" w:rsidTr="00C73C02">
        <w:trPr>
          <w:trHeight w:val="270"/>
        </w:trPr>
        <w:tc>
          <w:tcPr>
            <w:tcW w:w="4605" w:type="dxa"/>
            <w:tcBorders>
              <w:top w:val="nil"/>
              <w:left w:val="nil"/>
              <w:bottom w:val="nil"/>
              <w:right w:val="single" w:sz="8" w:space="0" w:color="FFFFFF"/>
            </w:tcBorders>
            <w:shd w:val="clear" w:color="000000" w:fill="13576B"/>
            <w:vAlign w:val="center"/>
            <w:hideMark/>
          </w:tcPr>
          <w:p w14:paraId="71C3954C" w14:textId="77777777" w:rsidR="00C73C02" w:rsidRPr="00743530" w:rsidRDefault="00C73C02" w:rsidP="00C73C02">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 xml:space="preserve">Růst vývozů (%) </w:t>
            </w:r>
          </w:p>
        </w:tc>
        <w:tc>
          <w:tcPr>
            <w:tcW w:w="680" w:type="dxa"/>
            <w:tcBorders>
              <w:top w:val="nil"/>
              <w:left w:val="nil"/>
              <w:bottom w:val="nil"/>
              <w:right w:val="single" w:sz="8" w:space="0" w:color="FFFFFF"/>
            </w:tcBorders>
            <w:shd w:val="clear" w:color="000000" w:fill="D9D9D9"/>
            <w:noWrap/>
            <w:vAlign w:val="center"/>
            <w:hideMark/>
          </w:tcPr>
          <w:p w14:paraId="77438B8D" w14:textId="6ABFF46E"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1,5</w:t>
            </w:r>
          </w:p>
        </w:tc>
        <w:tc>
          <w:tcPr>
            <w:tcW w:w="680" w:type="dxa"/>
            <w:tcBorders>
              <w:top w:val="nil"/>
              <w:left w:val="nil"/>
              <w:bottom w:val="nil"/>
              <w:right w:val="single" w:sz="8" w:space="0" w:color="FFFFFF"/>
            </w:tcBorders>
            <w:shd w:val="clear" w:color="000000" w:fill="D9D9D9"/>
            <w:noWrap/>
            <w:vAlign w:val="center"/>
          </w:tcPr>
          <w:p w14:paraId="754DA5AB" w14:textId="65C462B1"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1,5</w:t>
            </w:r>
          </w:p>
        </w:tc>
        <w:tc>
          <w:tcPr>
            <w:tcW w:w="680" w:type="dxa"/>
            <w:tcBorders>
              <w:top w:val="nil"/>
              <w:left w:val="nil"/>
              <w:bottom w:val="nil"/>
              <w:right w:val="single" w:sz="8" w:space="0" w:color="FFFFFF"/>
            </w:tcBorders>
            <w:shd w:val="clear" w:color="000000" w:fill="D9D9D9"/>
            <w:noWrap/>
            <w:vAlign w:val="center"/>
          </w:tcPr>
          <w:p w14:paraId="3ED97E4B" w14:textId="54363136"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3,0</w:t>
            </w:r>
          </w:p>
        </w:tc>
        <w:tc>
          <w:tcPr>
            <w:tcW w:w="186" w:type="dxa"/>
            <w:tcBorders>
              <w:top w:val="nil"/>
              <w:left w:val="nil"/>
              <w:bottom w:val="nil"/>
              <w:right w:val="single" w:sz="4" w:space="0" w:color="FFFFFF" w:themeColor="background1"/>
            </w:tcBorders>
            <w:shd w:val="clear" w:color="auto" w:fill="13576B"/>
            <w:vAlign w:val="center"/>
          </w:tcPr>
          <w:p w14:paraId="57684315" w14:textId="3FBD4335"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674C0FC0" w14:textId="4A63894E"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(-0,1)</w:t>
            </w:r>
          </w:p>
        </w:tc>
        <w:tc>
          <w:tcPr>
            <w:tcW w:w="703" w:type="dxa"/>
            <w:tcBorders>
              <w:top w:val="nil"/>
              <w:left w:val="nil"/>
              <w:bottom w:val="nil"/>
              <w:right w:val="single" w:sz="8" w:space="0" w:color="FFFFFF"/>
            </w:tcBorders>
            <w:shd w:val="clear" w:color="000000" w:fill="D9D9D9"/>
            <w:vAlign w:val="center"/>
          </w:tcPr>
          <w:p w14:paraId="6C053068" w14:textId="332CBE5D"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(-1,5)</w:t>
            </w:r>
          </w:p>
        </w:tc>
        <w:tc>
          <w:tcPr>
            <w:tcW w:w="695" w:type="dxa"/>
            <w:tcBorders>
              <w:top w:val="nil"/>
              <w:left w:val="nil"/>
              <w:bottom w:val="nil"/>
              <w:right w:val="single" w:sz="8" w:space="0" w:color="FFFFFF"/>
            </w:tcBorders>
            <w:shd w:val="clear" w:color="000000" w:fill="D9D9D9"/>
            <w:vAlign w:val="center"/>
          </w:tcPr>
          <w:p w14:paraId="1E1F090F" w14:textId="66CF36C7"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(-0,7)</w:t>
            </w:r>
          </w:p>
        </w:tc>
      </w:tr>
      <w:tr w:rsidR="00C73C02" w:rsidRPr="00743530" w14:paraId="515AAEEA" w14:textId="27AB40EB" w:rsidTr="00C73C02">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7104BDAE" w14:textId="77777777" w:rsidR="00C73C02" w:rsidRPr="00743530" w:rsidRDefault="00C73C02" w:rsidP="00C73C02">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dovozů (%)</w:t>
            </w:r>
          </w:p>
        </w:tc>
        <w:tc>
          <w:tcPr>
            <w:tcW w:w="680" w:type="dxa"/>
            <w:tcBorders>
              <w:top w:val="nil"/>
              <w:left w:val="nil"/>
              <w:bottom w:val="single" w:sz="8" w:space="0" w:color="FFFFFF"/>
              <w:right w:val="single" w:sz="8" w:space="0" w:color="FFFFFF"/>
            </w:tcBorders>
            <w:shd w:val="clear" w:color="000000" w:fill="D9D9D9"/>
            <w:noWrap/>
            <w:vAlign w:val="center"/>
            <w:hideMark/>
          </w:tcPr>
          <w:p w14:paraId="5DEDC09C" w14:textId="4E8CB64C"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0,7</w:t>
            </w:r>
          </w:p>
        </w:tc>
        <w:tc>
          <w:tcPr>
            <w:tcW w:w="680" w:type="dxa"/>
            <w:tcBorders>
              <w:top w:val="nil"/>
              <w:left w:val="nil"/>
              <w:bottom w:val="single" w:sz="8" w:space="0" w:color="FFFFFF"/>
              <w:right w:val="single" w:sz="8" w:space="0" w:color="FFFFFF"/>
            </w:tcBorders>
            <w:shd w:val="clear" w:color="000000" w:fill="D9D9D9"/>
            <w:noWrap/>
            <w:vAlign w:val="center"/>
          </w:tcPr>
          <w:p w14:paraId="0502F904" w14:textId="647CE054"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2,0</w:t>
            </w:r>
          </w:p>
        </w:tc>
        <w:tc>
          <w:tcPr>
            <w:tcW w:w="680" w:type="dxa"/>
            <w:tcBorders>
              <w:top w:val="nil"/>
              <w:left w:val="nil"/>
              <w:bottom w:val="single" w:sz="8" w:space="0" w:color="FFFFFF"/>
              <w:right w:val="single" w:sz="8" w:space="0" w:color="FFFFFF"/>
            </w:tcBorders>
            <w:shd w:val="clear" w:color="000000" w:fill="D9D9D9"/>
            <w:noWrap/>
            <w:vAlign w:val="center"/>
          </w:tcPr>
          <w:p w14:paraId="5E17C7D9" w14:textId="729A76C3"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3,3</w:t>
            </w:r>
          </w:p>
        </w:tc>
        <w:tc>
          <w:tcPr>
            <w:tcW w:w="186" w:type="dxa"/>
            <w:tcBorders>
              <w:top w:val="nil"/>
              <w:left w:val="nil"/>
              <w:bottom w:val="single" w:sz="8" w:space="0" w:color="FFFFFF"/>
              <w:right w:val="single" w:sz="4" w:space="0" w:color="FFFFFF" w:themeColor="background1"/>
            </w:tcBorders>
            <w:shd w:val="clear" w:color="auto" w:fill="13576B"/>
            <w:vAlign w:val="center"/>
          </w:tcPr>
          <w:p w14:paraId="696670E2" w14:textId="48B93B5A"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single" w:sz="8" w:space="0" w:color="FFFFFF"/>
              <w:right w:val="single" w:sz="8" w:space="0" w:color="FFFFFF"/>
            </w:tcBorders>
            <w:shd w:val="clear" w:color="000000" w:fill="D9D9D9"/>
            <w:vAlign w:val="center"/>
          </w:tcPr>
          <w:p w14:paraId="6FE6413F" w14:textId="3AE2510A"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(-0,1)</w:t>
            </w:r>
          </w:p>
        </w:tc>
        <w:tc>
          <w:tcPr>
            <w:tcW w:w="703" w:type="dxa"/>
            <w:tcBorders>
              <w:top w:val="nil"/>
              <w:left w:val="nil"/>
              <w:bottom w:val="single" w:sz="8" w:space="0" w:color="FFFFFF"/>
              <w:right w:val="single" w:sz="8" w:space="0" w:color="FFFFFF"/>
            </w:tcBorders>
            <w:shd w:val="clear" w:color="000000" w:fill="D9D9D9"/>
            <w:vAlign w:val="center"/>
          </w:tcPr>
          <w:p w14:paraId="6F6211D5" w14:textId="4DF924E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(-1,4)</w:t>
            </w:r>
          </w:p>
        </w:tc>
        <w:tc>
          <w:tcPr>
            <w:tcW w:w="695" w:type="dxa"/>
            <w:tcBorders>
              <w:top w:val="nil"/>
              <w:left w:val="nil"/>
              <w:bottom w:val="single" w:sz="8" w:space="0" w:color="FFFFFF"/>
              <w:right w:val="single" w:sz="8" w:space="0" w:color="FFFFFF"/>
            </w:tcBorders>
            <w:shd w:val="clear" w:color="000000" w:fill="D9D9D9"/>
            <w:vAlign w:val="center"/>
          </w:tcPr>
          <w:p w14:paraId="205313A3" w14:textId="3B101C9C"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r>
      <w:tr w:rsidR="00C73C02" w:rsidRPr="00743530" w14:paraId="0DC3A4B1" w14:textId="2E25266A" w:rsidTr="00C73C02">
        <w:trPr>
          <w:trHeight w:val="270"/>
        </w:trPr>
        <w:tc>
          <w:tcPr>
            <w:tcW w:w="4605" w:type="dxa"/>
            <w:tcBorders>
              <w:top w:val="nil"/>
              <w:left w:val="nil"/>
              <w:bottom w:val="nil"/>
              <w:right w:val="single" w:sz="8" w:space="0" w:color="FFFFFF"/>
            </w:tcBorders>
            <w:shd w:val="clear" w:color="000000" w:fill="13576B"/>
            <w:vAlign w:val="center"/>
            <w:hideMark/>
          </w:tcPr>
          <w:p w14:paraId="1EF5341B"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Míra inflace: CPI (%) průměr</w:t>
            </w:r>
          </w:p>
        </w:tc>
        <w:tc>
          <w:tcPr>
            <w:tcW w:w="680" w:type="dxa"/>
            <w:tcBorders>
              <w:top w:val="nil"/>
              <w:left w:val="nil"/>
              <w:bottom w:val="nil"/>
              <w:right w:val="single" w:sz="4" w:space="0" w:color="FFFFFF"/>
            </w:tcBorders>
            <w:shd w:val="clear" w:color="000000" w:fill="D9D9D9"/>
            <w:noWrap/>
            <w:vAlign w:val="center"/>
            <w:hideMark/>
          </w:tcPr>
          <w:p w14:paraId="3FDCB544" w14:textId="7E743590"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2,4</w:t>
            </w:r>
          </w:p>
        </w:tc>
        <w:tc>
          <w:tcPr>
            <w:tcW w:w="680" w:type="dxa"/>
            <w:tcBorders>
              <w:top w:val="nil"/>
              <w:left w:val="nil"/>
              <w:bottom w:val="nil"/>
              <w:right w:val="single" w:sz="8" w:space="0" w:color="FFFFFF"/>
            </w:tcBorders>
            <w:shd w:val="clear" w:color="000000" w:fill="D9D9D9"/>
            <w:noWrap/>
            <w:vAlign w:val="center"/>
          </w:tcPr>
          <w:p w14:paraId="1122DA28" w14:textId="37324445"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680" w:type="dxa"/>
            <w:tcBorders>
              <w:top w:val="nil"/>
              <w:left w:val="nil"/>
              <w:bottom w:val="nil"/>
              <w:right w:val="single" w:sz="8" w:space="0" w:color="FFFFFF"/>
            </w:tcBorders>
            <w:shd w:val="clear" w:color="000000" w:fill="D9D9D9"/>
            <w:noWrap/>
            <w:vAlign w:val="center"/>
          </w:tcPr>
          <w:p w14:paraId="0117EBF4" w14:textId="1316C211"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2,2</w:t>
            </w:r>
          </w:p>
        </w:tc>
        <w:tc>
          <w:tcPr>
            <w:tcW w:w="186" w:type="dxa"/>
            <w:tcBorders>
              <w:top w:val="nil"/>
              <w:left w:val="nil"/>
              <w:bottom w:val="nil"/>
              <w:right w:val="single" w:sz="4" w:space="0" w:color="FFFFFF" w:themeColor="background1"/>
            </w:tcBorders>
            <w:shd w:val="clear" w:color="auto" w:fill="13576B"/>
            <w:vAlign w:val="center"/>
          </w:tcPr>
          <w:p w14:paraId="5CDE954F" w14:textId="3DA31080"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623F6DF2" w14:textId="6EF810F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3669DB05" w14:textId="00F41107"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16041D32" w14:textId="19A93FC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C73C02" w:rsidRPr="00743530" w14:paraId="6E4F03DF" w14:textId="36E0BA7E" w:rsidTr="00C73C02">
        <w:trPr>
          <w:trHeight w:val="270"/>
        </w:trPr>
        <w:tc>
          <w:tcPr>
            <w:tcW w:w="4605" w:type="dxa"/>
            <w:tcBorders>
              <w:top w:val="nil"/>
              <w:left w:val="nil"/>
              <w:bottom w:val="nil"/>
              <w:right w:val="single" w:sz="8" w:space="0" w:color="FFFFFF"/>
            </w:tcBorders>
            <w:shd w:val="clear" w:color="000000" w:fill="13576B"/>
            <w:vAlign w:val="center"/>
            <w:hideMark/>
          </w:tcPr>
          <w:p w14:paraId="2591E4DC"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Míra inflace: CPI (%) konec roku</w:t>
            </w:r>
          </w:p>
        </w:tc>
        <w:tc>
          <w:tcPr>
            <w:tcW w:w="680" w:type="dxa"/>
            <w:tcBorders>
              <w:top w:val="nil"/>
              <w:left w:val="nil"/>
              <w:bottom w:val="nil"/>
              <w:right w:val="single" w:sz="4" w:space="0" w:color="FFFFFF"/>
            </w:tcBorders>
            <w:shd w:val="clear" w:color="000000" w:fill="D9D9D9"/>
            <w:noWrap/>
            <w:vAlign w:val="center"/>
            <w:hideMark/>
          </w:tcPr>
          <w:p w14:paraId="690580A2" w14:textId="492501AD"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2,9</w:t>
            </w:r>
          </w:p>
        </w:tc>
        <w:tc>
          <w:tcPr>
            <w:tcW w:w="680" w:type="dxa"/>
            <w:tcBorders>
              <w:top w:val="nil"/>
              <w:left w:val="nil"/>
              <w:bottom w:val="nil"/>
              <w:right w:val="single" w:sz="8" w:space="0" w:color="FFFFFF"/>
            </w:tcBorders>
            <w:shd w:val="clear" w:color="000000" w:fill="D9D9D9"/>
            <w:noWrap/>
            <w:vAlign w:val="center"/>
          </w:tcPr>
          <w:p w14:paraId="1324AB99" w14:textId="388FD6F5"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2,1</w:t>
            </w:r>
          </w:p>
        </w:tc>
        <w:tc>
          <w:tcPr>
            <w:tcW w:w="680" w:type="dxa"/>
            <w:tcBorders>
              <w:top w:val="nil"/>
              <w:left w:val="nil"/>
              <w:bottom w:val="nil"/>
              <w:right w:val="single" w:sz="8" w:space="0" w:color="FFFFFF"/>
            </w:tcBorders>
            <w:shd w:val="clear" w:color="000000" w:fill="D9D9D9"/>
            <w:noWrap/>
            <w:vAlign w:val="center"/>
          </w:tcPr>
          <w:p w14:paraId="00D7B533" w14:textId="18EC23A1"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2,2</w:t>
            </w:r>
          </w:p>
        </w:tc>
        <w:tc>
          <w:tcPr>
            <w:tcW w:w="186" w:type="dxa"/>
            <w:tcBorders>
              <w:top w:val="nil"/>
              <w:left w:val="nil"/>
              <w:bottom w:val="nil"/>
              <w:right w:val="single" w:sz="4" w:space="0" w:color="FFFFFF" w:themeColor="background1"/>
            </w:tcBorders>
            <w:shd w:val="clear" w:color="auto" w:fill="13576B"/>
            <w:vAlign w:val="center"/>
          </w:tcPr>
          <w:p w14:paraId="06737304" w14:textId="75E62316"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665F3782" w14:textId="717D0ABC"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(-0,1)</w:t>
            </w:r>
          </w:p>
        </w:tc>
        <w:tc>
          <w:tcPr>
            <w:tcW w:w="703" w:type="dxa"/>
            <w:tcBorders>
              <w:top w:val="nil"/>
              <w:left w:val="nil"/>
              <w:bottom w:val="nil"/>
              <w:right w:val="single" w:sz="8" w:space="0" w:color="FFFFFF"/>
            </w:tcBorders>
            <w:shd w:val="clear" w:color="000000" w:fill="D9D9D9"/>
            <w:vAlign w:val="center"/>
          </w:tcPr>
          <w:p w14:paraId="6DE157DB" w14:textId="741B19A0"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c>
          <w:tcPr>
            <w:tcW w:w="695" w:type="dxa"/>
            <w:tcBorders>
              <w:top w:val="nil"/>
              <w:left w:val="nil"/>
              <w:bottom w:val="nil"/>
              <w:right w:val="single" w:sz="8" w:space="0" w:color="FFFFFF"/>
            </w:tcBorders>
            <w:shd w:val="clear" w:color="000000" w:fill="D9D9D9"/>
            <w:vAlign w:val="center"/>
          </w:tcPr>
          <w:p w14:paraId="78F46065" w14:textId="448590AD"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C73C02" w:rsidRPr="00743530" w14:paraId="0DE3628B" w14:textId="5222FC00" w:rsidTr="00C73C02">
        <w:trPr>
          <w:trHeight w:val="270"/>
        </w:trPr>
        <w:tc>
          <w:tcPr>
            <w:tcW w:w="4605" w:type="dxa"/>
            <w:tcBorders>
              <w:top w:val="nil"/>
              <w:left w:val="nil"/>
              <w:bottom w:val="nil"/>
              <w:right w:val="single" w:sz="8" w:space="0" w:color="FFFFFF"/>
            </w:tcBorders>
            <w:shd w:val="clear" w:color="000000" w:fill="13576B"/>
            <w:vAlign w:val="center"/>
            <w:hideMark/>
          </w:tcPr>
          <w:p w14:paraId="68547181"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Podíl nezaměstnaných osob (MPSV): průměr (%)</w:t>
            </w:r>
          </w:p>
        </w:tc>
        <w:tc>
          <w:tcPr>
            <w:tcW w:w="680" w:type="dxa"/>
            <w:tcBorders>
              <w:top w:val="nil"/>
              <w:left w:val="nil"/>
              <w:bottom w:val="nil"/>
              <w:right w:val="single" w:sz="4" w:space="0" w:color="FFFFFF"/>
            </w:tcBorders>
            <w:shd w:val="clear" w:color="000000" w:fill="D9D9D9"/>
            <w:noWrap/>
            <w:vAlign w:val="center"/>
            <w:hideMark/>
          </w:tcPr>
          <w:p w14:paraId="0A935209" w14:textId="123F4A92"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3,8</w:t>
            </w:r>
          </w:p>
        </w:tc>
        <w:tc>
          <w:tcPr>
            <w:tcW w:w="680" w:type="dxa"/>
            <w:tcBorders>
              <w:top w:val="nil"/>
              <w:left w:val="nil"/>
              <w:bottom w:val="nil"/>
              <w:right w:val="single" w:sz="8" w:space="0" w:color="FFFFFF"/>
            </w:tcBorders>
            <w:shd w:val="clear" w:color="000000" w:fill="D9D9D9"/>
            <w:noWrap/>
            <w:vAlign w:val="center"/>
          </w:tcPr>
          <w:p w14:paraId="50BED386" w14:textId="5AD364F2"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4,2</w:t>
            </w:r>
          </w:p>
        </w:tc>
        <w:tc>
          <w:tcPr>
            <w:tcW w:w="680" w:type="dxa"/>
            <w:tcBorders>
              <w:top w:val="nil"/>
              <w:left w:val="nil"/>
              <w:bottom w:val="nil"/>
              <w:right w:val="single" w:sz="8" w:space="0" w:color="FFFFFF"/>
            </w:tcBorders>
            <w:shd w:val="clear" w:color="000000" w:fill="D9D9D9"/>
            <w:noWrap/>
            <w:vAlign w:val="center"/>
          </w:tcPr>
          <w:p w14:paraId="43C5949F" w14:textId="436A674B"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4,1</w:t>
            </w:r>
          </w:p>
        </w:tc>
        <w:tc>
          <w:tcPr>
            <w:tcW w:w="186" w:type="dxa"/>
            <w:tcBorders>
              <w:top w:val="nil"/>
              <w:left w:val="nil"/>
              <w:bottom w:val="nil"/>
              <w:right w:val="single" w:sz="4" w:space="0" w:color="FFFFFF" w:themeColor="background1"/>
            </w:tcBorders>
            <w:shd w:val="clear" w:color="auto" w:fill="13576B"/>
            <w:vAlign w:val="center"/>
          </w:tcPr>
          <w:p w14:paraId="02AE1991" w14:textId="5C5491B7"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232A68D7" w14:textId="0FD65F5C"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2D04B59B" w14:textId="79059111"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28B7C950" w14:textId="0BADB5C0"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C73C02" w:rsidRPr="00743530" w14:paraId="38BAB062" w14:textId="2DB2B8E9" w:rsidTr="00C73C02">
        <w:trPr>
          <w:trHeight w:val="270"/>
        </w:trPr>
        <w:tc>
          <w:tcPr>
            <w:tcW w:w="4605" w:type="dxa"/>
            <w:tcBorders>
              <w:top w:val="nil"/>
              <w:left w:val="nil"/>
              <w:bottom w:val="nil"/>
              <w:right w:val="single" w:sz="8" w:space="0" w:color="FFFFFF"/>
            </w:tcBorders>
            <w:shd w:val="clear" w:color="000000" w:fill="13576B"/>
            <w:vAlign w:val="center"/>
            <w:hideMark/>
          </w:tcPr>
          <w:p w14:paraId="67482C9C"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Průměrná nominální mzda (růst v %)</w:t>
            </w:r>
          </w:p>
        </w:tc>
        <w:tc>
          <w:tcPr>
            <w:tcW w:w="680" w:type="dxa"/>
            <w:tcBorders>
              <w:top w:val="nil"/>
              <w:left w:val="nil"/>
              <w:bottom w:val="nil"/>
              <w:right w:val="single" w:sz="8" w:space="0" w:color="FFFFFF"/>
            </w:tcBorders>
            <w:shd w:val="clear" w:color="000000" w:fill="D9D9D9"/>
            <w:noWrap/>
            <w:vAlign w:val="center"/>
            <w:hideMark/>
          </w:tcPr>
          <w:p w14:paraId="56E44CC3" w14:textId="1937112E"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7,1</w:t>
            </w:r>
          </w:p>
        </w:tc>
        <w:tc>
          <w:tcPr>
            <w:tcW w:w="680" w:type="dxa"/>
            <w:tcBorders>
              <w:top w:val="nil"/>
              <w:left w:val="nil"/>
              <w:bottom w:val="nil"/>
              <w:right w:val="single" w:sz="8" w:space="0" w:color="FFFFFF"/>
            </w:tcBorders>
            <w:shd w:val="clear" w:color="000000" w:fill="D9D9D9"/>
            <w:noWrap/>
            <w:vAlign w:val="center"/>
          </w:tcPr>
          <w:p w14:paraId="0F61CADB" w14:textId="7F1DD67D"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5,9</w:t>
            </w:r>
          </w:p>
        </w:tc>
        <w:tc>
          <w:tcPr>
            <w:tcW w:w="680" w:type="dxa"/>
            <w:tcBorders>
              <w:top w:val="nil"/>
              <w:left w:val="nil"/>
              <w:bottom w:val="nil"/>
              <w:right w:val="single" w:sz="8" w:space="0" w:color="FFFFFF"/>
            </w:tcBorders>
            <w:shd w:val="clear" w:color="000000" w:fill="D9D9D9"/>
            <w:noWrap/>
            <w:vAlign w:val="center"/>
          </w:tcPr>
          <w:p w14:paraId="35AFEA42" w14:textId="2D1733EB"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4,9</w:t>
            </w:r>
          </w:p>
        </w:tc>
        <w:tc>
          <w:tcPr>
            <w:tcW w:w="186" w:type="dxa"/>
            <w:tcBorders>
              <w:top w:val="nil"/>
              <w:left w:val="nil"/>
              <w:bottom w:val="nil"/>
              <w:right w:val="single" w:sz="4" w:space="0" w:color="FFFFFF" w:themeColor="background1"/>
            </w:tcBorders>
            <w:shd w:val="clear" w:color="auto" w:fill="13576B"/>
            <w:vAlign w:val="center"/>
          </w:tcPr>
          <w:p w14:paraId="5D48BE41" w14:textId="3120561D"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3C6C9AFC" w14:textId="158BD3E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(0,2)</w:t>
            </w:r>
          </w:p>
        </w:tc>
        <w:tc>
          <w:tcPr>
            <w:tcW w:w="703" w:type="dxa"/>
            <w:tcBorders>
              <w:top w:val="nil"/>
              <w:left w:val="nil"/>
              <w:bottom w:val="nil"/>
              <w:right w:val="single" w:sz="8" w:space="0" w:color="FFFFFF"/>
            </w:tcBorders>
            <w:shd w:val="clear" w:color="000000" w:fill="D9D9D9"/>
            <w:vAlign w:val="center"/>
          </w:tcPr>
          <w:p w14:paraId="2D82954F" w14:textId="78E3C34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05A6B06C" w14:textId="685AD63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C73C02" w:rsidRPr="00743530" w14:paraId="242798A9" w14:textId="66CAE5F7" w:rsidTr="00C73C02">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6D0D613C"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Průměrná reálná mzda (%)</w:t>
            </w:r>
          </w:p>
        </w:tc>
        <w:tc>
          <w:tcPr>
            <w:tcW w:w="680" w:type="dxa"/>
            <w:tcBorders>
              <w:top w:val="nil"/>
              <w:left w:val="nil"/>
              <w:bottom w:val="single" w:sz="8" w:space="0" w:color="FFFFFF"/>
              <w:right w:val="single" w:sz="8" w:space="0" w:color="FFFFFF"/>
            </w:tcBorders>
            <w:shd w:val="clear" w:color="000000" w:fill="D9D9D9"/>
            <w:noWrap/>
            <w:vAlign w:val="center"/>
            <w:hideMark/>
          </w:tcPr>
          <w:p w14:paraId="35583F7F" w14:textId="22A83551"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4,5</w:t>
            </w:r>
          </w:p>
        </w:tc>
        <w:tc>
          <w:tcPr>
            <w:tcW w:w="680" w:type="dxa"/>
            <w:tcBorders>
              <w:top w:val="nil"/>
              <w:left w:val="nil"/>
              <w:bottom w:val="single" w:sz="8" w:space="0" w:color="FFFFFF"/>
              <w:right w:val="single" w:sz="8" w:space="0" w:color="FFFFFF"/>
            </w:tcBorders>
            <w:shd w:val="clear" w:color="000000" w:fill="D9D9D9"/>
            <w:noWrap/>
            <w:vAlign w:val="center"/>
          </w:tcPr>
          <w:p w14:paraId="1588B8FD" w14:textId="17D794CB"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w:t>
            </w:r>
          </w:p>
        </w:tc>
        <w:tc>
          <w:tcPr>
            <w:tcW w:w="680" w:type="dxa"/>
            <w:tcBorders>
              <w:top w:val="nil"/>
              <w:left w:val="nil"/>
              <w:bottom w:val="single" w:sz="8" w:space="0" w:color="FFFFFF"/>
              <w:right w:val="single" w:sz="8" w:space="0" w:color="FFFFFF"/>
            </w:tcBorders>
            <w:shd w:val="clear" w:color="000000" w:fill="D9D9D9"/>
            <w:noWrap/>
            <w:vAlign w:val="center"/>
          </w:tcPr>
          <w:p w14:paraId="392D912F" w14:textId="2E9B7F77"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2,7</w:t>
            </w:r>
          </w:p>
        </w:tc>
        <w:tc>
          <w:tcPr>
            <w:tcW w:w="186" w:type="dxa"/>
            <w:tcBorders>
              <w:top w:val="nil"/>
              <w:left w:val="nil"/>
              <w:bottom w:val="single" w:sz="8" w:space="0" w:color="FFFFFF"/>
              <w:right w:val="single" w:sz="4" w:space="0" w:color="FFFFFF" w:themeColor="background1"/>
            </w:tcBorders>
            <w:shd w:val="clear" w:color="auto" w:fill="13576B"/>
            <w:vAlign w:val="center"/>
          </w:tcPr>
          <w:p w14:paraId="03A9DF97" w14:textId="25D872F1"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single" w:sz="8" w:space="0" w:color="FFFFFF"/>
              <w:right w:val="single" w:sz="8" w:space="0" w:color="FFFFFF"/>
            </w:tcBorders>
            <w:shd w:val="clear" w:color="000000" w:fill="D9D9D9"/>
            <w:vAlign w:val="center"/>
          </w:tcPr>
          <w:p w14:paraId="10E5208E" w14:textId="4EC56C5E"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(0,2)</w:t>
            </w:r>
          </w:p>
        </w:tc>
        <w:tc>
          <w:tcPr>
            <w:tcW w:w="703" w:type="dxa"/>
            <w:tcBorders>
              <w:top w:val="nil"/>
              <w:left w:val="nil"/>
              <w:bottom w:val="single" w:sz="8" w:space="0" w:color="FFFFFF"/>
              <w:right w:val="single" w:sz="8" w:space="0" w:color="FFFFFF"/>
            </w:tcBorders>
            <w:shd w:val="clear" w:color="000000" w:fill="D9D9D9"/>
            <w:vAlign w:val="center"/>
          </w:tcPr>
          <w:p w14:paraId="411EA9AC" w14:textId="1F7E6E3E"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695" w:type="dxa"/>
            <w:tcBorders>
              <w:top w:val="nil"/>
              <w:left w:val="nil"/>
              <w:bottom w:val="single" w:sz="8" w:space="0" w:color="FFFFFF"/>
              <w:right w:val="single" w:sz="8" w:space="0" w:color="FFFFFF"/>
            </w:tcBorders>
            <w:shd w:val="clear" w:color="000000" w:fill="D9D9D9"/>
            <w:vAlign w:val="center"/>
          </w:tcPr>
          <w:p w14:paraId="50600D44" w14:textId="5B0A20B8"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C73C02" w:rsidRPr="00743530" w14:paraId="70256837" w14:textId="0FE9C51E" w:rsidTr="00C73C02">
        <w:trPr>
          <w:trHeight w:val="270"/>
        </w:trPr>
        <w:tc>
          <w:tcPr>
            <w:tcW w:w="4605" w:type="dxa"/>
            <w:tcBorders>
              <w:top w:val="nil"/>
              <w:left w:val="nil"/>
              <w:bottom w:val="nil"/>
              <w:right w:val="single" w:sz="8" w:space="0" w:color="FFFFFF"/>
            </w:tcBorders>
            <w:shd w:val="clear" w:color="000000" w:fill="13576B"/>
            <w:vAlign w:val="center"/>
            <w:hideMark/>
          </w:tcPr>
          <w:p w14:paraId="1E18440B"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Vládní deficit/přebytek (% HDP)</w:t>
            </w:r>
          </w:p>
        </w:tc>
        <w:tc>
          <w:tcPr>
            <w:tcW w:w="680" w:type="dxa"/>
            <w:tcBorders>
              <w:top w:val="nil"/>
              <w:left w:val="nil"/>
              <w:bottom w:val="nil"/>
              <w:right w:val="single" w:sz="8" w:space="0" w:color="FFFFFF"/>
            </w:tcBorders>
            <w:shd w:val="clear" w:color="000000" w:fill="D9D9D9"/>
            <w:noWrap/>
            <w:vAlign w:val="center"/>
            <w:hideMark/>
          </w:tcPr>
          <w:p w14:paraId="23F719C3" w14:textId="50CFC073"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-2,2</w:t>
            </w:r>
          </w:p>
        </w:tc>
        <w:tc>
          <w:tcPr>
            <w:tcW w:w="680" w:type="dxa"/>
            <w:tcBorders>
              <w:top w:val="nil"/>
              <w:left w:val="nil"/>
              <w:bottom w:val="nil"/>
              <w:right w:val="single" w:sz="8" w:space="0" w:color="FFFFFF"/>
            </w:tcBorders>
            <w:shd w:val="clear" w:color="000000" w:fill="D9D9D9"/>
            <w:noWrap/>
            <w:vAlign w:val="center"/>
          </w:tcPr>
          <w:p w14:paraId="59A4176B" w14:textId="7EAF2FD8"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680" w:type="dxa"/>
            <w:tcBorders>
              <w:top w:val="nil"/>
              <w:left w:val="nil"/>
              <w:bottom w:val="nil"/>
              <w:right w:val="single" w:sz="8" w:space="0" w:color="FFFFFF"/>
            </w:tcBorders>
            <w:shd w:val="clear" w:color="000000" w:fill="D9D9D9"/>
            <w:noWrap/>
            <w:vAlign w:val="center"/>
          </w:tcPr>
          <w:p w14:paraId="07234BF3" w14:textId="155E9F07"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186" w:type="dxa"/>
            <w:tcBorders>
              <w:top w:val="nil"/>
              <w:left w:val="nil"/>
              <w:bottom w:val="nil"/>
              <w:right w:val="single" w:sz="4" w:space="0" w:color="FFFFFF" w:themeColor="background1"/>
            </w:tcBorders>
            <w:shd w:val="clear" w:color="auto" w:fill="13576B"/>
            <w:vAlign w:val="center"/>
          </w:tcPr>
          <w:p w14:paraId="5EC0BCB0" w14:textId="3D4E4795"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163BDA74" w14:textId="16E3E41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(0,6)</w:t>
            </w:r>
          </w:p>
        </w:tc>
        <w:tc>
          <w:tcPr>
            <w:tcW w:w="703" w:type="dxa"/>
            <w:tcBorders>
              <w:top w:val="nil"/>
              <w:left w:val="nil"/>
              <w:bottom w:val="nil"/>
              <w:right w:val="single" w:sz="8" w:space="0" w:color="FFFFFF"/>
            </w:tcBorders>
            <w:shd w:val="clear" w:color="000000" w:fill="D9D9D9"/>
            <w:vAlign w:val="center"/>
          </w:tcPr>
          <w:p w14:paraId="113863B8" w14:textId="57BCA0D9"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3B563993" w14:textId="3E36827B"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C73C02" w:rsidRPr="00743530" w14:paraId="74A8DC91" w14:textId="75EB8AED" w:rsidTr="00C73C02">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661BF5FF"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 xml:space="preserve">Vládní dluh (% HDP) </w:t>
            </w:r>
          </w:p>
        </w:tc>
        <w:tc>
          <w:tcPr>
            <w:tcW w:w="680" w:type="dxa"/>
            <w:tcBorders>
              <w:top w:val="nil"/>
              <w:left w:val="nil"/>
              <w:bottom w:val="single" w:sz="8" w:space="0" w:color="FFFFFF"/>
              <w:right w:val="single" w:sz="8" w:space="0" w:color="FFFFFF"/>
            </w:tcBorders>
            <w:shd w:val="clear" w:color="000000" w:fill="D9D9D9"/>
            <w:noWrap/>
            <w:vAlign w:val="center"/>
            <w:hideMark/>
          </w:tcPr>
          <w:p w14:paraId="59B926C1" w14:textId="2EF4205A"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43,6</w:t>
            </w:r>
          </w:p>
        </w:tc>
        <w:tc>
          <w:tcPr>
            <w:tcW w:w="680" w:type="dxa"/>
            <w:tcBorders>
              <w:top w:val="nil"/>
              <w:left w:val="nil"/>
              <w:bottom w:val="single" w:sz="8" w:space="0" w:color="FFFFFF"/>
              <w:right w:val="single" w:sz="8" w:space="0" w:color="FFFFFF"/>
            </w:tcBorders>
            <w:shd w:val="clear" w:color="000000" w:fill="D9D9D9"/>
            <w:noWrap/>
            <w:vAlign w:val="center"/>
          </w:tcPr>
          <w:p w14:paraId="2F10A244" w14:textId="55B27837"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44,3</w:t>
            </w:r>
          </w:p>
        </w:tc>
        <w:tc>
          <w:tcPr>
            <w:tcW w:w="680" w:type="dxa"/>
            <w:tcBorders>
              <w:top w:val="nil"/>
              <w:left w:val="nil"/>
              <w:bottom w:val="single" w:sz="8" w:space="0" w:color="FFFFFF"/>
              <w:right w:val="single" w:sz="8" w:space="0" w:color="FFFFFF"/>
            </w:tcBorders>
            <w:shd w:val="clear" w:color="000000" w:fill="D9D9D9"/>
            <w:noWrap/>
            <w:vAlign w:val="center"/>
          </w:tcPr>
          <w:p w14:paraId="2C2DD09D" w14:textId="2A9B3310"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44,8</w:t>
            </w:r>
          </w:p>
        </w:tc>
        <w:tc>
          <w:tcPr>
            <w:tcW w:w="186" w:type="dxa"/>
            <w:tcBorders>
              <w:top w:val="nil"/>
              <w:left w:val="nil"/>
              <w:bottom w:val="single" w:sz="8" w:space="0" w:color="FFFFFF"/>
              <w:right w:val="single" w:sz="4" w:space="0" w:color="FFFFFF" w:themeColor="background1"/>
            </w:tcBorders>
            <w:shd w:val="clear" w:color="auto" w:fill="13576B"/>
            <w:vAlign w:val="center"/>
          </w:tcPr>
          <w:p w14:paraId="4418FA40" w14:textId="43DA3C66"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single" w:sz="8" w:space="0" w:color="FFFFFF"/>
              <w:right w:val="single" w:sz="8" w:space="0" w:color="FFFFFF"/>
            </w:tcBorders>
            <w:shd w:val="clear" w:color="000000" w:fill="D9D9D9"/>
            <w:vAlign w:val="center"/>
          </w:tcPr>
          <w:p w14:paraId="683D8DB9" w14:textId="4977A01B"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(0,2)</w:t>
            </w:r>
          </w:p>
        </w:tc>
        <w:tc>
          <w:tcPr>
            <w:tcW w:w="703" w:type="dxa"/>
            <w:tcBorders>
              <w:top w:val="nil"/>
              <w:left w:val="nil"/>
              <w:bottom w:val="single" w:sz="8" w:space="0" w:color="FFFFFF"/>
              <w:right w:val="single" w:sz="8" w:space="0" w:color="FFFFFF"/>
            </w:tcBorders>
            <w:shd w:val="clear" w:color="000000" w:fill="D9D9D9"/>
            <w:vAlign w:val="center"/>
          </w:tcPr>
          <w:p w14:paraId="1C72D424" w14:textId="525942B8"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single" w:sz="8" w:space="0" w:color="FFFFFF"/>
              <w:right w:val="single" w:sz="8" w:space="0" w:color="FFFFFF"/>
            </w:tcBorders>
            <w:shd w:val="clear" w:color="000000" w:fill="D9D9D9"/>
            <w:vAlign w:val="center"/>
          </w:tcPr>
          <w:p w14:paraId="7C412C10" w14:textId="435FA83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(0,5)</w:t>
            </w:r>
          </w:p>
        </w:tc>
      </w:tr>
      <w:tr w:rsidR="00C73C02" w:rsidRPr="00743530" w14:paraId="65F307F0" w14:textId="6B444A7C" w:rsidTr="00C73C02">
        <w:trPr>
          <w:trHeight w:val="270"/>
        </w:trPr>
        <w:tc>
          <w:tcPr>
            <w:tcW w:w="4605" w:type="dxa"/>
            <w:tcBorders>
              <w:top w:val="nil"/>
              <w:left w:val="nil"/>
              <w:bottom w:val="nil"/>
              <w:right w:val="single" w:sz="8" w:space="0" w:color="FFFFFF"/>
            </w:tcBorders>
            <w:shd w:val="clear" w:color="000000" w:fill="13576B"/>
            <w:vAlign w:val="center"/>
            <w:hideMark/>
          </w:tcPr>
          <w:p w14:paraId="0D229619"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Základní sazba ČNB 2T REPO (%): konec období</w:t>
            </w:r>
          </w:p>
        </w:tc>
        <w:tc>
          <w:tcPr>
            <w:tcW w:w="680" w:type="dxa"/>
            <w:tcBorders>
              <w:top w:val="nil"/>
              <w:left w:val="nil"/>
              <w:bottom w:val="nil"/>
              <w:right w:val="single" w:sz="8" w:space="0" w:color="FFFFFF"/>
            </w:tcBorders>
            <w:shd w:val="clear" w:color="000000" w:fill="D9D9D9"/>
            <w:noWrap/>
            <w:vAlign w:val="center"/>
            <w:hideMark/>
          </w:tcPr>
          <w:p w14:paraId="02E4F475" w14:textId="20F59D80"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4,00</w:t>
            </w:r>
          </w:p>
        </w:tc>
        <w:tc>
          <w:tcPr>
            <w:tcW w:w="680" w:type="dxa"/>
            <w:tcBorders>
              <w:top w:val="nil"/>
              <w:left w:val="nil"/>
              <w:bottom w:val="nil"/>
              <w:right w:val="single" w:sz="8" w:space="0" w:color="FFFFFF"/>
            </w:tcBorders>
            <w:shd w:val="clear" w:color="000000" w:fill="D9D9D9"/>
            <w:noWrap/>
            <w:vAlign w:val="center"/>
          </w:tcPr>
          <w:p w14:paraId="2482E8E6" w14:textId="0B8C37DF"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3,25</w:t>
            </w:r>
          </w:p>
        </w:tc>
        <w:tc>
          <w:tcPr>
            <w:tcW w:w="680" w:type="dxa"/>
            <w:tcBorders>
              <w:top w:val="nil"/>
              <w:left w:val="nil"/>
              <w:bottom w:val="nil"/>
              <w:right w:val="single" w:sz="8" w:space="0" w:color="FFFFFF"/>
            </w:tcBorders>
            <w:shd w:val="clear" w:color="000000" w:fill="D9D9D9"/>
            <w:noWrap/>
            <w:vAlign w:val="center"/>
          </w:tcPr>
          <w:p w14:paraId="4D2D8278" w14:textId="75033FAE"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3,00</w:t>
            </w:r>
          </w:p>
        </w:tc>
        <w:tc>
          <w:tcPr>
            <w:tcW w:w="186" w:type="dxa"/>
            <w:tcBorders>
              <w:top w:val="nil"/>
              <w:left w:val="nil"/>
              <w:bottom w:val="nil"/>
              <w:right w:val="single" w:sz="4" w:space="0" w:color="FFFFFF" w:themeColor="background1"/>
            </w:tcBorders>
            <w:shd w:val="clear" w:color="auto" w:fill="13576B"/>
            <w:vAlign w:val="center"/>
          </w:tcPr>
          <w:p w14:paraId="366D8C8B" w14:textId="07D1B90E"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35EA6DCF" w14:textId="245148BC"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7D83744A" w14:textId="49225C93"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c>
          <w:tcPr>
            <w:tcW w:w="695" w:type="dxa"/>
            <w:tcBorders>
              <w:top w:val="nil"/>
              <w:left w:val="nil"/>
              <w:bottom w:val="nil"/>
              <w:right w:val="single" w:sz="8" w:space="0" w:color="FFFFFF"/>
            </w:tcBorders>
            <w:shd w:val="clear" w:color="000000" w:fill="D9D9D9"/>
            <w:vAlign w:val="center"/>
          </w:tcPr>
          <w:p w14:paraId="37112FC6" w14:textId="120B3554"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C73C02" w:rsidRPr="00743530" w14:paraId="2336A020" w14:textId="29628032" w:rsidTr="00C73C02">
        <w:trPr>
          <w:trHeight w:val="270"/>
        </w:trPr>
        <w:tc>
          <w:tcPr>
            <w:tcW w:w="4605" w:type="dxa"/>
            <w:tcBorders>
              <w:top w:val="nil"/>
              <w:left w:val="nil"/>
              <w:bottom w:val="nil"/>
              <w:right w:val="single" w:sz="8" w:space="0" w:color="FFFFFF"/>
            </w:tcBorders>
            <w:shd w:val="clear" w:color="000000" w:fill="13576B"/>
            <w:vAlign w:val="center"/>
            <w:hideMark/>
          </w:tcPr>
          <w:p w14:paraId="378473EE"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3M-PRIBOR (%): průměr</w:t>
            </w:r>
          </w:p>
        </w:tc>
        <w:tc>
          <w:tcPr>
            <w:tcW w:w="680" w:type="dxa"/>
            <w:tcBorders>
              <w:top w:val="nil"/>
              <w:left w:val="nil"/>
              <w:bottom w:val="nil"/>
              <w:right w:val="single" w:sz="8" w:space="0" w:color="FFFFFF"/>
            </w:tcBorders>
            <w:shd w:val="clear" w:color="000000" w:fill="D9D9D9"/>
            <w:noWrap/>
            <w:vAlign w:val="center"/>
            <w:hideMark/>
          </w:tcPr>
          <w:p w14:paraId="6F6040F5" w14:textId="30B2DD9C"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5,0</w:t>
            </w:r>
          </w:p>
        </w:tc>
        <w:tc>
          <w:tcPr>
            <w:tcW w:w="680" w:type="dxa"/>
            <w:tcBorders>
              <w:top w:val="nil"/>
              <w:left w:val="nil"/>
              <w:bottom w:val="nil"/>
              <w:right w:val="single" w:sz="8" w:space="0" w:color="FFFFFF"/>
            </w:tcBorders>
            <w:shd w:val="clear" w:color="000000" w:fill="D9D9D9"/>
            <w:noWrap/>
            <w:vAlign w:val="center"/>
          </w:tcPr>
          <w:p w14:paraId="5AA8EC7D" w14:textId="02E8BC80"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w:t>
            </w:r>
          </w:p>
        </w:tc>
        <w:tc>
          <w:tcPr>
            <w:tcW w:w="680" w:type="dxa"/>
            <w:tcBorders>
              <w:top w:val="nil"/>
              <w:left w:val="nil"/>
              <w:bottom w:val="nil"/>
              <w:right w:val="single" w:sz="8" w:space="0" w:color="FFFFFF"/>
            </w:tcBorders>
            <w:shd w:val="clear" w:color="000000" w:fill="D9D9D9"/>
            <w:noWrap/>
            <w:vAlign w:val="center"/>
          </w:tcPr>
          <w:p w14:paraId="1D85706C" w14:textId="117AF893"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3,1</w:t>
            </w:r>
          </w:p>
        </w:tc>
        <w:tc>
          <w:tcPr>
            <w:tcW w:w="186" w:type="dxa"/>
            <w:tcBorders>
              <w:top w:val="nil"/>
              <w:left w:val="nil"/>
              <w:bottom w:val="nil"/>
              <w:right w:val="single" w:sz="4" w:space="0" w:color="FFFFFF" w:themeColor="background1"/>
            </w:tcBorders>
            <w:shd w:val="clear" w:color="auto" w:fill="13576B"/>
            <w:vAlign w:val="center"/>
          </w:tcPr>
          <w:p w14:paraId="064999C3" w14:textId="2A0F87C6"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42DCB9A8" w14:textId="7B4E543E"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28CB446A" w14:textId="0E23F0F7"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c>
          <w:tcPr>
            <w:tcW w:w="695" w:type="dxa"/>
            <w:tcBorders>
              <w:top w:val="nil"/>
              <w:left w:val="nil"/>
              <w:bottom w:val="nil"/>
              <w:right w:val="single" w:sz="8" w:space="0" w:color="FFFFFF"/>
            </w:tcBorders>
            <w:shd w:val="clear" w:color="000000" w:fill="D9D9D9"/>
            <w:vAlign w:val="center"/>
          </w:tcPr>
          <w:p w14:paraId="190C5CF1" w14:textId="0E541DD6"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C73C02" w:rsidRPr="00743530" w14:paraId="198C040A" w14:textId="0A565981" w:rsidTr="00C73C02">
        <w:trPr>
          <w:trHeight w:val="270"/>
        </w:trPr>
        <w:tc>
          <w:tcPr>
            <w:tcW w:w="4605" w:type="dxa"/>
            <w:tcBorders>
              <w:top w:val="nil"/>
              <w:left w:val="nil"/>
              <w:bottom w:val="nil"/>
              <w:right w:val="single" w:sz="8" w:space="0" w:color="FFFFFF"/>
            </w:tcBorders>
            <w:shd w:val="clear" w:color="000000" w:fill="13576B"/>
            <w:vAlign w:val="center"/>
            <w:hideMark/>
          </w:tcPr>
          <w:p w14:paraId="01A9AAA5"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Výnos 10letého vládního dluhopisu (%): průměr</w:t>
            </w:r>
          </w:p>
        </w:tc>
        <w:tc>
          <w:tcPr>
            <w:tcW w:w="680" w:type="dxa"/>
            <w:tcBorders>
              <w:top w:val="nil"/>
              <w:left w:val="nil"/>
              <w:bottom w:val="nil"/>
              <w:right w:val="single" w:sz="8" w:space="0" w:color="FFFFFF"/>
            </w:tcBorders>
            <w:shd w:val="clear" w:color="000000" w:fill="D9D9D9"/>
            <w:noWrap/>
            <w:vAlign w:val="center"/>
            <w:hideMark/>
          </w:tcPr>
          <w:p w14:paraId="65042633" w14:textId="1D329EB3"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4,0</w:t>
            </w:r>
          </w:p>
        </w:tc>
        <w:tc>
          <w:tcPr>
            <w:tcW w:w="680" w:type="dxa"/>
            <w:tcBorders>
              <w:top w:val="nil"/>
              <w:left w:val="nil"/>
              <w:bottom w:val="nil"/>
              <w:right w:val="single" w:sz="8" w:space="0" w:color="FFFFFF"/>
            </w:tcBorders>
            <w:shd w:val="clear" w:color="000000" w:fill="D9D9D9"/>
            <w:noWrap/>
            <w:vAlign w:val="center"/>
          </w:tcPr>
          <w:p w14:paraId="6B3A5D73" w14:textId="0353C795"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4,0</w:t>
            </w:r>
          </w:p>
        </w:tc>
        <w:tc>
          <w:tcPr>
            <w:tcW w:w="680" w:type="dxa"/>
            <w:tcBorders>
              <w:top w:val="nil"/>
              <w:left w:val="nil"/>
              <w:bottom w:val="nil"/>
              <w:right w:val="single" w:sz="8" w:space="0" w:color="FFFFFF"/>
            </w:tcBorders>
            <w:shd w:val="clear" w:color="000000" w:fill="D9D9D9"/>
            <w:noWrap/>
            <w:vAlign w:val="center"/>
          </w:tcPr>
          <w:p w14:paraId="391FF1CC" w14:textId="1A9F6A37"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3,8</w:t>
            </w:r>
          </w:p>
        </w:tc>
        <w:tc>
          <w:tcPr>
            <w:tcW w:w="186" w:type="dxa"/>
            <w:tcBorders>
              <w:top w:val="nil"/>
              <w:left w:val="nil"/>
              <w:bottom w:val="nil"/>
              <w:right w:val="single" w:sz="4" w:space="0" w:color="FFFFFF" w:themeColor="background1"/>
            </w:tcBorders>
            <w:shd w:val="clear" w:color="auto" w:fill="13576B"/>
            <w:vAlign w:val="center"/>
          </w:tcPr>
          <w:p w14:paraId="211F3AD2" w14:textId="4097EB60"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2DB45613" w14:textId="357BF8FA"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7A56D0D2" w14:textId="020E1DC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6F95F1C9" w14:textId="24A246D5"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C73C02" w:rsidRPr="00743530" w14:paraId="120C9020" w14:textId="6669A2A1" w:rsidTr="00C73C02">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2B83C0CF"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Základní sazba ECB (%): konec období</w:t>
            </w:r>
          </w:p>
        </w:tc>
        <w:tc>
          <w:tcPr>
            <w:tcW w:w="680" w:type="dxa"/>
            <w:tcBorders>
              <w:top w:val="nil"/>
              <w:left w:val="nil"/>
              <w:bottom w:val="single" w:sz="8" w:space="0" w:color="FFFFFF"/>
              <w:right w:val="single" w:sz="8" w:space="0" w:color="FFFFFF"/>
            </w:tcBorders>
            <w:shd w:val="clear" w:color="000000" w:fill="D9D9D9"/>
            <w:noWrap/>
            <w:vAlign w:val="center"/>
            <w:hideMark/>
          </w:tcPr>
          <w:p w14:paraId="7888A27B" w14:textId="673E2496"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3,15</w:t>
            </w:r>
          </w:p>
        </w:tc>
        <w:tc>
          <w:tcPr>
            <w:tcW w:w="680" w:type="dxa"/>
            <w:tcBorders>
              <w:top w:val="nil"/>
              <w:left w:val="nil"/>
              <w:bottom w:val="single" w:sz="8" w:space="0" w:color="FFFFFF"/>
              <w:right w:val="single" w:sz="8" w:space="0" w:color="FFFFFF"/>
            </w:tcBorders>
            <w:shd w:val="clear" w:color="000000" w:fill="D9D9D9"/>
            <w:noWrap/>
            <w:vAlign w:val="center"/>
          </w:tcPr>
          <w:p w14:paraId="2CCE4E5B" w14:textId="06B6291D"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1,90</w:t>
            </w:r>
          </w:p>
        </w:tc>
        <w:tc>
          <w:tcPr>
            <w:tcW w:w="680" w:type="dxa"/>
            <w:tcBorders>
              <w:top w:val="nil"/>
              <w:left w:val="nil"/>
              <w:bottom w:val="single" w:sz="8" w:space="0" w:color="FFFFFF"/>
              <w:right w:val="single" w:sz="8" w:space="0" w:color="FFFFFF"/>
            </w:tcBorders>
            <w:shd w:val="clear" w:color="000000" w:fill="D9D9D9"/>
            <w:noWrap/>
            <w:vAlign w:val="center"/>
          </w:tcPr>
          <w:p w14:paraId="01A0D4B3" w14:textId="5345CFC0"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1,90</w:t>
            </w:r>
          </w:p>
        </w:tc>
        <w:tc>
          <w:tcPr>
            <w:tcW w:w="186" w:type="dxa"/>
            <w:tcBorders>
              <w:top w:val="nil"/>
              <w:left w:val="nil"/>
              <w:bottom w:val="single" w:sz="8" w:space="0" w:color="FFFFFF"/>
              <w:right w:val="single" w:sz="4" w:space="0" w:color="FFFFFF" w:themeColor="background1"/>
            </w:tcBorders>
            <w:shd w:val="clear" w:color="auto" w:fill="13576B"/>
            <w:vAlign w:val="center"/>
          </w:tcPr>
          <w:p w14:paraId="61AE6EAE" w14:textId="01FAADFE"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single" w:sz="8" w:space="0" w:color="FFFFFF"/>
              <w:right w:val="single" w:sz="8" w:space="0" w:color="FFFFFF"/>
            </w:tcBorders>
            <w:shd w:val="clear" w:color="000000" w:fill="D9D9D9"/>
            <w:vAlign w:val="center"/>
          </w:tcPr>
          <w:p w14:paraId="7D90E901" w14:textId="3529052E"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single" w:sz="8" w:space="0" w:color="FFFFFF"/>
              <w:right w:val="single" w:sz="8" w:space="0" w:color="FFFFFF"/>
            </w:tcBorders>
            <w:shd w:val="clear" w:color="000000" w:fill="D9D9D9"/>
            <w:vAlign w:val="center"/>
          </w:tcPr>
          <w:p w14:paraId="3B47C87F" w14:textId="1E3FA2C1"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(-0,25)</w:t>
            </w:r>
          </w:p>
        </w:tc>
        <w:tc>
          <w:tcPr>
            <w:tcW w:w="695" w:type="dxa"/>
            <w:tcBorders>
              <w:top w:val="nil"/>
              <w:left w:val="nil"/>
              <w:bottom w:val="single" w:sz="8" w:space="0" w:color="FFFFFF"/>
              <w:right w:val="single" w:sz="8" w:space="0" w:color="FFFFFF"/>
            </w:tcBorders>
            <w:shd w:val="clear" w:color="000000" w:fill="D9D9D9"/>
            <w:vAlign w:val="center"/>
          </w:tcPr>
          <w:p w14:paraId="4BE370CD" w14:textId="404864A3"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(-0,25)</w:t>
            </w:r>
          </w:p>
        </w:tc>
      </w:tr>
      <w:tr w:rsidR="00C73C02" w:rsidRPr="00743530" w14:paraId="1D98EB59" w14:textId="6F6B38F1" w:rsidTr="00C73C02">
        <w:trPr>
          <w:trHeight w:val="270"/>
        </w:trPr>
        <w:tc>
          <w:tcPr>
            <w:tcW w:w="4605" w:type="dxa"/>
            <w:tcBorders>
              <w:top w:val="nil"/>
              <w:left w:val="nil"/>
              <w:bottom w:val="nil"/>
              <w:right w:val="single" w:sz="8" w:space="0" w:color="FFFFFF"/>
            </w:tcBorders>
            <w:shd w:val="clear" w:color="000000" w:fill="13576B"/>
            <w:vAlign w:val="center"/>
            <w:hideMark/>
          </w:tcPr>
          <w:p w14:paraId="0701DED7"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Kurz CZK/EUR: průměr</w:t>
            </w:r>
          </w:p>
        </w:tc>
        <w:tc>
          <w:tcPr>
            <w:tcW w:w="680" w:type="dxa"/>
            <w:tcBorders>
              <w:top w:val="nil"/>
              <w:left w:val="nil"/>
              <w:bottom w:val="nil"/>
              <w:right w:val="single" w:sz="8" w:space="0" w:color="FFFFFF"/>
            </w:tcBorders>
            <w:shd w:val="clear" w:color="000000" w:fill="D9D9D9"/>
            <w:noWrap/>
            <w:vAlign w:val="center"/>
            <w:hideMark/>
          </w:tcPr>
          <w:p w14:paraId="6DCE9A75" w14:textId="07008789"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25,1</w:t>
            </w:r>
          </w:p>
        </w:tc>
        <w:tc>
          <w:tcPr>
            <w:tcW w:w="680" w:type="dxa"/>
            <w:tcBorders>
              <w:top w:val="nil"/>
              <w:left w:val="nil"/>
              <w:bottom w:val="nil"/>
              <w:right w:val="single" w:sz="8" w:space="0" w:color="FFFFFF"/>
            </w:tcBorders>
            <w:shd w:val="clear" w:color="000000" w:fill="D9D9D9"/>
            <w:noWrap/>
            <w:vAlign w:val="center"/>
          </w:tcPr>
          <w:p w14:paraId="2A08737A" w14:textId="0224E35F"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25,0</w:t>
            </w:r>
          </w:p>
        </w:tc>
        <w:tc>
          <w:tcPr>
            <w:tcW w:w="680" w:type="dxa"/>
            <w:tcBorders>
              <w:top w:val="nil"/>
              <w:left w:val="nil"/>
              <w:bottom w:val="nil"/>
              <w:right w:val="single" w:sz="8" w:space="0" w:color="FFFFFF"/>
            </w:tcBorders>
            <w:shd w:val="clear" w:color="000000" w:fill="D9D9D9"/>
            <w:noWrap/>
            <w:vAlign w:val="center"/>
          </w:tcPr>
          <w:p w14:paraId="2142E005" w14:textId="3B30C784"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24,9</w:t>
            </w:r>
          </w:p>
        </w:tc>
        <w:tc>
          <w:tcPr>
            <w:tcW w:w="186" w:type="dxa"/>
            <w:tcBorders>
              <w:top w:val="nil"/>
              <w:left w:val="nil"/>
              <w:bottom w:val="nil"/>
              <w:right w:val="single" w:sz="4" w:space="0" w:color="FFFFFF" w:themeColor="background1"/>
            </w:tcBorders>
            <w:shd w:val="clear" w:color="auto" w:fill="13576B"/>
            <w:vAlign w:val="center"/>
          </w:tcPr>
          <w:p w14:paraId="4B2C3427" w14:textId="42626215"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7F7478E6" w14:textId="307275FB"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324EF96E" w14:textId="4E0CBE35"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1AC3BDC4" w14:textId="7985FD35"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C73C02" w:rsidRPr="00743530" w14:paraId="6F368A67" w14:textId="6253C2A5" w:rsidTr="00C73C02">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0E896C68"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Kurz CZK/EUR: konec roku</w:t>
            </w:r>
          </w:p>
        </w:tc>
        <w:tc>
          <w:tcPr>
            <w:tcW w:w="680" w:type="dxa"/>
            <w:tcBorders>
              <w:top w:val="nil"/>
              <w:left w:val="nil"/>
              <w:bottom w:val="single" w:sz="8" w:space="0" w:color="FFFFFF"/>
              <w:right w:val="single" w:sz="8" w:space="0" w:color="FFFFFF"/>
            </w:tcBorders>
            <w:shd w:val="clear" w:color="000000" w:fill="D9D9D9"/>
            <w:noWrap/>
            <w:vAlign w:val="center"/>
            <w:hideMark/>
          </w:tcPr>
          <w:p w14:paraId="491098AA" w14:textId="2576F7F2"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25,2</w:t>
            </w:r>
          </w:p>
        </w:tc>
        <w:tc>
          <w:tcPr>
            <w:tcW w:w="680" w:type="dxa"/>
            <w:tcBorders>
              <w:top w:val="nil"/>
              <w:left w:val="nil"/>
              <w:bottom w:val="single" w:sz="8" w:space="0" w:color="FFFFFF"/>
              <w:right w:val="single" w:sz="8" w:space="0" w:color="FFFFFF"/>
            </w:tcBorders>
            <w:shd w:val="clear" w:color="000000" w:fill="D9D9D9"/>
            <w:noWrap/>
            <w:vAlign w:val="center"/>
          </w:tcPr>
          <w:p w14:paraId="1CBD8528" w14:textId="4CB6656F"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25,0</w:t>
            </w:r>
          </w:p>
        </w:tc>
        <w:tc>
          <w:tcPr>
            <w:tcW w:w="680" w:type="dxa"/>
            <w:tcBorders>
              <w:top w:val="nil"/>
              <w:left w:val="nil"/>
              <w:bottom w:val="single" w:sz="8" w:space="0" w:color="FFFFFF"/>
              <w:right w:val="single" w:sz="8" w:space="0" w:color="FFFFFF"/>
            </w:tcBorders>
            <w:shd w:val="clear" w:color="000000" w:fill="D9D9D9"/>
            <w:noWrap/>
            <w:vAlign w:val="center"/>
          </w:tcPr>
          <w:p w14:paraId="2DAA0961" w14:textId="13E356D7"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24,7</w:t>
            </w:r>
          </w:p>
        </w:tc>
        <w:tc>
          <w:tcPr>
            <w:tcW w:w="186" w:type="dxa"/>
            <w:tcBorders>
              <w:top w:val="nil"/>
              <w:left w:val="nil"/>
              <w:bottom w:val="single" w:sz="8" w:space="0" w:color="FFFFFF"/>
              <w:right w:val="single" w:sz="4" w:space="0" w:color="FFFFFF" w:themeColor="background1"/>
            </w:tcBorders>
            <w:shd w:val="clear" w:color="auto" w:fill="13576B"/>
            <w:vAlign w:val="center"/>
          </w:tcPr>
          <w:p w14:paraId="2B3A1DF4" w14:textId="41D4BC00"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single" w:sz="8" w:space="0" w:color="FFFFFF"/>
              <w:right w:val="single" w:sz="8" w:space="0" w:color="FFFFFF"/>
            </w:tcBorders>
            <w:shd w:val="clear" w:color="000000" w:fill="D9D9D9"/>
            <w:vAlign w:val="center"/>
          </w:tcPr>
          <w:p w14:paraId="425F27DB" w14:textId="5B76C88A"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(0,1)</w:t>
            </w:r>
          </w:p>
        </w:tc>
        <w:tc>
          <w:tcPr>
            <w:tcW w:w="703" w:type="dxa"/>
            <w:tcBorders>
              <w:top w:val="nil"/>
              <w:left w:val="nil"/>
              <w:bottom w:val="single" w:sz="8" w:space="0" w:color="FFFFFF"/>
              <w:right w:val="single" w:sz="8" w:space="0" w:color="FFFFFF"/>
            </w:tcBorders>
            <w:shd w:val="clear" w:color="000000" w:fill="D9D9D9"/>
            <w:vAlign w:val="center"/>
          </w:tcPr>
          <w:p w14:paraId="5788D652" w14:textId="2F2C1D64"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single" w:sz="8" w:space="0" w:color="FFFFFF"/>
              <w:right w:val="single" w:sz="8" w:space="0" w:color="FFFFFF"/>
            </w:tcBorders>
            <w:shd w:val="clear" w:color="000000" w:fill="D9D9D9"/>
            <w:vAlign w:val="center"/>
          </w:tcPr>
          <w:p w14:paraId="3792F8DB" w14:textId="52399ABA"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F11D98" w:rsidRPr="00743530" w14:paraId="506560F9" w14:textId="1C61C712" w:rsidTr="00C73C02">
        <w:trPr>
          <w:trHeight w:val="270"/>
        </w:trPr>
        <w:tc>
          <w:tcPr>
            <w:tcW w:w="4605" w:type="dxa"/>
            <w:tcBorders>
              <w:top w:val="nil"/>
              <w:left w:val="single" w:sz="8" w:space="0" w:color="FFFFFF"/>
              <w:bottom w:val="nil"/>
              <w:right w:val="single" w:sz="8" w:space="0" w:color="FFFFFF"/>
            </w:tcBorders>
            <w:shd w:val="clear" w:color="000000" w:fill="13576B"/>
            <w:vAlign w:val="center"/>
            <w:hideMark/>
          </w:tcPr>
          <w:p w14:paraId="1A688C27" w14:textId="77777777" w:rsidR="00F11D98" w:rsidRPr="00743530" w:rsidRDefault="00F11D98" w:rsidP="00F11D98">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reálného HDP v eurozóně (%)</w:t>
            </w:r>
          </w:p>
        </w:tc>
        <w:tc>
          <w:tcPr>
            <w:tcW w:w="680" w:type="dxa"/>
            <w:tcBorders>
              <w:top w:val="nil"/>
              <w:left w:val="nil"/>
              <w:bottom w:val="nil"/>
              <w:right w:val="single" w:sz="8" w:space="0" w:color="FFFFFF"/>
            </w:tcBorders>
            <w:shd w:val="clear" w:color="000000" w:fill="D9D9D9"/>
            <w:noWrap/>
            <w:vAlign w:val="center"/>
            <w:hideMark/>
          </w:tcPr>
          <w:p w14:paraId="37D57C06" w14:textId="3A92C140" w:rsidR="00F11D98" w:rsidRPr="00743530" w:rsidRDefault="00F11D98" w:rsidP="00F11D98">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0,8</w:t>
            </w:r>
          </w:p>
        </w:tc>
        <w:tc>
          <w:tcPr>
            <w:tcW w:w="680" w:type="dxa"/>
            <w:tcBorders>
              <w:top w:val="nil"/>
              <w:left w:val="nil"/>
              <w:bottom w:val="nil"/>
              <w:right w:val="single" w:sz="8" w:space="0" w:color="FFFFFF"/>
            </w:tcBorders>
            <w:shd w:val="clear" w:color="000000" w:fill="D9D9D9"/>
            <w:noWrap/>
            <w:vAlign w:val="center"/>
          </w:tcPr>
          <w:p w14:paraId="1403D371" w14:textId="1CCD8D5B" w:rsidR="00F11D98" w:rsidRPr="00743530" w:rsidRDefault="00F11D98" w:rsidP="00F11D98">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0,9</w:t>
            </w:r>
          </w:p>
        </w:tc>
        <w:tc>
          <w:tcPr>
            <w:tcW w:w="680" w:type="dxa"/>
            <w:tcBorders>
              <w:top w:val="nil"/>
              <w:left w:val="nil"/>
              <w:bottom w:val="nil"/>
              <w:right w:val="single" w:sz="8" w:space="0" w:color="FFFFFF"/>
            </w:tcBorders>
            <w:shd w:val="clear" w:color="000000" w:fill="D9D9D9"/>
            <w:noWrap/>
            <w:vAlign w:val="center"/>
          </w:tcPr>
          <w:p w14:paraId="71D340AF" w14:textId="7099ADEB" w:rsidR="00F11D98" w:rsidRPr="00743530" w:rsidRDefault="00F11D98" w:rsidP="00F11D98">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1,2</w:t>
            </w:r>
          </w:p>
        </w:tc>
        <w:tc>
          <w:tcPr>
            <w:tcW w:w="186" w:type="dxa"/>
            <w:tcBorders>
              <w:top w:val="nil"/>
              <w:left w:val="nil"/>
              <w:bottom w:val="nil"/>
              <w:right w:val="single" w:sz="4" w:space="0" w:color="FFFFFF" w:themeColor="background1"/>
            </w:tcBorders>
            <w:shd w:val="clear" w:color="auto" w:fill="13576B"/>
            <w:vAlign w:val="center"/>
          </w:tcPr>
          <w:p w14:paraId="48B6B6F2" w14:textId="121C0135" w:rsidR="00F11D98" w:rsidRPr="00345D5D" w:rsidRDefault="00F11D98" w:rsidP="00F11D98">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6E1ECB63" w14:textId="26978AA6" w:rsidR="00F11D98" w:rsidRPr="003571AD" w:rsidRDefault="00F11D98" w:rsidP="00F11D98">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(0,1)</w:t>
            </w:r>
          </w:p>
        </w:tc>
        <w:tc>
          <w:tcPr>
            <w:tcW w:w="703" w:type="dxa"/>
            <w:tcBorders>
              <w:top w:val="nil"/>
              <w:left w:val="nil"/>
              <w:bottom w:val="nil"/>
              <w:right w:val="single" w:sz="8" w:space="0" w:color="FFFFFF"/>
            </w:tcBorders>
            <w:shd w:val="clear" w:color="000000" w:fill="D9D9D9"/>
            <w:vAlign w:val="center"/>
          </w:tcPr>
          <w:p w14:paraId="2E6D8A9B" w14:textId="339F7BDE" w:rsidR="00F11D98" w:rsidRPr="003571AD" w:rsidRDefault="00F11D98" w:rsidP="00F11D98">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3B6B16AE" w14:textId="5BDA02EC" w:rsidR="00F11D98" w:rsidRPr="003571AD" w:rsidRDefault="00F11D98" w:rsidP="00F11D98">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C73C02" w:rsidRPr="00743530" w14:paraId="00C55435" w14:textId="1651D7CC" w:rsidTr="00C73C02">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5C4623C5"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Ceny ropy (USD za barel): brent průměr</w:t>
            </w:r>
          </w:p>
        </w:tc>
        <w:tc>
          <w:tcPr>
            <w:tcW w:w="680" w:type="dxa"/>
            <w:tcBorders>
              <w:top w:val="nil"/>
              <w:left w:val="nil"/>
              <w:bottom w:val="single" w:sz="8" w:space="0" w:color="FFFFFF"/>
              <w:right w:val="single" w:sz="8" w:space="0" w:color="FFFFFF"/>
            </w:tcBorders>
            <w:shd w:val="clear" w:color="000000" w:fill="D9D9D9"/>
            <w:noWrap/>
            <w:vAlign w:val="center"/>
            <w:hideMark/>
          </w:tcPr>
          <w:p w14:paraId="09D72B50" w14:textId="077105F6"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80</w:t>
            </w:r>
          </w:p>
        </w:tc>
        <w:tc>
          <w:tcPr>
            <w:tcW w:w="680" w:type="dxa"/>
            <w:tcBorders>
              <w:top w:val="nil"/>
              <w:left w:val="nil"/>
              <w:bottom w:val="single" w:sz="8" w:space="0" w:color="FFFFFF"/>
              <w:right w:val="single" w:sz="8" w:space="0" w:color="FFFFFF"/>
            </w:tcBorders>
            <w:shd w:val="clear" w:color="000000" w:fill="D9D9D9"/>
            <w:noWrap/>
            <w:vAlign w:val="center"/>
          </w:tcPr>
          <w:p w14:paraId="1EA56160" w14:textId="5E048A39"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66</w:t>
            </w:r>
          </w:p>
        </w:tc>
        <w:tc>
          <w:tcPr>
            <w:tcW w:w="680" w:type="dxa"/>
            <w:tcBorders>
              <w:top w:val="nil"/>
              <w:left w:val="nil"/>
              <w:bottom w:val="single" w:sz="8" w:space="0" w:color="FFFFFF"/>
              <w:right w:val="single" w:sz="8" w:space="0" w:color="FFFFFF"/>
            </w:tcBorders>
            <w:shd w:val="clear" w:color="000000" w:fill="D9D9D9"/>
            <w:noWrap/>
            <w:vAlign w:val="center"/>
          </w:tcPr>
          <w:p w14:paraId="49955406" w14:textId="401A7B91"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65</w:t>
            </w:r>
          </w:p>
        </w:tc>
        <w:tc>
          <w:tcPr>
            <w:tcW w:w="186" w:type="dxa"/>
            <w:tcBorders>
              <w:top w:val="nil"/>
              <w:left w:val="nil"/>
              <w:bottom w:val="single" w:sz="8" w:space="0" w:color="FFFFFF"/>
              <w:right w:val="single" w:sz="4" w:space="0" w:color="FFFFFF" w:themeColor="background1"/>
            </w:tcBorders>
            <w:shd w:val="clear" w:color="auto" w:fill="13576B"/>
            <w:vAlign w:val="center"/>
          </w:tcPr>
          <w:p w14:paraId="0F248A21" w14:textId="3E677A74"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single" w:sz="8" w:space="0" w:color="FFFFFF"/>
              <w:right w:val="single" w:sz="8" w:space="0" w:color="FFFFFF"/>
            </w:tcBorders>
            <w:shd w:val="clear" w:color="000000" w:fill="D9D9D9"/>
            <w:vAlign w:val="center"/>
          </w:tcPr>
          <w:p w14:paraId="5CD064A1" w14:textId="5D20DDC4"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(-0,1)</w:t>
            </w:r>
          </w:p>
        </w:tc>
        <w:tc>
          <w:tcPr>
            <w:tcW w:w="703" w:type="dxa"/>
            <w:tcBorders>
              <w:top w:val="nil"/>
              <w:left w:val="nil"/>
              <w:bottom w:val="single" w:sz="8" w:space="0" w:color="FFFFFF"/>
              <w:right w:val="single" w:sz="8" w:space="0" w:color="FFFFFF"/>
            </w:tcBorders>
            <w:shd w:val="clear" w:color="000000" w:fill="D9D9D9"/>
            <w:vAlign w:val="center"/>
          </w:tcPr>
          <w:p w14:paraId="41B1652E" w14:textId="0652895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(-8,1)</w:t>
            </w:r>
          </w:p>
        </w:tc>
        <w:tc>
          <w:tcPr>
            <w:tcW w:w="695" w:type="dxa"/>
            <w:tcBorders>
              <w:top w:val="nil"/>
              <w:left w:val="nil"/>
              <w:bottom w:val="single" w:sz="8" w:space="0" w:color="FFFFFF"/>
              <w:right w:val="single" w:sz="8" w:space="0" w:color="FFFFFF"/>
            </w:tcBorders>
            <w:shd w:val="clear" w:color="000000" w:fill="D9D9D9"/>
            <w:vAlign w:val="center"/>
          </w:tcPr>
          <w:p w14:paraId="4D8376BE" w14:textId="48631D14"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(-7)</w:t>
            </w:r>
          </w:p>
        </w:tc>
      </w:tr>
      <w:tr w:rsidR="00C73C02" w:rsidRPr="00743530" w14:paraId="27D7FB94" w14:textId="476F397B" w:rsidTr="00C73C02">
        <w:trPr>
          <w:trHeight w:val="270"/>
        </w:trPr>
        <w:tc>
          <w:tcPr>
            <w:tcW w:w="4605" w:type="dxa"/>
            <w:tcBorders>
              <w:top w:val="nil"/>
              <w:left w:val="nil"/>
              <w:bottom w:val="nil"/>
              <w:right w:val="single" w:sz="8" w:space="0" w:color="FFFFFF"/>
            </w:tcBorders>
            <w:shd w:val="clear" w:color="000000" w:fill="13576B"/>
            <w:vAlign w:val="center"/>
            <w:hideMark/>
          </w:tcPr>
          <w:p w14:paraId="2D3C298E"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klientských (%)</w:t>
            </w:r>
          </w:p>
        </w:tc>
        <w:tc>
          <w:tcPr>
            <w:tcW w:w="680" w:type="dxa"/>
            <w:tcBorders>
              <w:top w:val="nil"/>
              <w:left w:val="nil"/>
              <w:bottom w:val="nil"/>
              <w:right w:val="single" w:sz="8" w:space="0" w:color="FFFFFF"/>
            </w:tcBorders>
            <w:shd w:val="clear" w:color="000000" w:fill="D9D9D9"/>
            <w:noWrap/>
            <w:vAlign w:val="center"/>
            <w:hideMark/>
          </w:tcPr>
          <w:p w14:paraId="7812FE2E" w14:textId="6F37F7FF"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6,1</w:t>
            </w:r>
          </w:p>
        </w:tc>
        <w:tc>
          <w:tcPr>
            <w:tcW w:w="680" w:type="dxa"/>
            <w:tcBorders>
              <w:top w:val="nil"/>
              <w:left w:val="nil"/>
              <w:bottom w:val="nil"/>
              <w:right w:val="single" w:sz="8" w:space="0" w:color="FFFFFF"/>
            </w:tcBorders>
            <w:shd w:val="clear" w:color="000000" w:fill="D9D9D9"/>
            <w:noWrap/>
            <w:vAlign w:val="center"/>
          </w:tcPr>
          <w:p w14:paraId="0BAE2F00" w14:textId="00BEFD65"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5,5</w:t>
            </w:r>
          </w:p>
        </w:tc>
        <w:tc>
          <w:tcPr>
            <w:tcW w:w="680" w:type="dxa"/>
            <w:tcBorders>
              <w:top w:val="nil"/>
              <w:left w:val="nil"/>
              <w:bottom w:val="nil"/>
              <w:right w:val="single" w:sz="8" w:space="0" w:color="FFFFFF"/>
            </w:tcBorders>
            <w:shd w:val="clear" w:color="000000" w:fill="D9D9D9"/>
            <w:noWrap/>
            <w:vAlign w:val="center"/>
          </w:tcPr>
          <w:p w14:paraId="344DCDAB" w14:textId="70BCFA44"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5,7</w:t>
            </w:r>
          </w:p>
        </w:tc>
        <w:tc>
          <w:tcPr>
            <w:tcW w:w="186" w:type="dxa"/>
            <w:tcBorders>
              <w:top w:val="nil"/>
              <w:left w:val="nil"/>
              <w:bottom w:val="nil"/>
              <w:right w:val="single" w:sz="4" w:space="0" w:color="FFFFFF" w:themeColor="background1"/>
            </w:tcBorders>
            <w:shd w:val="clear" w:color="auto" w:fill="13576B"/>
            <w:vAlign w:val="center"/>
          </w:tcPr>
          <w:p w14:paraId="63BD24B6" w14:textId="6EA37E95"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10FCF116" w14:textId="48E22B2D"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52B9A4D2" w14:textId="22629A9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c>
          <w:tcPr>
            <w:tcW w:w="695" w:type="dxa"/>
            <w:tcBorders>
              <w:top w:val="nil"/>
              <w:left w:val="nil"/>
              <w:bottom w:val="nil"/>
              <w:right w:val="single" w:sz="8" w:space="0" w:color="FFFFFF"/>
            </w:tcBorders>
            <w:shd w:val="clear" w:color="000000" w:fill="D9D9D9"/>
            <w:vAlign w:val="center"/>
          </w:tcPr>
          <w:p w14:paraId="36F4DF3C" w14:textId="15034504"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C73C02" w:rsidRPr="00743530" w14:paraId="75D898FC" w14:textId="6B24DD8E" w:rsidTr="00C73C02">
        <w:trPr>
          <w:trHeight w:val="270"/>
        </w:trPr>
        <w:tc>
          <w:tcPr>
            <w:tcW w:w="4605" w:type="dxa"/>
            <w:tcBorders>
              <w:top w:val="nil"/>
              <w:left w:val="nil"/>
              <w:bottom w:val="nil"/>
              <w:right w:val="single" w:sz="8" w:space="0" w:color="FFFFFF"/>
            </w:tcBorders>
            <w:shd w:val="clear" w:color="000000" w:fill="13576B"/>
            <w:vAlign w:val="center"/>
            <w:hideMark/>
          </w:tcPr>
          <w:p w14:paraId="23DB2A2B"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domácnostem (%)</w:t>
            </w:r>
          </w:p>
        </w:tc>
        <w:tc>
          <w:tcPr>
            <w:tcW w:w="680" w:type="dxa"/>
            <w:tcBorders>
              <w:top w:val="nil"/>
              <w:left w:val="nil"/>
              <w:bottom w:val="nil"/>
              <w:right w:val="single" w:sz="8" w:space="0" w:color="FFFFFF"/>
            </w:tcBorders>
            <w:shd w:val="clear" w:color="000000" w:fill="D9D9D9"/>
            <w:noWrap/>
            <w:vAlign w:val="center"/>
            <w:hideMark/>
          </w:tcPr>
          <w:p w14:paraId="29ED7F73" w14:textId="4DB25AEA"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4,9</w:t>
            </w:r>
          </w:p>
        </w:tc>
        <w:tc>
          <w:tcPr>
            <w:tcW w:w="680" w:type="dxa"/>
            <w:tcBorders>
              <w:top w:val="nil"/>
              <w:left w:val="nil"/>
              <w:bottom w:val="nil"/>
              <w:right w:val="single" w:sz="8" w:space="0" w:color="FFFFFF"/>
            </w:tcBorders>
            <w:shd w:val="clear" w:color="000000" w:fill="D9D9D9"/>
            <w:noWrap/>
            <w:vAlign w:val="center"/>
          </w:tcPr>
          <w:p w14:paraId="173F31BA" w14:textId="6EAEC144"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6,3</w:t>
            </w:r>
          </w:p>
        </w:tc>
        <w:tc>
          <w:tcPr>
            <w:tcW w:w="680" w:type="dxa"/>
            <w:tcBorders>
              <w:top w:val="nil"/>
              <w:left w:val="nil"/>
              <w:bottom w:val="nil"/>
              <w:right w:val="single" w:sz="8" w:space="0" w:color="FFFFFF"/>
            </w:tcBorders>
            <w:shd w:val="clear" w:color="000000" w:fill="D9D9D9"/>
            <w:noWrap/>
            <w:vAlign w:val="center"/>
          </w:tcPr>
          <w:p w14:paraId="6E6362F7" w14:textId="4ADF5819"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6,0</w:t>
            </w:r>
          </w:p>
        </w:tc>
        <w:tc>
          <w:tcPr>
            <w:tcW w:w="186" w:type="dxa"/>
            <w:tcBorders>
              <w:top w:val="nil"/>
              <w:left w:val="nil"/>
              <w:bottom w:val="nil"/>
              <w:right w:val="single" w:sz="4" w:space="0" w:color="FFFFFF" w:themeColor="background1"/>
            </w:tcBorders>
            <w:shd w:val="clear" w:color="auto" w:fill="13576B"/>
            <w:vAlign w:val="center"/>
          </w:tcPr>
          <w:p w14:paraId="3CA20D9B" w14:textId="3E6E84A3"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00548BD9" w14:textId="16F32A0E"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4685AFAA" w14:textId="05BAD954"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(0,7)</w:t>
            </w:r>
          </w:p>
        </w:tc>
        <w:tc>
          <w:tcPr>
            <w:tcW w:w="695" w:type="dxa"/>
            <w:tcBorders>
              <w:top w:val="nil"/>
              <w:left w:val="nil"/>
              <w:bottom w:val="nil"/>
              <w:right w:val="single" w:sz="8" w:space="0" w:color="FFFFFF"/>
            </w:tcBorders>
            <w:shd w:val="clear" w:color="000000" w:fill="D9D9D9"/>
            <w:vAlign w:val="center"/>
          </w:tcPr>
          <w:p w14:paraId="11B0F091" w14:textId="0E46FAC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(0,5)</w:t>
            </w:r>
          </w:p>
        </w:tc>
      </w:tr>
      <w:tr w:rsidR="00C73C02" w:rsidRPr="00743530" w14:paraId="71E39703" w14:textId="4C09AA70" w:rsidTr="00C73C02">
        <w:trPr>
          <w:trHeight w:val="270"/>
        </w:trPr>
        <w:tc>
          <w:tcPr>
            <w:tcW w:w="4605" w:type="dxa"/>
            <w:tcBorders>
              <w:top w:val="nil"/>
              <w:left w:val="nil"/>
              <w:bottom w:val="nil"/>
              <w:right w:val="single" w:sz="8" w:space="0" w:color="FFFFFF"/>
            </w:tcBorders>
            <w:shd w:val="clear" w:color="000000" w:fill="13576B"/>
            <w:vAlign w:val="center"/>
            <w:hideMark/>
          </w:tcPr>
          <w:p w14:paraId="1171F41C"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(nefinančním) podnikům (%)</w:t>
            </w:r>
          </w:p>
        </w:tc>
        <w:tc>
          <w:tcPr>
            <w:tcW w:w="680" w:type="dxa"/>
            <w:tcBorders>
              <w:top w:val="nil"/>
              <w:left w:val="nil"/>
              <w:bottom w:val="nil"/>
              <w:right w:val="single" w:sz="8" w:space="0" w:color="FFFFFF"/>
            </w:tcBorders>
            <w:shd w:val="clear" w:color="000000" w:fill="D9D9D9"/>
            <w:noWrap/>
            <w:vAlign w:val="center"/>
            <w:hideMark/>
          </w:tcPr>
          <w:p w14:paraId="5BAE93B0" w14:textId="4F163B3E"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7,6</w:t>
            </w:r>
          </w:p>
        </w:tc>
        <w:tc>
          <w:tcPr>
            <w:tcW w:w="680" w:type="dxa"/>
            <w:tcBorders>
              <w:top w:val="nil"/>
              <w:left w:val="nil"/>
              <w:bottom w:val="nil"/>
              <w:right w:val="single" w:sz="8" w:space="0" w:color="FFFFFF"/>
            </w:tcBorders>
            <w:shd w:val="clear" w:color="000000" w:fill="D9D9D9"/>
            <w:noWrap/>
            <w:vAlign w:val="center"/>
          </w:tcPr>
          <w:p w14:paraId="5364A5A5" w14:textId="440DD69C"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5,3</w:t>
            </w:r>
          </w:p>
        </w:tc>
        <w:tc>
          <w:tcPr>
            <w:tcW w:w="680" w:type="dxa"/>
            <w:tcBorders>
              <w:top w:val="nil"/>
              <w:left w:val="nil"/>
              <w:bottom w:val="nil"/>
              <w:right w:val="single" w:sz="8" w:space="0" w:color="FFFFFF"/>
            </w:tcBorders>
            <w:shd w:val="clear" w:color="000000" w:fill="D9D9D9"/>
            <w:noWrap/>
            <w:vAlign w:val="center"/>
          </w:tcPr>
          <w:p w14:paraId="57339B8F" w14:textId="28B20066"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4,9</w:t>
            </w:r>
          </w:p>
        </w:tc>
        <w:tc>
          <w:tcPr>
            <w:tcW w:w="186" w:type="dxa"/>
            <w:tcBorders>
              <w:top w:val="nil"/>
              <w:left w:val="nil"/>
              <w:bottom w:val="nil"/>
              <w:right w:val="single" w:sz="4" w:space="0" w:color="FFFFFF" w:themeColor="background1"/>
            </w:tcBorders>
            <w:shd w:val="clear" w:color="auto" w:fill="13576B"/>
            <w:vAlign w:val="center"/>
          </w:tcPr>
          <w:p w14:paraId="4587AAA1" w14:textId="7F01BF30"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29DC7AA2" w14:textId="73B02E7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0A595A91" w14:textId="6D26301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695" w:type="dxa"/>
            <w:tcBorders>
              <w:top w:val="nil"/>
              <w:left w:val="nil"/>
              <w:bottom w:val="nil"/>
              <w:right w:val="single" w:sz="8" w:space="0" w:color="FFFFFF"/>
            </w:tcBorders>
            <w:shd w:val="clear" w:color="000000" w:fill="D9D9D9"/>
            <w:vAlign w:val="center"/>
          </w:tcPr>
          <w:p w14:paraId="20F42B9E" w14:textId="3F581742"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(-0,8)</w:t>
            </w:r>
          </w:p>
        </w:tc>
      </w:tr>
      <w:tr w:rsidR="00C73C02" w:rsidRPr="00743530" w14:paraId="1395FEF0" w14:textId="523A160D" w:rsidTr="00C73C02">
        <w:trPr>
          <w:trHeight w:val="270"/>
        </w:trPr>
        <w:tc>
          <w:tcPr>
            <w:tcW w:w="4605" w:type="dxa"/>
            <w:tcBorders>
              <w:top w:val="nil"/>
              <w:left w:val="single" w:sz="8" w:space="0" w:color="FFFFFF"/>
              <w:bottom w:val="nil"/>
              <w:right w:val="single" w:sz="8" w:space="0" w:color="FFFFFF"/>
            </w:tcBorders>
            <w:shd w:val="clear" w:color="000000" w:fill="13576B"/>
            <w:vAlign w:val="center"/>
            <w:hideMark/>
          </w:tcPr>
          <w:p w14:paraId="432534AB" w14:textId="77777777" w:rsidR="00C73C02" w:rsidRPr="00743530" w:rsidRDefault="00C73C02" w:rsidP="00C73C02">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vkladů klientských celkem (%)</w:t>
            </w:r>
          </w:p>
        </w:tc>
        <w:tc>
          <w:tcPr>
            <w:tcW w:w="680" w:type="dxa"/>
            <w:tcBorders>
              <w:top w:val="nil"/>
              <w:left w:val="nil"/>
              <w:bottom w:val="nil"/>
              <w:right w:val="single" w:sz="4" w:space="0" w:color="FFFFFF"/>
            </w:tcBorders>
            <w:shd w:val="clear" w:color="000000" w:fill="D9D9D9"/>
            <w:noWrap/>
            <w:vAlign w:val="center"/>
            <w:hideMark/>
          </w:tcPr>
          <w:p w14:paraId="0562513A" w14:textId="3E1DF891" w:rsidR="00C73C02" w:rsidRPr="00743530" w:rsidRDefault="00C73C02" w:rsidP="00C73C02">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7,4</w:t>
            </w:r>
          </w:p>
        </w:tc>
        <w:tc>
          <w:tcPr>
            <w:tcW w:w="680" w:type="dxa"/>
            <w:tcBorders>
              <w:top w:val="nil"/>
              <w:left w:val="nil"/>
              <w:bottom w:val="nil"/>
              <w:right w:val="single" w:sz="8" w:space="0" w:color="FFFFFF"/>
            </w:tcBorders>
            <w:shd w:val="clear" w:color="000000" w:fill="D9D9D9"/>
            <w:noWrap/>
            <w:vAlign w:val="center"/>
          </w:tcPr>
          <w:p w14:paraId="27D2CE07" w14:textId="0692D244"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5,5</w:t>
            </w:r>
          </w:p>
        </w:tc>
        <w:tc>
          <w:tcPr>
            <w:tcW w:w="680" w:type="dxa"/>
            <w:tcBorders>
              <w:top w:val="nil"/>
              <w:left w:val="nil"/>
              <w:bottom w:val="nil"/>
              <w:right w:val="single" w:sz="8" w:space="0" w:color="FFFFFF"/>
            </w:tcBorders>
            <w:shd w:val="clear" w:color="000000" w:fill="D9D9D9"/>
            <w:noWrap/>
            <w:vAlign w:val="center"/>
          </w:tcPr>
          <w:p w14:paraId="5D369F9C" w14:textId="15ACDF74" w:rsidR="00C73C02" w:rsidRPr="00743530" w:rsidRDefault="00C73C02" w:rsidP="00C73C02">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4,8</w:t>
            </w:r>
          </w:p>
        </w:tc>
        <w:tc>
          <w:tcPr>
            <w:tcW w:w="186" w:type="dxa"/>
            <w:tcBorders>
              <w:top w:val="nil"/>
              <w:left w:val="nil"/>
              <w:bottom w:val="nil"/>
              <w:right w:val="single" w:sz="4" w:space="0" w:color="FFFFFF" w:themeColor="background1"/>
            </w:tcBorders>
            <w:shd w:val="clear" w:color="auto" w:fill="13576B"/>
            <w:vAlign w:val="center"/>
          </w:tcPr>
          <w:p w14:paraId="0B9C2954" w14:textId="73F866C6" w:rsidR="00C73C02" w:rsidRPr="00345D5D" w:rsidRDefault="00C73C02" w:rsidP="00C73C02">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color w:val="FF0000"/>
                <w:sz w:val="20"/>
              </w:rPr>
              <w:t> </w:t>
            </w:r>
          </w:p>
        </w:tc>
        <w:tc>
          <w:tcPr>
            <w:tcW w:w="702" w:type="dxa"/>
            <w:tcBorders>
              <w:top w:val="nil"/>
              <w:left w:val="single" w:sz="4" w:space="0" w:color="FFFFFF" w:themeColor="background1"/>
              <w:bottom w:val="nil"/>
              <w:right w:val="single" w:sz="8" w:space="0" w:color="FFFFFF"/>
            </w:tcBorders>
            <w:shd w:val="clear" w:color="000000" w:fill="D9D9D9"/>
            <w:vAlign w:val="center"/>
          </w:tcPr>
          <w:p w14:paraId="196CDFC5" w14:textId="574BA04F"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13576B"/>
                <w:sz w:val="20"/>
              </w:rPr>
              <w:t>(0)</w:t>
            </w:r>
          </w:p>
        </w:tc>
        <w:tc>
          <w:tcPr>
            <w:tcW w:w="703" w:type="dxa"/>
            <w:tcBorders>
              <w:top w:val="nil"/>
              <w:left w:val="nil"/>
              <w:bottom w:val="nil"/>
              <w:right w:val="single" w:sz="8" w:space="0" w:color="FFFFFF"/>
            </w:tcBorders>
            <w:shd w:val="clear" w:color="000000" w:fill="D9D9D9"/>
            <w:vAlign w:val="center"/>
          </w:tcPr>
          <w:p w14:paraId="00D14364" w14:textId="5E271F61"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(-0,3)</w:t>
            </w:r>
          </w:p>
        </w:tc>
        <w:tc>
          <w:tcPr>
            <w:tcW w:w="695" w:type="dxa"/>
            <w:tcBorders>
              <w:top w:val="nil"/>
              <w:left w:val="nil"/>
              <w:bottom w:val="nil"/>
              <w:right w:val="single" w:sz="8" w:space="0" w:color="FFFFFF"/>
            </w:tcBorders>
            <w:shd w:val="clear" w:color="000000" w:fill="D9D9D9"/>
            <w:vAlign w:val="center"/>
          </w:tcPr>
          <w:p w14:paraId="7712F6FE" w14:textId="764BE80B" w:rsidR="00C73C02" w:rsidRPr="003571AD" w:rsidRDefault="00C73C02" w:rsidP="00C73C02">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bl>
    <w:p w14:paraId="6E4B95D0" w14:textId="77777777" w:rsidR="002C0B36" w:rsidRDefault="002C0B36" w:rsidP="00B4285D">
      <w:pPr>
        <w:rPr>
          <w:rFonts w:ascii="Calibri" w:eastAsiaTheme="minorEastAsia" w:hAnsi="Calibri" w:cs="Calibri"/>
        </w:rPr>
      </w:pPr>
    </w:p>
    <w:p w14:paraId="7561C03E" w14:textId="497D7DB0" w:rsidR="00F37DC9" w:rsidRDefault="003161ED" w:rsidP="00B4285D">
      <w:pPr>
        <w:rPr>
          <w:rFonts w:ascii="Calibri" w:eastAsiaTheme="minorEastAsia" w:hAnsi="Calibri" w:cs="Calibri"/>
        </w:rPr>
      </w:pPr>
      <w:r w:rsidRPr="00C9674F">
        <w:rPr>
          <w:noProof/>
          <w:sz w:val="16"/>
          <w:szCs w:val="16"/>
        </w:rPr>
        <mc:AlternateContent>
          <mc:Choice Requires="wps">
            <w:drawing>
              <wp:anchor distT="0" distB="0" distL="114300" distR="114300" simplePos="0" relativeHeight="251662336" behindDoc="1" locked="0" layoutInCell="1" hidden="0" allowOverlap="1" wp14:anchorId="3801A402" wp14:editId="54D96C26">
                <wp:simplePos x="0" y="0"/>
                <wp:positionH relativeFrom="margin">
                  <wp:align>right</wp:align>
                </wp:positionH>
                <wp:positionV relativeFrom="paragraph">
                  <wp:posOffset>13005</wp:posOffset>
                </wp:positionV>
                <wp:extent cx="6476365" cy="1168842"/>
                <wp:effectExtent l="0" t="0" r="635" b="0"/>
                <wp:wrapNone/>
                <wp:docPr id="4" name="Obdélník 4"/>
                <wp:cNvGraphicFramePr/>
                <a:graphic xmlns:a="http://schemas.openxmlformats.org/drawingml/2006/main">
                  <a:graphicData uri="http://schemas.microsoft.com/office/word/2010/wordprocessingShape">
                    <wps:wsp>
                      <wps:cNvSpPr/>
                      <wps:spPr>
                        <a:xfrm>
                          <a:off x="0" y="0"/>
                          <a:ext cx="6476365" cy="1168842"/>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6" w:name="_Hlk190863040"/>
                            <w:r w:rsidRPr="0073410F">
                              <w:rPr>
                                <w:rFonts w:ascii="Calibri" w:hAnsi="Calibri" w:cs="Calibri"/>
                                <w:b/>
                                <w:color w:val="FFFFFF" w:themeColor="background1"/>
                                <w:szCs w:val="18"/>
                              </w:rPr>
                              <w:t xml:space="preserve">O prognóze ČBA </w:t>
                            </w:r>
                          </w:p>
                          <w:p w14:paraId="04BF716D" w14:textId="39FE2867" w:rsidR="00EE7B05" w:rsidRPr="0073410F" w:rsidRDefault="00EE7B05" w:rsidP="00EE7B05">
                            <w:pPr>
                              <w:spacing w:line="276" w:lineRule="auto"/>
                              <w:ind w:left="28" w:hanging="28"/>
                              <w:rPr>
                                <w:rFonts w:ascii="Calibri" w:hAnsi="Calibri" w:cs="Calibri"/>
                                <w:color w:val="FFFFFF" w:themeColor="background1"/>
                                <w:szCs w:val="18"/>
                              </w:rPr>
                            </w:pPr>
                            <w:r w:rsidRPr="0073410F">
                              <w:rPr>
                                <w:rFonts w:ascii="Calibri" w:hAnsi="Calibri" w:cs="Calibri"/>
                                <w:color w:val="FFFFFF" w:themeColor="background1"/>
                                <w:szCs w:val="18"/>
                              </w:rPr>
                              <w:t xml:space="preserve">Tato prognóza vznikla na základě příspěvků analytiků </w:t>
                            </w:r>
                            <w:r w:rsidR="00840194">
                              <w:rPr>
                                <w:rFonts w:ascii="Calibri" w:hAnsi="Calibri" w:cs="Calibri"/>
                                <w:color w:val="FFFFFF" w:themeColor="background1"/>
                                <w:szCs w:val="18"/>
                              </w:rPr>
                              <w:t>8</w:t>
                            </w:r>
                            <w:r w:rsidRPr="0073410F">
                              <w:rPr>
                                <w:rFonts w:ascii="Calibri" w:hAnsi="Calibri" w:cs="Calibri"/>
                                <w:color w:val="FFFFFF" w:themeColor="background1"/>
                                <w:szCs w:val="18"/>
                              </w:rPr>
                              <w:t xml:space="preserve"> členských bank ČBA: Petr Dufek (</w:t>
                            </w:r>
                            <w:r w:rsidR="005A7E70" w:rsidRPr="0073410F">
                              <w:rPr>
                                <w:rFonts w:ascii="Calibri" w:hAnsi="Calibri" w:cs="Calibri"/>
                                <w:color w:val="FFFFFF" w:themeColor="background1"/>
                                <w:szCs w:val="18"/>
                              </w:rPr>
                              <w:t>hlavní ekonom</w:t>
                            </w:r>
                            <w:r w:rsidR="00675820"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 Banka CREDITAS</w:t>
                            </w:r>
                            <w:r w:rsidRPr="0073410F">
                              <w:rPr>
                                <w:rFonts w:ascii="Calibri" w:hAnsi="Calibri" w:cs="Calibri"/>
                                <w:color w:val="FFFFFF" w:themeColor="background1"/>
                                <w:szCs w:val="18"/>
                              </w:rPr>
                              <w:t xml:space="preserve">), </w:t>
                            </w:r>
                            <w:r w:rsidR="005A7E70" w:rsidRPr="0073410F">
                              <w:rPr>
                                <w:rFonts w:ascii="Calibri" w:hAnsi="Calibri" w:cs="Calibri"/>
                                <w:color w:val="FFFFFF" w:themeColor="background1"/>
                                <w:szCs w:val="18"/>
                              </w:rPr>
                              <w:t>Jan Bureš (</w:t>
                            </w:r>
                            <w:r w:rsidR="002165FE" w:rsidRPr="002165FE">
                              <w:rPr>
                                <w:rFonts w:ascii="Calibri" w:hAnsi="Calibri" w:cs="Calibri"/>
                                <w:color w:val="FFFFFF" w:themeColor="background1"/>
                                <w:szCs w:val="18"/>
                              </w:rPr>
                              <w:t xml:space="preserve">hlavní ekonom </w:t>
                            </w:r>
                            <w:proofErr w:type="spellStart"/>
                            <w:r w:rsidR="002165FE" w:rsidRPr="002165FE">
                              <w:rPr>
                                <w:rFonts w:ascii="Calibri" w:hAnsi="Calibri" w:cs="Calibri"/>
                                <w:color w:val="FFFFFF" w:themeColor="background1"/>
                                <w:szCs w:val="18"/>
                              </w:rPr>
                              <w:t>Patria</w:t>
                            </w:r>
                            <w:proofErr w:type="spellEnd"/>
                            <w:r w:rsidR="002165FE" w:rsidRPr="002165FE">
                              <w:rPr>
                                <w:rFonts w:ascii="Calibri" w:hAnsi="Calibri" w:cs="Calibri"/>
                                <w:color w:val="FFFFFF" w:themeColor="background1"/>
                                <w:szCs w:val="18"/>
                              </w:rPr>
                              <w:t xml:space="preserve"> Finance</w:t>
                            </w:r>
                            <w:r w:rsidR="005A7E70" w:rsidRPr="0073410F">
                              <w:rPr>
                                <w:rFonts w:ascii="Calibri" w:hAnsi="Calibri" w:cs="Calibri"/>
                                <w:color w:val="FFFFFF" w:themeColor="background1"/>
                                <w:szCs w:val="18"/>
                              </w:rPr>
                              <w:t xml:space="preserve">), </w:t>
                            </w:r>
                            <w:r w:rsidRPr="0073410F">
                              <w:rPr>
                                <w:rFonts w:ascii="Calibri" w:hAnsi="Calibri" w:cs="Calibri"/>
                                <w:color w:val="FFFFFF" w:themeColor="background1"/>
                                <w:szCs w:val="18"/>
                              </w:rPr>
                              <w:t xml:space="preserve">Petr </w:t>
                            </w:r>
                            <w:proofErr w:type="spellStart"/>
                            <w:r w:rsidRPr="0073410F">
                              <w:rPr>
                                <w:rFonts w:ascii="Calibri" w:hAnsi="Calibri" w:cs="Calibri"/>
                                <w:color w:val="FFFFFF" w:themeColor="background1"/>
                                <w:szCs w:val="18"/>
                              </w:rPr>
                              <w:t>Gapko</w:t>
                            </w:r>
                            <w:proofErr w:type="spellEnd"/>
                            <w:r w:rsidRPr="0073410F">
                              <w:rPr>
                                <w:rFonts w:ascii="Calibri" w:hAnsi="Calibri" w:cs="Calibri"/>
                                <w:color w:val="FFFFFF" w:themeColor="background1"/>
                                <w:szCs w:val="18"/>
                              </w:rPr>
                              <w:t xml:space="preserve"> (hlavní ekonom</w:t>
                            </w:r>
                            <w:r w:rsidR="00675820" w:rsidRPr="0073410F">
                              <w:rPr>
                                <w:rFonts w:ascii="Calibri" w:hAnsi="Calibri" w:cs="Calibri"/>
                                <w:color w:val="FFFFFF" w:themeColor="background1"/>
                                <w:szCs w:val="18"/>
                              </w:rPr>
                              <w:t>,</w:t>
                            </w:r>
                            <w:r w:rsidRPr="0073410F">
                              <w:rPr>
                                <w:rFonts w:ascii="Calibri" w:hAnsi="Calibri" w:cs="Calibri"/>
                                <w:color w:val="FFFFFF" w:themeColor="background1"/>
                                <w:szCs w:val="18"/>
                              </w:rPr>
                              <w:t xml:space="preserve"> MONETA Money Bank), </w:t>
                            </w:r>
                            <w:r w:rsidR="008659F5" w:rsidRPr="0073410F">
                              <w:rPr>
                                <w:rFonts w:ascii="Calibri" w:hAnsi="Calibri" w:cs="Calibri"/>
                                <w:color w:val="FFFFFF" w:themeColor="background1"/>
                                <w:szCs w:val="18"/>
                              </w:rPr>
                              <w:t xml:space="preserve">Helena Horská a </w:t>
                            </w:r>
                            <w:r w:rsidR="00AA0A43">
                              <w:rPr>
                                <w:rFonts w:ascii="Calibri" w:hAnsi="Calibri" w:cs="Calibri"/>
                                <w:color w:val="FFFFFF" w:themeColor="background1"/>
                                <w:szCs w:val="18"/>
                              </w:rPr>
                              <w:t>Martin Kron</w:t>
                            </w:r>
                            <w:r w:rsidR="005A7E70" w:rsidRPr="0073410F">
                              <w:rPr>
                                <w:rFonts w:ascii="Calibri" w:hAnsi="Calibri" w:cs="Calibri"/>
                                <w:color w:val="FFFFFF" w:themeColor="background1"/>
                                <w:szCs w:val="18"/>
                              </w:rPr>
                              <w:t xml:space="preserve"> </w:t>
                            </w:r>
                            <w:r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ekonomický </w:t>
                            </w:r>
                            <w:r w:rsidR="008659F5" w:rsidRPr="0073410F">
                              <w:rPr>
                                <w:rFonts w:ascii="Calibri" w:hAnsi="Calibri" w:cs="Calibri"/>
                                <w:color w:val="FFFFFF" w:themeColor="background1"/>
                                <w:szCs w:val="18"/>
                              </w:rPr>
                              <w:t>výzkum</w:t>
                            </w:r>
                            <w:r w:rsidRPr="0073410F">
                              <w:rPr>
                                <w:rFonts w:ascii="Calibri" w:hAnsi="Calibri" w:cs="Calibri"/>
                                <w:color w:val="FFFFFF" w:themeColor="background1"/>
                                <w:szCs w:val="18"/>
                              </w:rPr>
                              <w:t xml:space="preserve"> Raiffeisenbank), </w:t>
                            </w:r>
                            <w:r w:rsidR="00AA0A43">
                              <w:rPr>
                                <w:rFonts w:ascii="Calibri" w:hAnsi="Calibri" w:cs="Calibri"/>
                                <w:color w:val="FFFFFF" w:themeColor="background1"/>
                                <w:szCs w:val="18"/>
                              </w:rPr>
                              <w:t>Piotr Kalisz</w:t>
                            </w:r>
                            <w:r w:rsidR="00AA0A43" w:rsidRPr="0073410F">
                              <w:rPr>
                                <w:rFonts w:ascii="Calibri" w:hAnsi="Calibri" w:cs="Calibri"/>
                                <w:color w:val="FFFFFF" w:themeColor="background1"/>
                                <w:szCs w:val="18"/>
                              </w:rPr>
                              <w:t xml:space="preserve"> (hlavní ekonom Citibank), </w:t>
                            </w:r>
                            <w:r w:rsidRPr="0073410F">
                              <w:rPr>
                                <w:rFonts w:ascii="Calibri" w:hAnsi="Calibri" w:cs="Calibri"/>
                                <w:color w:val="FFFFFF" w:themeColor="background1"/>
                                <w:szCs w:val="18"/>
                              </w:rPr>
                              <w:t>Michal Skořepa (makroekonomický analytik České spořitelny), Pavel Sobíšek (hlavní ekonom, UniCredit Bank)</w:t>
                            </w:r>
                            <w:r w:rsidR="00AA0A43">
                              <w:rPr>
                                <w:rFonts w:ascii="Calibri" w:hAnsi="Calibri" w:cs="Calibri"/>
                                <w:color w:val="FFFFFF" w:themeColor="background1"/>
                                <w:szCs w:val="18"/>
                              </w:rPr>
                              <w:t xml:space="preserve"> a</w:t>
                            </w:r>
                            <w:r w:rsidRPr="0073410F">
                              <w:rPr>
                                <w:rFonts w:ascii="Calibri" w:hAnsi="Calibri" w:cs="Calibri"/>
                                <w:color w:val="FFFFFF" w:themeColor="background1"/>
                                <w:szCs w:val="18"/>
                              </w:rPr>
                              <w:t xml:space="preserve"> Jan </w:t>
                            </w:r>
                            <w:proofErr w:type="spellStart"/>
                            <w:r w:rsidRPr="0073410F">
                              <w:rPr>
                                <w:rFonts w:ascii="Calibri" w:hAnsi="Calibri" w:cs="Calibri"/>
                                <w:color w:val="FFFFFF" w:themeColor="background1"/>
                                <w:szCs w:val="18"/>
                              </w:rPr>
                              <w:t>Vejmělek</w:t>
                            </w:r>
                            <w:proofErr w:type="spellEnd"/>
                            <w:r w:rsidR="00AA0A43">
                              <w:rPr>
                                <w:rFonts w:ascii="Calibri" w:hAnsi="Calibri" w:cs="Calibri"/>
                                <w:color w:val="FFFFFF" w:themeColor="background1"/>
                                <w:szCs w:val="18"/>
                              </w:rPr>
                              <w:t xml:space="preserve"> a Martin </w:t>
                            </w:r>
                            <w:proofErr w:type="spellStart"/>
                            <w:r w:rsidR="00AA0A43" w:rsidRPr="00AA0A43">
                              <w:rPr>
                                <w:rFonts w:ascii="Calibri" w:hAnsi="Calibri" w:cs="Calibri"/>
                                <w:color w:val="FFFFFF" w:themeColor="background1"/>
                                <w:szCs w:val="18"/>
                              </w:rPr>
                              <w:t>Gürtler</w:t>
                            </w:r>
                            <w:proofErr w:type="spellEnd"/>
                            <w:r w:rsidR="00AA0A43" w:rsidRPr="00AA0A43">
                              <w:rPr>
                                <w:rFonts w:ascii="Calibri" w:hAnsi="Calibri" w:cs="Calibri"/>
                                <w:color w:val="FFFFFF" w:themeColor="background1"/>
                                <w:szCs w:val="18"/>
                              </w:rPr>
                              <w:t xml:space="preserve"> </w:t>
                            </w:r>
                            <w:r w:rsidRPr="0073410F">
                              <w:rPr>
                                <w:rFonts w:ascii="Calibri" w:hAnsi="Calibri" w:cs="Calibri"/>
                                <w:color w:val="FFFFFF" w:themeColor="background1"/>
                                <w:szCs w:val="18"/>
                              </w:rPr>
                              <w:t>(</w:t>
                            </w:r>
                            <w:r w:rsidR="00AA0A43" w:rsidRPr="0073410F">
                              <w:rPr>
                                <w:rFonts w:ascii="Calibri" w:hAnsi="Calibri" w:cs="Calibri"/>
                                <w:color w:val="FFFFFF" w:themeColor="background1"/>
                                <w:szCs w:val="18"/>
                              </w:rPr>
                              <w:t xml:space="preserve">ekonomický výzkum </w:t>
                            </w:r>
                            <w:r w:rsidRPr="0073410F">
                              <w:rPr>
                                <w:rFonts w:ascii="Calibri" w:hAnsi="Calibri" w:cs="Calibri"/>
                                <w:color w:val="FFFFFF" w:themeColor="background1"/>
                                <w:szCs w:val="18"/>
                              </w:rPr>
                              <w:t xml:space="preserve">Komerční banky). Za ČBA se na tvorbě prognózy podílel </w:t>
                            </w:r>
                            <w:r w:rsidR="002165FE" w:rsidRPr="002165FE">
                              <w:rPr>
                                <w:rFonts w:ascii="Calibri" w:hAnsi="Calibri" w:cs="Calibri"/>
                                <w:color w:val="FFFFFF" w:themeColor="background1"/>
                                <w:szCs w:val="18"/>
                              </w:rPr>
                              <w:t xml:space="preserve">její hlavní ekonom </w:t>
                            </w:r>
                            <w:r w:rsidRPr="0073410F">
                              <w:rPr>
                                <w:rFonts w:ascii="Calibri" w:hAnsi="Calibri" w:cs="Calibri"/>
                                <w:color w:val="FFFFFF" w:themeColor="background1"/>
                                <w:szCs w:val="18"/>
                              </w:rPr>
                              <w:t>Ja</w:t>
                            </w:r>
                            <w:r w:rsidR="00AA0A43">
                              <w:rPr>
                                <w:rFonts w:ascii="Calibri" w:hAnsi="Calibri" w:cs="Calibri"/>
                                <w:color w:val="FFFFFF" w:themeColor="background1"/>
                                <w:szCs w:val="18"/>
                              </w:rPr>
                              <w:t>romír Šindel</w:t>
                            </w:r>
                            <w:r w:rsidR="00361DD8" w:rsidRPr="0073410F">
                              <w:rPr>
                                <w:rFonts w:ascii="Calibri" w:hAnsi="Calibri" w:cs="Calibri"/>
                                <w:color w:val="FFFFFF" w:themeColor="background1"/>
                                <w:szCs w:val="18"/>
                              </w:rPr>
                              <w:t>.</w:t>
                            </w:r>
                          </w:p>
                          <w:bookmarkEnd w:id="6"/>
                          <w:p w14:paraId="77C1A42D" w14:textId="77777777" w:rsidR="00F37DC9" w:rsidRPr="00A55BDD" w:rsidRDefault="00F37DC9" w:rsidP="00F37DC9">
                            <w:pPr>
                              <w:spacing w:line="276" w:lineRule="auto"/>
                              <w:ind w:left="28" w:hanging="28"/>
                              <w:jc w:val="left"/>
                              <w:rPr>
                                <w:sz w:val="16"/>
                                <w:szCs w:val="16"/>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1A402" id="Obdélník 4" o:spid="_x0000_s1032" style="position:absolute;left:0;text-align:left;margin-left:458.75pt;margin-top:1pt;width:509.95pt;height:92.0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" fillcolor="#bfbfbf [2412]" stroked="f" strokeweight="1pt">
                <v:textbox inset="3mm,3mm,3mm,3mm">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7" w:name="_Hlk190863040"/>
                      <w:r w:rsidRPr="0073410F">
                        <w:rPr>
                          <w:rFonts w:ascii="Calibri" w:hAnsi="Calibri" w:cs="Calibri"/>
                          <w:b/>
                          <w:color w:val="FFFFFF" w:themeColor="background1"/>
                          <w:szCs w:val="18"/>
                        </w:rPr>
                        <w:t xml:space="preserve">O prognóze ČBA </w:t>
                      </w:r>
                    </w:p>
                    <w:p w14:paraId="04BF716D" w14:textId="39FE2867" w:rsidR="00EE7B05" w:rsidRPr="0073410F" w:rsidRDefault="00EE7B05" w:rsidP="00EE7B05">
                      <w:pPr>
                        <w:spacing w:line="276" w:lineRule="auto"/>
                        <w:ind w:left="28" w:hanging="28"/>
                        <w:rPr>
                          <w:rFonts w:ascii="Calibri" w:hAnsi="Calibri" w:cs="Calibri"/>
                          <w:color w:val="FFFFFF" w:themeColor="background1"/>
                          <w:szCs w:val="18"/>
                        </w:rPr>
                      </w:pPr>
                      <w:r w:rsidRPr="0073410F">
                        <w:rPr>
                          <w:rFonts w:ascii="Calibri" w:hAnsi="Calibri" w:cs="Calibri"/>
                          <w:color w:val="FFFFFF" w:themeColor="background1"/>
                          <w:szCs w:val="18"/>
                        </w:rPr>
                        <w:t xml:space="preserve">Tato prognóza vznikla na základě příspěvků analytiků </w:t>
                      </w:r>
                      <w:r w:rsidR="00840194">
                        <w:rPr>
                          <w:rFonts w:ascii="Calibri" w:hAnsi="Calibri" w:cs="Calibri"/>
                          <w:color w:val="FFFFFF" w:themeColor="background1"/>
                          <w:szCs w:val="18"/>
                        </w:rPr>
                        <w:t>8</w:t>
                      </w:r>
                      <w:r w:rsidRPr="0073410F">
                        <w:rPr>
                          <w:rFonts w:ascii="Calibri" w:hAnsi="Calibri" w:cs="Calibri"/>
                          <w:color w:val="FFFFFF" w:themeColor="background1"/>
                          <w:szCs w:val="18"/>
                        </w:rPr>
                        <w:t xml:space="preserve"> členských bank ČBA: Petr Dufek (</w:t>
                      </w:r>
                      <w:r w:rsidR="005A7E70" w:rsidRPr="0073410F">
                        <w:rPr>
                          <w:rFonts w:ascii="Calibri" w:hAnsi="Calibri" w:cs="Calibri"/>
                          <w:color w:val="FFFFFF" w:themeColor="background1"/>
                          <w:szCs w:val="18"/>
                        </w:rPr>
                        <w:t>hlavní ekonom</w:t>
                      </w:r>
                      <w:r w:rsidR="00675820"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 Banka CREDITAS</w:t>
                      </w:r>
                      <w:r w:rsidRPr="0073410F">
                        <w:rPr>
                          <w:rFonts w:ascii="Calibri" w:hAnsi="Calibri" w:cs="Calibri"/>
                          <w:color w:val="FFFFFF" w:themeColor="background1"/>
                          <w:szCs w:val="18"/>
                        </w:rPr>
                        <w:t xml:space="preserve">), </w:t>
                      </w:r>
                      <w:r w:rsidR="005A7E70" w:rsidRPr="0073410F">
                        <w:rPr>
                          <w:rFonts w:ascii="Calibri" w:hAnsi="Calibri" w:cs="Calibri"/>
                          <w:color w:val="FFFFFF" w:themeColor="background1"/>
                          <w:szCs w:val="18"/>
                        </w:rPr>
                        <w:t>Jan Bureš (</w:t>
                      </w:r>
                      <w:r w:rsidR="002165FE" w:rsidRPr="002165FE">
                        <w:rPr>
                          <w:rFonts w:ascii="Calibri" w:hAnsi="Calibri" w:cs="Calibri"/>
                          <w:color w:val="FFFFFF" w:themeColor="background1"/>
                          <w:szCs w:val="18"/>
                        </w:rPr>
                        <w:t>hlavní ekonom Patria Finance</w:t>
                      </w:r>
                      <w:r w:rsidR="005A7E70" w:rsidRPr="0073410F">
                        <w:rPr>
                          <w:rFonts w:ascii="Calibri" w:hAnsi="Calibri" w:cs="Calibri"/>
                          <w:color w:val="FFFFFF" w:themeColor="background1"/>
                          <w:szCs w:val="18"/>
                        </w:rPr>
                        <w:t xml:space="preserve">), </w:t>
                      </w:r>
                      <w:r w:rsidRPr="0073410F">
                        <w:rPr>
                          <w:rFonts w:ascii="Calibri" w:hAnsi="Calibri" w:cs="Calibri"/>
                          <w:color w:val="FFFFFF" w:themeColor="background1"/>
                          <w:szCs w:val="18"/>
                        </w:rPr>
                        <w:t>Petr Gapko (hlavní ekonom</w:t>
                      </w:r>
                      <w:r w:rsidR="00675820" w:rsidRPr="0073410F">
                        <w:rPr>
                          <w:rFonts w:ascii="Calibri" w:hAnsi="Calibri" w:cs="Calibri"/>
                          <w:color w:val="FFFFFF" w:themeColor="background1"/>
                          <w:szCs w:val="18"/>
                        </w:rPr>
                        <w:t>,</w:t>
                      </w:r>
                      <w:r w:rsidRPr="0073410F">
                        <w:rPr>
                          <w:rFonts w:ascii="Calibri" w:hAnsi="Calibri" w:cs="Calibri"/>
                          <w:color w:val="FFFFFF" w:themeColor="background1"/>
                          <w:szCs w:val="18"/>
                        </w:rPr>
                        <w:t xml:space="preserve"> MONETA Money Bank), </w:t>
                      </w:r>
                      <w:r w:rsidR="008659F5" w:rsidRPr="0073410F">
                        <w:rPr>
                          <w:rFonts w:ascii="Calibri" w:hAnsi="Calibri" w:cs="Calibri"/>
                          <w:color w:val="FFFFFF" w:themeColor="background1"/>
                          <w:szCs w:val="18"/>
                        </w:rPr>
                        <w:t xml:space="preserve">Helena Horská a </w:t>
                      </w:r>
                      <w:r w:rsidR="00AA0A43">
                        <w:rPr>
                          <w:rFonts w:ascii="Calibri" w:hAnsi="Calibri" w:cs="Calibri"/>
                          <w:color w:val="FFFFFF" w:themeColor="background1"/>
                          <w:szCs w:val="18"/>
                        </w:rPr>
                        <w:t>Martin Kron</w:t>
                      </w:r>
                      <w:r w:rsidR="005A7E70" w:rsidRPr="0073410F">
                        <w:rPr>
                          <w:rFonts w:ascii="Calibri" w:hAnsi="Calibri" w:cs="Calibri"/>
                          <w:color w:val="FFFFFF" w:themeColor="background1"/>
                          <w:szCs w:val="18"/>
                        </w:rPr>
                        <w:t xml:space="preserve"> </w:t>
                      </w:r>
                      <w:r w:rsidRPr="0073410F">
                        <w:rPr>
                          <w:rFonts w:ascii="Calibri" w:hAnsi="Calibri" w:cs="Calibri"/>
                          <w:color w:val="FFFFFF" w:themeColor="background1"/>
                          <w:szCs w:val="18"/>
                        </w:rPr>
                        <w:t>(</w:t>
                      </w:r>
                      <w:r w:rsidR="005A7E70" w:rsidRPr="0073410F">
                        <w:rPr>
                          <w:rFonts w:ascii="Calibri" w:hAnsi="Calibri" w:cs="Calibri"/>
                          <w:color w:val="FFFFFF" w:themeColor="background1"/>
                          <w:szCs w:val="18"/>
                        </w:rPr>
                        <w:t xml:space="preserve">ekonomický </w:t>
                      </w:r>
                      <w:r w:rsidR="008659F5" w:rsidRPr="0073410F">
                        <w:rPr>
                          <w:rFonts w:ascii="Calibri" w:hAnsi="Calibri" w:cs="Calibri"/>
                          <w:color w:val="FFFFFF" w:themeColor="background1"/>
                          <w:szCs w:val="18"/>
                        </w:rPr>
                        <w:t>výzkum</w:t>
                      </w:r>
                      <w:r w:rsidRPr="0073410F">
                        <w:rPr>
                          <w:rFonts w:ascii="Calibri" w:hAnsi="Calibri" w:cs="Calibri"/>
                          <w:color w:val="FFFFFF" w:themeColor="background1"/>
                          <w:szCs w:val="18"/>
                        </w:rPr>
                        <w:t xml:space="preserve"> Raiffeisenbank), </w:t>
                      </w:r>
                      <w:r w:rsidR="00AA0A43">
                        <w:rPr>
                          <w:rFonts w:ascii="Calibri" w:hAnsi="Calibri" w:cs="Calibri"/>
                          <w:color w:val="FFFFFF" w:themeColor="background1"/>
                          <w:szCs w:val="18"/>
                        </w:rPr>
                        <w:t>Piotr Kalisz</w:t>
                      </w:r>
                      <w:r w:rsidR="00AA0A43" w:rsidRPr="0073410F">
                        <w:rPr>
                          <w:rFonts w:ascii="Calibri" w:hAnsi="Calibri" w:cs="Calibri"/>
                          <w:color w:val="FFFFFF" w:themeColor="background1"/>
                          <w:szCs w:val="18"/>
                        </w:rPr>
                        <w:t xml:space="preserve"> (hlavní ekonom Citibank), </w:t>
                      </w:r>
                      <w:r w:rsidRPr="0073410F">
                        <w:rPr>
                          <w:rFonts w:ascii="Calibri" w:hAnsi="Calibri" w:cs="Calibri"/>
                          <w:color w:val="FFFFFF" w:themeColor="background1"/>
                          <w:szCs w:val="18"/>
                        </w:rPr>
                        <w:t>Michal Skořepa (makroekonomický analytik České spořitelny), Pavel Sobíšek (hlavní ekonom, UniCredit Bank)</w:t>
                      </w:r>
                      <w:r w:rsidR="00AA0A43">
                        <w:rPr>
                          <w:rFonts w:ascii="Calibri" w:hAnsi="Calibri" w:cs="Calibri"/>
                          <w:color w:val="FFFFFF" w:themeColor="background1"/>
                          <w:szCs w:val="18"/>
                        </w:rPr>
                        <w:t xml:space="preserve"> a</w:t>
                      </w:r>
                      <w:r w:rsidRPr="0073410F">
                        <w:rPr>
                          <w:rFonts w:ascii="Calibri" w:hAnsi="Calibri" w:cs="Calibri"/>
                          <w:color w:val="FFFFFF" w:themeColor="background1"/>
                          <w:szCs w:val="18"/>
                        </w:rPr>
                        <w:t xml:space="preserve"> Jan Vejmělek</w:t>
                      </w:r>
                      <w:r w:rsidR="00AA0A43">
                        <w:rPr>
                          <w:rFonts w:ascii="Calibri" w:hAnsi="Calibri" w:cs="Calibri"/>
                          <w:color w:val="FFFFFF" w:themeColor="background1"/>
                          <w:szCs w:val="18"/>
                        </w:rPr>
                        <w:t xml:space="preserve"> a Martin </w:t>
                      </w:r>
                      <w:r w:rsidR="00AA0A43" w:rsidRPr="00AA0A43">
                        <w:rPr>
                          <w:rFonts w:ascii="Calibri" w:hAnsi="Calibri" w:cs="Calibri"/>
                          <w:color w:val="FFFFFF" w:themeColor="background1"/>
                          <w:szCs w:val="18"/>
                        </w:rPr>
                        <w:t xml:space="preserve">Gürtler </w:t>
                      </w:r>
                      <w:r w:rsidRPr="0073410F">
                        <w:rPr>
                          <w:rFonts w:ascii="Calibri" w:hAnsi="Calibri" w:cs="Calibri"/>
                          <w:color w:val="FFFFFF" w:themeColor="background1"/>
                          <w:szCs w:val="18"/>
                        </w:rPr>
                        <w:t>(</w:t>
                      </w:r>
                      <w:r w:rsidR="00AA0A43" w:rsidRPr="0073410F">
                        <w:rPr>
                          <w:rFonts w:ascii="Calibri" w:hAnsi="Calibri" w:cs="Calibri"/>
                          <w:color w:val="FFFFFF" w:themeColor="background1"/>
                          <w:szCs w:val="18"/>
                        </w:rPr>
                        <w:t xml:space="preserve">ekonomický výzkum </w:t>
                      </w:r>
                      <w:r w:rsidRPr="0073410F">
                        <w:rPr>
                          <w:rFonts w:ascii="Calibri" w:hAnsi="Calibri" w:cs="Calibri"/>
                          <w:color w:val="FFFFFF" w:themeColor="background1"/>
                          <w:szCs w:val="18"/>
                        </w:rPr>
                        <w:t xml:space="preserve">Komerční banky). Za ČBA se na tvorbě prognózy podílel </w:t>
                      </w:r>
                      <w:r w:rsidR="002165FE" w:rsidRPr="002165FE">
                        <w:rPr>
                          <w:rFonts w:ascii="Calibri" w:hAnsi="Calibri" w:cs="Calibri"/>
                          <w:color w:val="FFFFFF" w:themeColor="background1"/>
                          <w:szCs w:val="18"/>
                        </w:rPr>
                        <w:t xml:space="preserve">její hlavní ekonom </w:t>
                      </w:r>
                      <w:r w:rsidRPr="0073410F">
                        <w:rPr>
                          <w:rFonts w:ascii="Calibri" w:hAnsi="Calibri" w:cs="Calibri"/>
                          <w:color w:val="FFFFFF" w:themeColor="background1"/>
                          <w:szCs w:val="18"/>
                        </w:rPr>
                        <w:t>Ja</w:t>
                      </w:r>
                      <w:r w:rsidR="00AA0A43">
                        <w:rPr>
                          <w:rFonts w:ascii="Calibri" w:hAnsi="Calibri" w:cs="Calibri"/>
                          <w:color w:val="FFFFFF" w:themeColor="background1"/>
                          <w:szCs w:val="18"/>
                        </w:rPr>
                        <w:t>romír Šindel</w:t>
                      </w:r>
                      <w:r w:rsidR="00361DD8" w:rsidRPr="0073410F">
                        <w:rPr>
                          <w:rFonts w:ascii="Calibri" w:hAnsi="Calibri" w:cs="Calibri"/>
                          <w:color w:val="FFFFFF" w:themeColor="background1"/>
                          <w:szCs w:val="18"/>
                        </w:rPr>
                        <w:t>.</w:t>
                      </w:r>
                    </w:p>
                    <w:bookmarkEnd w:id="7"/>
                    <w:p w14:paraId="77C1A42D" w14:textId="77777777" w:rsidR="00F37DC9" w:rsidRPr="00A55BDD" w:rsidRDefault="00F37DC9" w:rsidP="00F37DC9">
                      <w:pPr>
                        <w:spacing w:line="276" w:lineRule="auto"/>
                        <w:ind w:left="28" w:hanging="28"/>
                        <w:jc w:val="left"/>
                        <w:rPr>
                          <w:sz w:val="16"/>
                          <w:szCs w:val="16"/>
                        </w:rPr>
                      </w:pPr>
                    </w:p>
                  </w:txbxContent>
                </v:textbox>
                <w10:wrap anchorx="margin"/>
              </v:rect>
            </w:pict>
          </mc:Fallback>
        </mc:AlternateContent>
      </w:r>
      <w:r w:rsidR="00165D62" w:rsidRPr="00F37DC9">
        <w:rPr>
          <w:rFonts w:ascii="Calibri" w:eastAsiaTheme="minorEastAsia" w:hAnsi="Calibri" w:cs="Calibri"/>
        </w:rPr>
        <w:tab/>
      </w:r>
    </w:p>
    <w:p w14:paraId="17CF7A7C" w14:textId="77777777" w:rsidR="005547BF" w:rsidRDefault="005547BF" w:rsidP="00B4285D">
      <w:pPr>
        <w:rPr>
          <w:rFonts w:ascii="Calibri" w:eastAsiaTheme="minorEastAsia" w:hAnsi="Calibri" w:cs="Calibri"/>
        </w:rPr>
      </w:pPr>
    </w:p>
    <w:p w14:paraId="3B70CAB7" w14:textId="77777777" w:rsidR="005547BF" w:rsidRDefault="005547BF" w:rsidP="00B4285D">
      <w:pPr>
        <w:rPr>
          <w:rFonts w:ascii="Calibri" w:eastAsiaTheme="minorEastAsia" w:hAnsi="Calibri" w:cs="Calibri"/>
        </w:rPr>
      </w:pPr>
    </w:p>
    <w:p w14:paraId="6DB62AD1" w14:textId="5086AED3" w:rsidR="001642C0" w:rsidRDefault="001642C0" w:rsidP="00B4285D">
      <w:pPr>
        <w:rPr>
          <w:rFonts w:ascii="Calibri" w:eastAsiaTheme="minorEastAsia" w:hAnsi="Calibri" w:cs="Calibri"/>
        </w:rPr>
      </w:pPr>
    </w:p>
    <w:p w14:paraId="52E6141C" w14:textId="16E75886" w:rsidR="00F37DC9" w:rsidRDefault="00F37DC9" w:rsidP="00B4285D">
      <w:pPr>
        <w:rPr>
          <w:rFonts w:ascii="Calibri" w:eastAsiaTheme="minorEastAsia" w:hAnsi="Calibri" w:cs="Calibri"/>
        </w:rPr>
      </w:pPr>
    </w:p>
    <w:p w14:paraId="59DD5F85" w14:textId="14AD5D2F" w:rsidR="00F37DC9" w:rsidRDefault="00F37DC9" w:rsidP="00B4285D">
      <w:pPr>
        <w:rPr>
          <w:rFonts w:ascii="Calibri" w:eastAsiaTheme="minorEastAsia" w:hAnsi="Calibri" w:cs="Calibri"/>
        </w:rPr>
      </w:pPr>
    </w:p>
    <w:p w14:paraId="333F07F6" w14:textId="217C26C9" w:rsidR="00F37DC9" w:rsidRDefault="00F37DC9" w:rsidP="00B4285D">
      <w:pPr>
        <w:rPr>
          <w:rFonts w:ascii="Calibri" w:eastAsiaTheme="minorEastAsia" w:hAnsi="Calibri" w:cs="Calibri"/>
        </w:rPr>
      </w:pPr>
    </w:p>
    <w:p w14:paraId="5ACD7EBC" w14:textId="267566DC" w:rsidR="00F37DC9" w:rsidRDefault="00F37DC9" w:rsidP="00272A8E">
      <w:pPr>
        <w:tabs>
          <w:tab w:val="left" w:pos="2532"/>
        </w:tabs>
        <w:rPr>
          <w:rFonts w:ascii="Calibri" w:eastAsiaTheme="minorEastAsia" w:hAnsi="Calibri" w:cs="Calibri"/>
        </w:rPr>
      </w:pPr>
    </w:p>
    <w:p w14:paraId="77090A9B" w14:textId="5B92B9DD" w:rsidR="00F37DC9" w:rsidRDefault="00F37DC9" w:rsidP="00B4285D">
      <w:pPr>
        <w:rPr>
          <w:rFonts w:ascii="Calibri" w:eastAsiaTheme="minorEastAsia" w:hAnsi="Calibri" w:cs="Calibri"/>
        </w:rPr>
      </w:pPr>
    </w:p>
    <w:p w14:paraId="1EE8715A" w14:textId="77777777" w:rsidR="002F2215" w:rsidRDefault="002F2215" w:rsidP="00B4285D">
      <w:pPr>
        <w:rPr>
          <w:rFonts w:ascii="Calibri" w:eastAsiaTheme="minorEastAsia" w:hAnsi="Calibri" w:cs="Calibri"/>
        </w:rPr>
      </w:pPr>
    </w:p>
    <w:p w14:paraId="5D41C5D7" w14:textId="77777777" w:rsidR="0073410F" w:rsidRDefault="0073410F" w:rsidP="00B4285D">
      <w:pPr>
        <w:rPr>
          <w:rFonts w:ascii="Calibri" w:eastAsiaTheme="minorEastAsia" w:hAnsi="Calibri" w:cs="Calibri"/>
        </w:rPr>
      </w:pPr>
    </w:p>
    <w:tbl>
      <w:tblPr>
        <w:tblW w:w="10201" w:type="dxa"/>
        <w:tblLook w:val="04A0" w:firstRow="1" w:lastRow="0" w:firstColumn="1" w:lastColumn="0" w:noHBand="0" w:noVBand="1"/>
      </w:tblPr>
      <w:tblGrid>
        <w:gridCol w:w="6817"/>
        <w:gridCol w:w="3384"/>
      </w:tblGrid>
      <w:tr w:rsidR="0073410F" w:rsidRPr="00635D8B" w14:paraId="2BB4B9D8" w14:textId="77777777" w:rsidTr="001726CC">
        <w:trPr>
          <w:trHeight w:val="1364"/>
        </w:trPr>
        <w:tc>
          <w:tcPr>
            <w:tcW w:w="6817" w:type="dxa"/>
            <w:shd w:val="clear" w:color="auto" w:fill="13576B"/>
          </w:tcPr>
          <w:p w14:paraId="32CA9EB7" w14:textId="77777777" w:rsidR="0073410F" w:rsidRDefault="0073410F" w:rsidP="001726CC">
            <w:pPr>
              <w:pStyle w:val="CBANadpisvTABULCE"/>
              <w:jc w:val="both"/>
              <w:rPr>
                <w:rFonts w:ascii="IBM Plex Sans" w:hAnsi="IBM Plex Sans" w:cs="Poppins"/>
                <w:color w:val="FFFFFF"/>
                <w:szCs w:val="18"/>
              </w:rPr>
            </w:pPr>
            <w:r>
              <w:rPr>
                <w:rFonts w:ascii="IBM Plex Sans" w:hAnsi="IBM Plex Sans" w:cs="Poppins"/>
                <w:color w:val="FFFFFF"/>
                <w:szCs w:val="18"/>
              </w:rPr>
              <w:t>O České bankovní asociaci</w:t>
            </w:r>
          </w:p>
          <w:p w14:paraId="22379D56" w14:textId="057F3E4D" w:rsidR="0073410F" w:rsidRDefault="0073410F" w:rsidP="001726CC">
            <w:pPr>
              <w:rPr>
                <w:rFonts w:ascii="Calibri" w:hAnsi="Calibri"/>
                <w:color w:val="FFFFFF"/>
                <w:sz w:val="22"/>
              </w:rPr>
            </w:pPr>
            <w:bookmarkStart w:id="7" w:name="_Hlk128734138"/>
            <w:r>
              <w:rPr>
                <w:color w:val="FFFFFF"/>
              </w:rPr>
              <w:t>Česká bankovní asociace (ČBA) je dobrovolné sdružení 3</w:t>
            </w:r>
            <w:r w:rsidR="004E3E95">
              <w:rPr>
                <w:color w:val="FFFFFF"/>
              </w:rPr>
              <w:t>3</w:t>
            </w:r>
            <w:r>
              <w:rPr>
                <w:color w:val="FFFFFF"/>
              </w:rPr>
              <w:t xml:space="preserve"> bank působících v České republice a reprezentuje tak 99 % trhu. Již 30 let podporuje nejen rozvoj bankovního sektoru, ale i celé ekonomiky a všeobecné finanční gramotnosti. ČBA je členem Evropské bankovní federace (EBF).</w:t>
            </w:r>
          </w:p>
          <w:bookmarkEnd w:id="7"/>
          <w:p w14:paraId="4A9BB153" w14:textId="77777777" w:rsidR="0073410F" w:rsidRDefault="0073410F" w:rsidP="001726CC">
            <w:pPr>
              <w:pStyle w:val="CBAodstavecvTABULCE"/>
              <w:jc w:val="both"/>
              <w:rPr>
                <w:rFonts w:ascii="IBM Plex Sans" w:hAnsi="IBM Plex Sans" w:cs="Poppins"/>
                <w:color w:val="FFFFFF"/>
                <w:szCs w:val="18"/>
              </w:rPr>
            </w:pPr>
            <w:r>
              <w:rPr>
                <w:rFonts w:ascii="IBM Plex Sans" w:hAnsi="IBM Plex Sans" w:cs="Poppins"/>
                <w:color w:val="FFFFFF"/>
                <w:szCs w:val="18"/>
              </w:rPr>
              <w:t xml:space="preserve">Více informací na </w:t>
            </w:r>
            <w:r>
              <w:rPr>
                <w:rFonts w:ascii="IBM Plex Sans" w:hAnsi="IBM Plex Sans" w:cs="Poppins"/>
                <w:color w:val="FFFFFF"/>
                <w:szCs w:val="18"/>
                <w:u w:val="single"/>
              </w:rPr>
              <w:t>www.cbaonline.cz.</w:t>
            </w:r>
            <w:r>
              <w:rPr>
                <w:rFonts w:ascii="IBM Plex Sans" w:hAnsi="IBM Plex Sans" w:cs="Poppins"/>
                <w:color w:val="A9936D"/>
                <w:szCs w:val="18"/>
              </w:rPr>
              <w:t xml:space="preserve"> </w:t>
            </w:r>
          </w:p>
        </w:tc>
        <w:tc>
          <w:tcPr>
            <w:tcW w:w="3384" w:type="dxa"/>
            <w:shd w:val="clear" w:color="auto" w:fill="A9936D"/>
            <w:vAlign w:val="center"/>
          </w:tcPr>
          <w:p w14:paraId="51EEA920" w14:textId="77777777" w:rsidR="0073410F" w:rsidRDefault="0073410F" w:rsidP="001726CC">
            <w:pPr>
              <w:pStyle w:val="CBAodstavecvTABULCE"/>
              <w:rPr>
                <w:rFonts w:ascii="IBM Plex Sans" w:hAnsi="IBM Plex Sans" w:cs="Poppins"/>
                <w:b/>
                <w:bCs/>
                <w:color w:val="FFFFFF"/>
                <w:szCs w:val="18"/>
              </w:rPr>
            </w:pPr>
            <w:r>
              <w:rPr>
                <w:rFonts w:ascii="IBM Plex Sans" w:hAnsi="IBM Plex Sans" w:cs="Poppins"/>
                <w:b/>
                <w:bCs/>
                <w:color w:val="FFFFFF"/>
                <w:szCs w:val="18"/>
              </w:rPr>
              <w:t xml:space="preserve">                Dotazy posílejte na</w:t>
            </w:r>
          </w:p>
          <w:p w14:paraId="4BDB00A6" w14:textId="77777777" w:rsidR="0073410F" w:rsidRDefault="0073410F" w:rsidP="001726CC">
            <w:pPr>
              <w:pStyle w:val="CBAodstavecvTABULCE"/>
              <w:jc w:val="center"/>
              <w:rPr>
                <w:rFonts w:ascii="IBM Plex Sans" w:hAnsi="IBM Plex Sans" w:cs="Poppins"/>
                <w:color w:val="FFFFFF"/>
                <w:szCs w:val="18"/>
              </w:rPr>
            </w:pPr>
            <w:r>
              <w:rPr>
                <w:rFonts w:ascii="IBM Plex Sans" w:hAnsi="IBM Plex Sans" w:cs="Poppins"/>
                <w:b/>
                <w:bCs/>
                <w:color w:val="FFFFFF"/>
                <w:szCs w:val="18"/>
              </w:rPr>
              <w:t>radek.salsa@cbaonline.cz</w:t>
            </w:r>
          </w:p>
        </w:tc>
      </w:tr>
    </w:tbl>
    <w:p w14:paraId="1AE6FC8E" w14:textId="01CA802E" w:rsidR="005C1943" w:rsidRPr="00F37DC9" w:rsidRDefault="005C1943" w:rsidP="0063005B">
      <w:pPr>
        <w:rPr>
          <w:rFonts w:ascii="Calibri" w:eastAsiaTheme="minorEastAsia" w:hAnsi="Calibri" w:cs="Calibri"/>
        </w:rPr>
      </w:pPr>
    </w:p>
    <w:sectPr w:rsidR="005C1943" w:rsidRPr="00F37DC9" w:rsidSect="00524989">
      <w:headerReference w:type="default" r:id="rId22"/>
      <w:footerReference w:type="default" r:id="rId23"/>
      <w:pgSz w:w="11906" w:h="16838"/>
      <w:pgMar w:top="2552" w:right="851" w:bottom="1418" w:left="851"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AFF32" w14:textId="77777777" w:rsidR="00524989" w:rsidRDefault="00524989" w:rsidP="00F573F1">
      <w:r>
        <w:separator/>
      </w:r>
    </w:p>
  </w:endnote>
  <w:endnote w:type="continuationSeparator" w:id="0">
    <w:p w14:paraId="272D8146" w14:textId="77777777" w:rsidR="00524989" w:rsidRDefault="00524989" w:rsidP="00F573F1">
      <w:r>
        <w:continuationSeparator/>
      </w:r>
    </w:p>
  </w:endnote>
  <w:endnote w:type="continuationNotice" w:id="1">
    <w:p w14:paraId="014565D5" w14:textId="77777777" w:rsidR="00524989" w:rsidRDefault="00524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oppins">
    <w:panose1 w:val="00000500000000000000"/>
    <w:charset w:val="EE"/>
    <w:family w:val="auto"/>
    <w:pitch w:val="variable"/>
    <w:sig w:usb0="00008007"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Cs w:val="18"/>
      </w:rPr>
      <w:id w:val="1149944182"/>
      <w:docPartObj>
        <w:docPartGallery w:val="Page Numbers (Bottom of Page)"/>
        <w:docPartUnique/>
      </w:docPartObj>
    </w:sdtPr>
    <w:sdtEndPr/>
    <w:sdtContent>
      <w:sdt>
        <w:sdtPr>
          <w:rPr>
            <w:rFonts w:ascii="Calibri" w:hAnsi="Calibri" w:cs="Calibri"/>
            <w:szCs w:val="18"/>
          </w:rPr>
          <w:id w:val="-1769616900"/>
          <w:docPartObj>
            <w:docPartGallery w:val="Page Numbers (Top of Page)"/>
            <w:docPartUnique/>
          </w:docPartObj>
        </w:sdtPr>
        <w:sdtEndPr/>
        <w:sdtContent>
          <w:p w14:paraId="7854F1F5" w14:textId="19327CD8" w:rsidR="00F37DC9" w:rsidRPr="00F37DC9" w:rsidRDefault="00F37DC9">
            <w:pPr>
              <w:pStyle w:val="Zpat"/>
              <w:jc w:val="right"/>
              <w:rPr>
                <w:rFonts w:ascii="Calibri" w:hAnsi="Calibri" w:cs="Calibri"/>
                <w:szCs w:val="18"/>
              </w:rPr>
            </w:pPr>
            <w:r w:rsidRPr="001E31AB">
              <w:rPr>
                <w:rFonts w:ascii="Calibri" w:hAnsi="Calibri"/>
                <w:noProof/>
                <w:szCs w:val="18"/>
              </w:rPr>
              <w:drawing>
                <wp:anchor distT="0" distB="0" distL="114300" distR="114300" simplePos="0" relativeHeight="251665408" behindDoc="0" locked="0" layoutInCell="1" allowOverlap="1" wp14:anchorId="40EC3339" wp14:editId="625B1AC4">
                  <wp:simplePos x="0" y="0"/>
                  <wp:positionH relativeFrom="column">
                    <wp:posOffset>-541020</wp:posOffset>
                  </wp:positionH>
                  <wp:positionV relativeFrom="paragraph">
                    <wp:posOffset>-137160</wp:posOffset>
                  </wp:positionV>
                  <wp:extent cx="3042285" cy="701040"/>
                  <wp:effectExtent l="0" t="0" r="571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DC9">
              <w:rPr>
                <w:rFonts w:ascii="Calibri" w:hAnsi="Calibri" w:cs="Calibri"/>
                <w:szCs w:val="18"/>
              </w:rPr>
              <w:t xml:space="preserve">Stránka </w:t>
            </w:r>
            <w:r w:rsidRPr="00F37DC9">
              <w:rPr>
                <w:rFonts w:ascii="Calibri" w:hAnsi="Calibri" w:cs="Calibri"/>
                <w:b/>
                <w:bCs/>
                <w:szCs w:val="18"/>
              </w:rPr>
              <w:fldChar w:fldCharType="begin"/>
            </w:r>
            <w:r w:rsidRPr="00F37DC9">
              <w:rPr>
                <w:rFonts w:ascii="Calibri" w:hAnsi="Calibri" w:cs="Calibri"/>
                <w:b/>
                <w:bCs/>
                <w:szCs w:val="18"/>
              </w:rPr>
              <w:instrText>PAGE</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r w:rsidRPr="00F37DC9">
              <w:rPr>
                <w:rFonts w:ascii="Calibri" w:hAnsi="Calibri" w:cs="Calibri"/>
                <w:szCs w:val="18"/>
              </w:rPr>
              <w:t xml:space="preserve"> z </w:t>
            </w:r>
            <w:r w:rsidRPr="00F37DC9">
              <w:rPr>
                <w:rFonts w:ascii="Calibri" w:hAnsi="Calibri" w:cs="Calibri"/>
                <w:b/>
                <w:bCs/>
                <w:szCs w:val="18"/>
              </w:rPr>
              <w:fldChar w:fldCharType="begin"/>
            </w:r>
            <w:r w:rsidRPr="00F37DC9">
              <w:rPr>
                <w:rFonts w:ascii="Calibri" w:hAnsi="Calibri" w:cs="Calibri"/>
                <w:b/>
                <w:bCs/>
                <w:szCs w:val="18"/>
              </w:rPr>
              <w:instrText>NUMPAGES</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p>
        </w:sdtContent>
      </w:sdt>
    </w:sdtContent>
  </w:sdt>
  <w:p w14:paraId="6B2FBE8E" w14:textId="77777777" w:rsidR="00536B9B" w:rsidRPr="00FB4A1C" w:rsidRDefault="00536B9B"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FD9AB" w14:textId="77777777" w:rsidR="00524989" w:rsidRDefault="00524989" w:rsidP="00F573F1">
      <w:r>
        <w:separator/>
      </w:r>
    </w:p>
  </w:footnote>
  <w:footnote w:type="continuationSeparator" w:id="0">
    <w:p w14:paraId="6D941BDB" w14:textId="77777777" w:rsidR="00524989" w:rsidRDefault="00524989" w:rsidP="00F573F1">
      <w:r>
        <w:continuationSeparator/>
      </w:r>
    </w:p>
  </w:footnote>
  <w:footnote w:type="continuationNotice" w:id="1">
    <w:p w14:paraId="4A6414BF" w14:textId="77777777" w:rsidR="00524989" w:rsidRDefault="00524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6A72" w14:textId="2B5E0211" w:rsidR="00F37DC9" w:rsidRDefault="00F37DC9" w:rsidP="00F37DC9">
    <w:pPr>
      <w:pStyle w:val="Zhlav"/>
    </w:pPr>
    <w:r>
      <w:rPr>
        <w:noProof/>
      </w:rPr>
      <w:drawing>
        <wp:anchor distT="0" distB="0" distL="114300" distR="114300" simplePos="0" relativeHeight="251661312" behindDoc="0" locked="0" layoutInCell="1" allowOverlap="1" wp14:anchorId="12F98975" wp14:editId="270559D0">
          <wp:simplePos x="0" y="0"/>
          <wp:positionH relativeFrom="column">
            <wp:posOffset>-52705</wp:posOffset>
          </wp:positionH>
          <wp:positionV relativeFrom="paragraph">
            <wp:posOffset>29845</wp:posOffset>
          </wp:positionV>
          <wp:extent cx="2209800" cy="778510"/>
          <wp:effectExtent l="0" t="0" r="0" b="254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BA7D056" wp14:editId="7FF03F24">
          <wp:simplePos x="0" y="0"/>
          <wp:positionH relativeFrom="column">
            <wp:posOffset>3985895</wp:posOffset>
          </wp:positionH>
          <wp:positionV relativeFrom="paragraph">
            <wp:posOffset>-8255</wp:posOffset>
          </wp:positionV>
          <wp:extent cx="2943225" cy="243840"/>
          <wp:effectExtent l="0" t="0" r="9525" b="381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17EE12" w14:textId="71D7CCA0" w:rsidR="00F37DC9" w:rsidRDefault="00F37DC9">
    <w:pPr>
      <w:pStyle w:val="Zhlav"/>
    </w:pPr>
    <w:r w:rsidRPr="00F615BD">
      <w:rPr>
        <w:noProof/>
        <w:lang w:val="en-GB" w:eastAsia="en-GB"/>
      </w:rPr>
      <mc:AlternateContent>
        <mc:Choice Requires="wps">
          <w:drawing>
            <wp:anchor distT="45720" distB="45720" distL="114300" distR="114300" simplePos="0" relativeHeight="251659264" behindDoc="0" locked="0" layoutInCell="1" allowOverlap="1" wp14:anchorId="05CB3763" wp14:editId="7894AD3D">
              <wp:simplePos x="0" y="0"/>
              <wp:positionH relativeFrom="margin">
                <wp:posOffset>5289974</wp:posOffset>
              </wp:positionH>
              <wp:positionV relativeFrom="paragraph">
                <wp:posOffset>6985</wp:posOffset>
              </wp:positionV>
              <wp:extent cx="1239520" cy="1404620"/>
              <wp:effectExtent l="0" t="0" r="0" b="0"/>
              <wp:wrapNone/>
              <wp:docPr id="20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5A4E0EC2" w:rsidR="00F37DC9" w:rsidRPr="00F37DC9" w:rsidRDefault="003503ED" w:rsidP="00F37DC9">
                          <w:pPr>
                            <w:spacing w:line="276" w:lineRule="auto"/>
                            <w:jc w:val="right"/>
                            <w:rPr>
                              <w:rFonts w:ascii="Calibri" w:hAnsi="Calibri" w:cs="Calibri"/>
                              <w:b/>
                              <w:color w:val="13576B"/>
                              <w:sz w:val="22"/>
                              <w:szCs w:val="24"/>
                            </w:rPr>
                          </w:pPr>
                          <w:r>
                            <w:rPr>
                              <w:rFonts w:ascii="Calibri" w:hAnsi="Calibri" w:cs="Calibri"/>
                              <w:color w:val="13576B"/>
                              <w:sz w:val="22"/>
                              <w:szCs w:val="24"/>
                            </w:rPr>
                            <w:t>2</w:t>
                          </w:r>
                          <w:r w:rsidR="00840194">
                            <w:rPr>
                              <w:rFonts w:ascii="Calibri" w:hAnsi="Calibri" w:cs="Calibri"/>
                              <w:color w:val="13576B"/>
                              <w:sz w:val="22"/>
                              <w:szCs w:val="24"/>
                            </w:rPr>
                            <w:t>2</w:t>
                          </w:r>
                          <w:r w:rsidR="00F37DC9" w:rsidRPr="00F37DC9">
                            <w:rPr>
                              <w:rFonts w:ascii="Calibri" w:hAnsi="Calibri" w:cs="Calibri"/>
                              <w:color w:val="13576B"/>
                              <w:sz w:val="22"/>
                              <w:szCs w:val="24"/>
                            </w:rPr>
                            <w:t xml:space="preserve">. </w:t>
                          </w:r>
                          <w:r w:rsidR="00840194">
                            <w:rPr>
                              <w:rFonts w:ascii="Calibri" w:hAnsi="Calibri" w:cs="Calibri"/>
                              <w:color w:val="13576B"/>
                              <w:sz w:val="22"/>
                              <w:szCs w:val="24"/>
                            </w:rPr>
                            <w:t>5</w:t>
                          </w:r>
                          <w:r w:rsidR="00F37DC9" w:rsidRPr="00F37DC9">
                            <w:rPr>
                              <w:rFonts w:ascii="Calibri" w:hAnsi="Calibri" w:cs="Calibri"/>
                              <w:color w:val="13576B"/>
                              <w:sz w:val="22"/>
                              <w:szCs w:val="24"/>
                            </w:rPr>
                            <w:t>. 202</w:t>
                          </w:r>
                          <w:r>
                            <w:rPr>
                              <w:rFonts w:ascii="Calibri" w:hAnsi="Calibri" w:cs="Calibri"/>
                              <w:color w:val="13576B"/>
                              <w:sz w:val="22"/>
                              <w:szCs w:val="24"/>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CB3763" id="_x0000_t202" coordsize="21600,21600" o:spt="202" path="m,l,21600r21600,l21600,xe">
              <v:stroke joinstyle="miter"/>
              <v:path gradientshapeok="t" o:connecttype="rect"/>
            </v:shapetype>
            <v:shape id="_x0000_s1034" type="#_x0000_t202" style="position:absolute;left:0;text-align:left;margin-left:416.55pt;margin-top:.55pt;width:97.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" filled="f" stroked="f">
              <v:textbox style="mso-fit-shape-to-text:t">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5A4E0EC2" w:rsidR="00F37DC9" w:rsidRPr="00F37DC9" w:rsidRDefault="003503ED" w:rsidP="00F37DC9">
                    <w:pPr>
                      <w:spacing w:line="276" w:lineRule="auto"/>
                      <w:jc w:val="right"/>
                      <w:rPr>
                        <w:rFonts w:ascii="Calibri" w:hAnsi="Calibri" w:cs="Calibri"/>
                        <w:b/>
                        <w:color w:val="13576B"/>
                        <w:sz w:val="22"/>
                        <w:szCs w:val="24"/>
                      </w:rPr>
                    </w:pPr>
                    <w:r>
                      <w:rPr>
                        <w:rFonts w:ascii="Calibri" w:hAnsi="Calibri" w:cs="Calibri"/>
                        <w:color w:val="13576B"/>
                        <w:sz w:val="22"/>
                        <w:szCs w:val="24"/>
                      </w:rPr>
                      <w:t>2</w:t>
                    </w:r>
                    <w:r w:rsidR="00840194">
                      <w:rPr>
                        <w:rFonts w:ascii="Calibri" w:hAnsi="Calibri" w:cs="Calibri"/>
                        <w:color w:val="13576B"/>
                        <w:sz w:val="22"/>
                        <w:szCs w:val="24"/>
                      </w:rPr>
                      <w:t>2</w:t>
                    </w:r>
                    <w:r w:rsidR="00F37DC9" w:rsidRPr="00F37DC9">
                      <w:rPr>
                        <w:rFonts w:ascii="Calibri" w:hAnsi="Calibri" w:cs="Calibri"/>
                        <w:color w:val="13576B"/>
                        <w:sz w:val="22"/>
                        <w:szCs w:val="24"/>
                      </w:rPr>
                      <w:t xml:space="preserve">. </w:t>
                    </w:r>
                    <w:r w:rsidR="00840194">
                      <w:rPr>
                        <w:rFonts w:ascii="Calibri" w:hAnsi="Calibri" w:cs="Calibri"/>
                        <w:color w:val="13576B"/>
                        <w:sz w:val="22"/>
                        <w:szCs w:val="24"/>
                      </w:rPr>
                      <w:t>5</w:t>
                    </w:r>
                    <w:r w:rsidR="00F37DC9" w:rsidRPr="00F37DC9">
                      <w:rPr>
                        <w:rFonts w:ascii="Calibri" w:hAnsi="Calibri" w:cs="Calibri"/>
                        <w:color w:val="13576B"/>
                        <w:sz w:val="22"/>
                        <w:szCs w:val="24"/>
                      </w:rPr>
                      <w:t>. 202</w:t>
                    </w:r>
                    <w:r>
                      <w:rPr>
                        <w:rFonts w:ascii="Calibri" w:hAnsi="Calibri" w:cs="Calibri"/>
                        <w:color w:val="13576B"/>
                        <w:sz w:val="22"/>
                        <w:szCs w:val="24"/>
                      </w:rPr>
                      <w:t>5</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8A7"/>
    <w:multiLevelType w:val="hybridMultilevel"/>
    <w:tmpl w:val="ADD42E08"/>
    <w:lvl w:ilvl="0" w:tplc="9B0CBF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615A72"/>
    <w:multiLevelType w:val="hybridMultilevel"/>
    <w:tmpl w:val="4222A8D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12C4DCE"/>
    <w:multiLevelType w:val="hybridMultilevel"/>
    <w:tmpl w:val="D4D47A08"/>
    <w:lvl w:ilvl="0" w:tplc="F062A1EA">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86F60"/>
    <w:multiLevelType w:val="hybridMultilevel"/>
    <w:tmpl w:val="3232EEBE"/>
    <w:lvl w:ilvl="0" w:tplc="491E84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8B2CEC"/>
    <w:multiLevelType w:val="hybridMultilevel"/>
    <w:tmpl w:val="FDB00238"/>
    <w:lvl w:ilvl="0" w:tplc="BD9EF866">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C57BCF"/>
    <w:multiLevelType w:val="hybridMultilevel"/>
    <w:tmpl w:val="3554269C"/>
    <w:lvl w:ilvl="0" w:tplc="F52C1D16">
      <w:numFmt w:val="bullet"/>
      <w:lvlText w:val="-"/>
      <w:lvlJc w:val="left"/>
      <w:pPr>
        <w:ind w:left="720" w:hanging="360"/>
      </w:pPr>
      <w:rPr>
        <w:rFonts w:ascii="Calibri" w:eastAsia="PMingLiU"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4F41FF"/>
    <w:multiLevelType w:val="hybridMultilevel"/>
    <w:tmpl w:val="06ECF1A8"/>
    <w:lvl w:ilvl="0" w:tplc="7216123C">
      <w:start w:val="1"/>
      <w:numFmt w:val="bullet"/>
      <w:lvlText w:val="-"/>
      <w:lvlJc w:val="left"/>
      <w:pPr>
        <w:tabs>
          <w:tab w:val="num" w:pos="720"/>
        </w:tabs>
        <w:ind w:left="720" w:hanging="360"/>
      </w:pPr>
      <w:rPr>
        <w:rFonts w:ascii="Arial" w:hAnsi="Arial" w:hint="default"/>
      </w:rPr>
    </w:lvl>
    <w:lvl w:ilvl="1" w:tplc="D4D69B72" w:tentative="1">
      <w:start w:val="1"/>
      <w:numFmt w:val="bullet"/>
      <w:lvlText w:val="-"/>
      <w:lvlJc w:val="left"/>
      <w:pPr>
        <w:tabs>
          <w:tab w:val="num" w:pos="1440"/>
        </w:tabs>
        <w:ind w:left="1440" w:hanging="360"/>
      </w:pPr>
      <w:rPr>
        <w:rFonts w:ascii="Arial" w:hAnsi="Arial" w:hint="default"/>
      </w:rPr>
    </w:lvl>
    <w:lvl w:ilvl="2" w:tplc="F4A4DA8A" w:tentative="1">
      <w:start w:val="1"/>
      <w:numFmt w:val="bullet"/>
      <w:lvlText w:val="-"/>
      <w:lvlJc w:val="left"/>
      <w:pPr>
        <w:tabs>
          <w:tab w:val="num" w:pos="2160"/>
        </w:tabs>
        <w:ind w:left="2160" w:hanging="360"/>
      </w:pPr>
      <w:rPr>
        <w:rFonts w:ascii="Arial" w:hAnsi="Arial" w:hint="default"/>
      </w:rPr>
    </w:lvl>
    <w:lvl w:ilvl="3" w:tplc="992E1B1C" w:tentative="1">
      <w:start w:val="1"/>
      <w:numFmt w:val="bullet"/>
      <w:lvlText w:val="-"/>
      <w:lvlJc w:val="left"/>
      <w:pPr>
        <w:tabs>
          <w:tab w:val="num" w:pos="2880"/>
        </w:tabs>
        <w:ind w:left="2880" w:hanging="360"/>
      </w:pPr>
      <w:rPr>
        <w:rFonts w:ascii="Arial" w:hAnsi="Arial" w:hint="default"/>
      </w:rPr>
    </w:lvl>
    <w:lvl w:ilvl="4" w:tplc="87344526" w:tentative="1">
      <w:start w:val="1"/>
      <w:numFmt w:val="bullet"/>
      <w:lvlText w:val="-"/>
      <w:lvlJc w:val="left"/>
      <w:pPr>
        <w:tabs>
          <w:tab w:val="num" w:pos="3600"/>
        </w:tabs>
        <w:ind w:left="3600" w:hanging="360"/>
      </w:pPr>
      <w:rPr>
        <w:rFonts w:ascii="Arial" w:hAnsi="Arial" w:hint="default"/>
      </w:rPr>
    </w:lvl>
    <w:lvl w:ilvl="5" w:tplc="48FEB5AE" w:tentative="1">
      <w:start w:val="1"/>
      <w:numFmt w:val="bullet"/>
      <w:lvlText w:val="-"/>
      <w:lvlJc w:val="left"/>
      <w:pPr>
        <w:tabs>
          <w:tab w:val="num" w:pos="4320"/>
        </w:tabs>
        <w:ind w:left="4320" w:hanging="360"/>
      </w:pPr>
      <w:rPr>
        <w:rFonts w:ascii="Arial" w:hAnsi="Arial" w:hint="default"/>
      </w:rPr>
    </w:lvl>
    <w:lvl w:ilvl="6" w:tplc="53A2F4D2" w:tentative="1">
      <w:start w:val="1"/>
      <w:numFmt w:val="bullet"/>
      <w:lvlText w:val="-"/>
      <w:lvlJc w:val="left"/>
      <w:pPr>
        <w:tabs>
          <w:tab w:val="num" w:pos="5040"/>
        </w:tabs>
        <w:ind w:left="5040" w:hanging="360"/>
      </w:pPr>
      <w:rPr>
        <w:rFonts w:ascii="Arial" w:hAnsi="Arial" w:hint="default"/>
      </w:rPr>
    </w:lvl>
    <w:lvl w:ilvl="7" w:tplc="AEA686B4" w:tentative="1">
      <w:start w:val="1"/>
      <w:numFmt w:val="bullet"/>
      <w:lvlText w:val="-"/>
      <w:lvlJc w:val="left"/>
      <w:pPr>
        <w:tabs>
          <w:tab w:val="num" w:pos="5760"/>
        </w:tabs>
        <w:ind w:left="5760" w:hanging="360"/>
      </w:pPr>
      <w:rPr>
        <w:rFonts w:ascii="Arial" w:hAnsi="Arial" w:hint="default"/>
      </w:rPr>
    </w:lvl>
    <w:lvl w:ilvl="8" w:tplc="0F3A898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F3628E"/>
    <w:multiLevelType w:val="hybridMultilevel"/>
    <w:tmpl w:val="771602E6"/>
    <w:lvl w:ilvl="0" w:tplc="30548F9A">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9763A7"/>
    <w:multiLevelType w:val="hybridMultilevel"/>
    <w:tmpl w:val="F904BEEC"/>
    <w:lvl w:ilvl="0" w:tplc="E0A2536E">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FA73130"/>
    <w:multiLevelType w:val="hybridMultilevel"/>
    <w:tmpl w:val="65281904"/>
    <w:lvl w:ilvl="0" w:tplc="DF56ABD4">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B26451B"/>
    <w:multiLevelType w:val="hybridMultilevel"/>
    <w:tmpl w:val="C1DEF65C"/>
    <w:lvl w:ilvl="0" w:tplc="0E7285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9576527">
    <w:abstractNumId w:val="1"/>
  </w:num>
  <w:num w:numId="2" w16cid:durableId="433785663">
    <w:abstractNumId w:val="2"/>
  </w:num>
  <w:num w:numId="3" w16cid:durableId="1729918350">
    <w:abstractNumId w:val="10"/>
  </w:num>
  <w:num w:numId="4" w16cid:durableId="253903565">
    <w:abstractNumId w:val="7"/>
  </w:num>
  <w:num w:numId="5" w16cid:durableId="802504195">
    <w:abstractNumId w:val="3"/>
  </w:num>
  <w:num w:numId="6" w16cid:durableId="197862842">
    <w:abstractNumId w:val="4"/>
  </w:num>
  <w:num w:numId="7" w16cid:durableId="1431047350">
    <w:abstractNumId w:val="6"/>
  </w:num>
  <w:num w:numId="8" w16cid:durableId="1469476053">
    <w:abstractNumId w:val="12"/>
  </w:num>
  <w:num w:numId="9" w16cid:durableId="1848516986">
    <w:abstractNumId w:val="0"/>
  </w:num>
  <w:num w:numId="10" w16cid:durableId="2118717874">
    <w:abstractNumId w:val="9"/>
  </w:num>
  <w:num w:numId="11" w16cid:durableId="185876810">
    <w:abstractNumId w:val="8"/>
  </w:num>
  <w:num w:numId="12" w16cid:durableId="2013485861">
    <w:abstractNumId w:val="5"/>
  </w:num>
  <w:num w:numId="13" w16cid:durableId="754328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email"/>
    <w:dataType w:val="textFile"/>
    <w:activeRecord w:val="-1"/>
  </w:mailMerg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169"/>
    <w:rsid w:val="00001E30"/>
    <w:rsid w:val="00004650"/>
    <w:rsid w:val="00004B58"/>
    <w:rsid w:val="00005244"/>
    <w:rsid w:val="00006087"/>
    <w:rsid w:val="00006860"/>
    <w:rsid w:val="00014977"/>
    <w:rsid w:val="0001513F"/>
    <w:rsid w:val="000158F1"/>
    <w:rsid w:val="000162B2"/>
    <w:rsid w:val="00017461"/>
    <w:rsid w:val="00017F00"/>
    <w:rsid w:val="000221D6"/>
    <w:rsid w:val="00023000"/>
    <w:rsid w:val="00026596"/>
    <w:rsid w:val="00032B41"/>
    <w:rsid w:val="00032EF8"/>
    <w:rsid w:val="00033084"/>
    <w:rsid w:val="00034035"/>
    <w:rsid w:val="000349D8"/>
    <w:rsid w:val="00034F87"/>
    <w:rsid w:val="000366C2"/>
    <w:rsid w:val="00036DD3"/>
    <w:rsid w:val="000419CA"/>
    <w:rsid w:val="00044002"/>
    <w:rsid w:val="00044266"/>
    <w:rsid w:val="0005001B"/>
    <w:rsid w:val="0005108F"/>
    <w:rsid w:val="0005493C"/>
    <w:rsid w:val="00054E8F"/>
    <w:rsid w:val="00055376"/>
    <w:rsid w:val="00055B74"/>
    <w:rsid w:val="00062A8A"/>
    <w:rsid w:val="00062D67"/>
    <w:rsid w:val="00062DC6"/>
    <w:rsid w:val="000650ED"/>
    <w:rsid w:val="00065AA0"/>
    <w:rsid w:val="00066333"/>
    <w:rsid w:val="00067197"/>
    <w:rsid w:val="00067501"/>
    <w:rsid w:val="0006786A"/>
    <w:rsid w:val="0007096D"/>
    <w:rsid w:val="00071B9F"/>
    <w:rsid w:val="0007438C"/>
    <w:rsid w:val="000766D5"/>
    <w:rsid w:val="00076970"/>
    <w:rsid w:val="0007755C"/>
    <w:rsid w:val="0008071A"/>
    <w:rsid w:val="0008238B"/>
    <w:rsid w:val="00082CD7"/>
    <w:rsid w:val="00082E1D"/>
    <w:rsid w:val="000831A0"/>
    <w:rsid w:val="0008323B"/>
    <w:rsid w:val="00086563"/>
    <w:rsid w:val="00087711"/>
    <w:rsid w:val="00087849"/>
    <w:rsid w:val="00087A3D"/>
    <w:rsid w:val="00092245"/>
    <w:rsid w:val="00092ACE"/>
    <w:rsid w:val="00093C64"/>
    <w:rsid w:val="00095A11"/>
    <w:rsid w:val="00097B97"/>
    <w:rsid w:val="000A00DE"/>
    <w:rsid w:val="000A086B"/>
    <w:rsid w:val="000A1677"/>
    <w:rsid w:val="000A1D30"/>
    <w:rsid w:val="000A1E1A"/>
    <w:rsid w:val="000A1EA1"/>
    <w:rsid w:val="000A2025"/>
    <w:rsid w:val="000A2144"/>
    <w:rsid w:val="000A2EC0"/>
    <w:rsid w:val="000A337A"/>
    <w:rsid w:val="000A34D4"/>
    <w:rsid w:val="000A39EF"/>
    <w:rsid w:val="000A5EDA"/>
    <w:rsid w:val="000A6730"/>
    <w:rsid w:val="000A72B8"/>
    <w:rsid w:val="000A7E0A"/>
    <w:rsid w:val="000B1B0C"/>
    <w:rsid w:val="000B27C5"/>
    <w:rsid w:val="000B4814"/>
    <w:rsid w:val="000B6BEC"/>
    <w:rsid w:val="000C1155"/>
    <w:rsid w:val="000C1D98"/>
    <w:rsid w:val="000C2287"/>
    <w:rsid w:val="000C552C"/>
    <w:rsid w:val="000C6B0C"/>
    <w:rsid w:val="000C779F"/>
    <w:rsid w:val="000C77D3"/>
    <w:rsid w:val="000D0BFE"/>
    <w:rsid w:val="000D12F8"/>
    <w:rsid w:val="000D1977"/>
    <w:rsid w:val="000D2B81"/>
    <w:rsid w:val="000D314F"/>
    <w:rsid w:val="000D5D2B"/>
    <w:rsid w:val="000D70E4"/>
    <w:rsid w:val="000D7C38"/>
    <w:rsid w:val="000E1A02"/>
    <w:rsid w:val="000E1DF8"/>
    <w:rsid w:val="000E3A69"/>
    <w:rsid w:val="000E5E2A"/>
    <w:rsid w:val="000E7086"/>
    <w:rsid w:val="000F34A7"/>
    <w:rsid w:val="000F39C3"/>
    <w:rsid w:val="000F4797"/>
    <w:rsid w:val="000F60B1"/>
    <w:rsid w:val="000F790F"/>
    <w:rsid w:val="00100481"/>
    <w:rsid w:val="00100B73"/>
    <w:rsid w:val="001045A6"/>
    <w:rsid w:val="00104E9B"/>
    <w:rsid w:val="001058E0"/>
    <w:rsid w:val="00105C84"/>
    <w:rsid w:val="0010643C"/>
    <w:rsid w:val="001064A7"/>
    <w:rsid w:val="00114049"/>
    <w:rsid w:val="0011443F"/>
    <w:rsid w:val="0011497E"/>
    <w:rsid w:val="00114D42"/>
    <w:rsid w:val="00115103"/>
    <w:rsid w:val="00115379"/>
    <w:rsid w:val="00115462"/>
    <w:rsid w:val="00116565"/>
    <w:rsid w:val="00120A0D"/>
    <w:rsid w:val="0012304F"/>
    <w:rsid w:val="001230C1"/>
    <w:rsid w:val="001246BC"/>
    <w:rsid w:val="00124A05"/>
    <w:rsid w:val="00124FA1"/>
    <w:rsid w:val="00125474"/>
    <w:rsid w:val="0012566F"/>
    <w:rsid w:val="001262D3"/>
    <w:rsid w:val="00126D6F"/>
    <w:rsid w:val="00127A07"/>
    <w:rsid w:val="001309A9"/>
    <w:rsid w:val="00131552"/>
    <w:rsid w:val="0013261F"/>
    <w:rsid w:val="00134800"/>
    <w:rsid w:val="00135CBF"/>
    <w:rsid w:val="00135CD7"/>
    <w:rsid w:val="001362D6"/>
    <w:rsid w:val="00141F10"/>
    <w:rsid w:val="001422DD"/>
    <w:rsid w:val="00142834"/>
    <w:rsid w:val="00142FD3"/>
    <w:rsid w:val="00144F4C"/>
    <w:rsid w:val="00146670"/>
    <w:rsid w:val="00146F24"/>
    <w:rsid w:val="0014795B"/>
    <w:rsid w:val="00147E43"/>
    <w:rsid w:val="0015008F"/>
    <w:rsid w:val="00150BD1"/>
    <w:rsid w:val="00151610"/>
    <w:rsid w:val="0015167E"/>
    <w:rsid w:val="00153984"/>
    <w:rsid w:val="00153D1F"/>
    <w:rsid w:val="00154824"/>
    <w:rsid w:val="00156D1E"/>
    <w:rsid w:val="00156EF2"/>
    <w:rsid w:val="001607D6"/>
    <w:rsid w:val="001610CA"/>
    <w:rsid w:val="001613CA"/>
    <w:rsid w:val="00161A57"/>
    <w:rsid w:val="00161E9D"/>
    <w:rsid w:val="001642C0"/>
    <w:rsid w:val="001645F1"/>
    <w:rsid w:val="00164D55"/>
    <w:rsid w:val="00165709"/>
    <w:rsid w:val="00165D62"/>
    <w:rsid w:val="00166404"/>
    <w:rsid w:val="0016743F"/>
    <w:rsid w:val="00174667"/>
    <w:rsid w:val="001766F5"/>
    <w:rsid w:val="001768A6"/>
    <w:rsid w:val="001802DE"/>
    <w:rsid w:val="001828E8"/>
    <w:rsid w:val="0018297A"/>
    <w:rsid w:val="001855FF"/>
    <w:rsid w:val="001869EE"/>
    <w:rsid w:val="00186E9F"/>
    <w:rsid w:val="00187BEF"/>
    <w:rsid w:val="00190861"/>
    <w:rsid w:val="001914C2"/>
    <w:rsid w:val="00191CB2"/>
    <w:rsid w:val="00193933"/>
    <w:rsid w:val="00194F73"/>
    <w:rsid w:val="001951E8"/>
    <w:rsid w:val="00195399"/>
    <w:rsid w:val="00195C6D"/>
    <w:rsid w:val="001960B2"/>
    <w:rsid w:val="0019625C"/>
    <w:rsid w:val="0019764B"/>
    <w:rsid w:val="001A19BA"/>
    <w:rsid w:val="001A3800"/>
    <w:rsid w:val="001A7447"/>
    <w:rsid w:val="001A7E43"/>
    <w:rsid w:val="001B33B0"/>
    <w:rsid w:val="001B44EF"/>
    <w:rsid w:val="001B4FA1"/>
    <w:rsid w:val="001B5613"/>
    <w:rsid w:val="001B5FE5"/>
    <w:rsid w:val="001B69C3"/>
    <w:rsid w:val="001B79B9"/>
    <w:rsid w:val="001B7A61"/>
    <w:rsid w:val="001B7FB3"/>
    <w:rsid w:val="001C03DD"/>
    <w:rsid w:val="001C0DF4"/>
    <w:rsid w:val="001C1C00"/>
    <w:rsid w:val="001C1FEF"/>
    <w:rsid w:val="001C25B6"/>
    <w:rsid w:val="001C297A"/>
    <w:rsid w:val="001C2A36"/>
    <w:rsid w:val="001C333D"/>
    <w:rsid w:val="001C3443"/>
    <w:rsid w:val="001C48A4"/>
    <w:rsid w:val="001C576C"/>
    <w:rsid w:val="001C7F27"/>
    <w:rsid w:val="001D20AB"/>
    <w:rsid w:val="001D245F"/>
    <w:rsid w:val="001D5BB9"/>
    <w:rsid w:val="001E0DB9"/>
    <w:rsid w:val="001E1D50"/>
    <w:rsid w:val="001E4A94"/>
    <w:rsid w:val="001E4E51"/>
    <w:rsid w:val="001E6405"/>
    <w:rsid w:val="001E6A1E"/>
    <w:rsid w:val="001F5756"/>
    <w:rsid w:val="001F64CB"/>
    <w:rsid w:val="001F6807"/>
    <w:rsid w:val="001F783F"/>
    <w:rsid w:val="001F7C24"/>
    <w:rsid w:val="00202169"/>
    <w:rsid w:val="00202BDA"/>
    <w:rsid w:val="00203F12"/>
    <w:rsid w:val="002050D0"/>
    <w:rsid w:val="00205254"/>
    <w:rsid w:val="00213F46"/>
    <w:rsid w:val="00213FC6"/>
    <w:rsid w:val="00214FAB"/>
    <w:rsid w:val="002165FE"/>
    <w:rsid w:val="00217AD4"/>
    <w:rsid w:val="00217E6B"/>
    <w:rsid w:val="002207A6"/>
    <w:rsid w:val="00221E42"/>
    <w:rsid w:val="0022377B"/>
    <w:rsid w:val="00224038"/>
    <w:rsid w:val="00224284"/>
    <w:rsid w:val="00224F0E"/>
    <w:rsid w:val="002401B0"/>
    <w:rsid w:val="002418DB"/>
    <w:rsid w:val="00242192"/>
    <w:rsid w:val="00244B0F"/>
    <w:rsid w:val="00245099"/>
    <w:rsid w:val="0024553D"/>
    <w:rsid w:val="00246F10"/>
    <w:rsid w:val="00247943"/>
    <w:rsid w:val="0025106C"/>
    <w:rsid w:val="002511A0"/>
    <w:rsid w:val="00251963"/>
    <w:rsid w:val="00252997"/>
    <w:rsid w:val="00253ECD"/>
    <w:rsid w:val="00254030"/>
    <w:rsid w:val="00254EB5"/>
    <w:rsid w:val="00261296"/>
    <w:rsid w:val="00261512"/>
    <w:rsid w:val="002624E9"/>
    <w:rsid w:val="002636B5"/>
    <w:rsid w:val="00263F96"/>
    <w:rsid w:val="00264CED"/>
    <w:rsid w:val="00264F1B"/>
    <w:rsid w:val="00266E32"/>
    <w:rsid w:val="00267813"/>
    <w:rsid w:val="00267ACA"/>
    <w:rsid w:val="0027007C"/>
    <w:rsid w:val="002728A8"/>
    <w:rsid w:val="00272A8E"/>
    <w:rsid w:val="00272AB0"/>
    <w:rsid w:val="00273B83"/>
    <w:rsid w:val="0027402B"/>
    <w:rsid w:val="00275FB5"/>
    <w:rsid w:val="0027655E"/>
    <w:rsid w:val="0028253D"/>
    <w:rsid w:val="00282A5F"/>
    <w:rsid w:val="00284DD5"/>
    <w:rsid w:val="002858AE"/>
    <w:rsid w:val="002878FD"/>
    <w:rsid w:val="00292C2B"/>
    <w:rsid w:val="002930C9"/>
    <w:rsid w:val="0029614D"/>
    <w:rsid w:val="002A2B40"/>
    <w:rsid w:val="002A2D5A"/>
    <w:rsid w:val="002A2ED6"/>
    <w:rsid w:val="002A3E47"/>
    <w:rsid w:val="002A60DC"/>
    <w:rsid w:val="002A7837"/>
    <w:rsid w:val="002B1A4A"/>
    <w:rsid w:val="002B273C"/>
    <w:rsid w:val="002B3725"/>
    <w:rsid w:val="002B5D56"/>
    <w:rsid w:val="002C063C"/>
    <w:rsid w:val="002C0B36"/>
    <w:rsid w:val="002C1004"/>
    <w:rsid w:val="002C1871"/>
    <w:rsid w:val="002C2AE2"/>
    <w:rsid w:val="002C4547"/>
    <w:rsid w:val="002C4F14"/>
    <w:rsid w:val="002C51A7"/>
    <w:rsid w:val="002C5839"/>
    <w:rsid w:val="002C752B"/>
    <w:rsid w:val="002D12BD"/>
    <w:rsid w:val="002D1376"/>
    <w:rsid w:val="002D2DEC"/>
    <w:rsid w:val="002D34FC"/>
    <w:rsid w:val="002D3F33"/>
    <w:rsid w:val="002D4C1A"/>
    <w:rsid w:val="002D57C2"/>
    <w:rsid w:val="002D6131"/>
    <w:rsid w:val="002D615E"/>
    <w:rsid w:val="002D6B03"/>
    <w:rsid w:val="002E1078"/>
    <w:rsid w:val="002E18D7"/>
    <w:rsid w:val="002E1F2F"/>
    <w:rsid w:val="002E39FF"/>
    <w:rsid w:val="002E3DF7"/>
    <w:rsid w:val="002E4A51"/>
    <w:rsid w:val="002E5008"/>
    <w:rsid w:val="002E732D"/>
    <w:rsid w:val="002E7CA6"/>
    <w:rsid w:val="002F076C"/>
    <w:rsid w:val="002F1A0F"/>
    <w:rsid w:val="002F2215"/>
    <w:rsid w:val="002F3D6C"/>
    <w:rsid w:val="002F477C"/>
    <w:rsid w:val="002F6016"/>
    <w:rsid w:val="00302451"/>
    <w:rsid w:val="00302716"/>
    <w:rsid w:val="00303B8A"/>
    <w:rsid w:val="00303D8D"/>
    <w:rsid w:val="00303DD6"/>
    <w:rsid w:val="00304E17"/>
    <w:rsid w:val="00310201"/>
    <w:rsid w:val="00310D0B"/>
    <w:rsid w:val="00310ECE"/>
    <w:rsid w:val="003123D0"/>
    <w:rsid w:val="00312467"/>
    <w:rsid w:val="0031389C"/>
    <w:rsid w:val="003152F5"/>
    <w:rsid w:val="00315BAC"/>
    <w:rsid w:val="00315F30"/>
    <w:rsid w:val="003161ED"/>
    <w:rsid w:val="00316A23"/>
    <w:rsid w:val="003172F8"/>
    <w:rsid w:val="00320075"/>
    <w:rsid w:val="00320A31"/>
    <w:rsid w:val="00320A3F"/>
    <w:rsid w:val="003215CA"/>
    <w:rsid w:val="0032171F"/>
    <w:rsid w:val="0032297D"/>
    <w:rsid w:val="0032343F"/>
    <w:rsid w:val="003239D9"/>
    <w:rsid w:val="00324583"/>
    <w:rsid w:val="00325C91"/>
    <w:rsid w:val="00327407"/>
    <w:rsid w:val="00327E59"/>
    <w:rsid w:val="003305B2"/>
    <w:rsid w:val="003306A1"/>
    <w:rsid w:val="003334FA"/>
    <w:rsid w:val="00334A50"/>
    <w:rsid w:val="00335332"/>
    <w:rsid w:val="00335638"/>
    <w:rsid w:val="003366D7"/>
    <w:rsid w:val="0033687A"/>
    <w:rsid w:val="00336B96"/>
    <w:rsid w:val="00337931"/>
    <w:rsid w:val="003401BC"/>
    <w:rsid w:val="00342579"/>
    <w:rsid w:val="00343CB8"/>
    <w:rsid w:val="00345D5D"/>
    <w:rsid w:val="00346FF6"/>
    <w:rsid w:val="003503ED"/>
    <w:rsid w:val="00351068"/>
    <w:rsid w:val="0035275E"/>
    <w:rsid w:val="003533C5"/>
    <w:rsid w:val="00355435"/>
    <w:rsid w:val="0035571B"/>
    <w:rsid w:val="00356262"/>
    <w:rsid w:val="003571AD"/>
    <w:rsid w:val="00357877"/>
    <w:rsid w:val="00360F61"/>
    <w:rsid w:val="00361426"/>
    <w:rsid w:val="00361DD8"/>
    <w:rsid w:val="00362759"/>
    <w:rsid w:val="00364050"/>
    <w:rsid w:val="00364371"/>
    <w:rsid w:val="0036442C"/>
    <w:rsid w:val="003654CD"/>
    <w:rsid w:val="00365B2D"/>
    <w:rsid w:val="00365D50"/>
    <w:rsid w:val="003668D4"/>
    <w:rsid w:val="00366C7D"/>
    <w:rsid w:val="00367443"/>
    <w:rsid w:val="00367D3B"/>
    <w:rsid w:val="00367F9E"/>
    <w:rsid w:val="0037051A"/>
    <w:rsid w:val="00370F35"/>
    <w:rsid w:val="003713E7"/>
    <w:rsid w:val="003716C3"/>
    <w:rsid w:val="003724E9"/>
    <w:rsid w:val="003727EB"/>
    <w:rsid w:val="0037320F"/>
    <w:rsid w:val="0037353B"/>
    <w:rsid w:val="00373AE4"/>
    <w:rsid w:val="00373D9D"/>
    <w:rsid w:val="003745FD"/>
    <w:rsid w:val="00380C99"/>
    <w:rsid w:val="003831B6"/>
    <w:rsid w:val="00383E25"/>
    <w:rsid w:val="003844CD"/>
    <w:rsid w:val="003909E1"/>
    <w:rsid w:val="00391FA6"/>
    <w:rsid w:val="0039301A"/>
    <w:rsid w:val="00393731"/>
    <w:rsid w:val="003947A8"/>
    <w:rsid w:val="003952ED"/>
    <w:rsid w:val="00395434"/>
    <w:rsid w:val="00395A5D"/>
    <w:rsid w:val="00396883"/>
    <w:rsid w:val="00397D2D"/>
    <w:rsid w:val="00397F9F"/>
    <w:rsid w:val="003A1647"/>
    <w:rsid w:val="003A2F89"/>
    <w:rsid w:val="003A30BE"/>
    <w:rsid w:val="003A5DED"/>
    <w:rsid w:val="003A6E43"/>
    <w:rsid w:val="003A6F74"/>
    <w:rsid w:val="003B0E41"/>
    <w:rsid w:val="003B29C5"/>
    <w:rsid w:val="003B2E15"/>
    <w:rsid w:val="003B2E74"/>
    <w:rsid w:val="003B3F77"/>
    <w:rsid w:val="003B48EF"/>
    <w:rsid w:val="003B61CD"/>
    <w:rsid w:val="003B6752"/>
    <w:rsid w:val="003C2B53"/>
    <w:rsid w:val="003C2DA2"/>
    <w:rsid w:val="003C3D7F"/>
    <w:rsid w:val="003C4F56"/>
    <w:rsid w:val="003C7352"/>
    <w:rsid w:val="003C7394"/>
    <w:rsid w:val="003D104A"/>
    <w:rsid w:val="003D1132"/>
    <w:rsid w:val="003D14D7"/>
    <w:rsid w:val="003D2AB0"/>
    <w:rsid w:val="003D424E"/>
    <w:rsid w:val="003D5446"/>
    <w:rsid w:val="003D6D17"/>
    <w:rsid w:val="003E0BE6"/>
    <w:rsid w:val="003E0E58"/>
    <w:rsid w:val="003E1610"/>
    <w:rsid w:val="003E2BA3"/>
    <w:rsid w:val="003E31EA"/>
    <w:rsid w:val="003E3DCB"/>
    <w:rsid w:val="003E515C"/>
    <w:rsid w:val="003E6581"/>
    <w:rsid w:val="003E6B52"/>
    <w:rsid w:val="003E75D1"/>
    <w:rsid w:val="003F1CB9"/>
    <w:rsid w:val="003F2B91"/>
    <w:rsid w:val="003F3510"/>
    <w:rsid w:val="003F618A"/>
    <w:rsid w:val="003F7F31"/>
    <w:rsid w:val="0040072F"/>
    <w:rsid w:val="00401262"/>
    <w:rsid w:val="00401322"/>
    <w:rsid w:val="00402738"/>
    <w:rsid w:val="00404CED"/>
    <w:rsid w:val="00405C26"/>
    <w:rsid w:val="00407468"/>
    <w:rsid w:val="00407F75"/>
    <w:rsid w:val="00410C72"/>
    <w:rsid w:val="00411E07"/>
    <w:rsid w:val="004133C6"/>
    <w:rsid w:val="00414950"/>
    <w:rsid w:val="00416028"/>
    <w:rsid w:val="00416A62"/>
    <w:rsid w:val="00420888"/>
    <w:rsid w:val="00421049"/>
    <w:rsid w:val="0042113A"/>
    <w:rsid w:val="00422611"/>
    <w:rsid w:val="00423B22"/>
    <w:rsid w:val="00425C7D"/>
    <w:rsid w:val="004300C6"/>
    <w:rsid w:val="00430E68"/>
    <w:rsid w:val="00432B0F"/>
    <w:rsid w:val="004333DE"/>
    <w:rsid w:val="00433E42"/>
    <w:rsid w:val="00435968"/>
    <w:rsid w:val="00435AAD"/>
    <w:rsid w:val="00435C21"/>
    <w:rsid w:val="004366A2"/>
    <w:rsid w:val="00437356"/>
    <w:rsid w:val="00437589"/>
    <w:rsid w:val="004401B1"/>
    <w:rsid w:val="004403EB"/>
    <w:rsid w:val="00442322"/>
    <w:rsid w:val="0044304B"/>
    <w:rsid w:val="004475DD"/>
    <w:rsid w:val="004476CB"/>
    <w:rsid w:val="00447B3F"/>
    <w:rsid w:val="00453E1C"/>
    <w:rsid w:val="00454547"/>
    <w:rsid w:val="004551CA"/>
    <w:rsid w:val="00455AD4"/>
    <w:rsid w:val="0045664E"/>
    <w:rsid w:val="00457A66"/>
    <w:rsid w:val="0046134F"/>
    <w:rsid w:val="00462589"/>
    <w:rsid w:val="00463781"/>
    <w:rsid w:val="00463F39"/>
    <w:rsid w:val="0047073B"/>
    <w:rsid w:val="00471FFB"/>
    <w:rsid w:val="004728A5"/>
    <w:rsid w:val="00472906"/>
    <w:rsid w:val="00474A86"/>
    <w:rsid w:val="0047616B"/>
    <w:rsid w:val="00476BD0"/>
    <w:rsid w:val="00477857"/>
    <w:rsid w:val="004817D8"/>
    <w:rsid w:val="00483BB7"/>
    <w:rsid w:val="00484A70"/>
    <w:rsid w:val="00484CE4"/>
    <w:rsid w:val="00484DC6"/>
    <w:rsid w:val="00485076"/>
    <w:rsid w:val="004852C9"/>
    <w:rsid w:val="00485870"/>
    <w:rsid w:val="00490B90"/>
    <w:rsid w:val="00490DDA"/>
    <w:rsid w:val="0049113D"/>
    <w:rsid w:val="0049132F"/>
    <w:rsid w:val="00495A30"/>
    <w:rsid w:val="0049605B"/>
    <w:rsid w:val="0049790B"/>
    <w:rsid w:val="004A03FB"/>
    <w:rsid w:val="004A1724"/>
    <w:rsid w:val="004A2FAE"/>
    <w:rsid w:val="004A6401"/>
    <w:rsid w:val="004A6443"/>
    <w:rsid w:val="004A6B15"/>
    <w:rsid w:val="004A7ABD"/>
    <w:rsid w:val="004A7D28"/>
    <w:rsid w:val="004B1725"/>
    <w:rsid w:val="004B49EC"/>
    <w:rsid w:val="004B4C95"/>
    <w:rsid w:val="004B4D9A"/>
    <w:rsid w:val="004B4E22"/>
    <w:rsid w:val="004C133B"/>
    <w:rsid w:val="004C1B31"/>
    <w:rsid w:val="004C297A"/>
    <w:rsid w:val="004C389E"/>
    <w:rsid w:val="004C3EBA"/>
    <w:rsid w:val="004C4302"/>
    <w:rsid w:val="004C5DF3"/>
    <w:rsid w:val="004C5ED8"/>
    <w:rsid w:val="004C6901"/>
    <w:rsid w:val="004D1CED"/>
    <w:rsid w:val="004D5EDF"/>
    <w:rsid w:val="004D63E3"/>
    <w:rsid w:val="004D6922"/>
    <w:rsid w:val="004D7651"/>
    <w:rsid w:val="004E1A7D"/>
    <w:rsid w:val="004E1AC6"/>
    <w:rsid w:val="004E27AE"/>
    <w:rsid w:val="004E3A25"/>
    <w:rsid w:val="004E3E95"/>
    <w:rsid w:val="004E4AD6"/>
    <w:rsid w:val="004E6615"/>
    <w:rsid w:val="004E6814"/>
    <w:rsid w:val="004F0729"/>
    <w:rsid w:val="004F09E3"/>
    <w:rsid w:val="004F1275"/>
    <w:rsid w:val="004F196E"/>
    <w:rsid w:val="004F24F2"/>
    <w:rsid w:val="004F29DA"/>
    <w:rsid w:val="004F4A74"/>
    <w:rsid w:val="005024DC"/>
    <w:rsid w:val="00503095"/>
    <w:rsid w:val="00504443"/>
    <w:rsid w:val="005044E1"/>
    <w:rsid w:val="005045E5"/>
    <w:rsid w:val="00504A5F"/>
    <w:rsid w:val="00505601"/>
    <w:rsid w:val="00505850"/>
    <w:rsid w:val="00505C9C"/>
    <w:rsid w:val="005061AA"/>
    <w:rsid w:val="00506DF1"/>
    <w:rsid w:val="00507B3C"/>
    <w:rsid w:val="00512418"/>
    <w:rsid w:val="0051322A"/>
    <w:rsid w:val="005142C0"/>
    <w:rsid w:val="0051446C"/>
    <w:rsid w:val="00517111"/>
    <w:rsid w:val="005208C8"/>
    <w:rsid w:val="00520AEA"/>
    <w:rsid w:val="00520BE6"/>
    <w:rsid w:val="00520C82"/>
    <w:rsid w:val="00521B07"/>
    <w:rsid w:val="005228D2"/>
    <w:rsid w:val="00524989"/>
    <w:rsid w:val="00525ABD"/>
    <w:rsid w:val="00525F88"/>
    <w:rsid w:val="0052644D"/>
    <w:rsid w:val="00527304"/>
    <w:rsid w:val="00527C61"/>
    <w:rsid w:val="00532363"/>
    <w:rsid w:val="005354AE"/>
    <w:rsid w:val="00536B9B"/>
    <w:rsid w:val="00537515"/>
    <w:rsid w:val="00537656"/>
    <w:rsid w:val="005376D6"/>
    <w:rsid w:val="00537A4D"/>
    <w:rsid w:val="00537C68"/>
    <w:rsid w:val="00540AD1"/>
    <w:rsid w:val="00545533"/>
    <w:rsid w:val="0054647F"/>
    <w:rsid w:val="0054661B"/>
    <w:rsid w:val="00550C81"/>
    <w:rsid w:val="0055128F"/>
    <w:rsid w:val="00551B4C"/>
    <w:rsid w:val="005531EC"/>
    <w:rsid w:val="00553FBC"/>
    <w:rsid w:val="005547BF"/>
    <w:rsid w:val="00554D9D"/>
    <w:rsid w:val="005552E9"/>
    <w:rsid w:val="00555B91"/>
    <w:rsid w:val="00561FE2"/>
    <w:rsid w:val="00562D02"/>
    <w:rsid w:val="0056315C"/>
    <w:rsid w:val="0056335A"/>
    <w:rsid w:val="00563E7E"/>
    <w:rsid w:val="005642DD"/>
    <w:rsid w:val="00564C9B"/>
    <w:rsid w:val="00571647"/>
    <w:rsid w:val="00571819"/>
    <w:rsid w:val="00572DA2"/>
    <w:rsid w:val="00576028"/>
    <w:rsid w:val="005763DB"/>
    <w:rsid w:val="005775FE"/>
    <w:rsid w:val="00577677"/>
    <w:rsid w:val="0058017E"/>
    <w:rsid w:val="00581327"/>
    <w:rsid w:val="00581C97"/>
    <w:rsid w:val="0058265B"/>
    <w:rsid w:val="0058388D"/>
    <w:rsid w:val="005839E3"/>
    <w:rsid w:val="00585A0A"/>
    <w:rsid w:val="005864AD"/>
    <w:rsid w:val="00587061"/>
    <w:rsid w:val="00587F82"/>
    <w:rsid w:val="00591B8C"/>
    <w:rsid w:val="00593090"/>
    <w:rsid w:val="00594873"/>
    <w:rsid w:val="00594F62"/>
    <w:rsid w:val="005954B4"/>
    <w:rsid w:val="00595CAD"/>
    <w:rsid w:val="00596CED"/>
    <w:rsid w:val="005A2501"/>
    <w:rsid w:val="005A28E8"/>
    <w:rsid w:val="005A2AF1"/>
    <w:rsid w:val="005A3968"/>
    <w:rsid w:val="005A44FF"/>
    <w:rsid w:val="005A5299"/>
    <w:rsid w:val="005A7A4D"/>
    <w:rsid w:val="005A7E70"/>
    <w:rsid w:val="005B006B"/>
    <w:rsid w:val="005B12FA"/>
    <w:rsid w:val="005B1718"/>
    <w:rsid w:val="005B2A69"/>
    <w:rsid w:val="005B4768"/>
    <w:rsid w:val="005B493E"/>
    <w:rsid w:val="005B7249"/>
    <w:rsid w:val="005C01AE"/>
    <w:rsid w:val="005C11B5"/>
    <w:rsid w:val="005C13B0"/>
    <w:rsid w:val="005C1943"/>
    <w:rsid w:val="005C3C3C"/>
    <w:rsid w:val="005C41EF"/>
    <w:rsid w:val="005C575F"/>
    <w:rsid w:val="005C60BB"/>
    <w:rsid w:val="005C6A0D"/>
    <w:rsid w:val="005C6BBE"/>
    <w:rsid w:val="005C6D52"/>
    <w:rsid w:val="005C6DB6"/>
    <w:rsid w:val="005C7415"/>
    <w:rsid w:val="005D053D"/>
    <w:rsid w:val="005D0910"/>
    <w:rsid w:val="005D42A6"/>
    <w:rsid w:val="005D42B1"/>
    <w:rsid w:val="005D59CD"/>
    <w:rsid w:val="005D738B"/>
    <w:rsid w:val="005E0B44"/>
    <w:rsid w:val="005E1864"/>
    <w:rsid w:val="005E236A"/>
    <w:rsid w:val="005E3B90"/>
    <w:rsid w:val="005E419A"/>
    <w:rsid w:val="005E51FF"/>
    <w:rsid w:val="005E58E1"/>
    <w:rsid w:val="005E5B24"/>
    <w:rsid w:val="005E5B52"/>
    <w:rsid w:val="005E5ECB"/>
    <w:rsid w:val="005E7020"/>
    <w:rsid w:val="005F084E"/>
    <w:rsid w:val="005F0A8A"/>
    <w:rsid w:val="005F3FF0"/>
    <w:rsid w:val="005F4524"/>
    <w:rsid w:val="005F4ABC"/>
    <w:rsid w:val="005F5EB0"/>
    <w:rsid w:val="005F772B"/>
    <w:rsid w:val="005F7A84"/>
    <w:rsid w:val="006001C3"/>
    <w:rsid w:val="0060060A"/>
    <w:rsid w:val="006028B1"/>
    <w:rsid w:val="00602E5F"/>
    <w:rsid w:val="00603141"/>
    <w:rsid w:val="00603B79"/>
    <w:rsid w:val="00603B91"/>
    <w:rsid w:val="00604274"/>
    <w:rsid w:val="0060552B"/>
    <w:rsid w:val="00611326"/>
    <w:rsid w:val="00611C5C"/>
    <w:rsid w:val="00611EFE"/>
    <w:rsid w:val="00612725"/>
    <w:rsid w:val="006146A8"/>
    <w:rsid w:val="00614E76"/>
    <w:rsid w:val="006155CF"/>
    <w:rsid w:val="006160C8"/>
    <w:rsid w:val="00621963"/>
    <w:rsid w:val="006223AD"/>
    <w:rsid w:val="00623B0C"/>
    <w:rsid w:val="006257D7"/>
    <w:rsid w:val="00626065"/>
    <w:rsid w:val="00626382"/>
    <w:rsid w:val="0063005B"/>
    <w:rsid w:val="00632959"/>
    <w:rsid w:val="00632A2F"/>
    <w:rsid w:val="00634862"/>
    <w:rsid w:val="00635DD9"/>
    <w:rsid w:val="00635F63"/>
    <w:rsid w:val="00640878"/>
    <w:rsid w:val="00643505"/>
    <w:rsid w:val="0064499D"/>
    <w:rsid w:val="006454CC"/>
    <w:rsid w:val="0064654D"/>
    <w:rsid w:val="0064668C"/>
    <w:rsid w:val="006478ED"/>
    <w:rsid w:val="00647974"/>
    <w:rsid w:val="00650A3A"/>
    <w:rsid w:val="00650A73"/>
    <w:rsid w:val="006529D6"/>
    <w:rsid w:val="00652DE8"/>
    <w:rsid w:val="00653FBB"/>
    <w:rsid w:val="0065523B"/>
    <w:rsid w:val="0065675B"/>
    <w:rsid w:val="00660A8C"/>
    <w:rsid w:val="0066376E"/>
    <w:rsid w:val="00663D34"/>
    <w:rsid w:val="006642E5"/>
    <w:rsid w:val="0066436B"/>
    <w:rsid w:val="00664659"/>
    <w:rsid w:val="006648C4"/>
    <w:rsid w:val="0066682C"/>
    <w:rsid w:val="006669D1"/>
    <w:rsid w:val="006674AE"/>
    <w:rsid w:val="00667BA1"/>
    <w:rsid w:val="0067027E"/>
    <w:rsid w:val="00670BEE"/>
    <w:rsid w:val="0067115A"/>
    <w:rsid w:val="0067201E"/>
    <w:rsid w:val="006723C7"/>
    <w:rsid w:val="006733E8"/>
    <w:rsid w:val="006756EC"/>
    <w:rsid w:val="006756FC"/>
    <w:rsid w:val="00675820"/>
    <w:rsid w:val="00675D0C"/>
    <w:rsid w:val="00675EBD"/>
    <w:rsid w:val="00676F20"/>
    <w:rsid w:val="00680B54"/>
    <w:rsid w:val="00682D20"/>
    <w:rsid w:val="0068337D"/>
    <w:rsid w:val="00683E88"/>
    <w:rsid w:val="00685126"/>
    <w:rsid w:val="0068657C"/>
    <w:rsid w:val="006952F0"/>
    <w:rsid w:val="006963D2"/>
    <w:rsid w:val="006973A5"/>
    <w:rsid w:val="00697575"/>
    <w:rsid w:val="006A00DF"/>
    <w:rsid w:val="006A062A"/>
    <w:rsid w:val="006A1E09"/>
    <w:rsid w:val="006A3419"/>
    <w:rsid w:val="006A3C9A"/>
    <w:rsid w:val="006A4148"/>
    <w:rsid w:val="006A437E"/>
    <w:rsid w:val="006A54C3"/>
    <w:rsid w:val="006A5DB5"/>
    <w:rsid w:val="006A640B"/>
    <w:rsid w:val="006A7A3C"/>
    <w:rsid w:val="006A7ECC"/>
    <w:rsid w:val="006B03F0"/>
    <w:rsid w:val="006B19D1"/>
    <w:rsid w:val="006B211F"/>
    <w:rsid w:val="006B2ADD"/>
    <w:rsid w:val="006B2CA3"/>
    <w:rsid w:val="006B2F86"/>
    <w:rsid w:val="006B3936"/>
    <w:rsid w:val="006B3B72"/>
    <w:rsid w:val="006B5123"/>
    <w:rsid w:val="006B5EA5"/>
    <w:rsid w:val="006B60A6"/>
    <w:rsid w:val="006B650F"/>
    <w:rsid w:val="006B68CC"/>
    <w:rsid w:val="006B7DE5"/>
    <w:rsid w:val="006C035F"/>
    <w:rsid w:val="006C3AF8"/>
    <w:rsid w:val="006C3BE5"/>
    <w:rsid w:val="006C4385"/>
    <w:rsid w:val="006C5A37"/>
    <w:rsid w:val="006C6CFF"/>
    <w:rsid w:val="006C6D8D"/>
    <w:rsid w:val="006C6DCB"/>
    <w:rsid w:val="006C7AFD"/>
    <w:rsid w:val="006D0B7D"/>
    <w:rsid w:val="006D1635"/>
    <w:rsid w:val="006D182D"/>
    <w:rsid w:val="006D23EF"/>
    <w:rsid w:val="006D3D9F"/>
    <w:rsid w:val="006D5E66"/>
    <w:rsid w:val="006D7467"/>
    <w:rsid w:val="006D74B0"/>
    <w:rsid w:val="006D7A25"/>
    <w:rsid w:val="006E0634"/>
    <w:rsid w:val="006E0B29"/>
    <w:rsid w:val="006E0DB3"/>
    <w:rsid w:val="006E18EC"/>
    <w:rsid w:val="006E1DBB"/>
    <w:rsid w:val="006E27F8"/>
    <w:rsid w:val="006E335A"/>
    <w:rsid w:val="006E3A3B"/>
    <w:rsid w:val="006E6C76"/>
    <w:rsid w:val="006E7261"/>
    <w:rsid w:val="006F0636"/>
    <w:rsid w:val="006F0FDF"/>
    <w:rsid w:val="006F3FD9"/>
    <w:rsid w:val="006F4A34"/>
    <w:rsid w:val="006F5022"/>
    <w:rsid w:val="007000AB"/>
    <w:rsid w:val="0070077F"/>
    <w:rsid w:val="00700BFA"/>
    <w:rsid w:val="00704FBA"/>
    <w:rsid w:val="00705401"/>
    <w:rsid w:val="007068E5"/>
    <w:rsid w:val="007075B3"/>
    <w:rsid w:val="00710350"/>
    <w:rsid w:val="007204F9"/>
    <w:rsid w:val="00720B0E"/>
    <w:rsid w:val="00724502"/>
    <w:rsid w:val="00724C77"/>
    <w:rsid w:val="007251C1"/>
    <w:rsid w:val="00725295"/>
    <w:rsid w:val="00725BE6"/>
    <w:rsid w:val="00726439"/>
    <w:rsid w:val="007270C0"/>
    <w:rsid w:val="00730B38"/>
    <w:rsid w:val="00732A91"/>
    <w:rsid w:val="0073410F"/>
    <w:rsid w:val="00734471"/>
    <w:rsid w:val="007366FE"/>
    <w:rsid w:val="007403DA"/>
    <w:rsid w:val="00742148"/>
    <w:rsid w:val="00742303"/>
    <w:rsid w:val="00742971"/>
    <w:rsid w:val="00743530"/>
    <w:rsid w:val="0074441D"/>
    <w:rsid w:val="00744504"/>
    <w:rsid w:val="00746582"/>
    <w:rsid w:val="00747A85"/>
    <w:rsid w:val="00747C2E"/>
    <w:rsid w:val="0075147D"/>
    <w:rsid w:val="00751801"/>
    <w:rsid w:val="00752180"/>
    <w:rsid w:val="0075302C"/>
    <w:rsid w:val="00754744"/>
    <w:rsid w:val="0075587C"/>
    <w:rsid w:val="00755B46"/>
    <w:rsid w:val="00757607"/>
    <w:rsid w:val="00757E86"/>
    <w:rsid w:val="00757EA3"/>
    <w:rsid w:val="00760C39"/>
    <w:rsid w:val="00761A85"/>
    <w:rsid w:val="00761C3F"/>
    <w:rsid w:val="0076384E"/>
    <w:rsid w:val="007642B3"/>
    <w:rsid w:val="007656CF"/>
    <w:rsid w:val="00766022"/>
    <w:rsid w:val="00766D42"/>
    <w:rsid w:val="007673D0"/>
    <w:rsid w:val="0077118A"/>
    <w:rsid w:val="007725F7"/>
    <w:rsid w:val="00772999"/>
    <w:rsid w:val="00772E8C"/>
    <w:rsid w:val="00773BB4"/>
    <w:rsid w:val="00777FD3"/>
    <w:rsid w:val="007809DB"/>
    <w:rsid w:val="00781826"/>
    <w:rsid w:val="007836B5"/>
    <w:rsid w:val="00783B41"/>
    <w:rsid w:val="00785CFA"/>
    <w:rsid w:val="00786866"/>
    <w:rsid w:val="00790AE2"/>
    <w:rsid w:val="007948B6"/>
    <w:rsid w:val="00794DCF"/>
    <w:rsid w:val="00794FB6"/>
    <w:rsid w:val="007951F0"/>
    <w:rsid w:val="0079753B"/>
    <w:rsid w:val="007A1BB8"/>
    <w:rsid w:val="007A35E0"/>
    <w:rsid w:val="007A6FBF"/>
    <w:rsid w:val="007A7909"/>
    <w:rsid w:val="007A7D73"/>
    <w:rsid w:val="007B02A8"/>
    <w:rsid w:val="007B17AD"/>
    <w:rsid w:val="007B5891"/>
    <w:rsid w:val="007B5D5A"/>
    <w:rsid w:val="007B5FE5"/>
    <w:rsid w:val="007B657D"/>
    <w:rsid w:val="007C0171"/>
    <w:rsid w:val="007C1FCA"/>
    <w:rsid w:val="007C2872"/>
    <w:rsid w:val="007C2DA0"/>
    <w:rsid w:val="007C2F0D"/>
    <w:rsid w:val="007C4A76"/>
    <w:rsid w:val="007C4C83"/>
    <w:rsid w:val="007C5704"/>
    <w:rsid w:val="007C58D4"/>
    <w:rsid w:val="007C64E9"/>
    <w:rsid w:val="007D02A1"/>
    <w:rsid w:val="007D1A1C"/>
    <w:rsid w:val="007D4025"/>
    <w:rsid w:val="007D4AC5"/>
    <w:rsid w:val="007D52B7"/>
    <w:rsid w:val="007D666C"/>
    <w:rsid w:val="007D6C66"/>
    <w:rsid w:val="007E029B"/>
    <w:rsid w:val="007E0BF1"/>
    <w:rsid w:val="007E0CE4"/>
    <w:rsid w:val="007E2C86"/>
    <w:rsid w:val="007E33A6"/>
    <w:rsid w:val="007E37FD"/>
    <w:rsid w:val="007E4E82"/>
    <w:rsid w:val="007E5F13"/>
    <w:rsid w:val="007E78B4"/>
    <w:rsid w:val="007E7B36"/>
    <w:rsid w:val="007F07AB"/>
    <w:rsid w:val="007F0A89"/>
    <w:rsid w:val="007F10A4"/>
    <w:rsid w:val="007F16CA"/>
    <w:rsid w:val="007F1F07"/>
    <w:rsid w:val="007F2956"/>
    <w:rsid w:val="007F2D02"/>
    <w:rsid w:val="007F40D6"/>
    <w:rsid w:val="007F45C8"/>
    <w:rsid w:val="007F61C7"/>
    <w:rsid w:val="007F6300"/>
    <w:rsid w:val="00801132"/>
    <w:rsid w:val="008030F5"/>
    <w:rsid w:val="00803E55"/>
    <w:rsid w:val="0080505A"/>
    <w:rsid w:val="00805B5F"/>
    <w:rsid w:val="00805FC0"/>
    <w:rsid w:val="00806205"/>
    <w:rsid w:val="008066BB"/>
    <w:rsid w:val="00806F9C"/>
    <w:rsid w:val="00807F85"/>
    <w:rsid w:val="008102BB"/>
    <w:rsid w:val="00811FE2"/>
    <w:rsid w:val="0081429A"/>
    <w:rsid w:val="00816AF0"/>
    <w:rsid w:val="008175B9"/>
    <w:rsid w:val="00821693"/>
    <w:rsid w:val="0082348D"/>
    <w:rsid w:val="008268CD"/>
    <w:rsid w:val="008270D7"/>
    <w:rsid w:val="008315F2"/>
    <w:rsid w:val="00833844"/>
    <w:rsid w:val="0083413A"/>
    <w:rsid w:val="00835E99"/>
    <w:rsid w:val="00840194"/>
    <w:rsid w:val="008404DA"/>
    <w:rsid w:val="008454CD"/>
    <w:rsid w:val="008456CB"/>
    <w:rsid w:val="008466DF"/>
    <w:rsid w:val="00847E22"/>
    <w:rsid w:val="00850043"/>
    <w:rsid w:val="00851A29"/>
    <w:rsid w:val="00851DC6"/>
    <w:rsid w:val="0085398E"/>
    <w:rsid w:val="00854190"/>
    <w:rsid w:val="00855C1D"/>
    <w:rsid w:val="00856019"/>
    <w:rsid w:val="008566F9"/>
    <w:rsid w:val="00857D12"/>
    <w:rsid w:val="008611A0"/>
    <w:rsid w:val="008620DC"/>
    <w:rsid w:val="00862465"/>
    <w:rsid w:val="00864495"/>
    <w:rsid w:val="00864784"/>
    <w:rsid w:val="00864AC0"/>
    <w:rsid w:val="008659F5"/>
    <w:rsid w:val="008667B0"/>
    <w:rsid w:val="008676B2"/>
    <w:rsid w:val="00870102"/>
    <w:rsid w:val="00870714"/>
    <w:rsid w:val="00870D1C"/>
    <w:rsid w:val="00871DD4"/>
    <w:rsid w:val="008722D9"/>
    <w:rsid w:val="00872847"/>
    <w:rsid w:val="00872976"/>
    <w:rsid w:val="00873666"/>
    <w:rsid w:val="008743BF"/>
    <w:rsid w:val="0087441A"/>
    <w:rsid w:val="00877D52"/>
    <w:rsid w:val="00881CB5"/>
    <w:rsid w:val="00881D23"/>
    <w:rsid w:val="008820E6"/>
    <w:rsid w:val="00882583"/>
    <w:rsid w:val="008825F4"/>
    <w:rsid w:val="0088279B"/>
    <w:rsid w:val="00884E72"/>
    <w:rsid w:val="008857AA"/>
    <w:rsid w:val="0089060C"/>
    <w:rsid w:val="00890D45"/>
    <w:rsid w:val="00891074"/>
    <w:rsid w:val="008910AF"/>
    <w:rsid w:val="00892903"/>
    <w:rsid w:val="00892B10"/>
    <w:rsid w:val="00893782"/>
    <w:rsid w:val="00893FAA"/>
    <w:rsid w:val="00895ED5"/>
    <w:rsid w:val="00895EF3"/>
    <w:rsid w:val="00897332"/>
    <w:rsid w:val="008A0F96"/>
    <w:rsid w:val="008A1BEE"/>
    <w:rsid w:val="008A21AE"/>
    <w:rsid w:val="008A304A"/>
    <w:rsid w:val="008A389F"/>
    <w:rsid w:val="008A3A35"/>
    <w:rsid w:val="008A531D"/>
    <w:rsid w:val="008A594F"/>
    <w:rsid w:val="008B0EB9"/>
    <w:rsid w:val="008B1328"/>
    <w:rsid w:val="008B3232"/>
    <w:rsid w:val="008B3FEF"/>
    <w:rsid w:val="008B6D55"/>
    <w:rsid w:val="008C3B72"/>
    <w:rsid w:val="008C3E6D"/>
    <w:rsid w:val="008C4379"/>
    <w:rsid w:val="008C5FB5"/>
    <w:rsid w:val="008C67EB"/>
    <w:rsid w:val="008C782F"/>
    <w:rsid w:val="008C7E08"/>
    <w:rsid w:val="008D0F71"/>
    <w:rsid w:val="008D1230"/>
    <w:rsid w:val="008D240C"/>
    <w:rsid w:val="008D2512"/>
    <w:rsid w:val="008D487B"/>
    <w:rsid w:val="008D49F6"/>
    <w:rsid w:val="008D5313"/>
    <w:rsid w:val="008D576F"/>
    <w:rsid w:val="008D6C27"/>
    <w:rsid w:val="008D7CA2"/>
    <w:rsid w:val="008E02B4"/>
    <w:rsid w:val="008E0A13"/>
    <w:rsid w:val="008E1318"/>
    <w:rsid w:val="008E1BD7"/>
    <w:rsid w:val="008E265E"/>
    <w:rsid w:val="008E31EC"/>
    <w:rsid w:val="008E48CE"/>
    <w:rsid w:val="008E56B6"/>
    <w:rsid w:val="008F06AA"/>
    <w:rsid w:val="008F11D5"/>
    <w:rsid w:val="008F472D"/>
    <w:rsid w:val="008F659D"/>
    <w:rsid w:val="008F69D5"/>
    <w:rsid w:val="008F6F41"/>
    <w:rsid w:val="0090211A"/>
    <w:rsid w:val="009025CC"/>
    <w:rsid w:val="00903A4E"/>
    <w:rsid w:val="009047C8"/>
    <w:rsid w:val="00904D42"/>
    <w:rsid w:val="0090528F"/>
    <w:rsid w:val="009065D8"/>
    <w:rsid w:val="00906FDC"/>
    <w:rsid w:val="00907436"/>
    <w:rsid w:val="00907818"/>
    <w:rsid w:val="009100B7"/>
    <w:rsid w:val="00910CBA"/>
    <w:rsid w:val="00912FA3"/>
    <w:rsid w:val="00912FEF"/>
    <w:rsid w:val="009139AF"/>
    <w:rsid w:val="00914FD1"/>
    <w:rsid w:val="00915B01"/>
    <w:rsid w:val="00915CEC"/>
    <w:rsid w:val="00915DC5"/>
    <w:rsid w:val="0091603D"/>
    <w:rsid w:val="009224FC"/>
    <w:rsid w:val="00926110"/>
    <w:rsid w:val="009263C2"/>
    <w:rsid w:val="009308CD"/>
    <w:rsid w:val="00930E42"/>
    <w:rsid w:val="009331BD"/>
    <w:rsid w:val="00934899"/>
    <w:rsid w:val="009358CC"/>
    <w:rsid w:val="00937940"/>
    <w:rsid w:val="009420E7"/>
    <w:rsid w:val="009430BD"/>
    <w:rsid w:val="00943C78"/>
    <w:rsid w:val="00943FFA"/>
    <w:rsid w:val="00944D10"/>
    <w:rsid w:val="00945AF2"/>
    <w:rsid w:val="00945EB2"/>
    <w:rsid w:val="009471C7"/>
    <w:rsid w:val="00947AC8"/>
    <w:rsid w:val="00947BA5"/>
    <w:rsid w:val="00950AD8"/>
    <w:rsid w:val="00951A46"/>
    <w:rsid w:val="0095568B"/>
    <w:rsid w:val="009563E8"/>
    <w:rsid w:val="00957974"/>
    <w:rsid w:val="00957FF9"/>
    <w:rsid w:val="00960232"/>
    <w:rsid w:val="00961386"/>
    <w:rsid w:val="00961843"/>
    <w:rsid w:val="00962A49"/>
    <w:rsid w:val="009638B3"/>
    <w:rsid w:val="00970450"/>
    <w:rsid w:val="00970853"/>
    <w:rsid w:val="0097099D"/>
    <w:rsid w:val="00972535"/>
    <w:rsid w:val="00975546"/>
    <w:rsid w:val="00976AD3"/>
    <w:rsid w:val="00977317"/>
    <w:rsid w:val="009774DC"/>
    <w:rsid w:val="00977832"/>
    <w:rsid w:val="009808F6"/>
    <w:rsid w:val="0098288C"/>
    <w:rsid w:val="00983579"/>
    <w:rsid w:val="0098366D"/>
    <w:rsid w:val="009836A6"/>
    <w:rsid w:val="00983D2F"/>
    <w:rsid w:val="00984751"/>
    <w:rsid w:val="0098573B"/>
    <w:rsid w:val="00990401"/>
    <w:rsid w:val="00996EDA"/>
    <w:rsid w:val="009976E2"/>
    <w:rsid w:val="009977AA"/>
    <w:rsid w:val="009A05A6"/>
    <w:rsid w:val="009A1A97"/>
    <w:rsid w:val="009A1DCA"/>
    <w:rsid w:val="009A24CC"/>
    <w:rsid w:val="009A3086"/>
    <w:rsid w:val="009A4429"/>
    <w:rsid w:val="009A4D08"/>
    <w:rsid w:val="009A5048"/>
    <w:rsid w:val="009A515B"/>
    <w:rsid w:val="009A6092"/>
    <w:rsid w:val="009A6859"/>
    <w:rsid w:val="009A7905"/>
    <w:rsid w:val="009B0181"/>
    <w:rsid w:val="009B0E09"/>
    <w:rsid w:val="009B1CBB"/>
    <w:rsid w:val="009B4613"/>
    <w:rsid w:val="009B4FEE"/>
    <w:rsid w:val="009B6DA6"/>
    <w:rsid w:val="009B7D7F"/>
    <w:rsid w:val="009C181E"/>
    <w:rsid w:val="009C4DB6"/>
    <w:rsid w:val="009C4DDF"/>
    <w:rsid w:val="009C5136"/>
    <w:rsid w:val="009C63C2"/>
    <w:rsid w:val="009C6555"/>
    <w:rsid w:val="009D150F"/>
    <w:rsid w:val="009D5E6C"/>
    <w:rsid w:val="009D61B8"/>
    <w:rsid w:val="009D6384"/>
    <w:rsid w:val="009D73C5"/>
    <w:rsid w:val="009E2261"/>
    <w:rsid w:val="009E2662"/>
    <w:rsid w:val="009E36B5"/>
    <w:rsid w:val="009E3AA1"/>
    <w:rsid w:val="009E7A41"/>
    <w:rsid w:val="009F012D"/>
    <w:rsid w:val="009F0CA8"/>
    <w:rsid w:val="009F1744"/>
    <w:rsid w:val="009F1949"/>
    <w:rsid w:val="009F1A8B"/>
    <w:rsid w:val="009F4198"/>
    <w:rsid w:val="009F569C"/>
    <w:rsid w:val="009F5B5C"/>
    <w:rsid w:val="009F5C2E"/>
    <w:rsid w:val="009F7CC2"/>
    <w:rsid w:val="00A00BF5"/>
    <w:rsid w:val="00A01EB4"/>
    <w:rsid w:val="00A020B8"/>
    <w:rsid w:val="00A02527"/>
    <w:rsid w:val="00A02AC0"/>
    <w:rsid w:val="00A0532F"/>
    <w:rsid w:val="00A06127"/>
    <w:rsid w:val="00A071F3"/>
    <w:rsid w:val="00A07E80"/>
    <w:rsid w:val="00A1037F"/>
    <w:rsid w:val="00A10A9C"/>
    <w:rsid w:val="00A114A1"/>
    <w:rsid w:val="00A12522"/>
    <w:rsid w:val="00A144A3"/>
    <w:rsid w:val="00A14650"/>
    <w:rsid w:val="00A14763"/>
    <w:rsid w:val="00A16762"/>
    <w:rsid w:val="00A1688A"/>
    <w:rsid w:val="00A177F0"/>
    <w:rsid w:val="00A22DEF"/>
    <w:rsid w:val="00A22F5D"/>
    <w:rsid w:val="00A2430B"/>
    <w:rsid w:val="00A257D9"/>
    <w:rsid w:val="00A25F05"/>
    <w:rsid w:val="00A26182"/>
    <w:rsid w:val="00A26EDB"/>
    <w:rsid w:val="00A2750F"/>
    <w:rsid w:val="00A278C7"/>
    <w:rsid w:val="00A357AF"/>
    <w:rsid w:val="00A414E1"/>
    <w:rsid w:val="00A41BA7"/>
    <w:rsid w:val="00A42EAA"/>
    <w:rsid w:val="00A43387"/>
    <w:rsid w:val="00A4779D"/>
    <w:rsid w:val="00A47C99"/>
    <w:rsid w:val="00A50114"/>
    <w:rsid w:val="00A51840"/>
    <w:rsid w:val="00A52038"/>
    <w:rsid w:val="00A520B1"/>
    <w:rsid w:val="00A55739"/>
    <w:rsid w:val="00A60208"/>
    <w:rsid w:val="00A60B81"/>
    <w:rsid w:val="00A6286E"/>
    <w:rsid w:val="00A6400E"/>
    <w:rsid w:val="00A64535"/>
    <w:rsid w:val="00A666C1"/>
    <w:rsid w:val="00A7019E"/>
    <w:rsid w:val="00A70AFB"/>
    <w:rsid w:val="00A7149F"/>
    <w:rsid w:val="00A71A8B"/>
    <w:rsid w:val="00A71F9A"/>
    <w:rsid w:val="00A72EC7"/>
    <w:rsid w:val="00A73218"/>
    <w:rsid w:val="00A732A1"/>
    <w:rsid w:val="00A757DD"/>
    <w:rsid w:val="00A76466"/>
    <w:rsid w:val="00A80ECC"/>
    <w:rsid w:val="00A81442"/>
    <w:rsid w:val="00A83A83"/>
    <w:rsid w:val="00A84275"/>
    <w:rsid w:val="00A85C43"/>
    <w:rsid w:val="00A85E41"/>
    <w:rsid w:val="00A8617F"/>
    <w:rsid w:val="00A870FD"/>
    <w:rsid w:val="00A8750A"/>
    <w:rsid w:val="00A87E96"/>
    <w:rsid w:val="00A90878"/>
    <w:rsid w:val="00A908BE"/>
    <w:rsid w:val="00A9273C"/>
    <w:rsid w:val="00A928C2"/>
    <w:rsid w:val="00A929EE"/>
    <w:rsid w:val="00A941CA"/>
    <w:rsid w:val="00A95C21"/>
    <w:rsid w:val="00A97B14"/>
    <w:rsid w:val="00AA0A43"/>
    <w:rsid w:val="00AA0A59"/>
    <w:rsid w:val="00AA1435"/>
    <w:rsid w:val="00AA16B8"/>
    <w:rsid w:val="00AA24D9"/>
    <w:rsid w:val="00AA2604"/>
    <w:rsid w:val="00AA2D4E"/>
    <w:rsid w:val="00AA3035"/>
    <w:rsid w:val="00AA6103"/>
    <w:rsid w:val="00AA6453"/>
    <w:rsid w:val="00AA66C1"/>
    <w:rsid w:val="00AA6BA4"/>
    <w:rsid w:val="00AB018D"/>
    <w:rsid w:val="00AB0580"/>
    <w:rsid w:val="00AB12AC"/>
    <w:rsid w:val="00AB1947"/>
    <w:rsid w:val="00AB24BA"/>
    <w:rsid w:val="00AB342B"/>
    <w:rsid w:val="00AB352D"/>
    <w:rsid w:val="00AB36AC"/>
    <w:rsid w:val="00AB39A4"/>
    <w:rsid w:val="00AB4419"/>
    <w:rsid w:val="00AB79C8"/>
    <w:rsid w:val="00AC08E3"/>
    <w:rsid w:val="00AC0E0C"/>
    <w:rsid w:val="00AC1037"/>
    <w:rsid w:val="00AC12D8"/>
    <w:rsid w:val="00AC35AF"/>
    <w:rsid w:val="00AC3C60"/>
    <w:rsid w:val="00AC57E5"/>
    <w:rsid w:val="00AC5A00"/>
    <w:rsid w:val="00AC75B5"/>
    <w:rsid w:val="00AD068B"/>
    <w:rsid w:val="00AD0B10"/>
    <w:rsid w:val="00AD1BCC"/>
    <w:rsid w:val="00AD2C6F"/>
    <w:rsid w:val="00AD4CC5"/>
    <w:rsid w:val="00AD5AF2"/>
    <w:rsid w:val="00AD6D13"/>
    <w:rsid w:val="00AE125F"/>
    <w:rsid w:val="00AE1994"/>
    <w:rsid w:val="00AE3164"/>
    <w:rsid w:val="00AE69C7"/>
    <w:rsid w:val="00AF11ED"/>
    <w:rsid w:val="00AF218D"/>
    <w:rsid w:val="00AF36FE"/>
    <w:rsid w:val="00AF38C7"/>
    <w:rsid w:val="00AF3F59"/>
    <w:rsid w:val="00AF4DF3"/>
    <w:rsid w:val="00B0052C"/>
    <w:rsid w:val="00B03E8F"/>
    <w:rsid w:val="00B04775"/>
    <w:rsid w:val="00B05188"/>
    <w:rsid w:val="00B05DAB"/>
    <w:rsid w:val="00B067AB"/>
    <w:rsid w:val="00B06E15"/>
    <w:rsid w:val="00B07CAE"/>
    <w:rsid w:val="00B10A25"/>
    <w:rsid w:val="00B10C17"/>
    <w:rsid w:val="00B10FE5"/>
    <w:rsid w:val="00B11E30"/>
    <w:rsid w:val="00B1247A"/>
    <w:rsid w:val="00B13428"/>
    <w:rsid w:val="00B16925"/>
    <w:rsid w:val="00B16F18"/>
    <w:rsid w:val="00B20BCD"/>
    <w:rsid w:val="00B22F63"/>
    <w:rsid w:val="00B235CA"/>
    <w:rsid w:val="00B2588D"/>
    <w:rsid w:val="00B25E96"/>
    <w:rsid w:val="00B2642D"/>
    <w:rsid w:val="00B2642F"/>
    <w:rsid w:val="00B2720B"/>
    <w:rsid w:val="00B27646"/>
    <w:rsid w:val="00B3003D"/>
    <w:rsid w:val="00B30573"/>
    <w:rsid w:val="00B3068D"/>
    <w:rsid w:val="00B32114"/>
    <w:rsid w:val="00B3228D"/>
    <w:rsid w:val="00B33525"/>
    <w:rsid w:val="00B337FB"/>
    <w:rsid w:val="00B34EF4"/>
    <w:rsid w:val="00B36071"/>
    <w:rsid w:val="00B37804"/>
    <w:rsid w:val="00B403E8"/>
    <w:rsid w:val="00B4285D"/>
    <w:rsid w:val="00B42B24"/>
    <w:rsid w:val="00B4316B"/>
    <w:rsid w:val="00B44088"/>
    <w:rsid w:val="00B445A6"/>
    <w:rsid w:val="00B447B3"/>
    <w:rsid w:val="00B45293"/>
    <w:rsid w:val="00B461D8"/>
    <w:rsid w:val="00B4671E"/>
    <w:rsid w:val="00B4716E"/>
    <w:rsid w:val="00B506AC"/>
    <w:rsid w:val="00B5087D"/>
    <w:rsid w:val="00B518BF"/>
    <w:rsid w:val="00B52170"/>
    <w:rsid w:val="00B521E9"/>
    <w:rsid w:val="00B56AE5"/>
    <w:rsid w:val="00B57E29"/>
    <w:rsid w:val="00B639BE"/>
    <w:rsid w:val="00B64423"/>
    <w:rsid w:val="00B64486"/>
    <w:rsid w:val="00B65809"/>
    <w:rsid w:val="00B717E7"/>
    <w:rsid w:val="00B729D5"/>
    <w:rsid w:val="00B7479B"/>
    <w:rsid w:val="00B74A72"/>
    <w:rsid w:val="00B76371"/>
    <w:rsid w:val="00B8098A"/>
    <w:rsid w:val="00B80CC0"/>
    <w:rsid w:val="00B82C4A"/>
    <w:rsid w:val="00B83E9D"/>
    <w:rsid w:val="00B8455A"/>
    <w:rsid w:val="00B85767"/>
    <w:rsid w:val="00B858E0"/>
    <w:rsid w:val="00B87B58"/>
    <w:rsid w:val="00B87C49"/>
    <w:rsid w:val="00B90FB3"/>
    <w:rsid w:val="00B93346"/>
    <w:rsid w:val="00B941DB"/>
    <w:rsid w:val="00B95673"/>
    <w:rsid w:val="00B960DB"/>
    <w:rsid w:val="00B9723F"/>
    <w:rsid w:val="00B97579"/>
    <w:rsid w:val="00B97D6A"/>
    <w:rsid w:val="00BA172A"/>
    <w:rsid w:val="00BA38A9"/>
    <w:rsid w:val="00BA417F"/>
    <w:rsid w:val="00BA49C9"/>
    <w:rsid w:val="00BA4F26"/>
    <w:rsid w:val="00BA56C8"/>
    <w:rsid w:val="00BA56E2"/>
    <w:rsid w:val="00BA5EDD"/>
    <w:rsid w:val="00BB0033"/>
    <w:rsid w:val="00BB1FC3"/>
    <w:rsid w:val="00BB2FFB"/>
    <w:rsid w:val="00BB3F99"/>
    <w:rsid w:val="00BB5FA5"/>
    <w:rsid w:val="00BB751C"/>
    <w:rsid w:val="00BC0374"/>
    <w:rsid w:val="00BC15D2"/>
    <w:rsid w:val="00BC3556"/>
    <w:rsid w:val="00BC3E1C"/>
    <w:rsid w:val="00BC61FC"/>
    <w:rsid w:val="00BC646D"/>
    <w:rsid w:val="00BD0933"/>
    <w:rsid w:val="00BD1211"/>
    <w:rsid w:val="00BD42F8"/>
    <w:rsid w:val="00BD4DA9"/>
    <w:rsid w:val="00BD51B7"/>
    <w:rsid w:val="00BD55D6"/>
    <w:rsid w:val="00BD5F64"/>
    <w:rsid w:val="00BD64FB"/>
    <w:rsid w:val="00BD6A3F"/>
    <w:rsid w:val="00BD7B5A"/>
    <w:rsid w:val="00BD7BF3"/>
    <w:rsid w:val="00BE1009"/>
    <w:rsid w:val="00BE4AFD"/>
    <w:rsid w:val="00BF0D5A"/>
    <w:rsid w:val="00BF1E98"/>
    <w:rsid w:val="00BF48A4"/>
    <w:rsid w:val="00BF58BD"/>
    <w:rsid w:val="00BF590E"/>
    <w:rsid w:val="00BF5C5A"/>
    <w:rsid w:val="00BF73F4"/>
    <w:rsid w:val="00C019C0"/>
    <w:rsid w:val="00C01A39"/>
    <w:rsid w:val="00C01CB1"/>
    <w:rsid w:val="00C01FF9"/>
    <w:rsid w:val="00C04531"/>
    <w:rsid w:val="00C05636"/>
    <w:rsid w:val="00C05857"/>
    <w:rsid w:val="00C0609E"/>
    <w:rsid w:val="00C10771"/>
    <w:rsid w:val="00C1402D"/>
    <w:rsid w:val="00C154B0"/>
    <w:rsid w:val="00C15C17"/>
    <w:rsid w:val="00C168B8"/>
    <w:rsid w:val="00C16997"/>
    <w:rsid w:val="00C17244"/>
    <w:rsid w:val="00C212A4"/>
    <w:rsid w:val="00C224C2"/>
    <w:rsid w:val="00C23A88"/>
    <w:rsid w:val="00C253FE"/>
    <w:rsid w:val="00C25EA6"/>
    <w:rsid w:val="00C26803"/>
    <w:rsid w:val="00C311F5"/>
    <w:rsid w:val="00C31BC2"/>
    <w:rsid w:val="00C31CD3"/>
    <w:rsid w:val="00C320FB"/>
    <w:rsid w:val="00C322BF"/>
    <w:rsid w:val="00C33B31"/>
    <w:rsid w:val="00C35854"/>
    <w:rsid w:val="00C35F67"/>
    <w:rsid w:val="00C407F3"/>
    <w:rsid w:val="00C4207F"/>
    <w:rsid w:val="00C46358"/>
    <w:rsid w:val="00C4653C"/>
    <w:rsid w:val="00C50104"/>
    <w:rsid w:val="00C50233"/>
    <w:rsid w:val="00C50E1A"/>
    <w:rsid w:val="00C53046"/>
    <w:rsid w:val="00C53190"/>
    <w:rsid w:val="00C53C29"/>
    <w:rsid w:val="00C552C2"/>
    <w:rsid w:val="00C60A8B"/>
    <w:rsid w:val="00C617BE"/>
    <w:rsid w:val="00C62B5E"/>
    <w:rsid w:val="00C62C4C"/>
    <w:rsid w:val="00C64001"/>
    <w:rsid w:val="00C64546"/>
    <w:rsid w:val="00C65737"/>
    <w:rsid w:val="00C659ED"/>
    <w:rsid w:val="00C65E53"/>
    <w:rsid w:val="00C66678"/>
    <w:rsid w:val="00C66EF2"/>
    <w:rsid w:val="00C6774E"/>
    <w:rsid w:val="00C70439"/>
    <w:rsid w:val="00C71B8F"/>
    <w:rsid w:val="00C720E9"/>
    <w:rsid w:val="00C7355E"/>
    <w:rsid w:val="00C73708"/>
    <w:rsid w:val="00C7383D"/>
    <w:rsid w:val="00C73C02"/>
    <w:rsid w:val="00C74048"/>
    <w:rsid w:val="00C745AE"/>
    <w:rsid w:val="00C74E3F"/>
    <w:rsid w:val="00C77572"/>
    <w:rsid w:val="00C77948"/>
    <w:rsid w:val="00C83793"/>
    <w:rsid w:val="00C84C93"/>
    <w:rsid w:val="00C8570C"/>
    <w:rsid w:val="00C867C8"/>
    <w:rsid w:val="00C900FE"/>
    <w:rsid w:val="00C90A46"/>
    <w:rsid w:val="00C92683"/>
    <w:rsid w:val="00C92B88"/>
    <w:rsid w:val="00C93158"/>
    <w:rsid w:val="00C93EFF"/>
    <w:rsid w:val="00C94438"/>
    <w:rsid w:val="00C94867"/>
    <w:rsid w:val="00C94C33"/>
    <w:rsid w:val="00C94DCE"/>
    <w:rsid w:val="00C94E04"/>
    <w:rsid w:val="00C9579A"/>
    <w:rsid w:val="00C9744E"/>
    <w:rsid w:val="00C975C9"/>
    <w:rsid w:val="00C97815"/>
    <w:rsid w:val="00CA0CF8"/>
    <w:rsid w:val="00CA1CBA"/>
    <w:rsid w:val="00CA3DD4"/>
    <w:rsid w:val="00CA69A8"/>
    <w:rsid w:val="00CA6B72"/>
    <w:rsid w:val="00CA7415"/>
    <w:rsid w:val="00CA74FD"/>
    <w:rsid w:val="00CA7866"/>
    <w:rsid w:val="00CB0619"/>
    <w:rsid w:val="00CB0FD3"/>
    <w:rsid w:val="00CB1B94"/>
    <w:rsid w:val="00CB1D5F"/>
    <w:rsid w:val="00CB1D9D"/>
    <w:rsid w:val="00CB2CC6"/>
    <w:rsid w:val="00CB3A76"/>
    <w:rsid w:val="00CB5392"/>
    <w:rsid w:val="00CB5C47"/>
    <w:rsid w:val="00CB608D"/>
    <w:rsid w:val="00CB6D21"/>
    <w:rsid w:val="00CB6D60"/>
    <w:rsid w:val="00CB6EC2"/>
    <w:rsid w:val="00CB79A1"/>
    <w:rsid w:val="00CC0318"/>
    <w:rsid w:val="00CC0530"/>
    <w:rsid w:val="00CC05B2"/>
    <w:rsid w:val="00CC060E"/>
    <w:rsid w:val="00CC2DDE"/>
    <w:rsid w:val="00CC3338"/>
    <w:rsid w:val="00CC3C89"/>
    <w:rsid w:val="00CC7510"/>
    <w:rsid w:val="00CC7D61"/>
    <w:rsid w:val="00CD149B"/>
    <w:rsid w:val="00CD214E"/>
    <w:rsid w:val="00CD5288"/>
    <w:rsid w:val="00CD67B5"/>
    <w:rsid w:val="00CD7450"/>
    <w:rsid w:val="00CE0212"/>
    <w:rsid w:val="00CE1014"/>
    <w:rsid w:val="00CE165F"/>
    <w:rsid w:val="00CE21CF"/>
    <w:rsid w:val="00CE2F5F"/>
    <w:rsid w:val="00CE5236"/>
    <w:rsid w:val="00CE5BFC"/>
    <w:rsid w:val="00CE5DCA"/>
    <w:rsid w:val="00CE6DF9"/>
    <w:rsid w:val="00CF04CA"/>
    <w:rsid w:val="00CF0E31"/>
    <w:rsid w:val="00CF1CB7"/>
    <w:rsid w:val="00CF2169"/>
    <w:rsid w:val="00CF38A4"/>
    <w:rsid w:val="00CF3F39"/>
    <w:rsid w:val="00CF5488"/>
    <w:rsid w:val="00CF6D15"/>
    <w:rsid w:val="00CF7040"/>
    <w:rsid w:val="00D0203A"/>
    <w:rsid w:val="00D021DB"/>
    <w:rsid w:val="00D03D9E"/>
    <w:rsid w:val="00D03EA1"/>
    <w:rsid w:val="00D04098"/>
    <w:rsid w:val="00D04BC7"/>
    <w:rsid w:val="00D071A8"/>
    <w:rsid w:val="00D10717"/>
    <w:rsid w:val="00D108D2"/>
    <w:rsid w:val="00D10FC9"/>
    <w:rsid w:val="00D12935"/>
    <w:rsid w:val="00D13645"/>
    <w:rsid w:val="00D14C65"/>
    <w:rsid w:val="00D15085"/>
    <w:rsid w:val="00D15281"/>
    <w:rsid w:val="00D157A4"/>
    <w:rsid w:val="00D168FB"/>
    <w:rsid w:val="00D16D29"/>
    <w:rsid w:val="00D1792F"/>
    <w:rsid w:val="00D17D09"/>
    <w:rsid w:val="00D20916"/>
    <w:rsid w:val="00D20E42"/>
    <w:rsid w:val="00D2261D"/>
    <w:rsid w:val="00D236FC"/>
    <w:rsid w:val="00D242FD"/>
    <w:rsid w:val="00D24ACA"/>
    <w:rsid w:val="00D27F2C"/>
    <w:rsid w:val="00D30A6F"/>
    <w:rsid w:val="00D31368"/>
    <w:rsid w:val="00D32547"/>
    <w:rsid w:val="00D33278"/>
    <w:rsid w:val="00D347D2"/>
    <w:rsid w:val="00D358D2"/>
    <w:rsid w:val="00D36FE1"/>
    <w:rsid w:val="00D40CC6"/>
    <w:rsid w:val="00D42B95"/>
    <w:rsid w:val="00D43613"/>
    <w:rsid w:val="00D45BA3"/>
    <w:rsid w:val="00D462C7"/>
    <w:rsid w:val="00D47140"/>
    <w:rsid w:val="00D4786E"/>
    <w:rsid w:val="00D47FD0"/>
    <w:rsid w:val="00D50C16"/>
    <w:rsid w:val="00D517DA"/>
    <w:rsid w:val="00D520B2"/>
    <w:rsid w:val="00D53F73"/>
    <w:rsid w:val="00D546E7"/>
    <w:rsid w:val="00D5614B"/>
    <w:rsid w:val="00D568EE"/>
    <w:rsid w:val="00D56D0F"/>
    <w:rsid w:val="00D57204"/>
    <w:rsid w:val="00D57A51"/>
    <w:rsid w:val="00D61603"/>
    <w:rsid w:val="00D6204C"/>
    <w:rsid w:val="00D62AF6"/>
    <w:rsid w:val="00D6328E"/>
    <w:rsid w:val="00D648BF"/>
    <w:rsid w:val="00D65B0A"/>
    <w:rsid w:val="00D676D5"/>
    <w:rsid w:val="00D67A35"/>
    <w:rsid w:val="00D7105D"/>
    <w:rsid w:val="00D72373"/>
    <w:rsid w:val="00D72C77"/>
    <w:rsid w:val="00D73A84"/>
    <w:rsid w:val="00D73B30"/>
    <w:rsid w:val="00D7485D"/>
    <w:rsid w:val="00D7566D"/>
    <w:rsid w:val="00D768EB"/>
    <w:rsid w:val="00D7765B"/>
    <w:rsid w:val="00D77C73"/>
    <w:rsid w:val="00D8042C"/>
    <w:rsid w:val="00D80DD5"/>
    <w:rsid w:val="00D81A21"/>
    <w:rsid w:val="00D823C6"/>
    <w:rsid w:val="00D85ED3"/>
    <w:rsid w:val="00D87B97"/>
    <w:rsid w:val="00D90D8D"/>
    <w:rsid w:val="00D91982"/>
    <w:rsid w:val="00D92AD0"/>
    <w:rsid w:val="00D9338E"/>
    <w:rsid w:val="00D93419"/>
    <w:rsid w:val="00D95BCC"/>
    <w:rsid w:val="00D967BD"/>
    <w:rsid w:val="00D97A26"/>
    <w:rsid w:val="00D97E49"/>
    <w:rsid w:val="00DA1EE9"/>
    <w:rsid w:val="00DA293A"/>
    <w:rsid w:val="00DA2C5D"/>
    <w:rsid w:val="00DA347B"/>
    <w:rsid w:val="00DA4328"/>
    <w:rsid w:val="00DA4796"/>
    <w:rsid w:val="00DA61AD"/>
    <w:rsid w:val="00DA7DB9"/>
    <w:rsid w:val="00DB3C8F"/>
    <w:rsid w:val="00DB46CC"/>
    <w:rsid w:val="00DB4B28"/>
    <w:rsid w:val="00DB4EAB"/>
    <w:rsid w:val="00DB5292"/>
    <w:rsid w:val="00DB5DA9"/>
    <w:rsid w:val="00DB7417"/>
    <w:rsid w:val="00DC0C11"/>
    <w:rsid w:val="00DC328A"/>
    <w:rsid w:val="00DC4924"/>
    <w:rsid w:val="00DC556E"/>
    <w:rsid w:val="00DC6426"/>
    <w:rsid w:val="00DC674C"/>
    <w:rsid w:val="00DC7164"/>
    <w:rsid w:val="00DD0F97"/>
    <w:rsid w:val="00DD2360"/>
    <w:rsid w:val="00DD24D1"/>
    <w:rsid w:val="00DD45CD"/>
    <w:rsid w:val="00DD4A8E"/>
    <w:rsid w:val="00DD5178"/>
    <w:rsid w:val="00DE07EE"/>
    <w:rsid w:val="00DE0976"/>
    <w:rsid w:val="00DE3055"/>
    <w:rsid w:val="00DE3268"/>
    <w:rsid w:val="00DE5733"/>
    <w:rsid w:val="00DE70AE"/>
    <w:rsid w:val="00DF00E0"/>
    <w:rsid w:val="00DF0C5E"/>
    <w:rsid w:val="00DF153D"/>
    <w:rsid w:val="00DF1C2C"/>
    <w:rsid w:val="00DF2C13"/>
    <w:rsid w:val="00DF2CEF"/>
    <w:rsid w:val="00DF4577"/>
    <w:rsid w:val="00DF7A07"/>
    <w:rsid w:val="00E00755"/>
    <w:rsid w:val="00E00EC4"/>
    <w:rsid w:val="00E03E1A"/>
    <w:rsid w:val="00E0427D"/>
    <w:rsid w:val="00E04FC0"/>
    <w:rsid w:val="00E07861"/>
    <w:rsid w:val="00E10053"/>
    <w:rsid w:val="00E10472"/>
    <w:rsid w:val="00E11110"/>
    <w:rsid w:val="00E111EF"/>
    <w:rsid w:val="00E12866"/>
    <w:rsid w:val="00E14498"/>
    <w:rsid w:val="00E15014"/>
    <w:rsid w:val="00E15AEB"/>
    <w:rsid w:val="00E1785E"/>
    <w:rsid w:val="00E22F3F"/>
    <w:rsid w:val="00E23BAB"/>
    <w:rsid w:val="00E23E0B"/>
    <w:rsid w:val="00E23F00"/>
    <w:rsid w:val="00E27281"/>
    <w:rsid w:val="00E27B5F"/>
    <w:rsid w:val="00E27F6D"/>
    <w:rsid w:val="00E30032"/>
    <w:rsid w:val="00E3112C"/>
    <w:rsid w:val="00E3213E"/>
    <w:rsid w:val="00E3317B"/>
    <w:rsid w:val="00E3386F"/>
    <w:rsid w:val="00E3424D"/>
    <w:rsid w:val="00E37C53"/>
    <w:rsid w:val="00E40B49"/>
    <w:rsid w:val="00E44BCD"/>
    <w:rsid w:val="00E454BA"/>
    <w:rsid w:val="00E463A1"/>
    <w:rsid w:val="00E5038F"/>
    <w:rsid w:val="00E50F70"/>
    <w:rsid w:val="00E516A6"/>
    <w:rsid w:val="00E52382"/>
    <w:rsid w:val="00E52BFC"/>
    <w:rsid w:val="00E52EE1"/>
    <w:rsid w:val="00E62677"/>
    <w:rsid w:val="00E63F7F"/>
    <w:rsid w:val="00E63FE0"/>
    <w:rsid w:val="00E708D5"/>
    <w:rsid w:val="00E729C3"/>
    <w:rsid w:val="00E732C9"/>
    <w:rsid w:val="00E74C2F"/>
    <w:rsid w:val="00E7535A"/>
    <w:rsid w:val="00E76C3A"/>
    <w:rsid w:val="00E77101"/>
    <w:rsid w:val="00E77BCA"/>
    <w:rsid w:val="00E77EE7"/>
    <w:rsid w:val="00E81839"/>
    <w:rsid w:val="00E81FB1"/>
    <w:rsid w:val="00E820A2"/>
    <w:rsid w:val="00E8230A"/>
    <w:rsid w:val="00E82950"/>
    <w:rsid w:val="00E82C0C"/>
    <w:rsid w:val="00E836B3"/>
    <w:rsid w:val="00E8453F"/>
    <w:rsid w:val="00E8486F"/>
    <w:rsid w:val="00E858A7"/>
    <w:rsid w:val="00E868F3"/>
    <w:rsid w:val="00E8716B"/>
    <w:rsid w:val="00E8787F"/>
    <w:rsid w:val="00E900AF"/>
    <w:rsid w:val="00E9176D"/>
    <w:rsid w:val="00E91C6C"/>
    <w:rsid w:val="00E92D8C"/>
    <w:rsid w:val="00E95359"/>
    <w:rsid w:val="00E966FD"/>
    <w:rsid w:val="00E96BF7"/>
    <w:rsid w:val="00EA05BA"/>
    <w:rsid w:val="00EA0715"/>
    <w:rsid w:val="00EA0A1C"/>
    <w:rsid w:val="00EA2DCF"/>
    <w:rsid w:val="00EA3EEC"/>
    <w:rsid w:val="00EA57B1"/>
    <w:rsid w:val="00EA5E6A"/>
    <w:rsid w:val="00EA6FE9"/>
    <w:rsid w:val="00EB0399"/>
    <w:rsid w:val="00EB1AD7"/>
    <w:rsid w:val="00EB2C64"/>
    <w:rsid w:val="00EB2EED"/>
    <w:rsid w:val="00EB2F2C"/>
    <w:rsid w:val="00EB36AD"/>
    <w:rsid w:val="00EB3C69"/>
    <w:rsid w:val="00EB3D5F"/>
    <w:rsid w:val="00EB3E5F"/>
    <w:rsid w:val="00EB531D"/>
    <w:rsid w:val="00EB5CBD"/>
    <w:rsid w:val="00EB62D7"/>
    <w:rsid w:val="00EB6C50"/>
    <w:rsid w:val="00EB6F2B"/>
    <w:rsid w:val="00EB708F"/>
    <w:rsid w:val="00EC126D"/>
    <w:rsid w:val="00EC3AAD"/>
    <w:rsid w:val="00EC4A5C"/>
    <w:rsid w:val="00EC5F71"/>
    <w:rsid w:val="00EC720E"/>
    <w:rsid w:val="00ED1237"/>
    <w:rsid w:val="00ED1277"/>
    <w:rsid w:val="00ED2F8C"/>
    <w:rsid w:val="00ED452D"/>
    <w:rsid w:val="00ED488C"/>
    <w:rsid w:val="00ED4B86"/>
    <w:rsid w:val="00ED525B"/>
    <w:rsid w:val="00EE0272"/>
    <w:rsid w:val="00EE3BCE"/>
    <w:rsid w:val="00EE53AB"/>
    <w:rsid w:val="00EE5AD9"/>
    <w:rsid w:val="00EE6358"/>
    <w:rsid w:val="00EE6EA2"/>
    <w:rsid w:val="00EE7B05"/>
    <w:rsid w:val="00EE7D8D"/>
    <w:rsid w:val="00EF0D43"/>
    <w:rsid w:val="00EF1FB7"/>
    <w:rsid w:val="00F00B3C"/>
    <w:rsid w:val="00F01005"/>
    <w:rsid w:val="00F0109D"/>
    <w:rsid w:val="00F01F41"/>
    <w:rsid w:val="00F039E2"/>
    <w:rsid w:val="00F052DC"/>
    <w:rsid w:val="00F05700"/>
    <w:rsid w:val="00F10CEF"/>
    <w:rsid w:val="00F110B1"/>
    <w:rsid w:val="00F11D98"/>
    <w:rsid w:val="00F120F4"/>
    <w:rsid w:val="00F123D1"/>
    <w:rsid w:val="00F1406D"/>
    <w:rsid w:val="00F14133"/>
    <w:rsid w:val="00F20CC6"/>
    <w:rsid w:val="00F20F0C"/>
    <w:rsid w:val="00F21173"/>
    <w:rsid w:val="00F21E02"/>
    <w:rsid w:val="00F21EDB"/>
    <w:rsid w:val="00F21FAB"/>
    <w:rsid w:val="00F23321"/>
    <w:rsid w:val="00F24239"/>
    <w:rsid w:val="00F24AFC"/>
    <w:rsid w:val="00F24D61"/>
    <w:rsid w:val="00F32F3A"/>
    <w:rsid w:val="00F331B0"/>
    <w:rsid w:val="00F345FE"/>
    <w:rsid w:val="00F34E21"/>
    <w:rsid w:val="00F35ABF"/>
    <w:rsid w:val="00F37DC9"/>
    <w:rsid w:val="00F40053"/>
    <w:rsid w:val="00F438E3"/>
    <w:rsid w:val="00F43D1E"/>
    <w:rsid w:val="00F464BF"/>
    <w:rsid w:val="00F46BA9"/>
    <w:rsid w:val="00F52243"/>
    <w:rsid w:val="00F52FD1"/>
    <w:rsid w:val="00F531A0"/>
    <w:rsid w:val="00F54329"/>
    <w:rsid w:val="00F545AC"/>
    <w:rsid w:val="00F54FF2"/>
    <w:rsid w:val="00F55212"/>
    <w:rsid w:val="00F55301"/>
    <w:rsid w:val="00F554B9"/>
    <w:rsid w:val="00F56999"/>
    <w:rsid w:val="00F573F1"/>
    <w:rsid w:val="00F602AA"/>
    <w:rsid w:val="00F60422"/>
    <w:rsid w:val="00F60644"/>
    <w:rsid w:val="00F60F91"/>
    <w:rsid w:val="00F615BD"/>
    <w:rsid w:val="00F65020"/>
    <w:rsid w:val="00F664D1"/>
    <w:rsid w:val="00F6767A"/>
    <w:rsid w:val="00F67E6A"/>
    <w:rsid w:val="00F71485"/>
    <w:rsid w:val="00F714C4"/>
    <w:rsid w:val="00F71F1F"/>
    <w:rsid w:val="00F72FB2"/>
    <w:rsid w:val="00F73328"/>
    <w:rsid w:val="00F73F74"/>
    <w:rsid w:val="00F7521F"/>
    <w:rsid w:val="00F75A88"/>
    <w:rsid w:val="00F7728A"/>
    <w:rsid w:val="00F80A00"/>
    <w:rsid w:val="00F811EE"/>
    <w:rsid w:val="00F848CC"/>
    <w:rsid w:val="00F854D8"/>
    <w:rsid w:val="00F860E1"/>
    <w:rsid w:val="00F860F7"/>
    <w:rsid w:val="00F8682A"/>
    <w:rsid w:val="00F8777E"/>
    <w:rsid w:val="00F91676"/>
    <w:rsid w:val="00F91687"/>
    <w:rsid w:val="00F9181B"/>
    <w:rsid w:val="00F93181"/>
    <w:rsid w:val="00F934FC"/>
    <w:rsid w:val="00F9553E"/>
    <w:rsid w:val="00F97C75"/>
    <w:rsid w:val="00FA03BC"/>
    <w:rsid w:val="00FA2AD8"/>
    <w:rsid w:val="00FA2D2A"/>
    <w:rsid w:val="00FA2E41"/>
    <w:rsid w:val="00FA325B"/>
    <w:rsid w:val="00FA3413"/>
    <w:rsid w:val="00FA5F5A"/>
    <w:rsid w:val="00FA68D2"/>
    <w:rsid w:val="00FA7186"/>
    <w:rsid w:val="00FA7D6B"/>
    <w:rsid w:val="00FB115F"/>
    <w:rsid w:val="00FB19F5"/>
    <w:rsid w:val="00FB355A"/>
    <w:rsid w:val="00FB4A1C"/>
    <w:rsid w:val="00FB504D"/>
    <w:rsid w:val="00FB51DC"/>
    <w:rsid w:val="00FB5BF0"/>
    <w:rsid w:val="00FB5CD9"/>
    <w:rsid w:val="00FB66CC"/>
    <w:rsid w:val="00FB6924"/>
    <w:rsid w:val="00FB795F"/>
    <w:rsid w:val="00FB7C60"/>
    <w:rsid w:val="00FC1601"/>
    <w:rsid w:val="00FC1884"/>
    <w:rsid w:val="00FC2DE4"/>
    <w:rsid w:val="00FC3DEC"/>
    <w:rsid w:val="00FC6275"/>
    <w:rsid w:val="00FC64FB"/>
    <w:rsid w:val="00FC7377"/>
    <w:rsid w:val="00FD0E2D"/>
    <w:rsid w:val="00FD0F4E"/>
    <w:rsid w:val="00FD12DB"/>
    <w:rsid w:val="00FD1A61"/>
    <w:rsid w:val="00FD3C84"/>
    <w:rsid w:val="00FD4088"/>
    <w:rsid w:val="00FD41A6"/>
    <w:rsid w:val="00FD57E2"/>
    <w:rsid w:val="00FD58B6"/>
    <w:rsid w:val="00FD5D61"/>
    <w:rsid w:val="00FD64E5"/>
    <w:rsid w:val="00FE03F5"/>
    <w:rsid w:val="00FE2E40"/>
    <w:rsid w:val="00FE493E"/>
    <w:rsid w:val="00FE5DF6"/>
    <w:rsid w:val="00FF07EE"/>
    <w:rsid w:val="00FF1673"/>
    <w:rsid w:val="00FF1D71"/>
    <w:rsid w:val="00FF2AE4"/>
    <w:rsid w:val="00FF3C7C"/>
    <w:rsid w:val="00FF5794"/>
    <w:rsid w:val="00FF69E1"/>
    <w:rsid w:val="00FF6B3D"/>
    <w:rsid w:val="00FF7A81"/>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594D"/>
  <w15:docId w15:val="{AE278A13-9C2A-4D53-8A14-E27E9B8F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744504"/>
    <w:rPr>
      <w:sz w:val="16"/>
      <w:szCs w:val="16"/>
    </w:rPr>
  </w:style>
  <w:style w:type="paragraph" w:styleId="Textkomente">
    <w:name w:val="annotation text"/>
    <w:basedOn w:val="Normln"/>
    <w:link w:val="TextkomenteChar"/>
    <w:uiPriority w:val="99"/>
    <w:unhideWhenUsed/>
    <w:rsid w:val="00744504"/>
    <w:rPr>
      <w:sz w:val="20"/>
    </w:rPr>
  </w:style>
  <w:style w:type="character" w:customStyle="1" w:styleId="TextkomenteChar">
    <w:name w:val="Text komentáře Char"/>
    <w:basedOn w:val="Standardnpsmoodstavce"/>
    <w:link w:val="Textkomente"/>
    <w:uiPriority w:val="99"/>
    <w:rsid w:val="00744504"/>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44504"/>
    <w:rPr>
      <w:b/>
      <w:bCs/>
    </w:rPr>
  </w:style>
  <w:style w:type="character" w:customStyle="1" w:styleId="PedmtkomenteChar">
    <w:name w:val="Předmět komentáře Char"/>
    <w:basedOn w:val="TextkomenteChar"/>
    <w:link w:val="Pedmtkomente"/>
    <w:uiPriority w:val="99"/>
    <w:semiHidden/>
    <w:rsid w:val="00744504"/>
    <w:rPr>
      <w:rFonts w:ascii="Arial" w:eastAsia="Times New Roman" w:hAnsi="Arial" w:cs="Times New Roman"/>
      <w:b/>
      <w:bCs/>
      <w:sz w:val="20"/>
      <w:szCs w:val="20"/>
      <w:lang w:eastAsia="cs-CZ"/>
    </w:rPr>
  </w:style>
  <w:style w:type="paragraph" w:customStyle="1" w:styleId="Default">
    <w:name w:val="Default"/>
    <w:rsid w:val="006E1DBB"/>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747C2E"/>
    <w:pPr>
      <w:spacing w:after="0" w:line="240" w:lineRule="auto"/>
    </w:pPr>
    <w:rPr>
      <w:rFonts w:ascii="Arial" w:eastAsia="Times New Roman" w:hAnsi="Arial" w:cs="Times New Roman"/>
      <w:sz w:val="18"/>
      <w:szCs w:val="20"/>
      <w:lang w:eastAsia="cs-CZ"/>
    </w:rPr>
  </w:style>
  <w:style w:type="paragraph" w:styleId="Textpoznpodarou">
    <w:name w:val="footnote text"/>
    <w:basedOn w:val="Normln"/>
    <w:link w:val="TextpoznpodarouChar"/>
    <w:uiPriority w:val="99"/>
    <w:semiHidden/>
    <w:unhideWhenUsed/>
    <w:rsid w:val="00AA6453"/>
    <w:rPr>
      <w:sz w:val="20"/>
    </w:rPr>
  </w:style>
  <w:style w:type="character" w:customStyle="1" w:styleId="TextpoznpodarouChar">
    <w:name w:val="Text pozn. pod čarou Char"/>
    <w:basedOn w:val="Standardnpsmoodstavce"/>
    <w:link w:val="Textpoznpodarou"/>
    <w:uiPriority w:val="99"/>
    <w:semiHidden/>
    <w:rsid w:val="00AA645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AA6453"/>
    <w:rPr>
      <w:vertAlign w:val="superscript"/>
    </w:rPr>
  </w:style>
  <w:style w:type="character" w:customStyle="1" w:styleId="cf01">
    <w:name w:val="cf01"/>
    <w:basedOn w:val="Standardnpsmoodstavce"/>
    <w:rsid w:val="00983579"/>
    <w:rPr>
      <w:rFonts w:ascii="Segoe UI" w:hAnsi="Segoe UI" w:cs="Segoe UI" w:hint="default"/>
      <w:sz w:val="18"/>
      <w:szCs w:val="18"/>
    </w:rPr>
  </w:style>
  <w:style w:type="paragraph" w:customStyle="1" w:styleId="CBANadpisvTABULCE">
    <w:name w:val="CBA Nadpis v TABULCE"/>
    <w:basedOn w:val="Normln"/>
    <w:qFormat/>
    <w:rsid w:val="0073410F"/>
    <w:pPr>
      <w:spacing w:before="120" w:after="120"/>
      <w:jc w:val="left"/>
    </w:pPr>
    <w:rPr>
      <w:b/>
      <w:bCs/>
      <w:color w:val="13576B"/>
    </w:rPr>
  </w:style>
  <w:style w:type="paragraph" w:customStyle="1" w:styleId="CBAodstavecvTABULCE">
    <w:name w:val="CBA odstavec v TABULCE"/>
    <w:basedOn w:val="Normln"/>
    <w:qFormat/>
    <w:rsid w:val="0073410F"/>
    <w:pPr>
      <w:spacing w:before="120" w:after="120"/>
      <w:jc w:val="left"/>
    </w:pPr>
    <w:rPr>
      <w:color w:val="13576B"/>
    </w:rPr>
  </w:style>
  <w:style w:type="character" w:styleId="Nevyeenzmnka">
    <w:name w:val="Unresolved Mention"/>
    <w:basedOn w:val="Standardnpsmoodstavce"/>
    <w:uiPriority w:val="99"/>
    <w:semiHidden/>
    <w:unhideWhenUsed/>
    <w:rsid w:val="00E8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74939">
      <w:bodyDiv w:val="1"/>
      <w:marLeft w:val="0"/>
      <w:marRight w:val="0"/>
      <w:marTop w:val="0"/>
      <w:marBottom w:val="0"/>
      <w:divBdr>
        <w:top w:val="none" w:sz="0" w:space="0" w:color="auto"/>
        <w:left w:val="none" w:sz="0" w:space="0" w:color="auto"/>
        <w:bottom w:val="none" w:sz="0" w:space="0" w:color="auto"/>
        <w:right w:val="none" w:sz="0" w:space="0" w:color="auto"/>
      </w:divBdr>
    </w:div>
    <w:div w:id="125004222">
      <w:bodyDiv w:val="1"/>
      <w:marLeft w:val="0"/>
      <w:marRight w:val="0"/>
      <w:marTop w:val="0"/>
      <w:marBottom w:val="0"/>
      <w:divBdr>
        <w:top w:val="none" w:sz="0" w:space="0" w:color="auto"/>
        <w:left w:val="none" w:sz="0" w:space="0" w:color="auto"/>
        <w:bottom w:val="none" w:sz="0" w:space="0" w:color="auto"/>
        <w:right w:val="none" w:sz="0" w:space="0" w:color="auto"/>
      </w:divBdr>
    </w:div>
    <w:div w:id="146481197">
      <w:bodyDiv w:val="1"/>
      <w:marLeft w:val="0"/>
      <w:marRight w:val="0"/>
      <w:marTop w:val="0"/>
      <w:marBottom w:val="0"/>
      <w:divBdr>
        <w:top w:val="none" w:sz="0" w:space="0" w:color="auto"/>
        <w:left w:val="none" w:sz="0" w:space="0" w:color="auto"/>
        <w:bottom w:val="none" w:sz="0" w:space="0" w:color="auto"/>
        <w:right w:val="none" w:sz="0" w:space="0" w:color="auto"/>
      </w:divBdr>
    </w:div>
    <w:div w:id="171840413">
      <w:bodyDiv w:val="1"/>
      <w:marLeft w:val="0"/>
      <w:marRight w:val="0"/>
      <w:marTop w:val="0"/>
      <w:marBottom w:val="0"/>
      <w:divBdr>
        <w:top w:val="none" w:sz="0" w:space="0" w:color="auto"/>
        <w:left w:val="none" w:sz="0" w:space="0" w:color="auto"/>
        <w:bottom w:val="none" w:sz="0" w:space="0" w:color="auto"/>
        <w:right w:val="none" w:sz="0" w:space="0" w:color="auto"/>
      </w:divBdr>
    </w:div>
    <w:div w:id="175772208">
      <w:bodyDiv w:val="1"/>
      <w:marLeft w:val="0"/>
      <w:marRight w:val="0"/>
      <w:marTop w:val="0"/>
      <w:marBottom w:val="0"/>
      <w:divBdr>
        <w:top w:val="none" w:sz="0" w:space="0" w:color="auto"/>
        <w:left w:val="none" w:sz="0" w:space="0" w:color="auto"/>
        <w:bottom w:val="none" w:sz="0" w:space="0" w:color="auto"/>
        <w:right w:val="none" w:sz="0" w:space="0" w:color="auto"/>
      </w:divBdr>
    </w:div>
    <w:div w:id="205799727">
      <w:bodyDiv w:val="1"/>
      <w:marLeft w:val="0"/>
      <w:marRight w:val="0"/>
      <w:marTop w:val="0"/>
      <w:marBottom w:val="0"/>
      <w:divBdr>
        <w:top w:val="none" w:sz="0" w:space="0" w:color="auto"/>
        <w:left w:val="none" w:sz="0" w:space="0" w:color="auto"/>
        <w:bottom w:val="none" w:sz="0" w:space="0" w:color="auto"/>
        <w:right w:val="none" w:sz="0" w:space="0" w:color="auto"/>
      </w:divBdr>
    </w:div>
    <w:div w:id="213080258">
      <w:bodyDiv w:val="1"/>
      <w:marLeft w:val="0"/>
      <w:marRight w:val="0"/>
      <w:marTop w:val="0"/>
      <w:marBottom w:val="0"/>
      <w:divBdr>
        <w:top w:val="none" w:sz="0" w:space="0" w:color="auto"/>
        <w:left w:val="none" w:sz="0" w:space="0" w:color="auto"/>
        <w:bottom w:val="none" w:sz="0" w:space="0" w:color="auto"/>
        <w:right w:val="none" w:sz="0" w:space="0" w:color="auto"/>
      </w:divBdr>
    </w:div>
    <w:div w:id="235168362">
      <w:bodyDiv w:val="1"/>
      <w:marLeft w:val="0"/>
      <w:marRight w:val="0"/>
      <w:marTop w:val="0"/>
      <w:marBottom w:val="0"/>
      <w:divBdr>
        <w:top w:val="none" w:sz="0" w:space="0" w:color="auto"/>
        <w:left w:val="none" w:sz="0" w:space="0" w:color="auto"/>
        <w:bottom w:val="none" w:sz="0" w:space="0" w:color="auto"/>
        <w:right w:val="none" w:sz="0" w:space="0" w:color="auto"/>
      </w:divBdr>
    </w:div>
    <w:div w:id="27892470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20087060">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9623159">
      <w:bodyDiv w:val="1"/>
      <w:marLeft w:val="0"/>
      <w:marRight w:val="0"/>
      <w:marTop w:val="0"/>
      <w:marBottom w:val="0"/>
      <w:divBdr>
        <w:top w:val="none" w:sz="0" w:space="0" w:color="auto"/>
        <w:left w:val="none" w:sz="0" w:space="0" w:color="auto"/>
        <w:bottom w:val="none" w:sz="0" w:space="0" w:color="auto"/>
        <w:right w:val="none" w:sz="0" w:space="0" w:color="auto"/>
      </w:divBdr>
    </w:div>
    <w:div w:id="433131831">
      <w:bodyDiv w:val="1"/>
      <w:marLeft w:val="0"/>
      <w:marRight w:val="0"/>
      <w:marTop w:val="0"/>
      <w:marBottom w:val="0"/>
      <w:divBdr>
        <w:top w:val="none" w:sz="0" w:space="0" w:color="auto"/>
        <w:left w:val="none" w:sz="0" w:space="0" w:color="auto"/>
        <w:bottom w:val="none" w:sz="0" w:space="0" w:color="auto"/>
        <w:right w:val="none" w:sz="0" w:space="0" w:color="auto"/>
      </w:divBdr>
    </w:div>
    <w:div w:id="434447739">
      <w:bodyDiv w:val="1"/>
      <w:marLeft w:val="0"/>
      <w:marRight w:val="0"/>
      <w:marTop w:val="0"/>
      <w:marBottom w:val="0"/>
      <w:divBdr>
        <w:top w:val="none" w:sz="0" w:space="0" w:color="auto"/>
        <w:left w:val="none" w:sz="0" w:space="0" w:color="auto"/>
        <w:bottom w:val="none" w:sz="0" w:space="0" w:color="auto"/>
        <w:right w:val="none" w:sz="0" w:space="0" w:color="auto"/>
      </w:divBdr>
    </w:div>
    <w:div w:id="486096695">
      <w:bodyDiv w:val="1"/>
      <w:marLeft w:val="0"/>
      <w:marRight w:val="0"/>
      <w:marTop w:val="0"/>
      <w:marBottom w:val="0"/>
      <w:divBdr>
        <w:top w:val="none" w:sz="0" w:space="0" w:color="auto"/>
        <w:left w:val="none" w:sz="0" w:space="0" w:color="auto"/>
        <w:bottom w:val="none" w:sz="0" w:space="0" w:color="auto"/>
        <w:right w:val="none" w:sz="0" w:space="0" w:color="auto"/>
      </w:divBdr>
    </w:div>
    <w:div w:id="534267763">
      <w:bodyDiv w:val="1"/>
      <w:marLeft w:val="0"/>
      <w:marRight w:val="0"/>
      <w:marTop w:val="0"/>
      <w:marBottom w:val="0"/>
      <w:divBdr>
        <w:top w:val="none" w:sz="0" w:space="0" w:color="auto"/>
        <w:left w:val="none" w:sz="0" w:space="0" w:color="auto"/>
        <w:bottom w:val="none" w:sz="0" w:space="0" w:color="auto"/>
        <w:right w:val="none" w:sz="0" w:space="0" w:color="auto"/>
      </w:divBdr>
    </w:div>
    <w:div w:id="622227915">
      <w:bodyDiv w:val="1"/>
      <w:marLeft w:val="0"/>
      <w:marRight w:val="0"/>
      <w:marTop w:val="0"/>
      <w:marBottom w:val="0"/>
      <w:divBdr>
        <w:top w:val="none" w:sz="0" w:space="0" w:color="auto"/>
        <w:left w:val="none" w:sz="0" w:space="0" w:color="auto"/>
        <w:bottom w:val="none" w:sz="0" w:space="0" w:color="auto"/>
        <w:right w:val="none" w:sz="0" w:space="0" w:color="auto"/>
      </w:divBdr>
    </w:div>
    <w:div w:id="693072444">
      <w:bodyDiv w:val="1"/>
      <w:marLeft w:val="0"/>
      <w:marRight w:val="0"/>
      <w:marTop w:val="0"/>
      <w:marBottom w:val="0"/>
      <w:divBdr>
        <w:top w:val="none" w:sz="0" w:space="0" w:color="auto"/>
        <w:left w:val="none" w:sz="0" w:space="0" w:color="auto"/>
        <w:bottom w:val="none" w:sz="0" w:space="0" w:color="auto"/>
        <w:right w:val="none" w:sz="0" w:space="0" w:color="auto"/>
      </w:divBdr>
    </w:div>
    <w:div w:id="740103959">
      <w:bodyDiv w:val="1"/>
      <w:marLeft w:val="0"/>
      <w:marRight w:val="0"/>
      <w:marTop w:val="0"/>
      <w:marBottom w:val="0"/>
      <w:divBdr>
        <w:top w:val="none" w:sz="0" w:space="0" w:color="auto"/>
        <w:left w:val="none" w:sz="0" w:space="0" w:color="auto"/>
        <w:bottom w:val="none" w:sz="0" w:space="0" w:color="auto"/>
        <w:right w:val="none" w:sz="0" w:space="0" w:color="auto"/>
      </w:divBdr>
    </w:div>
    <w:div w:id="744883708">
      <w:bodyDiv w:val="1"/>
      <w:marLeft w:val="0"/>
      <w:marRight w:val="0"/>
      <w:marTop w:val="0"/>
      <w:marBottom w:val="0"/>
      <w:divBdr>
        <w:top w:val="none" w:sz="0" w:space="0" w:color="auto"/>
        <w:left w:val="none" w:sz="0" w:space="0" w:color="auto"/>
        <w:bottom w:val="none" w:sz="0" w:space="0" w:color="auto"/>
        <w:right w:val="none" w:sz="0" w:space="0" w:color="auto"/>
      </w:divBdr>
    </w:div>
    <w:div w:id="775829942">
      <w:bodyDiv w:val="1"/>
      <w:marLeft w:val="0"/>
      <w:marRight w:val="0"/>
      <w:marTop w:val="0"/>
      <w:marBottom w:val="0"/>
      <w:divBdr>
        <w:top w:val="none" w:sz="0" w:space="0" w:color="auto"/>
        <w:left w:val="none" w:sz="0" w:space="0" w:color="auto"/>
        <w:bottom w:val="none" w:sz="0" w:space="0" w:color="auto"/>
        <w:right w:val="none" w:sz="0" w:space="0" w:color="auto"/>
      </w:divBdr>
    </w:div>
    <w:div w:id="794324714">
      <w:bodyDiv w:val="1"/>
      <w:marLeft w:val="0"/>
      <w:marRight w:val="0"/>
      <w:marTop w:val="0"/>
      <w:marBottom w:val="0"/>
      <w:divBdr>
        <w:top w:val="none" w:sz="0" w:space="0" w:color="auto"/>
        <w:left w:val="none" w:sz="0" w:space="0" w:color="auto"/>
        <w:bottom w:val="none" w:sz="0" w:space="0" w:color="auto"/>
        <w:right w:val="none" w:sz="0" w:space="0" w:color="auto"/>
      </w:divBdr>
    </w:div>
    <w:div w:id="844367420">
      <w:bodyDiv w:val="1"/>
      <w:marLeft w:val="0"/>
      <w:marRight w:val="0"/>
      <w:marTop w:val="0"/>
      <w:marBottom w:val="0"/>
      <w:divBdr>
        <w:top w:val="none" w:sz="0" w:space="0" w:color="auto"/>
        <w:left w:val="none" w:sz="0" w:space="0" w:color="auto"/>
        <w:bottom w:val="none" w:sz="0" w:space="0" w:color="auto"/>
        <w:right w:val="none" w:sz="0" w:space="0" w:color="auto"/>
      </w:divBdr>
    </w:div>
    <w:div w:id="846405975">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74662016">
      <w:bodyDiv w:val="1"/>
      <w:marLeft w:val="0"/>
      <w:marRight w:val="0"/>
      <w:marTop w:val="0"/>
      <w:marBottom w:val="0"/>
      <w:divBdr>
        <w:top w:val="none" w:sz="0" w:space="0" w:color="auto"/>
        <w:left w:val="none" w:sz="0" w:space="0" w:color="auto"/>
        <w:bottom w:val="none" w:sz="0" w:space="0" w:color="auto"/>
        <w:right w:val="none" w:sz="0" w:space="0" w:color="auto"/>
      </w:divBdr>
    </w:div>
    <w:div w:id="881596654">
      <w:bodyDiv w:val="1"/>
      <w:marLeft w:val="0"/>
      <w:marRight w:val="0"/>
      <w:marTop w:val="0"/>
      <w:marBottom w:val="0"/>
      <w:divBdr>
        <w:top w:val="none" w:sz="0" w:space="0" w:color="auto"/>
        <w:left w:val="none" w:sz="0" w:space="0" w:color="auto"/>
        <w:bottom w:val="none" w:sz="0" w:space="0" w:color="auto"/>
        <w:right w:val="none" w:sz="0" w:space="0" w:color="auto"/>
      </w:divBdr>
    </w:div>
    <w:div w:id="952638638">
      <w:bodyDiv w:val="1"/>
      <w:marLeft w:val="0"/>
      <w:marRight w:val="0"/>
      <w:marTop w:val="0"/>
      <w:marBottom w:val="0"/>
      <w:divBdr>
        <w:top w:val="none" w:sz="0" w:space="0" w:color="auto"/>
        <w:left w:val="none" w:sz="0" w:space="0" w:color="auto"/>
        <w:bottom w:val="none" w:sz="0" w:space="0" w:color="auto"/>
        <w:right w:val="none" w:sz="0" w:space="0" w:color="auto"/>
      </w:divBdr>
    </w:div>
    <w:div w:id="972368172">
      <w:bodyDiv w:val="1"/>
      <w:marLeft w:val="0"/>
      <w:marRight w:val="0"/>
      <w:marTop w:val="0"/>
      <w:marBottom w:val="0"/>
      <w:divBdr>
        <w:top w:val="none" w:sz="0" w:space="0" w:color="auto"/>
        <w:left w:val="none" w:sz="0" w:space="0" w:color="auto"/>
        <w:bottom w:val="none" w:sz="0" w:space="0" w:color="auto"/>
        <w:right w:val="none" w:sz="0" w:space="0" w:color="auto"/>
      </w:divBdr>
    </w:div>
    <w:div w:id="974721017">
      <w:bodyDiv w:val="1"/>
      <w:marLeft w:val="0"/>
      <w:marRight w:val="0"/>
      <w:marTop w:val="0"/>
      <w:marBottom w:val="0"/>
      <w:divBdr>
        <w:top w:val="none" w:sz="0" w:space="0" w:color="auto"/>
        <w:left w:val="none" w:sz="0" w:space="0" w:color="auto"/>
        <w:bottom w:val="none" w:sz="0" w:space="0" w:color="auto"/>
        <w:right w:val="none" w:sz="0" w:space="0" w:color="auto"/>
      </w:divBdr>
    </w:div>
    <w:div w:id="1031538979">
      <w:bodyDiv w:val="1"/>
      <w:marLeft w:val="0"/>
      <w:marRight w:val="0"/>
      <w:marTop w:val="0"/>
      <w:marBottom w:val="0"/>
      <w:divBdr>
        <w:top w:val="none" w:sz="0" w:space="0" w:color="auto"/>
        <w:left w:val="none" w:sz="0" w:space="0" w:color="auto"/>
        <w:bottom w:val="none" w:sz="0" w:space="0" w:color="auto"/>
        <w:right w:val="none" w:sz="0" w:space="0" w:color="auto"/>
      </w:divBdr>
    </w:div>
    <w:div w:id="1053165063">
      <w:bodyDiv w:val="1"/>
      <w:marLeft w:val="0"/>
      <w:marRight w:val="0"/>
      <w:marTop w:val="0"/>
      <w:marBottom w:val="0"/>
      <w:divBdr>
        <w:top w:val="none" w:sz="0" w:space="0" w:color="auto"/>
        <w:left w:val="none" w:sz="0" w:space="0" w:color="auto"/>
        <w:bottom w:val="none" w:sz="0" w:space="0" w:color="auto"/>
        <w:right w:val="none" w:sz="0" w:space="0" w:color="auto"/>
      </w:divBdr>
    </w:div>
    <w:div w:id="1097822366">
      <w:bodyDiv w:val="1"/>
      <w:marLeft w:val="0"/>
      <w:marRight w:val="0"/>
      <w:marTop w:val="0"/>
      <w:marBottom w:val="0"/>
      <w:divBdr>
        <w:top w:val="none" w:sz="0" w:space="0" w:color="auto"/>
        <w:left w:val="none" w:sz="0" w:space="0" w:color="auto"/>
        <w:bottom w:val="none" w:sz="0" w:space="0" w:color="auto"/>
        <w:right w:val="none" w:sz="0" w:space="0" w:color="auto"/>
      </w:divBdr>
    </w:div>
    <w:div w:id="1132677217">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244995879">
      <w:bodyDiv w:val="1"/>
      <w:marLeft w:val="0"/>
      <w:marRight w:val="0"/>
      <w:marTop w:val="0"/>
      <w:marBottom w:val="0"/>
      <w:divBdr>
        <w:top w:val="none" w:sz="0" w:space="0" w:color="auto"/>
        <w:left w:val="none" w:sz="0" w:space="0" w:color="auto"/>
        <w:bottom w:val="none" w:sz="0" w:space="0" w:color="auto"/>
        <w:right w:val="none" w:sz="0" w:space="0" w:color="auto"/>
      </w:divBdr>
    </w:div>
    <w:div w:id="1247962172">
      <w:bodyDiv w:val="1"/>
      <w:marLeft w:val="0"/>
      <w:marRight w:val="0"/>
      <w:marTop w:val="0"/>
      <w:marBottom w:val="0"/>
      <w:divBdr>
        <w:top w:val="none" w:sz="0" w:space="0" w:color="auto"/>
        <w:left w:val="none" w:sz="0" w:space="0" w:color="auto"/>
        <w:bottom w:val="none" w:sz="0" w:space="0" w:color="auto"/>
        <w:right w:val="none" w:sz="0" w:space="0" w:color="auto"/>
      </w:divBdr>
    </w:div>
    <w:div w:id="1285036963">
      <w:bodyDiv w:val="1"/>
      <w:marLeft w:val="0"/>
      <w:marRight w:val="0"/>
      <w:marTop w:val="0"/>
      <w:marBottom w:val="0"/>
      <w:divBdr>
        <w:top w:val="none" w:sz="0" w:space="0" w:color="auto"/>
        <w:left w:val="none" w:sz="0" w:space="0" w:color="auto"/>
        <w:bottom w:val="none" w:sz="0" w:space="0" w:color="auto"/>
        <w:right w:val="none" w:sz="0" w:space="0" w:color="auto"/>
      </w:divBdr>
    </w:div>
    <w:div w:id="1303655994">
      <w:bodyDiv w:val="1"/>
      <w:marLeft w:val="0"/>
      <w:marRight w:val="0"/>
      <w:marTop w:val="0"/>
      <w:marBottom w:val="0"/>
      <w:divBdr>
        <w:top w:val="none" w:sz="0" w:space="0" w:color="auto"/>
        <w:left w:val="none" w:sz="0" w:space="0" w:color="auto"/>
        <w:bottom w:val="none" w:sz="0" w:space="0" w:color="auto"/>
        <w:right w:val="none" w:sz="0" w:space="0" w:color="auto"/>
      </w:divBdr>
    </w:div>
    <w:div w:id="1350253804">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509517607">
      <w:bodyDiv w:val="1"/>
      <w:marLeft w:val="0"/>
      <w:marRight w:val="0"/>
      <w:marTop w:val="0"/>
      <w:marBottom w:val="0"/>
      <w:divBdr>
        <w:top w:val="none" w:sz="0" w:space="0" w:color="auto"/>
        <w:left w:val="none" w:sz="0" w:space="0" w:color="auto"/>
        <w:bottom w:val="none" w:sz="0" w:space="0" w:color="auto"/>
        <w:right w:val="none" w:sz="0" w:space="0" w:color="auto"/>
      </w:divBdr>
    </w:div>
    <w:div w:id="1553422533">
      <w:bodyDiv w:val="1"/>
      <w:marLeft w:val="0"/>
      <w:marRight w:val="0"/>
      <w:marTop w:val="0"/>
      <w:marBottom w:val="0"/>
      <w:divBdr>
        <w:top w:val="none" w:sz="0" w:space="0" w:color="auto"/>
        <w:left w:val="none" w:sz="0" w:space="0" w:color="auto"/>
        <w:bottom w:val="none" w:sz="0" w:space="0" w:color="auto"/>
        <w:right w:val="none" w:sz="0" w:space="0" w:color="auto"/>
      </w:divBdr>
    </w:div>
    <w:div w:id="1575361020">
      <w:bodyDiv w:val="1"/>
      <w:marLeft w:val="0"/>
      <w:marRight w:val="0"/>
      <w:marTop w:val="0"/>
      <w:marBottom w:val="0"/>
      <w:divBdr>
        <w:top w:val="none" w:sz="0" w:space="0" w:color="auto"/>
        <w:left w:val="none" w:sz="0" w:space="0" w:color="auto"/>
        <w:bottom w:val="none" w:sz="0" w:space="0" w:color="auto"/>
        <w:right w:val="none" w:sz="0" w:space="0" w:color="auto"/>
      </w:divBdr>
    </w:div>
    <w:div w:id="1615551508">
      <w:bodyDiv w:val="1"/>
      <w:marLeft w:val="0"/>
      <w:marRight w:val="0"/>
      <w:marTop w:val="0"/>
      <w:marBottom w:val="0"/>
      <w:divBdr>
        <w:top w:val="none" w:sz="0" w:space="0" w:color="auto"/>
        <w:left w:val="none" w:sz="0" w:space="0" w:color="auto"/>
        <w:bottom w:val="none" w:sz="0" w:space="0" w:color="auto"/>
        <w:right w:val="none" w:sz="0" w:space="0" w:color="auto"/>
      </w:divBdr>
    </w:div>
    <w:div w:id="1670793888">
      <w:bodyDiv w:val="1"/>
      <w:marLeft w:val="0"/>
      <w:marRight w:val="0"/>
      <w:marTop w:val="0"/>
      <w:marBottom w:val="0"/>
      <w:divBdr>
        <w:top w:val="none" w:sz="0" w:space="0" w:color="auto"/>
        <w:left w:val="none" w:sz="0" w:space="0" w:color="auto"/>
        <w:bottom w:val="none" w:sz="0" w:space="0" w:color="auto"/>
        <w:right w:val="none" w:sz="0" w:space="0" w:color="auto"/>
      </w:divBdr>
    </w:div>
    <w:div w:id="1675649168">
      <w:bodyDiv w:val="1"/>
      <w:marLeft w:val="0"/>
      <w:marRight w:val="0"/>
      <w:marTop w:val="0"/>
      <w:marBottom w:val="0"/>
      <w:divBdr>
        <w:top w:val="none" w:sz="0" w:space="0" w:color="auto"/>
        <w:left w:val="none" w:sz="0" w:space="0" w:color="auto"/>
        <w:bottom w:val="none" w:sz="0" w:space="0" w:color="auto"/>
        <w:right w:val="none" w:sz="0" w:space="0" w:color="auto"/>
      </w:divBdr>
    </w:div>
    <w:div w:id="1727532493">
      <w:bodyDiv w:val="1"/>
      <w:marLeft w:val="0"/>
      <w:marRight w:val="0"/>
      <w:marTop w:val="0"/>
      <w:marBottom w:val="0"/>
      <w:divBdr>
        <w:top w:val="none" w:sz="0" w:space="0" w:color="auto"/>
        <w:left w:val="none" w:sz="0" w:space="0" w:color="auto"/>
        <w:bottom w:val="none" w:sz="0" w:space="0" w:color="auto"/>
        <w:right w:val="none" w:sz="0" w:space="0" w:color="auto"/>
      </w:divBdr>
    </w:div>
    <w:div w:id="1757242897">
      <w:bodyDiv w:val="1"/>
      <w:marLeft w:val="0"/>
      <w:marRight w:val="0"/>
      <w:marTop w:val="0"/>
      <w:marBottom w:val="0"/>
      <w:divBdr>
        <w:top w:val="none" w:sz="0" w:space="0" w:color="auto"/>
        <w:left w:val="none" w:sz="0" w:space="0" w:color="auto"/>
        <w:bottom w:val="none" w:sz="0" w:space="0" w:color="auto"/>
        <w:right w:val="none" w:sz="0" w:space="0" w:color="auto"/>
      </w:divBdr>
    </w:div>
    <w:div w:id="1775709910">
      <w:bodyDiv w:val="1"/>
      <w:marLeft w:val="0"/>
      <w:marRight w:val="0"/>
      <w:marTop w:val="0"/>
      <w:marBottom w:val="0"/>
      <w:divBdr>
        <w:top w:val="none" w:sz="0" w:space="0" w:color="auto"/>
        <w:left w:val="none" w:sz="0" w:space="0" w:color="auto"/>
        <w:bottom w:val="none" w:sz="0" w:space="0" w:color="auto"/>
        <w:right w:val="none" w:sz="0" w:space="0" w:color="auto"/>
      </w:divBdr>
      <w:divsChild>
        <w:div w:id="1008944210">
          <w:marLeft w:val="547"/>
          <w:marRight w:val="0"/>
          <w:marTop w:val="0"/>
          <w:marBottom w:val="0"/>
          <w:divBdr>
            <w:top w:val="none" w:sz="0" w:space="0" w:color="auto"/>
            <w:left w:val="none" w:sz="0" w:space="0" w:color="auto"/>
            <w:bottom w:val="none" w:sz="0" w:space="0" w:color="auto"/>
            <w:right w:val="none" w:sz="0" w:space="0" w:color="auto"/>
          </w:divBdr>
        </w:div>
      </w:divsChild>
    </w:div>
    <w:div w:id="1777214021">
      <w:bodyDiv w:val="1"/>
      <w:marLeft w:val="0"/>
      <w:marRight w:val="0"/>
      <w:marTop w:val="0"/>
      <w:marBottom w:val="0"/>
      <w:divBdr>
        <w:top w:val="none" w:sz="0" w:space="0" w:color="auto"/>
        <w:left w:val="none" w:sz="0" w:space="0" w:color="auto"/>
        <w:bottom w:val="none" w:sz="0" w:space="0" w:color="auto"/>
        <w:right w:val="none" w:sz="0" w:space="0" w:color="auto"/>
      </w:divBdr>
    </w:div>
    <w:div w:id="1824738871">
      <w:bodyDiv w:val="1"/>
      <w:marLeft w:val="0"/>
      <w:marRight w:val="0"/>
      <w:marTop w:val="0"/>
      <w:marBottom w:val="0"/>
      <w:divBdr>
        <w:top w:val="none" w:sz="0" w:space="0" w:color="auto"/>
        <w:left w:val="none" w:sz="0" w:space="0" w:color="auto"/>
        <w:bottom w:val="none" w:sz="0" w:space="0" w:color="auto"/>
        <w:right w:val="none" w:sz="0" w:space="0" w:color="auto"/>
      </w:divBdr>
    </w:div>
    <w:div w:id="1863548730">
      <w:bodyDiv w:val="1"/>
      <w:marLeft w:val="0"/>
      <w:marRight w:val="0"/>
      <w:marTop w:val="0"/>
      <w:marBottom w:val="0"/>
      <w:divBdr>
        <w:top w:val="none" w:sz="0" w:space="0" w:color="auto"/>
        <w:left w:val="none" w:sz="0" w:space="0" w:color="auto"/>
        <w:bottom w:val="none" w:sz="0" w:space="0" w:color="auto"/>
        <w:right w:val="none" w:sz="0" w:space="0" w:color="auto"/>
      </w:divBdr>
    </w:div>
    <w:div w:id="1882788502">
      <w:bodyDiv w:val="1"/>
      <w:marLeft w:val="0"/>
      <w:marRight w:val="0"/>
      <w:marTop w:val="0"/>
      <w:marBottom w:val="0"/>
      <w:divBdr>
        <w:top w:val="none" w:sz="0" w:space="0" w:color="auto"/>
        <w:left w:val="none" w:sz="0" w:space="0" w:color="auto"/>
        <w:bottom w:val="none" w:sz="0" w:space="0" w:color="auto"/>
        <w:right w:val="none" w:sz="0" w:space="0" w:color="auto"/>
      </w:divBdr>
    </w:div>
    <w:div w:id="1994986753">
      <w:bodyDiv w:val="1"/>
      <w:marLeft w:val="0"/>
      <w:marRight w:val="0"/>
      <w:marTop w:val="0"/>
      <w:marBottom w:val="0"/>
      <w:divBdr>
        <w:top w:val="none" w:sz="0" w:space="0" w:color="auto"/>
        <w:left w:val="none" w:sz="0" w:space="0" w:color="auto"/>
        <w:bottom w:val="none" w:sz="0" w:space="0" w:color="auto"/>
        <w:right w:val="none" w:sz="0" w:space="0" w:color="auto"/>
      </w:divBdr>
    </w:div>
    <w:div w:id="2003854515">
      <w:bodyDiv w:val="1"/>
      <w:marLeft w:val="0"/>
      <w:marRight w:val="0"/>
      <w:marTop w:val="0"/>
      <w:marBottom w:val="0"/>
      <w:divBdr>
        <w:top w:val="none" w:sz="0" w:space="0" w:color="auto"/>
        <w:left w:val="none" w:sz="0" w:space="0" w:color="auto"/>
        <w:bottom w:val="none" w:sz="0" w:space="0" w:color="auto"/>
        <w:right w:val="none" w:sz="0" w:space="0" w:color="auto"/>
      </w:divBdr>
    </w:div>
    <w:div w:id="2033920408">
      <w:bodyDiv w:val="1"/>
      <w:marLeft w:val="0"/>
      <w:marRight w:val="0"/>
      <w:marTop w:val="0"/>
      <w:marBottom w:val="0"/>
      <w:divBdr>
        <w:top w:val="none" w:sz="0" w:space="0" w:color="auto"/>
        <w:left w:val="none" w:sz="0" w:space="0" w:color="auto"/>
        <w:bottom w:val="none" w:sz="0" w:space="0" w:color="auto"/>
        <w:right w:val="none" w:sz="0" w:space="0" w:color="auto"/>
      </w:divBdr>
    </w:div>
    <w:div w:id="2048217982">
      <w:bodyDiv w:val="1"/>
      <w:marLeft w:val="0"/>
      <w:marRight w:val="0"/>
      <w:marTop w:val="0"/>
      <w:marBottom w:val="0"/>
      <w:divBdr>
        <w:top w:val="none" w:sz="0" w:space="0" w:color="auto"/>
        <w:left w:val="none" w:sz="0" w:space="0" w:color="auto"/>
        <w:bottom w:val="none" w:sz="0" w:space="0" w:color="auto"/>
        <w:right w:val="none" w:sz="0" w:space="0" w:color="auto"/>
      </w:divBdr>
    </w:div>
    <w:div w:id="2071535983">
      <w:bodyDiv w:val="1"/>
      <w:marLeft w:val="0"/>
      <w:marRight w:val="0"/>
      <w:marTop w:val="0"/>
      <w:marBottom w:val="0"/>
      <w:divBdr>
        <w:top w:val="none" w:sz="0" w:space="0" w:color="auto"/>
        <w:left w:val="none" w:sz="0" w:space="0" w:color="auto"/>
        <w:bottom w:val="none" w:sz="0" w:space="0" w:color="auto"/>
        <w:right w:val="none" w:sz="0" w:space="0" w:color="auto"/>
      </w:divBdr>
    </w:div>
    <w:div w:id="2103793932">
      <w:bodyDiv w:val="1"/>
      <w:marLeft w:val="0"/>
      <w:marRight w:val="0"/>
      <w:marTop w:val="0"/>
      <w:marBottom w:val="0"/>
      <w:divBdr>
        <w:top w:val="none" w:sz="0" w:space="0" w:color="auto"/>
        <w:left w:val="none" w:sz="0" w:space="0" w:color="auto"/>
        <w:bottom w:val="none" w:sz="0" w:space="0" w:color="auto"/>
        <w:right w:val="none" w:sz="0" w:space="0" w:color="auto"/>
      </w:divBdr>
    </w:div>
    <w:div w:id="212133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bamonitor.cz/statistika/nezamestnanost"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88650-8B43-417C-931A-06049C16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2411</Words>
  <Characters>14225</Characters>
  <Application>Microsoft Office Word</Application>
  <DocSecurity>0</DocSecurity>
  <Lines>118</Lines>
  <Paragraphs>33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UGIS</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Možná, Radana (ČBA)</cp:lastModifiedBy>
  <cp:revision>3</cp:revision>
  <cp:lastPrinted>2023-05-10T14:22:00Z</cp:lastPrinted>
  <dcterms:created xsi:type="dcterms:W3CDTF">2025-05-21T17:46:00Z</dcterms:created>
  <dcterms:modified xsi:type="dcterms:W3CDTF">2025-05-22T07:23:00Z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0254f4-34d0-49c5-b888-af4abf762ef7_Enabled">
    <vt:lpwstr>True</vt:lpwstr>
  </property>
  <property fmtid="{D5CDD505-2E9C-101B-9397-08002B2CF9AE}" pid="3" name="MSIP_Label_390254f4-34d0-49c5-b888-af4abf762ef7_SiteId">
    <vt:lpwstr>2cc49ce9-66a1-41ac-a96b-bdc54247696a</vt:lpwstr>
  </property>
  <property fmtid="{D5CDD505-2E9C-101B-9397-08002B2CF9AE}" pid="4" name="MSIP_Label_390254f4-34d0-49c5-b888-af4abf762ef7_Owner">
    <vt:lpwstr>Pavel.Sobisek@unicreditgroup.cz</vt:lpwstr>
  </property>
  <property fmtid="{D5CDD505-2E9C-101B-9397-08002B2CF9AE}" pid="5" name="MSIP_Label_390254f4-34d0-49c5-b888-af4abf762ef7_SetDate">
    <vt:lpwstr>2020-01-15T16:11:29.8787231Z</vt:lpwstr>
  </property>
  <property fmtid="{D5CDD505-2E9C-101B-9397-08002B2CF9AE}" pid="6" name="MSIP_Label_390254f4-34d0-49c5-b888-af4abf762ef7_Name">
    <vt:lpwstr>Internal Use Only</vt:lpwstr>
  </property>
  <property fmtid="{D5CDD505-2E9C-101B-9397-08002B2CF9AE}" pid="7" name="MSIP_Label_390254f4-34d0-49c5-b888-af4abf762ef7_Application">
    <vt:lpwstr>Microsoft Azure Information Protection</vt:lpwstr>
  </property>
  <property fmtid="{D5CDD505-2E9C-101B-9397-08002B2CF9AE}" pid="8" name="MSIP_Label_390254f4-34d0-49c5-b888-af4abf762ef7_ActionId">
    <vt:lpwstr>43f3763f-d3c6-435c-ae50-a4a40081b5fb</vt:lpwstr>
  </property>
  <property fmtid="{D5CDD505-2E9C-101B-9397-08002B2CF9AE}" pid="9" name="MSIP_Label_390254f4-34d0-49c5-b888-af4abf762ef7_Extended_MSFT_Method">
    <vt:lpwstr>Automatic</vt:lpwstr>
  </property>
  <property fmtid="{D5CDD505-2E9C-101B-9397-08002B2CF9AE}" pid="10" name="MSIP_Label_faa92781-1fcb-4da3-a1a2-e534c28a25f3_Enabled">
    <vt:lpwstr>True</vt:lpwstr>
  </property>
  <property fmtid="{D5CDD505-2E9C-101B-9397-08002B2CF9AE}" pid="11" name="MSIP_Label_faa92781-1fcb-4da3-a1a2-e534c28a25f3_SiteId">
    <vt:lpwstr>2cc49ce9-66a1-41ac-a96b-bdc54247696a</vt:lpwstr>
  </property>
  <property fmtid="{D5CDD505-2E9C-101B-9397-08002B2CF9AE}" pid="12" name="MSIP_Label_faa92781-1fcb-4da3-a1a2-e534c28a25f3_Owner">
    <vt:lpwstr>Pavel.Sobisek@unicreditgroup.cz</vt:lpwstr>
  </property>
  <property fmtid="{D5CDD505-2E9C-101B-9397-08002B2CF9AE}" pid="13" name="MSIP_Label_faa92781-1fcb-4da3-a1a2-e534c28a25f3_SetDate">
    <vt:lpwstr>2020-01-15T16:11:29.8787231Z</vt:lpwstr>
  </property>
  <property fmtid="{D5CDD505-2E9C-101B-9397-08002B2CF9AE}" pid="14" name="MSIP_Label_faa92781-1fcb-4da3-a1a2-e534c28a25f3_Name">
    <vt:lpwstr>in UniCredit Group - no visual markings</vt:lpwstr>
  </property>
  <property fmtid="{D5CDD505-2E9C-101B-9397-08002B2CF9AE}" pid="15" name="MSIP_Label_faa92781-1fcb-4da3-a1a2-e534c28a25f3_Application">
    <vt:lpwstr>Microsoft Azure Information Protection</vt:lpwstr>
  </property>
  <property fmtid="{D5CDD505-2E9C-101B-9397-08002B2CF9AE}" pid="16" name="MSIP_Label_faa92781-1fcb-4da3-a1a2-e534c28a25f3_ActionId">
    <vt:lpwstr>43f3763f-d3c6-435c-ae50-a4a40081b5fb</vt:lpwstr>
  </property>
  <property fmtid="{D5CDD505-2E9C-101B-9397-08002B2CF9AE}" pid="17" name="MSIP_Label_faa92781-1fcb-4da3-a1a2-e534c28a25f3_Parent">
    <vt:lpwstr>390254f4-34d0-49c5-b888-af4abf762ef7</vt:lpwstr>
  </property>
  <property fmtid="{D5CDD505-2E9C-101B-9397-08002B2CF9AE}" pid="18" name="MSIP_Label_faa92781-1fcb-4da3-a1a2-e534c28a25f3_Extended_MSFT_Method">
    <vt:lpwstr>Automatic</vt:lpwstr>
  </property>
  <property fmtid="{D5CDD505-2E9C-101B-9397-08002B2CF9AE}" pid="19" name="MSIP_Label_2b3a104e-2916-42dc-a2f6-6210338509ed_Enabled">
    <vt:lpwstr>True</vt:lpwstr>
  </property>
  <property fmtid="{D5CDD505-2E9C-101B-9397-08002B2CF9AE}" pid="20" name="MSIP_Label_2b3a104e-2916-42dc-a2f6-6210338509ed_SiteId">
    <vt:lpwstr>e70aafb3-2e89-46a5-ba50-66803e8a4411</vt:lpwstr>
  </property>
  <property fmtid="{D5CDD505-2E9C-101B-9397-08002B2CF9AE}" pid="21" name="MSIP_Label_2b3a104e-2916-42dc-a2f6-6210338509ed_Owner">
    <vt:lpwstr>cen87316@csin.cz</vt:lpwstr>
  </property>
  <property fmtid="{D5CDD505-2E9C-101B-9397-08002B2CF9AE}" pid="22" name="MSIP_Label_2b3a104e-2916-42dc-a2f6-6210338509ed_SetDate">
    <vt:lpwstr>2020-01-17T08:10:02.3455520Z</vt:lpwstr>
  </property>
  <property fmtid="{D5CDD505-2E9C-101B-9397-08002B2CF9AE}" pid="23" name="MSIP_Label_2b3a104e-2916-42dc-a2f6-6210338509ed_Name">
    <vt:lpwstr>CS Internal</vt:lpwstr>
  </property>
  <property fmtid="{D5CDD505-2E9C-101B-9397-08002B2CF9AE}" pid="24" name="MSIP_Label_2b3a104e-2916-42dc-a2f6-6210338509ed_Application">
    <vt:lpwstr>Microsoft Azure Information Protection</vt:lpwstr>
  </property>
  <property fmtid="{D5CDD505-2E9C-101B-9397-08002B2CF9AE}" pid="25" name="MSIP_Label_2b3a104e-2916-42dc-a2f6-6210338509ed_ActionId">
    <vt:lpwstr>60b9ebe4-46ae-459c-bf59-6a05f328379e</vt:lpwstr>
  </property>
  <property fmtid="{D5CDD505-2E9C-101B-9397-08002B2CF9AE}" pid="26" name="MSIP_Label_2b3a104e-2916-42dc-a2f6-6210338509ed_Extended_MSFT_Method">
    <vt:lpwstr>Automatic</vt:lpwstr>
  </property>
  <property fmtid="{D5CDD505-2E9C-101B-9397-08002B2CF9AE}" pid="27" name="MSIP_Label_2a6524ed-fb1a-49fd-bafe-15c5e5ffd047_Enabled">
    <vt:lpwstr>true</vt:lpwstr>
  </property>
  <property fmtid="{D5CDD505-2E9C-101B-9397-08002B2CF9AE}" pid="28" name="MSIP_Label_2a6524ed-fb1a-49fd-bafe-15c5e5ffd047_SetDate">
    <vt:lpwstr>2021-05-10T05:54:55Z</vt:lpwstr>
  </property>
  <property fmtid="{D5CDD505-2E9C-101B-9397-08002B2CF9AE}" pid="29" name="MSIP_Label_2a6524ed-fb1a-49fd-bafe-15c5e5ffd047_Method">
    <vt:lpwstr>Standard</vt:lpwstr>
  </property>
  <property fmtid="{D5CDD505-2E9C-101B-9397-08002B2CF9AE}" pid="30" name="MSIP_Label_2a6524ed-fb1a-49fd-bafe-15c5e5ffd047_Name">
    <vt:lpwstr>Internal</vt:lpwstr>
  </property>
  <property fmtid="{D5CDD505-2E9C-101B-9397-08002B2CF9AE}" pid="31" name="MSIP_Label_2a6524ed-fb1a-49fd-bafe-15c5e5ffd047_SiteId">
    <vt:lpwstr>9b511fda-f0b1-43a5-b06e-1e720f64520a</vt:lpwstr>
  </property>
  <property fmtid="{D5CDD505-2E9C-101B-9397-08002B2CF9AE}" pid="32" name="MSIP_Label_2a6524ed-fb1a-49fd-bafe-15c5e5ffd047_ActionId">
    <vt:lpwstr>6e16e441-bca8-45fa-8e42-4b14b422a2ce</vt:lpwstr>
  </property>
  <property fmtid="{D5CDD505-2E9C-101B-9397-08002B2CF9AE}" pid="33" name="MSIP_Label_2a6524ed-fb1a-49fd-bafe-15c5e5ffd047_ContentBits">
    <vt:lpwstr>0</vt:lpwstr>
  </property>
  <property fmtid="{D5CDD505-2E9C-101B-9397-08002B2CF9AE}" pid="34" name="MSIP_Label_63f4bb52-bd44-4e71-98c6-b1e43e6be5b6_Enabled">
    <vt:lpwstr>true</vt:lpwstr>
  </property>
  <property fmtid="{D5CDD505-2E9C-101B-9397-08002B2CF9AE}" pid="35" name="MSIP_Label_63f4bb52-bd44-4e71-98c6-b1e43e6be5b6_SetDate">
    <vt:lpwstr>2022-08-10T09:54:41Z</vt:lpwstr>
  </property>
  <property fmtid="{D5CDD505-2E9C-101B-9397-08002B2CF9AE}" pid="36" name="MSIP_Label_63f4bb52-bd44-4e71-98c6-b1e43e6be5b6_Method">
    <vt:lpwstr>Standard</vt:lpwstr>
  </property>
  <property fmtid="{D5CDD505-2E9C-101B-9397-08002B2CF9AE}" pid="37" name="MSIP_Label_63f4bb52-bd44-4e71-98c6-b1e43e6be5b6_Name">
    <vt:lpwstr>Chráněné</vt:lpwstr>
  </property>
  <property fmtid="{D5CDD505-2E9C-101B-9397-08002B2CF9AE}" pid="38" name="MSIP_Label_63f4bb52-bd44-4e71-98c6-b1e43e6be5b6_SiteId">
    <vt:lpwstr>9cca307d-eed7-47e0-a567-a3b37ba0308b</vt:lpwstr>
  </property>
  <property fmtid="{D5CDD505-2E9C-101B-9397-08002B2CF9AE}" pid="39" name="MSIP_Label_63f4bb52-bd44-4e71-98c6-b1e43e6be5b6_ActionId">
    <vt:lpwstr>ca7f3bf3-cf89-4cf9-9bd8-fcbcfa83b433</vt:lpwstr>
  </property>
  <property fmtid="{D5CDD505-2E9C-101B-9397-08002B2CF9AE}" pid="40" name="MSIP_Label_63f4bb52-bd44-4e71-98c6-b1e43e6be5b6_ContentBits">
    <vt:lpwstr>0</vt:lpwstr>
  </property>
  <property fmtid="{D5CDD505-2E9C-101B-9397-08002B2CF9AE}" pid="41" name="MSIP_Label_95047c84-0a67-483c-b79b-e48654b86430_Enabled">
    <vt:lpwstr>true</vt:lpwstr>
  </property>
  <property fmtid="{D5CDD505-2E9C-101B-9397-08002B2CF9AE}" pid="42" name="MSIP_Label_95047c84-0a67-483c-b79b-e48654b86430_SetDate">
    <vt:lpwstr>2022-11-09T11:52:35Z</vt:lpwstr>
  </property>
  <property fmtid="{D5CDD505-2E9C-101B-9397-08002B2CF9AE}" pid="43" name="MSIP_Label_95047c84-0a67-483c-b79b-e48654b86430_Method">
    <vt:lpwstr>Standard</vt:lpwstr>
  </property>
  <property fmtid="{D5CDD505-2E9C-101B-9397-08002B2CF9AE}" pid="44" name="MSIP_Label_95047c84-0a67-483c-b79b-e48654b86430_Name">
    <vt:lpwstr>defa4170-0d19-0005-0004-bc88714345d2</vt:lpwstr>
  </property>
  <property fmtid="{D5CDD505-2E9C-101B-9397-08002B2CF9AE}" pid="45" name="MSIP_Label_95047c84-0a67-483c-b79b-e48654b86430_SiteId">
    <vt:lpwstr>3f20558b-6d29-4505-a3e9-96d02ae92fa1</vt:lpwstr>
  </property>
  <property fmtid="{D5CDD505-2E9C-101B-9397-08002B2CF9AE}" pid="46" name="MSIP_Label_95047c84-0a67-483c-b79b-e48654b86430_ActionId">
    <vt:lpwstr>09b031df-8fbf-4de6-9fcd-b47722a3820f</vt:lpwstr>
  </property>
  <property fmtid="{D5CDD505-2E9C-101B-9397-08002B2CF9AE}" pid="47" name="MSIP_Label_95047c84-0a67-483c-b79b-e48654b86430_ContentBits">
    <vt:lpwstr>0</vt:lpwstr>
  </property>
  <property fmtid="{D5CDD505-2E9C-101B-9397-08002B2CF9AE}" pid="48" name="MSIP_Label_38939b85-7e40-4a1d-91e1-0e84c3b219d7_Enabled">
    <vt:lpwstr>true</vt:lpwstr>
  </property>
  <property fmtid="{D5CDD505-2E9C-101B-9397-08002B2CF9AE}" pid="49" name="MSIP_Label_38939b85-7e40-4a1d-91e1-0e84c3b219d7_SetDate">
    <vt:lpwstr>2023-08-08T13:09:17Z</vt:lpwstr>
  </property>
  <property fmtid="{D5CDD505-2E9C-101B-9397-08002B2CF9AE}" pid="50" name="MSIP_Label_38939b85-7e40-4a1d-91e1-0e84c3b219d7_Method">
    <vt:lpwstr>Standard</vt:lpwstr>
  </property>
  <property fmtid="{D5CDD505-2E9C-101B-9397-08002B2CF9AE}" pid="51" name="MSIP_Label_38939b85-7e40-4a1d-91e1-0e84c3b219d7_Name">
    <vt:lpwstr>38939b85-7e40-4a1d-91e1-0e84c3b219d7</vt:lpwstr>
  </property>
  <property fmtid="{D5CDD505-2E9C-101B-9397-08002B2CF9AE}" pid="52" name="MSIP_Label_38939b85-7e40-4a1d-91e1-0e84c3b219d7_SiteId">
    <vt:lpwstr>3ad0376a-54d3-49a6-9e20-52de0a92fc89</vt:lpwstr>
  </property>
  <property fmtid="{D5CDD505-2E9C-101B-9397-08002B2CF9AE}" pid="53" name="MSIP_Label_38939b85-7e40-4a1d-91e1-0e84c3b219d7_ActionId">
    <vt:lpwstr>a9bfb157-61e9-41a9-8f12-7ab49d163955</vt:lpwstr>
  </property>
  <property fmtid="{D5CDD505-2E9C-101B-9397-08002B2CF9AE}" pid="54" name="MSIP_Label_38939b85-7e40-4a1d-91e1-0e84c3b219d7_ContentBits">
    <vt:lpwstr>0</vt:lpwstr>
  </property>
  <property fmtid="{D5CDD505-2E9C-101B-9397-08002B2CF9AE}" pid="55" name="MSIP_Label_076d9757-80ae-4c87-b4d7-9ffa7a0710d0_Enabled">
    <vt:lpwstr>true</vt:lpwstr>
  </property>
  <property fmtid="{D5CDD505-2E9C-101B-9397-08002B2CF9AE}" pid="56" name="MSIP_Label_076d9757-80ae-4c87-b4d7-9ffa7a0710d0_SetDate">
    <vt:lpwstr>2023-11-08T08:22:38Z</vt:lpwstr>
  </property>
  <property fmtid="{D5CDD505-2E9C-101B-9397-08002B2CF9AE}" pid="57" name="MSIP_Label_076d9757-80ae-4c87-b4d7-9ffa7a0710d0_Method">
    <vt:lpwstr>Standard</vt:lpwstr>
  </property>
  <property fmtid="{D5CDD505-2E9C-101B-9397-08002B2CF9AE}" pid="58" name="MSIP_Label_076d9757-80ae-4c87-b4d7-9ffa7a0710d0_Name">
    <vt:lpwstr>C1 - Internal</vt:lpwstr>
  </property>
  <property fmtid="{D5CDD505-2E9C-101B-9397-08002B2CF9AE}" pid="59" name="MSIP_Label_076d9757-80ae-4c87-b4d7-9ffa7a0710d0_SiteId">
    <vt:lpwstr>c79e7c80-cff5-4503-b468-3702cea89272</vt:lpwstr>
  </property>
  <property fmtid="{D5CDD505-2E9C-101B-9397-08002B2CF9AE}" pid="60" name="MSIP_Label_076d9757-80ae-4c87-b4d7-9ffa7a0710d0_ActionId">
    <vt:lpwstr>e6da5af1-39f2-4f2b-b59b-984e27099740</vt:lpwstr>
  </property>
  <property fmtid="{D5CDD505-2E9C-101B-9397-08002B2CF9AE}" pid="61" name="MSIP_Label_076d9757-80ae-4c87-b4d7-9ffa7a0710d0_ContentBits">
    <vt:lpwstr>0</vt:lpwstr>
  </property>
  <property fmtid="{D5CDD505-2E9C-101B-9397-08002B2CF9AE}" pid="62" name="Kod_Duvernosti">
    <vt:lpwstr>KB_C1_INTERNAL_992521</vt:lpwstr>
  </property>
</Properties>
</file>